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AFB1" w14:textId="77777777" w:rsidR="00146DF1" w:rsidRPr="00B53186" w:rsidRDefault="00146DF1"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7F61E284" w14:textId="77777777" w:rsidTr="005F1B06">
        <w:trPr>
          <w:trHeight w:val="2114"/>
          <w:jc w:val="center"/>
        </w:trPr>
        <w:tc>
          <w:tcPr>
            <w:tcW w:w="9360" w:type="dxa"/>
            <w:gridSpan w:val="8"/>
          </w:tcPr>
          <w:p w14:paraId="3290FDB5" w14:textId="77777777" w:rsidR="00146DF1" w:rsidRPr="008F5FB2" w:rsidRDefault="00146DF1" w:rsidP="005F1B06">
            <w:pPr>
              <w:pStyle w:val="Title"/>
            </w:pPr>
          </w:p>
        </w:tc>
      </w:tr>
      <w:tr w:rsidR="00AB7E51" w:rsidRPr="006C1252" w14:paraId="2C1BF83D" w14:textId="77777777" w:rsidTr="005F1B06">
        <w:trPr>
          <w:trHeight w:val="2114"/>
          <w:jc w:val="center"/>
        </w:trPr>
        <w:tc>
          <w:tcPr>
            <w:tcW w:w="9360" w:type="dxa"/>
            <w:gridSpan w:val="8"/>
          </w:tcPr>
          <w:p w14:paraId="693BD305" w14:textId="77777777" w:rsidR="00146DF1" w:rsidRDefault="00146DF1" w:rsidP="005F1B06">
            <w:pPr>
              <w:pStyle w:val="Title"/>
            </w:pPr>
            <w:bookmarkStart w:id="0" w:name="Title_Program_Name"/>
            <w:r>
              <w:t>Home Energy Reports</w:t>
            </w:r>
            <w:bookmarkEnd w:id="0"/>
            <w:r>
              <w:t xml:space="preserve"> </w:t>
            </w:r>
            <w:r w:rsidRPr="00E656A1">
              <w:t>Impact Evaluation Report</w:t>
            </w:r>
          </w:p>
          <w:p w14:paraId="371B4467" w14:textId="77777777" w:rsidR="00146DF1" w:rsidRPr="00E84648" w:rsidRDefault="00146DF1" w:rsidP="005F1B06">
            <w:pPr>
              <w:pStyle w:val="Subtitle"/>
              <w:rPr>
                <w:b w:val="0"/>
                <w:bCs/>
              </w:rPr>
            </w:pPr>
            <w:r>
              <w:t xml:space="preserve">Energy Efficiency Plan: Program Year 2024 </w:t>
            </w:r>
            <w:r>
              <w:br/>
              <w:t>(1/1/2024-12/31/2024)</w:t>
            </w:r>
          </w:p>
        </w:tc>
      </w:tr>
      <w:tr w:rsidR="00AB7E51" w:rsidRPr="00C324C7" w14:paraId="335A6060" w14:textId="77777777" w:rsidTr="005F1B06">
        <w:trPr>
          <w:trHeight w:val="2263"/>
          <w:jc w:val="center"/>
        </w:trPr>
        <w:tc>
          <w:tcPr>
            <w:tcW w:w="9360" w:type="dxa"/>
            <w:gridSpan w:val="8"/>
          </w:tcPr>
          <w:p w14:paraId="480F0750" w14:textId="6D79E19C" w:rsidR="00146DF1" w:rsidRDefault="00146DF1" w:rsidP="005F1B06">
            <w:pPr>
              <w:pStyle w:val="Preparedfor"/>
            </w:pPr>
            <w:r>
              <w:t>Prepared for:</w:t>
            </w:r>
          </w:p>
          <w:p w14:paraId="03986906" w14:textId="77777777" w:rsidR="00146DF1" w:rsidRDefault="00146DF1" w:rsidP="005F1B06">
            <w:pPr>
              <w:pStyle w:val="Preparedfor"/>
            </w:pPr>
            <w:r>
              <w:t>Nicor Gas Company</w:t>
            </w:r>
          </w:p>
          <w:p w14:paraId="0901C04F" w14:textId="77777777" w:rsidR="00146DF1" w:rsidRPr="004F0F97" w:rsidRDefault="00146DF1" w:rsidP="005F1B06">
            <w:pPr>
              <w:pStyle w:val="CoverClientName0"/>
            </w:pPr>
            <w:r w:rsidRPr="004F0F97">
              <w:t>DRAFT</w:t>
            </w:r>
          </w:p>
          <w:p w14:paraId="233B41DC" w14:textId="0DF2C53C" w:rsidR="00146DF1" w:rsidRPr="00363D18" w:rsidRDefault="00EE614F" w:rsidP="005F1B06">
            <w:pPr>
              <w:pStyle w:val="CoverClientName0"/>
              <w:spacing w:after="0"/>
            </w:pPr>
            <w:r>
              <w:t>April</w:t>
            </w:r>
            <w:r w:rsidR="00146DF1">
              <w:t xml:space="preserve"> </w:t>
            </w:r>
            <w:r>
              <w:t>18</w:t>
            </w:r>
            <w:r w:rsidR="00146DF1">
              <w:t>, 2025</w:t>
            </w:r>
          </w:p>
        </w:tc>
      </w:tr>
      <w:tr w:rsidR="00AB7E51" w:rsidRPr="00A53568" w14:paraId="78F7AA0C" w14:textId="77777777" w:rsidTr="005F1B06">
        <w:trPr>
          <w:trHeight w:val="419"/>
          <w:jc w:val="center"/>
        </w:trPr>
        <w:tc>
          <w:tcPr>
            <w:tcW w:w="6739" w:type="dxa"/>
            <w:gridSpan w:val="5"/>
          </w:tcPr>
          <w:p w14:paraId="2D301958" w14:textId="77777777" w:rsidR="00146DF1" w:rsidRDefault="00146DF1" w:rsidP="005F1B06">
            <w:pPr>
              <w:pStyle w:val="BodyTextBold"/>
              <w:rPr>
                <w:rStyle w:val="CoverText"/>
              </w:rPr>
            </w:pPr>
          </w:p>
          <w:p w14:paraId="29490FF9" w14:textId="162D8045" w:rsidR="00146DF1" w:rsidRDefault="00146DF1" w:rsidP="005F1B06">
            <w:pPr>
              <w:pStyle w:val="BodyTextBold"/>
              <w:rPr>
                <w:rStyle w:val="CoverText"/>
              </w:rPr>
            </w:pPr>
            <w:r>
              <w:rPr>
                <w:rStyle w:val="CoverText"/>
              </w:rPr>
              <w:t xml:space="preserve">Prepared by: </w:t>
            </w:r>
          </w:p>
        </w:tc>
        <w:tc>
          <w:tcPr>
            <w:tcW w:w="2621" w:type="dxa"/>
            <w:gridSpan w:val="3"/>
          </w:tcPr>
          <w:p w14:paraId="72F6967A" w14:textId="77777777" w:rsidR="00146DF1" w:rsidRDefault="00146DF1" w:rsidP="005F1B06">
            <w:pPr>
              <w:pStyle w:val="BodyTextNoSpacingAfter"/>
              <w:rPr>
                <w:rStyle w:val="CoverText"/>
              </w:rPr>
            </w:pPr>
          </w:p>
        </w:tc>
      </w:tr>
      <w:tr w:rsidR="00AB7E51" w:rsidRPr="00957EA9" w14:paraId="552A2AEA" w14:textId="77777777" w:rsidTr="005F1B06">
        <w:trPr>
          <w:trHeight w:val="900"/>
          <w:jc w:val="center"/>
        </w:trPr>
        <w:tc>
          <w:tcPr>
            <w:tcW w:w="3227" w:type="dxa"/>
          </w:tcPr>
          <w:p w14:paraId="50438592" w14:textId="2C05756D" w:rsidR="00146DF1" w:rsidRPr="008B387B" w:rsidRDefault="00EE614F" w:rsidP="005F1B06">
            <w:pPr>
              <w:pStyle w:val="PresentedBy"/>
              <w:rPr>
                <w:bCs/>
                <w:color w:val="auto"/>
              </w:rPr>
            </w:pPr>
            <w:r>
              <w:rPr>
                <w:bCs/>
                <w:color w:val="auto"/>
              </w:rPr>
              <w:t>Carly Olig</w:t>
            </w:r>
          </w:p>
          <w:p w14:paraId="49680B94" w14:textId="77777777" w:rsidR="00146DF1" w:rsidRPr="008B387B" w:rsidRDefault="00146DF1" w:rsidP="005F1B06">
            <w:pPr>
              <w:pStyle w:val="PresentedBy"/>
              <w:rPr>
                <w:bCs/>
                <w:color w:val="auto"/>
              </w:rPr>
            </w:pPr>
            <w:r w:rsidRPr="008B387B">
              <w:rPr>
                <w:bCs/>
                <w:color w:val="auto"/>
              </w:rPr>
              <w:t xml:space="preserve">Guidehouse </w:t>
            </w:r>
          </w:p>
        </w:tc>
        <w:tc>
          <w:tcPr>
            <w:tcW w:w="3489" w:type="dxa"/>
            <w:gridSpan w:val="3"/>
          </w:tcPr>
          <w:p w14:paraId="379108EE" w14:textId="52412628" w:rsidR="00146DF1" w:rsidRPr="008B387B" w:rsidRDefault="00EE614F" w:rsidP="005F1B06">
            <w:pPr>
              <w:pStyle w:val="BodyTextNoSpacingAfter"/>
              <w:rPr>
                <w:rStyle w:val="CoverText"/>
                <w:bCs/>
              </w:rPr>
            </w:pPr>
            <w:r>
              <w:rPr>
                <w:rStyle w:val="CoverText"/>
                <w:bCs/>
              </w:rPr>
              <w:t>Dustin Kunkel</w:t>
            </w:r>
          </w:p>
          <w:p w14:paraId="521055F8" w14:textId="1F8B50E1" w:rsidR="00146DF1" w:rsidRPr="008B387B" w:rsidRDefault="00EE614F" w:rsidP="005F1B06">
            <w:pPr>
              <w:pStyle w:val="BodyTextNoSpacingAfter"/>
              <w:rPr>
                <w:rStyle w:val="CoverText"/>
                <w:bCs/>
              </w:rPr>
            </w:pPr>
            <w:r>
              <w:rPr>
                <w:rStyle w:val="CoverText"/>
                <w:bCs/>
              </w:rPr>
              <w:t>Guidehouse</w:t>
            </w:r>
          </w:p>
        </w:tc>
        <w:tc>
          <w:tcPr>
            <w:tcW w:w="2644" w:type="dxa"/>
            <w:gridSpan w:val="4"/>
          </w:tcPr>
          <w:p w14:paraId="57BEFE2F" w14:textId="77777777" w:rsidR="00146DF1" w:rsidRPr="00957EA9" w:rsidRDefault="00146DF1" w:rsidP="005F1B06">
            <w:pPr>
              <w:pStyle w:val="PresentedBy"/>
              <w:rPr>
                <w:rStyle w:val="CoverText"/>
                <w:bCs/>
                <w:iCs/>
              </w:rPr>
            </w:pPr>
          </w:p>
        </w:tc>
      </w:tr>
      <w:tr w:rsidR="00AB7E51" w14:paraId="61457DBC" w14:textId="77777777" w:rsidTr="005F1B06">
        <w:trPr>
          <w:jc w:val="center"/>
        </w:trPr>
        <w:tc>
          <w:tcPr>
            <w:tcW w:w="3227" w:type="dxa"/>
            <w:vAlign w:val="center"/>
          </w:tcPr>
          <w:p w14:paraId="4DBD24AE" w14:textId="77777777" w:rsidR="00146DF1" w:rsidRPr="00957EA9" w:rsidRDefault="00146DF1" w:rsidP="005F1B06">
            <w:pPr>
              <w:pStyle w:val="PresentedBy"/>
              <w:jc w:val="center"/>
              <w:rPr>
                <w:b/>
                <w:color w:val="auto"/>
              </w:rPr>
            </w:pPr>
          </w:p>
        </w:tc>
        <w:tc>
          <w:tcPr>
            <w:tcW w:w="3489" w:type="dxa"/>
            <w:gridSpan w:val="3"/>
            <w:vAlign w:val="center"/>
          </w:tcPr>
          <w:p w14:paraId="6C350099" w14:textId="77777777" w:rsidR="00146DF1" w:rsidRPr="6BF7E7CA" w:rsidRDefault="00146DF1" w:rsidP="005F1B06">
            <w:pPr>
              <w:pStyle w:val="PresentedBy"/>
              <w:jc w:val="center"/>
              <w:rPr>
                <w:b/>
                <w:bCs/>
                <w:color w:val="auto"/>
              </w:rPr>
            </w:pPr>
          </w:p>
        </w:tc>
        <w:tc>
          <w:tcPr>
            <w:tcW w:w="2644" w:type="dxa"/>
            <w:gridSpan w:val="4"/>
          </w:tcPr>
          <w:p w14:paraId="4864E22C" w14:textId="77777777" w:rsidR="00146DF1" w:rsidRDefault="00146DF1" w:rsidP="005F1B06">
            <w:pPr>
              <w:pStyle w:val="PresentedBy"/>
              <w:rPr>
                <w:b/>
                <w:color w:val="auto"/>
              </w:rPr>
            </w:pPr>
          </w:p>
        </w:tc>
      </w:tr>
      <w:tr w:rsidR="00AB7E51" w:rsidRPr="00D8064B" w14:paraId="6EBE38EE" w14:textId="77777777" w:rsidTr="005F1B06">
        <w:trPr>
          <w:trHeight w:val="1135"/>
          <w:jc w:val="center"/>
        </w:trPr>
        <w:tc>
          <w:tcPr>
            <w:tcW w:w="3227" w:type="dxa"/>
            <w:vAlign w:val="center"/>
          </w:tcPr>
          <w:p w14:paraId="41F587A3" w14:textId="77777777" w:rsidR="00146DF1" w:rsidRPr="00D8064B" w:rsidRDefault="00146DF1" w:rsidP="005F1B06">
            <w:pPr>
              <w:pStyle w:val="TitlepageRestriction"/>
              <w:jc w:val="center"/>
              <w:rPr>
                <w:sz w:val="18"/>
                <w:szCs w:val="18"/>
              </w:rPr>
            </w:pPr>
          </w:p>
        </w:tc>
        <w:tc>
          <w:tcPr>
            <w:tcW w:w="3324" w:type="dxa"/>
            <w:vAlign w:val="center"/>
          </w:tcPr>
          <w:p w14:paraId="0361591A" w14:textId="77777777" w:rsidR="00146DF1" w:rsidRPr="00D8064B" w:rsidRDefault="00146DF1" w:rsidP="005F1B06">
            <w:pPr>
              <w:pStyle w:val="TitlepageRestriction"/>
              <w:jc w:val="center"/>
              <w:rPr>
                <w:sz w:val="18"/>
                <w:szCs w:val="18"/>
              </w:rPr>
            </w:pPr>
          </w:p>
        </w:tc>
        <w:tc>
          <w:tcPr>
            <w:tcW w:w="2058" w:type="dxa"/>
            <w:gridSpan w:val="5"/>
            <w:vAlign w:val="center"/>
          </w:tcPr>
          <w:p w14:paraId="48A3E89A" w14:textId="77777777" w:rsidR="00146DF1" w:rsidRPr="00D8064B" w:rsidRDefault="00146DF1" w:rsidP="005F1B06">
            <w:pPr>
              <w:pStyle w:val="TitlepageRestriction"/>
              <w:jc w:val="center"/>
              <w:rPr>
                <w:sz w:val="18"/>
                <w:szCs w:val="18"/>
              </w:rPr>
            </w:pPr>
          </w:p>
        </w:tc>
        <w:tc>
          <w:tcPr>
            <w:tcW w:w="751" w:type="dxa"/>
          </w:tcPr>
          <w:p w14:paraId="531F3196" w14:textId="77777777" w:rsidR="00146DF1" w:rsidRPr="00D8064B" w:rsidRDefault="00146DF1" w:rsidP="005F1B06">
            <w:pPr>
              <w:pStyle w:val="TitlepageRestriction"/>
              <w:rPr>
                <w:sz w:val="18"/>
                <w:szCs w:val="18"/>
              </w:rPr>
            </w:pPr>
          </w:p>
        </w:tc>
      </w:tr>
      <w:tr w:rsidR="00AB7E51" w:rsidRPr="005D53EC" w14:paraId="59C1E06D" w14:textId="77777777" w:rsidTr="005F1B06">
        <w:trPr>
          <w:trHeight w:val="495"/>
          <w:jc w:val="center"/>
        </w:trPr>
        <w:tc>
          <w:tcPr>
            <w:tcW w:w="3227" w:type="dxa"/>
            <w:vAlign w:val="center"/>
          </w:tcPr>
          <w:p w14:paraId="129B02D1" w14:textId="77777777" w:rsidR="00146DF1" w:rsidRPr="00D8064B" w:rsidRDefault="00146DF1" w:rsidP="005F1B06">
            <w:pPr>
              <w:pStyle w:val="TitlepageRestriction"/>
              <w:rPr>
                <w:sz w:val="18"/>
                <w:szCs w:val="18"/>
              </w:rPr>
            </w:pPr>
            <w:r w:rsidRPr="00D8064B">
              <w:rPr>
                <w:b/>
                <w:sz w:val="18"/>
                <w:szCs w:val="18"/>
              </w:rPr>
              <w:t>guidehouse.com</w:t>
            </w:r>
          </w:p>
        </w:tc>
        <w:tc>
          <w:tcPr>
            <w:tcW w:w="3482" w:type="dxa"/>
            <w:gridSpan w:val="2"/>
          </w:tcPr>
          <w:p w14:paraId="5FC7C53F" w14:textId="77777777" w:rsidR="00146DF1" w:rsidRPr="00D8064B" w:rsidRDefault="00146DF1" w:rsidP="005F1B06">
            <w:pPr>
              <w:pStyle w:val="TitlepageRestriction"/>
              <w:rPr>
                <w:sz w:val="18"/>
                <w:szCs w:val="18"/>
              </w:rPr>
            </w:pPr>
          </w:p>
        </w:tc>
        <w:tc>
          <w:tcPr>
            <w:tcW w:w="1541" w:type="dxa"/>
            <w:gridSpan w:val="3"/>
            <w:vAlign w:val="center"/>
          </w:tcPr>
          <w:p w14:paraId="0DE6DA01" w14:textId="77777777" w:rsidR="00146DF1" w:rsidRPr="00D8064B" w:rsidRDefault="00146DF1" w:rsidP="005F1B06">
            <w:pPr>
              <w:pStyle w:val="TitlepageRestriction"/>
              <w:rPr>
                <w:sz w:val="18"/>
                <w:szCs w:val="18"/>
              </w:rPr>
            </w:pPr>
          </w:p>
        </w:tc>
        <w:tc>
          <w:tcPr>
            <w:tcW w:w="1110" w:type="dxa"/>
            <w:gridSpan w:val="2"/>
          </w:tcPr>
          <w:p w14:paraId="6C462337" w14:textId="77777777" w:rsidR="00146DF1" w:rsidRPr="00D8064B" w:rsidRDefault="00146DF1" w:rsidP="005F1B06">
            <w:pPr>
              <w:pStyle w:val="TitlepageRestriction"/>
              <w:rPr>
                <w:sz w:val="18"/>
                <w:szCs w:val="18"/>
              </w:rPr>
            </w:pPr>
          </w:p>
        </w:tc>
      </w:tr>
    </w:tbl>
    <w:p w14:paraId="7DCBA1B7" w14:textId="77777777" w:rsidR="00146DF1" w:rsidRPr="004B7712" w:rsidRDefault="00146DF1" w:rsidP="003C1C68">
      <w:pPr>
        <w:sectPr w:rsidR="00146DF1"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0807EDCF" w14:textId="77777777" w:rsidR="00146DF1" w:rsidRPr="00CE09F1" w:rsidRDefault="00146DF1" w:rsidP="009A0F87">
      <w:pPr>
        <w:pStyle w:val="Contactinfo"/>
      </w:pPr>
    </w:p>
    <w:p w14:paraId="333AC949" w14:textId="77777777" w:rsidR="00146DF1" w:rsidRPr="00CE09F1" w:rsidRDefault="00146DF1" w:rsidP="009A0F87">
      <w:pPr>
        <w:pStyle w:val="Contactinfo"/>
      </w:pPr>
    </w:p>
    <w:p w14:paraId="7148BA00" w14:textId="77777777" w:rsidR="00146DF1" w:rsidRPr="00CE09F1" w:rsidRDefault="00146DF1" w:rsidP="009A0F87">
      <w:pPr>
        <w:pStyle w:val="Contactinfo"/>
      </w:pPr>
    </w:p>
    <w:p w14:paraId="0E1492F4" w14:textId="77777777" w:rsidR="00146DF1" w:rsidRPr="00CE09F1" w:rsidRDefault="00146DF1" w:rsidP="009A0F87">
      <w:pPr>
        <w:pStyle w:val="Contactinfo"/>
      </w:pPr>
    </w:p>
    <w:p w14:paraId="46566558" w14:textId="77777777" w:rsidR="00146DF1" w:rsidRPr="00CE09F1" w:rsidRDefault="00146DF1" w:rsidP="009A0F87">
      <w:pPr>
        <w:pStyle w:val="Contactinfo"/>
      </w:pPr>
    </w:p>
    <w:p w14:paraId="7B7ABE7A" w14:textId="77777777" w:rsidR="00146DF1" w:rsidRPr="005621C7" w:rsidRDefault="00146DF1" w:rsidP="009A0F87">
      <w:pPr>
        <w:pStyle w:val="Contactinfo"/>
        <w:rPr>
          <w:b/>
        </w:rPr>
      </w:pPr>
    </w:p>
    <w:p w14:paraId="2EEA4289" w14:textId="77777777" w:rsidR="00146DF1" w:rsidRPr="005621C7" w:rsidRDefault="00146DF1" w:rsidP="009A0F87">
      <w:pPr>
        <w:pStyle w:val="Contactinfo"/>
        <w:rPr>
          <w:b/>
        </w:rPr>
      </w:pPr>
      <w:r w:rsidRPr="005621C7">
        <w:rPr>
          <w:b/>
        </w:rPr>
        <w:t>Submitted to:</w:t>
      </w:r>
    </w:p>
    <w:p w14:paraId="6C07511E" w14:textId="77777777" w:rsidR="00146DF1" w:rsidRPr="005621C7" w:rsidRDefault="00146DF1" w:rsidP="009A0F87">
      <w:pPr>
        <w:pStyle w:val="Contactinfo"/>
      </w:pPr>
    </w:p>
    <w:p w14:paraId="6FBFD372" w14:textId="77777777" w:rsidR="00146DF1" w:rsidRPr="000E3526" w:rsidRDefault="00146DF1" w:rsidP="004F0F97">
      <w:pPr>
        <w:pStyle w:val="Contactinfo"/>
      </w:pPr>
      <w:r>
        <w:t>Nicor Gas Company</w:t>
      </w:r>
    </w:p>
    <w:p w14:paraId="2D1FBDD1" w14:textId="77777777" w:rsidR="00146DF1" w:rsidRPr="000E3526" w:rsidRDefault="00146DF1" w:rsidP="004F0F97">
      <w:pPr>
        <w:pStyle w:val="Contactinfo"/>
      </w:pPr>
      <w:r>
        <w:t>1844 Ferry Road</w:t>
      </w:r>
    </w:p>
    <w:p w14:paraId="35C1C914" w14:textId="77777777" w:rsidR="00146DF1" w:rsidRPr="000E3526" w:rsidRDefault="00146DF1" w:rsidP="004F0F97">
      <w:pPr>
        <w:pStyle w:val="Contactinfo"/>
      </w:pPr>
      <w:r>
        <w:t>Naperville, IL 60563</w:t>
      </w:r>
    </w:p>
    <w:p w14:paraId="664BC90C" w14:textId="77777777" w:rsidR="00146DF1" w:rsidRPr="005621C7" w:rsidRDefault="00146DF1" w:rsidP="009A0F87">
      <w:pPr>
        <w:pStyle w:val="Contactinfo"/>
      </w:pPr>
    </w:p>
    <w:p w14:paraId="046CC7D3" w14:textId="77777777" w:rsidR="00146DF1" w:rsidRPr="005621C7" w:rsidRDefault="00146DF1" w:rsidP="009A0F87">
      <w:pPr>
        <w:pStyle w:val="Contactinfo"/>
      </w:pPr>
    </w:p>
    <w:p w14:paraId="5C3AA3CC" w14:textId="77777777" w:rsidR="00146DF1" w:rsidRPr="005621C7" w:rsidRDefault="00146DF1" w:rsidP="009A0F87">
      <w:pPr>
        <w:pStyle w:val="Contactinfo"/>
        <w:rPr>
          <w:b/>
        </w:rPr>
      </w:pPr>
      <w:r w:rsidRPr="005621C7">
        <w:rPr>
          <w:b/>
        </w:rPr>
        <w:t>Submitted by:</w:t>
      </w:r>
    </w:p>
    <w:p w14:paraId="50AAA126" w14:textId="77777777" w:rsidR="00146DF1" w:rsidRPr="005621C7" w:rsidRDefault="00146DF1" w:rsidP="009A0F87">
      <w:pPr>
        <w:pStyle w:val="Contactinfo"/>
      </w:pPr>
    </w:p>
    <w:p w14:paraId="3CF5190E" w14:textId="77777777" w:rsidR="00146DF1" w:rsidRPr="005621C7" w:rsidRDefault="00146DF1" w:rsidP="009A0F87">
      <w:pPr>
        <w:pStyle w:val="Contactinfo"/>
      </w:pPr>
      <w:r>
        <w:t>Guidehouse</w:t>
      </w:r>
    </w:p>
    <w:p w14:paraId="21CEF74B" w14:textId="77777777" w:rsidR="00146DF1" w:rsidRPr="005621C7" w:rsidRDefault="00146DF1" w:rsidP="009A0F87">
      <w:pPr>
        <w:pStyle w:val="Contactinfo"/>
      </w:pPr>
      <w:r>
        <w:t>150 N. Riverside Plaza, Suite 2100</w:t>
      </w:r>
    </w:p>
    <w:p w14:paraId="1BF1BD7B" w14:textId="77777777" w:rsidR="00146DF1" w:rsidRPr="005621C7" w:rsidRDefault="00146DF1" w:rsidP="009A0F87">
      <w:pPr>
        <w:pStyle w:val="Contactinfo"/>
      </w:pPr>
      <w:r w:rsidRPr="005621C7">
        <w:t>Chicago, IL 60606</w:t>
      </w:r>
    </w:p>
    <w:p w14:paraId="23FEEB3B" w14:textId="77777777" w:rsidR="00146DF1" w:rsidRPr="005621C7" w:rsidRDefault="00146DF1" w:rsidP="009A0F87">
      <w:pPr>
        <w:pStyle w:val="Contactinfo"/>
      </w:pPr>
    </w:p>
    <w:p w14:paraId="0592FE38" w14:textId="77777777" w:rsidR="00146DF1" w:rsidRPr="005621C7" w:rsidRDefault="00146DF1" w:rsidP="009A0F87">
      <w:pPr>
        <w:pStyle w:val="Contactinfo"/>
      </w:pPr>
    </w:p>
    <w:p w14:paraId="732F5E44" w14:textId="77777777" w:rsidR="00146DF1" w:rsidRPr="005621C7" w:rsidRDefault="00146DF1" w:rsidP="009A0F87">
      <w:pPr>
        <w:pStyle w:val="Contactinfo"/>
      </w:pPr>
      <w:r w:rsidRPr="005621C7">
        <w:rPr>
          <w:b/>
        </w:rPr>
        <w:t>Contact:</w:t>
      </w:r>
    </w:p>
    <w:p w14:paraId="7B40522F" w14:textId="77777777" w:rsidR="00146DF1" w:rsidRPr="005621C7" w:rsidRDefault="00146DF1"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1E40C6C9" w14:textId="77777777" w:rsidTr="004F0F97">
        <w:tc>
          <w:tcPr>
            <w:tcW w:w="3330" w:type="dxa"/>
          </w:tcPr>
          <w:p w14:paraId="6D9DBC19" w14:textId="77777777" w:rsidR="00146DF1" w:rsidRDefault="00146DF1"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Walker</w:t>
            </w:r>
            <w:r w:rsidRPr="00657529">
              <w:rPr>
                <w:rFonts w:ascii="Arial" w:eastAsiaTheme="minorHAnsi" w:hAnsi="Arial" w:cstheme="minorBidi"/>
                <w:sz w:val="20"/>
                <w:szCs w:val="20"/>
              </w:rPr>
              <w:t xml:space="preserve"> </w:t>
            </w:r>
          </w:p>
          <w:p w14:paraId="574601FE" w14:textId="77777777" w:rsidR="00146DF1" w:rsidRPr="00657529" w:rsidRDefault="00146DF1"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33C7514E" w14:textId="77777777" w:rsidR="00146DF1" w:rsidRPr="00657529" w:rsidRDefault="00146DF1"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Pr="00657529">
              <w:rPr>
                <w:rFonts w:ascii="Arial" w:eastAsiaTheme="minorHAnsi" w:hAnsi="Arial" w:cstheme="minorBidi"/>
                <w:sz w:val="20"/>
                <w:szCs w:val="20"/>
              </w:rPr>
              <w:t>  </w:t>
            </w:r>
          </w:p>
          <w:p w14:paraId="0086E39F" w14:textId="77777777" w:rsidR="00146DF1" w:rsidRPr="00012528" w:rsidRDefault="00146DF1"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Pr="00012528">
              <w:rPr>
                <w:rFonts w:ascii="Arial" w:eastAsiaTheme="minorHAnsi" w:hAnsi="Arial" w:cstheme="minorBidi"/>
                <w:b/>
                <w:bCs/>
                <w:sz w:val="20"/>
                <w:szCs w:val="20"/>
              </w:rPr>
              <w:t xml:space="preserve">  </w:t>
            </w:r>
          </w:p>
          <w:p w14:paraId="51D70CC6" w14:textId="77777777" w:rsidR="00146DF1" w:rsidRDefault="00146DF1" w:rsidP="00940598">
            <w:pPr>
              <w:pStyle w:val="paragraph"/>
              <w:spacing w:before="0" w:beforeAutospacing="0" w:after="0" w:afterAutospacing="0"/>
              <w:textAlignment w:val="baseline"/>
            </w:pPr>
          </w:p>
          <w:p w14:paraId="4211E2BF" w14:textId="77777777" w:rsidR="00146DF1" w:rsidRPr="00AE0841" w:rsidRDefault="00146DF1" w:rsidP="002C171A">
            <w:pPr>
              <w:pStyle w:val="Contactinfo"/>
              <w:rPr>
                <w:sz w:val="20"/>
              </w:rPr>
            </w:pPr>
            <w:r>
              <w:rPr>
                <w:sz w:val="20"/>
              </w:rPr>
              <w:t>Charles Ampong</w:t>
            </w:r>
            <w:r w:rsidRPr="00AE0841">
              <w:rPr>
                <w:sz w:val="20"/>
              </w:rPr>
              <w:br/>
              <w:t>Associate Director</w:t>
            </w:r>
          </w:p>
          <w:p w14:paraId="43347E05" w14:textId="77777777" w:rsidR="00146DF1" w:rsidRPr="00AE0841" w:rsidRDefault="00146DF1" w:rsidP="002C171A">
            <w:pPr>
              <w:pStyle w:val="Contactinfo"/>
              <w:rPr>
                <w:sz w:val="20"/>
              </w:rPr>
            </w:pPr>
            <w:r w:rsidRPr="00AE0841">
              <w:rPr>
                <w:sz w:val="20"/>
              </w:rPr>
              <w:t>608.</w:t>
            </w:r>
            <w:r>
              <w:rPr>
                <w:sz w:val="20"/>
              </w:rPr>
              <w:t>446.3172</w:t>
            </w:r>
          </w:p>
          <w:p w14:paraId="4FD36E57" w14:textId="77777777" w:rsidR="00146DF1" w:rsidRPr="00012528" w:rsidRDefault="00146DF1" w:rsidP="002C171A">
            <w:pPr>
              <w:pStyle w:val="Contactinfo"/>
              <w:rPr>
                <w:sz w:val="20"/>
              </w:rPr>
            </w:pPr>
            <w:r w:rsidRPr="00012528">
              <w:rPr>
                <w:b/>
                <w:sz w:val="20"/>
                <w:u w:color="93D500" w:themeColor="accent1"/>
              </w:rPr>
              <w:t>charles.ampong@guidehouse.com</w:t>
            </w:r>
          </w:p>
          <w:p w14:paraId="7D3CE85A" w14:textId="77777777" w:rsidR="00146DF1" w:rsidRDefault="00146DF1" w:rsidP="002C171A">
            <w:pPr>
              <w:pStyle w:val="Contactinfo"/>
              <w:rPr>
                <w:sz w:val="20"/>
              </w:rPr>
            </w:pPr>
          </w:p>
          <w:p w14:paraId="24AAC25A" w14:textId="77777777" w:rsidR="00146DF1" w:rsidRPr="007B32D7" w:rsidRDefault="00146DF1" w:rsidP="004F0F97">
            <w:pPr>
              <w:pStyle w:val="Contactinfo"/>
            </w:pPr>
          </w:p>
        </w:tc>
        <w:tc>
          <w:tcPr>
            <w:tcW w:w="3420" w:type="dxa"/>
          </w:tcPr>
          <w:p w14:paraId="45EEC1B3" w14:textId="77777777" w:rsidR="00146DF1" w:rsidRPr="00657529" w:rsidRDefault="00146DF1"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Pr="00657529">
              <w:rPr>
                <w:rFonts w:ascii="Arial" w:eastAsiaTheme="minorHAnsi" w:hAnsi="Arial" w:cstheme="minorBidi"/>
                <w:sz w:val="20"/>
                <w:szCs w:val="20"/>
              </w:rPr>
              <w:t xml:space="preserve"> </w:t>
            </w:r>
          </w:p>
          <w:p w14:paraId="7389C30C" w14:textId="77777777" w:rsidR="00146DF1" w:rsidRPr="00657529" w:rsidRDefault="00146DF1"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070C8718" w14:textId="77777777" w:rsidR="00146DF1" w:rsidRPr="00657529" w:rsidRDefault="00146DF1"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Pr="00657529">
              <w:rPr>
                <w:rFonts w:ascii="Arial" w:eastAsiaTheme="minorHAnsi" w:hAnsi="Arial" w:cstheme="minorBidi"/>
                <w:sz w:val="20"/>
                <w:szCs w:val="20"/>
              </w:rPr>
              <w:t> </w:t>
            </w:r>
          </w:p>
          <w:p w14:paraId="06A74E35" w14:textId="77777777" w:rsidR="00146DF1" w:rsidRPr="00012528" w:rsidRDefault="00146DF1"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Pr="00012528">
              <w:rPr>
                <w:rFonts w:ascii="Arial" w:eastAsiaTheme="minorHAnsi" w:hAnsi="Arial" w:cstheme="minorBidi"/>
                <w:b/>
                <w:sz w:val="20"/>
                <w:szCs w:val="20"/>
                <w:u w:color="93D500" w:themeColor="accent1"/>
              </w:rPr>
              <w:t>@guidehouse.com</w:t>
            </w:r>
          </w:p>
          <w:p w14:paraId="5B6FFA5B" w14:textId="77777777" w:rsidR="00146DF1" w:rsidRPr="00657529" w:rsidRDefault="00146DF1" w:rsidP="004F0F97">
            <w:pPr>
              <w:pStyle w:val="paragraph"/>
              <w:spacing w:before="0" w:beforeAutospacing="0" w:after="0" w:afterAutospacing="0"/>
              <w:textAlignment w:val="baseline"/>
              <w:rPr>
                <w:rFonts w:ascii="Arial" w:eastAsiaTheme="minorHAnsi" w:hAnsi="Arial" w:cstheme="minorBidi"/>
                <w:sz w:val="20"/>
                <w:szCs w:val="20"/>
              </w:rPr>
            </w:pPr>
          </w:p>
          <w:p w14:paraId="71E44A40" w14:textId="77777777" w:rsidR="00146DF1" w:rsidRPr="007B32D7" w:rsidRDefault="00146DF1" w:rsidP="004F0F97">
            <w:pPr>
              <w:pStyle w:val="Contactinfo"/>
            </w:pPr>
          </w:p>
        </w:tc>
        <w:tc>
          <w:tcPr>
            <w:tcW w:w="3307" w:type="dxa"/>
          </w:tcPr>
          <w:p w14:paraId="5E01673E" w14:textId="77777777" w:rsidR="00146DF1" w:rsidRPr="00AE0841" w:rsidRDefault="00146DF1" w:rsidP="004F0F97">
            <w:pPr>
              <w:pStyle w:val="Contactinfo"/>
              <w:rPr>
                <w:sz w:val="20"/>
              </w:rPr>
            </w:pPr>
            <w:r>
              <w:rPr>
                <w:sz w:val="20"/>
              </w:rPr>
              <w:t>Laura Agapay-Read</w:t>
            </w:r>
            <w:r w:rsidRPr="00AE0841">
              <w:rPr>
                <w:sz w:val="20"/>
              </w:rPr>
              <w:br/>
              <w:t>Associate Director</w:t>
            </w:r>
          </w:p>
          <w:p w14:paraId="76E2A83C" w14:textId="77777777" w:rsidR="00146DF1" w:rsidRDefault="00146DF1" w:rsidP="004F0F97">
            <w:pPr>
              <w:pStyle w:val="Contactinfo"/>
              <w:rPr>
                <w:sz w:val="20"/>
              </w:rPr>
            </w:pPr>
            <w:r>
              <w:rPr>
                <w:sz w:val="20"/>
              </w:rPr>
              <w:t>312</w:t>
            </w:r>
            <w:r w:rsidRPr="00AE0841">
              <w:rPr>
                <w:sz w:val="20"/>
              </w:rPr>
              <w:t>.</w:t>
            </w:r>
            <w:r>
              <w:rPr>
                <w:sz w:val="20"/>
              </w:rPr>
              <w:t>583</w:t>
            </w:r>
            <w:r w:rsidRPr="00AE0841">
              <w:rPr>
                <w:sz w:val="20"/>
              </w:rPr>
              <w:t>.</w:t>
            </w:r>
            <w:r>
              <w:rPr>
                <w:sz w:val="20"/>
              </w:rPr>
              <w:t>4178</w:t>
            </w:r>
          </w:p>
          <w:p w14:paraId="705D0985" w14:textId="77777777" w:rsidR="00146DF1" w:rsidRPr="00012528" w:rsidRDefault="00146DF1" w:rsidP="004F0F97">
            <w:pPr>
              <w:pStyle w:val="Contactinfo"/>
              <w:rPr>
                <w:sz w:val="20"/>
              </w:rPr>
            </w:pPr>
            <w:r w:rsidRPr="00012528">
              <w:rPr>
                <w:b/>
                <w:sz w:val="20"/>
                <w:u w:color="93D500" w:themeColor="accent1"/>
              </w:rPr>
              <w:t>laura.agapay.read@guidehouse.com</w:t>
            </w:r>
          </w:p>
          <w:p w14:paraId="3C4319BE" w14:textId="77777777" w:rsidR="00146DF1" w:rsidRPr="000D0C1E" w:rsidRDefault="00146DF1" w:rsidP="004F0F97">
            <w:pPr>
              <w:pStyle w:val="Contactinfo"/>
              <w:rPr>
                <w:color w:val="0070C0"/>
                <w:sz w:val="20"/>
              </w:rPr>
            </w:pPr>
          </w:p>
          <w:p w14:paraId="753F738C" w14:textId="77777777" w:rsidR="00146DF1" w:rsidRPr="007B32D7" w:rsidRDefault="00146DF1" w:rsidP="00917C40">
            <w:pPr>
              <w:pStyle w:val="Contactinfo"/>
            </w:pPr>
          </w:p>
        </w:tc>
      </w:tr>
    </w:tbl>
    <w:p w14:paraId="3616C97D" w14:textId="77777777" w:rsidR="00146DF1" w:rsidRPr="005621C7" w:rsidRDefault="00146DF1"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233C8A4B" w14:textId="77777777" w:rsidR="00146DF1" w:rsidRPr="005621C7" w:rsidRDefault="00146DF1" w:rsidP="009A59F0">
      <w:pPr>
        <w:pStyle w:val="Contactinfo"/>
        <w:sectPr w:rsidR="00146DF1" w:rsidRPr="005621C7" w:rsidSect="007D70E2">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64921677" w14:textId="77777777" w:rsidR="00146DF1" w:rsidRPr="005621C7" w:rsidRDefault="00146DF1" w:rsidP="00FA7026">
      <w:pPr>
        <w:pStyle w:val="TOCHeading"/>
      </w:pPr>
      <w:r w:rsidRPr="005621C7">
        <w:lastRenderedPageBreak/>
        <w:t>Table of Contents</w:t>
      </w:r>
    </w:p>
    <w:p w14:paraId="5A98B5D4" w14:textId="3C64E7B8" w:rsidR="002F14CE" w:rsidRDefault="00146DF1">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5887217" w:history="1">
        <w:r w:rsidR="002F14CE" w:rsidRPr="00F21504">
          <w:rPr>
            <w:rStyle w:val="Hyperlink"/>
            <w:noProof/>
          </w:rPr>
          <w:t>Introduction</w:t>
        </w:r>
        <w:r w:rsidR="002F14CE">
          <w:rPr>
            <w:noProof/>
            <w:webHidden/>
          </w:rPr>
          <w:tab/>
        </w:r>
        <w:r w:rsidR="002F14CE">
          <w:rPr>
            <w:noProof/>
            <w:webHidden/>
          </w:rPr>
          <w:fldChar w:fldCharType="begin"/>
        </w:r>
        <w:r w:rsidR="002F14CE">
          <w:rPr>
            <w:noProof/>
            <w:webHidden/>
          </w:rPr>
          <w:instrText xml:space="preserve"> PAGEREF _Toc195887217 \h </w:instrText>
        </w:r>
        <w:r w:rsidR="002F14CE">
          <w:rPr>
            <w:noProof/>
            <w:webHidden/>
          </w:rPr>
        </w:r>
        <w:r w:rsidR="002F14CE">
          <w:rPr>
            <w:noProof/>
            <w:webHidden/>
          </w:rPr>
          <w:fldChar w:fldCharType="separate"/>
        </w:r>
        <w:r w:rsidR="002F14CE">
          <w:rPr>
            <w:noProof/>
            <w:webHidden/>
          </w:rPr>
          <w:t>1</w:t>
        </w:r>
        <w:r w:rsidR="002F14CE">
          <w:rPr>
            <w:noProof/>
            <w:webHidden/>
          </w:rPr>
          <w:fldChar w:fldCharType="end"/>
        </w:r>
      </w:hyperlink>
    </w:p>
    <w:p w14:paraId="2F8477D5" w14:textId="79C2676D"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18" w:history="1">
        <w:r w:rsidRPr="00F21504">
          <w:rPr>
            <w:rStyle w:val="Hyperlink"/>
            <w:noProof/>
          </w:rPr>
          <w:t>Program Description</w:t>
        </w:r>
        <w:r>
          <w:rPr>
            <w:noProof/>
            <w:webHidden/>
          </w:rPr>
          <w:tab/>
        </w:r>
        <w:r>
          <w:rPr>
            <w:noProof/>
            <w:webHidden/>
          </w:rPr>
          <w:fldChar w:fldCharType="begin"/>
        </w:r>
        <w:r>
          <w:rPr>
            <w:noProof/>
            <w:webHidden/>
          </w:rPr>
          <w:instrText xml:space="preserve"> PAGEREF _Toc195887218 \h </w:instrText>
        </w:r>
        <w:r>
          <w:rPr>
            <w:noProof/>
            <w:webHidden/>
          </w:rPr>
        </w:r>
        <w:r>
          <w:rPr>
            <w:noProof/>
            <w:webHidden/>
          </w:rPr>
          <w:fldChar w:fldCharType="separate"/>
        </w:r>
        <w:r>
          <w:rPr>
            <w:noProof/>
            <w:webHidden/>
          </w:rPr>
          <w:t>1</w:t>
        </w:r>
        <w:r>
          <w:rPr>
            <w:noProof/>
            <w:webHidden/>
          </w:rPr>
          <w:fldChar w:fldCharType="end"/>
        </w:r>
      </w:hyperlink>
    </w:p>
    <w:p w14:paraId="07F5FCDA" w14:textId="0B5CBD4E"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19" w:history="1">
        <w:r w:rsidRPr="00F21504">
          <w:rPr>
            <w:rStyle w:val="Hyperlink"/>
            <w:noProof/>
          </w:rPr>
          <w:t>Program Savings Detail</w:t>
        </w:r>
        <w:r>
          <w:rPr>
            <w:noProof/>
            <w:webHidden/>
          </w:rPr>
          <w:tab/>
        </w:r>
        <w:r>
          <w:rPr>
            <w:noProof/>
            <w:webHidden/>
          </w:rPr>
          <w:fldChar w:fldCharType="begin"/>
        </w:r>
        <w:r>
          <w:rPr>
            <w:noProof/>
            <w:webHidden/>
          </w:rPr>
          <w:instrText xml:space="preserve"> PAGEREF _Toc195887219 \h </w:instrText>
        </w:r>
        <w:r>
          <w:rPr>
            <w:noProof/>
            <w:webHidden/>
          </w:rPr>
        </w:r>
        <w:r>
          <w:rPr>
            <w:noProof/>
            <w:webHidden/>
          </w:rPr>
          <w:fldChar w:fldCharType="separate"/>
        </w:r>
        <w:r>
          <w:rPr>
            <w:noProof/>
            <w:webHidden/>
          </w:rPr>
          <w:t>2</w:t>
        </w:r>
        <w:r>
          <w:rPr>
            <w:noProof/>
            <w:webHidden/>
          </w:rPr>
          <w:fldChar w:fldCharType="end"/>
        </w:r>
      </w:hyperlink>
    </w:p>
    <w:p w14:paraId="02F1DBD7" w14:textId="03ACB0D9"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20" w:history="1">
        <w:r w:rsidRPr="00F21504">
          <w:rPr>
            <w:rStyle w:val="Hyperlink"/>
            <w:noProof/>
          </w:rPr>
          <w:t>Program Savings by Measure</w:t>
        </w:r>
        <w:r>
          <w:rPr>
            <w:noProof/>
            <w:webHidden/>
          </w:rPr>
          <w:tab/>
        </w:r>
        <w:r>
          <w:rPr>
            <w:noProof/>
            <w:webHidden/>
          </w:rPr>
          <w:fldChar w:fldCharType="begin"/>
        </w:r>
        <w:r>
          <w:rPr>
            <w:noProof/>
            <w:webHidden/>
          </w:rPr>
          <w:instrText xml:space="preserve"> PAGEREF _Toc195887220 \h </w:instrText>
        </w:r>
        <w:r>
          <w:rPr>
            <w:noProof/>
            <w:webHidden/>
          </w:rPr>
        </w:r>
        <w:r>
          <w:rPr>
            <w:noProof/>
            <w:webHidden/>
          </w:rPr>
          <w:fldChar w:fldCharType="separate"/>
        </w:r>
        <w:r>
          <w:rPr>
            <w:noProof/>
            <w:webHidden/>
          </w:rPr>
          <w:t>2</w:t>
        </w:r>
        <w:r>
          <w:rPr>
            <w:noProof/>
            <w:webHidden/>
          </w:rPr>
          <w:fldChar w:fldCharType="end"/>
        </w:r>
      </w:hyperlink>
    </w:p>
    <w:p w14:paraId="138B73C4" w14:textId="661C6A04"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21" w:history="1">
        <w:r w:rsidRPr="00F21504">
          <w:rPr>
            <w:rStyle w:val="Hyperlink"/>
            <w:noProof/>
          </w:rPr>
          <w:t>Impact Analysis Findings and Recommendations</w:t>
        </w:r>
        <w:r>
          <w:rPr>
            <w:noProof/>
            <w:webHidden/>
          </w:rPr>
          <w:tab/>
        </w:r>
        <w:r>
          <w:rPr>
            <w:noProof/>
            <w:webHidden/>
          </w:rPr>
          <w:fldChar w:fldCharType="begin"/>
        </w:r>
        <w:r>
          <w:rPr>
            <w:noProof/>
            <w:webHidden/>
          </w:rPr>
          <w:instrText xml:space="preserve"> PAGEREF _Toc195887221 \h </w:instrText>
        </w:r>
        <w:r>
          <w:rPr>
            <w:noProof/>
            <w:webHidden/>
          </w:rPr>
        </w:r>
        <w:r>
          <w:rPr>
            <w:noProof/>
            <w:webHidden/>
          </w:rPr>
          <w:fldChar w:fldCharType="separate"/>
        </w:r>
        <w:r>
          <w:rPr>
            <w:noProof/>
            <w:webHidden/>
          </w:rPr>
          <w:t>2</w:t>
        </w:r>
        <w:r>
          <w:rPr>
            <w:noProof/>
            <w:webHidden/>
          </w:rPr>
          <w:fldChar w:fldCharType="end"/>
        </w:r>
      </w:hyperlink>
    </w:p>
    <w:p w14:paraId="67E4E392" w14:textId="21A2336F" w:rsidR="002F14CE" w:rsidRDefault="002F14CE">
      <w:pPr>
        <w:pStyle w:val="TOC2"/>
        <w:rPr>
          <w:rFonts w:asciiTheme="minorHAnsi" w:eastAsiaTheme="minorEastAsia" w:hAnsiTheme="minorHAnsi" w:cstheme="minorBidi"/>
          <w:noProof/>
          <w:kern w:val="2"/>
          <w:sz w:val="24"/>
          <w14:ligatures w14:val="standardContextual"/>
        </w:rPr>
      </w:pPr>
      <w:hyperlink w:anchor="_Toc195887222" w:history="1">
        <w:r w:rsidRPr="00F21504">
          <w:rPr>
            <w:rStyle w:val="Hyperlink"/>
            <w:noProof/>
          </w:rPr>
          <w:t>Findings and Recommendations</w:t>
        </w:r>
        <w:r>
          <w:rPr>
            <w:noProof/>
            <w:webHidden/>
          </w:rPr>
          <w:tab/>
        </w:r>
        <w:r>
          <w:rPr>
            <w:noProof/>
            <w:webHidden/>
          </w:rPr>
          <w:fldChar w:fldCharType="begin"/>
        </w:r>
        <w:r>
          <w:rPr>
            <w:noProof/>
            <w:webHidden/>
          </w:rPr>
          <w:instrText xml:space="preserve"> PAGEREF _Toc195887222 \h </w:instrText>
        </w:r>
        <w:r>
          <w:rPr>
            <w:noProof/>
            <w:webHidden/>
          </w:rPr>
        </w:r>
        <w:r>
          <w:rPr>
            <w:noProof/>
            <w:webHidden/>
          </w:rPr>
          <w:fldChar w:fldCharType="separate"/>
        </w:r>
        <w:r>
          <w:rPr>
            <w:noProof/>
            <w:webHidden/>
          </w:rPr>
          <w:t>2</w:t>
        </w:r>
        <w:r>
          <w:rPr>
            <w:noProof/>
            <w:webHidden/>
          </w:rPr>
          <w:fldChar w:fldCharType="end"/>
        </w:r>
      </w:hyperlink>
    </w:p>
    <w:p w14:paraId="52FB3FD0" w14:textId="35CDEB83"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23" w:history="1">
        <w:r w:rsidRPr="00F21504">
          <w:rPr>
            <w:rStyle w:val="Hyperlink"/>
            <w:noProof/>
          </w:rPr>
          <w:t>Appendix A. Impact Analysis Methodology</w:t>
        </w:r>
        <w:r>
          <w:rPr>
            <w:noProof/>
            <w:webHidden/>
          </w:rPr>
          <w:tab/>
        </w:r>
        <w:r>
          <w:rPr>
            <w:noProof/>
            <w:webHidden/>
          </w:rPr>
          <w:fldChar w:fldCharType="begin"/>
        </w:r>
        <w:r>
          <w:rPr>
            <w:noProof/>
            <w:webHidden/>
          </w:rPr>
          <w:instrText xml:space="preserve"> PAGEREF _Toc195887223 \h </w:instrText>
        </w:r>
        <w:r>
          <w:rPr>
            <w:noProof/>
            <w:webHidden/>
          </w:rPr>
        </w:r>
        <w:r>
          <w:rPr>
            <w:noProof/>
            <w:webHidden/>
          </w:rPr>
          <w:fldChar w:fldCharType="separate"/>
        </w:r>
        <w:r>
          <w:rPr>
            <w:noProof/>
            <w:webHidden/>
          </w:rPr>
          <w:t>A-1</w:t>
        </w:r>
        <w:r>
          <w:rPr>
            <w:noProof/>
            <w:webHidden/>
          </w:rPr>
          <w:fldChar w:fldCharType="end"/>
        </w:r>
      </w:hyperlink>
    </w:p>
    <w:p w14:paraId="0BCBFE5C" w14:textId="1808E18C"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24" w:history="1">
        <w:r w:rsidRPr="00F21504">
          <w:rPr>
            <w:rStyle w:val="Hyperlink"/>
            <w:noProof/>
          </w:rPr>
          <w:t>Appendix B. Detailed Impact Analysis Results</w:t>
        </w:r>
        <w:r>
          <w:rPr>
            <w:noProof/>
            <w:webHidden/>
          </w:rPr>
          <w:tab/>
        </w:r>
        <w:r>
          <w:rPr>
            <w:noProof/>
            <w:webHidden/>
          </w:rPr>
          <w:fldChar w:fldCharType="begin"/>
        </w:r>
        <w:r>
          <w:rPr>
            <w:noProof/>
            <w:webHidden/>
          </w:rPr>
          <w:instrText xml:space="preserve"> PAGEREF _Toc195887224 \h </w:instrText>
        </w:r>
        <w:r>
          <w:rPr>
            <w:noProof/>
            <w:webHidden/>
          </w:rPr>
        </w:r>
        <w:r>
          <w:rPr>
            <w:noProof/>
            <w:webHidden/>
          </w:rPr>
          <w:fldChar w:fldCharType="separate"/>
        </w:r>
        <w:r>
          <w:rPr>
            <w:noProof/>
            <w:webHidden/>
          </w:rPr>
          <w:t>B-1</w:t>
        </w:r>
        <w:r>
          <w:rPr>
            <w:noProof/>
            <w:webHidden/>
          </w:rPr>
          <w:fldChar w:fldCharType="end"/>
        </w:r>
      </w:hyperlink>
    </w:p>
    <w:p w14:paraId="2BE9C333" w14:textId="1D65A3EE" w:rsidR="002F14CE" w:rsidRDefault="002F14CE">
      <w:pPr>
        <w:pStyle w:val="TOC1"/>
        <w:rPr>
          <w:rFonts w:asciiTheme="minorHAnsi" w:eastAsiaTheme="minorEastAsia" w:hAnsiTheme="minorHAnsi" w:cstheme="minorBidi"/>
          <w:b w:val="0"/>
          <w:noProof/>
          <w:kern w:val="2"/>
          <w:sz w:val="24"/>
          <w14:ligatures w14:val="standardContextual"/>
        </w:rPr>
      </w:pPr>
      <w:hyperlink w:anchor="_Toc195887225" w:history="1">
        <w:r w:rsidRPr="00F21504">
          <w:rPr>
            <w:rStyle w:val="Hyperlink"/>
            <w:noProof/>
          </w:rPr>
          <w:t>Appendix C. Appendix C. Program Specific Inputs for the Illinois TRC</w:t>
        </w:r>
        <w:r>
          <w:rPr>
            <w:noProof/>
            <w:webHidden/>
          </w:rPr>
          <w:tab/>
        </w:r>
        <w:r>
          <w:rPr>
            <w:noProof/>
            <w:webHidden/>
          </w:rPr>
          <w:fldChar w:fldCharType="begin"/>
        </w:r>
        <w:r>
          <w:rPr>
            <w:noProof/>
            <w:webHidden/>
          </w:rPr>
          <w:instrText xml:space="preserve"> PAGEREF _Toc195887225 \h </w:instrText>
        </w:r>
        <w:r>
          <w:rPr>
            <w:noProof/>
            <w:webHidden/>
          </w:rPr>
        </w:r>
        <w:r>
          <w:rPr>
            <w:noProof/>
            <w:webHidden/>
          </w:rPr>
          <w:fldChar w:fldCharType="separate"/>
        </w:r>
        <w:r>
          <w:rPr>
            <w:noProof/>
            <w:webHidden/>
          </w:rPr>
          <w:t>C-1</w:t>
        </w:r>
        <w:r>
          <w:rPr>
            <w:noProof/>
            <w:webHidden/>
          </w:rPr>
          <w:fldChar w:fldCharType="end"/>
        </w:r>
      </w:hyperlink>
    </w:p>
    <w:p w14:paraId="4931F606" w14:textId="41F242B6" w:rsidR="00146DF1" w:rsidRDefault="00146DF1" w:rsidP="001636C7">
      <w:pPr>
        <w:pStyle w:val="TableofFigures"/>
      </w:pPr>
      <w:r>
        <w:rPr>
          <w:rFonts w:eastAsia="Calibri"/>
          <w:noProof/>
          <w:sz w:val="20"/>
          <w:szCs w:val="22"/>
        </w:rPr>
        <w:fldChar w:fldCharType="end"/>
      </w:r>
    </w:p>
    <w:p w14:paraId="1CB814F4" w14:textId="77777777" w:rsidR="00146DF1" w:rsidRPr="005621C7" w:rsidRDefault="00146DF1" w:rsidP="00FA7026">
      <w:pPr>
        <w:pStyle w:val="TOCHeading"/>
      </w:pPr>
      <w:r w:rsidRPr="005621C7">
        <w:t>List of Tables</w:t>
      </w:r>
      <w:r>
        <w:t>,</w:t>
      </w:r>
      <w:r w:rsidRPr="005621C7">
        <w:t xml:space="preserve"> Figures</w:t>
      </w:r>
      <w:r>
        <w:t>, and Equations</w:t>
      </w:r>
    </w:p>
    <w:p w14:paraId="2056AE6C" w14:textId="069B67EE" w:rsidR="003A565C" w:rsidRDefault="00146DF1">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5886296" w:history="1">
        <w:r w:rsidR="003A565C" w:rsidRPr="00A44734">
          <w:rPr>
            <w:rStyle w:val="Hyperlink"/>
            <w:noProof/>
          </w:rPr>
          <w:t>Table 1. 2024 Volumetric Findings Detail</w:t>
        </w:r>
        <w:r w:rsidR="003A565C">
          <w:rPr>
            <w:noProof/>
            <w:webHidden/>
          </w:rPr>
          <w:tab/>
        </w:r>
        <w:r w:rsidR="003A565C">
          <w:rPr>
            <w:noProof/>
            <w:webHidden/>
          </w:rPr>
          <w:fldChar w:fldCharType="begin"/>
        </w:r>
        <w:r w:rsidR="003A565C">
          <w:rPr>
            <w:noProof/>
            <w:webHidden/>
          </w:rPr>
          <w:instrText xml:space="preserve"> PAGEREF _Toc195886296 \h </w:instrText>
        </w:r>
        <w:r w:rsidR="003A565C">
          <w:rPr>
            <w:noProof/>
            <w:webHidden/>
          </w:rPr>
        </w:r>
        <w:r w:rsidR="003A565C">
          <w:rPr>
            <w:noProof/>
            <w:webHidden/>
          </w:rPr>
          <w:fldChar w:fldCharType="separate"/>
        </w:r>
        <w:r w:rsidR="003A565C">
          <w:rPr>
            <w:noProof/>
            <w:webHidden/>
          </w:rPr>
          <w:t>1</w:t>
        </w:r>
        <w:r w:rsidR="003A565C">
          <w:rPr>
            <w:noProof/>
            <w:webHidden/>
          </w:rPr>
          <w:fldChar w:fldCharType="end"/>
        </w:r>
      </w:hyperlink>
    </w:p>
    <w:p w14:paraId="386E3A5B" w14:textId="5D7ABB78" w:rsidR="003A565C" w:rsidRDefault="003A565C">
      <w:pPr>
        <w:pStyle w:val="TableofFigures"/>
        <w:rPr>
          <w:rFonts w:asciiTheme="minorHAnsi" w:eastAsiaTheme="minorEastAsia" w:hAnsiTheme="minorHAnsi" w:cstheme="minorBidi"/>
          <w:noProof/>
          <w:kern w:val="2"/>
          <w:sz w:val="24"/>
          <w14:ligatures w14:val="standardContextual"/>
        </w:rPr>
      </w:pPr>
      <w:hyperlink w:anchor="_Toc195886297" w:history="1">
        <w:r w:rsidRPr="00A44734">
          <w:rPr>
            <w:rStyle w:val="Hyperlink"/>
            <w:noProof/>
          </w:rPr>
          <w:t>Table 2. 2024 Annual Energy Savings Summary</w:t>
        </w:r>
        <w:r>
          <w:rPr>
            <w:noProof/>
            <w:webHidden/>
          </w:rPr>
          <w:tab/>
        </w:r>
        <w:r>
          <w:rPr>
            <w:noProof/>
            <w:webHidden/>
          </w:rPr>
          <w:fldChar w:fldCharType="begin"/>
        </w:r>
        <w:r>
          <w:rPr>
            <w:noProof/>
            <w:webHidden/>
          </w:rPr>
          <w:instrText xml:space="preserve"> PAGEREF _Toc195886297 \h </w:instrText>
        </w:r>
        <w:r>
          <w:rPr>
            <w:noProof/>
            <w:webHidden/>
          </w:rPr>
        </w:r>
        <w:r>
          <w:rPr>
            <w:noProof/>
            <w:webHidden/>
          </w:rPr>
          <w:fldChar w:fldCharType="separate"/>
        </w:r>
        <w:r>
          <w:rPr>
            <w:noProof/>
            <w:webHidden/>
          </w:rPr>
          <w:t>2</w:t>
        </w:r>
        <w:r>
          <w:rPr>
            <w:noProof/>
            <w:webHidden/>
          </w:rPr>
          <w:fldChar w:fldCharType="end"/>
        </w:r>
      </w:hyperlink>
    </w:p>
    <w:p w14:paraId="79FC340B" w14:textId="77C175B8" w:rsidR="00146DF1" w:rsidRDefault="00146DF1" w:rsidP="005618B1">
      <w:pPr>
        <w:pStyle w:val="TableofFigures"/>
      </w:pPr>
      <w:r>
        <w:fldChar w:fldCharType="end"/>
      </w:r>
    </w:p>
    <w:p w14:paraId="4D4FB453" w14:textId="07339591" w:rsidR="002F14CE" w:rsidRDefault="003A565C">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"Table_Apx" </w:instrText>
      </w:r>
      <w:r>
        <w:fldChar w:fldCharType="separate"/>
      </w:r>
      <w:hyperlink w:anchor="_Toc195887203" w:history="1">
        <w:r w:rsidR="002F14CE" w:rsidRPr="00895CBF">
          <w:rPr>
            <w:rStyle w:val="Hyperlink"/>
            <w:noProof/>
          </w:rPr>
          <w:t>Table A</w:t>
        </w:r>
        <w:r w:rsidR="002F14CE" w:rsidRPr="00895CBF">
          <w:rPr>
            <w:rStyle w:val="Hyperlink"/>
            <w:noProof/>
          </w:rPr>
          <w:noBreakHyphen/>
          <w:t>1. Gas Savings Persistence Factors</w:t>
        </w:r>
        <w:r w:rsidR="002F14CE">
          <w:rPr>
            <w:noProof/>
            <w:webHidden/>
          </w:rPr>
          <w:tab/>
        </w:r>
        <w:r w:rsidR="002F14CE">
          <w:rPr>
            <w:noProof/>
            <w:webHidden/>
          </w:rPr>
          <w:fldChar w:fldCharType="begin"/>
        </w:r>
        <w:r w:rsidR="002F14CE">
          <w:rPr>
            <w:noProof/>
            <w:webHidden/>
          </w:rPr>
          <w:instrText xml:space="preserve"> PAGEREF _Toc195887203 \h </w:instrText>
        </w:r>
        <w:r w:rsidR="002F14CE">
          <w:rPr>
            <w:noProof/>
            <w:webHidden/>
          </w:rPr>
        </w:r>
        <w:r w:rsidR="002F14CE">
          <w:rPr>
            <w:noProof/>
            <w:webHidden/>
          </w:rPr>
          <w:fldChar w:fldCharType="separate"/>
        </w:r>
        <w:r w:rsidR="002F14CE">
          <w:rPr>
            <w:noProof/>
            <w:webHidden/>
          </w:rPr>
          <w:t>A-5</w:t>
        </w:r>
        <w:r w:rsidR="002F14CE">
          <w:rPr>
            <w:noProof/>
            <w:webHidden/>
          </w:rPr>
          <w:fldChar w:fldCharType="end"/>
        </w:r>
      </w:hyperlink>
    </w:p>
    <w:p w14:paraId="05C5AED2" w14:textId="625E22C1"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04" w:history="1">
        <w:r w:rsidRPr="00895CBF">
          <w:rPr>
            <w:rStyle w:val="Hyperlink"/>
            <w:noProof/>
          </w:rPr>
          <w:t>Table A</w:t>
        </w:r>
        <w:r w:rsidRPr="00895CBF">
          <w:rPr>
            <w:rStyle w:val="Hyperlink"/>
            <w:noProof/>
          </w:rPr>
          <w:noBreakHyphen/>
          <w:t>2. 2024 Program Persistence Summary</w:t>
        </w:r>
        <w:r>
          <w:rPr>
            <w:noProof/>
            <w:webHidden/>
          </w:rPr>
          <w:tab/>
        </w:r>
        <w:r>
          <w:rPr>
            <w:noProof/>
            <w:webHidden/>
          </w:rPr>
          <w:fldChar w:fldCharType="begin"/>
        </w:r>
        <w:r>
          <w:rPr>
            <w:noProof/>
            <w:webHidden/>
          </w:rPr>
          <w:instrText xml:space="preserve"> PAGEREF _Toc195887204 \h </w:instrText>
        </w:r>
        <w:r>
          <w:rPr>
            <w:noProof/>
            <w:webHidden/>
          </w:rPr>
        </w:r>
        <w:r>
          <w:rPr>
            <w:noProof/>
            <w:webHidden/>
          </w:rPr>
          <w:fldChar w:fldCharType="separate"/>
        </w:r>
        <w:r>
          <w:rPr>
            <w:noProof/>
            <w:webHidden/>
          </w:rPr>
          <w:t>A-7</w:t>
        </w:r>
        <w:r>
          <w:rPr>
            <w:noProof/>
            <w:webHidden/>
          </w:rPr>
          <w:fldChar w:fldCharType="end"/>
        </w:r>
      </w:hyperlink>
    </w:p>
    <w:p w14:paraId="0BD05987" w14:textId="4C240887"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05" w:history="1">
        <w:r w:rsidRPr="00895CBF">
          <w:rPr>
            <w:rStyle w:val="Hyperlink"/>
            <w:noProof/>
          </w:rPr>
          <w:t>Table B</w:t>
        </w:r>
        <w:r w:rsidRPr="00895CBF">
          <w:rPr>
            <w:rStyle w:val="Hyperlink"/>
            <w:noProof/>
          </w:rPr>
          <w:noBreakHyphen/>
          <w:t>1. 2024 Savings Results</w:t>
        </w:r>
        <w:r>
          <w:rPr>
            <w:noProof/>
            <w:webHidden/>
          </w:rPr>
          <w:tab/>
        </w:r>
        <w:r>
          <w:rPr>
            <w:noProof/>
            <w:webHidden/>
          </w:rPr>
          <w:fldChar w:fldCharType="begin"/>
        </w:r>
        <w:r>
          <w:rPr>
            <w:noProof/>
            <w:webHidden/>
          </w:rPr>
          <w:instrText xml:space="preserve"> PAGEREF _Toc195887205 \h </w:instrText>
        </w:r>
        <w:r>
          <w:rPr>
            <w:noProof/>
            <w:webHidden/>
          </w:rPr>
        </w:r>
        <w:r>
          <w:rPr>
            <w:noProof/>
            <w:webHidden/>
          </w:rPr>
          <w:fldChar w:fldCharType="separate"/>
        </w:r>
        <w:r>
          <w:rPr>
            <w:noProof/>
            <w:webHidden/>
          </w:rPr>
          <w:t>B-1</w:t>
        </w:r>
        <w:r>
          <w:rPr>
            <w:noProof/>
            <w:webHidden/>
          </w:rPr>
          <w:fldChar w:fldCharType="end"/>
        </w:r>
      </w:hyperlink>
    </w:p>
    <w:p w14:paraId="53073C1A" w14:textId="1F45C497"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06" w:history="1">
        <w:r w:rsidRPr="00895CBF">
          <w:rPr>
            <w:rStyle w:val="Hyperlink"/>
            <w:noProof/>
          </w:rPr>
          <w:t>Table B</w:t>
        </w:r>
        <w:r w:rsidRPr="00895CBF">
          <w:rPr>
            <w:rStyle w:val="Hyperlink"/>
            <w:noProof/>
          </w:rPr>
          <w:noBreakHyphen/>
          <w:t>2. 2024 Uplift Adjustment Details, Wave 1 (201910)</w:t>
        </w:r>
        <w:r>
          <w:rPr>
            <w:noProof/>
            <w:webHidden/>
          </w:rPr>
          <w:tab/>
        </w:r>
        <w:r>
          <w:rPr>
            <w:noProof/>
            <w:webHidden/>
          </w:rPr>
          <w:fldChar w:fldCharType="begin"/>
        </w:r>
        <w:r>
          <w:rPr>
            <w:noProof/>
            <w:webHidden/>
          </w:rPr>
          <w:instrText xml:space="preserve"> PAGEREF _Toc195887206 \h </w:instrText>
        </w:r>
        <w:r>
          <w:rPr>
            <w:noProof/>
            <w:webHidden/>
          </w:rPr>
        </w:r>
        <w:r>
          <w:rPr>
            <w:noProof/>
            <w:webHidden/>
          </w:rPr>
          <w:fldChar w:fldCharType="separate"/>
        </w:r>
        <w:r>
          <w:rPr>
            <w:noProof/>
            <w:webHidden/>
          </w:rPr>
          <w:t>B-6</w:t>
        </w:r>
        <w:r>
          <w:rPr>
            <w:noProof/>
            <w:webHidden/>
          </w:rPr>
          <w:fldChar w:fldCharType="end"/>
        </w:r>
      </w:hyperlink>
    </w:p>
    <w:p w14:paraId="579983CA" w14:textId="63804CE7"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07" w:history="1">
        <w:r w:rsidRPr="00895CBF">
          <w:rPr>
            <w:rStyle w:val="Hyperlink"/>
            <w:noProof/>
          </w:rPr>
          <w:t>Table B</w:t>
        </w:r>
        <w:r w:rsidRPr="00895CBF">
          <w:rPr>
            <w:rStyle w:val="Hyperlink"/>
            <w:noProof/>
          </w:rPr>
          <w:noBreakHyphen/>
          <w:t>3. 2024 Uplift Adjustment Details, Wave 2 (202011)</w:t>
        </w:r>
        <w:r>
          <w:rPr>
            <w:noProof/>
            <w:webHidden/>
          </w:rPr>
          <w:tab/>
        </w:r>
        <w:r>
          <w:rPr>
            <w:noProof/>
            <w:webHidden/>
          </w:rPr>
          <w:fldChar w:fldCharType="begin"/>
        </w:r>
        <w:r>
          <w:rPr>
            <w:noProof/>
            <w:webHidden/>
          </w:rPr>
          <w:instrText xml:space="preserve"> PAGEREF _Toc195887207 \h </w:instrText>
        </w:r>
        <w:r>
          <w:rPr>
            <w:noProof/>
            <w:webHidden/>
          </w:rPr>
        </w:r>
        <w:r>
          <w:rPr>
            <w:noProof/>
            <w:webHidden/>
          </w:rPr>
          <w:fldChar w:fldCharType="separate"/>
        </w:r>
        <w:r>
          <w:rPr>
            <w:noProof/>
            <w:webHidden/>
          </w:rPr>
          <w:t>B-7</w:t>
        </w:r>
        <w:r>
          <w:rPr>
            <w:noProof/>
            <w:webHidden/>
          </w:rPr>
          <w:fldChar w:fldCharType="end"/>
        </w:r>
      </w:hyperlink>
    </w:p>
    <w:p w14:paraId="3761CE20" w14:textId="6AAD6290"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08" w:history="1">
        <w:r w:rsidRPr="00895CBF">
          <w:rPr>
            <w:rStyle w:val="Hyperlink"/>
            <w:noProof/>
          </w:rPr>
          <w:t>Table B</w:t>
        </w:r>
        <w:r w:rsidRPr="00895CBF">
          <w:rPr>
            <w:rStyle w:val="Hyperlink"/>
            <w:noProof/>
          </w:rPr>
          <w:noBreakHyphen/>
          <w:t>4. 2024 Uplift Adjustment Details, Wave 3 (202009)</w:t>
        </w:r>
        <w:r>
          <w:rPr>
            <w:noProof/>
            <w:webHidden/>
          </w:rPr>
          <w:tab/>
        </w:r>
        <w:r>
          <w:rPr>
            <w:noProof/>
            <w:webHidden/>
          </w:rPr>
          <w:fldChar w:fldCharType="begin"/>
        </w:r>
        <w:r>
          <w:rPr>
            <w:noProof/>
            <w:webHidden/>
          </w:rPr>
          <w:instrText xml:space="preserve"> PAGEREF _Toc195887208 \h </w:instrText>
        </w:r>
        <w:r>
          <w:rPr>
            <w:noProof/>
            <w:webHidden/>
          </w:rPr>
        </w:r>
        <w:r>
          <w:rPr>
            <w:noProof/>
            <w:webHidden/>
          </w:rPr>
          <w:fldChar w:fldCharType="separate"/>
        </w:r>
        <w:r>
          <w:rPr>
            <w:noProof/>
            <w:webHidden/>
          </w:rPr>
          <w:t>B-7</w:t>
        </w:r>
        <w:r>
          <w:rPr>
            <w:noProof/>
            <w:webHidden/>
          </w:rPr>
          <w:fldChar w:fldCharType="end"/>
        </w:r>
      </w:hyperlink>
    </w:p>
    <w:p w14:paraId="3E2D7120" w14:textId="21A48B41"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09" w:history="1">
        <w:r w:rsidRPr="00895CBF">
          <w:rPr>
            <w:rStyle w:val="Hyperlink"/>
            <w:noProof/>
          </w:rPr>
          <w:t>Table B</w:t>
        </w:r>
        <w:r w:rsidRPr="00895CBF">
          <w:rPr>
            <w:rStyle w:val="Hyperlink"/>
            <w:noProof/>
          </w:rPr>
          <w:noBreakHyphen/>
          <w:t>5. 2024 Uplift Adjustment Details, Wave 4 (202402)</w:t>
        </w:r>
        <w:r>
          <w:rPr>
            <w:noProof/>
            <w:webHidden/>
          </w:rPr>
          <w:tab/>
        </w:r>
        <w:r>
          <w:rPr>
            <w:noProof/>
            <w:webHidden/>
          </w:rPr>
          <w:fldChar w:fldCharType="begin"/>
        </w:r>
        <w:r>
          <w:rPr>
            <w:noProof/>
            <w:webHidden/>
          </w:rPr>
          <w:instrText xml:space="preserve"> PAGEREF _Toc195887209 \h </w:instrText>
        </w:r>
        <w:r>
          <w:rPr>
            <w:noProof/>
            <w:webHidden/>
          </w:rPr>
        </w:r>
        <w:r>
          <w:rPr>
            <w:noProof/>
            <w:webHidden/>
          </w:rPr>
          <w:fldChar w:fldCharType="separate"/>
        </w:r>
        <w:r>
          <w:rPr>
            <w:noProof/>
            <w:webHidden/>
          </w:rPr>
          <w:t>B-8</w:t>
        </w:r>
        <w:r>
          <w:rPr>
            <w:noProof/>
            <w:webHidden/>
          </w:rPr>
          <w:fldChar w:fldCharType="end"/>
        </w:r>
      </w:hyperlink>
    </w:p>
    <w:p w14:paraId="7059A7BF" w14:textId="73C58E88"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10" w:history="1">
        <w:r w:rsidRPr="00895CBF">
          <w:rPr>
            <w:rStyle w:val="Hyperlink"/>
            <w:noProof/>
          </w:rPr>
          <w:t>Table C</w:t>
        </w:r>
        <w:r w:rsidRPr="00895CBF">
          <w:rPr>
            <w:rStyle w:val="Hyperlink"/>
            <w:noProof/>
          </w:rPr>
          <w:noBreakHyphen/>
          <w:t>1. Verified Cost Effectiveness Inputs</w:t>
        </w:r>
        <w:r>
          <w:rPr>
            <w:noProof/>
            <w:webHidden/>
          </w:rPr>
          <w:tab/>
        </w:r>
        <w:r>
          <w:rPr>
            <w:noProof/>
            <w:webHidden/>
          </w:rPr>
          <w:fldChar w:fldCharType="begin"/>
        </w:r>
        <w:r>
          <w:rPr>
            <w:noProof/>
            <w:webHidden/>
          </w:rPr>
          <w:instrText xml:space="preserve"> PAGEREF _Toc195887210 \h </w:instrText>
        </w:r>
        <w:r>
          <w:rPr>
            <w:noProof/>
            <w:webHidden/>
          </w:rPr>
        </w:r>
        <w:r>
          <w:rPr>
            <w:noProof/>
            <w:webHidden/>
          </w:rPr>
          <w:fldChar w:fldCharType="separate"/>
        </w:r>
        <w:r>
          <w:rPr>
            <w:noProof/>
            <w:webHidden/>
          </w:rPr>
          <w:t>C-2</w:t>
        </w:r>
        <w:r>
          <w:rPr>
            <w:noProof/>
            <w:webHidden/>
          </w:rPr>
          <w:fldChar w:fldCharType="end"/>
        </w:r>
      </w:hyperlink>
    </w:p>
    <w:p w14:paraId="75491099" w14:textId="77777777" w:rsidR="002F14CE" w:rsidRDefault="003A565C" w:rsidP="005618B1">
      <w:pPr>
        <w:rPr>
          <w:noProof/>
        </w:rPr>
      </w:pPr>
      <w:r>
        <w:fldChar w:fldCharType="end"/>
      </w:r>
      <w:r>
        <w:fldChar w:fldCharType="begin"/>
      </w:r>
      <w:r>
        <w:instrText xml:space="preserve"> TOC \h \z \c "Figure 1" </w:instrText>
      </w:r>
      <w:r>
        <w:fldChar w:fldCharType="separate"/>
      </w:r>
    </w:p>
    <w:p w14:paraId="0F0EB22C" w14:textId="1EE5AC55"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11" w:history="1">
        <w:r w:rsidRPr="00475478">
          <w:rPr>
            <w:rStyle w:val="Hyperlink"/>
            <w:noProof/>
          </w:rPr>
          <w:t>Figure B</w:t>
        </w:r>
        <w:r w:rsidRPr="00475478">
          <w:rPr>
            <w:rStyle w:val="Hyperlink"/>
            <w:noProof/>
          </w:rPr>
          <w:noBreakHyphen/>
          <w:t>1. 2024 Percent Savings and 90% Confidence Interval, Wave 1 (201910)</w:t>
        </w:r>
        <w:r>
          <w:rPr>
            <w:noProof/>
            <w:webHidden/>
          </w:rPr>
          <w:tab/>
        </w:r>
        <w:r>
          <w:rPr>
            <w:noProof/>
            <w:webHidden/>
          </w:rPr>
          <w:fldChar w:fldCharType="begin"/>
        </w:r>
        <w:r>
          <w:rPr>
            <w:noProof/>
            <w:webHidden/>
          </w:rPr>
          <w:instrText xml:space="preserve"> PAGEREF _Toc195887211 \h </w:instrText>
        </w:r>
        <w:r>
          <w:rPr>
            <w:noProof/>
            <w:webHidden/>
          </w:rPr>
        </w:r>
        <w:r>
          <w:rPr>
            <w:noProof/>
            <w:webHidden/>
          </w:rPr>
          <w:fldChar w:fldCharType="separate"/>
        </w:r>
        <w:r>
          <w:rPr>
            <w:noProof/>
            <w:webHidden/>
          </w:rPr>
          <w:t>B-2</w:t>
        </w:r>
        <w:r>
          <w:rPr>
            <w:noProof/>
            <w:webHidden/>
          </w:rPr>
          <w:fldChar w:fldCharType="end"/>
        </w:r>
      </w:hyperlink>
    </w:p>
    <w:p w14:paraId="41D60DBD" w14:textId="24487220"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12" w:history="1">
        <w:r w:rsidRPr="00475478">
          <w:rPr>
            <w:rStyle w:val="Hyperlink"/>
            <w:noProof/>
          </w:rPr>
          <w:t>Figure B</w:t>
        </w:r>
        <w:r w:rsidRPr="00475478">
          <w:rPr>
            <w:rStyle w:val="Hyperlink"/>
            <w:noProof/>
          </w:rPr>
          <w:noBreakHyphen/>
          <w:t>2. 2024 Percent Savings and 90% Confidence Interval, Wave 2 (202011)</w:t>
        </w:r>
        <w:r>
          <w:rPr>
            <w:noProof/>
            <w:webHidden/>
          </w:rPr>
          <w:tab/>
        </w:r>
        <w:r>
          <w:rPr>
            <w:noProof/>
            <w:webHidden/>
          </w:rPr>
          <w:fldChar w:fldCharType="begin"/>
        </w:r>
        <w:r>
          <w:rPr>
            <w:noProof/>
            <w:webHidden/>
          </w:rPr>
          <w:instrText xml:space="preserve"> PAGEREF _Toc195887212 \h </w:instrText>
        </w:r>
        <w:r>
          <w:rPr>
            <w:noProof/>
            <w:webHidden/>
          </w:rPr>
        </w:r>
        <w:r>
          <w:rPr>
            <w:noProof/>
            <w:webHidden/>
          </w:rPr>
          <w:fldChar w:fldCharType="separate"/>
        </w:r>
        <w:r>
          <w:rPr>
            <w:noProof/>
            <w:webHidden/>
          </w:rPr>
          <w:t>B-3</w:t>
        </w:r>
        <w:r>
          <w:rPr>
            <w:noProof/>
            <w:webHidden/>
          </w:rPr>
          <w:fldChar w:fldCharType="end"/>
        </w:r>
      </w:hyperlink>
    </w:p>
    <w:p w14:paraId="4BD9D7A3" w14:textId="5B353526"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13" w:history="1">
        <w:r w:rsidRPr="00475478">
          <w:rPr>
            <w:rStyle w:val="Hyperlink"/>
            <w:noProof/>
          </w:rPr>
          <w:t>Figure B</w:t>
        </w:r>
        <w:r w:rsidRPr="00475478">
          <w:rPr>
            <w:rStyle w:val="Hyperlink"/>
            <w:noProof/>
          </w:rPr>
          <w:noBreakHyphen/>
          <w:t>3. 2024 Percent Savings and 90% Confidence Interval, Wave 3 (202009)</w:t>
        </w:r>
        <w:r>
          <w:rPr>
            <w:noProof/>
            <w:webHidden/>
          </w:rPr>
          <w:tab/>
        </w:r>
        <w:r>
          <w:rPr>
            <w:noProof/>
            <w:webHidden/>
          </w:rPr>
          <w:fldChar w:fldCharType="begin"/>
        </w:r>
        <w:r>
          <w:rPr>
            <w:noProof/>
            <w:webHidden/>
          </w:rPr>
          <w:instrText xml:space="preserve"> PAGEREF _Toc195887213 \h </w:instrText>
        </w:r>
        <w:r>
          <w:rPr>
            <w:noProof/>
            <w:webHidden/>
          </w:rPr>
        </w:r>
        <w:r>
          <w:rPr>
            <w:noProof/>
            <w:webHidden/>
          </w:rPr>
          <w:fldChar w:fldCharType="separate"/>
        </w:r>
        <w:r>
          <w:rPr>
            <w:noProof/>
            <w:webHidden/>
          </w:rPr>
          <w:t>B-4</w:t>
        </w:r>
        <w:r>
          <w:rPr>
            <w:noProof/>
            <w:webHidden/>
          </w:rPr>
          <w:fldChar w:fldCharType="end"/>
        </w:r>
      </w:hyperlink>
    </w:p>
    <w:p w14:paraId="7F326918" w14:textId="300B22AE" w:rsidR="002F14CE" w:rsidRDefault="002F14CE">
      <w:pPr>
        <w:pStyle w:val="TableofFigures"/>
        <w:rPr>
          <w:rFonts w:asciiTheme="minorHAnsi" w:eastAsiaTheme="minorEastAsia" w:hAnsiTheme="minorHAnsi" w:cstheme="minorBidi"/>
          <w:noProof/>
          <w:kern w:val="2"/>
          <w:sz w:val="24"/>
          <w14:ligatures w14:val="standardContextual"/>
        </w:rPr>
      </w:pPr>
      <w:hyperlink w:anchor="_Toc195887214" w:history="1">
        <w:r w:rsidRPr="00475478">
          <w:rPr>
            <w:rStyle w:val="Hyperlink"/>
            <w:noProof/>
          </w:rPr>
          <w:t>Figure B</w:t>
        </w:r>
        <w:r w:rsidRPr="00475478">
          <w:rPr>
            <w:rStyle w:val="Hyperlink"/>
            <w:noProof/>
          </w:rPr>
          <w:noBreakHyphen/>
          <w:t>4. 2024 Percent Savings and 90% Confidence Interval, Wave 4 (202402)</w:t>
        </w:r>
        <w:r>
          <w:rPr>
            <w:noProof/>
            <w:webHidden/>
          </w:rPr>
          <w:tab/>
        </w:r>
        <w:r>
          <w:rPr>
            <w:noProof/>
            <w:webHidden/>
          </w:rPr>
          <w:fldChar w:fldCharType="begin"/>
        </w:r>
        <w:r>
          <w:rPr>
            <w:noProof/>
            <w:webHidden/>
          </w:rPr>
          <w:instrText xml:space="preserve"> PAGEREF _Toc195887214 \h </w:instrText>
        </w:r>
        <w:r>
          <w:rPr>
            <w:noProof/>
            <w:webHidden/>
          </w:rPr>
        </w:r>
        <w:r>
          <w:rPr>
            <w:noProof/>
            <w:webHidden/>
          </w:rPr>
          <w:fldChar w:fldCharType="separate"/>
        </w:r>
        <w:r>
          <w:rPr>
            <w:noProof/>
            <w:webHidden/>
          </w:rPr>
          <w:t>B-5</w:t>
        </w:r>
        <w:r>
          <w:rPr>
            <w:noProof/>
            <w:webHidden/>
          </w:rPr>
          <w:fldChar w:fldCharType="end"/>
        </w:r>
      </w:hyperlink>
    </w:p>
    <w:p w14:paraId="7DEE2F76" w14:textId="60F18C25" w:rsidR="00146DF1" w:rsidRPr="005618B1" w:rsidRDefault="003A565C" w:rsidP="005618B1">
      <w:pPr>
        <w:sectPr w:rsidR="00146DF1" w:rsidRPr="005618B1" w:rsidSect="006B38AE">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359FB209" w14:textId="77777777" w:rsidR="00146DF1" w:rsidRDefault="00146DF1" w:rsidP="00FA7026">
      <w:pPr>
        <w:pStyle w:val="Heading10"/>
      </w:pPr>
      <w:bookmarkStart w:id="1" w:name="_Toc195887217"/>
      <w:r>
        <w:lastRenderedPageBreak/>
        <w:t>Introduction</w:t>
      </w:r>
      <w:bookmarkEnd w:id="1"/>
    </w:p>
    <w:p w14:paraId="216852AA" w14:textId="77777777" w:rsidR="005900A1" w:rsidRDefault="005900A1" w:rsidP="005900A1">
      <w:r w:rsidRPr="0062325C">
        <w:t>This report presents the results of the impact evaluation of the Nicor Gas Home Energy Report (HER) Program</w:t>
      </w:r>
      <w:r>
        <w:t>,</w:t>
      </w:r>
      <w:r w:rsidRPr="0062325C">
        <w:t xml:space="preserve"> including a summary of the energy impacts for the total program</w:t>
      </w:r>
      <w:r>
        <w:t>, as well as r</w:t>
      </w:r>
      <w:r w:rsidRPr="0062325C">
        <w:t xml:space="preserve">elevant </w:t>
      </w:r>
      <w:r>
        <w:t>wave</w:t>
      </w:r>
      <w:r w:rsidRPr="0062325C">
        <w:t xml:space="preserve"> and program structure details. The appendices provide the impact analysis methodology and details of the total resource cost (TRC) inputs. Program year 202</w:t>
      </w:r>
      <w:r>
        <w:t>4</w:t>
      </w:r>
      <w:r w:rsidRPr="0062325C">
        <w:t xml:space="preserve"> covers January 1, </w:t>
      </w:r>
      <w:proofErr w:type="gramStart"/>
      <w:r w:rsidRPr="0062325C">
        <w:t>202</w:t>
      </w:r>
      <w:r>
        <w:t>4</w:t>
      </w:r>
      <w:proofErr w:type="gramEnd"/>
      <w:r w:rsidRPr="0062325C">
        <w:t xml:space="preserve"> through December 31, 202</w:t>
      </w:r>
      <w:r>
        <w:t>4</w:t>
      </w:r>
      <w:r w:rsidRPr="0062325C">
        <w:t>.</w:t>
      </w:r>
    </w:p>
    <w:p w14:paraId="4A7DD9F6" w14:textId="77777777" w:rsidR="00146DF1" w:rsidRPr="00A324A4" w:rsidRDefault="00146DF1" w:rsidP="00A324A4">
      <w:pPr>
        <w:pStyle w:val="GHBodytext"/>
      </w:pPr>
    </w:p>
    <w:p w14:paraId="591F9246" w14:textId="77777777" w:rsidR="00146DF1" w:rsidRDefault="00146DF1" w:rsidP="00FA7026">
      <w:pPr>
        <w:pStyle w:val="Heading10"/>
      </w:pPr>
      <w:bookmarkStart w:id="2" w:name="_Toc241481251"/>
      <w:bookmarkStart w:id="3" w:name="_Toc255776003"/>
      <w:bookmarkStart w:id="4" w:name="_Toc195887218"/>
      <w:r>
        <w:t>Program Description</w:t>
      </w:r>
      <w:bookmarkEnd w:id="4"/>
    </w:p>
    <w:p w14:paraId="7196E586" w14:textId="77777777" w:rsidR="00EE614F" w:rsidRDefault="00EE614F" w:rsidP="00007D67">
      <w:bookmarkStart w:id="5" w:name="_Hlk500573405"/>
      <w:bookmarkStart w:id="6" w:name="_Ref38883149"/>
      <w:bookmarkStart w:id="7" w:name="_Toc38883092"/>
      <w:r>
        <w:t>The HER Program is designed to generate energy savings by providing residential customers with information about energy use and conservation strategies. Program participants receive information from regularly mailed and emailed home energy reports, including:</w:t>
      </w:r>
    </w:p>
    <w:p w14:paraId="44F04103" w14:textId="77777777" w:rsidR="00EE614F" w:rsidRDefault="00EE614F" w:rsidP="00007D67">
      <w:pPr>
        <w:pStyle w:val="ListParagraph"/>
        <w:numPr>
          <w:ilvl w:val="0"/>
          <w:numId w:val="60"/>
        </w:numPr>
      </w:pPr>
      <w:r>
        <w:t>Assessment of how their recent energy use compares to their past energy use</w:t>
      </w:r>
    </w:p>
    <w:p w14:paraId="4FFAE954" w14:textId="77777777" w:rsidR="00EE614F" w:rsidRDefault="00EE614F" w:rsidP="00007D67">
      <w:pPr>
        <w:pStyle w:val="ListParagraph"/>
        <w:numPr>
          <w:ilvl w:val="0"/>
          <w:numId w:val="60"/>
        </w:numPr>
      </w:pPr>
      <w:r>
        <w:t>Tips on how to reduce energy consumption, some of which are tailored to the customer’s circumstances</w:t>
      </w:r>
    </w:p>
    <w:p w14:paraId="67D6222A" w14:textId="77777777" w:rsidR="00EE614F" w:rsidRPr="007D6E16" w:rsidRDefault="00EE614F" w:rsidP="00007D67">
      <w:pPr>
        <w:pStyle w:val="ListParagraph"/>
        <w:numPr>
          <w:ilvl w:val="0"/>
          <w:numId w:val="60"/>
        </w:numPr>
      </w:pPr>
      <w:r>
        <w:t>Information on how their energy use compares to that of neighbors with similar homes</w:t>
      </w:r>
    </w:p>
    <w:p w14:paraId="499D3BA0" w14:textId="0D1DD914" w:rsidR="00EE614F" w:rsidRPr="004A1129" w:rsidRDefault="00EE614F" w:rsidP="00EE614F">
      <w:r>
        <w:t xml:space="preserve">An important feature of the Nicor Gas HER program is that it is designed as a randomized controlled trial (RCT). To estimate changes in </w:t>
      </w:r>
      <w:proofErr w:type="gramStart"/>
      <w:r>
        <w:t>energy</w:t>
      </w:r>
      <w:proofErr w:type="gramEnd"/>
      <w:r>
        <w:t xml:space="preserve"> use due to the program, customers in each target group of residential customers were randomly assigned to either the recipient group or the control (non-recipient) group.</w:t>
      </w:r>
      <w:r>
        <w:rPr>
          <w:rStyle w:val="CommentReference"/>
        </w:rPr>
        <w:t xml:space="preserve"> </w:t>
      </w:r>
      <w:r>
        <w:t xml:space="preserve">Customers may opt </w:t>
      </w:r>
      <w:r w:rsidRPr="00C33DAA">
        <w:rPr>
          <w:i/>
        </w:rPr>
        <w:t>out</w:t>
      </w:r>
      <w:r>
        <w:t xml:space="preserve"> of the program at any time but cannot opt </w:t>
      </w:r>
      <w:r w:rsidRPr="00C33DAA">
        <w:rPr>
          <w:i/>
        </w:rPr>
        <w:t>in</w:t>
      </w:r>
      <w:r>
        <w:t xml:space="preserve"> due to the RCT design. An implication of the RCT design is that the savings estimates are intrinsically net of free-ridership and most spillover bias. </w:t>
      </w:r>
    </w:p>
    <w:p w14:paraId="148BF3C8" w14:textId="21172AA4" w:rsidR="00EE614F" w:rsidRPr="0062325C" w:rsidRDefault="00EE614F" w:rsidP="00007D67">
      <w:r w:rsidRPr="00FC75E5">
        <w:rPr>
          <w:rFonts w:cs="Arial"/>
          <w:color w:val="000000"/>
          <w:szCs w:val="22"/>
        </w:rPr>
        <w:t xml:space="preserve">The </w:t>
      </w:r>
      <w:r w:rsidRPr="00FA03A3">
        <w:rPr>
          <w:rFonts w:cs="Arial"/>
          <w:color w:val="000000"/>
          <w:szCs w:val="22"/>
        </w:rPr>
        <w:t>Nicor Gas HER program include</w:t>
      </w:r>
      <w:r>
        <w:rPr>
          <w:rFonts w:cs="Arial"/>
          <w:color w:val="000000"/>
          <w:szCs w:val="22"/>
        </w:rPr>
        <w:t>d</w:t>
      </w:r>
      <w:r w:rsidRPr="00FA03A3">
        <w:rPr>
          <w:rFonts w:cs="Arial"/>
          <w:color w:val="000000"/>
          <w:szCs w:val="22"/>
        </w:rPr>
        <w:t xml:space="preserve"> </w:t>
      </w:r>
      <w:r>
        <w:rPr>
          <w:rFonts w:cs="Arial"/>
          <w:color w:val="000000"/>
          <w:szCs w:val="22"/>
        </w:rPr>
        <w:t>four</w:t>
      </w:r>
      <w:r w:rsidRPr="00FA03A3">
        <w:rPr>
          <w:rFonts w:cs="Arial"/>
          <w:color w:val="000000"/>
          <w:szCs w:val="22"/>
        </w:rPr>
        <w:t xml:space="preserve"> waves in 202</w:t>
      </w:r>
      <w:r>
        <w:rPr>
          <w:rFonts w:cs="Arial"/>
          <w:color w:val="000000"/>
          <w:szCs w:val="22"/>
        </w:rPr>
        <w:t>4</w:t>
      </w:r>
      <w:r w:rsidRPr="00FA03A3">
        <w:rPr>
          <w:rFonts w:cs="Arial"/>
          <w:color w:val="000000"/>
          <w:szCs w:val="22"/>
        </w:rPr>
        <w:t xml:space="preserve">. Wave 1 was launched in October 2019, Wave 2 </w:t>
      </w:r>
      <w:r>
        <w:rPr>
          <w:rFonts w:cs="Arial"/>
          <w:color w:val="000000"/>
          <w:szCs w:val="22"/>
        </w:rPr>
        <w:t xml:space="preserve">and Wave 3 were both created in September </w:t>
      </w:r>
      <w:proofErr w:type="gramStart"/>
      <w:r>
        <w:rPr>
          <w:rFonts w:cs="Arial"/>
          <w:color w:val="000000"/>
          <w:szCs w:val="22"/>
        </w:rPr>
        <w:t>2020</w:t>
      </w:r>
      <w:proofErr w:type="gramEnd"/>
      <w:r>
        <w:rPr>
          <w:rFonts w:cs="Arial"/>
          <w:color w:val="000000"/>
          <w:szCs w:val="22"/>
        </w:rPr>
        <w:t xml:space="preserve"> but customers did not receive their first report until November 2020 and April 2021, respectively.</w:t>
      </w:r>
      <w:bookmarkStart w:id="8" w:name="_Ref169866973"/>
      <w:r>
        <w:rPr>
          <w:rStyle w:val="FootnoteReference"/>
          <w:rFonts w:cs="Arial"/>
          <w:szCs w:val="22"/>
        </w:rPr>
        <w:footnoteReference w:id="2"/>
      </w:r>
      <w:bookmarkEnd w:id="8"/>
      <w:r>
        <w:rPr>
          <w:rFonts w:cs="Arial"/>
          <w:color w:val="000000"/>
          <w:szCs w:val="22"/>
        </w:rPr>
        <w:t xml:space="preserve"> Wave 4 was launched in February 2024. </w:t>
      </w:r>
      <w:r>
        <w:rPr>
          <w:rFonts w:cs="Arial"/>
          <w:color w:val="000000"/>
          <w:szCs w:val="22"/>
        </w:rPr>
        <w:fldChar w:fldCharType="begin"/>
      </w:r>
      <w:r>
        <w:rPr>
          <w:rFonts w:cs="Arial"/>
          <w:color w:val="000000"/>
          <w:szCs w:val="22"/>
        </w:rPr>
        <w:instrText xml:space="preserve"> REF _Ref195736058 \h </w:instrText>
      </w:r>
      <w:r w:rsidR="00007D67">
        <w:rPr>
          <w:rFonts w:cs="Arial"/>
          <w:color w:val="000000"/>
          <w:szCs w:val="22"/>
        </w:rPr>
        <w:instrText xml:space="preserve"> \* MERGEFORMAT </w:instrText>
      </w:r>
      <w:r>
        <w:rPr>
          <w:rFonts w:cs="Arial"/>
          <w:color w:val="000000"/>
          <w:szCs w:val="22"/>
        </w:rPr>
      </w:r>
      <w:r>
        <w:rPr>
          <w:rFonts w:cs="Arial"/>
          <w:color w:val="000000"/>
          <w:szCs w:val="22"/>
        </w:rPr>
        <w:fldChar w:fldCharType="separate"/>
      </w:r>
      <w:r w:rsidR="00004A03">
        <w:t xml:space="preserve">Table </w:t>
      </w:r>
      <w:r w:rsidR="00004A03">
        <w:rPr>
          <w:noProof/>
        </w:rPr>
        <w:t>1</w:t>
      </w:r>
      <w:r>
        <w:rPr>
          <w:rFonts w:cs="Arial"/>
          <w:color w:val="000000"/>
          <w:szCs w:val="22"/>
        </w:rPr>
        <w:fldChar w:fldCharType="end"/>
      </w:r>
      <w:r>
        <w:rPr>
          <w:rFonts w:cs="Arial"/>
          <w:color w:val="000000"/>
          <w:szCs w:val="22"/>
        </w:rPr>
        <w:t xml:space="preserve"> </w:t>
      </w:r>
      <w:r>
        <w:t>shows active accounts at the beginning of the evaluation period, January 2024, for Waves 1 through 4.</w:t>
      </w:r>
    </w:p>
    <w:p w14:paraId="5028C10F" w14:textId="60F78FAA" w:rsidR="00146DF1" w:rsidRDefault="00146DF1" w:rsidP="004F0F97">
      <w:r>
        <w:t xml:space="preserve">The program had </w:t>
      </w:r>
      <w:r w:rsidR="00EE614F" w:rsidRPr="00EE614F">
        <w:t>541,890</w:t>
      </w:r>
      <w:r>
        <w:t xml:space="preserve"> </w:t>
      </w:r>
      <w:r w:rsidR="00EE614F">
        <w:t xml:space="preserve">total </w:t>
      </w:r>
      <w:r>
        <w:t xml:space="preserve">participants in 2024. </w:t>
      </w:r>
    </w:p>
    <w:p w14:paraId="33E8D97E" w14:textId="24E14A63" w:rsidR="00146DF1" w:rsidRDefault="00146DF1" w:rsidP="008B6764">
      <w:pPr>
        <w:pStyle w:val="Caption"/>
      </w:pPr>
      <w:bookmarkStart w:id="9" w:name="_Ref195736058"/>
      <w:bookmarkStart w:id="10" w:name="_Toc195886296"/>
      <w:bookmarkEnd w:id="5"/>
      <w:bookmarkEnd w:id="6"/>
      <w:r>
        <w:t xml:space="preserve">Table </w:t>
      </w:r>
      <w:r>
        <w:fldChar w:fldCharType="begin"/>
      </w:r>
      <w:r>
        <w:instrText xml:space="preserve"> SEQ Table \* ARABIC </w:instrText>
      </w:r>
      <w:r>
        <w:fldChar w:fldCharType="separate"/>
      </w:r>
      <w:r w:rsidR="00004A03">
        <w:rPr>
          <w:noProof/>
        </w:rPr>
        <w:t>1</w:t>
      </w:r>
      <w:r>
        <w:fldChar w:fldCharType="end"/>
      </w:r>
      <w:bookmarkEnd w:id="9"/>
      <w:r w:rsidRPr="00F7087A">
        <w:t>.</w:t>
      </w:r>
      <w:r>
        <w:t xml:space="preserve"> 2024 </w:t>
      </w:r>
      <w:r w:rsidRPr="005C2837">
        <w:t>Volumetric</w:t>
      </w:r>
      <w:r>
        <w:t xml:space="preserve"> Findings Detail</w:t>
      </w:r>
      <w:bookmarkStart w:id="11" w:name="Table_1"/>
      <w:bookmarkEnd w:id="7"/>
      <w:bookmarkEnd w:id="10"/>
      <w:bookmarkEnd w:id="11"/>
    </w:p>
    <w:tbl>
      <w:tblPr>
        <w:tblW w:w="5971" w:type="dxa"/>
        <w:jc w:val="center"/>
        <w:tblLook w:val="04A0" w:firstRow="1" w:lastRow="0" w:firstColumn="1" w:lastColumn="0" w:noHBand="0" w:noVBand="1"/>
      </w:tblPr>
      <w:tblGrid>
        <w:gridCol w:w="1620"/>
        <w:gridCol w:w="2520"/>
        <w:gridCol w:w="1831"/>
      </w:tblGrid>
      <w:tr w:rsidR="00EB1AD3" w:rsidRPr="00EB1AD3" w14:paraId="53C924A3" w14:textId="77777777" w:rsidTr="00EB1A5F">
        <w:trPr>
          <w:trHeight w:val="315"/>
          <w:jc w:val="center"/>
        </w:trPr>
        <w:tc>
          <w:tcPr>
            <w:tcW w:w="1620" w:type="dxa"/>
            <w:tcBorders>
              <w:top w:val="nil"/>
              <w:left w:val="nil"/>
              <w:bottom w:val="single" w:sz="12" w:space="0" w:color="95D600"/>
              <w:right w:val="nil"/>
            </w:tcBorders>
            <w:shd w:val="clear" w:color="000000" w:fill="036479"/>
            <w:vAlign w:val="center"/>
            <w:hideMark/>
          </w:tcPr>
          <w:p w14:paraId="5F76DD5F" w14:textId="77777777" w:rsidR="00EB1AD3" w:rsidRPr="00EB1AD3" w:rsidRDefault="00EB1AD3" w:rsidP="00EB1AD3">
            <w:pPr>
              <w:suppressAutoHyphens w:val="0"/>
              <w:autoSpaceDN/>
              <w:spacing w:before="0" w:after="0"/>
              <w:rPr>
                <w:rFonts w:ascii="Arial Narrow" w:hAnsi="Arial Narrow" w:cs="Calibri"/>
                <w:b/>
                <w:bCs/>
                <w:color w:val="FFFFFF"/>
                <w:sz w:val="20"/>
                <w:szCs w:val="20"/>
              </w:rPr>
            </w:pPr>
            <w:r w:rsidRPr="00EB1AD3">
              <w:rPr>
                <w:rFonts w:ascii="Arial Narrow" w:hAnsi="Arial Narrow" w:cs="Calibri"/>
                <w:b/>
                <w:bCs/>
                <w:color w:val="FFFFFF"/>
                <w:sz w:val="20"/>
                <w:szCs w:val="20"/>
              </w:rPr>
              <w:t>Wave</w:t>
            </w:r>
          </w:p>
        </w:tc>
        <w:tc>
          <w:tcPr>
            <w:tcW w:w="2520" w:type="dxa"/>
            <w:tcBorders>
              <w:top w:val="nil"/>
              <w:left w:val="nil"/>
              <w:bottom w:val="single" w:sz="12" w:space="0" w:color="95D600"/>
              <w:right w:val="nil"/>
            </w:tcBorders>
            <w:shd w:val="clear" w:color="000000" w:fill="036479"/>
            <w:vAlign w:val="center"/>
            <w:hideMark/>
          </w:tcPr>
          <w:p w14:paraId="6E176CFC" w14:textId="77777777" w:rsidR="00EB1AD3" w:rsidRPr="00EB1AD3" w:rsidRDefault="00EB1AD3" w:rsidP="00EB1AD3">
            <w:pPr>
              <w:suppressAutoHyphens w:val="0"/>
              <w:autoSpaceDN/>
              <w:spacing w:before="0" w:after="0"/>
              <w:jc w:val="right"/>
              <w:rPr>
                <w:rFonts w:ascii="Arial Narrow" w:hAnsi="Arial Narrow" w:cs="Calibri"/>
                <w:b/>
                <w:bCs/>
                <w:color w:val="FFFFFF"/>
                <w:sz w:val="20"/>
                <w:szCs w:val="20"/>
              </w:rPr>
            </w:pPr>
            <w:r w:rsidRPr="00EB1AD3">
              <w:rPr>
                <w:rFonts w:ascii="Arial Narrow" w:hAnsi="Arial Narrow" w:cs="Calibri"/>
                <w:b/>
                <w:bCs/>
                <w:color w:val="FFFFFF"/>
                <w:sz w:val="20"/>
                <w:szCs w:val="20"/>
              </w:rPr>
              <w:t>Participant Count</w:t>
            </w:r>
          </w:p>
        </w:tc>
        <w:tc>
          <w:tcPr>
            <w:tcW w:w="1831" w:type="dxa"/>
            <w:tcBorders>
              <w:top w:val="nil"/>
              <w:left w:val="nil"/>
              <w:bottom w:val="single" w:sz="12" w:space="0" w:color="95D600"/>
              <w:right w:val="nil"/>
            </w:tcBorders>
            <w:shd w:val="clear" w:color="000000" w:fill="036479"/>
            <w:vAlign w:val="center"/>
            <w:hideMark/>
          </w:tcPr>
          <w:p w14:paraId="13BCF9D5" w14:textId="77777777" w:rsidR="00EB1AD3" w:rsidRPr="00EB1AD3" w:rsidRDefault="00EB1AD3" w:rsidP="00EB1AD3">
            <w:pPr>
              <w:suppressAutoHyphens w:val="0"/>
              <w:autoSpaceDN/>
              <w:spacing w:before="0" w:after="0"/>
              <w:jc w:val="right"/>
              <w:rPr>
                <w:rFonts w:ascii="Arial Narrow" w:hAnsi="Arial Narrow" w:cs="Calibri"/>
                <w:b/>
                <w:bCs/>
                <w:color w:val="FFFFFF"/>
                <w:sz w:val="20"/>
                <w:szCs w:val="20"/>
              </w:rPr>
            </w:pPr>
            <w:r w:rsidRPr="00EB1AD3">
              <w:rPr>
                <w:rFonts w:ascii="Arial Narrow" w:hAnsi="Arial Narrow" w:cs="Calibri"/>
                <w:b/>
                <w:bCs/>
                <w:color w:val="FFFFFF"/>
                <w:sz w:val="20"/>
                <w:szCs w:val="20"/>
              </w:rPr>
              <w:t>Control Count</w:t>
            </w:r>
          </w:p>
        </w:tc>
      </w:tr>
      <w:tr w:rsidR="00EB1AD3" w:rsidRPr="00EB1AD3" w14:paraId="2C171426" w14:textId="77777777" w:rsidTr="00EB1A5F">
        <w:trPr>
          <w:trHeight w:val="330"/>
          <w:jc w:val="center"/>
        </w:trPr>
        <w:tc>
          <w:tcPr>
            <w:tcW w:w="1620" w:type="dxa"/>
            <w:tcBorders>
              <w:top w:val="nil"/>
              <w:left w:val="nil"/>
              <w:bottom w:val="single" w:sz="8" w:space="0" w:color="B3EFFD"/>
              <w:right w:val="nil"/>
            </w:tcBorders>
            <w:shd w:val="clear" w:color="000000" w:fill="FFFFFF"/>
            <w:vAlign w:val="center"/>
            <w:hideMark/>
          </w:tcPr>
          <w:p w14:paraId="668F6D42" w14:textId="77777777" w:rsidR="00EB1AD3" w:rsidRPr="00EB1AD3" w:rsidRDefault="00EB1AD3" w:rsidP="00EB1AD3">
            <w:pPr>
              <w:suppressAutoHyphens w:val="0"/>
              <w:autoSpaceDN/>
              <w:spacing w:before="0" w:after="0"/>
              <w:rPr>
                <w:rFonts w:ascii="Arial Narrow" w:hAnsi="Arial Narrow" w:cs="Calibri"/>
                <w:color w:val="000000"/>
                <w:sz w:val="20"/>
                <w:szCs w:val="20"/>
              </w:rPr>
            </w:pPr>
            <w:r w:rsidRPr="00EB1AD3">
              <w:rPr>
                <w:rFonts w:ascii="Arial Narrow" w:hAnsi="Arial Narrow" w:cs="Calibri"/>
                <w:color w:val="000000"/>
                <w:sz w:val="20"/>
                <w:szCs w:val="20"/>
              </w:rPr>
              <w:t>Wave 1 (201910)</w:t>
            </w:r>
          </w:p>
        </w:tc>
        <w:tc>
          <w:tcPr>
            <w:tcW w:w="2520" w:type="dxa"/>
            <w:tcBorders>
              <w:top w:val="nil"/>
              <w:left w:val="nil"/>
              <w:bottom w:val="single" w:sz="8" w:space="0" w:color="B3EFFD"/>
              <w:right w:val="nil"/>
            </w:tcBorders>
            <w:shd w:val="clear" w:color="000000" w:fill="FFFFFF"/>
            <w:vAlign w:val="center"/>
            <w:hideMark/>
          </w:tcPr>
          <w:p w14:paraId="275F7A55"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120,533 </w:t>
            </w:r>
          </w:p>
        </w:tc>
        <w:tc>
          <w:tcPr>
            <w:tcW w:w="1831" w:type="dxa"/>
            <w:tcBorders>
              <w:top w:val="nil"/>
              <w:left w:val="nil"/>
              <w:bottom w:val="single" w:sz="8" w:space="0" w:color="B3EFFD"/>
              <w:right w:val="nil"/>
            </w:tcBorders>
            <w:shd w:val="clear" w:color="000000" w:fill="FFFFFF"/>
            <w:vAlign w:val="center"/>
            <w:hideMark/>
          </w:tcPr>
          <w:p w14:paraId="14E4E44D"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35,101 </w:t>
            </w:r>
          </w:p>
        </w:tc>
      </w:tr>
      <w:tr w:rsidR="00EB1AD3" w:rsidRPr="00EB1AD3" w14:paraId="05AD1BDF" w14:textId="77777777" w:rsidTr="00EB1A5F">
        <w:trPr>
          <w:trHeight w:val="315"/>
          <w:jc w:val="center"/>
        </w:trPr>
        <w:tc>
          <w:tcPr>
            <w:tcW w:w="1620" w:type="dxa"/>
            <w:tcBorders>
              <w:top w:val="nil"/>
              <w:left w:val="nil"/>
              <w:bottom w:val="single" w:sz="8" w:space="0" w:color="B3EFFD"/>
              <w:right w:val="nil"/>
            </w:tcBorders>
            <w:shd w:val="clear" w:color="000000" w:fill="FFFFFF"/>
            <w:vAlign w:val="center"/>
            <w:hideMark/>
          </w:tcPr>
          <w:p w14:paraId="0C6CB5CC" w14:textId="77777777" w:rsidR="00EB1AD3" w:rsidRPr="00EB1AD3" w:rsidRDefault="00EB1AD3" w:rsidP="00EB1AD3">
            <w:pPr>
              <w:suppressAutoHyphens w:val="0"/>
              <w:autoSpaceDN/>
              <w:spacing w:before="0" w:after="0"/>
              <w:rPr>
                <w:rFonts w:ascii="Arial Narrow" w:hAnsi="Arial Narrow" w:cs="Calibri"/>
                <w:color w:val="000000"/>
                <w:sz w:val="20"/>
                <w:szCs w:val="20"/>
              </w:rPr>
            </w:pPr>
            <w:r w:rsidRPr="00EB1AD3">
              <w:rPr>
                <w:rFonts w:ascii="Arial Narrow" w:hAnsi="Arial Narrow" w:cs="Calibri"/>
                <w:color w:val="000000"/>
                <w:sz w:val="20"/>
                <w:szCs w:val="20"/>
              </w:rPr>
              <w:t>Wave 2 (202011)</w:t>
            </w:r>
          </w:p>
        </w:tc>
        <w:tc>
          <w:tcPr>
            <w:tcW w:w="2520" w:type="dxa"/>
            <w:tcBorders>
              <w:top w:val="nil"/>
              <w:left w:val="nil"/>
              <w:bottom w:val="single" w:sz="8" w:space="0" w:color="B3EFFD"/>
              <w:right w:val="nil"/>
            </w:tcBorders>
            <w:shd w:val="clear" w:color="000000" w:fill="FFFFFF"/>
            <w:vAlign w:val="center"/>
            <w:hideMark/>
          </w:tcPr>
          <w:p w14:paraId="41870B3B"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176,659 </w:t>
            </w:r>
          </w:p>
        </w:tc>
        <w:tc>
          <w:tcPr>
            <w:tcW w:w="1831" w:type="dxa"/>
            <w:tcBorders>
              <w:top w:val="nil"/>
              <w:left w:val="nil"/>
              <w:bottom w:val="single" w:sz="8" w:space="0" w:color="B3EFFD"/>
              <w:right w:val="nil"/>
            </w:tcBorders>
            <w:shd w:val="clear" w:color="000000" w:fill="FFFFFF"/>
            <w:vAlign w:val="center"/>
            <w:hideMark/>
          </w:tcPr>
          <w:p w14:paraId="74C6B225"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58,940 </w:t>
            </w:r>
          </w:p>
        </w:tc>
      </w:tr>
      <w:tr w:rsidR="00EB1AD3" w:rsidRPr="00EB1AD3" w14:paraId="0D9D66AD" w14:textId="77777777" w:rsidTr="00EB1A5F">
        <w:trPr>
          <w:trHeight w:val="315"/>
          <w:jc w:val="center"/>
        </w:trPr>
        <w:tc>
          <w:tcPr>
            <w:tcW w:w="1620" w:type="dxa"/>
            <w:tcBorders>
              <w:top w:val="nil"/>
              <w:left w:val="nil"/>
              <w:bottom w:val="single" w:sz="8" w:space="0" w:color="B3EFFD"/>
              <w:right w:val="nil"/>
            </w:tcBorders>
            <w:shd w:val="clear" w:color="000000" w:fill="FFFFFF"/>
            <w:vAlign w:val="center"/>
            <w:hideMark/>
          </w:tcPr>
          <w:p w14:paraId="5D12F92D" w14:textId="77777777" w:rsidR="00EB1AD3" w:rsidRPr="00EB1AD3" w:rsidRDefault="00EB1AD3" w:rsidP="00EB1AD3">
            <w:pPr>
              <w:suppressAutoHyphens w:val="0"/>
              <w:autoSpaceDN/>
              <w:spacing w:before="0" w:after="0"/>
              <w:rPr>
                <w:rFonts w:ascii="Arial Narrow" w:hAnsi="Arial Narrow" w:cs="Calibri"/>
                <w:color w:val="000000"/>
                <w:sz w:val="20"/>
                <w:szCs w:val="20"/>
              </w:rPr>
            </w:pPr>
            <w:r w:rsidRPr="00EB1AD3">
              <w:rPr>
                <w:rFonts w:ascii="Arial Narrow" w:hAnsi="Arial Narrow" w:cs="Calibri"/>
                <w:color w:val="000000"/>
                <w:sz w:val="20"/>
                <w:szCs w:val="20"/>
              </w:rPr>
              <w:t>Wave 3 (202009)</w:t>
            </w:r>
          </w:p>
        </w:tc>
        <w:tc>
          <w:tcPr>
            <w:tcW w:w="2520" w:type="dxa"/>
            <w:tcBorders>
              <w:top w:val="nil"/>
              <w:left w:val="nil"/>
              <w:bottom w:val="single" w:sz="8" w:space="0" w:color="B3EFFD"/>
              <w:right w:val="nil"/>
            </w:tcBorders>
            <w:shd w:val="clear" w:color="000000" w:fill="FFFFFF"/>
            <w:vAlign w:val="center"/>
            <w:hideMark/>
          </w:tcPr>
          <w:p w14:paraId="3BEE11E8"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165,948 </w:t>
            </w:r>
          </w:p>
        </w:tc>
        <w:tc>
          <w:tcPr>
            <w:tcW w:w="1831" w:type="dxa"/>
            <w:tcBorders>
              <w:top w:val="nil"/>
              <w:left w:val="nil"/>
              <w:bottom w:val="single" w:sz="8" w:space="0" w:color="B3EFFD"/>
              <w:right w:val="nil"/>
            </w:tcBorders>
            <w:shd w:val="clear" w:color="000000" w:fill="FFFFFF"/>
            <w:vAlign w:val="center"/>
            <w:hideMark/>
          </w:tcPr>
          <w:p w14:paraId="3731D3F6"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55,323 </w:t>
            </w:r>
          </w:p>
        </w:tc>
      </w:tr>
      <w:tr w:rsidR="00EB1AD3" w:rsidRPr="00EB1AD3" w14:paraId="54D49BAA" w14:textId="77777777" w:rsidTr="00EB1A5F">
        <w:trPr>
          <w:trHeight w:val="315"/>
          <w:jc w:val="center"/>
        </w:trPr>
        <w:tc>
          <w:tcPr>
            <w:tcW w:w="1620" w:type="dxa"/>
            <w:tcBorders>
              <w:top w:val="nil"/>
              <w:left w:val="nil"/>
              <w:bottom w:val="single" w:sz="8" w:space="0" w:color="B3EFFD"/>
              <w:right w:val="nil"/>
            </w:tcBorders>
            <w:shd w:val="clear" w:color="000000" w:fill="FFFFFF"/>
            <w:vAlign w:val="center"/>
            <w:hideMark/>
          </w:tcPr>
          <w:p w14:paraId="6A78BA4F" w14:textId="77777777" w:rsidR="00EB1AD3" w:rsidRPr="00EB1AD3" w:rsidRDefault="00EB1AD3" w:rsidP="00EB1AD3">
            <w:pPr>
              <w:suppressAutoHyphens w:val="0"/>
              <w:autoSpaceDN/>
              <w:spacing w:before="0" w:after="0"/>
              <w:rPr>
                <w:rFonts w:ascii="Arial Narrow" w:hAnsi="Arial Narrow" w:cs="Calibri"/>
                <w:color w:val="000000"/>
                <w:sz w:val="20"/>
                <w:szCs w:val="20"/>
              </w:rPr>
            </w:pPr>
            <w:r w:rsidRPr="00EB1AD3">
              <w:rPr>
                <w:rFonts w:ascii="Arial Narrow" w:hAnsi="Arial Narrow" w:cs="Calibri"/>
                <w:color w:val="000000"/>
                <w:sz w:val="20"/>
                <w:szCs w:val="20"/>
              </w:rPr>
              <w:t>Wave 4 (202402)</w:t>
            </w:r>
          </w:p>
        </w:tc>
        <w:tc>
          <w:tcPr>
            <w:tcW w:w="2520" w:type="dxa"/>
            <w:tcBorders>
              <w:top w:val="nil"/>
              <w:left w:val="nil"/>
              <w:bottom w:val="single" w:sz="8" w:space="0" w:color="B3EFFD"/>
              <w:right w:val="nil"/>
            </w:tcBorders>
            <w:shd w:val="clear" w:color="000000" w:fill="FFFFFF"/>
            <w:vAlign w:val="center"/>
            <w:hideMark/>
          </w:tcPr>
          <w:p w14:paraId="34906322"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78,750 </w:t>
            </w:r>
          </w:p>
        </w:tc>
        <w:tc>
          <w:tcPr>
            <w:tcW w:w="1831" w:type="dxa"/>
            <w:tcBorders>
              <w:top w:val="nil"/>
              <w:left w:val="nil"/>
              <w:bottom w:val="single" w:sz="8" w:space="0" w:color="B3EFFD"/>
              <w:right w:val="nil"/>
            </w:tcBorders>
            <w:shd w:val="clear" w:color="000000" w:fill="FFFFFF"/>
            <w:vAlign w:val="center"/>
            <w:hideMark/>
          </w:tcPr>
          <w:p w14:paraId="2237E18D" w14:textId="77777777" w:rsidR="00EB1AD3" w:rsidRPr="00EB1AD3" w:rsidRDefault="00EB1AD3" w:rsidP="00EB1AD3">
            <w:pPr>
              <w:suppressAutoHyphens w:val="0"/>
              <w:autoSpaceDN/>
              <w:spacing w:before="0" w:after="0"/>
              <w:jc w:val="right"/>
              <w:rPr>
                <w:rFonts w:ascii="Arial Narrow" w:hAnsi="Arial Narrow" w:cs="Calibri"/>
                <w:color w:val="000000"/>
                <w:sz w:val="20"/>
                <w:szCs w:val="20"/>
              </w:rPr>
            </w:pPr>
            <w:r w:rsidRPr="00EB1AD3">
              <w:rPr>
                <w:rFonts w:ascii="Arial Narrow" w:hAnsi="Arial Narrow" w:cs="Calibri"/>
                <w:color w:val="000000"/>
                <w:sz w:val="20"/>
                <w:szCs w:val="20"/>
              </w:rPr>
              <w:t xml:space="preserve">                          25,000 </w:t>
            </w:r>
          </w:p>
        </w:tc>
      </w:tr>
      <w:tr w:rsidR="00EB1AD3" w:rsidRPr="00EB1AD3" w14:paraId="31F3EAA7" w14:textId="77777777" w:rsidTr="00EB1A5F">
        <w:trPr>
          <w:trHeight w:val="300"/>
          <w:jc w:val="center"/>
        </w:trPr>
        <w:tc>
          <w:tcPr>
            <w:tcW w:w="1620" w:type="dxa"/>
            <w:tcBorders>
              <w:top w:val="nil"/>
              <w:left w:val="nil"/>
              <w:bottom w:val="single" w:sz="4" w:space="0" w:color="auto"/>
              <w:right w:val="nil"/>
            </w:tcBorders>
            <w:shd w:val="clear" w:color="000000" w:fill="FFFFFF"/>
            <w:vAlign w:val="center"/>
            <w:hideMark/>
          </w:tcPr>
          <w:p w14:paraId="7B64A07F" w14:textId="77777777" w:rsidR="00EB1AD3" w:rsidRPr="00EB1AD3" w:rsidRDefault="00EB1AD3" w:rsidP="00EB1AD3">
            <w:pPr>
              <w:suppressAutoHyphens w:val="0"/>
              <w:autoSpaceDN/>
              <w:spacing w:before="0" w:after="0"/>
              <w:rPr>
                <w:rFonts w:ascii="Arial Narrow" w:hAnsi="Arial Narrow" w:cs="Calibri"/>
                <w:b/>
                <w:bCs/>
                <w:color w:val="000000"/>
                <w:sz w:val="20"/>
                <w:szCs w:val="20"/>
              </w:rPr>
            </w:pPr>
            <w:r w:rsidRPr="00EB1AD3">
              <w:rPr>
                <w:rFonts w:ascii="Arial Narrow" w:hAnsi="Arial Narrow" w:cs="Calibri"/>
                <w:b/>
                <w:bCs/>
                <w:color w:val="000000"/>
                <w:sz w:val="20"/>
                <w:szCs w:val="20"/>
              </w:rPr>
              <w:t>Total</w:t>
            </w:r>
          </w:p>
        </w:tc>
        <w:tc>
          <w:tcPr>
            <w:tcW w:w="2520" w:type="dxa"/>
            <w:tcBorders>
              <w:top w:val="nil"/>
              <w:left w:val="nil"/>
              <w:bottom w:val="single" w:sz="4" w:space="0" w:color="auto"/>
              <w:right w:val="nil"/>
            </w:tcBorders>
            <w:shd w:val="clear" w:color="000000" w:fill="FFFFFF"/>
            <w:vAlign w:val="center"/>
            <w:hideMark/>
          </w:tcPr>
          <w:p w14:paraId="5E6E1CE0" w14:textId="78ECB38B" w:rsidR="00EB1AD3" w:rsidRPr="00EB1AD3" w:rsidRDefault="00EB1AD3" w:rsidP="00EB1AD3">
            <w:pPr>
              <w:suppressAutoHyphens w:val="0"/>
              <w:autoSpaceDN/>
              <w:spacing w:before="0" w:after="0"/>
              <w:jc w:val="right"/>
              <w:rPr>
                <w:rFonts w:ascii="Arial Narrow" w:hAnsi="Arial Narrow" w:cs="Calibri"/>
                <w:b/>
                <w:bCs/>
                <w:color w:val="000000"/>
                <w:sz w:val="20"/>
                <w:szCs w:val="20"/>
              </w:rPr>
            </w:pPr>
            <w:r w:rsidRPr="00EB1AD3">
              <w:rPr>
                <w:rFonts w:ascii="Arial Narrow" w:hAnsi="Arial Narrow" w:cs="Calibri"/>
                <w:b/>
                <w:bCs/>
                <w:color w:val="000000"/>
                <w:sz w:val="20"/>
                <w:szCs w:val="20"/>
              </w:rPr>
              <w:t>541,890</w:t>
            </w:r>
          </w:p>
        </w:tc>
        <w:tc>
          <w:tcPr>
            <w:tcW w:w="1831" w:type="dxa"/>
            <w:tcBorders>
              <w:top w:val="nil"/>
              <w:left w:val="nil"/>
              <w:bottom w:val="single" w:sz="4" w:space="0" w:color="auto"/>
              <w:right w:val="nil"/>
            </w:tcBorders>
            <w:shd w:val="clear" w:color="000000" w:fill="FFFFFF"/>
            <w:vAlign w:val="center"/>
            <w:hideMark/>
          </w:tcPr>
          <w:p w14:paraId="41569737" w14:textId="3C8A0C7D" w:rsidR="00EB1AD3" w:rsidRPr="00EB1AD3" w:rsidRDefault="00EB1AD3" w:rsidP="00EB1AD3">
            <w:pPr>
              <w:suppressAutoHyphens w:val="0"/>
              <w:autoSpaceDN/>
              <w:spacing w:before="0" w:after="0"/>
              <w:jc w:val="right"/>
              <w:rPr>
                <w:rFonts w:ascii="Arial Narrow" w:hAnsi="Arial Narrow" w:cs="Calibri"/>
                <w:b/>
                <w:bCs/>
                <w:color w:val="000000"/>
                <w:sz w:val="20"/>
                <w:szCs w:val="20"/>
              </w:rPr>
            </w:pPr>
            <w:r w:rsidRPr="00EB1AD3">
              <w:rPr>
                <w:rFonts w:ascii="Arial Narrow" w:hAnsi="Arial Narrow" w:cs="Calibri"/>
                <w:b/>
                <w:bCs/>
                <w:color w:val="000000"/>
                <w:sz w:val="20"/>
                <w:szCs w:val="20"/>
              </w:rPr>
              <w:t>174,364</w:t>
            </w:r>
          </w:p>
        </w:tc>
      </w:tr>
    </w:tbl>
    <w:p w14:paraId="4CE12F94" w14:textId="7C694D1E" w:rsidR="00146DF1" w:rsidRPr="00902763" w:rsidRDefault="00CA7155" w:rsidP="00902763">
      <w:pPr>
        <w:pStyle w:val="Source"/>
        <w:ind w:left="1695" w:right="2160"/>
        <w:rPr>
          <w:iCs/>
        </w:rPr>
      </w:pPr>
      <w:r w:rsidRPr="00902763">
        <w:rPr>
          <w:iCs/>
        </w:rPr>
        <w:t>Source: Guidehouse analysis of Nicor Gas program tracking and customer</w:t>
      </w:r>
      <w:r w:rsidR="00902763" w:rsidRPr="00902763">
        <w:rPr>
          <w:iCs/>
        </w:rPr>
        <w:t xml:space="preserve"> </w:t>
      </w:r>
      <w:r w:rsidRPr="00902763">
        <w:rPr>
          <w:iCs/>
        </w:rPr>
        <w:t>billing data.</w:t>
      </w:r>
    </w:p>
    <w:p w14:paraId="75EB2D2F" w14:textId="77777777" w:rsidR="00146DF1" w:rsidRDefault="00146DF1" w:rsidP="00FA7026">
      <w:pPr>
        <w:pStyle w:val="Heading10"/>
      </w:pPr>
      <w:bookmarkStart w:id="12" w:name="_Toc195887219"/>
      <w:r>
        <w:lastRenderedPageBreak/>
        <w:t>Program Savings Detail</w:t>
      </w:r>
      <w:bookmarkEnd w:id="12"/>
    </w:p>
    <w:bookmarkStart w:id="13" w:name="_Hlk132903017"/>
    <w:bookmarkStart w:id="14" w:name="_Ref500500894"/>
    <w:bookmarkStart w:id="15" w:name="_Toc397011684"/>
    <w:bookmarkStart w:id="16" w:name="_Toc397011694"/>
    <w:bookmarkStart w:id="17" w:name="_Toc398541809"/>
    <w:bookmarkStart w:id="18" w:name="_Toc398541922"/>
    <w:bookmarkStart w:id="19" w:name="_Toc398546654"/>
    <w:bookmarkStart w:id="20" w:name="_Toc423009516"/>
    <w:bookmarkStart w:id="21" w:name="_Toc426278634"/>
    <w:bookmarkStart w:id="22" w:name="_Toc61360847"/>
    <w:p w14:paraId="4ACD7D15" w14:textId="20489443" w:rsidR="00EE614F" w:rsidRDefault="00EE614F" w:rsidP="00007D67">
      <w:r>
        <w:fldChar w:fldCharType="begin"/>
      </w:r>
      <w:r>
        <w:instrText xml:space="preserve"> REF _Ref195736682 \h </w:instrText>
      </w:r>
      <w:r w:rsidR="00007D67">
        <w:instrText xml:space="preserve"> \* MERGEFORMAT </w:instrText>
      </w:r>
      <w:r>
        <w:fldChar w:fldCharType="separate"/>
      </w:r>
      <w:r w:rsidR="00004A03">
        <w:t xml:space="preserve">Table </w:t>
      </w:r>
      <w:r w:rsidR="00004A03">
        <w:rPr>
          <w:noProof/>
        </w:rPr>
        <w:t>2</w:t>
      </w:r>
      <w:r>
        <w:fldChar w:fldCharType="end"/>
      </w:r>
      <w:r>
        <w:t xml:space="preserve"> summarizes the energy savings the HER Program achieved in 2024. </w:t>
      </w:r>
      <w:r w:rsidRPr="009B04CE">
        <w:t>These savings reflect adjustments for uplift,</w:t>
      </w:r>
      <w:r w:rsidRPr="009B04CE">
        <w:rPr>
          <w:rStyle w:val="FootnoteReference"/>
        </w:rPr>
        <w:footnoteReference w:id="3"/>
      </w:r>
      <w:r w:rsidRPr="009B04CE">
        <w:t xml:space="preserve"> as well as removing savings persisting from 20</w:t>
      </w:r>
      <w:r>
        <w:t>19</w:t>
      </w:r>
      <w:r w:rsidRPr="009B04CE">
        <w:t xml:space="preserve"> </w:t>
      </w:r>
      <w:r>
        <w:t>to</w:t>
      </w:r>
      <w:r w:rsidRPr="009B04CE">
        <w:t xml:space="preserve"> 202</w:t>
      </w:r>
      <w:r>
        <w:t>3</w:t>
      </w:r>
      <w:r w:rsidRPr="009B04CE">
        <w:t xml:space="preserve"> per the Illinois Statewide Technical Reference Manual (IL-TRM).</w:t>
      </w:r>
      <w:r w:rsidRPr="009B04CE">
        <w:rPr>
          <w:rStyle w:val="FootnoteReference"/>
        </w:rPr>
        <w:footnoteReference w:id="4"/>
      </w:r>
      <w:r>
        <w:rPr>
          <w:rStyle w:val="ui-provider"/>
        </w:rPr>
        <w:t> </w:t>
      </w:r>
      <w:r>
        <w:t xml:space="preserve">As the RCT design inherently estimates savings that are net of participant spillover and free ridership, neither the evaluation team nor the implementer estimated gross savings, and there is no gross realization rate and no net-to-gross (NTG) ratio. Guidehouse added non-participant spillover (NPSO) to its initial savings estimate using the deemed factor of 1.048. Across the four waves, the realization rate </w:t>
      </w:r>
      <w:r w:rsidRPr="000679BB">
        <w:t xml:space="preserve">is </w:t>
      </w:r>
      <w:r>
        <w:t>93</w:t>
      </w:r>
      <w:r w:rsidRPr="000679BB">
        <w:t>%.</w:t>
      </w:r>
      <w:bookmarkEnd w:id="13"/>
    </w:p>
    <w:p w14:paraId="34424AA8" w14:textId="7DB12E64" w:rsidR="00146DF1" w:rsidRDefault="00146DF1" w:rsidP="00F64CA4">
      <w:pPr>
        <w:pStyle w:val="Caption"/>
      </w:pPr>
      <w:bookmarkStart w:id="23" w:name="_Ref195736682"/>
      <w:bookmarkStart w:id="24" w:name="_Toc195886297"/>
      <w:r>
        <w:t xml:space="preserve">Table </w:t>
      </w:r>
      <w:r>
        <w:fldChar w:fldCharType="begin"/>
      </w:r>
      <w:r>
        <w:instrText xml:space="preserve"> SEQ Table \* ARABIC </w:instrText>
      </w:r>
      <w:r>
        <w:fldChar w:fldCharType="separate"/>
      </w:r>
      <w:r w:rsidR="00004A03">
        <w:rPr>
          <w:noProof/>
        </w:rPr>
        <w:t>2</w:t>
      </w:r>
      <w:r>
        <w:fldChar w:fldCharType="end"/>
      </w:r>
      <w:bookmarkEnd w:id="14"/>
      <w:bookmarkEnd w:id="23"/>
      <w:r>
        <w:t>. 2024 Annual Energy Savings Summary</w:t>
      </w:r>
      <w:bookmarkStart w:id="25" w:name="Table_3"/>
      <w:bookmarkEnd w:id="15"/>
      <w:bookmarkEnd w:id="16"/>
      <w:bookmarkEnd w:id="17"/>
      <w:bookmarkEnd w:id="18"/>
      <w:bookmarkEnd w:id="19"/>
      <w:bookmarkEnd w:id="20"/>
      <w:bookmarkEnd w:id="21"/>
      <w:bookmarkEnd w:id="22"/>
      <w:bookmarkEnd w:id="24"/>
      <w:bookmarkEnd w:id="25"/>
      <w:r>
        <w:t xml:space="preserve"> </w:t>
      </w:r>
    </w:p>
    <w:p w14:paraId="015283C6" w14:textId="517EC32F" w:rsidR="008F7DF6" w:rsidRDefault="008F7DF6" w:rsidP="008F7DF6">
      <w:pPr>
        <w:spacing w:before="0" w:after="0"/>
      </w:pPr>
      <w:r w:rsidRPr="008F7DF6">
        <w:drawing>
          <wp:inline distT="0" distB="0" distL="0" distR="0" wp14:anchorId="40BE114D" wp14:editId="7198B577">
            <wp:extent cx="5943600" cy="1405890"/>
            <wp:effectExtent l="0" t="0" r="0" b="3810"/>
            <wp:docPr id="587716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05890"/>
                    </a:xfrm>
                    <a:prstGeom prst="rect">
                      <a:avLst/>
                    </a:prstGeom>
                    <a:noFill/>
                    <a:ln>
                      <a:noFill/>
                    </a:ln>
                  </pic:spPr>
                </pic:pic>
              </a:graphicData>
            </a:graphic>
          </wp:inline>
        </w:drawing>
      </w:r>
    </w:p>
    <w:p w14:paraId="55D8CC99" w14:textId="4612FDAE" w:rsidR="00146DF1" w:rsidRPr="00A15ECA" w:rsidRDefault="00146DF1" w:rsidP="00EE614F">
      <w:pPr>
        <w:pStyle w:val="GraphFootnote"/>
        <w:keepLines/>
      </w:pPr>
      <w:bookmarkStart w:id="26" w:name="_Hlk500574807"/>
      <w:r>
        <w:t xml:space="preserve">* Realization Rate (RR) is the ratio of </w:t>
      </w:r>
      <w:r w:rsidR="00CB6CF7">
        <w:t>f</w:t>
      </w:r>
      <w:r w:rsidR="008578AD">
        <w:t xml:space="preserve">inal </w:t>
      </w:r>
      <w:r w:rsidR="00CB6CF7">
        <w:t>v</w:t>
      </w:r>
      <w:r>
        <w:t xml:space="preserve">erified </w:t>
      </w:r>
      <w:r w:rsidR="00CB6CF7">
        <w:t>s</w:t>
      </w:r>
      <w:r w:rsidR="008578AD">
        <w:t>avings</w:t>
      </w:r>
      <w:r>
        <w:t xml:space="preserve"> to ex ante savings, based on evaluation research findings.</w:t>
      </w:r>
      <w:bookmarkEnd w:id="26"/>
    </w:p>
    <w:p w14:paraId="792DF567" w14:textId="06E62AC8" w:rsidR="00146DF1" w:rsidRDefault="00146DF1" w:rsidP="00A15ECA">
      <w:pPr>
        <w:pStyle w:val="GraphFootnote"/>
      </w:pPr>
      <w:r w:rsidRPr="1B6EEEC9">
        <w:t xml:space="preserve">‡ The market rate net </w:t>
      </w:r>
      <w:r w:rsidRPr="00A15ECA">
        <w:t>savings</w:t>
      </w:r>
      <w:r w:rsidRPr="1B6EEEC9">
        <w:t xml:space="preserve"> were multiplied by a residential non-participant spillover (NPSO) factor of 1.048</w:t>
      </w:r>
    </w:p>
    <w:p w14:paraId="732C58DD" w14:textId="77777777" w:rsidR="00146DF1" w:rsidRDefault="00146DF1" w:rsidP="00A15ECA">
      <w:pPr>
        <w:pStyle w:val="Source"/>
      </w:pPr>
      <w:r w:rsidRPr="00A15ECA">
        <w:t>Source</w:t>
      </w:r>
      <w:r>
        <w:t>: Evaluation team analysis</w:t>
      </w:r>
    </w:p>
    <w:p w14:paraId="2753FD31" w14:textId="77777777" w:rsidR="00146DF1" w:rsidRDefault="00146DF1" w:rsidP="00FA7026">
      <w:pPr>
        <w:pStyle w:val="Heading10"/>
      </w:pPr>
      <w:bookmarkStart w:id="27" w:name="_Toc195887220"/>
      <w:r>
        <w:t>Program Savings by Measure</w:t>
      </w:r>
      <w:bookmarkEnd w:id="27"/>
    </w:p>
    <w:p w14:paraId="308DE86A" w14:textId="5A8DFC5B" w:rsidR="00EE614F" w:rsidRDefault="00EE614F" w:rsidP="001B48C1">
      <w:bookmarkStart w:id="28" w:name="_Toc398546655"/>
      <w:bookmarkStart w:id="29" w:name="_Toc423009517"/>
      <w:bookmarkStart w:id="30" w:name="_Toc426278635"/>
      <w:bookmarkStart w:id="31" w:name="_Toc61360848"/>
      <w:bookmarkStart w:id="32" w:name="_Hlk29910940"/>
      <w:bookmarkEnd w:id="2"/>
      <w:bookmarkEnd w:id="3"/>
      <w:r>
        <w:t xml:space="preserve">The HER Program includes a single measure, behavioral savings, and so the program savings and measure savings are the same. </w:t>
      </w:r>
      <w:r w:rsidRPr="007E7B1A">
        <w:t>Detailed savings are presented in</w:t>
      </w:r>
      <w:r>
        <w:t xml:space="preserve"> </w:t>
      </w:r>
      <w:r w:rsidR="00D55C51">
        <w:fldChar w:fldCharType="begin"/>
      </w:r>
      <w:r w:rsidR="00D55C51">
        <w:instrText xml:space="preserve"> REF _Ref195791566 \h </w:instrText>
      </w:r>
      <w:r w:rsidR="001B48C1">
        <w:instrText xml:space="preserve"> \* MERGEFORMAT </w:instrText>
      </w:r>
      <w:r w:rsidR="00D55C51">
        <w:fldChar w:fldCharType="separate"/>
      </w:r>
      <w:r w:rsidR="00004A03">
        <w:t>Appendix B. Detailed Impact Analysis Results</w:t>
      </w:r>
      <w:r w:rsidR="00D55C51">
        <w:fldChar w:fldCharType="end"/>
      </w:r>
      <w:r>
        <w:t xml:space="preserve">. </w:t>
      </w:r>
    </w:p>
    <w:p w14:paraId="0835E974" w14:textId="241492F7" w:rsidR="00146DF1" w:rsidRPr="00FA7026" w:rsidRDefault="00146DF1" w:rsidP="00FA7026">
      <w:pPr>
        <w:pStyle w:val="Heading10"/>
      </w:pPr>
      <w:bookmarkStart w:id="33" w:name="_Toc398546640"/>
      <w:bookmarkStart w:id="34" w:name="_Toc423009489"/>
      <w:bookmarkStart w:id="35" w:name="_Toc459627231"/>
      <w:bookmarkStart w:id="36" w:name="_Toc61360800"/>
      <w:bookmarkStart w:id="37" w:name="_Toc195887221"/>
      <w:bookmarkEnd w:id="28"/>
      <w:bookmarkEnd w:id="29"/>
      <w:bookmarkEnd w:id="30"/>
      <w:bookmarkEnd w:id="31"/>
      <w:bookmarkEnd w:id="32"/>
      <w:r w:rsidRPr="00FA7026">
        <w:t>Impact Analysis Findings and Recommendations</w:t>
      </w:r>
      <w:bookmarkEnd w:id="33"/>
      <w:bookmarkEnd w:id="34"/>
      <w:bookmarkEnd w:id="35"/>
      <w:bookmarkEnd w:id="36"/>
      <w:bookmarkEnd w:id="37"/>
    </w:p>
    <w:p w14:paraId="1749A99D" w14:textId="77777777" w:rsidR="00146DF1" w:rsidRDefault="00146DF1" w:rsidP="00FA7026">
      <w:pPr>
        <w:pStyle w:val="Heading2"/>
      </w:pPr>
      <w:bookmarkStart w:id="38" w:name="_Toc61360802"/>
      <w:bookmarkStart w:id="39" w:name="_Toc195887222"/>
      <w:r>
        <w:t>Findings and Recommendations</w:t>
      </w:r>
      <w:bookmarkEnd w:id="38"/>
      <w:bookmarkEnd w:id="39"/>
    </w:p>
    <w:p w14:paraId="426993E1" w14:textId="44E0A161" w:rsidR="00EE614F" w:rsidRPr="00EE614F" w:rsidRDefault="00EE614F" w:rsidP="00EE614F">
      <w:pPr>
        <w:rPr>
          <w:highlight w:val="yellow"/>
        </w:rPr>
      </w:pPr>
      <w:bookmarkStart w:id="40" w:name="_Toc501649913"/>
      <w:bookmarkStart w:id="41" w:name="_Toc61360801"/>
      <w:r w:rsidRPr="004B1E1E">
        <w:rPr>
          <w:b/>
          <w:bCs/>
        </w:rPr>
        <w:t>Finding 1.</w:t>
      </w:r>
      <w:r w:rsidRPr="004B1E1E">
        <w:t xml:space="preserve"> Overall</w:t>
      </w:r>
      <w:r w:rsidR="00CE368B">
        <w:t>,</w:t>
      </w:r>
      <w:r w:rsidRPr="004B1E1E">
        <w:t xml:space="preserve"> across all </w:t>
      </w:r>
      <w:r>
        <w:t>four</w:t>
      </w:r>
      <w:r w:rsidRPr="004B1E1E">
        <w:t xml:space="preserve"> waves, Guidehouse found an energy savings realization rate of </w:t>
      </w:r>
      <w:r>
        <w:t>93</w:t>
      </w:r>
      <w:r w:rsidRPr="000679BB">
        <w:t>%</w:t>
      </w:r>
      <w:r w:rsidRPr="004B1E1E">
        <w:t xml:space="preserve"> compared with the program implementer </w:t>
      </w:r>
      <w:proofErr w:type="gramStart"/>
      <w:r w:rsidRPr="004B1E1E">
        <w:t>ex ante</w:t>
      </w:r>
      <w:proofErr w:type="gramEnd"/>
      <w:r w:rsidRPr="004B1E1E">
        <w:t xml:space="preserve"> savings estimate.</w:t>
      </w:r>
      <w:r w:rsidR="00D55C51">
        <w:t xml:space="preserve"> Guidehouse believes the ex-ante savings by wave were calculated incorrectly with the persistence adjustment being flipped between Wave 2 and Wave 3. Guidehouse has asked the implementer to review these calculations and expects to update the wave specific realization rates for the second draft of this report. It is our current understanding that the overall ex ante savings, and as such the overall realization rate of 93%, are correct.</w:t>
      </w:r>
    </w:p>
    <w:p w14:paraId="2A383DD5" w14:textId="5ADBBAEC" w:rsidR="00EE614F" w:rsidRPr="00124445" w:rsidRDefault="00EE614F" w:rsidP="00503E8D">
      <w:r w:rsidRPr="00124445">
        <w:rPr>
          <w:b/>
          <w:bCs/>
        </w:rPr>
        <w:t xml:space="preserve">Finding 2. </w:t>
      </w:r>
      <w:r w:rsidRPr="00124445">
        <w:t xml:space="preserve">Wave </w:t>
      </w:r>
      <w:r w:rsidR="00D55C51" w:rsidRPr="00124445">
        <w:t>3 (202009)</w:t>
      </w:r>
      <w:r w:rsidRPr="00124445">
        <w:t xml:space="preserve"> savings are relatively low at 0.1</w:t>
      </w:r>
      <w:r w:rsidR="00D55C51" w:rsidRPr="00124445">
        <w:t>9</w:t>
      </w:r>
      <w:r w:rsidRPr="00124445">
        <w:t xml:space="preserve">%, though this wave did have a pause in treatment (i.e., were not sent reports) in 2022 and </w:t>
      </w:r>
      <w:r w:rsidR="00D55C51" w:rsidRPr="00124445">
        <w:t>we saw some increase from 2023 (when savings were 0.11%)</w:t>
      </w:r>
      <w:r w:rsidRPr="00124445">
        <w:t xml:space="preserve">. Low per customer savings can allow for small differences in the modelling to be magnified into larger differences in total savings. Wave </w:t>
      </w:r>
      <w:r w:rsidR="00D55C51" w:rsidRPr="00124445">
        <w:t>2 (202011)</w:t>
      </w:r>
      <w:r w:rsidRPr="00124445">
        <w:t xml:space="preserve"> savings are </w:t>
      </w:r>
      <w:r w:rsidRPr="00124445">
        <w:lastRenderedPageBreak/>
        <w:t>0.</w:t>
      </w:r>
      <w:r w:rsidR="00D55C51" w:rsidRPr="00124445">
        <w:t>39</w:t>
      </w:r>
      <w:r w:rsidRPr="00124445">
        <w:t>% and Wave 1</w:t>
      </w:r>
      <w:r w:rsidR="00D55C51" w:rsidRPr="00124445">
        <w:t xml:space="preserve"> (201910)</w:t>
      </w:r>
      <w:r w:rsidRPr="00124445">
        <w:t xml:space="preserve"> are 0.53%. </w:t>
      </w:r>
      <w:r w:rsidR="00D55C51" w:rsidRPr="00124445">
        <w:t>Wave 4 (202402) are 0.17% which we expect for a newly launched wave as savings tend to take some time to ramp up over the first 12-24 months.</w:t>
      </w:r>
    </w:p>
    <w:p w14:paraId="4AA8E36E" w14:textId="58C2415A" w:rsidR="00EE614F" w:rsidRPr="00B0102A" w:rsidRDefault="00EE614F" w:rsidP="00EE614F">
      <w:pPr>
        <w:ind w:left="540"/>
      </w:pPr>
      <w:r w:rsidRPr="00124445">
        <w:rPr>
          <w:b/>
          <w:bCs/>
        </w:rPr>
        <w:t>Recommendation 1.</w:t>
      </w:r>
      <w:r w:rsidRPr="00124445">
        <w:t xml:space="preserve"> The program and implementation teams should consider whether</w:t>
      </w:r>
      <w:r w:rsidR="00D55C51" w:rsidRPr="00124445">
        <w:t xml:space="preserve"> savings have plateau</w:t>
      </w:r>
      <w:r w:rsidR="00A97CD6">
        <w:t>ed</w:t>
      </w:r>
      <w:r w:rsidR="00D55C51" w:rsidRPr="00124445">
        <w:t xml:space="preserve"> for Wave 3 or may still be re-ramping after the pause in 2022.</w:t>
      </w:r>
      <w:r w:rsidRPr="00124445">
        <w:t xml:space="preserve"> </w:t>
      </w:r>
      <w:r w:rsidR="00D55C51" w:rsidRPr="00124445">
        <w:t xml:space="preserve">The teams should also consider whether </w:t>
      </w:r>
      <w:r w:rsidRPr="00124445">
        <w:t xml:space="preserve">there are further interventions that could be done to </w:t>
      </w:r>
      <w:proofErr w:type="gramStart"/>
      <w:r w:rsidRPr="00124445">
        <w:t>drive</w:t>
      </w:r>
      <w:proofErr w:type="gramEnd"/>
      <w:r w:rsidRPr="00124445">
        <w:t xml:space="preserve"> more savings for Wave 3. Increasing the savings could reduce the risk of differences in modelled savings between the evaluator and the implementer.</w:t>
      </w:r>
    </w:p>
    <w:bookmarkEnd w:id="40"/>
    <w:bookmarkEnd w:id="41"/>
    <w:p w14:paraId="1B658663" w14:textId="77777777" w:rsidR="00146DF1" w:rsidRDefault="00146DF1" w:rsidP="00F20206">
      <w:pPr>
        <w:pStyle w:val="Source"/>
        <w:ind w:firstLine="810"/>
      </w:pPr>
    </w:p>
    <w:p w14:paraId="20E151AB" w14:textId="77777777" w:rsidR="00146DF1" w:rsidRDefault="00146DF1" w:rsidP="007C6221">
      <w:pPr>
        <w:pStyle w:val="BodyText"/>
        <w:sectPr w:rsidR="00146DF1" w:rsidSect="005011F6">
          <w:pgSz w:w="12240" w:h="15840" w:code="1"/>
          <w:pgMar w:top="1440" w:right="1440" w:bottom="1440" w:left="1440" w:header="720" w:footer="720" w:gutter="0"/>
          <w:pgNumType w:start="1"/>
          <w:cols w:space="720"/>
          <w:docGrid w:linePitch="360"/>
        </w:sectPr>
      </w:pPr>
    </w:p>
    <w:p w14:paraId="7F06CE74" w14:textId="1AC150AE" w:rsidR="00146DF1" w:rsidRDefault="00146DF1" w:rsidP="0083083B">
      <w:pPr>
        <w:pStyle w:val="Heading5"/>
      </w:pPr>
      <w:bookmarkStart w:id="42" w:name="_Ref65052649"/>
      <w:bookmarkStart w:id="43" w:name="_Ref65054436"/>
      <w:bookmarkStart w:id="44" w:name="_Ref65054442"/>
      <w:bookmarkStart w:id="45" w:name="_Toc195887223"/>
      <w:r>
        <w:lastRenderedPageBreak/>
        <w:t>Impact Analysis Methodology</w:t>
      </w:r>
      <w:bookmarkEnd w:id="42"/>
      <w:bookmarkEnd w:id="43"/>
      <w:bookmarkEnd w:id="44"/>
      <w:bookmarkEnd w:id="45"/>
    </w:p>
    <w:p w14:paraId="65CF5C79" w14:textId="77777777" w:rsidR="00EE614F" w:rsidRPr="00EE614F" w:rsidRDefault="00EE614F" w:rsidP="00EE614F">
      <w:pPr>
        <w:keepNext/>
        <w:keepLines/>
        <w:numPr>
          <w:ilvl w:val="5"/>
          <w:numId w:val="0"/>
        </w:numPr>
        <w:suppressAutoHyphens w:val="0"/>
        <w:autoSpaceDN/>
        <w:spacing w:before="240" w:after="240"/>
        <w:ind w:left="720" w:hanging="720"/>
        <w:outlineLvl w:val="5"/>
        <w:rPr>
          <w:rFonts w:cs="Arial"/>
          <w:b/>
          <w:iCs/>
          <w:kern w:val="28"/>
          <w:position w:val="6"/>
          <w:sz w:val="28"/>
          <w:szCs w:val="26"/>
        </w:rPr>
      </w:pPr>
      <w:bookmarkStart w:id="46" w:name="_Ref64939605"/>
      <w:bookmarkStart w:id="47" w:name="_Toc69284648"/>
      <w:bookmarkStart w:id="48" w:name="_Toc110421330"/>
      <w:bookmarkStart w:id="49" w:name="_Toc132900791"/>
      <w:bookmarkStart w:id="50" w:name="_Toc137824763"/>
      <w:bookmarkStart w:id="51" w:name="_Toc172553797"/>
      <w:r w:rsidRPr="00EE614F">
        <w:rPr>
          <w:rFonts w:cs="Arial"/>
          <w:b/>
          <w:iCs/>
          <w:kern w:val="28"/>
          <w:position w:val="6"/>
          <w:sz w:val="28"/>
          <w:szCs w:val="26"/>
        </w:rPr>
        <w:t>Savings Methodology</w:t>
      </w:r>
      <w:bookmarkEnd w:id="46"/>
      <w:bookmarkEnd w:id="47"/>
      <w:bookmarkEnd w:id="48"/>
      <w:bookmarkEnd w:id="49"/>
      <w:bookmarkEnd w:id="50"/>
      <w:bookmarkEnd w:id="51"/>
    </w:p>
    <w:p w14:paraId="5F1B6C4A" w14:textId="52452AFD" w:rsidR="00EE614F" w:rsidRPr="00EE614F" w:rsidRDefault="00EE614F" w:rsidP="00EE614F">
      <w:pPr>
        <w:suppressAutoHyphens w:val="0"/>
        <w:autoSpaceDN/>
        <w:spacing w:before="0" w:after="240"/>
        <w:rPr>
          <w:szCs w:val="20"/>
        </w:rPr>
      </w:pPr>
      <w:r w:rsidRPr="00EE614F">
        <w:rPr>
          <w:szCs w:val="20"/>
        </w:rPr>
        <w:t>This section details the methodology employed for developing custom savings estimates for 202</w:t>
      </w:r>
      <w:r>
        <w:rPr>
          <w:szCs w:val="20"/>
        </w:rPr>
        <w:t>4</w:t>
      </w:r>
      <w:r w:rsidRPr="00EE614F">
        <w:rPr>
          <w:szCs w:val="20"/>
        </w:rPr>
        <w:t xml:space="preserve">. These estimates were used for verifying </w:t>
      </w:r>
      <w:proofErr w:type="gramStart"/>
      <w:r w:rsidRPr="00EE614F">
        <w:rPr>
          <w:szCs w:val="20"/>
        </w:rPr>
        <w:t>savings</w:t>
      </w:r>
      <w:proofErr w:type="gramEnd"/>
      <w:r w:rsidRPr="00EE614F">
        <w:rPr>
          <w:szCs w:val="20"/>
        </w:rPr>
        <w:t xml:space="preserve"> for </w:t>
      </w:r>
      <w:r>
        <w:rPr>
          <w:szCs w:val="20"/>
        </w:rPr>
        <w:t>all</w:t>
      </w:r>
      <w:r w:rsidRPr="00EE614F">
        <w:rPr>
          <w:szCs w:val="20"/>
        </w:rPr>
        <w:t xml:space="preserve"> waves.</w:t>
      </w:r>
    </w:p>
    <w:p w14:paraId="3A164706" w14:textId="77777777" w:rsidR="00EE614F" w:rsidRPr="00EE614F" w:rsidRDefault="00EE614F" w:rsidP="00EE614F">
      <w:pPr>
        <w:numPr>
          <w:ilvl w:val="6"/>
          <w:numId w:val="0"/>
        </w:numPr>
        <w:suppressAutoHyphens w:val="0"/>
        <w:autoSpaceDN/>
        <w:spacing w:before="240" w:after="240"/>
        <w:ind w:left="720" w:hanging="720"/>
        <w:outlineLvl w:val="6"/>
        <w:rPr>
          <w:b/>
          <w:iCs/>
          <w:sz w:val="24"/>
          <w:szCs w:val="26"/>
        </w:rPr>
      </w:pPr>
      <w:r w:rsidRPr="00EE614F">
        <w:rPr>
          <w:b/>
          <w:iCs/>
          <w:sz w:val="24"/>
          <w:szCs w:val="26"/>
        </w:rPr>
        <w:t>Data Cleaning</w:t>
      </w:r>
    </w:p>
    <w:p w14:paraId="03AF797D" w14:textId="77777777" w:rsidR="00EE614F" w:rsidRPr="00EE614F" w:rsidRDefault="00EE614F" w:rsidP="00EE614F">
      <w:pPr>
        <w:suppressAutoHyphens w:val="0"/>
        <w:autoSpaceDN/>
        <w:spacing w:before="0" w:after="240"/>
        <w:rPr>
          <w:szCs w:val="20"/>
        </w:rPr>
      </w:pPr>
      <w:r w:rsidRPr="00EE614F">
        <w:rPr>
          <w:szCs w:val="20"/>
        </w:rPr>
        <w:t>The evaluation team removed customers and data points from the analysis in several steps:</w:t>
      </w:r>
    </w:p>
    <w:p w14:paraId="7DD46EBF" w14:textId="77777777" w:rsidR="00EE614F" w:rsidRPr="00EE614F" w:rsidRDefault="00EE614F" w:rsidP="00EE614F">
      <w:pPr>
        <w:keepNext/>
        <w:keepLines/>
        <w:numPr>
          <w:ilvl w:val="0"/>
          <w:numId w:val="58"/>
        </w:numPr>
        <w:suppressAutoHyphens w:val="0"/>
        <w:autoSpaceDN/>
        <w:spacing w:before="0" w:after="0"/>
        <w:contextualSpacing/>
        <w:rPr>
          <w:szCs w:val="20"/>
        </w:rPr>
      </w:pPr>
      <w:r w:rsidRPr="00EE614F">
        <w:rPr>
          <w:szCs w:val="20"/>
        </w:rPr>
        <w:t>Excluded data from outside of the period of examination and relevant pre-period for each wave</w:t>
      </w:r>
    </w:p>
    <w:p w14:paraId="59A99A62" w14:textId="77777777" w:rsidR="00EE614F" w:rsidRPr="00EE614F" w:rsidRDefault="00EE614F" w:rsidP="00EE614F">
      <w:pPr>
        <w:keepNext/>
        <w:keepLines/>
        <w:numPr>
          <w:ilvl w:val="0"/>
          <w:numId w:val="58"/>
        </w:numPr>
        <w:suppressAutoHyphens w:val="0"/>
        <w:autoSpaceDN/>
        <w:spacing w:before="0" w:after="0"/>
        <w:contextualSpacing/>
        <w:rPr>
          <w:szCs w:val="20"/>
        </w:rPr>
      </w:pPr>
      <w:r w:rsidRPr="00EE614F">
        <w:rPr>
          <w:szCs w:val="20"/>
        </w:rPr>
        <w:t>Removed exact duplicate observations</w:t>
      </w:r>
    </w:p>
    <w:p w14:paraId="5A948B53" w14:textId="77777777" w:rsidR="00EE614F" w:rsidRPr="00EE614F" w:rsidRDefault="00EE614F" w:rsidP="00EE614F">
      <w:pPr>
        <w:keepNext/>
        <w:keepLines/>
        <w:numPr>
          <w:ilvl w:val="0"/>
          <w:numId w:val="58"/>
        </w:numPr>
        <w:suppressAutoHyphens w:val="0"/>
        <w:autoSpaceDN/>
        <w:spacing w:before="0" w:after="0"/>
        <w:contextualSpacing/>
        <w:rPr>
          <w:szCs w:val="20"/>
        </w:rPr>
      </w:pPr>
      <w:r w:rsidRPr="00EE614F">
        <w:rPr>
          <w:szCs w:val="20"/>
        </w:rPr>
        <w:t>Aggregated bills that ended in the same month</w:t>
      </w:r>
    </w:p>
    <w:p w14:paraId="0FB1D44F" w14:textId="77777777" w:rsidR="00EE614F" w:rsidRPr="00EE614F" w:rsidRDefault="00EE614F" w:rsidP="00EE614F">
      <w:pPr>
        <w:numPr>
          <w:ilvl w:val="0"/>
          <w:numId w:val="58"/>
        </w:numPr>
        <w:suppressAutoHyphens w:val="0"/>
        <w:autoSpaceDN/>
        <w:spacing w:before="0" w:after="0"/>
        <w:contextualSpacing/>
        <w:rPr>
          <w:szCs w:val="20"/>
        </w:rPr>
      </w:pPr>
      <w:r w:rsidRPr="00EE614F">
        <w:rPr>
          <w:szCs w:val="20"/>
        </w:rPr>
        <w:t>Excluded observations with a bill length greater than 90 days</w:t>
      </w:r>
    </w:p>
    <w:p w14:paraId="342A966B" w14:textId="77777777" w:rsidR="00EE614F" w:rsidRPr="00EE614F" w:rsidRDefault="00EE614F" w:rsidP="00EE614F">
      <w:pPr>
        <w:numPr>
          <w:ilvl w:val="0"/>
          <w:numId w:val="58"/>
        </w:numPr>
        <w:suppressAutoHyphens w:val="0"/>
        <w:autoSpaceDN/>
        <w:spacing w:before="0" w:after="0"/>
        <w:contextualSpacing/>
        <w:rPr>
          <w:szCs w:val="20"/>
        </w:rPr>
      </w:pPr>
      <w:r w:rsidRPr="00EE614F">
        <w:rPr>
          <w:szCs w:val="20"/>
        </w:rPr>
        <w:t xml:space="preserve">Excluded outlier observations, defined as observations with average daily usage outside plus or minus one order of magnitude from the </w:t>
      </w:r>
      <w:proofErr w:type="gramStart"/>
      <w:r w:rsidRPr="00EE614F">
        <w:rPr>
          <w:szCs w:val="20"/>
        </w:rPr>
        <w:t>median</w:t>
      </w:r>
      <w:proofErr w:type="gramEnd"/>
    </w:p>
    <w:p w14:paraId="60D957CB" w14:textId="77777777" w:rsidR="00EE614F" w:rsidRPr="00EE614F" w:rsidRDefault="00EE614F" w:rsidP="00EE614F">
      <w:pPr>
        <w:numPr>
          <w:ilvl w:val="0"/>
          <w:numId w:val="58"/>
        </w:numPr>
        <w:suppressAutoHyphens w:val="0"/>
        <w:autoSpaceDN/>
        <w:spacing w:before="0" w:after="0"/>
        <w:contextualSpacing/>
        <w:rPr>
          <w:szCs w:val="20"/>
        </w:rPr>
      </w:pPr>
      <w:r w:rsidRPr="00EE614F">
        <w:rPr>
          <w:szCs w:val="20"/>
        </w:rPr>
        <w:t>For the lagged dependent variable (LDV) model, removed observations that did not have a usage value in the same month of the pre-period</w:t>
      </w:r>
    </w:p>
    <w:p w14:paraId="0D09E72F" w14:textId="77777777" w:rsidR="00EE614F" w:rsidRPr="00EE614F" w:rsidRDefault="00EE614F" w:rsidP="00EE614F">
      <w:pPr>
        <w:suppressAutoHyphens w:val="0"/>
        <w:autoSpaceDN/>
        <w:spacing w:before="0" w:after="0"/>
        <w:ind w:left="720"/>
        <w:contextualSpacing/>
        <w:rPr>
          <w:szCs w:val="20"/>
        </w:rPr>
      </w:pPr>
    </w:p>
    <w:p w14:paraId="4FF6A0C8" w14:textId="7413F132" w:rsidR="00EE614F" w:rsidRPr="00EE614F" w:rsidRDefault="00EE614F" w:rsidP="00EE614F">
      <w:pPr>
        <w:suppressAutoHyphens w:val="0"/>
        <w:autoSpaceDN/>
        <w:spacing w:before="0" w:after="240"/>
        <w:rPr>
          <w:szCs w:val="20"/>
        </w:rPr>
      </w:pPr>
      <w:r w:rsidRPr="00EE614F">
        <w:rPr>
          <w:szCs w:val="20"/>
        </w:rPr>
        <w:t xml:space="preserve">Across </w:t>
      </w:r>
      <w:r w:rsidR="00E41DBE">
        <w:rPr>
          <w:szCs w:val="20"/>
        </w:rPr>
        <w:t>all</w:t>
      </w:r>
      <w:r w:rsidRPr="00EE614F">
        <w:rPr>
          <w:szCs w:val="20"/>
        </w:rPr>
        <w:t xml:space="preserve"> waves, these cleaning steps removed no entire customers and less than 2% of observations (after </w:t>
      </w:r>
      <w:proofErr w:type="spellStart"/>
      <w:r w:rsidRPr="00EE614F">
        <w:rPr>
          <w:szCs w:val="20"/>
        </w:rPr>
        <w:t>subsetting</w:t>
      </w:r>
      <w:proofErr w:type="spellEnd"/>
      <w:r w:rsidRPr="00EE614F">
        <w:rPr>
          <w:szCs w:val="20"/>
        </w:rPr>
        <w:t xml:space="preserve"> to the relevant analysis period), evenly distributed across participants and controls. This result suggests that the evaluation team’s cleaning steps did not introduce non-random biases into the data.</w:t>
      </w:r>
    </w:p>
    <w:p w14:paraId="43830707" w14:textId="77777777" w:rsidR="00EE614F" w:rsidRPr="00EE614F" w:rsidRDefault="00EE614F" w:rsidP="00EE614F">
      <w:pPr>
        <w:keepNext/>
        <w:keepLines/>
        <w:numPr>
          <w:ilvl w:val="6"/>
          <w:numId w:val="0"/>
        </w:numPr>
        <w:suppressAutoHyphens w:val="0"/>
        <w:autoSpaceDN/>
        <w:spacing w:before="240" w:after="240"/>
        <w:ind w:left="720" w:hanging="720"/>
        <w:outlineLvl w:val="6"/>
        <w:rPr>
          <w:b/>
          <w:iCs/>
          <w:sz w:val="24"/>
          <w:szCs w:val="26"/>
        </w:rPr>
      </w:pPr>
      <w:r w:rsidRPr="00EE614F">
        <w:rPr>
          <w:b/>
          <w:iCs/>
          <w:sz w:val="24"/>
          <w:szCs w:val="26"/>
        </w:rPr>
        <w:t>Modeling Methodology</w:t>
      </w:r>
    </w:p>
    <w:p w14:paraId="14B16060" w14:textId="6B76FE06" w:rsidR="00EE614F" w:rsidRPr="00EE614F" w:rsidRDefault="00EE614F" w:rsidP="00EE614F">
      <w:pPr>
        <w:suppressAutoHyphens w:val="0"/>
        <w:autoSpaceDN/>
        <w:spacing w:before="0" w:after="0"/>
        <w:rPr>
          <w:sz w:val="20"/>
          <w:szCs w:val="20"/>
        </w:rPr>
      </w:pPr>
      <w:r w:rsidRPr="00EE614F">
        <w:rPr>
          <w:szCs w:val="20"/>
        </w:rPr>
        <w:t>The evaluation team used LDV and linear fixed effects regression (LFER) models to estimate program savings.</w:t>
      </w:r>
      <w:r w:rsidRPr="00EE614F">
        <w:rPr>
          <w:szCs w:val="20"/>
          <w:vertAlign w:val="superscript"/>
        </w:rPr>
        <w:footnoteReference w:id="5"/>
      </w:r>
      <w:r w:rsidRPr="00EE614F">
        <w:rPr>
          <w:szCs w:val="20"/>
        </w:rPr>
        <w:t xml:space="preserve"> Both approaches should, in principle, produce unbiased estimates of program savings under a wide range of conditions, but Guidehouse prefers the LDV results for two reasons. First, savings estimates produced by the LDV model tend to be more accurate and more precisely estimated than those from the LFER model</w:t>
      </w:r>
      <w:r w:rsidRPr="00EE614F">
        <w:rPr>
          <w:szCs w:val="20"/>
          <w:vertAlign w:val="superscript"/>
        </w:rPr>
        <w:footnoteReference w:id="6"/>
      </w:r>
      <w:r w:rsidRPr="00EE614F">
        <w:rPr>
          <w:szCs w:val="20"/>
        </w:rPr>
        <w:t xml:space="preserve"> based on experience analyzing similar HER programs’ impacts and findings from </w:t>
      </w:r>
      <w:proofErr w:type="gramStart"/>
      <w:r w:rsidRPr="00EE614F">
        <w:rPr>
          <w:szCs w:val="20"/>
        </w:rPr>
        <w:t>the academic</w:t>
      </w:r>
      <w:proofErr w:type="gramEnd"/>
      <w:r w:rsidRPr="00EE614F">
        <w:rPr>
          <w:szCs w:val="20"/>
        </w:rPr>
        <w:t xml:space="preserve"> literature.</w:t>
      </w:r>
      <w:r w:rsidRPr="00EE614F">
        <w:rPr>
          <w:szCs w:val="20"/>
          <w:vertAlign w:val="superscript"/>
        </w:rPr>
        <w:footnoteReference w:id="7"/>
      </w:r>
      <w:r w:rsidRPr="00EE614F">
        <w:rPr>
          <w:szCs w:val="20"/>
        </w:rPr>
        <w:t xml:space="preserve"> Second, the implementer uses a similar model for its evaluation, which makes the two sets of results more comparable. Although the LDV and LFER models are structurally very different, these should generate similar program savings estimates, assuming the RCT is well balanced with respect to the drivers of energy use. Guidehouse used the LDV results for reporting total program savings for 202</w:t>
      </w:r>
      <w:r>
        <w:rPr>
          <w:szCs w:val="20"/>
        </w:rPr>
        <w:t>4</w:t>
      </w:r>
      <w:r w:rsidRPr="00EE614F">
        <w:rPr>
          <w:szCs w:val="20"/>
        </w:rPr>
        <w:t>, while the LFER provided a robustness check.</w:t>
      </w:r>
    </w:p>
    <w:p w14:paraId="73CB0BA1" w14:textId="77777777" w:rsidR="00EE614F" w:rsidRPr="00EE614F" w:rsidRDefault="00EE614F" w:rsidP="00EE614F">
      <w:pPr>
        <w:widowControl w:val="0"/>
        <w:suppressAutoHyphens w:val="0"/>
        <w:autoSpaceDN/>
        <w:spacing w:before="240" w:after="240"/>
        <w:rPr>
          <w:rFonts w:eastAsia="Calibri"/>
          <w:b/>
          <w:szCs w:val="22"/>
        </w:rPr>
      </w:pPr>
      <w:r w:rsidRPr="00EE614F">
        <w:rPr>
          <w:rFonts w:eastAsia="Calibri"/>
          <w:b/>
          <w:szCs w:val="22"/>
        </w:rPr>
        <w:lastRenderedPageBreak/>
        <w:t>Lagged Dependent Variable Model</w:t>
      </w:r>
    </w:p>
    <w:p w14:paraId="4F8A07A3" w14:textId="76F96B18" w:rsidR="00EE614F" w:rsidRPr="00EE614F" w:rsidRDefault="00EE614F" w:rsidP="00EE614F">
      <w:pPr>
        <w:suppressAutoHyphens w:val="0"/>
        <w:autoSpaceDN/>
        <w:spacing w:before="0" w:after="240"/>
        <w:rPr>
          <w:szCs w:val="20"/>
        </w:rPr>
      </w:pPr>
      <w:r w:rsidRPr="00EE614F">
        <w:rPr>
          <w:szCs w:val="20"/>
        </w:rPr>
        <w:t xml:space="preserve">The LDV model </w:t>
      </w:r>
      <w:proofErr w:type="gramStart"/>
      <w:r w:rsidRPr="00EE614F">
        <w:rPr>
          <w:szCs w:val="20"/>
        </w:rPr>
        <w:t>controls for</w:t>
      </w:r>
      <w:proofErr w:type="gramEnd"/>
      <w:r w:rsidRPr="00EE614F">
        <w:rPr>
          <w:szCs w:val="20"/>
        </w:rPr>
        <w:t xml:space="preserve"> non-treatment differences in energy use between treatment and control customers using lagged energy use as an explanatory variable. The model frames energy use in calendar month </w:t>
      </w:r>
      <w:r w:rsidRPr="00EE614F">
        <w:rPr>
          <w:i/>
          <w:szCs w:val="20"/>
        </w:rPr>
        <w:t>t</w:t>
      </w:r>
      <w:r w:rsidRPr="00EE614F">
        <w:rPr>
          <w:szCs w:val="20"/>
        </w:rPr>
        <w:t xml:space="preserve"> of the post-program period as a function of both the treatment variable and energy use in the same calendar month of the pre-program period.</w:t>
      </w:r>
      <w:r w:rsidRPr="00EE614F">
        <w:rPr>
          <w:szCs w:val="20"/>
          <w:vertAlign w:val="superscript"/>
        </w:rPr>
        <w:footnoteReference w:id="8"/>
      </w:r>
      <w:r w:rsidRPr="00EE614F">
        <w:rPr>
          <w:szCs w:val="20"/>
        </w:rPr>
        <w:t xml:space="preserve"> The underlying logic is that systematic differences between control and treatment customers will be reflected in differences in their past energy use, which is highly correlated with their current energy use. Formally, the model is shown in </w:t>
      </w:r>
      <w:r w:rsidRPr="00124445">
        <w:rPr>
          <w:szCs w:val="20"/>
        </w:rPr>
        <w:fldChar w:fldCharType="begin"/>
      </w:r>
      <w:r w:rsidRPr="00EE614F">
        <w:rPr>
          <w:szCs w:val="20"/>
        </w:rPr>
        <w:instrText xml:space="preserve"> REF _Ref132906166 \h </w:instrText>
      </w:r>
      <w:r w:rsidR="00D55C51">
        <w:rPr>
          <w:szCs w:val="20"/>
        </w:rPr>
        <w:instrText xml:space="preserve"> \* MERGEFORMAT </w:instrText>
      </w:r>
      <w:r w:rsidRPr="00124445">
        <w:rPr>
          <w:szCs w:val="20"/>
        </w:rPr>
      </w:r>
      <w:r w:rsidRPr="00124445">
        <w:rPr>
          <w:szCs w:val="20"/>
        </w:rPr>
        <w:fldChar w:fldCharType="separate"/>
      </w:r>
      <w:r w:rsidR="00004A03" w:rsidRPr="00004A03">
        <w:rPr>
          <w:szCs w:val="20"/>
        </w:rPr>
        <w:t>Equation 1</w:t>
      </w:r>
      <w:r w:rsidRPr="00124445">
        <w:rPr>
          <w:szCs w:val="20"/>
        </w:rPr>
        <w:fldChar w:fldCharType="end"/>
      </w:r>
      <w:r w:rsidRPr="00EE614F">
        <w:rPr>
          <w:szCs w:val="20"/>
        </w:rPr>
        <w:t>.</w:t>
      </w:r>
    </w:p>
    <w:p w14:paraId="7D53E4A2" w14:textId="7D51EFC8" w:rsidR="00EE614F" w:rsidRPr="00004A03" w:rsidRDefault="00EE614F" w:rsidP="00EE614F">
      <w:pPr>
        <w:keepNext/>
        <w:suppressAutoHyphens w:val="0"/>
        <w:autoSpaceDN/>
        <w:spacing w:before="0"/>
        <w:jc w:val="center"/>
        <w:rPr>
          <w:rFonts w:ascii="Arial Bold" w:hAnsi="Arial Bold" w:cs="Arial"/>
          <w:b/>
          <w:bCs/>
          <w:szCs w:val="20"/>
        </w:rPr>
      </w:pPr>
      <w:bookmarkStart w:id="52" w:name="_Ref132906166"/>
      <w:bookmarkStart w:id="53" w:name="_Toc137824505"/>
      <w:bookmarkStart w:id="54" w:name="_Toc172553814"/>
      <w:r w:rsidRPr="00004A03">
        <w:rPr>
          <w:rFonts w:ascii="Arial Bold" w:hAnsi="Arial Bold" w:cs="Arial"/>
          <w:b/>
          <w:bCs/>
          <w:szCs w:val="20"/>
        </w:rPr>
        <w:t xml:space="preserve">Equation </w:t>
      </w:r>
      <w:r w:rsidRPr="00004A03">
        <w:rPr>
          <w:rFonts w:ascii="Arial Bold" w:hAnsi="Arial Bold" w:cs="Arial"/>
          <w:b/>
          <w:bCs/>
          <w:szCs w:val="20"/>
        </w:rPr>
        <w:fldChar w:fldCharType="begin"/>
      </w:r>
      <w:r w:rsidRPr="00004A03">
        <w:rPr>
          <w:rFonts w:ascii="Arial Bold" w:hAnsi="Arial Bold" w:cs="Arial"/>
          <w:b/>
          <w:bCs/>
          <w:szCs w:val="20"/>
        </w:rPr>
        <w:instrText xml:space="preserve"> SEQ Equation \* ARABIC \s 5 </w:instrText>
      </w:r>
      <w:r w:rsidRPr="00004A03">
        <w:rPr>
          <w:rFonts w:ascii="Arial Bold" w:hAnsi="Arial Bold" w:cs="Arial"/>
          <w:b/>
          <w:bCs/>
          <w:szCs w:val="20"/>
        </w:rPr>
        <w:fldChar w:fldCharType="separate"/>
      </w:r>
      <w:r w:rsidR="00004A03">
        <w:rPr>
          <w:rFonts w:ascii="Arial Bold" w:hAnsi="Arial Bold" w:cs="Arial"/>
          <w:b/>
          <w:bCs/>
          <w:noProof/>
          <w:szCs w:val="20"/>
        </w:rPr>
        <w:t>1</w:t>
      </w:r>
      <w:r w:rsidRPr="00004A03">
        <w:rPr>
          <w:rFonts w:ascii="Arial Bold" w:hAnsi="Arial Bold" w:cs="Arial"/>
          <w:b/>
          <w:bCs/>
          <w:noProof/>
          <w:szCs w:val="20"/>
        </w:rPr>
        <w:fldChar w:fldCharType="end"/>
      </w:r>
      <w:bookmarkEnd w:id="52"/>
      <w:r w:rsidRPr="00004A03">
        <w:rPr>
          <w:rFonts w:ascii="Arial Bold" w:hAnsi="Arial Bold" w:cs="Arial"/>
          <w:b/>
          <w:bCs/>
          <w:szCs w:val="20"/>
        </w:rPr>
        <w:t>. Lagged Dependent Variable Regression Model</w:t>
      </w:r>
      <w:bookmarkEnd w:id="53"/>
      <w:bookmarkEnd w:id="54"/>
    </w:p>
    <w:p w14:paraId="167714B0" w14:textId="77777777" w:rsidR="00EE614F" w:rsidRPr="00EE614F" w:rsidRDefault="00EE614F" w:rsidP="00EE614F">
      <w:pPr>
        <w:suppressAutoHyphens w:val="0"/>
        <w:autoSpaceDN/>
        <w:spacing w:before="0" w:after="0"/>
        <w:rPr>
          <w:rFonts w:eastAsiaTheme="minorEastAsia"/>
          <w:szCs w:val="20"/>
        </w:rPr>
      </w:pPr>
      <m:oMathPara>
        <m:oMath>
          <m:r>
            <w:rPr>
              <w:rFonts w:ascii="Cambria Math" w:hAnsi="Cambria Math"/>
              <w:szCs w:val="20"/>
            </w:rPr>
            <m:t>AD</m:t>
          </m:r>
          <m:sSub>
            <m:sSubPr>
              <m:ctrlPr>
                <w:rPr>
                  <w:rFonts w:ascii="Cambria Math" w:hAnsi="Cambria Math"/>
                  <w:i/>
                  <w:szCs w:val="20"/>
                </w:rPr>
              </m:ctrlPr>
            </m:sSubPr>
            <m:e>
              <m:r>
                <w:rPr>
                  <w:rFonts w:ascii="Cambria Math" w:hAnsi="Cambria Math"/>
                  <w:szCs w:val="20"/>
                </w:rPr>
                <m:t>U</m:t>
              </m:r>
            </m:e>
            <m:sub>
              <m:r>
                <w:rPr>
                  <w:rFonts w:ascii="Cambria Math" w:hAnsi="Cambria Math"/>
                  <w:szCs w:val="20"/>
                </w:rPr>
                <m:t>kt</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1</m:t>
              </m:r>
            </m:sub>
          </m:sSub>
          <m:r>
            <w:rPr>
              <w:rFonts w:ascii="Cambria Math" w:hAnsi="Cambria Math"/>
              <w:szCs w:val="20"/>
            </w:rPr>
            <m:t>Treatmen</m:t>
          </m:r>
          <m:sSub>
            <m:sSubPr>
              <m:ctrlPr>
                <w:rPr>
                  <w:rFonts w:ascii="Cambria Math" w:hAnsi="Cambria Math"/>
                  <w:i/>
                  <w:szCs w:val="20"/>
                </w:rPr>
              </m:ctrlPr>
            </m:sSubPr>
            <m:e>
              <m:r>
                <w:rPr>
                  <w:rFonts w:ascii="Cambria Math" w:hAnsi="Cambria Math"/>
                  <w:szCs w:val="20"/>
                </w:rPr>
                <m:t>t</m:t>
              </m:r>
            </m:e>
            <m:sub>
              <m:r>
                <w:rPr>
                  <w:rFonts w:ascii="Cambria Math" w:hAnsi="Cambria Math"/>
                  <w:szCs w:val="20"/>
                </w:rPr>
                <m:t>k</m:t>
              </m:r>
            </m:sub>
          </m:sSub>
          <m:r>
            <w:rPr>
              <w:rFonts w:ascii="Cambria Math" w:hAnsi="Cambria Math"/>
              <w:szCs w:val="20"/>
            </w:rPr>
            <m:t xml:space="preserve">+ </m:t>
          </m:r>
          <m:nary>
            <m:naryPr>
              <m:chr m:val="∑"/>
              <m:limLoc m:val="subSup"/>
              <m:supHide m:val="1"/>
              <m:ctrlPr>
                <w:rPr>
                  <w:rFonts w:ascii="Cambria Math" w:hAnsi="Cambria Math"/>
                  <w:i/>
                  <w:szCs w:val="20"/>
                </w:rPr>
              </m:ctrlPr>
            </m:naryPr>
            <m:sub>
              <m:r>
                <w:rPr>
                  <w:rFonts w:ascii="Cambria Math" w:hAnsi="Cambria Math"/>
                  <w:szCs w:val="20"/>
                </w:rPr>
                <m:t>J</m:t>
              </m:r>
            </m:sub>
            <m:sup/>
            <m:e>
              <m:sSub>
                <m:sSubPr>
                  <m:ctrlPr>
                    <w:rPr>
                      <w:rFonts w:ascii="Cambria Math" w:hAnsi="Cambria Math"/>
                      <w:i/>
                      <w:szCs w:val="20"/>
                    </w:rPr>
                  </m:ctrlPr>
                </m:sSubPr>
                <m:e>
                  <m:r>
                    <w:rPr>
                      <w:rFonts w:ascii="Cambria Math" w:hAnsi="Cambria Math"/>
                      <w:szCs w:val="20"/>
                    </w:rPr>
                    <m:t>β</m:t>
                  </m:r>
                </m:e>
                <m:sub>
                  <m:r>
                    <w:rPr>
                      <w:rFonts w:ascii="Cambria Math" w:hAnsi="Cambria Math"/>
                      <w:szCs w:val="20"/>
                    </w:rPr>
                    <m:t>2</m:t>
                  </m:r>
                </m:sub>
              </m:sSub>
              <m:r>
                <w:rPr>
                  <w:rFonts w:ascii="Cambria Math" w:hAnsi="Cambria Math"/>
                  <w:szCs w:val="20"/>
                </w:rPr>
                <m:t>Mont</m:t>
              </m:r>
              <m:sSub>
                <m:sSubPr>
                  <m:ctrlPr>
                    <w:rPr>
                      <w:rFonts w:ascii="Cambria Math" w:hAnsi="Cambria Math"/>
                      <w:i/>
                      <w:szCs w:val="20"/>
                    </w:rPr>
                  </m:ctrlPr>
                </m:sSubPr>
                <m:e>
                  <m:r>
                    <w:rPr>
                      <w:rFonts w:ascii="Cambria Math" w:hAnsi="Cambria Math"/>
                      <w:szCs w:val="20"/>
                    </w:rPr>
                    <m:t>h</m:t>
                  </m:r>
                </m:e>
                <m:sub>
                  <m:r>
                    <w:rPr>
                      <w:rFonts w:ascii="Cambria Math" w:hAnsi="Cambria Math"/>
                      <w:szCs w:val="20"/>
                    </w:rPr>
                    <m:t>jt</m:t>
                  </m:r>
                </m:sub>
              </m:sSub>
            </m:e>
          </m:nary>
          <m:r>
            <w:rPr>
              <w:rFonts w:ascii="Cambria Math" w:hAnsi="Cambria Math"/>
              <w:szCs w:val="20"/>
            </w:rPr>
            <m:t>+</m:t>
          </m:r>
          <m:nary>
            <m:naryPr>
              <m:chr m:val="∑"/>
              <m:limLoc m:val="undOvr"/>
              <m:supHide m:val="1"/>
              <m:ctrlPr>
                <w:rPr>
                  <w:rFonts w:ascii="Cambria Math" w:eastAsiaTheme="minorEastAsia" w:hAnsi="Cambria Math"/>
                  <w:i/>
                  <w:szCs w:val="20"/>
                </w:rPr>
              </m:ctrlPr>
            </m:naryPr>
            <m:sub>
              <m:r>
                <w:rPr>
                  <w:rFonts w:ascii="Cambria Math" w:eastAsiaTheme="minorEastAsia" w:hAnsi="Cambria Math"/>
                  <w:szCs w:val="20"/>
                </w:rPr>
                <m:t>J</m:t>
              </m:r>
            </m:sub>
            <m:sup/>
            <m:e>
              <m:sSub>
                <m:sSubPr>
                  <m:ctrlPr>
                    <w:rPr>
                      <w:rFonts w:ascii="Cambria Math" w:eastAsiaTheme="minorEastAsia" w:hAnsi="Cambria Math"/>
                      <w:i/>
                      <w:szCs w:val="20"/>
                    </w:rPr>
                  </m:ctrlPr>
                </m:sSubPr>
                <m:e>
                  <m:r>
                    <w:rPr>
                      <w:rFonts w:ascii="Cambria Math" w:eastAsiaTheme="minorEastAsia" w:hAnsi="Cambria Math"/>
                      <w:szCs w:val="20"/>
                    </w:rPr>
                    <m:t>β</m:t>
                  </m:r>
                </m:e>
                <m:sub>
                  <m:r>
                    <w:rPr>
                      <w:rFonts w:ascii="Cambria Math" w:eastAsiaTheme="minorEastAsia" w:hAnsi="Cambria Math"/>
                      <w:szCs w:val="20"/>
                    </w:rPr>
                    <m:t>3</m:t>
                  </m:r>
                </m:sub>
              </m:sSub>
              <m:r>
                <w:rPr>
                  <w:rFonts w:ascii="Cambria Math" w:eastAsiaTheme="minorEastAsia" w:hAnsi="Cambria Math"/>
                  <w:szCs w:val="20"/>
                </w:rPr>
                <m:t>Mont</m:t>
              </m:r>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jt</m:t>
                  </m:r>
                </m:sub>
              </m:sSub>
              <m:r>
                <w:rPr>
                  <w:rFonts w:ascii="Cambria Math" w:hAnsi="Cambria Math"/>
                  <w:sz w:val="18"/>
                  <w:szCs w:val="20"/>
                </w:rPr>
                <m:t>∙ADUla</m:t>
              </m:r>
              <m:sSub>
                <m:sSubPr>
                  <m:ctrlPr>
                    <w:rPr>
                      <w:rFonts w:ascii="Cambria Math" w:hAnsi="Cambria Math"/>
                      <w:i/>
                      <w:sz w:val="18"/>
                      <w:szCs w:val="18"/>
                    </w:rPr>
                  </m:ctrlPr>
                </m:sSubPr>
                <m:e>
                  <m:r>
                    <w:rPr>
                      <w:rFonts w:ascii="Cambria Math" w:hAnsi="Cambria Math"/>
                      <w:sz w:val="18"/>
                      <w:szCs w:val="20"/>
                    </w:rPr>
                    <m:t>g</m:t>
                  </m:r>
                </m:e>
                <m:sub>
                  <m:r>
                    <w:rPr>
                      <w:rFonts w:ascii="Cambria Math" w:hAnsi="Cambria Math"/>
                      <w:sz w:val="18"/>
                      <w:szCs w:val="20"/>
                    </w:rPr>
                    <m:t>kt</m:t>
                  </m:r>
                </m:sub>
              </m:sSub>
            </m:e>
          </m:nary>
          <m:r>
            <w:rPr>
              <w:rFonts w:ascii="Cambria Math" w:eastAsiaTheme="minorEastAsia" w:hAnsi="Cambria Math"/>
              <w:szCs w:val="20"/>
            </w:rPr>
            <m:t xml:space="preserve">+ </m:t>
          </m:r>
          <m:sSub>
            <m:sSubPr>
              <m:ctrlPr>
                <w:rPr>
                  <w:rFonts w:ascii="Cambria Math" w:eastAsiaTheme="minorEastAsia" w:hAnsi="Cambria Math"/>
                  <w:i/>
                  <w:szCs w:val="20"/>
                </w:rPr>
              </m:ctrlPr>
            </m:sSubPr>
            <m:e>
              <m:r>
                <w:rPr>
                  <w:rFonts w:ascii="Cambria Math" w:eastAsiaTheme="minorEastAsia" w:hAnsi="Cambria Math"/>
                  <w:szCs w:val="20"/>
                </w:rPr>
                <m:t>ε</m:t>
              </m:r>
            </m:e>
            <m:sub>
              <m:r>
                <w:rPr>
                  <w:rFonts w:ascii="Cambria Math" w:eastAsiaTheme="minorEastAsia" w:hAnsi="Cambria Math"/>
                  <w:szCs w:val="20"/>
                </w:rPr>
                <m:t>kt</m:t>
              </m:r>
            </m:sub>
          </m:sSub>
        </m:oMath>
      </m:oMathPara>
    </w:p>
    <w:p w14:paraId="716164E6" w14:textId="77777777" w:rsidR="00EE614F" w:rsidRPr="00EE614F" w:rsidRDefault="00EE614F" w:rsidP="00EE614F">
      <w:pPr>
        <w:keepNext/>
        <w:keepLines/>
        <w:suppressAutoHyphens w:val="0"/>
        <w:autoSpaceDN/>
        <w:spacing w:before="0" w:after="0"/>
        <w:rPr>
          <w:szCs w:val="20"/>
        </w:rPr>
      </w:pPr>
      <w:r w:rsidRPr="00EE614F">
        <w:rPr>
          <w:szCs w:val="20"/>
        </w:rPr>
        <w:t>Where:</w:t>
      </w:r>
    </w:p>
    <w:p w14:paraId="4068B7E7" w14:textId="77777777" w:rsidR="00EE614F" w:rsidRPr="00EE614F" w:rsidRDefault="00000000" w:rsidP="00EE614F">
      <w:pPr>
        <w:keepNext/>
        <w:keepLines/>
        <w:suppressAutoHyphens w:val="0"/>
        <w:autoSpaceDN/>
        <w:spacing w:before="0" w:after="60"/>
        <w:ind w:firstLine="720"/>
        <w:rPr>
          <w:i/>
          <w:szCs w:val="20"/>
        </w:rPr>
      </w:pPr>
      <m:oMath>
        <m:sSub>
          <m:sSubPr>
            <m:ctrlPr>
              <w:rPr>
                <w:rFonts w:ascii="Cambria Math" w:hAnsi="Cambria Math"/>
                <w:i/>
                <w:szCs w:val="20"/>
              </w:rPr>
            </m:ctrlPr>
          </m:sSubPr>
          <m:e>
            <m:r>
              <w:rPr>
                <w:rFonts w:ascii="Cambria Math" w:hAnsi="Cambria Math"/>
                <w:szCs w:val="20"/>
              </w:rPr>
              <m:t>ADU</m:t>
            </m:r>
          </m:e>
          <m:sub>
            <m:r>
              <w:rPr>
                <w:rFonts w:ascii="Cambria Math" w:hAnsi="Cambria Math"/>
                <w:szCs w:val="20"/>
              </w:rPr>
              <m:t>kt</m:t>
            </m:r>
          </m:sub>
        </m:sSub>
      </m:oMath>
      <w:r w:rsidR="00EE614F" w:rsidRPr="00EE614F">
        <w:rPr>
          <w:szCs w:val="20"/>
        </w:rPr>
        <w:tab/>
      </w:r>
      <w:r w:rsidR="00EE614F" w:rsidRPr="00EE614F">
        <w:rPr>
          <w:szCs w:val="20"/>
        </w:rPr>
        <w:tab/>
        <w:t xml:space="preserve">is average daily consumption of therms by household </w:t>
      </w:r>
      <w:r w:rsidR="00EE614F" w:rsidRPr="00EE614F">
        <w:rPr>
          <w:i/>
          <w:szCs w:val="20"/>
        </w:rPr>
        <w:t>k</w:t>
      </w:r>
      <w:r w:rsidR="00EE614F" w:rsidRPr="00EE614F">
        <w:rPr>
          <w:szCs w:val="20"/>
        </w:rPr>
        <w:t xml:space="preserve"> in bill period </w:t>
      </w:r>
      <w:r w:rsidR="00EE614F" w:rsidRPr="00EE614F">
        <w:rPr>
          <w:i/>
          <w:szCs w:val="20"/>
        </w:rPr>
        <w:t>t</w:t>
      </w:r>
    </w:p>
    <w:p w14:paraId="0C63E593" w14:textId="77777777" w:rsidR="00EE614F" w:rsidRPr="00EE614F" w:rsidRDefault="00000000" w:rsidP="00EE614F">
      <w:pPr>
        <w:keepNext/>
        <w:keepLines/>
        <w:suppressAutoHyphens w:val="0"/>
        <w:autoSpaceDN/>
        <w:spacing w:before="0" w:after="60"/>
        <w:ind w:left="2160" w:hanging="1440"/>
        <w:rPr>
          <w:szCs w:val="20"/>
        </w:rPr>
      </w:pPr>
      <m:oMath>
        <m:sSub>
          <m:sSubPr>
            <m:ctrlPr>
              <w:rPr>
                <w:rFonts w:ascii="Cambria Math" w:hAnsi="Cambria Math"/>
                <w:i/>
                <w:szCs w:val="20"/>
              </w:rPr>
            </m:ctrlPr>
          </m:sSubPr>
          <m:e>
            <m:r>
              <w:rPr>
                <w:rFonts w:ascii="Cambria Math" w:hAnsi="Cambria Math"/>
                <w:szCs w:val="20"/>
              </w:rPr>
              <m:t>Treatment</m:t>
            </m:r>
          </m:e>
          <m:sub>
            <m:r>
              <w:rPr>
                <w:rFonts w:ascii="Cambria Math" w:hAnsi="Cambria Math"/>
                <w:szCs w:val="20"/>
              </w:rPr>
              <m:t>k</m:t>
            </m:r>
          </m:sub>
        </m:sSub>
      </m:oMath>
      <w:r w:rsidR="00EE614F" w:rsidRPr="00EE614F">
        <w:rPr>
          <w:szCs w:val="20"/>
        </w:rPr>
        <w:tab/>
        <w:t>is a binary variable taking a value of 0 if household k is assigned to the control group, and 1 if assigned to the treatment group</w:t>
      </w:r>
    </w:p>
    <w:p w14:paraId="6F6AE4E8" w14:textId="77777777" w:rsidR="00EE614F" w:rsidRPr="00EE614F" w:rsidRDefault="00000000" w:rsidP="00EE614F">
      <w:pPr>
        <w:keepNext/>
        <w:keepLines/>
        <w:suppressAutoHyphens w:val="0"/>
        <w:autoSpaceDN/>
        <w:spacing w:before="0" w:after="60"/>
        <w:ind w:left="2160" w:hanging="1440"/>
        <w:rPr>
          <w:szCs w:val="20"/>
        </w:rPr>
      </w:pPr>
      <m:oMath>
        <m:sSub>
          <m:sSubPr>
            <m:ctrlPr>
              <w:rPr>
                <w:rFonts w:ascii="Cambria Math" w:hAnsi="Cambria Math"/>
                <w:i/>
                <w:szCs w:val="20"/>
              </w:rPr>
            </m:ctrlPr>
          </m:sSubPr>
          <m:e>
            <m:r>
              <w:rPr>
                <w:rFonts w:ascii="Cambria Math" w:hAnsi="Cambria Math"/>
                <w:szCs w:val="20"/>
              </w:rPr>
              <m:t>Month</m:t>
            </m:r>
          </m:e>
          <m:sub>
            <m:r>
              <w:rPr>
                <w:rFonts w:ascii="Cambria Math" w:hAnsi="Cambria Math"/>
                <w:szCs w:val="20"/>
              </w:rPr>
              <m:t>jt</m:t>
            </m:r>
          </m:sub>
        </m:sSub>
      </m:oMath>
      <w:r w:rsidR="00EE614F" w:rsidRPr="00EE614F">
        <w:rPr>
          <w:szCs w:val="20"/>
        </w:rPr>
        <w:tab/>
        <w:t>is a binary variable taking a value of 1 when j = t and 0 otherwise</w:t>
      </w:r>
      <w:r w:rsidR="00EE614F" w:rsidRPr="00EE614F">
        <w:rPr>
          <w:szCs w:val="20"/>
          <w:vertAlign w:val="superscript"/>
        </w:rPr>
        <w:footnoteReference w:id="9"/>
      </w:r>
    </w:p>
    <w:p w14:paraId="72DC946F" w14:textId="77777777" w:rsidR="00EE614F" w:rsidRPr="00EE614F" w:rsidRDefault="00000000" w:rsidP="00EE614F">
      <w:pPr>
        <w:keepNext/>
        <w:keepLines/>
        <w:suppressAutoHyphens w:val="0"/>
        <w:autoSpaceDN/>
        <w:spacing w:before="0" w:after="60"/>
        <w:ind w:left="2160" w:hanging="1440"/>
        <w:rPr>
          <w:szCs w:val="20"/>
        </w:rPr>
      </w:pPr>
      <m:oMath>
        <m:sSub>
          <m:sSubPr>
            <m:ctrlPr>
              <w:rPr>
                <w:rFonts w:ascii="Cambria Math" w:hAnsi="Cambria Math"/>
                <w:i/>
                <w:szCs w:val="20"/>
              </w:rPr>
            </m:ctrlPr>
          </m:sSubPr>
          <m:e>
            <m:r>
              <w:rPr>
                <w:rFonts w:ascii="Cambria Math" w:hAnsi="Cambria Math"/>
                <w:szCs w:val="20"/>
              </w:rPr>
              <m:t>ADUlag</m:t>
            </m:r>
          </m:e>
          <m:sub>
            <m:r>
              <w:rPr>
                <w:rFonts w:ascii="Cambria Math" w:hAnsi="Cambria Math"/>
                <w:szCs w:val="20"/>
              </w:rPr>
              <m:t>kt</m:t>
            </m:r>
          </m:sub>
        </m:sSub>
      </m:oMath>
      <w:r w:rsidR="00EE614F" w:rsidRPr="00EE614F">
        <w:rPr>
          <w:szCs w:val="20"/>
        </w:rPr>
        <w:tab/>
        <w:t xml:space="preserve">is household </w:t>
      </w:r>
      <w:r w:rsidR="00EE614F" w:rsidRPr="00EE614F">
        <w:rPr>
          <w:i/>
          <w:szCs w:val="20"/>
        </w:rPr>
        <w:t>k</w:t>
      </w:r>
      <w:r w:rsidR="00EE614F" w:rsidRPr="00EE614F">
        <w:rPr>
          <w:szCs w:val="20"/>
        </w:rPr>
        <w:t xml:space="preserve">’s energy use in the same calendar month of the pre-program year as the calendar month of month </w:t>
      </w:r>
      <w:r w:rsidR="00EE614F" w:rsidRPr="00EE614F">
        <w:rPr>
          <w:i/>
          <w:szCs w:val="20"/>
        </w:rPr>
        <w:t>t</w:t>
      </w:r>
    </w:p>
    <w:p w14:paraId="133765C8" w14:textId="77777777" w:rsidR="00EE614F" w:rsidRPr="00EE614F" w:rsidRDefault="00000000" w:rsidP="00EE614F">
      <w:pPr>
        <w:keepLines/>
        <w:suppressAutoHyphens w:val="0"/>
        <w:autoSpaceDN/>
        <w:spacing w:before="0" w:after="60"/>
        <w:ind w:left="2160" w:hanging="1440"/>
        <w:rPr>
          <w:szCs w:val="20"/>
        </w:rPr>
      </w:pPr>
      <m:oMath>
        <m:sSub>
          <m:sSubPr>
            <m:ctrlPr>
              <w:rPr>
                <w:rFonts w:ascii="Cambria Math" w:hAnsi="Cambria Math"/>
                <w:i/>
                <w:szCs w:val="20"/>
              </w:rPr>
            </m:ctrlPr>
          </m:sSubPr>
          <m:e>
            <m:r>
              <w:rPr>
                <w:rFonts w:ascii="Cambria Math" w:hAnsi="Cambria Math"/>
                <w:szCs w:val="20"/>
              </w:rPr>
              <m:t>ε</m:t>
            </m:r>
          </m:e>
          <m:sub>
            <m:r>
              <w:rPr>
                <w:rFonts w:ascii="Cambria Math" w:hAnsi="Cambria Math"/>
                <w:szCs w:val="20"/>
              </w:rPr>
              <m:t>kt</m:t>
            </m:r>
          </m:sub>
        </m:sSub>
      </m:oMath>
      <w:r w:rsidR="00EE614F" w:rsidRPr="00EE614F">
        <w:rPr>
          <w:rFonts w:ascii="Verdana" w:hAnsi="Verdana"/>
          <w:szCs w:val="20"/>
        </w:rPr>
        <w:t xml:space="preserve"> </w:t>
      </w:r>
      <w:r w:rsidR="00EE614F" w:rsidRPr="00EE614F">
        <w:rPr>
          <w:rFonts w:ascii="Verdana" w:hAnsi="Verdana"/>
          <w:szCs w:val="20"/>
        </w:rPr>
        <w:tab/>
      </w:r>
      <w:r w:rsidR="00EE614F" w:rsidRPr="00EE614F">
        <w:rPr>
          <w:szCs w:val="20"/>
        </w:rPr>
        <w:t xml:space="preserve">is the cluster-robust error term for household </w:t>
      </w:r>
      <w:r w:rsidR="00EE614F" w:rsidRPr="00EE614F">
        <w:rPr>
          <w:i/>
          <w:szCs w:val="20"/>
        </w:rPr>
        <w:t>k</w:t>
      </w:r>
      <w:r w:rsidR="00EE614F" w:rsidRPr="00EE614F">
        <w:rPr>
          <w:szCs w:val="20"/>
        </w:rPr>
        <w:t xml:space="preserve"> during billing cycle </w:t>
      </w:r>
      <w:r w:rsidR="00EE614F" w:rsidRPr="00EE614F">
        <w:rPr>
          <w:i/>
          <w:szCs w:val="20"/>
        </w:rPr>
        <w:t xml:space="preserve">t; </w:t>
      </w:r>
      <w:r w:rsidR="00EE614F" w:rsidRPr="00EE614F">
        <w:rPr>
          <w:szCs w:val="20"/>
        </w:rPr>
        <w:t>cluster-robust errors account for heteroskedasticity and autocorrelation at the household level</w:t>
      </w:r>
    </w:p>
    <w:p w14:paraId="4F485C15" w14:textId="77777777" w:rsidR="00EE614F" w:rsidRPr="00EE614F" w:rsidRDefault="00EE614F" w:rsidP="00EE614F">
      <w:pPr>
        <w:keepLines/>
        <w:suppressAutoHyphens w:val="0"/>
        <w:autoSpaceDN/>
        <w:spacing w:before="0" w:after="0"/>
        <w:ind w:left="2160" w:hanging="1440"/>
        <w:rPr>
          <w:szCs w:val="20"/>
        </w:rPr>
      </w:pPr>
    </w:p>
    <w:p w14:paraId="260174D6" w14:textId="77777777" w:rsidR="00EE614F" w:rsidRPr="00EE614F" w:rsidRDefault="00EE614F" w:rsidP="00EE614F">
      <w:pPr>
        <w:suppressAutoHyphens w:val="0"/>
        <w:autoSpaceDN/>
        <w:spacing w:before="0" w:after="240"/>
        <w:rPr>
          <w:szCs w:val="20"/>
        </w:rPr>
      </w:pPr>
      <w:r w:rsidRPr="00EE614F">
        <w:rPr>
          <w:szCs w:val="20"/>
        </w:rPr>
        <w:t xml:space="preserve">The coefficient </w:t>
      </w:r>
      <w:r w:rsidRPr="00EE614F">
        <w:rPr>
          <w:rFonts w:cs="Arial"/>
          <w:szCs w:val="20"/>
        </w:rPr>
        <w:t>β</w:t>
      </w:r>
      <w:r w:rsidRPr="00EE614F">
        <w:rPr>
          <w:rFonts w:cs="Arial"/>
          <w:szCs w:val="20"/>
          <w:vertAlign w:val="subscript"/>
        </w:rPr>
        <w:t>1</w:t>
      </w:r>
      <w:r w:rsidRPr="00EE614F">
        <w:rPr>
          <w:szCs w:val="20"/>
        </w:rPr>
        <w:t xml:space="preserve"> is the estimate of average daily therms energy savings due to the program.</w:t>
      </w:r>
    </w:p>
    <w:p w14:paraId="20EBFC1A" w14:textId="77777777" w:rsidR="00EE614F" w:rsidRPr="00EE614F" w:rsidRDefault="00EE614F" w:rsidP="00EE614F">
      <w:pPr>
        <w:keepNext/>
        <w:suppressAutoHyphens w:val="0"/>
        <w:autoSpaceDN/>
        <w:spacing w:before="0" w:after="240"/>
        <w:rPr>
          <w:b/>
          <w:noProof/>
          <w:szCs w:val="16"/>
        </w:rPr>
      </w:pPr>
      <w:r w:rsidRPr="00EE614F">
        <w:rPr>
          <w:b/>
          <w:noProof/>
          <w:szCs w:val="16"/>
        </w:rPr>
        <w:t>Linear Fixed Effects Regression Model</w:t>
      </w:r>
    </w:p>
    <w:p w14:paraId="18333A6E" w14:textId="77777777" w:rsidR="00EE614F" w:rsidRPr="00EE614F" w:rsidRDefault="00EE614F" w:rsidP="00EE614F">
      <w:pPr>
        <w:suppressAutoHyphens w:val="0"/>
        <w:autoSpaceDN/>
        <w:spacing w:before="0" w:after="240"/>
        <w:rPr>
          <w:szCs w:val="20"/>
        </w:rPr>
      </w:pPr>
      <w:r w:rsidRPr="00EE614F">
        <w:rPr>
          <w:szCs w:val="20"/>
        </w:rPr>
        <w:t xml:space="preserve">The LFER model used by the evaluation team is one in which the average daily consumption of therms by household </w:t>
      </w:r>
      <w:r w:rsidRPr="00EE614F">
        <w:rPr>
          <w:i/>
          <w:szCs w:val="20"/>
        </w:rPr>
        <w:t>k</w:t>
      </w:r>
      <w:r w:rsidRPr="00EE614F">
        <w:rPr>
          <w:szCs w:val="20"/>
        </w:rPr>
        <w:t xml:space="preserve"> in bill period </w:t>
      </w:r>
      <w:r w:rsidRPr="00EE614F">
        <w:rPr>
          <w:i/>
          <w:szCs w:val="20"/>
        </w:rPr>
        <w:t>t</w:t>
      </w:r>
      <w:r w:rsidRPr="00EE614F">
        <w:rPr>
          <w:szCs w:val="20"/>
        </w:rPr>
        <w:t xml:space="preserve">, denoted by </w:t>
      </w:r>
      <w:proofErr w:type="spellStart"/>
      <w:r w:rsidRPr="00EE614F">
        <w:rPr>
          <w:i/>
          <w:szCs w:val="20"/>
        </w:rPr>
        <w:t>ADU</w:t>
      </w:r>
      <w:r w:rsidRPr="00EE614F">
        <w:rPr>
          <w:i/>
          <w:szCs w:val="20"/>
          <w:vertAlign w:val="subscript"/>
        </w:rPr>
        <w:t>kt</w:t>
      </w:r>
      <w:proofErr w:type="spellEnd"/>
      <w:r w:rsidRPr="00EE614F">
        <w:rPr>
          <w:i/>
          <w:szCs w:val="20"/>
        </w:rPr>
        <w:t xml:space="preserve"> </w:t>
      </w:r>
      <w:r w:rsidRPr="00EE614F">
        <w:rPr>
          <w:szCs w:val="20"/>
        </w:rPr>
        <w:t>is a function of the following three terms:</w:t>
      </w:r>
    </w:p>
    <w:p w14:paraId="00553E4B" w14:textId="77777777" w:rsidR="00EE614F" w:rsidRPr="00EE614F" w:rsidRDefault="00EE614F" w:rsidP="00EE614F">
      <w:pPr>
        <w:numPr>
          <w:ilvl w:val="0"/>
          <w:numId w:val="59"/>
        </w:numPr>
        <w:suppressAutoHyphens w:val="0"/>
        <w:autoSpaceDN/>
        <w:spacing w:before="0" w:after="0"/>
        <w:rPr>
          <w:szCs w:val="20"/>
        </w:rPr>
      </w:pPr>
      <w:r w:rsidRPr="00EE614F">
        <w:rPr>
          <w:szCs w:val="20"/>
        </w:rPr>
        <w:t xml:space="preserve">The binary variable </w:t>
      </w:r>
      <w:proofErr w:type="spellStart"/>
      <w:r w:rsidRPr="00EE614F">
        <w:rPr>
          <w:i/>
          <w:szCs w:val="20"/>
        </w:rPr>
        <w:t>Treatment</w:t>
      </w:r>
      <w:r w:rsidRPr="00EE614F">
        <w:rPr>
          <w:i/>
          <w:szCs w:val="20"/>
          <w:vertAlign w:val="subscript"/>
        </w:rPr>
        <w:t>k</w:t>
      </w:r>
      <w:proofErr w:type="spellEnd"/>
      <w:r w:rsidRPr="00EE614F">
        <w:rPr>
          <w:szCs w:val="20"/>
          <w:vertAlign w:val="subscript"/>
        </w:rPr>
        <w:t>.</w:t>
      </w:r>
    </w:p>
    <w:p w14:paraId="61437CCA" w14:textId="77777777" w:rsidR="00EE614F" w:rsidRPr="00EE614F" w:rsidRDefault="00EE614F" w:rsidP="00EE614F">
      <w:pPr>
        <w:numPr>
          <w:ilvl w:val="0"/>
          <w:numId w:val="59"/>
        </w:numPr>
        <w:suppressAutoHyphens w:val="0"/>
        <w:autoSpaceDN/>
        <w:spacing w:before="0" w:after="0"/>
        <w:rPr>
          <w:szCs w:val="20"/>
        </w:rPr>
      </w:pPr>
      <w:r w:rsidRPr="00EE614F">
        <w:rPr>
          <w:szCs w:val="20"/>
        </w:rPr>
        <w:t xml:space="preserve">The binary variable </w:t>
      </w:r>
      <w:proofErr w:type="spellStart"/>
      <w:r w:rsidRPr="00EE614F">
        <w:rPr>
          <w:i/>
          <w:szCs w:val="20"/>
        </w:rPr>
        <w:t>Post</w:t>
      </w:r>
      <w:r w:rsidRPr="00EE614F">
        <w:rPr>
          <w:i/>
          <w:szCs w:val="20"/>
          <w:vertAlign w:val="subscript"/>
        </w:rPr>
        <w:t>t</w:t>
      </w:r>
      <w:proofErr w:type="spellEnd"/>
      <w:r w:rsidRPr="00EE614F">
        <w:rPr>
          <w:szCs w:val="20"/>
        </w:rPr>
        <w:t xml:space="preserve">, taking a value of 0 if month </w:t>
      </w:r>
      <w:r w:rsidRPr="00EE614F">
        <w:rPr>
          <w:i/>
          <w:szCs w:val="20"/>
        </w:rPr>
        <w:t>t</w:t>
      </w:r>
      <w:r w:rsidRPr="00EE614F">
        <w:rPr>
          <w:szCs w:val="20"/>
        </w:rPr>
        <w:t xml:space="preserve"> is in the pre-treatment period, and 1 if in the post-treatment period</w:t>
      </w:r>
    </w:p>
    <w:p w14:paraId="75173E67" w14:textId="77777777" w:rsidR="00EE614F" w:rsidRPr="00EE614F" w:rsidRDefault="00EE614F" w:rsidP="00EE614F">
      <w:pPr>
        <w:numPr>
          <w:ilvl w:val="0"/>
          <w:numId w:val="59"/>
        </w:numPr>
        <w:suppressAutoHyphens w:val="0"/>
        <w:autoSpaceDN/>
        <w:spacing w:before="0" w:after="0"/>
        <w:rPr>
          <w:szCs w:val="20"/>
        </w:rPr>
      </w:pPr>
      <w:r w:rsidRPr="00EE614F">
        <w:rPr>
          <w:szCs w:val="20"/>
        </w:rPr>
        <w:t xml:space="preserve">The interaction between these variables, </w:t>
      </w:r>
      <w:proofErr w:type="spellStart"/>
      <w:r w:rsidRPr="00EE614F">
        <w:rPr>
          <w:i/>
          <w:szCs w:val="20"/>
        </w:rPr>
        <w:t>Treatment</w:t>
      </w:r>
      <w:r w:rsidRPr="00EE614F">
        <w:rPr>
          <w:i/>
          <w:szCs w:val="20"/>
          <w:vertAlign w:val="subscript"/>
        </w:rPr>
        <w:t>k</w:t>
      </w:r>
      <w:proofErr w:type="spellEnd"/>
      <w:r w:rsidRPr="00EE614F">
        <w:rPr>
          <w:i/>
          <w:szCs w:val="20"/>
          <w:vertAlign w:val="subscript"/>
        </w:rPr>
        <w:t xml:space="preserve"> </w:t>
      </w:r>
      <w:r w:rsidRPr="00EE614F">
        <w:rPr>
          <w:szCs w:val="20"/>
        </w:rPr>
        <w:t>·</w:t>
      </w:r>
      <w:proofErr w:type="spellStart"/>
      <w:r w:rsidRPr="00EE614F">
        <w:rPr>
          <w:i/>
          <w:szCs w:val="20"/>
        </w:rPr>
        <w:t>Post</w:t>
      </w:r>
      <w:r w:rsidRPr="00EE614F">
        <w:rPr>
          <w:i/>
          <w:szCs w:val="20"/>
          <w:vertAlign w:val="subscript"/>
        </w:rPr>
        <w:t>t</w:t>
      </w:r>
      <w:proofErr w:type="spellEnd"/>
    </w:p>
    <w:p w14:paraId="17C1E8A9" w14:textId="77777777" w:rsidR="00EE614F" w:rsidRPr="00EE614F" w:rsidRDefault="00EE614F" w:rsidP="00EE614F">
      <w:pPr>
        <w:suppressAutoHyphens w:val="0"/>
        <w:autoSpaceDN/>
        <w:spacing w:before="0" w:after="0"/>
        <w:rPr>
          <w:szCs w:val="20"/>
        </w:rPr>
      </w:pPr>
    </w:p>
    <w:p w14:paraId="05075CF6" w14:textId="1A9BADD9" w:rsidR="00EE614F" w:rsidRPr="00EE614F" w:rsidRDefault="00EE614F" w:rsidP="00EE614F">
      <w:pPr>
        <w:suppressAutoHyphens w:val="0"/>
        <w:autoSpaceDN/>
        <w:spacing w:before="0" w:after="240"/>
        <w:rPr>
          <w:szCs w:val="20"/>
        </w:rPr>
      </w:pPr>
      <w:r w:rsidRPr="00EE614F">
        <w:rPr>
          <w:szCs w:val="20"/>
        </w:rPr>
        <w:t xml:space="preserve">Formally, the LFER model is shown in </w:t>
      </w:r>
      <w:r w:rsidRPr="00124445">
        <w:rPr>
          <w:szCs w:val="20"/>
        </w:rPr>
        <w:fldChar w:fldCharType="begin"/>
      </w:r>
      <w:r w:rsidRPr="00EE614F">
        <w:rPr>
          <w:szCs w:val="20"/>
        </w:rPr>
        <w:instrText xml:space="preserve"> REF _Ref132906210 \h </w:instrText>
      </w:r>
      <w:r w:rsidR="00D55C51">
        <w:rPr>
          <w:szCs w:val="20"/>
        </w:rPr>
        <w:instrText xml:space="preserve"> \* MERGEFORMAT </w:instrText>
      </w:r>
      <w:r w:rsidRPr="00124445">
        <w:rPr>
          <w:szCs w:val="20"/>
        </w:rPr>
      </w:r>
      <w:r w:rsidRPr="00124445">
        <w:rPr>
          <w:szCs w:val="20"/>
        </w:rPr>
        <w:fldChar w:fldCharType="separate"/>
      </w:r>
      <w:r w:rsidR="00004A03" w:rsidRPr="00004A03">
        <w:rPr>
          <w:szCs w:val="20"/>
        </w:rPr>
        <w:t>Equation 2</w:t>
      </w:r>
      <w:r w:rsidRPr="00124445">
        <w:rPr>
          <w:szCs w:val="20"/>
        </w:rPr>
        <w:fldChar w:fldCharType="end"/>
      </w:r>
      <w:r w:rsidRPr="00EE614F">
        <w:rPr>
          <w:szCs w:val="20"/>
        </w:rPr>
        <w:t>.</w:t>
      </w:r>
    </w:p>
    <w:p w14:paraId="0685FA60" w14:textId="26E6EBB4" w:rsidR="00EE614F" w:rsidRPr="00004A03" w:rsidRDefault="00EE614F" w:rsidP="00EE614F">
      <w:pPr>
        <w:keepNext/>
        <w:suppressAutoHyphens w:val="0"/>
        <w:autoSpaceDN/>
        <w:spacing w:before="0"/>
        <w:jc w:val="center"/>
        <w:rPr>
          <w:rFonts w:ascii="Arial Bold" w:hAnsi="Arial Bold" w:cs="Arial"/>
          <w:b/>
          <w:bCs/>
          <w:szCs w:val="20"/>
        </w:rPr>
      </w:pPr>
      <w:bookmarkStart w:id="55" w:name="_Ref132906210"/>
      <w:bookmarkStart w:id="56" w:name="_Ref132906201"/>
      <w:bookmarkStart w:id="57" w:name="_Toc137824506"/>
      <w:bookmarkStart w:id="58" w:name="_Toc172553815"/>
      <w:r w:rsidRPr="00004A03">
        <w:rPr>
          <w:rFonts w:ascii="Arial Bold" w:hAnsi="Arial Bold" w:cs="Arial"/>
          <w:b/>
          <w:bCs/>
          <w:szCs w:val="20"/>
        </w:rPr>
        <w:t xml:space="preserve">Equation </w:t>
      </w:r>
      <w:r w:rsidRPr="00004A03">
        <w:rPr>
          <w:rFonts w:ascii="Arial Bold" w:hAnsi="Arial Bold" w:cs="Arial"/>
          <w:b/>
          <w:bCs/>
          <w:szCs w:val="20"/>
        </w:rPr>
        <w:fldChar w:fldCharType="begin"/>
      </w:r>
      <w:r w:rsidRPr="00004A03">
        <w:rPr>
          <w:rFonts w:ascii="Arial Bold" w:hAnsi="Arial Bold" w:cs="Arial"/>
          <w:b/>
          <w:bCs/>
          <w:szCs w:val="20"/>
        </w:rPr>
        <w:instrText xml:space="preserve"> SEQ Equation \* ARABIC \s 5 </w:instrText>
      </w:r>
      <w:r w:rsidRPr="00004A03">
        <w:rPr>
          <w:rFonts w:ascii="Arial Bold" w:hAnsi="Arial Bold" w:cs="Arial"/>
          <w:b/>
          <w:bCs/>
          <w:szCs w:val="20"/>
        </w:rPr>
        <w:fldChar w:fldCharType="separate"/>
      </w:r>
      <w:r w:rsidR="00004A03">
        <w:rPr>
          <w:rFonts w:ascii="Arial Bold" w:hAnsi="Arial Bold" w:cs="Arial"/>
          <w:b/>
          <w:bCs/>
          <w:noProof/>
          <w:szCs w:val="20"/>
        </w:rPr>
        <w:t>2</w:t>
      </w:r>
      <w:r w:rsidRPr="00004A03">
        <w:rPr>
          <w:rFonts w:ascii="Arial Bold" w:hAnsi="Arial Bold" w:cs="Arial"/>
          <w:b/>
          <w:bCs/>
          <w:noProof/>
          <w:szCs w:val="20"/>
        </w:rPr>
        <w:fldChar w:fldCharType="end"/>
      </w:r>
      <w:bookmarkEnd w:id="55"/>
      <w:r w:rsidRPr="00004A03">
        <w:rPr>
          <w:rFonts w:ascii="Arial Bold" w:hAnsi="Arial Bold" w:cs="Arial"/>
          <w:b/>
          <w:bCs/>
          <w:szCs w:val="20"/>
        </w:rPr>
        <w:t>. Linear Fixed Effects Regression Model</w:t>
      </w:r>
      <w:bookmarkEnd w:id="56"/>
      <w:bookmarkEnd w:id="57"/>
      <w:bookmarkEnd w:id="58"/>
    </w:p>
    <w:p w14:paraId="5CE2E068" w14:textId="77777777" w:rsidR="00EE614F" w:rsidRPr="00EE614F" w:rsidRDefault="00000000" w:rsidP="00EE614F">
      <w:pPr>
        <w:suppressAutoHyphens w:val="0"/>
        <w:autoSpaceDN/>
        <w:spacing w:before="0" w:after="0"/>
        <w:rPr>
          <w:rFonts w:ascii="Cambria Math" w:hAnsi="Cambria Math"/>
          <w:i/>
          <w:szCs w:val="20"/>
        </w:rPr>
      </w:pPr>
      <m:oMathPara>
        <m:oMath>
          <m:sSub>
            <m:sSubPr>
              <m:ctrlPr>
                <w:rPr>
                  <w:rFonts w:ascii="Cambria Math" w:hAnsi="Cambria Math"/>
                  <w:i/>
                  <w:szCs w:val="20"/>
                </w:rPr>
              </m:ctrlPr>
            </m:sSubPr>
            <m:e>
              <m:r>
                <w:rPr>
                  <w:rFonts w:ascii="Cambria Math" w:hAnsi="Cambria Math"/>
                  <w:szCs w:val="20"/>
                </w:rPr>
                <m:t>ADU</m:t>
              </m:r>
            </m:e>
            <m:sub>
              <m:r>
                <w:rPr>
                  <w:rFonts w:ascii="Cambria Math" w:hAnsi="Cambria Math"/>
                  <w:szCs w:val="20"/>
                </w:rPr>
                <m:t>kt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0k</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Post</m:t>
              </m:r>
            </m:e>
            <m:sub>
              <m:r>
                <w:rPr>
                  <w:rFonts w:ascii="Cambria Math" w:hAnsi="Cambria Math"/>
                  <w:szCs w:val="20"/>
                </w:rPr>
                <m:t>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sSub>
            <m:sSubPr>
              <m:ctrlPr>
                <w:rPr>
                  <w:rFonts w:ascii="Cambria Math" w:hAnsi="Cambria Math"/>
                  <w:i/>
                  <w:szCs w:val="20"/>
                </w:rPr>
              </m:ctrlPr>
            </m:sSubPr>
            <m:e>
              <m:r>
                <w:rPr>
                  <w:rFonts w:ascii="Cambria Math" w:hAnsi="Cambria Math"/>
                  <w:szCs w:val="20"/>
                </w:rPr>
                <m:t>Treatment</m:t>
              </m:r>
            </m:e>
            <m:sub>
              <m:r>
                <w:rPr>
                  <w:rFonts w:ascii="Cambria Math" w:hAnsi="Cambria Math"/>
                  <w:szCs w:val="20"/>
                </w:rPr>
                <m:t>k</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Post</m:t>
              </m:r>
            </m:e>
            <m:sub>
              <m:r>
                <w:rPr>
                  <w:rFonts w:ascii="Cambria Math" w:hAnsi="Cambria Math"/>
                  <w:szCs w:val="20"/>
                </w:rPr>
                <m:t>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ε</m:t>
              </m:r>
            </m:e>
            <m:sub>
              <m:r>
                <w:rPr>
                  <w:rFonts w:ascii="Cambria Math" w:hAnsi="Cambria Math"/>
                  <w:szCs w:val="20"/>
                </w:rPr>
                <m:t>kt</m:t>
              </m:r>
            </m:sub>
          </m:sSub>
        </m:oMath>
      </m:oMathPara>
    </w:p>
    <w:p w14:paraId="06C7E414" w14:textId="77777777" w:rsidR="00EE614F" w:rsidRPr="00EE614F" w:rsidRDefault="00EE614F" w:rsidP="00EE614F">
      <w:pPr>
        <w:suppressAutoHyphens w:val="0"/>
        <w:autoSpaceDN/>
        <w:spacing w:before="0" w:after="0"/>
        <w:rPr>
          <w:rFonts w:eastAsiaTheme="minorEastAsia"/>
          <w:szCs w:val="20"/>
        </w:rPr>
      </w:pPr>
    </w:p>
    <w:p w14:paraId="3D859521" w14:textId="77777777" w:rsidR="00EE614F" w:rsidRPr="00EE614F" w:rsidRDefault="00EE614F" w:rsidP="00EE614F">
      <w:pPr>
        <w:suppressAutoHyphens w:val="0"/>
        <w:autoSpaceDN/>
        <w:spacing w:before="0" w:after="240"/>
        <w:rPr>
          <w:szCs w:val="20"/>
        </w:rPr>
      </w:pPr>
      <w:r w:rsidRPr="00EE614F">
        <w:rPr>
          <w:rFonts w:eastAsiaTheme="minorEastAsia"/>
          <w:szCs w:val="20"/>
        </w:rPr>
        <w:lastRenderedPageBreak/>
        <w:t xml:space="preserve">Coefficient </w:t>
      </w:r>
      <w:r w:rsidRPr="00EE614F">
        <w:rPr>
          <w:szCs w:val="20"/>
        </w:rPr>
        <w:t>α</w:t>
      </w:r>
      <w:r w:rsidRPr="00EE614F">
        <w:rPr>
          <w:szCs w:val="20"/>
          <w:vertAlign w:val="subscript"/>
        </w:rPr>
        <w:t>0k</w:t>
      </w:r>
      <w:r w:rsidRPr="00EE614F">
        <w:rPr>
          <w:szCs w:val="20"/>
        </w:rPr>
        <w:t xml:space="preserve"> captures all household-specific effects on energy use that do not change over time, including those that are unobservable. Coefficient α</w:t>
      </w:r>
      <w:r w:rsidRPr="00EE614F">
        <w:rPr>
          <w:szCs w:val="20"/>
          <w:vertAlign w:val="subscript"/>
        </w:rPr>
        <w:t>1</w:t>
      </w:r>
      <w:r w:rsidRPr="00EE614F">
        <w:rPr>
          <w:szCs w:val="20"/>
        </w:rPr>
        <w:t xml:space="preserve"> captures the average effect across all households of being in the post-treatment period. The effect of being both in the treatment group and in the post period, i.e., the effect directly attributable to the program, is captured by the coefficient α</w:t>
      </w:r>
      <w:r w:rsidRPr="00EE614F">
        <w:rPr>
          <w:szCs w:val="20"/>
          <w:vertAlign w:val="subscript"/>
        </w:rPr>
        <w:t>2</w:t>
      </w:r>
      <w:r w:rsidRPr="00EE614F">
        <w:rPr>
          <w:szCs w:val="20"/>
        </w:rPr>
        <w:t>. In other words, whereas the coefficient α</w:t>
      </w:r>
      <w:r w:rsidRPr="00EE614F">
        <w:rPr>
          <w:szCs w:val="20"/>
          <w:vertAlign w:val="subscript"/>
        </w:rPr>
        <w:t>1</w:t>
      </w:r>
      <w:r w:rsidRPr="00EE614F">
        <w:rPr>
          <w:szCs w:val="20"/>
        </w:rPr>
        <w:t xml:space="preserve"> captures the change in average daily therms use across the pre- and post-treatment for the control group, the sum α</w:t>
      </w:r>
      <w:r w:rsidRPr="00EE614F">
        <w:rPr>
          <w:szCs w:val="20"/>
          <w:vertAlign w:val="subscript"/>
        </w:rPr>
        <w:t>1</w:t>
      </w:r>
      <w:r w:rsidRPr="00EE614F">
        <w:rPr>
          <w:szCs w:val="20"/>
        </w:rPr>
        <w:t>+α</w:t>
      </w:r>
      <w:r w:rsidRPr="00EE614F">
        <w:rPr>
          <w:szCs w:val="20"/>
          <w:vertAlign w:val="subscript"/>
        </w:rPr>
        <w:t>2</w:t>
      </w:r>
      <w:r w:rsidRPr="00EE614F">
        <w:rPr>
          <w:szCs w:val="20"/>
        </w:rPr>
        <w:t xml:space="preserve"> captures this change for the treatment group and so α</w:t>
      </w:r>
      <w:r w:rsidRPr="00EE614F">
        <w:rPr>
          <w:szCs w:val="20"/>
          <w:vertAlign w:val="subscript"/>
        </w:rPr>
        <w:t>2</w:t>
      </w:r>
      <w:r w:rsidRPr="00EE614F">
        <w:rPr>
          <w:szCs w:val="20"/>
        </w:rPr>
        <w:t xml:space="preserve"> is the estimate of average daily therms energy savings due to the program.</w:t>
      </w:r>
    </w:p>
    <w:p w14:paraId="48B6DFDD" w14:textId="77777777" w:rsidR="00EE614F" w:rsidRPr="00EE614F" w:rsidRDefault="00EE614F" w:rsidP="00EE614F">
      <w:pPr>
        <w:keepNext/>
        <w:suppressAutoHyphens w:val="0"/>
        <w:autoSpaceDN/>
        <w:spacing w:before="0" w:after="240"/>
        <w:rPr>
          <w:b/>
          <w:noProof/>
          <w:szCs w:val="16"/>
        </w:rPr>
      </w:pPr>
      <w:r w:rsidRPr="00EE614F">
        <w:rPr>
          <w:b/>
          <w:noProof/>
          <w:szCs w:val="16"/>
        </w:rPr>
        <w:t>Statistical Significance</w:t>
      </w:r>
    </w:p>
    <w:p w14:paraId="2AB70910" w14:textId="7369DFF1" w:rsidR="00EE614F" w:rsidRPr="00EE614F" w:rsidRDefault="00EE614F" w:rsidP="00EE614F">
      <w:pPr>
        <w:suppressAutoHyphens w:val="0"/>
        <w:autoSpaceDN/>
        <w:spacing w:before="0" w:after="240"/>
        <w:rPr>
          <w:szCs w:val="20"/>
        </w:rPr>
      </w:pPr>
      <w:r w:rsidRPr="00EE614F">
        <w:rPr>
          <w:szCs w:val="20"/>
        </w:rPr>
        <w:t xml:space="preserve">Guidehouse considered the program level, rather than wave level, statistical significance in claiming savings for this program. The program level standard error is calculated as shown in </w:t>
      </w:r>
      <w:r w:rsidRPr="00EE614F">
        <w:rPr>
          <w:szCs w:val="20"/>
        </w:rPr>
        <w:fldChar w:fldCharType="begin"/>
      </w:r>
      <w:r w:rsidRPr="00EE614F">
        <w:rPr>
          <w:szCs w:val="20"/>
        </w:rPr>
        <w:instrText xml:space="preserve"> REF _Ref169867757 \h </w:instrText>
      </w:r>
      <w:r w:rsidR="00D55C51">
        <w:rPr>
          <w:szCs w:val="20"/>
        </w:rPr>
        <w:instrText xml:space="preserve"> \* MERGEFORMAT </w:instrText>
      </w:r>
      <w:r w:rsidRPr="00EE614F">
        <w:rPr>
          <w:szCs w:val="20"/>
        </w:rPr>
      </w:r>
      <w:r w:rsidRPr="00EE614F">
        <w:rPr>
          <w:szCs w:val="20"/>
        </w:rPr>
        <w:fldChar w:fldCharType="separate"/>
      </w:r>
      <w:r w:rsidR="00004A03" w:rsidRPr="00004A03">
        <w:rPr>
          <w:szCs w:val="20"/>
        </w:rPr>
        <w:t>Equation 3</w:t>
      </w:r>
      <w:r w:rsidRPr="00EE614F">
        <w:rPr>
          <w:szCs w:val="20"/>
        </w:rPr>
        <w:fldChar w:fldCharType="end"/>
      </w:r>
      <w:r w:rsidRPr="00EE614F">
        <w:rPr>
          <w:szCs w:val="20"/>
        </w:rPr>
        <w:t>.</w:t>
      </w:r>
    </w:p>
    <w:p w14:paraId="4AE3743E" w14:textId="346750A2" w:rsidR="00EE614F" w:rsidRPr="00004A03" w:rsidRDefault="00EE614F" w:rsidP="00EE614F">
      <w:pPr>
        <w:keepNext/>
        <w:suppressAutoHyphens w:val="0"/>
        <w:autoSpaceDN/>
        <w:spacing w:before="0"/>
        <w:jc w:val="center"/>
        <w:rPr>
          <w:rFonts w:ascii="Arial Bold" w:hAnsi="Arial Bold" w:cs="Arial"/>
          <w:b/>
          <w:bCs/>
          <w:szCs w:val="20"/>
        </w:rPr>
      </w:pPr>
      <w:bookmarkStart w:id="59" w:name="_Ref169867757"/>
      <w:bookmarkStart w:id="60" w:name="_Ref169867750"/>
      <w:bookmarkStart w:id="61" w:name="_Toc172553816"/>
      <w:r w:rsidRPr="00004A03">
        <w:rPr>
          <w:rFonts w:ascii="Arial Bold" w:hAnsi="Arial Bold" w:cs="Arial"/>
          <w:b/>
          <w:bCs/>
          <w:szCs w:val="20"/>
        </w:rPr>
        <w:t xml:space="preserve">Equation </w:t>
      </w:r>
      <w:r w:rsidRPr="00004A03">
        <w:rPr>
          <w:rFonts w:ascii="Arial Bold" w:hAnsi="Arial Bold" w:cs="Arial"/>
          <w:b/>
          <w:bCs/>
          <w:szCs w:val="20"/>
        </w:rPr>
        <w:fldChar w:fldCharType="begin"/>
      </w:r>
      <w:r w:rsidRPr="00004A03">
        <w:rPr>
          <w:rFonts w:ascii="Arial Bold" w:hAnsi="Arial Bold" w:cs="Arial"/>
          <w:b/>
          <w:bCs/>
          <w:szCs w:val="20"/>
        </w:rPr>
        <w:instrText xml:space="preserve"> SEQ Equation \* ARABIC \s 5 </w:instrText>
      </w:r>
      <w:r w:rsidRPr="00004A03">
        <w:rPr>
          <w:rFonts w:ascii="Arial Bold" w:hAnsi="Arial Bold" w:cs="Arial"/>
          <w:b/>
          <w:bCs/>
          <w:szCs w:val="20"/>
        </w:rPr>
        <w:fldChar w:fldCharType="separate"/>
      </w:r>
      <w:r w:rsidR="00004A03" w:rsidRPr="00004A03">
        <w:rPr>
          <w:rFonts w:ascii="Arial Bold" w:hAnsi="Arial Bold" w:cs="Arial"/>
          <w:b/>
          <w:bCs/>
          <w:noProof/>
          <w:szCs w:val="20"/>
        </w:rPr>
        <w:t>3</w:t>
      </w:r>
      <w:r w:rsidRPr="00004A03">
        <w:rPr>
          <w:rFonts w:ascii="Arial Bold" w:hAnsi="Arial Bold" w:cs="Arial"/>
          <w:b/>
          <w:bCs/>
          <w:noProof/>
          <w:szCs w:val="20"/>
        </w:rPr>
        <w:fldChar w:fldCharType="end"/>
      </w:r>
      <w:bookmarkEnd w:id="59"/>
      <w:r w:rsidRPr="00004A03">
        <w:rPr>
          <w:rFonts w:ascii="Arial Bold" w:hAnsi="Arial Bold" w:cs="Arial"/>
          <w:b/>
          <w:bCs/>
          <w:szCs w:val="20"/>
        </w:rPr>
        <w:t xml:space="preserve">. </w:t>
      </w:r>
      <w:bookmarkEnd w:id="60"/>
      <w:r w:rsidRPr="00004A03">
        <w:rPr>
          <w:rFonts w:ascii="Arial Bold" w:hAnsi="Arial Bold" w:cs="Arial"/>
          <w:b/>
          <w:bCs/>
          <w:szCs w:val="20"/>
        </w:rPr>
        <w:t>Program Level Standard Error</w:t>
      </w:r>
      <w:bookmarkEnd w:id="61"/>
    </w:p>
    <w:p w14:paraId="12EF48AA" w14:textId="77777777" w:rsidR="00EE614F" w:rsidRPr="00EE614F" w:rsidRDefault="00EE614F" w:rsidP="00EE614F">
      <w:pPr>
        <w:suppressAutoHyphens w:val="0"/>
        <w:autoSpaceDN/>
        <w:spacing w:before="0" w:after="0"/>
        <w:rPr>
          <w:rFonts w:ascii="Cambria Math" w:hAnsi="Cambria Math"/>
          <w:i/>
          <w:szCs w:val="20"/>
        </w:rPr>
      </w:pPr>
      <m:oMathPara>
        <m:oMath>
          <m:r>
            <w:rPr>
              <w:rFonts w:ascii="Cambria Math" w:hAnsi="Cambria Math"/>
              <w:szCs w:val="20"/>
            </w:rPr>
            <m:t>ProgramSE=</m:t>
          </m:r>
          <m:rad>
            <m:radPr>
              <m:degHide m:val="1"/>
              <m:ctrlPr>
                <w:rPr>
                  <w:rFonts w:ascii="Cambria Math" w:hAnsi="Cambria Math"/>
                  <w:i/>
                  <w:szCs w:val="20"/>
                </w:rPr>
              </m:ctrlPr>
            </m:radPr>
            <m:deg/>
            <m:e>
              <m:r>
                <w:rPr>
                  <w:rFonts w:ascii="Cambria Math" w:hAnsi="Cambria Math"/>
                  <w:szCs w:val="20"/>
                </w:rPr>
                <m:t>SE</m:t>
              </m:r>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Wave1</m:t>
                      </m:r>
                    </m:e>
                  </m:d>
                </m:e>
                <m:sup>
                  <m:r>
                    <w:rPr>
                      <w:rFonts w:ascii="Cambria Math" w:hAnsi="Cambria Math"/>
                      <w:szCs w:val="20"/>
                    </w:rPr>
                    <m:t>2</m:t>
                  </m:r>
                </m:sup>
              </m:sSup>
              <m:r>
                <w:rPr>
                  <w:rFonts w:ascii="Cambria Math" w:hAnsi="Cambria Math"/>
                  <w:szCs w:val="20"/>
                </w:rPr>
                <m:t>+SE</m:t>
              </m:r>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Wave2</m:t>
                      </m:r>
                    </m:e>
                  </m:d>
                </m:e>
                <m:sup>
                  <m:r>
                    <w:rPr>
                      <w:rFonts w:ascii="Cambria Math" w:hAnsi="Cambria Math"/>
                      <w:szCs w:val="20"/>
                    </w:rPr>
                    <m:t>2</m:t>
                  </m:r>
                </m:sup>
              </m:sSup>
              <m:r>
                <w:rPr>
                  <w:rFonts w:ascii="Cambria Math" w:hAnsi="Cambria Math"/>
                  <w:szCs w:val="20"/>
                </w:rPr>
                <m:t>+SE</m:t>
              </m:r>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Wave3</m:t>
                      </m:r>
                    </m:e>
                  </m:d>
                </m:e>
                <m:sup>
                  <m:r>
                    <w:rPr>
                      <w:rFonts w:ascii="Cambria Math" w:hAnsi="Cambria Math"/>
                      <w:szCs w:val="20"/>
                    </w:rPr>
                    <m:t>2</m:t>
                  </m:r>
                </m:sup>
              </m:sSup>
            </m:e>
          </m:rad>
        </m:oMath>
      </m:oMathPara>
    </w:p>
    <w:p w14:paraId="00C368F2" w14:textId="77777777" w:rsidR="00EE614F" w:rsidRPr="00EE614F" w:rsidRDefault="00EE614F" w:rsidP="00EE614F">
      <w:pPr>
        <w:suppressAutoHyphens w:val="0"/>
        <w:autoSpaceDN/>
        <w:spacing w:before="0" w:after="240"/>
        <w:rPr>
          <w:szCs w:val="20"/>
        </w:rPr>
      </w:pPr>
    </w:p>
    <w:p w14:paraId="639DAE74" w14:textId="77777777" w:rsidR="00EE614F" w:rsidRPr="00EE614F" w:rsidRDefault="00EE614F" w:rsidP="00EE614F">
      <w:pPr>
        <w:suppressAutoHyphens w:val="0"/>
        <w:autoSpaceDN/>
        <w:spacing w:before="0" w:after="240"/>
        <w:rPr>
          <w:szCs w:val="20"/>
        </w:rPr>
      </w:pPr>
      <w:r w:rsidRPr="00EE614F">
        <w:rPr>
          <w:szCs w:val="20"/>
        </w:rPr>
        <w:t xml:space="preserve">Guidehouse claims </w:t>
      </w:r>
      <w:proofErr w:type="gramStart"/>
      <w:r w:rsidRPr="00EE614F">
        <w:rPr>
          <w:szCs w:val="20"/>
        </w:rPr>
        <w:t>savings</w:t>
      </w:r>
      <w:proofErr w:type="gramEnd"/>
      <w:r w:rsidRPr="00EE614F">
        <w:rPr>
          <w:szCs w:val="20"/>
        </w:rPr>
        <w:t xml:space="preserve"> for all waves in the program if the program level standard error indicates that the program savings are statistically different from zero at the 90% confidence level.</w:t>
      </w:r>
    </w:p>
    <w:p w14:paraId="333A8E3B" w14:textId="77777777" w:rsidR="00EE614F" w:rsidRPr="00EE614F" w:rsidRDefault="00EE614F" w:rsidP="00EE614F">
      <w:pPr>
        <w:numPr>
          <w:ilvl w:val="6"/>
          <w:numId w:val="0"/>
        </w:numPr>
        <w:suppressAutoHyphens w:val="0"/>
        <w:autoSpaceDN/>
        <w:spacing w:before="240" w:after="240"/>
        <w:ind w:left="720" w:hanging="720"/>
        <w:outlineLvl w:val="6"/>
        <w:rPr>
          <w:b/>
          <w:iCs/>
          <w:sz w:val="24"/>
          <w:szCs w:val="26"/>
        </w:rPr>
      </w:pPr>
      <w:bookmarkStart w:id="62" w:name="_Ref33181676"/>
      <w:r w:rsidRPr="00EE614F">
        <w:rPr>
          <w:b/>
          <w:iCs/>
          <w:sz w:val="24"/>
          <w:szCs w:val="26"/>
        </w:rPr>
        <w:t>Accounting for Uplift in Other Energy Efficiency Programs</w:t>
      </w:r>
      <w:bookmarkEnd w:id="62"/>
    </w:p>
    <w:p w14:paraId="686F3690" w14:textId="1A516321" w:rsidR="00EE614F" w:rsidRPr="00EE614F" w:rsidRDefault="00EE614F" w:rsidP="00EE614F">
      <w:pPr>
        <w:suppressAutoHyphens w:val="0"/>
        <w:autoSpaceDN/>
        <w:spacing w:before="0" w:after="240"/>
        <w:rPr>
          <w:b/>
          <w:noProof/>
          <w:szCs w:val="16"/>
        </w:rPr>
      </w:pPr>
      <w:bookmarkStart w:id="63" w:name="_Ref33189523"/>
      <w:r w:rsidRPr="00EE614F">
        <w:rPr>
          <w:b/>
          <w:noProof/>
          <w:szCs w:val="16"/>
        </w:rPr>
        <w:t xml:space="preserve">Accounting for Uplift in </w:t>
      </w:r>
      <w:bookmarkEnd w:id="63"/>
      <w:r w:rsidRPr="00EE614F">
        <w:rPr>
          <w:b/>
          <w:noProof/>
          <w:szCs w:val="16"/>
        </w:rPr>
        <w:t>202</w:t>
      </w:r>
      <w:r>
        <w:rPr>
          <w:b/>
          <w:noProof/>
          <w:szCs w:val="16"/>
        </w:rPr>
        <w:t>4</w:t>
      </w:r>
    </w:p>
    <w:p w14:paraId="0D8D16F2" w14:textId="77777777" w:rsidR="00EE614F" w:rsidRPr="00EE614F" w:rsidRDefault="00EE614F" w:rsidP="00EE614F">
      <w:pPr>
        <w:suppressAutoHyphens w:val="0"/>
        <w:autoSpaceDN/>
        <w:spacing w:before="0" w:after="0"/>
        <w:rPr>
          <w:sz w:val="20"/>
          <w:szCs w:val="20"/>
        </w:rPr>
      </w:pPr>
      <w:r w:rsidRPr="00EE614F">
        <w:rPr>
          <w:szCs w:val="20"/>
        </w:rPr>
        <w:t>The home energy reports sent to participating households included energy-saving tips, some of which encouraged participants to enroll in other Nicor Gas energy efficiency (EE) programs. If participation rates in other EE programs were the same for HER participant and control groups, the savings estimates from the regression analysis are already “net” of savings from the other programs, as this indicates the HER Program had no net effect on participation in the other EE programs. However, if the receipt of reports increased participation rates of recipients relative to controls in other EE programs, then the combined savings across all programs would be lower than indicated by the simple summation of savings in the HER and the other EE programs. For instance, if the HER Program increases participation in another EE program, the resulting increase (“uplift”) in savings may be allocated to either the HER Program or the EE program, but cannot be allocated to both programs simultaneously.</w:t>
      </w:r>
      <w:r w:rsidRPr="00EE614F">
        <w:rPr>
          <w:szCs w:val="20"/>
          <w:vertAlign w:val="superscript"/>
        </w:rPr>
        <w:footnoteReference w:id="10"/>
      </w:r>
      <w:r w:rsidRPr="00EE614F">
        <w:rPr>
          <w:szCs w:val="20"/>
        </w:rPr>
        <w:t xml:space="preserve"> When the HER Program decreases participation in other programs, there is no issue of double counting, and no adjustment to the savings total is made.</w:t>
      </w:r>
    </w:p>
    <w:p w14:paraId="78B5F337" w14:textId="77777777" w:rsidR="00EE614F" w:rsidRPr="00EE614F" w:rsidRDefault="00EE614F" w:rsidP="00EE614F">
      <w:pPr>
        <w:suppressAutoHyphens w:val="0"/>
        <w:autoSpaceDN/>
        <w:spacing w:before="0" w:after="0"/>
        <w:rPr>
          <w:szCs w:val="20"/>
          <w:highlight w:val="yellow"/>
        </w:rPr>
      </w:pPr>
    </w:p>
    <w:p w14:paraId="774072BF" w14:textId="269E2D14" w:rsidR="00EE614F" w:rsidRPr="00EE614F" w:rsidRDefault="00EE614F" w:rsidP="00EE614F">
      <w:pPr>
        <w:tabs>
          <w:tab w:val="left" w:pos="9000"/>
        </w:tabs>
        <w:suppressAutoHyphens w:val="0"/>
        <w:autoSpaceDN/>
        <w:spacing w:before="0" w:after="0"/>
        <w:rPr>
          <w:rFonts w:cs="Arial"/>
          <w:szCs w:val="20"/>
        </w:rPr>
      </w:pPr>
      <w:r w:rsidRPr="00EE614F">
        <w:rPr>
          <w:rFonts w:cs="Arial"/>
          <w:szCs w:val="20"/>
        </w:rPr>
        <w:t xml:space="preserve">As data permitted, Guidehouse used a difference-in-difference (DID) statistic to estimate uplift in other EE programs. To calculate the DID statistic, Guidehouse calculated the difference </w:t>
      </w:r>
      <w:r w:rsidRPr="00EE614F">
        <w:rPr>
          <w:szCs w:val="20"/>
        </w:rPr>
        <w:t>between the HER treatment and control groups in average EE program savings per customer in the post period,</w:t>
      </w:r>
      <w:r w:rsidRPr="00EE614F">
        <w:rPr>
          <w:szCs w:val="20"/>
          <w:vertAlign w:val="superscript"/>
        </w:rPr>
        <w:footnoteReference w:id="11"/>
      </w:r>
      <w:r w:rsidRPr="00EE614F">
        <w:rPr>
          <w:szCs w:val="20"/>
        </w:rPr>
        <w:t xml:space="preserve"> and subtracted the same difference from the pre-period.</w:t>
      </w:r>
      <w:r w:rsidRPr="00EE614F">
        <w:rPr>
          <w:szCs w:val="20"/>
          <w:vertAlign w:val="superscript"/>
        </w:rPr>
        <w:footnoteReference w:id="12"/>
      </w:r>
      <w:r w:rsidRPr="00EE614F">
        <w:rPr>
          <w:rFonts w:cs="Arial"/>
          <w:szCs w:val="20"/>
        </w:rPr>
        <w:t xml:space="preserve"> For instance, if the </w:t>
      </w:r>
      <w:r w:rsidRPr="00EE614F">
        <w:rPr>
          <w:rFonts w:cs="Arial"/>
          <w:szCs w:val="20"/>
        </w:rPr>
        <w:lastRenderedPageBreak/>
        <w:t>EE program savings during 202</w:t>
      </w:r>
      <w:r>
        <w:rPr>
          <w:rFonts w:cs="Arial"/>
          <w:szCs w:val="20"/>
        </w:rPr>
        <w:t>4</w:t>
      </w:r>
      <w:r w:rsidRPr="00EE614F">
        <w:rPr>
          <w:rFonts w:cs="Arial"/>
          <w:szCs w:val="20"/>
        </w:rPr>
        <w:t xml:space="preserve"> is five therms for the treatment group and three therms for the control group, and the savings during the year before the start of the HER Program is two therms for the treatment group and one therm for the control group, then the DID statistic is one therm, as reflected in </w:t>
      </w:r>
      <w:r w:rsidRPr="00EE614F">
        <w:rPr>
          <w:rFonts w:cs="Arial"/>
          <w:szCs w:val="20"/>
        </w:rPr>
        <w:fldChar w:fldCharType="begin"/>
      </w:r>
      <w:r w:rsidRPr="00EE614F">
        <w:rPr>
          <w:rFonts w:cs="Arial"/>
          <w:szCs w:val="20"/>
        </w:rPr>
        <w:instrText xml:space="preserve"> REF _Ref132906255 \h </w:instrText>
      </w:r>
      <w:r w:rsidR="00D55C51">
        <w:rPr>
          <w:rFonts w:cs="Arial"/>
          <w:szCs w:val="20"/>
        </w:rPr>
        <w:instrText xml:space="preserve"> \* MERGEFORMAT </w:instrText>
      </w:r>
      <w:r w:rsidRPr="00EE614F">
        <w:rPr>
          <w:rFonts w:cs="Arial"/>
          <w:szCs w:val="20"/>
        </w:rPr>
      </w:r>
      <w:r w:rsidRPr="00EE614F">
        <w:rPr>
          <w:rFonts w:cs="Arial"/>
          <w:szCs w:val="20"/>
        </w:rPr>
        <w:fldChar w:fldCharType="separate"/>
      </w:r>
      <w:r w:rsidR="00004A03" w:rsidRPr="00004A03">
        <w:rPr>
          <w:rFonts w:cs="Arial"/>
          <w:szCs w:val="20"/>
        </w:rPr>
        <w:t>Equation 4</w:t>
      </w:r>
      <w:r w:rsidRPr="00EE614F">
        <w:rPr>
          <w:rFonts w:cs="Arial"/>
          <w:szCs w:val="20"/>
        </w:rPr>
        <w:fldChar w:fldCharType="end"/>
      </w:r>
    </w:p>
    <w:p w14:paraId="7E7F0DA2" w14:textId="77777777" w:rsidR="00EE614F" w:rsidRPr="00EE614F" w:rsidRDefault="00EE614F" w:rsidP="00EE614F">
      <w:pPr>
        <w:suppressAutoHyphens w:val="0"/>
        <w:autoSpaceDN/>
        <w:spacing w:before="0" w:after="0"/>
        <w:rPr>
          <w:rFonts w:cs="Arial"/>
          <w:szCs w:val="20"/>
        </w:rPr>
      </w:pPr>
    </w:p>
    <w:p w14:paraId="6B3AF09E" w14:textId="2222CA4E" w:rsidR="00EE614F" w:rsidRPr="00004A03" w:rsidRDefault="00EE614F" w:rsidP="00EE614F">
      <w:pPr>
        <w:keepNext/>
        <w:suppressAutoHyphens w:val="0"/>
        <w:autoSpaceDN/>
        <w:spacing w:before="0"/>
        <w:jc w:val="center"/>
        <w:rPr>
          <w:rFonts w:ascii="Arial Bold" w:hAnsi="Arial Bold" w:cs="Arial"/>
          <w:b/>
          <w:bCs/>
          <w:szCs w:val="20"/>
        </w:rPr>
      </w:pPr>
      <w:bookmarkStart w:id="64" w:name="_Ref132906255"/>
      <w:bookmarkStart w:id="65" w:name="_Toc137824507"/>
      <w:bookmarkStart w:id="66" w:name="_Ref164087557"/>
      <w:bookmarkStart w:id="67" w:name="_Toc172553817"/>
      <w:r w:rsidRPr="00004A03">
        <w:rPr>
          <w:rFonts w:ascii="Arial Bold" w:hAnsi="Arial Bold" w:cs="Arial"/>
          <w:b/>
          <w:bCs/>
          <w:szCs w:val="20"/>
        </w:rPr>
        <w:t xml:space="preserve">Equation </w:t>
      </w:r>
      <w:r w:rsidRPr="00004A03">
        <w:rPr>
          <w:rFonts w:ascii="Arial Bold" w:hAnsi="Arial Bold" w:cs="Arial"/>
          <w:b/>
          <w:bCs/>
          <w:szCs w:val="20"/>
        </w:rPr>
        <w:fldChar w:fldCharType="begin"/>
      </w:r>
      <w:r w:rsidRPr="00004A03">
        <w:rPr>
          <w:rFonts w:ascii="Arial Bold" w:hAnsi="Arial Bold" w:cs="Arial"/>
          <w:b/>
          <w:bCs/>
          <w:szCs w:val="20"/>
        </w:rPr>
        <w:instrText xml:space="preserve"> SEQ Equation \* ARABIC \s 5 </w:instrText>
      </w:r>
      <w:r w:rsidRPr="00004A03">
        <w:rPr>
          <w:rFonts w:ascii="Arial Bold" w:hAnsi="Arial Bold" w:cs="Arial"/>
          <w:b/>
          <w:bCs/>
          <w:szCs w:val="20"/>
        </w:rPr>
        <w:fldChar w:fldCharType="separate"/>
      </w:r>
      <w:r w:rsidR="00004A03" w:rsidRPr="00004A03">
        <w:rPr>
          <w:rFonts w:ascii="Arial Bold" w:hAnsi="Arial Bold" w:cs="Arial"/>
          <w:b/>
          <w:bCs/>
          <w:noProof/>
          <w:szCs w:val="20"/>
        </w:rPr>
        <w:t>4</w:t>
      </w:r>
      <w:r w:rsidRPr="00004A03">
        <w:rPr>
          <w:rFonts w:ascii="Arial Bold" w:hAnsi="Arial Bold" w:cs="Arial"/>
          <w:b/>
          <w:bCs/>
          <w:noProof/>
          <w:szCs w:val="20"/>
        </w:rPr>
        <w:fldChar w:fldCharType="end"/>
      </w:r>
      <w:bookmarkEnd w:id="64"/>
      <w:r w:rsidRPr="00004A03">
        <w:rPr>
          <w:rFonts w:ascii="Arial Bold" w:hAnsi="Arial Bold" w:cs="Arial"/>
          <w:b/>
          <w:bCs/>
          <w:szCs w:val="20"/>
        </w:rPr>
        <w:t>. Current Year Uplift Calculation</w:t>
      </w:r>
      <w:bookmarkEnd w:id="65"/>
      <w:bookmarkEnd w:id="66"/>
      <w:bookmarkEnd w:id="67"/>
    </w:p>
    <w:p w14:paraId="4F2DC579" w14:textId="67F6C85D" w:rsidR="00EE614F" w:rsidRPr="00EE614F" w:rsidRDefault="00EE614F" w:rsidP="00EE614F">
      <w:pPr>
        <w:suppressAutoHyphens w:val="0"/>
        <w:autoSpaceDN/>
        <w:spacing w:before="0" w:after="0"/>
        <w:jc w:val="center"/>
        <w:rPr>
          <w:rFonts w:cs="Arial"/>
          <w:szCs w:val="20"/>
        </w:rPr>
      </w:pPr>
      <w:r w:rsidRPr="00EE614F">
        <w:rPr>
          <w:rFonts w:cs="Arial"/>
          <w:szCs w:val="20"/>
        </w:rPr>
        <w:t>(202</w:t>
      </w:r>
      <w:r>
        <w:rPr>
          <w:rFonts w:cs="Arial"/>
          <w:szCs w:val="20"/>
        </w:rPr>
        <w:t>4</w:t>
      </w:r>
      <w:r w:rsidRPr="00EE614F">
        <w:rPr>
          <w:rFonts w:cs="Arial"/>
          <w:szCs w:val="20"/>
        </w:rPr>
        <w:t xml:space="preserve"> treatment group savings – 202</w:t>
      </w:r>
      <w:r>
        <w:rPr>
          <w:rFonts w:cs="Arial"/>
          <w:szCs w:val="20"/>
        </w:rPr>
        <w:t>4</w:t>
      </w:r>
      <w:r w:rsidRPr="00EE614F">
        <w:rPr>
          <w:rFonts w:cs="Arial"/>
          <w:szCs w:val="20"/>
        </w:rPr>
        <w:t xml:space="preserve"> control group savings) – (pre-year treatment group savings - pre-year control group savings) = DID statistic</w:t>
      </w:r>
    </w:p>
    <w:p w14:paraId="29FD9856" w14:textId="77777777" w:rsidR="00EE614F" w:rsidRPr="00EE614F" w:rsidRDefault="00EE614F" w:rsidP="00EE614F">
      <w:pPr>
        <w:suppressAutoHyphens w:val="0"/>
        <w:autoSpaceDN/>
        <w:spacing w:before="0" w:after="0"/>
        <w:jc w:val="center"/>
        <w:rPr>
          <w:szCs w:val="20"/>
        </w:rPr>
      </w:pPr>
      <w:r w:rsidRPr="00EE614F">
        <w:rPr>
          <w:szCs w:val="20"/>
        </w:rPr>
        <w:t xml:space="preserve">(5 </w:t>
      </w:r>
      <w:r w:rsidRPr="00EE614F">
        <w:rPr>
          <w:szCs w:val="20"/>
        </w:rPr>
        <w:sym w:font="Symbol" w:char="F02D"/>
      </w:r>
      <w:r w:rsidRPr="00EE614F">
        <w:rPr>
          <w:szCs w:val="20"/>
        </w:rPr>
        <w:t xml:space="preserve"> 3) </w:t>
      </w:r>
      <w:r w:rsidRPr="00EE614F">
        <w:rPr>
          <w:szCs w:val="20"/>
        </w:rPr>
        <w:sym w:font="Symbol" w:char="F02D"/>
      </w:r>
      <w:r w:rsidRPr="00EE614F">
        <w:rPr>
          <w:szCs w:val="20"/>
        </w:rPr>
        <w:t xml:space="preserve"> (2 </w:t>
      </w:r>
      <w:r w:rsidRPr="00EE614F">
        <w:rPr>
          <w:szCs w:val="20"/>
        </w:rPr>
        <w:sym w:font="Symbol" w:char="F02D"/>
      </w:r>
      <w:r w:rsidRPr="00EE614F">
        <w:rPr>
          <w:szCs w:val="20"/>
        </w:rPr>
        <w:t xml:space="preserve"> 1) = 1</w:t>
      </w:r>
    </w:p>
    <w:p w14:paraId="00C9EBDF" w14:textId="77777777" w:rsidR="00EE614F" w:rsidRPr="00EE614F" w:rsidRDefault="00EE614F" w:rsidP="00EE614F">
      <w:pPr>
        <w:suppressAutoHyphens w:val="0"/>
        <w:autoSpaceDN/>
        <w:spacing w:before="0" w:after="0"/>
        <w:rPr>
          <w:rFonts w:cs="Arial"/>
          <w:szCs w:val="20"/>
        </w:rPr>
      </w:pPr>
    </w:p>
    <w:p w14:paraId="5D6A6835" w14:textId="77777777" w:rsidR="00EE614F" w:rsidRPr="00EE614F" w:rsidRDefault="00EE614F" w:rsidP="00EE614F">
      <w:pPr>
        <w:suppressAutoHyphens w:val="0"/>
        <w:autoSpaceDN/>
        <w:spacing w:before="0" w:after="0"/>
        <w:rPr>
          <w:rFonts w:cs="Arial"/>
          <w:szCs w:val="20"/>
        </w:rPr>
      </w:pPr>
      <w:r w:rsidRPr="00EE614F">
        <w:rPr>
          <w:rFonts w:cs="Arial"/>
          <w:szCs w:val="20"/>
        </w:rPr>
        <w:t>The DID statistic generates an unbiased estimate of uplift when the baseline average savings is the same for the treatment and control groups, or when these values are different due only to differences between the two groups in time-invariant factors, such as the square footage of the residence.</w:t>
      </w:r>
    </w:p>
    <w:p w14:paraId="562C9AD0" w14:textId="77777777" w:rsidR="00EE614F" w:rsidRPr="00EE614F" w:rsidRDefault="00EE614F" w:rsidP="00EE614F">
      <w:pPr>
        <w:suppressAutoHyphens w:val="0"/>
        <w:autoSpaceDN/>
        <w:spacing w:before="0" w:after="0"/>
        <w:ind w:left="1440" w:hanging="1440"/>
        <w:rPr>
          <w:rFonts w:cs="Arial"/>
          <w:szCs w:val="20"/>
        </w:rPr>
      </w:pPr>
    </w:p>
    <w:p w14:paraId="083BEF8A" w14:textId="63194AA8" w:rsidR="00EE614F" w:rsidRPr="00EE614F" w:rsidRDefault="00EE614F" w:rsidP="00EE614F">
      <w:pPr>
        <w:suppressAutoHyphens w:val="0"/>
        <w:autoSpaceDN/>
        <w:spacing w:before="0" w:after="0"/>
        <w:rPr>
          <w:rFonts w:cs="Arial"/>
          <w:szCs w:val="20"/>
        </w:rPr>
      </w:pPr>
      <w:r w:rsidRPr="00EE614F">
        <w:rPr>
          <w:rFonts w:cs="Arial"/>
          <w:szCs w:val="20"/>
        </w:rPr>
        <w:t>An alternative statistic that generates an unbiased estimate of uplift when the baseline average savings in the EE program is the same for the treatment and control groups, is a simple difference in savings during 202</w:t>
      </w:r>
      <w:r>
        <w:rPr>
          <w:rFonts w:cs="Arial"/>
          <w:szCs w:val="20"/>
        </w:rPr>
        <w:t>4</w:t>
      </w:r>
      <w:r w:rsidRPr="00EE614F">
        <w:rPr>
          <w:rFonts w:cs="Arial"/>
          <w:szCs w:val="20"/>
        </w:rPr>
        <w:t xml:space="preserve">. </w:t>
      </w:r>
      <w:r w:rsidRPr="00EE614F">
        <w:rPr>
          <w:szCs w:val="20"/>
        </w:rPr>
        <w:t xml:space="preserve">Guidehouse </w:t>
      </w:r>
      <w:r w:rsidRPr="00EE614F">
        <w:rPr>
          <w:rFonts w:cs="Arial"/>
          <w:szCs w:val="20"/>
        </w:rPr>
        <w:t>uses this alternative statistic –the “post-only difference” (POD) statistic – in cases where the EE program did not exist for the entire pre-program year.</w:t>
      </w:r>
    </w:p>
    <w:p w14:paraId="7E6129AA" w14:textId="77777777" w:rsidR="00EE614F" w:rsidRPr="00EE614F" w:rsidRDefault="00EE614F" w:rsidP="00EE614F">
      <w:pPr>
        <w:suppressAutoHyphens w:val="0"/>
        <w:autoSpaceDN/>
        <w:spacing w:before="0" w:after="0"/>
        <w:rPr>
          <w:szCs w:val="20"/>
        </w:rPr>
      </w:pPr>
    </w:p>
    <w:p w14:paraId="70886939" w14:textId="77777777" w:rsidR="00EE614F" w:rsidRPr="00EE614F" w:rsidRDefault="00EE614F" w:rsidP="00EE614F">
      <w:pPr>
        <w:suppressAutoHyphens w:val="0"/>
        <w:autoSpaceDN/>
        <w:spacing w:before="0" w:after="0"/>
        <w:rPr>
          <w:szCs w:val="20"/>
        </w:rPr>
      </w:pPr>
      <w:r w:rsidRPr="00EE614F">
        <w:rPr>
          <w:szCs w:val="20"/>
        </w:rPr>
        <w:t>Guidehouse examined the uplift associated with four other Nicor Gas programs: Energy Savings Kits (ESK), Home Energy Efficiency Rebates (HEER), Home Energy Savings (HES), market rate Multi-Family (MF), and Income Eligible (IE)</w:t>
      </w:r>
      <w:r w:rsidRPr="00EE614F">
        <w:rPr>
          <w:szCs w:val="20"/>
          <w:vertAlign w:val="superscript"/>
        </w:rPr>
        <w:footnoteReference w:id="13"/>
      </w:r>
      <w:r w:rsidRPr="00EE614F">
        <w:rPr>
          <w:szCs w:val="20"/>
        </w:rPr>
        <w:t xml:space="preserve">. </w:t>
      </w:r>
    </w:p>
    <w:p w14:paraId="3C39A352" w14:textId="77777777" w:rsidR="00EE614F" w:rsidRPr="00EE614F" w:rsidRDefault="00EE614F" w:rsidP="00EE614F">
      <w:pPr>
        <w:suppressAutoHyphens w:val="0"/>
        <w:autoSpaceDN/>
        <w:spacing w:before="0" w:after="0"/>
        <w:rPr>
          <w:szCs w:val="20"/>
        </w:rPr>
      </w:pPr>
    </w:p>
    <w:p w14:paraId="0A3B651F" w14:textId="77777777" w:rsidR="00EE614F" w:rsidRPr="00EE614F" w:rsidRDefault="00EE614F" w:rsidP="00EE614F">
      <w:pPr>
        <w:suppressAutoHyphens w:val="0"/>
        <w:autoSpaceDN/>
        <w:spacing w:before="0" w:after="240"/>
        <w:rPr>
          <w:b/>
          <w:noProof/>
          <w:szCs w:val="16"/>
        </w:rPr>
      </w:pPr>
      <w:r w:rsidRPr="00EE614F">
        <w:rPr>
          <w:b/>
          <w:noProof/>
          <w:szCs w:val="16"/>
        </w:rPr>
        <w:t>Accounting for Legacy Uplift</w:t>
      </w:r>
    </w:p>
    <w:p w14:paraId="23A3120E" w14:textId="77777777" w:rsidR="00EE614F" w:rsidRPr="00EE614F" w:rsidRDefault="00EE614F" w:rsidP="00EE614F">
      <w:pPr>
        <w:suppressAutoHyphens w:val="0"/>
        <w:autoSpaceDN/>
        <w:spacing w:before="0" w:after="240"/>
        <w:rPr>
          <w:szCs w:val="20"/>
        </w:rPr>
      </w:pPr>
      <w:r w:rsidRPr="00EE614F">
        <w:rPr>
          <w:szCs w:val="20"/>
        </w:rPr>
        <w:t>The uplift adjustment methodology above only accounts for uplift which occurs in the current program year because EE program tracking files in any given program year only capture the new measures installed in that year, regardless of the expected measure life.</w:t>
      </w:r>
      <w:r w:rsidRPr="00EE614F">
        <w:rPr>
          <w:szCs w:val="20"/>
          <w:vertAlign w:val="superscript"/>
        </w:rPr>
        <w:footnoteReference w:id="14"/>
      </w:r>
      <w:r w:rsidRPr="00EE614F">
        <w:rPr>
          <w:szCs w:val="20"/>
        </w:rPr>
        <w:t xml:space="preserve"> However, for other EE programs that include measures with multiyear measure lives, the HER Program savings capture the portion of savings due to uplift in each year of that program’s measure life. For instance, a measure with a 10-year measure life that was installed in 2019 would generate savings captured in the HER Program savings not just in 2019, but in 2020 through 2028 as well.</w:t>
      </w:r>
    </w:p>
    <w:p w14:paraId="41F87AFA" w14:textId="5836FD34" w:rsidR="00EE614F" w:rsidRPr="00EE614F" w:rsidRDefault="00EE614F" w:rsidP="00EE614F">
      <w:pPr>
        <w:suppressAutoHyphens w:val="0"/>
        <w:autoSpaceDN/>
        <w:spacing w:before="0" w:after="240"/>
        <w:rPr>
          <w:szCs w:val="20"/>
        </w:rPr>
      </w:pPr>
      <w:r w:rsidRPr="00EE614F">
        <w:rPr>
          <w:szCs w:val="20"/>
        </w:rPr>
        <w:t>Consider the following example. A household receiving home energy reports through the HER Program enrolls in the HES Program in CY2022. The uplift adjustment subtracts HES CY2022 Program savings to avoid double counting. In 202</w:t>
      </w:r>
      <w:r>
        <w:rPr>
          <w:szCs w:val="20"/>
        </w:rPr>
        <w:t>4</w:t>
      </w:r>
      <w:r w:rsidRPr="00EE614F">
        <w:rPr>
          <w:szCs w:val="20"/>
        </w:rPr>
        <w:t>, this household still receives savings from the HES Program because it has a 13-year measure life. However, the 202</w:t>
      </w:r>
      <w:r>
        <w:rPr>
          <w:szCs w:val="20"/>
        </w:rPr>
        <w:t>4</w:t>
      </w:r>
      <w:r w:rsidRPr="00EE614F">
        <w:rPr>
          <w:szCs w:val="20"/>
        </w:rPr>
        <w:t xml:space="preserve"> HER uplift adjustment does not remove these savings because the 202</w:t>
      </w:r>
      <w:r>
        <w:rPr>
          <w:szCs w:val="20"/>
        </w:rPr>
        <w:t>4</w:t>
      </w:r>
      <w:r w:rsidRPr="00EE614F">
        <w:rPr>
          <w:szCs w:val="20"/>
        </w:rPr>
        <w:t xml:space="preserve"> adjustment only accounts for measures installed in 202</w:t>
      </w:r>
      <w:r>
        <w:rPr>
          <w:szCs w:val="20"/>
        </w:rPr>
        <w:t>4</w:t>
      </w:r>
      <w:r w:rsidRPr="00EE614F">
        <w:rPr>
          <w:szCs w:val="20"/>
        </w:rPr>
        <w:t>, the initial year the household entered a program. When only relying on the uplift adjustment, HES second-year savings would be included in the 202</w:t>
      </w:r>
      <w:r>
        <w:rPr>
          <w:szCs w:val="20"/>
        </w:rPr>
        <w:t>4</w:t>
      </w:r>
      <w:r w:rsidRPr="00EE614F">
        <w:rPr>
          <w:szCs w:val="20"/>
        </w:rPr>
        <w:t xml:space="preserve"> HER Program’s savings, which is inconsistent with Illinois’ practices of only crediting utilities with first-year EE program savings. Legacy uplift removes double counted energy savings from programs that include measures with multiple-year </w:t>
      </w:r>
      <w:proofErr w:type="gramStart"/>
      <w:r w:rsidRPr="00EE614F">
        <w:rPr>
          <w:szCs w:val="20"/>
        </w:rPr>
        <w:t>measure</w:t>
      </w:r>
      <w:proofErr w:type="gramEnd"/>
      <w:r w:rsidRPr="00EE614F">
        <w:rPr>
          <w:szCs w:val="20"/>
        </w:rPr>
        <w:t xml:space="preserve"> life.</w:t>
      </w:r>
    </w:p>
    <w:p w14:paraId="7492A521" w14:textId="75870E69" w:rsidR="00EE614F" w:rsidRPr="00EE614F" w:rsidRDefault="00EE614F" w:rsidP="00EE614F">
      <w:pPr>
        <w:suppressAutoHyphens w:val="0"/>
        <w:autoSpaceDN/>
        <w:spacing w:before="0" w:after="240"/>
        <w:rPr>
          <w:szCs w:val="20"/>
        </w:rPr>
      </w:pPr>
      <w:r w:rsidRPr="00EE614F">
        <w:rPr>
          <w:szCs w:val="20"/>
        </w:rPr>
        <w:lastRenderedPageBreak/>
        <w:t>The evaluation team accounts for legacy uplift by subtracting the double counted savings from previous years, adjusted for the average annual move out rate,</w:t>
      </w:r>
      <w:r w:rsidRPr="00EE614F">
        <w:rPr>
          <w:szCs w:val="20"/>
          <w:vertAlign w:val="superscript"/>
        </w:rPr>
        <w:footnoteReference w:id="15"/>
      </w:r>
      <w:r w:rsidRPr="00EE614F">
        <w:rPr>
          <w:szCs w:val="20"/>
        </w:rPr>
        <w:t xml:space="preserve"> from 202</w:t>
      </w:r>
      <w:r>
        <w:rPr>
          <w:szCs w:val="20"/>
        </w:rPr>
        <w:t>4</w:t>
      </w:r>
      <w:r w:rsidRPr="00EE614F">
        <w:rPr>
          <w:szCs w:val="20"/>
        </w:rPr>
        <w:t xml:space="preserve"> HER savings through the measure lives of measures from other EE programs. The legacy uplift adjustment is shown in </w:t>
      </w:r>
      <w:r w:rsidRPr="00EE614F">
        <w:rPr>
          <w:szCs w:val="20"/>
          <w:highlight w:val="yellow"/>
        </w:rPr>
        <w:fldChar w:fldCharType="begin"/>
      </w:r>
      <w:r w:rsidRPr="00EE614F">
        <w:rPr>
          <w:szCs w:val="20"/>
        </w:rPr>
        <w:instrText xml:space="preserve"> REF _Ref132906298 \h </w:instrText>
      </w:r>
      <w:r w:rsidR="00D55C51">
        <w:rPr>
          <w:szCs w:val="20"/>
          <w:highlight w:val="yellow"/>
        </w:rPr>
        <w:instrText xml:space="preserve"> \* MERGEFORMAT </w:instrText>
      </w:r>
      <w:r w:rsidRPr="00EE614F">
        <w:rPr>
          <w:szCs w:val="20"/>
          <w:highlight w:val="yellow"/>
        </w:rPr>
      </w:r>
      <w:r w:rsidRPr="00EE614F">
        <w:rPr>
          <w:szCs w:val="20"/>
          <w:highlight w:val="yellow"/>
        </w:rPr>
        <w:fldChar w:fldCharType="separate"/>
      </w:r>
      <w:r w:rsidR="00004A03" w:rsidRPr="00004A03">
        <w:rPr>
          <w:szCs w:val="20"/>
        </w:rPr>
        <w:t>Equation 5</w:t>
      </w:r>
      <w:r w:rsidRPr="00EE614F">
        <w:rPr>
          <w:szCs w:val="20"/>
          <w:highlight w:val="yellow"/>
        </w:rPr>
        <w:fldChar w:fldCharType="end"/>
      </w:r>
      <w:r w:rsidRPr="00EE614F">
        <w:rPr>
          <w:szCs w:val="20"/>
        </w:rPr>
        <w:t>.</w:t>
      </w:r>
    </w:p>
    <w:p w14:paraId="38D5DACD" w14:textId="12D793D9" w:rsidR="00EE614F" w:rsidRPr="00004A03" w:rsidRDefault="00EE614F" w:rsidP="00EE614F">
      <w:pPr>
        <w:keepNext/>
        <w:suppressAutoHyphens w:val="0"/>
        <w:autoSpaceDN/>
        <w:spacing w:before="0"/>
        <w:jc w:val="center"/>
        <w:rPr>
          <w:rFonts w:ascii="Arial Bold" w:hAnsi="Arial Bold" w:cs="Arial"/>
          <w:b/>
          <w:bCs/>
          <w:szCs w:val="20"/>
        </w:rPr>
      </w:pPr>
      <w:bookmarkStart w:id="68" w:name="_Ref132906298"/>
      <w:bookmarkStart w:id="69" w:name="_Toc137824508"/>
      <w:bookmarkStart w:id="70" w:name="_Toc172553818"/>
      <w:r w:rsidRPr="00004A03">
        <w:rPr>
          <w:rFonts w:ascii="Arial Bold" w:hAnsi="Arial Bold" w:cs="Arial"/>
          <w:b/>
          <w:bCs/>
          <w:szCs w:val="20"/>
        </w:rPr>
        <w:t xml:space="preserve">Equation </w:t>
      </w:r>
      <w:r w:rsidRPr="00004A03">
        <w:rPr>
          <w:rFonts w:ascii="Arial Bold" w:hAnsi="Arial Bold" w:cs="Arial"/>
          <w:b/>
          <w:bCs/>
          <w:szCs w:val="20"/>
        </w:rPr>
        <w:fldChar w:fldCharType="begin"/>
      </w:r>
      <w:r w:rsidRPr="00004A03">
        <w:rPr>
          <w:rFonts w:ascii="Arial Bold" w:hAnsi="Arial Bold" w:cs="Arial"/>
          <w:b/>
          <w:bCs/>
          <w:szCs w:val="20"/>
        </w:rPr>
        <w:instrText xml:space="preserve"> SEQ Equation \* ARABIC \s 5 </w:instrText>
      </w:r>
      <w:r w:rsidRPr="00004A03">
        <w:rPr>
          <w:rFonts w:ascii="Arial Bold" w:hAnsi="Arial Bold" w:cs="Arial"/>
          <w:b/>
          <w:bCs/>
          <w:szCs w:val="20"/>
        </w:rPr>
        <w:fldChar w:fldCharType="separate"/>
      </w:r>
      <w:r w:rsidR="00004A03" w:rsidRPr="00004A03">
        <w:rPr>
          <w:rFonts w:ascii="Arial Bold" w:hAnsi="Arial Bold" w:cs="Arial"/>
          <w:b/>
          <w:bCs/>
          <w:noProof/>
          <w:szCs w:val="20"/>
        </w:rPr>
        <w:t>5</w:t>
      </w:r>
      <w:r w:rsidRPr="00004A03">
        <w:rPr>
          <w:rFonts w:ascii="Arial Bold" w:hAnsi="Arial Bold" w:cs="Arial"/>
          <w:b/>
          <w:bCs/>
          <w:noProof/>
          <w:szCs w:val="20"/>
        </w:rPr>
        <w:fldChar w:fldCharType="end"/>
      </w:r>
      <w:bookmarkEnd w:id="68"/>
      <w:r w:rsidRPr="00004A03">
        <w:rPr>
          <w:rFonts w:ascii="Arial Bold" w:hAnsi="Arial Bold" w:cs="Arial"/>
          <w:b/>
          <w:bCs/>
          <w:szCs w:val="20"/>
        </w:rPr>
        <w:t>. Legacy Uplift Calculation</w:t>
      </w:r>
      <w:bookmarkEnd w:id="69"/>
      <w:bookmarkEnd w:id="70"/>
    </w:p>
    <w:p w14:paraId="7F37AF07" w14:textId="77777777" w:rsidR="00EE614F" w:rsidRPr="00EE614F" w:rsidRDefault="00000000" w:rsidP="00EE614F">
      <w:pPr>
        <w:suppressAutoHyphens w:val="0"/>
        <w:autoSpaceDN/>
        <w:spacing w:before="0" w:after="0"/>
        <w:rPr>
          <w:rFonts w:eastAsiaTheme="minorEastAsia" w:cs="Arial"/>
          <w:szCs w:val="20"/>
        </w:rPr>
      </w:pPr>
      <m:oMathPara>
        <m:oMath>
          <m:sSubSup>
            <m:sSubSupPr>
              <m:alnScr m:val="1"/>
              <m:ctrlPr>
                <w:rPr>
                  <w:rFonts w:ascii="Cambria Math" w:hAnsi="Cambria Math" w:cs="Arial"/>
                  <w:i/>
                  <w:szCs w:val="20"/>
                </w:rPr>
              </m:ctrlPr>
            </m:sSubSupPr>
            <m:e>
              <m:r>
                <m:rPr>
                  <m:sty m:val="p"/>
                </m:rPr>
                <w:rPr>
                  <w:rFonts w:ascii="Cambria Math" w:hAnsi="Cambria Math"/>
                  <w:szCs w:val="20"/>
                </w:rPr>
                <m:t xml:space="preserve">HER </m:t>
              </m:r>
              <m:r>
                <m:rPr>
                  <m:nor/>
                </m:rPr>
                <w:rPr>
                  <w:rFonts w:ascii="Cambria Math" w:hAnsi="Cambria Math" w:cs="Arial"/>
                  <w:szCs w:val="20"/>
                </w:rPr>
                <m:t>Savings</m:t>
              </m:r>
            </m:e>
            <m:sub>
              <m:r>
                <m:rPr>
                  <m:nor/>
                </m:rPr>
                <w:rPr>
                  <w:rFonts w:ascii="Cambria Math" w:hAnsi="Cambria Math" w:cs="Arial"/>
                  <w:szCs w:val="20"/>
                </w:rPr>
                <m:t>PY</m:t>
              </m:r>
            </m:sub>
            <m:sup>
              <m:r>
                <m:rPr>
                  <m:nor/>
                </m:rPr>
                <w:rPr>
                  <w:rFonts w:ascii="Cambria Math" w:hAnsi="Cambria Math" w:cs="Arial"/>
                  <w:szCs w:val="20"/>
                </w:rPr>
                <m:t>Adjusted</m:t>
              </m:r>
            </m:sup>
          </m:sSubSup>
          <m:r>
            <m:rPr>
              <m:nor/>
            </m:rPr>
            <w:rPr>
              <w:rFonts w:ascii="Cambria Math" w:hAnsi="Cambria Math" w:cs="Arial"/>
              <w:szCs w:val="20"/>
            </w:rPr>
            <m:t xml:space="preserve"> = </m:t>
          </m:r>
          <m:sSubSup>
            <m:sSubSupPr>
              <m:ctrlPr>
                <w:rPr>
                  <w:rFonts w:ascii="Cambria Math" w:hAnsi="Cambria Math" w:cs="Arial"/>
                  <w:i/>
                  <w:szCs w:val="20"/>
                </w:rPr>
              </m:ctrlPr>
            </m:sSubSupPr>
            <m:e>
              <m:r>
                <m:rPr>
                  <m:sty m:val="p"/>
                </m:rPr>
                <w:rPr>
                  <w:rFonts w:ascii="Cambria Math" w:hAnsi="Cambria Math"/>
                  <w:szCs w:val="20"/>
                </w:rPr>
                <m:t xml:space="preserve">HER </m:t>
              </m:r>
              <m:r>
                <m:rPr>
                  <m:nor/>
                </m:rPr>
                <w:rPr>
                  <w:rFonts w:ascii="Cambria Math" w:hAnsi="Cambria Math" w:cs="Arial"/>
                  <w:szCs w:val="20"/>
                </w:rPr>
                <m:t>Savings</m:t>
              </m:r>
            </m:e>
            <m:sub>
              <m:r>
                <m:rPr>
                  <m:nor/>
                </m:rPr>
                <w:rPr>
                  <w:rFonts w:ascii="Cambria Math" w:hAnsi="Cambria Math" w:cs="Arial"/>
                  <w:szCs w:val="20"/>
                </w:rPr>
                <m:t>PY</m:t>
              </m:r>
            </m:sub>
            <m:sup>
              <m:r>
                <m:rPr>
                  <m:nor/>
                </m:rPr>
                <w:rPr>
                  <w:rFonts w:ascii="Cambria Math" w:hAnsi="Cambria Math" w:cs="Arial"/>
                  <w:szCs w:val="20"/>
                </w:rPr>
                <m:t>Unadjusted</m:t>
              </m:r>
            </m:sup>
          </m:sSubSup>
          <m:r>
            <w:rPr>
              <w:rFonts w:ascii="Cambria Math" w:hAnsi="Cambria Math" w:cs="Arial"/>
              <w:szCs w:val="20"/>
            </w:rPr>
            <m:t xml:space="preserve"> </m:t>
          </m:r>
          <m:r>
            <m:rPr>
              <m:nor/>
            </m:rPr>
            <w:rPr>
              <w:rFonts w:ascii="Cambria Math" w:hAnsi="Cambria Math" w:cs="Arial"/>
              <w:szCs w:val="20"/>
            </w:rPr>
            <m:t xml:space="preserve">- </m:t>
          </m:r>
          <m:sSub>
            <m:sSubPr>
              <m:ctrlPr>
                <w:rPr>
                  <w:rFonts w:ascii="Cambria Math" w:hAnsi="Cambria Math" w:cs="Arial"/>
                  <w:i/>
                  <w:szCs w:val="20"/>
                </w:rPr>
              </m:ctrlPr>
            </m:sSubPr>
            <m:e>
              <m:r>
                <m:rPr>
                  <m:nor/>
                </m:rPr>
                <w:rPr>
                  <w:rFonts w:ascii="Cambria Math" w:hAnsi="Cambria Math" w:cs="Arial"/>
                  <w:szCs w:val="20"/>
                </w:rPr>
                <m:t>Uplift Savings</m:t>
              </m:r>
            </m:e>
            <m:sub>
              <m:r>
                <m:rPr>
                  <m:nor/>
                </m:rPr>
                <w:rPr>
                  <w:rFonts w:ascii="Cambria Math" w:hAnsi="Cambria Math" w:cs="Arial"/>
                  <w:szCs w:val="20"/>
                </w:rPr>
                <m:t>PY</m:t>
              </m:r>
            </m:sub>
          </m:sSub>
          <m:r>
            <w:rPr>
              <w:rFonts w:ascii="Cambria Math" w:hAnsi="Cambria Math" w:cs="Arial"/>
              <w:szCs w:val="20"/>
            </w:rPr>
            <m:t xml:space="preserve"> </m:t>
          </m:r>
          <m:r>
            <m:rPr>
              <m:nor/>
            </m:rPr>
            <w:rPr>
              <w:rFonts w:ascii="Cambria Math" w:hAnsi="Cambria Math" w:cs="Arial"/>
              <w:szCs w:val="20"/>
            </w:rPr>
            <m:t>-</m:t>
          </m:r>
          <m:nary>
            <m:naryPr>
              <m:chr m:val="∑"/>
              <m:limLoc m:val="undOvr"/>
              <m:ctrlPr>
                <w:rPr>
                  <w:rFonts w:ascii="Cambria Math" w:hAnsi="Cambria Math" w:cs="Arial"/>
                  <w:i/>
                  <w:szCs w:val="20"/>
                </w:rPr>
              </m:ctrlPr>
            </m:naryPr>
            <m:sub>
              <m:r>
                <m:rPr>
                  <m:nor/>
                </m:rPr>
                <w:rPr>
                  <w:rFonts w:ascii="Cambria Math" w:hAnsi="Cambria Math" w:cs="Arial"/>
                  <w:szCs w:val="20"/>
                </w:rPr>
                <m:t>i=1</m:t>
              </m:r>
            </m:sub>
            <m:sup>
              <m:r>
                <m:rPr>
                  <m:nor/>
                </m:rPr>
                <w:rPr>
                  <w:rFonts w:ascii="Cambria Math" w:hAnsi="Cambria Math" w:cs="Arial"/>
                  <w:szCs w:val="20"/>
                </w:rPr>
                <m:t>PY-1</m:t>
              </m:r>
            </m:sup>
            <m:e>
              <m:sSub>
                <m:sSubPr>
                  <m:ctrlPr>
                    <w:rPr>
                      <w:rFonts w:ascii="Cambria Math" w:hAnsi="Cambria Math" w:cs="Arial"/>
                      <w:i/>
                      <w:szCs w:val="20"/>
                    </w:rPr>
                  </m:ctrlPr>
                </m:sSubPr>
                <m:e>
                  <m:r>
                    <m:rPr>
                      <m:nor/>
                    </m:rPr>
                    <w:rPr>
                      <w:rFonts w:ascii="Cambria Math" w:hAnsi="Cambria Math" w:cs="Arial"/>
                      <w:szCs w:val="20"/>
                    </w:rPr>
                    <m:t>"Live" Legacy Uplift Savings</m:t>
                  </m:r>
                </m:e>
                <m:sub>
                  <m:r>
                    <m:rPr>
                      <m:nor/>
                    </m:rPr>
                    <w:rPr>
                      <w:rFonts w:ascii="Cambria Math" w:hAnsi="Cambria Math" w:cs="Arial"/>
                      <w:szCs w:val="20"/>
                    </w:rPr>
                    <m:t xml:space="preserve">i </m:t>
                  </m:r>
                </m:sub>
              </m:sSub>
              <m:r>
                <m:rPr>
                  <m:nor/>
                </m:rPr>
                <w:rPr>
                  <w:rFonts w:ascii="Cambria Math" w:hAnsi="Cambria Math" w:cs="Arial"/>
                  <w:szCs w:val="20"/>
                </w:rPr>
                <m:t xml:space="preserve">∙ </m:t>
              </m:r>
              <m:sSup>
                <m:sSupPr>
                  <m:ctrlPr>
                    <w:rPr>
                      <w:rFonts w:ascii="Cambria Math" w:hAnsi="Cambria Math" w:cs="Arial"/>
                      <w:i/>
                      <w:szCs w:val="20"/>
                    </w:rPr>
                  </m:ctrlPr>
                </m:sSupPr>
                <m:e>
                  <m:d>
                    <m:dPr>
                      <m:ctrlPr>
                        <w:rPr>
                          <w:rFonts w:ascii="Cambria Math" w:hAnsi="Cambria Math" w:cs="Arial"/>
                          <w:i/>
                          <w:szCs w:val="20"/>
                        </w:rPr>
                      </m:ctrlPr>
                    </m:dPr>
                    <m:e>
                      <m:r>
                        <m:rPr>
                          <m:nor/>
                        </m:rPr>
                        <w:rPr>
                          <w:rFonts w:ascii="Cambria Math" w:hAnsi="Cambria Math" w:cs="Arial"/>
                          <w:szCs w:val="20"/>
                        </w:rPr>
                        <m:t>1 - MOR</m:t>
                      </m:r>
                    </m:e>
                  </m:d>
                </m:e>
                <m:sup>
                  <m:r>
                    <m:rPr>
                      <m:nor/>
                    </m:rPr>
                    <w:rPr>
                      <w:rFonts w:ascii="Cambria Math" w:hAnsi="Cambria Math" w:cs="Arial"/>
                      <w:szCs w:val="20"/>
                    </w:rPr>
                    <m:t>PY - i</m:t>
                  </m:r>
                </m:sup>
              </m:sSup>
            </m:e>
          </m:nary>
        </m:oMath>
      </m:oMathPara>
    </w:p>
    <w:p w14:paraId="1642A777" w14:textId="77777777" w:rsidR="00EE614F" w:rsidRPr="00EE614F" w:rsidRDefault="00EE614F" w:rsidP="00EE614F">
      <w:pPr>
        <w:suppressAutoHyphens w:val="0"/>
        <w:autoSpaceDN/>
        <w:spacing w:before="0" w:after="0"/>
        <w:rPr>
          <w:rFonts w:eastAsiaTheme="minorEastAsia" w:cs="Arial"/>
          <w:szCs w:val="20"/>
        </w:rPr>
      </w:pPr>
    </w:p>
    <w:p w14:paraId="161F46E4" w14:textId="77777777" w:rsidR="00EE614F" w:rsidRPr="00EE614F" w:rsidRDefault="00EE614F" w:rsidP="00EE614F">
      <w:pPr>
        <w:suppressAutoHyphens w:val="0"/>
        <w:autoSpaceDN/>
        <w:spacing w:before="0" w:after="240"/>
        <w:rPr>
          <w:rFonts w:eastAsiaTheme="minorEastAsia"/>
          <w:szCs w:val="20"/>
        </w:rPr>
      </w:pPr>
      <w:r w:rsidRPr="00EE614F">
        <w:rPr>
          <w:rFonts w:eastAsiaTheme="minorEastAsia"/>
          <w:szCs w:val="20"/>
        </w:rPr>
        <w:t xml:space="preserve">Where, “Live” Legacy Uplift Savings refers to uplift savings where the other EE programs’ measure lives have not yet run out (i.e., where measure life exceeds the difference between </w:t>
      </w:r>
      <w:r w:rsidRPr="00EE614F">
        <w:rPr>
          <w:rFonts w:eastAsiaTheme="minorEastAsia"/>
          <w:i/>
          <w:szCs w:val="20"/>
        </w:rPr>
        <w:t>PY</w:t>
      </w:r>
      <w:r w:rsidRPr="00EE614F">
        <w:rPr>
          <w:rFonts w:eastAsiaTheme="minorEastAsia"/>
          <w:szCs w:val="20"/>
        </w:rPr>
        <w:t xml:space="preserve"> and </w:t>
      </w:r>
      <w:proofErr w:type="spellStart"/>
      <w:r w:rsidRPr="00EE614F">
        <w:rPr>
          <w:rFonts w:eastAsiaTheme="minorEastAsia"/>
          <w:i/>
          <w:szCs w:val="20"/>
        </w:rPr>
        <w:t>i</w:t>
      </w:r>
      <w:proofErr w:type="spellEnd"/>
      <w:r w:rsidRPr="00EE614F">
        <w:rPr>
          <w:rFonts w:eastAsiaTheme="minorEastAsia"/>
          <w:szCs w:val="20"/>
        </w:rPr>
        <w:t xml:space="preserve">) and MOR refers to the move out rate. To streamline the analysis, instead of using individual measure lives in developing legacy uplift </w:t>
      </w:r>
      <w:proofErr w:type="gramStart"/>
      <w:r w:rsidRPr="00EE614F">
        <w:rPr>
          <w:rFonts w:eastAsiaTheme="minorEastAsia"/>
          <w:szCs w:val="20"/>
        </w:rPr>
        <w:t>savings, and</w:t>
      </w:r>
      <w:proofErr w:type="gramEnd"/>
      <w:r w:rsidRPr="00EE614F">
        <w:rPr>
          <w:rFonts w:eastAsiaTheme="minorEastAsia"/>
          <w:szCs w:val="20"/>
        </w:rPr>
        <w:t xml:space="preserve"> subsequently removing measures one-by-one once these reach the end of their EULs, the evaluation team calculated EULs at the program level by weighting measure-specific EULs by savings. Once the program reaches its weighted average </w:t>
      </w:r>
      <w:proofErr w:type="gramStart"/>
      <w:r w:rsidRPr="00EE614F">
        <w:rPr>
          <w:rFonts w:eastAsiaTheme="minorEastAsia"/>
          <w:szCs w:val="20"/>
        </w:rPr>
        <w:t>measure</w:t>
      </w:r>
      <w:proofErr w:type="gramEnd"/>
      <w:r w:rsidRPr="00EE614F">
        <w:rPr>
          <w:rFonts w:eastAsiaTheme="minorEastAsia"/>
          <w:szCs w:val="20"/>
        </w:rPr>
        <w:t xml:space="preserve"> life (WAML), it is removed from the legacy uplift calculation.</w:t>
      </w:r>
    </w:p>
    <w:p w14:paraId="48EF5751" w14:textId="430DE4F2" w:rsidR="00EE614F" w:rsidRPr="00EE614F" w:rsidRDefault="00EE614F" w:rsidP="00EE614F">
      <w:pPr>
        <w:suppressAutoHyphens w:val="0"/>
        <w:autoSpaceDN/>
        <w:spacing w:before="0" w:after="240"/>
        <w:rPr>
          <w:szCs w:val="20"/>
        </w:rPr>
      </w:pPr>
      <w:r w:rsidRPr="00EE614F">
        <w:rPr>
          <w:rFonts w:eastAsiaTheme="minorEastAsia"/>
          <w:szCs w:val="20"/>
        </w:rPr>
        <w:t>The legacy uplift adjustment removes double counted savings from the CY2020 to CY202</w:t>
      </w:r>
      <w:r>
        <w:rPr>
          <w:rFonts w:eastAsiaTheme="minorEastAsia"/>
          <w:szCs w:val="20"/>
        </w:rPr>
        <w:t>3</w:t>
      </w:r>
      <w:r w:rsidRPr="00EE614F">
        <w:rPr>
          <w:rFonts w:eastAsiaTheme="minorEastAsia"/>
          <w:szCs w:val="20"/>
        </w:rPr>
        <w:t xml:space="preserve"> evaluations for the ESK, HEER, HES, MF, and IE programs.</w:t>
      </w:r>
    </w:p>
    <w:p w14:paraId="20F5AB00" w14:textId="77777777" w:rsidR="00EE614F" w:rsidRPr="00EE614F" w:rsidRDefault="00EE614F" w:rsidP="00EE614F">
      <w:pPr>
        <w:numPr>
          <w:ilvl w:val="6"/>
          <w:numId w:val="0"/>
        </w:numPr>
        <w:suppressAutoHyphens w:val="0"/>
        <w:autoSpaceDN/>
        <w:spacing w:before="240" w:after="240"/>
        <w:ind w:left="720" w:hanging="720"/>
        <w:outlineLvl w:val="6"/>
        <w:rPr>
          <w:b/>
          <w:iCs/>
          <w:sz w:val="24"/>
          <w:szCs w:val="26"/>
        </w:rPr>
      </w:pPr>
      <w:bookmarkStart w:id="71" w:name="_Ref64938129"/>
      <w:r w:rsidRPr="00EE614F">
        <w:rPr>
          <w:b/>
          <w:iCs/>
          <w:sz w:val="24"/>
          <w:szCs w:val="26"/>
        </w:rPr>
        <w:t>Accounting for Savings Persistence and Participant Retention</w:t>
      </w:r>
      <w:bookmarkEnd w:id="71"/>
    </w:p>
    <w:p w14:paraId="0BADDA0C" w14:textId="1A8867A6" w:rsidR="00EE614F" w:rsidRPr="00EE614F" w:rsidRDefault="00EE614F" w:rsidP="00EE614F">
      <w:pPr>
        <w:suppressAutoHyphens w:val="0"/>
        <w:autoSpaceDN/>
        <w:spacing w:before="0" w:after="0"/>
        <w:rPr>
          <w:szCs w:val="20"/>
        </w:rPr>
      </w:pPr>
      <w:r w:rsidRPr="00EE614F">
        <w:rPr>
          <w:szCs w:val="20"/>
        </w:rPr>
        <w:t>Continued implementation of HER programs in Illinois and across the country has demonstrated persistence of savings beyond the first year, leading Illinois to adopt a measure persistence framework in Version 1</w:t>
      </w:r>
      <w:r w:rsidR="00D55C51">
        <w:rPr>
          <w:szCs w:val="20"/>
        </w:rPr>
        <w:t>2</w:t>
      </w:r>
      <w:r w:rsidRPr="00EE614F">
        <w:rPr>
          <w:szCs w:val="20"/>
        </w:rPr>
        <w:t xml:space="preserve">.0 of the IL-TRM. This framework assumes that savings persist over seven years, but </w:t>
      </w:r>
      <w:proofErr w:type="gramStart"/>
      <w:r w:rsidRPr="00EE614F">
        <w:rPr>
          <w:szCs w:val="20"/>
        </w:rPr>
        <w:t>the persistence</w:t>
      </w:r>
      <w:proofErr w:type="gramEnd"/>
      <w:r w:rsidRPr="00EE614F">
        <w:rPr>
          <w:szCs w:val="20"/>
        </w:rPr>
        <w:t xml:space="preserve"> decays in each year. The IL-TRM recommends using the persistence factors presente</w:t>
      </w:r>
      <w:r w:rsidRPr="00004A03">
        <w:rPr>
          <w:szCs w:val="20"/>
        </w:rPr>
        <w:t xml:space="preserve">d in </w:t>
      </w:r>
      <w:r w:rsidR="00B32011">
        <w:rPr>
          <w:szCs w:val="20"/>
        </w:rPr>
        <w:fldChar w:fldCharType="begin"/>
      </w:r>
      <w:r w:rsidR="00B32011">
        <w:rPr>
          <w:szCs w:val="20"/>
        </w:rPr>
        <w:instrText xml:space="preserve"> REF _Ref195885772 \h </w:instrText>
      </w:r>
      <w:r w:rsidR="00B32011">
        <w:rPr>
          <w:szCs w:val="20"/>
        </w:rPr>
      </w:r>
      <w:r w:rsidR="00B32011">
        <w:rPr>
          <w:szCs w:val="20"/>
        </w:rPr>
        <w:fldChar w:fldCharType="separate"/>
      </w:r>
      <w:r w:rsidR="00B32011">
        <w:t xml:space="preserve">Table </w:t>
      </w:r>
      <w:r w:rsidR="00B32011">
        <w:rPr>
          <w:noProof/>
        </w:rPr>
        <w:t>A</w:t>
      </w:r>
      <w:r w:rsidR="00B32011">
        <w:noBreakHyphen/>
      </w:r>
      <w:r w:rsidR="00B32011">
        <w:rPr>
          <w:noProof/>
        </w:rPr>
        <w:t>1</w:t>
      </w:r>
      <w:r w:rsidR="00B32011">
        <w:rPr>
          <w:szCs w:val="20"/>
        </w:rPr>
        <w:fldChar w:fldCharType="end"/>
      </w:r>
      <w:r w:rsidR="00124445" w:rsidRPr="00004A03">
        <w:rPr>
          <w:szCs w:val="20"/>
        </w:rPr>
        <w:t xml:space="preserve"> </w:t>
      </w:r>
      <w:r w:rsidRPr="00004A03">
        <w:rPr>
          <w:szCs w:val="20"/>
        </w:rPr>
        <w:t>over</w:t>
      </w:r>
      <w:r w:rsidRPr="00EE614F">
        <w:rPr>
          <w:szCs w:val="20"/>
        </w:rPr>
        <w:t xml:space="preserve"> the seven-year life to estimate lifetime gas savings for the program. </w:t>
      </w:r>
    </w:p>
    <w:p w14:paraId="2792B6EF" w14:textId="77777777" w:rsidR="00EE614F" w:rsidRPr="00EE614F" w:rsidRDefault="00EE614F" w:rsidP="00EE614F">
      <w:pPr>
        <w:suppressAutoHyphens w:val="0"/>
        <w:autoSpaceDN/>
        <w:spacing w:before="0" w:after="0"/>
        <w:rPr>
          <w:sz w:val="20"/>
          <w:szCs w:val="20"/>
        </w:rPr>
      </w:pPr>
    </w:p>
    <w:p w14:paraId="4280A79F" w14:textId="3C85FE68" w:rsidR="00EE614F" w:rsidRPr="00577499" w:rsidRDefault="00124445" w:rsidP="0021624B">
      <w:pPr>
        <w:pStyle w:val="Caption"/>
      </w:pPr>
      <w:bookmarkStart w:id="72" w:name="_Toc110421338"/>
      <w:bookmarkStart w:id="73" w:name="_Toc133316580"/>
      <w:bookmarkStart w:id="74" w:name="_Toc137824738"/>
      <w:bookmarkStart w:id="75" w:name="_Toc172553804"/>
      <w:bookmarkStart w:id="76" w:name="_Ref195885772"/>
      <w:bookmarkStart w:id="77" w:name="_Toc195887203"/>
      <w:r>
        <w:t xml:space="preserve">Table </w:t>
      </w:r>
      <w:r w:rsidR="0021624B">
        <w:fldChar w:fldCharType="begin"/>
      </w:r>
      <w:r w:rsidR="0021624B">
        <w:instrText xml:space="preserve"> STYLEREF 5 \s </w:instrText>
      </w:r>
      <w:r w:rsidR="0021624B">
        <w:fldChar w:fldCharType="separate"/>
      </w:r>
      <w:r w:rsidR="0021624B">
        <w:t>A</w:t>
      </w:r>
      <w:r w:rsidR="0021624B">
        <w:fldChar w:fldCharType="end"/>
      </w:r>
      <w:r w:rsidR="0021624B">
        <w:noBreakHyphen/>
      </w:r>
      <w:r w:rsidR="0021624B">
        <w:fldChar w:fldCharType="begin"/>
      </w:r>
      <w:r w:rsidR="0021624B">
        <w:instrText xml:space="preserve"> SEQ Table_Apx \* ARABIC \s 5 </w:instrText>
      </w:r>
      <w:r w:rsidR="0021624B">
        <w:fldChar w:fldCharType="separate"/>
      </w:r>
      <w:r w:rsidR="0021624B">
        <w:t>1</w:t>
      </w:r>
      <w:r w:rsidR="0021624B">
        <w:fldChar w:fldCharType="end"/>
      </w:r>
      <w:bookmarkEnd w:id="76"/>
      <w:r w:rsidR="0021624B">
        <w:t>.</w:t>
      </w:r>
      <w:r w:rsidR="00EE614F">
        <w:t xml:space="preserve"> </w:t>
      </w:r>
      <w:r w:rsidR="00EE614F" w:rsidRPr="00124445">
        <w:t>Gas Savings Persistence Factors</w:t>
      </w:r>
      <w:bookmarkEnd w:id="72"/>
      <w:bookmarkEnd w:id="73"/>
      <w:bookmarkEnd w:id="74"/>
      <w:bookmarkEnd w:id="75"/>
      <w:bookmarkEnd w:id="77"/>
    </w:p>
    <w:tbl>
      <w:tblPr>
        <w:tblStyle w:val="EnergyTable11"/>
        <w:tblW w:w="0" w:type="auto"/>
        <w:tblLook w:val="04A0" w:firstRow="1" w:lastRow="0" w:firstColumn="1" w:lastColumn="0" w:noHBand="0" w:noVBand="1"/>
      </w:tblPr>
      <w:tblGrid>
        <w:gridCol w:w="2321"/>
        <w:gridCol w:w="2269"/>
      </w:tblGrid>
      <w:tr w:rsidR="00EE614F" w:rsidRPr="00F551AF" w14:paraId="6D1DCD7F" w14:textId="77777777" w:rsidTr="008B2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hideMark/>
          </w:tcPr>
          <w:p w14:paraId="5CAB4C76"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w:t>
            </w:r>
          </w:p>
        </w:tc>
        <w:tc>
          <w:tcPr>
            <w:tcW w:w="2269" w:type="dxa"/>
            <w:hideMark/>
          </w:tcPr>
          <w:p w14:paraId="32A13292" w14:textId="77777777" w:rsidR="00EE614F" w:rsidRPr="00F551AF" w:rsidRDefault="00EE614F" w:rsidP="00EE614F">
            <w:pPr>
              <w:keepNext/>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Gas Persistence Factor</w:t>
            </w:r>
          </w:p>
        </w:tc>
      </w:tr>
      <w:tr w:rsidR="00EE614F" w:rsidRPr="00F551AF" w14:paraId="7F097C78" w14:textId="77777777" w:rsidTr="008B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hideMark/>
          </w:tcPr>
          <w:p w14:paraId="2B6185C3"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1</w:t>
            </w:r>
          </w:p>
        </w:tc>
        <w:tc>
          <w:tcPr>
            <w:tcW w:w="2269" w:type="dxa"/>
            <w:hideMark/>
          </w:tcPr>
          <w:p w14:paraId="575550CC"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100%</w:t>
            </w:r>
          </w:p>
        </w:tc>
      </w:tr>
      <w:tr w:rsidR="00EE614F" w:rsidRPr="00F551AF" w14:paraId="5E9490A2" w14:textId="77777777" w:rsidTr="008B2E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hideMark/>
          </w:tcPr>
          <w:p w14:paraId="29F90A0C"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2</w:t>
            </w:r>
          </w:p>
        </w:tc>
        <w:tc>
          <w:tcPr>
            <w:tcW w:w="2269" w:type="dxa"/>
            <w:hideMark/>
          </w:tcPr>
          <w:p w14:paraId="52032AFA"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sz w:val="20"/>
                <w:szCs w:val="20"/>
              </w:rPr>
              <w:t>70%</w:t>
            </w:r>
          </w:p>
        </w:tc>
      </w:tr>
      <w:tr w:rsidR="00EE614F" w:rsidRPr="00F551AF" w14:paraId="35E6AB6D" w14:textId="77777777" w:rsidTr="008B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hideMark/>
          </w:tcPr>
          <w:p w14:paraId="047D9290"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3</w:t>
            </w:r>
          </w:p>
        </w:tc>
        <w:tc>
          <w:tcPr>
            <w:tcW w:w="2269" w:type="dxa"/>
            <w:hideMark/>
          </w:tcPr>
          <w:p w14:paraId="606C4D84"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49%</w:t>
            </w:r>
          </w:p>
        </w:tc>
      </w:tr>
      <w:tr w:rsidR="00EE614F" w:rsidRPr="00F551AF" w14:paraId="021B66A8" w14:textId="77777777" w:rsidTr="008B2E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hideMark/>
          </w:tcPr>
          <w:p w14:paraId="6D4B52B5"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4</w:t>
            </w:r>
          </w:p>
        </w:tc>
        <w:tc>
          <w:tcPr>
            <w:tcW w:w="2269" w:type="dxa"/>
            <w:hideMark/>
          </w:tcPr>
          <w:p w14:paraId="7DB0C8FC"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sz w:val="20"/>
                <w:szCs w:val="20"/>
              </w:rPr>
              <w:t>34%</w:t>
            </w:r>
          </w:p>
        </w:tc>
      </w:tr>
      <w:tr w:rsidR="00EE614F" w:rsidRPr="00F551AF" w14:paraId="2A258988" w14:textId="77777777" w:rsidTr="008B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hideMark/>
          </w:tcPr>
          <w:p w14:paraId="703DFF4A"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5</w:t>
            </w:r>
          </w:p>
        </w:tc>
        <w:tc>
          <w:tcPr>
            <w:tcW w:w="2269" w:type="dxa"/>
            <w:hideMark/>
          </w:tcPr>
          <w:p w14:paraId="1577A5EF"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24%</w:t>
            </w:r>
          </w:p>
        </w:tc>
      </w:tr>
      <w:tr w:rsidR="00EE614F" w:rsidRPr="00F551AF" w14:paraId="318044ED" w14:textId="77777777" w:rsidTr="008B2E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7D19F9B9"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6</w:t>
            </w:r>
          </w:p>
        </w:tc>
        <w:tc>
          <w:tcPr>
            <w:tcW w:w="2269" w:type="dxa"/>
          </w:tcPr>
          <w:p w14:paraId="688E2DCF"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sz w:val="20"/>
                <w:szCs w:val="20"/>
              </w:rPr>
              <w:t>17%</w:t>
            </w:r>
          </w:p>
        </w:tc>
      </w:tr>
      <w:tr w:rsidR="00EE614F" w:rsidRPr="00F551AF" w14:paraId="58FA06AC" w14:textId="77777777" w:rsidTr="008B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20E11310"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Year 7</w:t>
            </w:r>
          </w:p>
        </w:tc>
        <w:tc>
          <w:tcPr>
            <w:tcW w:w="2269" w:type="dxa"/>
          </w:tcPr>
          <w:p w14:paraId="75A513EB"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12%</w:t>
            </w:r>
          </w:p>
        </w:tc>
      </w:tr>
    </w:tbl>
    <w:p w14:paraId="0ADEC855" w14:textId="07434A85" w:rsidR="00EE614F" w:rsidRPr="00EE614F" w:rsidRDefault="00EE614F" w:rsidP="002A6327">
      <w:pPr>
        <w:pStyle w:val="Source"/>
        <w:ind w:firstLine="2430"/>
      </w:pPr>
      <w:r>
        <w:t>S</w:t>
      </w:r>
      <w:r w:rsidRPr="00EE614F">
        <w:t>ource: IL-TRM, Measure 6.1.1, Volume 4, Version 1</w:t>
      </w:r>
      <w:r w:rsidR="00D55C51">
        <w:t>2</w:t>
      </w:r>
      <w:r w:rsidRPr="00EE614F">
        <w:t>.0.</w:t>
      </w:r>
    </w:p>
    <w:p w14:paraId="1FB8222C" w14:textId="77777777" w:rsidR="00EE614F" w:rsidRPr="00EE614F" w:rsidRDefault="00EE614F" w:rsidP="00EE614F">
      <w:pPr>
        <w:suppressAutoHyphens w:val="0"/>
        <w:autoSpaceDN/>
        <w:spacing w:before="0" w:after="0"/>
        <w:rPr>
          <w:szCs w:val="20"/>
        </w:rPr>
      </w:pPr>
    </w:p>
    <w:p w14:paraId="7603BBC9" w14:textId="6FA1287B" w:rsidR="00EE614F" w:rsidRPr="00EE614F" w:rsidRDefault="00EE614F" w:rsidP="00EE614F">
      <w:pPr>
        <w:suppressAutoHyphens w:val="0"/>
        <w:autoSpaceDN/>
        <w:spacing w:before="0" w:after="0"/>
        <w:rPr>
          <w:szCs w:val="20"/>
        </w:rPr>
      </w:pPr>
      <w:r w:rsidRPr="00EE614F">
        <w:rPr>
          <w:szCs w:val="20"/>
        </w:rPr>
        <w:lastRenderedPageBreak/>
        <w:t>The persistence factors above apply for the forward-looking cost-effectiveness calculations. However, in removing persistence from prior years, Guidehouse used the persistence factors in effect from those years per IL-TRM v1</w:t>
      </w:r>
      <w:r w:rsidR="00D55C51">
        <w:rPr>
          <w:szCs w:val="20"/>
        </w:rPr>
        <w:t>2</w:t>
      </w:r>
      <w:r w:rsidRPr="00EE614F">
        <w:rPr>
          <w:szCs w:val="20"/>
        </w:rPr>
        <w:t>.0:</w:t>
      </w:r>
    </w:p>
    <w:p w14:paraId="08480B01" w14:textId="77777777" w:rsidR="00EE614F" w:rsidRPr="00EE614F" w:rsidRDefault="00EE614F" w:rsidP="00EE614F">
      <w:pPr>
        <w:suppressAutoHyphens w:val="0"/>
        <w:autoSpaceDN/>
        <w:spacing w:before="0" w:after="0"/>
        <w:rPr>
          <w:szCs w:val="20"/>
        </w:rPr>
      </w:pPr>
    </w:p>
    <w:p w14:paraId="4EDAD7F0" w14:textId="77777777" w:rsidR="00EE614F" w:rsidRPr="00EE614F" w:rsidRDefault="00EE614F" w:rsidP="00EE614F">
      <w:pPr>
        <w:suppressAutoHyphens w:val="0"/>
        <w:autoSpaceDN/>
        <w:spacing w:before="0" w:after="240"/>
        <w:ind w:left="720"/>
        <w:rPr>
          <w:szCs w:val="20"/>
        </w:rPr>
      </w:pPr>
      <w:r w:rsidRPr="00EE614F">
        <w:rPr>
          <w:szCs w:val="20"/>
        </w:rPr>
        <w:t xml:space="preserve">…when persistence factors are changed, the evaluation will utilize the persistence factors that were used to calculate claimed savings in previous years to subtract persistence savings from those years. For example, persistence factors changed between CY2021 and 2022; in CY2021 the earlier persistence factors (based on a 5-year measure life) were used to claim savings from CY2021-CY2025, therefore in 2022-CY2025 persisting savings from CY2021 should be subtracted based on those same persistence factors. </w:t>
      </w:r>
    </w:p>
    <w:p w14:paraId="3C9B0354" w14:textId="6BC5FD7E" w:rsidR="00EE614F" w:rsidRPr="00EE614F" w:rsidRDefault="00EE614F" w:rsidP="00EE614F">
      <w:pPr>
        <w:suppressAutoHyphens w:val="0"/>
        <w:autoSpaceDN/>
        <w:spacing w:before="0" w:after="0"/>
        <w:rPr>
          <w:szCs w:val="20"/>
        </w:rPr>
      </w:pPr>
      <w:r w:rsidRPr="00EE614F">
        <w:rPr>
          <w:szCs w:val="20"/>
        </w:rPr>
        <w:t>In 202</w:t>
      </w:r>
      <w:r>
        <w:rPr>
          <w:szCs w:val="20"/>
        </w:rPr>
        <w:t>4</w:t>
      </w:r>
      <w:r w:rsidRPr="00EE614F">
        <w:rPr>
          <w:szCs w:val="20"/>
        </w:rPr>
        <w:t xml:space="preserve">, Wave 1 is in year </w:t>
      </w:r>
      <w:r>
        <w:rPr>
          <w:szCs w:val="20"/>
        </w:rPr>
        <w:t>6</w:t>
      </w:r>
      <w:r w:rsidRPr="00EE614F">
        <w:rPr>
          <w:szCs w:val="20"/>
        </w:rPr>
        <w:t xml:space="preserve">, Wave 2 is in year </w:t>
      </w:r>
      <w:r>
        <w:rPr>
          <w:szCs w:val="20"/>
        </w:rPr>
        <w:t>5</w:t>
      </w:r>
      <w:r w:rsidRPr="00EE614F">
        <w:rPr>
          <w:szCs w:val="20"/>
        </w:rPr>
        <w:t xml:space="preserve">, Wave 3 is in year </w:t>
      </w:r>
      <w:r>
        <w:rPr>
          <w:szCs w:val="20"/>
        </w:rPr>
        <w:t>5, and Wave 4 is in year 1</w:t>
      </w:r>
      <w:r w:rsidRPr="00EE614F">
        <w:rPr>
          <w:szCs w:val="20"/>
        </w:rPr>
        <w:t>. Using the applicable persistence, Guidehouse used persistence factors of 70% for savings from 202</w:t>
      </w:r>
      <w:r w:rsidR="00D55C51">
        <w:rPr>
          <w:szCs w:val="20"/>
        </w:rPr>
        <w:t>3</w:t>
      </w:r>
      <w:r w:rsidRPr="00EE614F">
        <w:rPr>
          <w:szCs w:val="20"/>
        </w:rPr>
        <w:t xml:space="preserve">, </w:t>
      </w:r>
      <w:r w:rsidR="00D55C51">
        <w:rPr>
          <w:szCs w:val="20"/>
        </w:rPr>
        <w:t>49</w:t>
      </w:r>
      <w:r w:rsidRPr="00EE614F">
        <w:rPr>
          <w:szCs w:val="20"/>
        </w:rPr>
        <w:t>% for savings from 202</w:t>
      </w:r>
      <w:r w:rsidR="00D55C51">
        <w:rPr>
          <w:szCs w:val="20"/>
        </w:rPr>
        <w:t>2</w:t>
      </w:r>
      <w:r w:rsidRPr="00EE614F">
        <w:rPr>
          <w:szCs w:val="20"/>
        </w:rPr>
        <w:t>, 9% for savings from 202</w:t>
      </w:r>
      <w:r w:rsidR="00D55C51">
        <w:rPr>
          <w:szCs w:val="20"/>
        </w:rPr>
        <w:t>1</w:t>
      </w:r>
      <w:r w:rsidRPr="00EE614F">
        <w:rPr>
          <w:szCs w:val="20"/>
        </w:rPr>
        <w:t>, and 4% for savings from 20</w:t>
      </w:r>
      <w:r w:rsidR="00D55C51">
        <w:rPr>
          <w:szCs w:val="20"/>
        </w:rPr>
        <w:t>20</w:t>
      </w:r>
      <w:r w:rsidRPr="00EE614F">
        <w:rPr>
          <w:szCs w:val="20"/>
        </w:rPr>
        <w:t>.</w:t>
      </w:r>
      <w:r w:rsidRPr="00EE614F">
        <w:rPr>
          <w:szCs w:val="20"/>
          <w:vertAlign w:val="superscript"/>
        </w:rPr>
        <w:footnoteReference w:id="16"/>
      </w:r>
      <w:r w:rsidRPr="00EE614F">
        <w:rPr>
          <w:rFonts w:ascii="Times New Roman" w:hAnsi="Times New Roman"/>
          <w:sz w:val="24"/>
        </w:rPr>
        <w:t xml:space="preserve"> </w:t>
      </w:r>
      <w:r w:rsidRPr="00EE614F">
        <w:rPr>
          <w:szCs w:val="20"/>
        </w:rPr>
        <w:t xml:space="preserve">Per the </w:t>
      </w:r>
      <w:r w:rsidR="00D55C51">
        <w:rPr>
          <w:szCs w:val="20"/>
        </w:rPr>
        <w:t>IL-</w:t>
      </w:r>
      <w:r w:rsidRPr="00EE614F">
        <w:rPr>
          <w:szCs w:val="20"/>
        </w:rPr>
        <w:t>TRM, the adjustment for persistence also accounts for the program retention rate using a wave-specific prospective retention rate based on the age of the wave. In CY202</w:t>
      </w:r>
      <w:r>
        <w:rPr>
          <w:szCs w:val="20"/>
        </w:rPr>
        <w:t>4</w:t>
      </w:r>
      <w:r w:rsidRPr="00EE614F">
        <w:rPr>
          <w:szCs w:val="20"/>
        </w:rPr>
        <w:t>, Guidehouse applied a 95% retention rate to all waves.</w:t>
      </w:r>
      <w:r w:rsidRPr="00EE614F">
        <w:rPr>
          <w:szCs w:val="20"/>
          <w:vertAlign w:val="superscript"/>
        </w:rPr>
        <w:footnoteReference w:id="17"/>
      </w:r>
      <w:r w:rsidRPr="00EE614F">
        <w:rPr>
          <w:szCs w:val="20"/>
        </w:rPr>
        <w:t xml:space="preserve"> </w:t>
      </w:r>
    </w:p>
    <w:p w14:paraId="21DB91FF" w14:textId="77777777" w:rsidR="00EE614F" w:rsidRPr="00EE614F" w:rsidRDefault="00EE614F" w:rsidP="00EE614F">
      <w:pPr>
        <w:suppressAutoHyphens w:val="0"/>
        <w:autoSpaceDN/>
        <w:spacing w:before="0" w:after="0"/>
        <w:rPr>
          <w:szCs w:val="20"/>
        </w:rPr>
      </w:pPr>
    </w:p>
    <w:p w14:paraId="7F7CAD5D" w14:textId="71C63C95" w:rsidR="00EE614F" w:rsidRPr="00EE614F" w:rsidRDefault="00B32011" w:rsidP="00EE614F">
      <w:pPr>
        <w:suppressAutoHyphens w:val="0"/>
        <w:autoSpaceDN/>
        <w:spacing w:before="0" w:after="0"/>
        <w:rPr>
          <w:szCs w:val="20"/>
        </w:rPr>
      </w:pPr>
      <w:r>
        <w:rPr>
          <w:szCs w:val="20"/>
        </w:rPr>
        <w:fldChar w:fldCharType="begin"/>
      </w:r>
      <w:r>
        <w:rPr>
          <w:szCs w:val="20"/>
        </w:rPr>
        <w:instrText xml:space="preserve"> REF _Ref195885794 \h </w:instrText>
      </w:r>
      <w:r>
        <w:rPr>
          <w:szCs w:val="20"/>
        </w:rPr>
      </w:r>
      <w:r>
        <w:rPr>
          <w:szCs w:val="20"/>
        </w:rPr>
        <w:fldChar w:fldCharType="separate"/>
      </w:r>
      <w:r>
        <w:t xml:space="preserve">Table </w:t>
      </w:r>
      <w:r>
        <w:rPr>
          <w:noProof/>
        </w:rPr>
        <w:t>A</w:t>
      </w:r>
      <w:r>
        <w:noBreakHyphen/>
      </w:r>
      <w:r>
        <w:rPr>
          <w:noProof/>
        </w:rPr>
        <w:t>2</w:t>
      </w:r>
      <w:r>
        <w:rPr>
          <w:szCs w:val="20"/>
        </w:rPr>
        <w:fldChar w:fldCharType="end"/>
      </w:r>
      <w:r w:rsidR="00D55C51">
        <w:rPr>
          <w:szCs w:val="20"/>
        </w:rPr>
        <w:t xml:space="preserve"> </w:t>
      </w:r>
      <w:r w:rsidR="00EE614F" w:rsidRPr="00EE614F">
        <w:rPr>
          <w:szCs w:val="20"/>
        </w:rPr>
        <w:t xml:space="preserve">provides a breakdown of the persistence factors and savings attributed to prior years for </w:t>
      </w:r>
      <w:r w:rsidR="00D55C51">
        <w:rPr>
          <w:szCs w:val="20"/>
        </w:rPr>
        <w:t>W</w:t>
      </w:r>
      <w:r w:rsidR="00EE614F" w:rsidRPr="00EE614F">
        <w:rPr>
          <w:szCs w:val="20"/>
        </w:rPr>
        <w:t>aves</w:t>
      </w:r>
      <w:r w:rsidR="00D55C51">
        <w:rPr>
          <w:szCs w:val="20"/>
        </w:rPr>
        <w:t xml:space="preserve"> 1-3 (Wave 4 is not included as it is new in 2024 and thus has no persistence from prior years)</w:t>
      </w:r>
      <w:r w:rsidR="00EE614F" w:rsidRPr="00EE614F">
        <w:rPr>
          <w:szCs w:val="20"/>
        </w:rPr>
        <w:t>. The total persistence adjustment (Section E) is calculated as the sum of all savings attributed to prior years (Section D) (i.e., D1+D2+D3+D4=E). Each row of section D is calculated by multiplying the corresponding rows of Section A (actual savings), Section B (persistence adjustment factors) and Section C (retention rates) (e.g., A1*B1*C1=D1).</w:t>
      </w:r>
    </w:p>
    <w:p w14:paraId="6D13BECB" w14:textId="77777777" w:rsidR="00EE614F" w:rsidRPr="00EE614F" w:rsidRDefault="00EE614F" w:rsidP="00EE614F">
      <w:pPr>
        <w:suppressAutoHyphens w:val="0"/>
        <w:autoSpaceDN/>
        <w:spacing w:before="0" w:after="0"/>
        <w:rPr>
          <w:szCs w:val="20"/>
        </w:rPr>
      </w:pPr>
    </w:p>
    <w:p w14:paraId="298B753F" w14:textId="5BAFFE29" w:rsidR="00EE614F" w:rsidRPr="00577499" w:rsidRDefault="00D55C51" w:rsidP="0021624B">
      <w:pPr>
        <w:pStyle w:val="Caption"/>
      </w:pPr>
      <w:bookmarkStart w:id="78" w:name="_Toc137824739"/>
      <w:bookmarkStart w:id="79" w:name="_Toc172553805"/>
      <w:bookmarkStart w:id="80" w:name="_Ref195885794"/>
      <w:bookmarkStart w:id="81" w:name="_Toc195887204"/>
      <w:r>
        <w:lastRenderedPageBreak/>
        <w:t xml:space="preserve">Table </w:t>
      </w:r>
      <w:r w:rsidR="0021624B">
        <w:fldChar w:fldCharType="begin"/>
      </w:r>
      <w:r w:rsidR="0021624B">
        <w:instrText xml:space="preserve"> STYLEREF 5 \s </w:instrText>
      </w:r>
      <w:r w:rsidR="0021624B">
        <w:fldChar w:fldCharType="separate"/>
      </w:r>
      <w:r w:rsidR="0021624B">
        <w:t>A</w:t>
      </w:r>
      <w:r w:rsidR="0021624B">
        <w:fldChar w:fldCharType="end"/>
      </w:r>
      <w:r w:rsidR="0021624B">
        <w:noBreakHyphen/>
      </w:r>
      <w:r w:rsidR="0021624B">
        <w:fldChar w:fldCharType="begin"/>
      </w:r>
      <w:r w:rsidR="0021624B">
        <w:instrText xml:space="preserve"> SEQ Table_Apx \* ARABIC \s 5 </w:instrText>
      </w:r>
      <w:r w:rsidR="0021624B">
        <w:fldChar w:fldCharType="separate"/>
      </w:r>
      <w:r w:rsidR="0021624B">
        <w:t>2</w:t>
      </w:r>
      <w:r w:rsidR="0021624B">
        <w:fldChar w:fldCharType="end"/>
      </w:r>
      <w:bookmarkEnd w:id="80"/>
      <w:r w:rsidR="0021624B">
        <w:t>.</w:t>
      </w:r>
      <w:r w:rsidR="00EE614F">
        <w:t xml:space="preserve"> </w:t>
      </w:r>
      <w:r w:rsidR="00EE614F" w:rsidRPr="00577499">
        <w:t>202</w:t>
      </w:r>
      <w:r w:rsidR="00E41DBE" w:rsidRPr="00577499">
        <w:t>4</w:t>
      </w:r>
      <w:r w:rsidR="00EE614F" w:rsidRPr="00577499">
        <w:t xml:space="preserve"> Program Persistence Summary</w:t>
      </w:r>
      <w:bookmarkEnd w:id="78"/>
      <w:bookmarkEnd w:id="79"/>
      <w:bookmarkEnd w:id="81"/>
    </w:p>
    <w:tbl>
      <w:tblPr>
        <w:tblStyle w:val="EnergyTable11"/>
        <w:tblW w:w="0" w:type="auto"/>
        <w:tblLook w:val="04A0" w:firstRow="1" w:lastRow="0" w:firstColumn="1" w:lastColumn="0" w:noHBand="0" w:noVBand="1"/>
      </w:tblPr>
      <w:tblGrid>
        <w:gridCol w:w="990"/>
        <w:gridCol w:w="810"/>
        <w:gridCol w:w="2592"/>
        <w:gridCol w:w="1019"/>
        <w:gridCol w:w="939"/>
        <w:gridCol w:w="939"/>
      </w:tblGrid>
      <w:tr w:rsidR="00615592" w:rsidRPr="00F551AF" w14:paraId="10D0FC1D" w14:textId="77777777" w:rsidTr="00124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61DC355" w14:textId="77777777" w:rsidR="00EE614F" w:rsidRPr="00F551AF" w:rsidRDefault="00EE614F" w:rsidP="00EE614F">
            <w:pPr>
              <w:keepNext/>
              <w:suppressAutoHyphens w:val="0"/>
              <w:autoSpaceDN/>
              <w:spacing w:before="40" w:after="40"/>
              <w:jc w:val="left"/>
              <w:rPr>
                <w:rFonts w:ascii="Arial Narrow" w:hAnsi="Arial Narrow"/>
                <w:sz w:val="20"/>
                <w:szCs w:val="20"/>
              </w:rPr>
            </w:pPr>
            <w:r w:rsidRPr="00F551AF">
              <w:rPr>
                <w:rFonts w:ascii="Arial Narrow" w:hAnsi="Arial Narrow"/>
                <w:sz w:val="20"/>
                <w:szCs w:val="20"/>
              </w:rPr>
              <w:t>Section</w:t>
            </w:r>
          </w:p>
        </w:tc>
        <w:tc>
          <w:tcPr>
            <w:tcW w:w="810" w:type="dxa"/>
          </w:tcPr>
          <w:p w14:paraId="1EDB7EBB" w14:textId="77777777" w:rsidR="00EE614F" w:rsidRPr="00F551AF" w:rsidRDefault="00EE614F" w:rsidP="00EE614F">
            <w:pPr>
              <w:keepNext/>
              <w:suppressAutoHyphens w:val="0"/>
              <w:autoSpaceDN/>
              <w:spacing w:before="40" w:after="40"/>
              <w:jc w:val="lef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Row</w:t>
            </w:r>
          </w:p>
        </w:tc>
        <w:tc>
          <w:tcPr>
            <w:tcW w:w="2592" w:type="dxa"/>
            <w:vAlign w:val="bottom"/>
          </w:tcPr>
          <w:p w14:paraId="65998028" w14:textId="77777777" w:rsidR="00EE614F" w:rsidRPr="00F551AF" w:rsidRDefault="00EE614F" w:rsidP="00EE614F">
            <w:pPr>
              <w:keepNext/>
              <w:suppressAutoHyphens w:val="0"/>
              <w:autoSpaceDN/>
              <w:spacing w:before="40" w:after="40"/>
              <w:jc w:val="lef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Value</w:t>
            </w:r>
          </w:p>
        </w:tc>
        <w:tc>
          <w:tcPr>
            <w:tcW w:w="1019" w:type="dxa"/>
            <w:vAlign w:val="bottom"/>
            <w:hideMark/>
          </w:tcPr>
          <w:p w14:paraId="4CD66F86" w14:textId="3FB5CC9B" w:rsidR="00EE614F" w:rsidRPr="00F551AF" w:rsidRDefault="00EE614F" w:rsidP="00EE614F">
            <w:pPr>
              <w:keepNext/>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highlight w:val="yellow"/>
              </w:rPr>
            </w:pPr>
            <w:r w:rsidRPr="00F551AF">
              <w:rPr>
                <w:rFonts w:ascii="Arial Narrow" w:hAnsi="Arial Narrow" w:cs="Calibri"/>
                <w:sz w:val="20"/>
                <w:szCs w:val="20"/>
              </w:rPr>
              <w:t>Wave 1</w:t>
            </w:r>
            <w:r w:rsidR="00D55C51" w:rsidRPr="00F551AF">
              <w:rPr>
                <w:rFonts w:ascii="Arial Narrow" w:hAnsi="Arial Narrow" w:cs="Calibri"/>
                <w:sz w:val="20"/>
                <w:szCs w:val="20"/>
              </w:rPr>
              <w:t xml:space="preserve"> (201910)</w:t>
            </w:r>
          </w:p>
        </w:tc>
        <w:tc>
          <w:tcPr>
            <w:tcW w:w="939" w:type="dxa"/>
          </w:tcPr>
          <w:p w14:paraId="59813E38" w14:textId="71D1EFD8" w:rsidR="00EE614F" w:rsidRPr="00F551AF" w:rsidRDefault="00EE614F" w:rsidP="00EE614F">
            <w:pPr>
              <w:keepNext/>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highlight w:val="yellow"/>
              </w:rPr>
            </w:pPr>
            <w:r w:rsidRPr="00F551AF">
              <w:rPr>
                <w:rFonts w:ascii="Arial Narrow" w:hAnsi="Arial Narrow" w:cs="Calibri"/>
                <w:sz w:val="20"/>
                <w:szCs w:val="20"/>
              </w:rPr>
              <w:t>Wave 2</w:t>
            </w:r>
            <w:r w:rsidR="00D55C51" w:rsidRPr="00F551AF">
              <w:rPr>
                <w:rFonts w:ascii="Arial Narrow" w:hAnsi="Arial Narrow" w:cs="Calibri"/>
                <w:sz w:val="20"/>
                <w:szCs w:val="20"/>
              </w:rPr>
              <w:t xml:space="preserve"> (202011)</w:t>
            </w:r>
          </w:p>
        </w:tc>
        <w:tc>
          <w:tcPr>
            <w:tcW w:w="939" w:type="dxa"/>
            <w:vAlign w:val="bottom"/>
            <w:hideMark/>
          </w:tcPr>
          <w:p w14:paraId="4E3CE2AE" w14:textId="03112C78" w:rsidR="00EE614F" w:rsidRPr="00F551AF" w:rsidRDefault="00EE614F" w:rsidP="00EE614F">
            <w:pPr>
              <w:keepNext/>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F551AF">
              <w:rPr>
                <w:rFonts w:ascii="Arial Narrow" w:hAnsi="Arial Narrow" w:cs="Calibri"/>
                <w:sz w:val="20"/>
                <w:szCs w:val="20"/>
              </w:rPr>
              <w:t>Wave 3</w:t>
            </w:r>
            <w:r w:rsidR="00D55C51" w:rsidRPr="00F551AF">
              <w:rPr>
                <w:rFonts w:ascii="Arial Narrow" w:hAnsi="Arial Narrow" w:cs="Calibri"/>
                <w:sz w:val="20"/>
                <w:szCs w:val="20"/>
              </w:rPr>
              <w:t xml:space="preserve"> (202009)</w:t>
            </w:r>
          </w:p>
        </w:tc>
      </w:tr>
      <w:tr w:rsidR="00E41DBE" w:rsidRPr="00F551AF" w14:paraId="12DD3E68"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3C64A247"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A</w:t>
            </w:r>
          </w:p>
        </w:tc>
        <w:tc>
          <w:tcPr>
            <w:tcW w:w="810" w:type="dxa"/>
          </w:tcPr>
          <w:p w14:paraId="7BB24B0A" w14:textId="77777777"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1</w:t>
            </w:r>
          </w:p>
        </w:tc>
        <w:tc>
          <w:tcPr>
            <w:tcW w:w="2592" w:type="dxa"/>
            <w:vAlign w:val="bottom"/>
          </w:tcPr>
          <w:p w14:paraId="01F5C941" w14:textId="672C8C28"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Actual Savings CY2020</w:t>
            </w:r>
          </w:p>
        </w:tc>
        <w:tc>
          <w:tcPr>
            <w:tcW w:w="1019" w:type="dxa"/>
            <w:vAlign w:val="bottom"/>
            <w:hideMark/>
          </w:tcPr>
          <w:p w14:paraId="4D367796" w14:textId="59DCE567"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1,164,645 </w:t>
            </w:r>
          </w:p>
        </w:tc>
        <w:tc>
          <w:tcPr>
            <w:tcW w:w="939" w:type="dxa"/>
            <w:vAlign w:val="bottom"/>
          </w:tcPr>
          <w:p w14:paraId="3D969F72" w14:textId="616D66EB"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1,446 </w:t>
            </w:r>
          </w:p>
        </w:tc>
        <w:tc>
          <w:tcPr>
            <w:tcW w:w="939" w:type="dxa"/>
            <w:vAlign w:val="bottom"/>
            <w:hideMark/>
          </w:tcPr>
          <w:p w14:paraId="566F9CBF" w14:textId="1891AF6E"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39,272 </w:t>
            </w:r>
          </w:p>
        </w:tc>
      </w:tr>
      <w:tr w:rsidR="00615592" w:rsidRPr="00F551AF" w14:paraId="10241754"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4CAFC84A"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p>
        </w:tc>
        <w:tc>
          <w:tcPr>
            <w:tcW w:w="810" w:type="dxa"/>
          </w:tcPr>
          <w:p w14:paraId="0EA394AE" w14:textId="77777777"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2</w:t>
            </w:r>
          </w:p>
        </w:tc>
        <w:tc>
          <w:tcPr>
            <w:tcW w:w="2592" w:type="dxa"/>
            <w:vAlign w:val="bottom"/>
          </w:tcPr>
          <w:p w14:paraId="348B89DD" w14:textId="649B959C"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Actual Savings CY2021</w:t>
            </w:r>
          </w:p>
        </w:tc>
        <w:tc>
          <w:tcPr>
            <w:tcW w:w="1019" w:type="dxa"/>
            <w:vAlign w:val="bottom"/>
            <w:hideMark/>
          </w:tcPr>
          <w:p w14:paraId="6834B508" w14:textId="1D0E955C"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682,376 </w:t>
            </w:r>
          </w:p>
        </w:tc>
        <w:tc>
          <w:tcPr>
            <w:tcW w:w="939" w:type="dxa"/>
            <w:vAlign w:val="bottom"/>
          </w:tcPr>
          <w:p w14:paraId="4911D444" w14:textId="4CC47991"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 xml:space="preserve">408,418 </w:t>
            </w:r>
          </w:p>
        </w:tc>
        <w:tc>
          <w:tcPr>
            <w:tcW w:w="939" w:type="dxa"/>
            <w:vAlign w:val="bottom"/>
            <w:hideMark/>
          </w:tcPr>
          <w:p w14:paraId="4C08FECF" w14:textId="6F47D58D"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154,813 </w:t>
            </w:r>
          </w:p>
        </w:tc>
      </w:tr>
      <w:tr w:rsidR="00E41DBE" w:rsidRPr="00F551AF" w14:paraId="4B20B04C"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539FB9F8"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p>
        </w:tc>
        <w:tc>
          <w:tcPr>
            <w:tcW w:w="810" w:type="dxa"/>
          </w:tcPr>
          <w:p w14:paraId="31AE51BC" w14:textId="77777777"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3</w:t>
            </w:r>
          </w:p>
        </w:tc>
        <w:tc>
          <w:tcPr>
            <w:tcW w:w="2592" w:type="dxa"/>
            <w:vAlign w:val="bottom"/>
          </w:tcPr>
          <w:p w14:paraId="07826FB1" w14:textId="45476CA2"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Actual Savings CY2022</w:t>
            </w:r>
          </w:p>
        </w:tc>
        <w:tc>
          <w:tcPr>
            <w:tcW w:w="1019" w:type="dxa"/>
            <w:vAlign w:val="bottom"/>
            <w:hideMark/>
          </w:tcPr>
          <w:p w14:paraId="32039D56" w14:textId="4361FEC2"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 501,563 </w:t>
            </w:r>
          </w:p>
        </w:tc>
        <w:tc>
          <w:tcPr>
            <w:tcW w:w="939" w:type="dxa"/>
            <w:vAlign w:val="bottom"/>
          </w:tcPr>
          <w:p w14:paraId="4FB7C362" w14:textId="20929A66"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c>
          <w:tcPr>
            <w:tcW w:w="939" w:type="dxa"/>
            <w:vAlign w:val="bottom"/>
            <w:hideMark/>
          </w:tcPr>
          <w:p w14:paraId="57CF69F5" w14:textId="109D91CA"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 xml:space="preserve">13,321 </w:t>
            </w:r>
          </w:p>
        </w:tc>
      </w:tr>
      <w:tr w:rsidR="00E41DBE" w:rsidRPr="00F551AF" w14:paraId="73CD644B" w14:textId="77777777" w:rsidTr="00124445">
        <w:trPr>
          <w:cnfStyle w:val="000000010000" w:firstRow="0" w:lastRow="0" w:firstColumn="0" w:lastColumn="0" w:oddVBand="0" w:evenVBand="0" w:oddHBand="0" w:evenHBand="1"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90" w:type="dxa"/>
            <w:vMerge/>
          </w:tcPr>
          <w:p w14:paraId="40183AB6" w14:textId="77777777" w:rsidR="00E41DBE" w:rsidRPr="00F551AF" w:rsidRDefault="00E41DBE" w:rsidP="00E41DBE">
            <w:pPr>
              <w:keepNext/>
              <w:suppressAutoHyphens w:val="0"/>
              <w:autoSpaceDN/>
              <w:spacing w:before="40" w:after="40"/>
              <w:rPr>
                <w:rFonts w:ascii="Arial Narrow" w:hAnsi="Arial Narrow" w:cs="Calibri"/>
                <w:color w:val="000000"/>
                <w:sz w:val="20"/>
                <w:szCs w:val="20"/>
              </w:rPr>
            </w:pPr>
          </w:p>
        </w:tc>
        <w:tc>
          <w:tcPr>
            <w:tcW w:w="810" w:type="dxa"/>
          </w:tcPr>
          <w:p w14:paraId="7C912F8E" w14:textId="77777777"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4</w:t>
            </w:r>
          </w:p>
        </w:tc>
        <w:tc>
          <w:tcPr>
            <w:tcW w:w="2592" w:type="dxa"/>
            <w:vAlign w:val="bottom"/>
          </w:tcPr>
          <w:p w14:paraId="68DA59D0" w14:textId="0F29D741"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Actual Savings CY2023</w:t>
            </w:r>
          </w:p>
        </w:tc>
        <w:tc>
          <w:tcPr>
            <w:tcW w:w="1019" w:type="dxa"/>
            <w:vAlign w:val="top"/>
          </w:tcPr>
          <w:p w14:paraId="1BB46AE3" w14:textId="19F34F7B"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385,143</w:t>
            </w:r>
          </w:p>
        </w:tc>
        <w:tc>
          <w:tcPr>
            <w:tcW w:w="939" w:type="dxa"/>
            <w:vAlign w:val="top"/>
          </w:tcPr>
          <w:p w14:paraId="737556A3" w14:textId="10D8592C"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111,018</w:t>
            </w:r>
          </w:p>
        </w:tc>
        <w:tc>
          <w:tcPr>
            <w:tcW w:w="939" w:type="dxa"/>
            <w:vAlign w:val="top"/>
          </w:tcPr>
          <w:p w14:paraId="778992B0" w14:textId="4E10CE3F"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212,311</w:t>
            </w:r>
          </w:p>
        </w:tc>
      </w:tr>
      <w:tr w:rsidR="00EE614F" w:rsidRPr="00F551AF" w14:paraId="78451128"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298D82EA" w14:textId="77777777" w:rsidR="00EE614F" w:rsidRPr="00F551AF" w:rsidRDefault="00EE614F" w:rsidP="00EE614F">
            <w:pPr>
              <w:keepNext/>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B</w:t>
            </w:r>
          </w:p>
        </w:tc>
        <w:tc>
          <w:tcPr>
            <w:tcW w:w="810" w:type="dxa"/>
          </w:tcPr>
          <w:p w14:paraId="34E4139D"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1</w:t>
            </w:r>
          </w:p>
        </w:tc>
        <w:tc>
          <w:tcPr>
            <w:tcW w:w="2592" w:type="dxa"/>
            <w:vAlign w:val="bottom"/>
          </w:tcPr>
          <w:p w14:paraId="2CD14840"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4-Year Persistence Adjustment Factor</w:t>
            </w:r>
          </w:p>
        </w:tc>
        <w:tc>
          <w:tcPr>
            <w:tcW w:w="1019" w:type="dxa"/>
            <w:vAlign w:val="bottom"/>
            <w:hideMark/>
          </w:tcPr>
          <w:p w14:paraId="73CD8D66"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0.04</w:t>
            </w:r>
          </w:p>
        </w:tc>
        <w:tc>
          <w:tcPr>
            <w:tcW w:w="939" w:type="dxa"/>
            <w:vAlign w:val="bottom"/>
          </w:tcPr>
          <w:p w14:paraId="2FB66D34"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0.04</w:t>
            </w:r>
          </w:p>
        </w:tc>
        <w:tc>
          <w:tcPr>
            <w:tcW w:w="939" w:type="dxa"/>
            <w:vAlign w:val="bottom"/>
            <w:hideMark/>
          </w:tcPr>
          <w:p w14:paraId="04883425"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0.04</w:t>
            </w:r>
          </w:p>
        </w:tc>
      </w:tr>
      <w:tr w:rsidR="00615592" w:rsidRPr="00F551AF" w14:paraId="5F0C25B4"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0CB021B2" w14:textId="77777777" w:rsidR="00EE614F" w:rsidRPr="00F551AF" w:rsidRDefault="00EE614F" w:rsidP="00EE614F">
            <w:pPr>
              <w:keepNext/>
              <w:suppressAutoHyphens w:val="0"/>
              <w:autoSpaceDN/>
              <w:spacing w:before="40" w:after="40"/>
              <w:jc w:val="left"/>
              <w:rPr>
                <w:rFonts w:ascii="Arial Narrow" w:hAnsi="Arial Narrow" w:cs="Calibri"/>
                <w:color w:val="000000"/>
                <w:sz w:val="20"/>
                <w:szCs w:val="20"/>
              </w:rPr>
            </w:pPr>
          </w:p>
        </w:tc>
        <w:tc>
          <w:tcPr>
            <w:tcW w:w="810" w:type="dxa"/>
          </w:tcPr>
          <w:p w14:paraId="5C096E5F"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2</w:t>
            </w:r>
          </w:p>
        </w:tc>
        <w:tc>
          <w:tcPr>
            <w:tcW w:w="2592" w:type="dxa"/>
            <w:vAlign w:val="bottom"/>
          </w:tcPr>
          <w:p w14:paraId="70DC2201"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3-Year Persistence Adjustment Factor</w:t>
            </w:r>
          </w:p>
        </w:tc>
        <w:tc>
          <w:tcPr>
            <w:tcW w:w="1019" w:type="dxa"/>
            <w:vAlign w:val="bottom"/>
            <w:hideMark/>
          </w:tcPr>
          <w:p w14:paraId="481164FE"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0.09</w:t>
            </w:r>
          </w:p>
        </w:tc>
        <w:tc>
          <w:tcPr>
            <w:tcW w:w="939" w:type="dxa"/>
            <w:vAlign w:val="bottom"/>
          </w:tcPr>
          <w:p w14:paraId="5E5C3C03"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0.09</w:t>
            </w:r>
          </w:p>
        </w:tc>
        <w:tc>
          <w:tcPr>
            <w:tcW w:w="939" w:type="dxa"/>
            <w:vAlign w:val="bottom"/>
            <w:hideMark/>
          </w:tcPr>
          <w:p w14:paraId="137733D5"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0.09</w:t>
            </w:r>
          </w:p>
        </w:tc>
      </w:tr>
      <w:tr w:rsidR="00EE614F" w:rsidRPr="00F551AF" w14:paraId="569F5AE4"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700F547D" w14:textId="77777777" w:rsidR="00EE614F" w:rsidRPr="00F551AF" w:rsidRDefault="00EE614F" w:rsidP="00EE614F">
            <w:pPr>
              <w:keepNext/>
              <w:suppressAutoHyphens w:val="0"/>
              <w:autoSpaceDN/>
              <w:spacing w:before="40" w:after="40"/>
              <w:jc w:val="left"/>
              <w:rPr>
                <w:rFonts w:ascii="Arial Narrow" w:hAnsi="Arial Narrow" w:cs="Calibri"/>
                <w:color w:val="000000"/>
                <w:sz w:val="20"/>
                <w:szCs w:val="20"/>
              </w:rPr>
            </w:pPr>
          </w:p>
        </w:tc>
        <w:tc>
          <w:tcPr>
            <w:tcW w:w="810" w:type="dxa"/>
          </w:tcPr>
          <w:p w14:paraId="1729210B"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3</w:t>
            </w:r>
          </w:p>
        </w:tc>
        <w:tc>
          <w:tcPr>
            <w:tcW w:w="2592" w:type="dxa"/>
            <w:vAlign w:val="bottom"/>
          </w:tcPr>
          <w:p w14:paraId="1FE5708D"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2-Year Persistence Adjustment Factor</w:t>
            </w:r>
          </w:p>
        </w:tc>
        <w:tc>
          <w:tcPr>
            <w:tcW w:w="1019" w:type="dxa"/>
            <w:vAlign w:val="bottom"/>
          </w:tcPr>
          <w:p w14:paraId="401B84A0" w14:textId="3C20BCD3"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w:t>
            </w:r>
            <w:r w:rsidR="00D55C51" w:rsidRPr="00F551AF">
              <w:rPr>
                <w:rFonts w:ascii="Arial Narrow" w:hAnsi="Arial Narrow" w:cs="Calibri"/>
                <w:color w:val="000000"/>
                <w:sz w:val="20"/>
                <w:szCs w:val="20"/>
              </w:rPr>
              <w:t>49</w:t>
            </w:r>
          </w:p>
        </w:tc>
        <w:tc>
          <w:tcPr>
            <w:tcW w:w="939" w:type="dxa"/>
            <w:vAlign w:val="bottom"/>
          </w:tcPr>
          <w:p w14:paraId="7ABBB8D3" w14:textId="19BE832E"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w:t>
            </w:r>
            <w:r w:rsidR="00D55C51" w:rsidRPr="00F551AF">
              <w:rPr>
                <w:rFonts w:ascii="Arial Narrow" w:hAnsi="Arial Narrow" w:cs="Calibri"/>
                <w:color w:val="000000"/>
                <w:sz w:val="20"/>
                <w:szCs w:val="20"/>
              </w:rPr>
              <w:t>49</w:t>
            </w:r>
          </w:p>
        </w:tc>
        <w:tc>
          <w:tcPr>
            <w:tcW w:w="939" w:type="dxa"/>
            <w:vAlign w:val="bottom"/>
          </w:tcPr>
          <w:p w14:paraId="0EAE7A88" w14:textId="0645D848"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w:t>
            </w:r>
            <w:r w:rsidR="00D55C51" w:rsidRPr="00F551AF">
              <w:rPr>
                <w:rFonts w:ascii="Arial Narrow" w:hAnsi="Arial Narrow" w:cs="Calibri"/>
                <w:color w:val="000000"/>
                <w:sz w:val="20"/>
                <w:szCs w:val="20"/>
              </w:rPr>
              <w:t>49</w:t>
            </w:r>
          </w:p>
        </w:tc>
      </w:tr>
      <w:tr w:rsidR="00E41DBE" w:rsidRPr="00F551AF" w14:paraId="5EF7483F"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3A6ED277" w14:textId="77777777" w:rsidR="00EE614F" w:rsidRPr="00F551AF" w:rsidRDefault="00EE614F" w:rsidP="00EE614F">
            <w:pPr>
              <w:keepNext/>
              <w:suppressAutoHyphens w:val="0"/>
              <w:autoSpaceDN/>
              <w:spacing w:before="40" w:after="40"/>
              <w:rPr>
                <w:rFonts w:ascii="Arial Narrow" w:hAnsi="Arial Narrow" w:cs="Calibri"/>
                <w:color w:val="000000"/>
                <w:sz w:val="20"/>
                <w:szCs w:val="20"/>
              </w:rPr>
            </w:pPr>
          </w:p>
        </w:tc>
        <w:tc>
          <w:tcPr>
            <w:tcW w:w="810" w:type="dxa"/>
          </w:tcPr>
          <w:p w14:paraId="488CFFD0"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4</w:t>
            </w:r>
          </w:p>
        </w:tc>
        <w:tc>
          <w:tcPr>
            <w:tcW w:w="2592" w:type="dxa"/>
            <w:vAlign w:val="bottom"/>
          </w:tcPr>
          <w:p w14:paraId="643EAD92"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1-Year Persistence Adjustment Factor</w:t>
            </w:r>
          </w:p>
        </w:tc>
        <w:tc>
          <w:tcPr>
            <w:tcW w:w="1019" w:type="dxa"/>
            <w:vAlign w:val="bottom"/>
          </w:tcPr>
          <w:p w14:paraId="5395A02A"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0.70 </w:t>
            </w:r>
          </w:p>
        </w:tc>
        <w:tc>
          <w:tcPr>
            <w:tcW w:w="939" w:type="dxa"/>
            <w:vAlign w:val="bottom"/>
          </w:tcPr>
          <w:p w14:paraId="2E2E5B34"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0.70</w:t>
            </w:r>
          </w:p>
        </w:tc>
        <w:tc>
          <w:tcPr>
            <w:tcW w:w="939" w:type="dxa"/>
            <w:vAlign w:val="bottom"/>
          </w:tcPr>
          <w:p w14:paraId="436D9B9A"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0.70</w:t>
            </w:r>
          </w:p>
        </w:tc>
      </w:tr>
      <w:tr w:rsidR="00EE614F" w:rsidRPr="00F551AF" w14:paraId="61DB6A13"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4F9B88E7" w14:textId="77777777" w:rsidR="00EE614F" w:rsidRPr="00F551AF" w:rsidRDefault="00EE614F" w:rsidP="00EE614F">
            <w:pPr>
              <w:keepNext/>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C</w:t>
            </w:r>
          </w:p>
        </w:tc>
        <w:tc>
          <w:tcPr>
            <w:tcW w:w="810" w:type="dxa"/>
          </w:tcPr>
          <w:p w14:paraId="1CDFF4F7"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1</w:t>
            </w:r>
          </w:p>
        </w:tc>
        <w:tc>
          <w:tcPr>
            <w:tcW w:w="2592" w:type="dxa"/>
            <w:vAlign w:val="bottom"/>
          </w:tcPr>
          <w:p w14:paraId="56C5628C"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Retention Rate – 4 Year</w:t>
            </w:r>
          </w:p>
        </w:tc>
        <w:tc>
          <w:tcPr>
            <w:tcW w:w="1019" w:type="dxa"/>
            <w:vAlign w:val="bottom"/>
          </w:tcPr>
          <w:p w14:paraId="6D628540"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0.81</w:t>
            </w:r>
          </w:p>
        </w:tc>
        <w:tc>
          <w:tcPr>
            <w:tcW w:w="939" w:type="dxa"/>
            <w:vAlign w:val="bottom"/>
          </w:tcPr>
          <w:p w14:paraId="779ED3C5" w14:textId="2EC39E86" w:rsidR="00EE614F" w:rsidRPr="00F551AF" w:rsidRDefault="00D55C51"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0.81</w:t>
            </w:r>
          </w:p>
        </w:tc>
        <w:tc>
          <w:tcPr>
            <w:tcW w:w="939" w:type="dxa"/>
            <w:vAlign w:val="bottom"/>
          </w:tcPr>
          <w:p w14:paraId="232F1F95" w14:textId="063EA6E5" w:rsidR="00EE614F" w:rsidRPr="00F551AF" w:rsidRDefault="00D55C51"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0.81</w:t>
            </w:r>
          </w:p>
        </w:tc>
      </w:tr>
      <w:tr w:rsidR="00E41DBE" w:rsidRPr="00F551AF" w14:paraId="532AD4D3"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398137AA" w14:textId="77777777" w:rsidR="00EE614F" w:rsidRPr="00F551AF" w:rsidRDefault="00EE614F" w:rsidP="00EE614F">
            <w:pPr>
              <w:keepNext/>
              <w:suppressAutoHyphens w:val="0"/>
              <w:autoSpaceDN/>
              <w:spacing w:before="40" w:after="40"/>
              <w:jc w:val="left"/>
              <w:rPr>
                <w:rFonts w:ascii="Arial Narrow" w:hAnsi="Arial Narrow" w:cs="Calibri"/>
                <w:color w:val="000000"/>
                <w:sz w:val="20"/>
                <w:szCs w:val="20"/>
              </w:rPr>
            </w:pPr>
          </w:p>
        </w:tc>
        <w:tc>
          <w:tcPr>
            <w:tcW w:w="810" w:type="dxa"/>
          </w:tcPr>
          <w:p w14:paraId="2D4149A7"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2</w:t>
            </w:r>
          </w:p>
        </w:tc>
        <w:tc>
          <w:tcPr>
            <w:tcW w:w="2592" w:type="dxa"/>
            <w:vAlign w:val="bottom"/>
          </w:tcPr>
          <w:p w14:paraId="3CB35DCA"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Retention Rate – 3 Year</w:t>
            </w:r>
          </w:p>
        </w:tc>
        <w:tc>
          <w:tcPr>
            <w:tcW w:w="1019" w:type="dxa"/>
            <w:vAlign w:val="bottom"/>
          </w:tcPr>
          <w:p w14:paraId="4821EB38"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0.86</w:t>
            </w:r>
          </w:p>
        </w:tc>
        <w:tc>
          <w:tcPr>
            <w:tcW w:w="939" w:type="dxa"/>
            <w:vAlign w:val="bottom"/>
          </w:tcPr>
          <w:p w14:paraId="58499F34"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0.86</w:t>
            </w:r>
          </w:p>
        </w:tc>
        <w:tc>
          <w:tcPr>
            <w:tcW w:w="939" w:type="dxa"/>
            <w:vAlign w:val="bottom"/>
          </w:tcPr>
          <w:p w14:paraId="1B6D8242"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0.86</w:t>
            </w:r>
          </w:p>
        </w:tc>
      </w:tr>
      <w:tr w:rsidR="00EE614F" w:rsidRPr="00F551AF" w14:paraId="62D78D76"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2D337AFF" w14:textId="77777777" w:rsidR="00EE614F" w:rsidRPr="00F551AF" w:rsidRDefault="00EE614F" w:rsidP="00EE614F">
            <w:pPr>
              <w:keepNext/>
              <w:suppressAutoHyphens w:val="0"/>
              <w:autoSpaceDN/>
              <w:spacing w:before="40" w:after="40"/>
              <w:jc w:val="left"/>
              <w:rPr>
                <w:rFonts w:ascii="Arial Narrow" w:hAnsi="Arial Narrow" w:cs="Calibri"/>
                <w:color w:val="000000"/>
                <w:sz w:val="20"/>
                <w:szCs w:val="20"/>
              </w:rPr>
            </w:pPr>
          </w:p>
        </w:tc>
        <w:tc>
          <w:tcPr>
            <w:tcW w:w="810" w:type="dxa"/>
          </w:tcPr>
          <w:p w14:paraId="2B024209"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3</w:t>
            </w:r>
          </w:p>
        </w:tc>
        <w:tc>
          <w:tcPr>
            <w:tcW w:w="2592" w:type="dxa"/>
            <w:vAlign w:val="bottom"/>
          </w:tcPr>
          <w:p w14:paraId="10AC0BFE" w14:textId="77777777" w:rsidR="00EE614F" w:rsidRPr="00F551AF" w:rsidRDefault="00EE614F" w:rsidP="00EE614F">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Retention Rate – 2 Year</w:t>
            </w:r>
          </w:p>
        </w:tc>
        <w:tc>
          <w:tcPr>
            <w:tcW w:w="1019" w:type="dxa"/>
            <w:vAlign w:val="bottom"/>
          </w:tcPr>
          <w:p w14:paraId="3354D602"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0.90</w:t>
            </w:r>
          </w:p>
        </w:tc>
        <w:tc>
          <w:tcPr>
            <w:tcW w:w="939" w:type="dxa"/>
            <w:vAlign w:val="bottom"/>
          </w:tcPr>
          <w:p w14:paraId="58A2D02F" w14:textId="186D46A8"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c>
          <w:tcPr>
            <w:tcW w:w="939" w:type="dxa"/>
            <w:vAlign w:val="bottom"/>
          </w:tcPr>
          <w:p w14:paraId="79198385" w14:textId="77777777" w:rsidR="00EE614F" w:rsidRPr="00F551AF" w:rsidRDefault="00EE614F" w:rsidP="00EE614F">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0.90</w:t>
            </w:r>
          </w:p>
        </w:tc>
      </w:tr>
      <w:tr w:rsidR="00E41DBE" w:rsidRPr="00F551AF" w14:paraId="0B68B492"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025AC35C" w14:textId="77777777" w:rsidR="00EE614F" w:rsidRPr="00F551AF" w:rsidRDefault="00EE614F" w:rsidP="00EE614F">
            <w:pPr>
              <w:keepNext/>
              <w:suppressAutoHyphens w:val="0"/>
              <w:autoSpaceDN/>
              <w:spacing w:before="40" w:after="40"/>
              <w:rPr>
                <w:rFonts w:ascii="Arial Narrow" w:hAnsi="Arial Narrow" w:cs="Calibri"/>
                <w:color w:val="000000"/>
                <w:sz w:val="20"/>
                <w:szCs w:val="20"/>
              </w:rPr>
            </w:pPr>
          </w:p>
        </w:tc>
        <w:tc>
          <w:tcPr>
            <w:tcW w:w="810" w:type="dxa"/>
          </w:tcPr>
          <w:p w14:paraId="6F054B94"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4</w:t>
            </w:r>
          </w:p>
        </w:tc>
        <w:tc>
          <w:tcPr>
            <w:tcW w:w="2592" w:type="dxa"/>
            <w:vAlign w:val="bottom"/>
          </w:tcPr>
          <w:p w14:paraId="39315E96" w14:textId="77777777" w:rsidR="00EE614F" w:rsidRPr="00F551AF" w:rsidRDefault="00EE614F" w:rsidP="00EE614F">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Retention Rate – 1 Year</w:t>
            </w:r>
          </w:p>
        </w:tc>
        <w:tc>
          <w:tcPr>
            <w:tcW w:w="1019" w:type="dxa"/>
            <w:vAlign w:val="bottom"/>
          </w:tcPr>
          <w:p w14:paraId="3606679A"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0.95</w:t>
            </w:r>
          </w:p>
        </w:tc>
        <w:tc>
          <w:tcPr>
            <w:tcW w:w="939" w:type="dxa"/>
            <w:vAlign w:val="bottom"/>
          </w:tcPr>
          <w:p w14:paraId="2EC140E2" w14:textId="4F8020FF" w:rsidR="00EE614F" w:rsidRPr="00F551AF" w:rsidRDefault="00D55C51"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0.95</w:t>
            </w:r>
          </w:p>
        </w:tc>
        <w:tc>
          <w:tcPr>
            <w:tcW w:w="939" w:type="dxa"/>
            <w:vAlign w:val="bottom"/>
          </w:tcPr>
          <w:p w14:paraId="46E2F1F2" w14:textId="77777777" w:rsidR="00EE614F" w:rsidRPr="00F551AF" w:rsidRDefault="00EE614F" w:rsidP="00EE614F">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0.95</w:t>
            </w:r>
          </w:p>
        </w:tc>
      </w:tr>
      <w:tr w:rsidR="00E41DBE" w:rsidRPr="00F551AF" w14:paraId="48BD3B2A"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4AE40ED8"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D</w:t>
            </w:r>
          </w:p>
        </w:tc>
        <w:tc>
          <w:tcPr>
            <w:tcW w:w="810" w:type="dxa"/>
          </w:tcPr>
          <w:p w14:paraId="2A1A4B16" w14:textId="77777777"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1</w:t>
            </w:r>
          </w:p>
        </w:tc>
        <w:tc>
          <w:tcPr>
            <w:tcW w:w="2592" w:type="dxa"/>
            <w:vAlign w:val="bottom"/>
          </w:tcPr>
          <w:p w14:paraId="4DBF63EE" w14:textId="0309643E"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Savings Attributed to 2020</w:t>
            </w:r>
          </w:p>
        </w:tc>
        <w:tc>
          <w:tcPr>
            <w:tcW w:w="1019" w:type="dxa"/>
            <w:vAlign w:val="top"/>
          </w:tcPr>
          <w:p w14:paraId="4269929A" w14:textId="78F16850"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37,944</w:t>
            </w:r>
          </w:p>
        </w:tc>
        <w:tc>
          <w:tcPr>
            <w:tcW w:w="939" w:type="dxa"/>
            <w:vAlign w:val="top"/>
          </w:tcPr>
          <w:p w14:paraId="672A026C" w14:textId="41ED5ADA"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 xml:space="preserve">   47</w:t>
            </w:r>
          </w:p>
        </w:tc>
        <w:tc>
          <w:tcPr>
            <w:tcW w:w="939" w:type="dxa"/>
            <w:vAlign w:val="top"/>
          </w:tcPr>
          <w:p w14:paraId="51ABD954" w14:textId="19410648"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 xml:space="preserve"> 1</w:t>
            </w:r>
            <w:r w:rsidR="00D55C51" w:rsidRPr="00F551AF">
              <w:rPr>
                <w:rFonts w:ascii="Arial Narrow" w:hAnsi="Arial Narrow"/>
                <w:sz w:val="20"/>
                <w:szCs w:val="20"/>
              </w:rPr>
              <w:t>,</w:t>
            </w:r>
            <w:r w:rsidRPr="00F551AF">
              <w:rPr>
                <w:rFonts w:ascii="Arial Narrow" w:hAnsi="Arial Narrow"/>
                <w:sz w:val="20"/>
                <w:szCs w:val="20"/>
              </w:rPr>
              <w:t>279</w:t>
            </w:r>
          </w:p>
        </w:tc>
      </w:tr>
      <w:tr w:rsidR="00E41DBE" w:rsidRPr="00F551AF" w14:paraId="1A0A1568"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1E939752"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p>
        </w:tc>
        <w:tc>
          <w:tcPr>
            <w:tcW w:w="810" w:type="dxa"/>
          </w:tcPr>
          <w:p w14:paraId="1F20EF32" w14:textId="77777777"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2</w:t>
            </w:r>
          </w:p>
        </w:tc>
        <w:tc>
          <w:tcPr>
            <w:tcW w:w="2592" w:type="dxa"/>
            <w:vAlign w:val="bottom"/>
          </w:tcPr>
          <w:p w14:paraId="4D8512CD" w14:textId="12678ACC"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Savings Attributed to 2021</w:t>
            </w:r>
          </w:p>
        </w:tc>
        <w:tc>
          <w:tcPr>
            <w:tcW w:w="1019" w:type="dxa"/>
            <w:vAlign w:val="top"/>
          </w:tcPr>
          <w:p w14:paraId="052F20D0" w14:textId="21B2E4B9"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sz w:val="20"/>
                <w:szCs w:val="20"/>
              </w:rPr>
              <w:t>52,655</w:t>
            </w:r>
          </w:p>
        </w:tc>
        <w:tc>
          <w:tcPr>
            <w:tcW w:w="939" w:type="dxa"/>
            <w:vAlign w:val="top"/>
          </w:tcPr>
          <w:p w14:paraId="7C0A72F9" w14:textId="461E88CA"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31,515</w:t>
            </w:r>
          </w:p>
        </w:tc>
        <w:tc>
          <w:tcPr>
            <w:tcW w:w="939" w:type="dxa"/>
            <w:vAlign w:val="top"/>
          </w:tcPr>
          <w:p w14:paraId="37E9A920" w14:textId="0FC55EEB"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551AF">
              <w:rPr>
                <w:rFonts w:ascii="Arial Narrow" w:hAnsi="Arial Narrow"/>
                <w:sz w:val="20"/>
                <w:szCs w:val="20"/>
              </w:rPr>
              <w:t>11,946</w:t>
            </w:r>
          </w:p>
        </w:tc>
      </w:tr>
      <w:tr w:rsidR="00E41DBE" w:rsidRPr="00F551AF" w14:paraId="2F6E6104"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0FE3F606"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p>
        </w:tc>
        <w:tc>
          <w:tcPr>
            <w:tcW w:w="810" w:type="dxa"/>
          </w:tcPr>
          <w:p w14:paraId="37620358" w14:textId="77777777"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3</w:t>
            </w:r>
          </w:p>
        </w:tc>
        <w:tc>
          <w:tcPr>
            <w:tcW w:w="2592" w:type="dxa"/>
            <w:vAlign w:val="bottom"/>
          </w:tcPr>
          <w:p w14:paraId="46272587" w14:textId="136369AE"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Savings Attributed to 2022</w:t>
            </w:r>
          </w:p>
        </w:tc>
        <w:tc>
          <w:tcPr>
            <w:tcW w:w="1019" w:type="dxa"/>
            <w:vAlign w:val="top"/>
          </w:tcPr>
          <w:p w14:paraId="66D78EB9" w14:textId="29585894"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221,804</w:t>
            </w:r>
          </w:p>
        </w:tc>
        <w:tc>
          <w:tcPr>
            <w:tcW w:w="939" w:type="dxa"/>
            <w:vAlign w:val="top"/>
          </w:tcPr>
          <w:p w14:paraId="768B3183" w14:textId="7DAF904E"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c>
          <w:tcPr>
            <w:tcW w:w="939" w:type="dxa"/>
            <w:vAlign w:val="top"/>
          </w:tcPr>
          <w:p w14:paraId="54F7546B" w14:textId="1A7D7381"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 xml:space="preserve">  5,891</w:t>
            </w:r>
          </w:p>
        </w:tc>
      </w:tr>
      <w:tr w:rsidR="00E41DBE" w:rsidRPr="00F551AF" w14:paraId="08096E2F" w14:textId="77777777" w:rsidTr="00124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388CAF9E" w14:textId="77777777" w:rsidR="00E41DBE" w:rsidRPr="00F551AF" w:rsidRDefault="00E41DBE" w:rsidP="00E41DBE">
            <w:pPr>
              <w:keepNext/>
              <w:suppressAutoHyphens w:val="0"/>
              <w:autoSpaceDN/>
              <w:spacing w:before="40" w:after="40"/>
              <w:rPr>
                <w:rFonts w:ascii="Arial Narrow" w:hAnsi="Arial Narrow" w:cs="Calibri"/>
                <w:color w:val="000000"/>
                <w:sz w:val="20"/>
                <w:szCs w:val="20"/>
              </w:rPr>
            </w:pPr>
          </w:p>
        </w:tc>
        <w:tc>
          <w:tcPr>
            <w:tcW w:w="810" w:type="dxa"/>
          </w:tcPr>
          <w:p w14:paraId="083A2016" w14:textId="77777777"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4</w:t>
            </w:r>
          </w:p>
        </w:tc>
        <w:tc>
          <w:tcPr>
            <w:tcW w:w="2592" w:type="dxa"/>
            <w:vAlign w:val="bottom"/>
          </w:tcPr>
          <w:p w14:paraId="38ED9DBF" w14:textId="0F1E098C" w:rsidR="00E41DBE" w:rsidRPr="00F551AF" w:rsidRDefault="00E41DBE" w:rsidP="00E41DBE">
            <w:pPr>
              <w:keepNext/>
              <w:suppressAutoHyphens w:val="0"/>
              <w:autoSpaceDN/>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Savings Attributed to 2023</w:t>
            </w:r>
          </w:p>
        </w:tc>
        <w:tc>
          <w:tcPr>
            <w:tcW w:w="1019" w:type="dxa"/>
            <w:vAlign w:val="top"/>
          </w:tcPr>
          <w:p w14:paraId="0EC9733E" w14:textId="247D2329"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256,120</w:t>
            </w:r>
          </w:p>
        </w:tc>
        <w:tc>
          <w:tcPr>
            <w:tcW w:w="939" w:type="dxa"/>
            <w:vAlign w:val="top"/>
          </w:tcPr>
          <w:p w14:paraId="6156D69B" w14:textId="124B11D2"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73,827</w:t>
            </w:r>
          </w:p>
        </w:tc>
        <w:tc>
          <w:tcPr>
            <w:tcW w:w="939" w:type="dxa"/>
            <w:vAlign w:val="top"/>
          </w:tcPr>
          <w:p w14:paraId="5B73E447" w14:textId="0414F14B" w:rsidR="00E41DBE" w:rsidRPr="00F551AF" w:rsidRDefault="00E41DBE" w:rsidP="00E41DBE">
            <w:pPr>
              <w:keepNext/>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141,187</w:t>
            </w:r>
          </w:p>
        </w:tc>
      </w:tr>
      <w:tr w:rsidR="00E41DBE" w:rsidRPr="00F551AF" w14:paraId="697AFF23" w14:textId="77777777" w:rsidTr="00124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CD4B43F" w14:textId="77777777" w:rsidR="00E41DBE" w:rsidRPr="00F551AF" w:rsidRDefault="00E41DBE" w:rsidP="00E41DBE">
            <w:pPr>
              <w:keepNext/>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E</w:t>
            </w:r>
          </w:p>
        </w:tc>
        <w:tc>
          <w:tcPr>
            <w:tcW w:w="810" w:type="dxa"/>
          </w:tcPr>
          <w:p w14:paraId="3713D76A" w14:textId="77777777"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cs="Calibri"/>
                <w:color w:val="000000"/>
                <w:sz w:val="20"/>
                <w:szCs w:val="20"/>
              </w:rPr>
              <w:t>1</w:t>
            </w:r>
          </w:p>
        </w:tc>
        <w:tc>
          <w:tcPr>
            <w:tcW w:w="2592" w:type="dxa"/>
            <w:vAlign w:val="bottom"/>
          </w:tcPr>
          <w:p w14:paraId="0F3BC12C" w14:textId="77777777" w:rsidR="00E41DBE" w:rsidRPr="00F551AF" w:rsidRDefault="00E41DBE" w:rsidP="00E41DBE">
            <w:pPr>
              <w:keepNext/>
              <w:suppressAutoHyphens w:val="0"/>
              <w:autoSpaceDN/>
              <w:spacing w:before="40" w:after="4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cs="Calibri"/>
                <w:color w:val="000000"/>
                <w:sz w:val="20"/>
                <w:szCs w:val="20"/>
              </w:rPr>
              <w:t>Total Persistence Adjustment</w:t>
            </w:r>
          </w:p>
        </w:tc>
        <w:tc>
          <w:tcPr>
            <w:tcW w:w="1019" w:type="dxa"/>
            <w:vAlign w:val="top"/>
          </w:tcPr>
          <w:p w14:paraId="026E694A" w14:textId="39EB7709"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568,523</w:t>
            </w:r>
          </w:p>
        </w:tc>
        <w:tc>
          <w:tcPr>
            <w:tcW w:w="939" w:type="dxa"/>
            <w:vAlign w:val="top"/>
          </w:tcPr>
          <w:p w14:paraId="60C9E71D" w14:textId="4E99C655"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105,389</w:t>
            </w:r>
          </w:p>
        </w:tc>
        <w:tc>
          <w:tcPr>
            <w:tcW w:w="939" w:type="dxa"/>
            <w:vAlign w:val="top"/>
          </w:tcPr>
          <w:p w14:paraId="3CB43C53" w14:textId="05A32977" w:rsidR="00E41DBE" w:rsidRPr="00F551AF" w:rsidRDefault="00E41DBE" w:rsidP="00E41DBE">
            <w:pPr>
              <w:keepNext/>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551AF">
              <w:rPr>
                <w:rFonts w:ascii="Arial Narrow" w:hAnsi="Arial Narrow"/>
                <w:sz w:val="20"/>
                <w:szCs w:val="20"/>
              </w:rPr>
              <w:t>160,303</w:t>
            </w:r>
          </w:p>
        </w:tc>
      </w:tr>
    </w:tbl>
    <w:p w14:paraId="2E9ACA64" w14:textId="77777777" w:rsidR="00EE614F" w:rsidRDefault="00EE614F" w:rsidP="00F64CA4">
      <w:pPr>
        <w:pStyle w:val="Source"/>
        <w:ind w:firstLine="990"/>
        <w:rPr>
          <w:i w:val="0"/>
          <w:sz w:val="18"/>
          <w:szCs w:val="22"/>
        </w:rPr>
      </w:pPr>
      <w:r w:rsidRPr="00EE614F">
        <w:t>Source: Guidehouse analysis of Nicor Gas program tracking and customer billing data.</w:t>
      </w:r>
    </w:p>
    <w:p w14:paraId="0BF9B98C" w14:textId="77777777" w:rsidR="0055667B" w:rsidRDefault="0055667B" w:rsidP="00124445">
      <w:pPr>
        <w:sectPr w:rsidR="0055667B" w:rsidSect="00AC3905">
          <w:footerReference w:type="default" r:id="rId18"/>
          <w:pgSz w:w="12240" w:h="15840" w:code="1"/>
          <w:pgMar w:top="1440" w:right="1440" w:bottom="1440" w:left="1440" w:header="720" w:footer="720" w:gutter="0"/>
          <w:pgNumType w:start="1" w:chapStyle="5"/>
          <w:cols w:space="720"/>
          <w:docGrid w:linePitch="360"/>
        </w:sectPr>
      </w:pPr>
    </w:p>
    <w:p w14:paraId="75DC26F4" w14:textId="65C5BFFB" w:rsidR="00AC3905" w:rsidRDefault="00AC3905" w:rsidP="00AC3905">
      <w:pPr>
        <w:pStyle w:val="Heading5"/>
      </w:pPr>
      <w:bookmarkStart w:id="82" w:name="_Ref195791560"/>
      <w:bookmarkStart w:id="83" w:name="_Ref195791566"/>
      <w:bookmarkStart w:id="84" w:name="_Ref195791573"/>
      <w:bookmarkStart w:id="85" w:name="_Ref195791576"/>
      <w:bookmarkStart w:id="86" w:name="_Toc195887224"/>
      <w:r>
        <w:lastRenderedPageBreak/>
        <w:t>Detailed Impact Analysis Results</w:t>
      </w:r>
      <w:bookmarkEnd w:id="82"/>
      <w:bookmarkEnd w:id="83"/>
      <w:bookmarkEnd w:id="84"/>
      <w:bookmarkEnd w:id="85"/>
      <w:bookmarkEnd w:id="86"/>
    </w:p>
    <w:p w14:paraId="01905D71" w14:textId="77777777" w:rsidR="00AC3905" w:rsidRPr="007E7B1A" w:rsidRDefault="00AC3905" w:rsidP="00AC3905">
      <w:pPr>
        <w:keepNext/>
        <w:keepLines/>
      </w:pPr>
      <w:bookmarkStart w:id="87" w:name="_Hlk132795188"/>
      <w:r>
        <w:t>This appendix presents detailed savings and aggregated uplift analysis results. Tables with the regression outputs and detailed uplift results are available upon request.</w:t>
      </w:r>
      <w:bookmarkEnd w:id="87"/>
    </w:p>
    <w:p w14:paraId="5E898457" w14:textId="77777777" w:rsidR="00AC3905" w:rsidRPr="00AC3905" w:rsidRDefault="00AC3905" w:rsidP="00AC3905">
      <w:pPr>
        <w:keepNext/>
        <w:keepLines/>
        <w:numPr>
          <w:ilvl w:val="5"/>
          <w:numId w:val="0"/>
        </w:numPr>
        <w:suppressAutoHyphens w:val="0"/>
        <w:autoSpaceDN/>
        <w:spacing w:before="240" w:after="240"/>
        <w:ind w:left="720" w:hanging="720"/>
        <w:outlineLvl w:val="5"/>
        <w:rPr>
          <w:rFonts w:cs="Arial"/>
          <w:b/>
          <w:iCs/>
          <w:kern w:val="28"/>
          <w:position w:val="6"/>
          <w:sz w:val="28"/>
          <w:szCs w:val="26"/>
        </w:rPr>
      </w:pPr>
      <w:bookmarkStart w:id="88" w:name="_Toc110421333"/>
      <w:bookmarkStart w:id="89" w:name="_Toc132900793"/>
      <w:bookmarkStart w:id="90" w:name="_Toc137824765"/>
      <w:bookmarkStart w:id="91" w:name="_Toc172553799"/>
      <w:r w:rsidRPr="00AC3905">
        <w:rPr>
          <w:rFonts w:cs="Arial"/>
          <w:b/>
          <w:iCs/>
          <w:kern w:val="28"/>
          <w:position w:val="6"/>
          <w:sz w:val="28"/>
          <w:szCs w:val="26"/>
        </w:rPr>
        <w:t>Savings</w:t>
      </w:r>
      <w:bookmarkEnd w:id="88"/>
      <w:bookmarkEnd w:id="89"/>
      <w:bookmarkEnd w:id="90"/>
      <w:bookmarkEnd w:id="91"/>
    </w:p>
    <w:p w14:paraId="5CA6D6D8" w14:textId="77777777" w:rsidR="00AC3905" w:rsidRPr="00AC3905" w:rsidRDefault="00AC3905" w:rsidP="00AC3905">
      <w:pPr>
        <w:keepNext/>
        <w:keepLines/>
        <w:suppressAutoHyphens w:val="0"/>
        <w:autoSpaceDN/>
        <w:spacing w:before="0" w:after="240"/>
        <w:rPr>
          <w:szCs w:val="20"/>
        </w:rPr>
      </w:pPr>
      <w:r w:rsidRPr="00AC3905">
        <w:rPr>
          <w:szCs w:val="20"/>
        </w:rPr>
        <w:t>This appendix presents detailed savings and aggregated uplift analysis results. Tables with the regression outputs and detailed uplift results are available upon request.</w:t>
      </w:r>
    </w:p>
    <w:p w14:paraId="078D0320" w14:textId="32D0C380" w:rsidR="00AC3905" w:rsidRPr="00AC3905" w:rsidRDefault="00B32011" w:rsidP="00AC3905">
      <w:pPr>
        <w:suppressAutoHyphens w:val="0"/>
        <w:autoSpaceDN/>
        <w:spacing w:before="0" w:after="0"/>
        <w:rPr>
          <w:szCs w:val="20"/>
        </w:rPr>
      </w:pPr>
      <w:r>
        <w:rPr>
          <w:szCs w:val="20"/>
        </w:rPr>
        <w:fldChar w:fldCharType="begin"/>
      </w:r>
      <w:r>
        <w:rPr>
          <w:szCs w:val="20"/>
        </w:rPr>
        <w:instrText xml:space="preserve"> REF _Ref195885807 \h </w:instrText>
      </w:r>
      <w:r>
        <w:rPr>
          <w:szCs w:val="20"/>
        </w:rPr>
      </w:r>
      <w:r>
        <w:rPr>
          <w:szCs w:val="20"/>
        </w:rPr>
        <w:fldChar w:fldCharType="separate"/>
      </w:r>
      <w:r>
        <w:t xml:space="preserve">Table </w:t>
      </w:r>
      <w:r>
        <w:rPr>
          <w:noProof/>
        </w:rPr>
        <w:t>B</w:t>
      </w:r>
      <w:r>
        <w:noBreakHyphen/>
      </w:r>
      <w:r>
        <w:rPr>
          <w:noProof/>
        </w:rPr>
        <w:t>1</w:t>
      </w:r>
      <w:r>
        <w:rPr>
          <w:szCs w:val="20"/>
        </w:rPr>
        <w:fldChar w:fldCharType="end"/>
      </w:r>
      <w:r w:rsidR="00470827">
        <w:rPr>
          <w:szCs w:val="20"/>
        </w:rPr>
        <w:t xml:space="preserve"> </w:t>
      </w:r>
      <w:r w:rsidR="00AC3905" w:rsidRPr="00AC3905">
        <w:rPr>
          <w:szCs w:val="20"/>
        </w:rPr>
        <w:t xml:space="preserve">summarizes estimated program savings including uplift adjustments. </w:t>
      </w:r>
      <w:r w:rsidR="00E34820">
        <w:rPr>
          <w:szCs w:val="20"/>
        </w:rPr>
        <w:t xml:space="preserve">Table </w:t>
      </w:r>
      <w:r w:rsidR="00470827">
        <w:rPr>
          <w:szCs w:val="20"/>
        </w:rPr>
        <w:t>5</w:t>
      </w:r>
      <w:r w:rsidR="00AC3905" w:rsidRPr="00AC3905">
        <w:rPr>
          <w:szCs w:val="20"/>
        </w:rPr>
        <w:t xml:space="preserve"> also includes the number of participants, controls, and average savings rates. Both modeled savings and average savings rates include standard error figures. Note that savings for Wave </w:t>
      </w:r>
      <w:r w:rsidR="00615592">
        <w:rPr>
          <w:szCs w:val="20"/>
        </w:rPr>
        <w:t>4</w:t>
      </w:r>
      <w:r w:rsidR="00AC3905" w:rsidRPr="00AC3905">
        <w:rPr>
          <w:szCs w:val="20"/>
        </w:rPr>
        <w:t xml:space="preserve"> were not statistically significant</w:t>
      </w:r>
      <w:r w:rsidR="00503E8D">
        <w:rPr>
          <w:szCs w:val="20"/>
        </w:rPr>
        <w:t xml:space="preserve"> (which is not surprising for a new wave)</w:t>
      </w:r>
      <w:r w:rsidR="00AC3905" w:rsidRPr="00AC3905">
        <w:rPr>
          <w:szCs w:val="20"/>
        </w:rPr>
        <w:t>, but savings at the program level were and thus all program savings are being claimed.</w:t>
      </w:r>
    </w:p>
    <w:p w14:paraId="47BD9042" w14:textId="77777777" w:rsidR="00AC3905" w:rsidRPr="00AC3905" w:rsidRDefault="00AC3905" w:rsidP="00AC3905">
      <w:pPr>
        <w:keepNext/>
        <w:suppressAutoHyphens w:val="0"/>
        <w:autoSpaceDN/>
        <w:spacing w:before="0"/>
        <w:rPr>
          <w:rFonts w:ascii="Arial Bold" w:hAnsi="Arial Bold" w:cs="Arial"/>
          <w:b/>
          <w:bCs/>
          <w:color w:val="036479" w:themeColor="text2"/>
          <w:szCs w:val="20"/>
        </w:rPr>
      </w:pPr>
    </w:p>
    <w:p w14:paraId="4E53FF34" w14:textId="6B55CBE9" w:rsidR="00AC3905" w:rsidRPr="00577499" w:rsidRDefault="00D55C51" w:rsidP="0074319D">
      <w:pPr>
        <w:pStyle w:val="Caption"/>
      </w:pPr>
      <w:bookmarkStart w:id="92" w:name="_Toc172553806"/>
      <w:r w:rsidRPr="00577499">
        <w:t xml:space="preserve"> </w:t>
      </w:r>
      <w:bookmarkStart w:id="93" w:name="_Ref195885807"/>
      <w:bookmarkStart w:id="94" w:name="_Toc195887205"/>
      <w:r w:rsidRPr="00577499">
        <w:t xml:space="preserve">Table </w:t>
      </w:r>
      <w:r w:rsidR="0074319D" w:rsidRPr="00577499">
        <w:fldChar w:fldCharType="begin"/>
      </w:r>
      <w:r w:rsidR="0074319D" w:rsidRPr="00577499">
        <w:instrText xml:space="preserve"> STYLEREF 5 \s </w:instrText>
      </w:r>
      <w:r w:rsidR="0074319D" w:rsidRPr="00577499">
        <w:fldChar w:fldCharType="separate"/>
      </w:r>
      <w:r w:rsidR="0074319D" w:rsidRPr="00577499">
        <w:t>B</w:t>
      </w:r>
      <w:r w:rsidR="0074319D" w:rsidRPr="00577499">
        <w:fldChar w:fldCharType="end"/>
      </w:r>
      <w:r w:rsidR="0074319D" w:rsidRPr="00577499">
        <w:noBreakHyphen/>
      </w:r>
      <w:r w:rsidR="0074319D" w:rsidRPr="00577499">
        <w:fldChar w:fldCharType="begin"/>
      </w:r>
      <w:r w:rsidR="0074319D" w:rsidRPr="00577499">
        <w:instrText xml:space="preserve"> SEQ Table_Apx \* ARABIC \s 5 </w:instrText>
      </w:r>
      <w:r w:rsidR="0074319D" w:rsidRPr="00577499">
        <w:fldChar w:fldCharType="separate"/>
      </w:r>
      <w:r w:rsidR="0074319D" w:rsidRPr="00577499">
        <w:t>1</w:t>
      </w:r>
      <w:r w:rsidR="0074319D" w:rsidRPr="00577499">
        <w:fldChar w:fldCharType="end"/>
      </w:r>
      <w:bookmarkEnd w:id="93"/>
      <w:r w:rsidR="0074319D" w:rsidRPr="00577499">
        <w:t>.</w:t>
      </w:r>
      <w:r w:rsidR="00AC3905" w:rsidRPr="00577499">
        <w:t xml:space="preserve"> 2024 Savings Results</w:t>
      </w:r>
      <w:bookmarkEnd w:id="92"/>
      <w:bookmarkEnd w:id="94"/>
    </w:p>
    <w:tbl>
      <w:tblPr>
        <w:tblStyle w:val="EnergyTable12"/>
        <w:tblW w:w="9360" w:type="dxa"/>
        <w:tblLook w:val="04A0" w:firstRow="1" w:lastRow="0" w:firstColumn="1" w:lastColumn="0" w:noHBand="0" w:noVBand="1"/>
      </w:tblPr>
      <w:tblGrid>
        <w:gridCol w:w="4464"/>
        <w:gridCol w:w="1426"/>
        <w:gridCol w:w="1226"/>
        <w:gridCol w:w="1240"/>
        <w:gridCol w:w="1004"/>
      </w:tblGrid>
      <w:tr w:rsidR="00AC3905" w:rsidRPr="00F551AF" w14:paraId="6A7B44BC" w14:textId="5D237769" w:rsidTr="00615592">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hideMark/>
          </w:tcPr>
          <w:p w14:paraId="077255D2" w14:textId="77777777" w:rsidR="00AC3905" w:rsidRPr="00F551AF" w:rsidRDefault="00AC3905" w:rsidP="00AC3905">
            <w:pPr>
              <w:keepNext/>
              <w:keepLines/>
              <w:suppressAutoHyphens w:val="0"/>
              <w:autoSpaceDN/>
              <w:spacing w:before="40" w:after="40"/>
              <w:jc w:val="left"/>
              <w:rPr>
                <w:rFonts w:ascii="Arial Narrow" w:hAnsi="Arial Narrow" w:cs="Calibri"/>
                <w:sz w:val="20"/>
                <w:szCs w:val="20"/>
              </w:rPr>
            </w:pPr>
            <w:bookmarkStart w:id="95" w:name="_Hlk132812898"/>
            <w:r w:rsidRPr="00F551AF">
              <w:rPr>
                <w:rFonts w:ascii="Arial Narrow" w:hAnsi="Arial Narrow" w:cs="Calibri"/>
                <w:sz w:val="20"/>
                <w:szCs w:val="20"/>
              </w:rPr>
              <w:t>Savings Category</w:t>
            </w:r>
          </w:p>
        </w:tc>
        <w:tc>
          <w:tcPr>
            <w:tcW w:w="1426" w:type="dxa"/>
            <w:noWrap/>
          </w:tcPr>
          <w:p w14:paraId="48530A4B" w14:textId="1443B945"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Wave 1</w:t>
            </w:r>
            <w:r w:rsidR="00E34820" w:rsidRPr="00F551AF">
              <w:rPr>
                <w:rFonts w:ascii="Arial Narrow" w:hAnsi="Arial Narrow" w:cs="Calibri"/>
                <w:sz w:val="20"/>
                <w:szCs w:val="20"/>
              </w:rPr>
              <w:t xml:space="preserve"> (201910)</w:t>
            </w:r>
          </w:p>
        </w:tc>
        <w:tc>
          <w:tcPr>
            <w:tcW w:w="1226" w:type="dxa"/>
          </w:tcPr>
          <w:p w14:paraId="34BEB125" w14:textId="2E3F38BD"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Wave 2</w:t>
            </w:r>
            <w:r w:rsidR="00E34820" w:rsidRPr="00F551AF">
              <w:rPr>
                <w:rFonts w:ascii="Arial Narrow" w:hAnsi="Arial Narrow" w:cs="Calibri"/>
                <w:sz w:val="20"/>
                <w:szCs w:val="20"/>
              </w:rPr>
              <w:t xml:space="preserve"> (202011)</w:t>
            </w:r>
          </w:p>
        </w:tc>
        <w:tc>
          <w:tcPr>
            <w:tcW w:w="1240" w:type="dxa"/>
          </w:tcPr>
          <w:p w14:paraId="129EA060" w14:textId="6524814D"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Wave 3</w:t>
            </w:r>
            <w:r w:rsidR="00E34820" w:rsidRPr="00F551AF">
              <w:rPr>
                <w:rFonts w:ascii="Arial Narrow" w:hAnsi="Arial Narrow" w:cs="Calibri"/>
                <w:sz w:val="20"/>
                <w:szCs w:val="20"/>
              </w:rPr>
              <w:t xml:space="preserve"> (202009)</w:t>
            </w:r>
          </w:p>
        </w:tc>
        <w:tc>
          <w:tcPr>
            <w:tcW w:w="1004" w:type="dxa"/>
          </w:tcPr>
          <w:p w14:paraId="34A8ED9B" w14:textId="1F04754E"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Wave 4</w:t>
            </w:r>
            <w:r w:rsidR="00E34820" w:rsidRPr="00F551AF">
              <w:rPr>
                <w:rFonts w:ascii="Arial Narrow" w:hAnsi="Arial Narrow" w:cs="Calibri"/>
                <w:sz w:val="20"/>
                <w:szCs w:val="20"/>
              </w:rPr>
              <w:t xml:space="preserve"> (202402)</w:t>
            </w:r>
          </w:p>
        </w:tc>
      </w:tr>
      <w:tr w:rsidR="00615592" w:rsidRPr="00F551AF" w14:paraId="05358C5E" w14:textId="4FB033D1"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hideMark/>
          </w:tcPr>
          <w:p w14:paraId="1608D38A" w14:textId="77777777" w:rsidR="00615592" w:rsidRPr="00F551AF" w:rsidRDefault="00615592" w:rsidP="00615592">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sz w:val="20"/>
                <w:szCs w:val="20"/>
              </w:rPr>
              <w:t>Treatment Customer Count*</w:t>
            </w:r>
          </w:p>
        </w:tc>
        <w:tc>
          <w:tcPr>
            <w:tcW w:w="1426" w:type="dxa"/>
            <w:noWrap/>
            <w:vAlign w:val="top"/>
          </w:tcPr>
          <w:p w14:paraId="6BA8168B" w14:textId="57C0D21B"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120,533 </w:t>
            </w:r>
          </w:p>
        </w:tc>
        <w:tc>
          <w:tcPr>
            <w:tcW w:w="1226" w:type="dxa"/>
            <w:vAlign w:val="top"/>
          </w:tcPr>
          <w:p w14:paraId="2A75C24A" w14:textId="5600A442"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176,659 </w:t>
            </w:r>
          </w:p>
        </w:tc>
        <w:tc>
          <w:tcPr>
            <w:tcW w:w="1240" w:type="dxa"/>
            <w:vAlign w:val="top"/>
          </w:tcPr>
          <w:p w14:paraId="02AB6B07" w14:textId="24C348EE"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165,948 </w:t>
            </w:r>
          </w:p>
        </w:tc>
        <w:tc>
          <w:tcPr>
            <w:tcW w:w="1004" w:type="dxa"/>
            <w:vAlign w:val="top"/>
          </w:tcPr>
          <w:p w14:paraId="35C0B0F8" w14:textId="0DCBC664"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78,750 </w:t>
            </w:r>
          </w:p>
        </w:tc>
      </w:tr>
      <w:tr w:rsidR="00615592" w:rsidRPr="00F551AF" w14:paraId="68C04B47" w14:textId="3C51DDFB" w:rsidTr="0061559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hideMark/>
          </w:tcPr>
          <w:p w14:paraId="725694B1" w14:textId="77777777" w:rsidR="00615592" w:rsidRPr="00F551AF" w:rsidRDefault="00615592" w:rsidP="00615592">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sz w:val="20"/>
                <w:szCs w:val="20"/>
              </w:rPr>
              <w:t>Control Customer Count*</w:t>
            </w:r>
          </w:p>
        </w:tc>
        <w:tc>
          <w:tcPr>
            <w:tcW w:w="1426" w:type="dxa"/>
            <w:noWrap/>
            <w:vAlign w:val="top"/>
          </w:tcPr>
          <w:p w14:paraId="7E933104" w14:textId="1110119F"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35,101 </w:t>
            </w:r>
          </w:p>
        </w:tc>
        <w:tc>
          <w:tcPr>
            <w:tcW w:w="1226" w:type="dxa"/>
            <w:vAlign w:val="top"/>
          </w:tcPr>
          <w:p w14:paraId="6FCC5891" w14:textId="7C068DF3"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58,940 </w:t>
            </w:r>
          </w:p>
        </w:tc>
        <w:tc>
          <w:tcPr>
            <w:tcW w:w="1240" w:type="dxa"/>
            <w:vAlign w:val="top"/>
          </w:tcPr>
          <w:p w14:paraId="0D6EA518" w14:textId="2855A53B"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55,323 </w:t>
            </w:r>
          </w:p>
        </w:tc>
        <w:tc>
          <w:tcPr>
            <w:tcW w:w="1004" w:type="dxa"/>
            <w:vAlign w:val="top"/>
          </w:tcPr>
          <w:p w14:paraId="2BBDAF64" w14:textId="26279AC9"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25,000 </w:t>
            </w:r>
          </w:p>
        </w:tc>
      </w:tr>
      <w:tr w:rsidR="00615592" w:rsidRPr="00F551AF" w14:paraId="795A76B4" w14:textId="26FE5490"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3414E086" w14:textId="77777777" w:rsidR="00615592" w:rsidRPr="00F551AF" w:rsidRDefault="00615592" w:rsidP="00615592">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sz w:val="20"/>
                <w:szCs w:val="20"/>
              </w:rPr>
              <w:t>Percent Savings</w:t>
            </w:r>
          </w:p>
        </w:tc>
        <w:tc>
          <w:tcPr>
            <w:tcW w:w="1426" w:type="dxa"/>
            <w:noWrap/>
            <w:vAlign w:val="top"/>
          </w:tcPr>
          <w:p w14:paraId="1FF64694" w14:textId="719A94A5"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0.55%</w:t>
            </w:r>
          </w:p>
        </w:tc>
        <w:tc>
          <w:tcPr>
            <w:tcW w:w="1226" w:type="dxa"/>
            <w:vAlign w:val="top"/>
          </w:tcPr>
          <w:p w14:paraId="45FE63B2" w14:textId="4B3C6C20"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0.39%</w:t>
            </w:r>
          </w:p>
        </w:tc>
        <w:tc>
          <w:tcPr>
            <w:tcW w:w="1240" w:type="dxa"/>
            <w:vAlign w:val="top"/>
          </w:tcPr>
          <w:p w14:paraId="4B438BE4" w14:textId="52D91FEB"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0.19%</w:t>
            </w:r>
          </w:p>
        </w:tc>
        <w:tc>
          <w:tcPr>
            <w:tcW w:w="1004" w:type="dxa"/>
            <w:vAlign w:val="top"/>
          </w:tcPr>
          <w:p w14:paraId="05FEEBDD" w14:textId="0CE97D20"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0.17%</w:t>
            </w:r>
          </w:p>
        </w:tc>
      </w:tr>
      <w:tr w:rsidR="00615592" w:rsidRPr="00F551AF" w14:paraId="2E4487B4" w14:textId="1FAB1EB5" w:rsidTr="0061559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1E88BF2B" w14:textId="77777777" w:rsidR="00615592" w:rsidRPr="00F551AF" w:rsidRDefault="00615592" w:rsidP="00615592">
            <w:pPr>
              <w:keepNext/>
              <w:keepLines/>
              <w:suppressAutoHyphens w:val="0"/>
              <w:autoSpaceDN/>
              <w:spacing w:before="40" w:after="40"/>
              <w:jc w:val="left"/>
              <w:rPr>
                <w:rFonts w:ascii="Arial Narrow" w:hAnsi="Arial Narrow" w:cs="Calibri"/>
                <w:i/>
                <w:iCs/>
                <w:sz w:val="20"/>
                <w:szCs w:val="20"/>
              </w:rPr>
            </w:pPr>
            <w:r w:rsidRPr="00F551AF">
              <w:rPr>
                <w:rFonts w:ascii="Arial Narrow" w:hAnsi="Arial Narrow" w:cs="Calibri"/>
                <w:i/>
                <w:iCs/>
                <w:sz w:val="20"/>
                <w:szCs w:val="20"/>
              </w:rPr>
              <w:t>Percent Savings Std. Err.</w:t>
            </w:r>
          </w:p>
        </w:tc>
        <w:tc>
          <w:tcPr>
            <w:tcW w:w="1426" w:type="dxa"/>
            <w:noWrap/>
            <w:vAlign w:val="top"/>
          </w:tcPr>
          <w:p w14:paraId="7F1A9E1F" w14:textId="504C85D7"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0.11%</w:t>
            </w:r>
          </w:p>
        </w:tc>
        <w:tc>
          <w:tcPr>
            <w:tcW w:w="1226" w:type="dxa"/>
            <w:vAlign w:val="top"/>
          </w:tcPr>
          <w:p w14:paraId="3B3112BC" w14:textId="6ACBA69C"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0.09%</w:t>
            </w:r>
          </w:p>
        </w:tc>
        <w:tc>
          <w:tcPr>
            <w:tcW w:w="1240" w:type="dxa"/>
            <w:vAlign w:val="top"/>
          </w:tcPr>
          <w:p w14:paraId="64A8795B" w14:textId="532975A0"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0.08%</w:t>
            </w:r>
          </w:p>
        </w:tc>
        <w:tc>
          <w:tcPr>
            <w:tcW w:w="1004" w:type="dxa"/>
            <w:vAlign w:val="top"/>
          </w:tcPr>
          <w:p w14:paraId="02C5B9AF" w14:textId="7217595C"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0.11%</w:t>
            </w:r>
          </w:p>
        </w:tc>
      </w:tr>
      <w:tr w:rsidR="00615592" w:rsidRPr="00F551AF" w14:paraId="12F05CB6" w14:textId="76711D54"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1616D098" w14:textId="77777777"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Annualized Customer Savings, therms†</w:t>
            </w:r>
          </w:p>
        </w:tc>
        <w:tc>
          <w:tcPr>
            <w:tcW w:w="1426" w:type="dxa"/>
            <w:noWrap/>
            <w:vAlign w:val="top"/>
          </w:tcPr>
          <w:p w14:paraId="044D26A6" w14:textId="2324CFE1"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7.55</w:t>
            </w:r>
          </w:p>
        </w:tc>
        <w:tc>
          <w:tcPr>
            <w:tcW w:w="1226" w:type="dxa"/>
            <w:vAlign w:val="top"/>
          </w:tcPr>
          <w:p w14:paraId="1ED0501A" w14:textId="1C701BC3"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4.69</w:t>
            </w:r>
          </w:p>
        </w:tc>
        <w:tc>
          <w:tcPr>
            <w:tcW w:w="1240" w:type="dxa"/>
            <w:vAlign w:val="top"/>
          </w:tcPr>
          <w:p w14:paraId="389DA5DA" w14:textId="072C41FA"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1.80</w:t>
            </w:r>
          </w:p>
        </w:tc>
        <w:tc>
          <w:tcPr>
            <w:tcW w:w="1004" w:type="dxa"/>
            <w:vAlign w:val="top"/>
          </w:tcPr>
          <w:p w14:paraId="6C7F068B" w14:textId="235C24F2"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2.52</w:t>
            </w:r>
          </w:p>
        </w:tc>
      </w:tr>
      <w:tr w:rsidR="00615592" w:rsidRPr="00F551AF" w14:paraId="68C18108" w14:textId="602AE9F8" w:rsidTr="0061559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2A2174A8" w14:textId="77777777" w:rsidR="00615592" w:rsidRPr="00F551AF" w:rsidRDefault="00615592" w:rsidP="00615592">
            <w:pPr>
              <w:keepNext/>
              <w:keepLines/>
              <w:suppressAutoHyphens w:val="0"/>
              <w:autoSpaceDN/>
              <w:spacing w:before="40" w:after="40"/>
              <w:jc w:val="left"/>
              <w:rPr>
                <w:rFonts w:ascii="Arial Narrow" w:hAnsi="Arial Narrow" w:cs="Calibri"/>
                <w:i/>
                <w:iCs/>
                <w:sz w:val="20"/>
                <w:szCs w:val="20"/>
              </w:rPr>
            </w:pPr>
            <w:r w:rsidRPr="00F551AF">
              <w:rPr>
                <w:rFonts w:ascii="Arial Narrow" w:hAnsi="Arial Narrow" w:cs="Calibri"/>
                <w:i/>
                <w:iCs/>
                <w:sz w:val="20"/>
                <w:szCs w:val="20"/>
              </w:rPr>
              <w:t>Annualized Customer Savings Std. Err.</w:t>
            </w:r>
          </w:p>
        </w:tc>
        <w:tc>
          <w:tcPr>
            <w:tcW w:w="1426" w:type="dxa"/>
            <w:noWrap/>
            <w:vAlign w:val="top"/>
          </w:tcPr>
          <w:p w14:paraId="60850FE5" w14:textId="68C072E0"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1.57</w:t>
            </w:r>
          </w:p>
        </w:tc>
        <w:tc>
          <w:tcPr>
            <w:tcW w:w="1226" w:type="dxa"/>
            <w:vAlign w:val="top"/>
          </w:tcPr>
          <w:p w14:paraId="6BBFAD3D" w14:textId="4349DAA8"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1.07</w:t>
            </w:r>
          </w:p>
        </w:tc>
        <w:tc>
          <w:tcPr>
            <w:tcW w:w="1240" w:type="dxa"/>
            <w:vAlign w:val="top"/>
          </w:tcPr>
          <w:p w14:paraId="3365F053" w14:textId="0FFDA6D3"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0.72</w:t>
            </w:r>
          </w:p>
        </w:tc>
        <w:tc>
          <w:tcPr>
            <w:tcW w:w="1004" w:type="dxa"/>
            <w:vAlign w:val="top"/>
          </w:tcPr>
          <w:p w14:paraId="695EC973" w14:textId="479B0436"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1.66</w:t>
            </w:r>
          </w:p>
        </w:tc>
      </w:tr>
      <w:tr w:rsidR="00615592" w:rsidRPr="00F551AF" w14:paraId="6C40FE5B" w14:textId="7463325E"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62800AC9" w14:textId="77777777"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Net Savings Prior to Uplift, therms</w:t>
            </w:r>
          </w:p>
        </w:tc>
        <w:tc>
          <w:tcPr>
            <w:tcW w:w="1426" w:type="dxa"/>
            <w:noWrap/>
            <w:vAlign w:val="top"/>
          </w:tcPr>
          <w:p w14:paraId="652ABD06" w14:textId="3501A17A"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889,895 </w:t>
            </w:r>
          </w:p>
        </w:tc>
        <w:tc>
          <w:tcPr>
            <w:tcW w:w="1226" w:type="dxa"/>
            <w:vAlign w:val="top"/>
          </w:tcPr>
          <w:p w14:paraId="33A2809F" w14:textId="50C73BE8"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811,782 </w:t>
            </w:r>
          </w:p>
        </w:tc>
        <w:tc>
          <w:tcPr>
            <w:tcW w:w="1240" w:type="dxa"/>
            <w:vAlign w:val="top"/>
          </w:tcPr>
          <w:p w14:paraId="7C2D2DBF" w14:textId="42C78B22"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292,808 </w:t>
            </w:r>
          </w:p>
        </w:tc>
        <w:tc>
          <w:tcPr>
            <w:tcW w:w="1004" w:type="dxa"/>
            <w:vAlign w:val="top"/>
          </w:tcPr>
          <w:p w14:paraId="1C902814" w14:textId="47DE4C41"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176,544 </w:t>
            </w:r>
          </w:p>
        </w:tc>
      </w:tr>
      <w:tr w:rsidR="00615592" w:rsidRPr="00F551AF" w14:paraId="63C16CCB" w14:textId="615E3858" w:rsidTr="0061559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146AE092" w14:textId="77777777" w:rsidR="00615592" w:rsidRPr="00F551AF" w:rsidRDefault="00615592" w:rsidP="00615592">
            <w:pPr>
              <w:keepNext/>
              <w:keepLines/>
              <w:suppressAutoHyphens w:val="0"/>
              <w:autoSpaceDN/>
              <w:spacing w:before="40" w:after="40"/>
              <w:jc w:val="left"/>
              <w:rPr>
                <w:rFonts w:ascii="Arial Narrow" w:hAnsi="Arial Narrow" w:cs="Calibri"/>
                <w:i/>
                <w:iCs/>
                <w:sz w:val="20"/>
                <w:szCs w:val="20"/>
              </w:rPr>
            </w:pPr>
            <w:r w:rsidRPr="00F551AF">
              <w:rPr>
                <w:rFonts w:ascii="Arial Narrow" w:hAnsi="Arial Narrow" w:cs="Calibri"/>
                <w:i/>
                <w:iCs/>
                <w:sz w:val="20"/>
                <w:szCs w:val="20"/>
              </w:rPr>
              <w:t>Net Savings Std. Err.</w:t>
            </w:r>
          </w:p>
        </w:tc>
        <w:tc>
          <w:tcPr>
            <w:tcW w:w="1426" w:type="dxa"/>
            <w:noWrap/>
            <w:vAlign w:val="top"/>
          </w:tcPr>
          <w:p w14:paraId="63361016" w14:textId="0EE69DD9"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185,501 </w:t>
            </w:r>
          </w:p>
        </w:tc>
        <w:tc>
          <w:tcPr>
            <w:tcW w:w="1226" w:type="dxa"/>
            <w:vAlign w:val="top"/>
          </w:tcPr>
          <w:p w14:paraId="2C140E09" w14:textId="7C317396"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185,443 </w:t>
            </w:r>
          </w:p>
        </w:tc>
        <w:tc>
          <w:tcPr>
            <w:tcW w:w="1240" w:type="dxa"/>
            <w:vAlign w:val="top"/>
          </w:tcPr>
          <w:p w14:paraId="186B3448" w14:textId="102C3256"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117,190 </w:t>
            </w:r>
          </w:p>
        </w:tc>
        <w:tc>
          <w:tcPr>
            <w:tcW w:w="1004" w:type="dxa"/>
            <w:vAlign w:val="top"/>
          </w:tcPr>
          <w:p w14:paraId="76A460D5" w14:textId="7C32712B"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116,037 </w:t>
            </w:r>
          </w:p>
        </w:tc>
      </w:tr>
      <w:tr w:rsidR="00615592" w:rsidRPr="00F551AF" w14:paraId="5CB7410A" w14:textId="1B23B58E"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0E77A242" w14:textId="77777777"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2023 Uplift, therms‡</w:t>
            </w:r>
          </w:p>
        </w:tc>
        <w:tc>
          <w:tcPr>
            <w:tcW w:w="1426" w:type="dxa"/>
            <w:noWrap/>
            <w:vAlign w:val="top"/>
          </w:tcPr>
          <w:p w14:paraId="1E9870C8" w14:textId="64521317"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15,136 </w:t>
            </w:r>
          </w:p>
        </w:tc>
        <w:tc>
          <w:tcPr>
            <w:tcW w:w="1226" w:type="dxa"/>
            <w:vAlign w:val="top"/>
          </w:tcPr>
          <w:p w14:paraId="592B61FA" w14:textId="0A93D600"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6,679 </w:t>
            </w:r>
          </w:p>
        </w:tc>
        <w:tc>
          <w:tcPr>
            <w:tcW w:w="1240" w:type="dxa"/>
            <w:vAlign w:val="top"/>
          </w:tcPr>
          <w:p w14:paraId="705A8BEF" w14:textId="64857FC9"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3,339 </w:t>
            </w:r>
          </w:p>
        </w:tc>
        <w:tc>
          <w:tcPr>
            <w:tcW w:w="1004" w:type="dxa"/>
            <w:vAlign w:val="top"/>
          </w:tcPr>
          <w:p w14:paraId="43F8CAE6" w14:textId="29DC9ECA"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17,465 </w:t>
            </w:r>
          </w:p>
        </w:tc>
      </w:tr>
      <w:tr w:rsidR="00615592" w:rsidRPr="00F551AF" w14:paraId="50E19559" w14:textId="3A8CA9E1" w:rsidTr="0061559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7D470827" w14:textId="77777777"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Legacy Uplift, therms‡</w:t>
            </w:r>
          </w:p>
        </w:tc>
        <w:tc>
          <w:tcPr>
            <w:tcW w:w="1426" w:type="dxa"/>
            <w:noWrap/>
            <w:vAlign w:val="top"/>
          </w:tcPr>
          <w:p w14:paraId="2910B31C" w14:textId="7EBC69F5"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81,149 </w:t>
            </w:r>
          </w:p>
        </w:tc>
        <w:tc>
          <w:tcPr>
            <w:tcW w:w="1226" w:type="dxa"/>
            <w:vAlign w:val="top"/>
          </w:tcPr>
          <w:p w14:paraId="00B4053A" w14:textId="70842E4A"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84,744 </w:t>
            </w:r>
          </w:p>
        </w:tc>
        <w:tc>
          <w:tcPr>
            <w:tcW w:w="1240" w:type="dxa"/>
            <w:vAlign w:val="top"/>
          </w:tcPr>
          <w:p w14:paraId="15394390" w14:textId="19F0B8C8"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102,038 </w:t>
            </w:r>
          </w:p>
        </w:tc>
        <w:tc>
          <w:tcPr>
            <w:tcW w:w="1004" w:type="dxa"/>
            <w:vAlign w:val="top"/>
          </w:tcPr>
          <w:p w14:paraId="415DEBCA" w14:textId="43F578C1"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   </w:t>
            </w:r>
          </w:p>
        </w:tc>
      </w:tr>
      <w:tr w:rsidR="00615592" w:rsidRPr="00F551AF" w14:paraId="18272EA0" w14:textId="4B2B700F"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792B58D9" w14:textId="77777777"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2023 Custom Savings Calculation</w:t>
            </w:r>
          </w:p>
        </w:tc>
        <w:tc>
          <w:tcPr>
            <w:tcW w:w="1426" w:type="dxa"/>
            <w:noWrap/>
            <w:vAlign w:val="top"/>
          </w:tcPr>
          <w:p w14:paraId="0EFC795E" w14:textId="46EFADD8"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793,610 </w:t>
            </w:r>
          </w:p>
        </w:tc>
        <w:tc>
          <w:tcPr>
            <w:tcW w:w="1226" w:type="dxa"/>
            <w:vAlign w:val="top"/>
          </w:tcPr>
          <w:p w14:paraId="06C8BA6F" w14:textId="42ED99B6"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720,359 </w:t>
            </w:r>
          </w:p>
        </w:tc>
        <w:tc>
          <w:tcPr>
            <w:tcW w:w="1240" w:type="dxa"/>
            <w:vAlign w:val="top"/>
          </w:tcPr>
          <w:p w14:paraId="5DA4D90A" w14:textId="302EB8C7"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187,431 </w:t>
            </w:r>
          </w:p>
        </w:tc>
        <w:tc>
          <w:tcPr>
            <w:tcW w:w="1004" w:type="dxa"/>
            <w:vAlign w:val="top"/>
          </w:tcPr>
          <w:p w14:paraId="5C76DAD2" w14:textId="6E4E75B9"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159,079 </w:t>
            </w:r>
          </w:p>
        </w:tc>
      </w:tr>
      <w:tr w:rsidR="00615592" w:rsidRPr="00F551AF" w14:paraId="5FCD5CE9" w14:textId="56B58F4B" w:rsidTr="0061559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3234695F" w14:textId="77777777"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Savings Attributed to Prior Years§</w:t>
            </w:r>
          </w:p>
        </w:tc>
        <w:tc>
          <w:tcPr>
            <w:tcW w:w="1426" w:type="dxa"/>
            <w:noWrap/>
            <w:vAlign w:val="top"/>
          </w:tcPr>
          <w:p w14:paraId="1FBB32A9" w14:textId="5402E660"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568,523 </w:t>
            </w:r>
          </w:p>
        </w:tc>
        <w:tc>
          <w:tcPr>
            <w:tcW w:w="1226" w:type="dxa"/>
            <w:vAlign w:val="top"/>
          </w:tcPr>
          <w:p w14:paraId="6B934C5E" w14:textId="0B738615"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105,389 </w:t>
            </w:r>
          </w:p>
        </w:tc>
        <w:tc>
          <w:tcPr>
            <w:tcW w:w="1240" w:type="dxa"/>
            <w:vAlign w:val="top"/>
          </w:tcPr>
          <w:p w14:paraId="0CE59D39" w14:textId="69EB9AA9"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160,303 </w:t>
            </w:r>
          </w:p>
        </w:tc>
        <w:tc>
          <w:tcPr>
            <w:tcW w:w="1004" w:type="dxa"/>
            <w:vAlign w:val="top"/>
          </w:tcPr>
          <w:p w14:paraId="0E470465" w14:textId="7143A470" w:rsidR="00615592" w:rsidRPr="00F551AF" w:rsidRDefault="00615592" w:rsidP="00615592">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   </w:t>
            </w:r>
          </w:p>
        </w:tc>
      </w:tr>
      <w:tr w:rsidR="00615592" w:rsidRPr="00F551AF" w14:paraId="23772A63" w14:textId="5580497E" w:rsidTr="006155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64" w:type="dxa"/>
            <w:noWrap/>
          </w:tcPr>
          <w:p w14:paraId="6472423D" w14:textId="1E7B47E3" w:rsidR="00615592" w:rsidRPr="00F551AF" w:rsidRDefault="00615592" w:rsidP="00615592">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 xml:space="preserve">Verified </w:t>
            </w:r>
            <w:r w:rsidR="00503E8D" w:rsidRPr="00F551AF">
              <w:rPr>
                <w:rFonts w:ascii="Arial Narrow" w:hAnsi="Arial Narrow" w:cs="Calibri"/>
                <w:sz w:val="20"/>
                <w:szCs w:val="20"/>
              </w:rPr>
              <w:t>Adjusted</w:t>
            </w:r>
            <w:r w:rsidRPr="00F551AF">
              <w:rPr>
                <w:rFonts w:ascii="Arial Narrow" w:hAnsi="Arial Narrow" w:cs="Calibri"/>
                <w:sz w:val="20"/>
                <w:szCs w:val="20"/>
              </w:rPr>
              <w:t xml:space="preserve"> Savings, therms||</w:t>
            </w:r>
          </w:p>
        </w:tc>
        <w:tc>
          <w:tcPr>
            <w:tcW w:w="1426" w:type="dxa"/>
            <w:noWrap/>
            <w:vAlign w:val="top"/>
          </w:tcPr>
          <w:p w14:paraId="0E641812" w14:textId="18738483"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225,087 </w:t>
            </w:r>
          </w:p>
        </w:tc>
        <w:tc>
          <w:tcPr>
            <w:tcW w:w="1226" w:type="dxa"/>
            <w:vAlign w:val="top"/>
          </w:tcPr>
          <w:p w14:paraId="30FC3252" w14:textId="0E9926BB"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614,970 </w:t>
            </w:r>
          </w:p>
        </w:tc>
        <w:tc>
          <w:tcPr>
            <w:tcW w:w="1240" w:type="dxa"/>
            <w:vAlign w:val="top"/>
          </w:tcPr>
          <w:p w14:paraId="56234E14" w14:textId="246F858A"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27,128 </w:t>
            </w:r>
          </w:p>
        </w:tc>
        <w:tc>
          <w:tcPr>
            <w:tcW w:w="1004" w:type="dxa"/>
            <w:vAlign w:val="top"/>
          </w:tcPr>
          <w:p w14:paraId="35904675" w14:textId="2C757C0E" w:rsidR="00615592" w:rsidRPr="00F551AF" w:rsidRDefault="00615592" w:rsidP="00615592">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551AF">
              <w:rPr>
                <w:rFonts w:ascii="Arial Narrow" w:hAnsi="Arial Narrow"/>
                <w:sz w:val="20"/>
                <w:szCs w:val="20"/>
              </w:rPr>
              <w:t xml:space="preserve"> 159,079 </w:t>
            </w:r>
          </w:p>
        </w:tc>
      </w:tr>
    </w:tbl>
    <w:bookmarkEnd w:id="95"/>
    <w:p w14:paraId="2DA1D8A1" w14:textId="77777777" w:rsidR="00AC3905" w:rsidRPr="00AC3905" w:rsidRDefault="00AC3905" w:rsidP="00503E8D">
      <w:pPr>
        <w:keepNext/>
        <w:suppressAutoHyphens w:val="0"/>
        <w:autoSpaceDN/>
        <w:spacing w:before="0" w:after="0"/>
        <w:rPr>
          <w:sz w:val="18"/>
          <w:szCs w:val="20"/>
        </w:rPr>
      </w:pPr>
      <w:r w:rsidRPr="00AC3905">
        <w:rPr>
          <w:rFonts w:ascii="Arial Narrow" w:hAnsi="Arial Narrow"/>
          <w:sz w:val="18"/>
          <w:szCs w:val="20"/>
        </w:rPr>
        <w:t>* These counts are for active customers at the beginning of the evaluation period.</w:t>
      </w:r>
    </w:p>
    <w:p w14:paraId="350068F6" w14:textId="77777777" w:rsidR="00AC3905" w:rsidRPr="00AC3905" w:rsidRDefault="00AC3905" w:rsidP="00503E8D">
      <w:pPr>
        <w:suppressAutoHyphens w:val="0"/>
        <w:autoSpaceDN/>
        <w:spacing w:before="0" w:after="0"/>
        <w:rPr>
          <w:rFonts w:ascii="Arial Narrow" w:hAnsi="Arial Narrow"/>
          <w:sz w:val="18"/>
          <w:szCs w:val="20"/>
        </w:rPr>
      </w:pPr>
      <w:r w:rsidRPr="00AC3905">
        <w:rPr>
          <w:rFonts w:ascii="Arial Narrow" w:hAnsi="Arial Narrow"/>
          <w:sz w:val="18"/>
          <w:szCs w:val="20"/>
        </w:rPr>
        <w:t>† Annualized savings are average daily savings multiplied by 365, however, total savings are pro-rated for participants that closed their accounts during the evaluation period.</w:t>
      </w:r>
    </w:p>
    <w:p w14:paraId="6BC7825A" w14:textId="77777777" w:rsidR="00AC3905" w:rsidRPr="00AC3905" w:rsidRDefault="00AC3905" w:rsidP="00503E8D">
      <w:pPr>
        <w:suppressAutoHyphens w:val="0"/>
        <w:autoSpaceDN/>
        <w:spacing w:before="0" w:after="0"/>
        <w:rPr>
          <w:rFonts w:ascii="Arial Narrow" w:hAnsi="Arial Narrow"/>
          <w:sz w:val="18"/>
          <w:szCs w:val="20"/>
        </w:rPr>
      </w:pPr>
      <w:r w:rsidRPr="00AC3905">
        <w:rPr>
          <w:rFonts w:ascii="Arial Narrow" w:hAnsi="Arial Narrow"/>
          <w:sz w:val="18"/>
          <w:szCs w:val="20"/>
        </w:rPr>
        <w:t xml:space="preserve">‡ No adjustment was made to total savings for negative </w:t>
      </w:r>
      <w:proofErr w:type="gramStart"/>
      <w:r w:rsidRPr="00AC3905">
        <w:rPr>
          <w:rFonts w:ascii="Arial Narrow" w:hAnsi="Arial Narrow"/>
          <w:sz w:val="18"/>
          <w:szCs w:val="20"/>
        </w:rPr>
        <w:t>uplift</w:t>
      </w:r>
      <w:proofErr w:type="gramEnd"/>
      <w:r w:rsidRPr="00AC3905">
        <w:rPr>
          <w:rFonts w:ascii="Arial Narrow" w:hAnsi="Arial Narrow"/>
          <w:sz w:val="18"/>
          <w:szCs w:val="20"/>
        </w:rPr>
        <w:t>, (i.e., cases where the HER Program decreased participation in other programs).</w:t>
      </w:r>
    </w:p>
    <w:p w14:paraId="5FE0A07E" w14:textId="3088711F" w:rsidR="00AC3905" w:rsidRPr="00AC3905" w:rsidRDefault="00AC3905" w:rsidP="00503E8D">
      <w:pPr>
        <w:suppressAutoHyphens w:val="0"/>
        <w:autoSpaceDN/>
        <w:spacing w:before="0" w:after="0"/>
        <w:rPr>
          <w:rFonts w:ascii="Arial Narrow" w:hAnsi="Arial Narrow"/>
          <w:sz w:val="18"/>
          <w:szCs w:val="20"/>
        </w:rPr>
      </w:pPr>
      <w:r w:rsidRPr="00AC3905">
        <w:rPr>
          <w:rFonts w:ascii="Arial Narrow" w:hAnsi="Arial Narrow"/>
          <w:sz w:val="18"/>
          <w:szCs w:val="20"/>
        </w:rPr>
        <w:t>§ Savings attributed to prior years are those deducted for persistence from 20</w:t>
      </w:r>
      <w:r>
        <w:rPr>
          <w:rFonts w:ascii="Arial Narrow" w:hAnsi="Arial Narrow"/>
          <w:sz w:val="18"/>
          <w:szCs w:val="20"/>
        </w:rPr>
        <w:t>20</w:t>
      </w:r>
      <w:r w:rsidRPr="00AC3905">
        <w:rPr>
          <w:rFonts w:ascii="Arial Narrow" w:hAnsi="Arial Narrow"/>
          <w:sz w:val="18"/>
          <w:szCs w:val="20"/>
        </w:rPr>
        <w:t>, 202</w:t>
      </w:r>
      <w:r>
        <w:rPr>
          <w:rFonts w:ascii="Arial Narrow" w:hAnsi="Arial Narrow"/>
          <w:sz w:val="18"/>
          <w:szCs w:val="20"/>
        </w:rPr>
        <w:t>1</w:t>
      </w:r>
      <w:r w:rsidRPr="00AC3905">
        <w:rPr>
          <w:rFonts w:ascii="Arial Narrow" w:hAnsi="Arial Narrow"/>
          <w:sz w:val="18"/>
          <w:szCs w:val="20"/>
        </w:rPr>
        <w:t>, 202</w:t>
      </w:r>
      <w:r>
        <w:rPr>
          <w:rFonts w:ascii="Arial Narrow" w:hAnsi="Arial Narrow"/>
          <w:sz w:val="18"/>
          <w:szCs w:val="20"/>
        </w:rPr>
        <w:t>2</w:t>
      </w:r>
      <w:r w:rsidRPr="00AC3905">
        <w:rPr>
          <w:rFonts w:ascii="Arial Narrow" w:hAnsi="Arial Narrow"/>
          <w:sz w:val="18"/>
          <w:szCs w:val="20"/>
        </w:rPr>
        <w:t>, and 202</w:t>
      </w:r>
      <w:r>
        <w:rPr>
          <w:rFonts w:ascii="Arial Narrow" w:hAnsi="Arial Narrow"/>
          <w:sz w:val="18"/>
          <w:szCs w:val="20"/>
        </w:rPr>
        <w:t>3</w:t>
      </w:r>
      <w:r w:rsidRPr="00AC3905">
        <w:rPr>
          <w:rFonts w:ascii="Arial Narrow" w:hAnsi="Arial Narrow"/>
          <w:sz w:val="18"/>
          <w:szCs w:val="20"/>
        </w:rPr>
        <w:t xml:space="preserve"> within the IL-TRM framework. </w:t>
      </w:r>
    </w:p>
    <w:p w14:paraId="4779EDE5" w14:textId="43B8EF2B" w:rsidR="00AC3905" w:rsidRPr="00AC3905" w:rsidRDefault="00AC3905" w:rsidP="00503E8D">
      <w:pPr>
        <w:suppressAutoHyphens w:val="0"/>
        <w:autoSpaceDN/>
        <w:spacing w:before="0" w:after="0"/>
        <w:rPr>
          <w:rFonts w:ascii="Arial Narrow" w:hAnsi="Arial Narrow"/>
          <w:i/>
          <w:sz w:val="18"/>
          <w:szCs w:val="20"/>
        </w:rPr>
      </w:pPr>
      <w:r w:rsidRPr="00AC3905">
        <w:rPr>
          <w:rFonts w:ascii="Tahoma" w:hAnsi="Tahoma" w:cs="Tahoma"/>
          <w:color w:val="4C4C4C"/>
          <w:sz w:val="18"/>
          <w:szCs w:val="20"/>
          <w:shd w:val="clear" w:color="auto" w:fill="FFFFFF"/>
        </w:rPr>
        <w:t>||</w:t>
      </w:r>
      <w:r w:rsidRPr="00AC3905">
        <w:rPr>
          <w:rFonts w:ascii="Arial Narrow" w:hAnsi="Arial Narrow"/>
          <w:sz w:val="18"/>
          <w:szCs w:val="20"/>
        </w:rPr>
        <w:t xml:space="preserve"> Verified Net Savings are equal to Net Savings, Prior to Uplift less 202</w:t>
      </w:r>
      <w:r>
        <w:rPr>
          <w:rFonts w:ascii="Arial Narrow" w:hAnsi="Arial Narrow"/>
          <w:sz w:val="18"/>
          <w:szCs w:val="20"/>
        </w:rPr>
        <w:t>4</w:t>
      </w:r>
      <w:r w:rsidRPr="00AC3905">
        <w:rPr>
          <w:rFonts w:ascii="Arial Narrow" w:hAnsi="Arial Narrow"/>
          <w:sz w:val="18"/>
          <w:szCs w:val="20"/>
        </w:rPr>
        <w:t xml:space="preserve"> Uplift, Legacy Uplift, and Savings Attributed to Prior Years.</w:t>
      </w:r>
    </w:p>
    <w:p w14:paraId="2BA84827" w14:textId="77777777" w:rsidR="00AC3905" w:rsidRPr="00AC3905" w:rsidRDefault="00AC3905" w:rsidP="00503E8D">
      <w:pPr>
        <w:suppressAutoHyphens w:val="0"/>
        <w:autoSpaceDN/>
        <w:spacing w:before="0" w:after="0"/>
        <w:rPr>
          <w:i/>
          <w:color w:val="000000" w:themeColor="text1"/>
          <w:sz w:val="16"/>
          <w:szCs w:val="20"/>
        </w:rPr>
      </w:pPr>
      <w:r w:rsidRPr="00AC3905">
        <w:rPr>
          <w:i/>
          <w:color w:val="000000" w:themeColor="text1"/>
          <w:sz w:val="16"/>
          <w:szCs w:val="20"/>
        </w:rPr>
        <w:t xml:space="preserve">Source: Guidehouse analysis of Nicor Gas program tracking and customer billing data. </w:t>
      </w:r>
    </w:p>
    <w:p w14:paraId="71E4D176" w14:textId="77777777" w:rsidR="00AC3905" w:rsidRPr="00AC3905" w:rsidRDefault="00AC3905" w:rsidP="00AC3905">
      <w:pPr>
        <w:suppressAutoHyphens w:val="0"/>
        <w:autoSpaceDN/>
        <w:spacing w:before="0" w:after="0"/>
        <w:rPr>
          <w:szCs w:val="20"/>
        </w:rPr>
      </w:pPr>
    </w:p>
    <w:p w14:paraId="72449F24" w14:textId="77777777" w:rsidR="00AC3905" w:rsidRPr="00AC3905" w:rsidRDefault="00AC3905" w:rsidP="00AC3905">
      <w:pPr>
        <w:suppressAutoHyphens w:val="0"/>
        <w:autoSpaceDN/>
        <w:spacing w:before="0" w:after="0"/>
        <w:rPr>
          <w:szCs w:val="20"/>
        </w:rPr>
        <w:sectPr w:rsidR="00AC3905" w:rsidRPr="00AC3905" w:rsidSect="00AC3905">
          <w:pgSz w:w="12240" w:h="15840" w:code="1"/>
          <w:pgMar w:top="1440" w:right="1440" w:bottom="1440" w:left="1440" w:header="720" w:footer="720" w:gutter="0"/>
          <w:pgNumType w:start="1" w:chapStyle="5"/>
          <w:cols w:space="720"/>
          <w:docGrid w:linePitch="360"/>
        </w:sectPr>
      </w:pPr>
    </w:p>
    <w:bookmarkStart w:id="96" w:name="_Hlk164683695"/>
    <w:bookmarkStart w:id="97" w:name="_Ref74319884"/>
    <w:p w14:paraId="4D9A0AE8" w14:textId="0FA75262" w:rsidR="00AC3905" w:rsidRPr="00AC3905" w:rsidRDefault="0055667B" w:rsidP="00AC3905">
      <w:pPr>
        <w:keepNext/>
        <w:suppressAutoHyphens w:val="0"/>
        <w:autoSpaceDN/>
        <w:spacing w:before="0" w:after="0"/>
        <w:rPr>
          <w:szCs w:val="20"/>
        </w:rPr>
      </w:pPr>
      <w:r>
        <w:rPr>
          <w:szCs w:val="20"/>
        </w:rPr>
        <w:lastRenderedPageBreak/>
        <w:fldChar w:fldCharType="begin"/>
      </w:r>
      <w:r>
        <w:rPr>
          <w:szCs w:val="20"/>
        </w:rPr>
        <w:instrText xml:space="preserve"> REF _Ref195885826 \h </w:instrText>
      </w:r>
      <w:r>
        <w:rPr>
          <w:szCs w:val="20"/>
        </w:rPr>
      </w:r>
      <w:r>
        <w:rPr>
          <w:szCs w:val="20"/>
        </w:rPr>
        <w:fldChar w:fldCharType="separate"/>
      </w:r>
      <w:r>
        <w:t xml:space="preserve">Figure </w:t>
      </w:r>
      <w:r>
        <w:rPr>
          <w:noProof/>
        </w:rPr>
        <w:t>B</w:t>
      </w:r>
      <w:r>
        <w:noBreakHyphen/>
      </w:r>
      <w:r>
        <w:rPr>
          <w:noProof/>
        </w:rPr>
        <w:t>1</w:t>
      </w:r>
      <w:r>
        <w:rPr>
          <w:szCs w:val="20"/>
        </w:rPr>
        <w:fldChar w:fldCharType="end"/>
      </w:r>
      <w:r w:rsidR="00AC3905" w:rsidRPr="00AC3905">
        <w:rPr>
          <w:szCs w:val="20"/>
        </w:rPr>
        <w:fldChar w:fldCharType="begin"/>
      </w:r>
      <w:r w:rsidR="00AC3905" w:rsidRPr="00AC3905">
        <w:rPr>
          <w:szCs w:val="20"/>
        </w:rPr>
        <w:instrText xml:space="preserve"> REF _Ref164781004 \h </w:instrText>
      </w:r>
      <w:r w:rsidR="00E34820">
        <w:rPr>
          <w:szCs w:val="20"/>
        </w:rPr>
        <w:instrText xml:space="preserve"> \* MERGEFORMAT </w:instrText>
      </w:r>
      <w:r w:rsidR="00AC3905" w:rsidRPr="00AC3905">
        <w:rPr>
          <w:szCs w:val="20"/>
        </w:rPr>
      </w:r>
      <w:r w:rsidR="00AC3905" w:rsidRPr="00AC3905">
        <w:rPr>
          <w:szCs w:val="20"/>
        </w:rPr>
        <w:fldChar w:fldCharType="separate"/>
      </w:r>
      <w:r w:rsidR="00AC3905" w:rsidRPr="00AC3905">
        <w:rPr>
          <w:szCs w:val="20"/>
        </w:rPr>
        <w:fldChar w:fldCharType="end"/>
      </w:r>
      <w:r w:rsidR="00AC3905" w:rsidRPr="00AC3905">
        <w:rPr>
          <w:szCs w:val="20"/>
        </w:rPr>
        <w:t xml:space="preserve"> to </w:t>
      </w:r>
      <w:r w:rsidR="00E34820">
        <w:rPr>
          <w:szCs w:val="20"/>
        </w:rPr>
        <w:fldChar w:fldCharType="begin"/>
      </w:r>
      <w:r w:rsidR="00E34820">
        <w:rPr>
          <w:szCs w:val="20"/>
        </w:rPr>
        <w:instrText xml:space="preserve"> REF _Ref195794500 \h  \* MERGEFORMAT </w:instrText>
      </w:r>
      <w:r w:rsidR="00E34820">
        <w:rPr>
          <w:szCs w:val="20"/>
        </w:rPr>
      </w:r>
      <w:r w:rsidR="00E34820">
        <w:rPr>
          <w:szCs w:val="20"/>
        </w:rPr>
        <w:fldChar w:fldCharType="separate"/>
      </w:r>
      <w:r>
        <w:rPr>
          <w:szCs w:val="20"/>
        </w:rPr>
        <w:fldChar w:fldCharType="begin"/>
      </w:r>
      <w:r>
        <w:rPr>
          <w:szCs w:val="20"/>
        </w:rPr>
        <w:instrText xml:space="preserve"> REF _Ref195885855 \h </w:instrText>
      </w:r>
      <w:r>
        <w:rPr>
          <w:szCs w:val="20"/>
        </w:rPr>
      </w:r>
      <w:r>
        <w:rPr>
          <w:szCs w:val="20"/>
        </w:rPr>
        <w:fldChar w:fldCharType="separate"/>
      </w:r>
      <w:r>
        <w:t xml:space="preserve">Figure </w:t>
      </w:r>
      <w:r>
        <w:rPr>
          <w:noProof/>
        </w:rPr>
        <w:t>B</w:t>
      </w:r>
      <w:r>
        <w:noBreakHyphen/>
      </w:r>
      <w:r>
        <w:rPr>
          <w:noProof/>
        </w:rPr>
        <w:t>4</w:t>
      </w:r>
      <w:r>
        <w:rPr>
          <w:szCs w:val="20"/>
        </w:rPr>
        <w:fldChar w:fldCharType="end"/>
      </w:r>
      <w:r w:rsidR="00E34820">
        <w:rPr>
          <w:szCs w:val="20"/>
        </w:rPr>
        <w:fldChar w:fldCharType="end"/>
      </w:r>
      <w:r w:rsidR="00AC3905" w:rsidRPr="00AC3905">
        <w:rPr>
          <w:szCs w:val="20"/>
        </w:rPr>
        <w:t xml:space="preserve"> show energy savings with 90% confidence intervals for Waves 1, 2, 3, </w:t>
      </w:r>
      <w:r w:rsidR="00AC3905">
        <w:rPr>
          <w:szCs w:val="20"/>
        </w:rPr>
        <w:t xml:space="preserve">and 4 </w:t>
      </w:r>
      <w:r w:rsidR="00AC3905" w:rsidRPr="00AC3905">
        <w:rPr>
          <w:szCs w:val="20"/>
        </w:rPr>
        <w:t xml:space="preserve">respectively. </w:t>
      </w:r>
    </w:p>
    <w:bookmarkEnd w:id="96"/>
    <w:p w14:paraId="29A1569A" w14:textId="77777777" w:rsidR="00AC3905" w:rsidRPr="00AC3905" w:rsidRDefault="00AC3905" w:rsidP="00AC3905">
      <w:pPr>
        <w:suppressAutoHyphens w:val="0"/>
        <w:autoSpaceDN/>
        <w:spacing w:before="0" w:after="0"/>
        <w:rPr>
          <w:szCs w:val="20"/>
        </w:rPr>
      </w:pPr>
    </w:p>
    <w:p w14:paraId="2D841023" w14:textId="59545FD8" w:rsidR="00AC3905" w:rsidRPr="00577499" w:rsidRDefault="00AC3905" w:rsidP="00F2624D">
      <w:pPr>
        <w:pStyle w:val="Caption"/>
      </w:pPr>
      <w:bookmarkStart w:id="98" w:name="_Toc172553811"/>
      <w:bookmarkStart w:id="99" w:name="_Ref195885826"/>
      <w:bookmarkStart w:id="100" w:name="_Toc195887211"/>
      <w:bookmarkEnd w:id="97"/>
      <w:r w:rsidRPr="00577499">
        <w:t xml:space="preserve">Figure </w:t>
      </w:r>
      <w:r w:rsidR="00F2624D" w:rsidRPr="00577499">
        <w:fldChar w:fldCharType="begin"/>
      </w:r>
      <w:r w:rsidR="00F2624D" w:rsidRPr="00577499">
        <w:instrText xml:space="preserve"> STYLEREF 5 \s </w:instrText>
      </w:r>
      <w:r w:rsidR="00F2624D" w:rsidRPr="00577499">
        <w:fldChar w:fldCharType="separate"/>
      </w:r>
      <w:r w:rsidR="00F2624D" w:rsidRPr="00577499">
        <w:t>B</w:t>
      </w:r>
      <w:r w:rsidR="00F2624D" w:rsidRPr="00577499">
        <w:fldChar w:fldCharType="end"/>
      </w:r>
      <w:r w:rsidR="00F2624D" w:rsidRPr="00577499">
        <w:noBreakHyphen/>
      </w:r>
      <w:r w:rsidR="00F2624D" w:rsidRPr="00577499">
        <w:fldChar w:fldCharType="begin"/>
      </w:r>
      <w:r w:rsidR="00F2624D" w:rsidRPr="00577499">
        <w:instrText xml:space="preserve"> SEQ Figure_1 \* ARABIC \s 5 </w:instrText>
      </w:r>
      <w:r w:rsidR="00F2624D" w:rsidRPr="00577499">
        <w:fldChar w:fldCharType="separate"/>
      </w:r>
      <w:r w:rsidR="00F2624D" w:rsidRPr="00577499">
        <w:t>1</w:t>
      </w:r>
      <w:r w:rsidR="00F2624D" w:rsidRPr="00577499">
        <w:fldChar w:fldCharType="end"/>
      </w:r>
      <w:bookmarkEnd w:id="99"/>
      <w:r w:rsidR="00F2624D" w:rsidRPr="00577499">
        <w:t>.</w:t>
      </w:r>
      <w:r w:rsidRPr="00577499">
        <w:t xml:space="preserve"> 2024 Percent Savings and 90% Confidence Interval, Wave 1</w:t>
      </w:r>
      <w:bookmarkEnd w:id="98"/>
      <w:r w:rsidR="00E34820" w:rsidRPr="00577499">
        <w:t xml:space="preserve"> (201910)</w:t>
      </w:r>
      <w:bookmarkEnd w:id="100"/>
    </w:p>
    <w:p w14:paraId="3E6BDF6A" w14:textId="102E92EA" w:rsidR="00AC3905" w:rsidRPr="00AC3905" w:rsidRDefault="00AC3905" w:rsidP="00AC3905">
      <w:pPr>
        <w:keepNext/>
        <w:suppressAutoHyphens w:val="0"/>
        <w:autoSpaceDN/>
        <w:spacing w:before="0"/>
        <w:jc w:val="center"/>
        <w:rPr>
          <w:rFonts w:ascii="Arial Bold" w:hAnsi="Arial Bold" w:cs="Arial"/>
          <w:b/>
          <w:bCs/>
          <w:color w:val="036479" w:themeColor="text2"/>
          <w:szCs w:val="20"/>
        </w:rPr>
      </w:pPr>
      <w:r w:rsidRPr="00AC3905">
        <w:rPr>
          <w:rFonts w:ascii="Arial Bold" w:hAnsi="Arial Bold" w:cs="Arial"/>
          <w:b/>
          <w:bCs/>
          <w:noProof/>
          <w:color w:val="036479" w:themeColor="text2"/>
          <w:szCs w:val="20"/>
        </w:rPr>
        <w:drawing>
          <wp:inline distT="0" distB="0" distL="0" distR="0" wp14:anchorId="455B98F1" wp14:editId="543D2560">
            <wp:extent cx="8229600" cy="3429000"/>
            <wp:effectExtent l="0" t="0" r="0" b="0"/>
            <wp:docPr id="2104570964" name="Picture 7"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70964" name="Picture 7" descr="A screenshot of a video game&#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0" cy="3429000"/>
                    </a:xfrm>
                    <a:prstGeom prst="rect">
                      <a:avLst/>
                    </a:prstGeom>
                    <a:noFill/>
                    <a:ln>
                      <a:noFill/>
                    </a:ln>
                  </pic:spPr>
                </pic:pic>
              </a:graphicData>
            </a:graphic>
          </wp:inline>
        </w:drawing>
      </w:r>
    </w:p>
    <w:p w14:paraId="4B66B109" w14:textId="77777777" w:rsidR="00AC3905" w:rsidRPr="00AC3905" w:rsidRDefault="00AC3905" w:rsidP="00AC3905">
      <w:pPr>
        <w:suppressAutoHyphens w:val="0"/>
        <w:autoSpaceDN/>
        <w:spacing w:before="0" w:after="0"/>
        <w:ind w:firstLine="360"/>
        <w:rPr>
          <w:i/>
          <w:sz w:val="18"/>
          <w:szCs w:val="18"/>
        </w:rPr>
      </w:pPr>
      <w:r w:rsidRPr="00AC3905">
        <w:rPr>
          <w:i/>
          <w:sz w:val="18"/>
          <w:szCs w:val="18"/>
        </w:rPr>
        <w:t>Source: Guidehouse analysis of Nicor Gas program tracking and customer billing data.</w:t>
      </w:r>
    </w:p>
    <w:p w14:paraId="3DA283B5" w14:textId="77777777" w:rsidR="00AC3905" w:rsidRPr="00AC3905" w:rsidRDefault="00AC3905" w:rsidP="00AC3905">
      <w:pPr>
        <w:suppressAutoHyphens w:val="0"/>
        <w:autoSpaceDN/>
        <w:spacing w:before="0" w:after="0"/>
        <w:rPr>
          <w:szCs w:val="20"/>
        </w:rPr>
      </w:pPr>
    </w:p>
    <w:p w14:paraId="1EA37DA3" w14:textId="77777777" w:rsidR="00AC3905" w:rsidRPr="00AC3905" w:rsidRDefault="00AC3905" w:rsidP="00AC3905">
      <w:pPr>
        <w:keepNext/>
        <w:suppressAutoHyphens w:val="0"/>
        <w:autoSpaceDN/>
        <w:spacing w:before="0" w:after="0"/>
        <w:rPr>
          <w:szCs w:val="20"/>
        </w:rPr>
      </w:pPr>
    </w:p>
    <w:p w14:paraId="0117A99D" w14:textId="5502DD5B" w:rsidR="00AC3905" w:rsidRPr="00577499" w:rsidRDefault="00AC3905" w:rsidP="00F2624D">
      <w:pPr>
        <w:pStyle w:val="Caption"/>
      </w:pPr>
      <w:bookmarkStart w:id="101" w:name="_Toc172553812"/>
      <w:bookmarkStart w:id="102" w:name="_Toc195887212"/>
      <w:r w:rsidRPr="00577499">
        <w:t xml:space="preserve">Figure </w:t>
      </w:r>
      <w:r w:rsidR="00F2624D" w:rsidRPr="00577499">
        <w:fldChar w:fldCharType="begin"/>
      </w:r>
      <w:r w:rsidR="00F2624D" w:rsidRPr="00577499">
        <w:instrText xml:space="preserve"> STYLEREF 5 \s </w:instrText>
      </w:r>
      <w:r w:rsidR="00F2624D" w:rsidRPr="00577499">
        <w:fldChar w:fldCharType="separate"/>
      </w:r>
      <w:r w:rsidR="00F2624D" w:rsidRPr="00577499">
        <w:t>B</w:t>
      </w:r>
      <w:r w:rsidR="00F2624D" w:rsidRPr="00577499">
        <w:fldChar w:fldCharType="end"/>
      </w:r>
      <w:r w:rsidR="00F2624D" w:rsidRPr="00577499">
        <w:noBreakHyphen/>
      </w:r>
      <w:r w:rsidR="00F2624D" w:rsidRPr="00577499">
        <w:fldChar w:fldCharType="begin"/>
      </w:r>
      <w:r w:rsidR="00F2624D" w:rsidRPr="00577499">
        <w:instrText xml:space="preserve"> SEQ Figure_1 \* ARABIC \s 5 </w:instrText>
      </w:r>
      <w:r w:rsidR="00F2624D" w:rsidRPr="00577499">
        <w:fldChar w:fldCharType="separate"/>
      </w:r>
      <w:r w:rsidR="00F2624D" w:rsidRPr="00577499">
        <w:t>2</w:t>
      </w:r>
      <w:r w:rsidR="00F2624D" w:rsidRPr="00577499">
        <w:fldChar w:fldCharType="end"/>
      </w:r>
      <w:r w:rsidR="00F2624D" w:rsidRPr="00577499">
        <w:t>.</w:t>
      </w:r>
      <w:r w:rsidRPr="00577499">
        <w:t xml:space="preserve"> 2024 Percent Savings and 90% Confidence Interval, Wave 2</w:t>
      </w:r>
      <w:bookmarkEnd w:id="101"/>
      <w:r w:rsidR="00E34820" w:rsidRPr="00577499">
        <w:t xml:space="preserve"> (202011)</w:t>
      </w:r>
      <w:bookmarkEnd w:id="102"/>
    </w:p>
    <w:p w14:paraId="03D2A5E2" w14:textId="1511B7A1" w:rsidR="00AC3905" w:rsidRPr="00AC3905" w:rsidRDefault="00AC3905" w:rsidP="00AC3905">
      <w:pPr>
        <w:keepNext/>
        <w:suppressAutoHyphens w:val="0"/>
        <w:autoSpaceDN/>
        <w:spacing w:before="0"/>
        <w:jc w:val="center"/>
        <w:rPr>
          <w:rFonts w:ascii="Arial Bold" w:hAnsi="Arial Bold" w:cs="Arial"/>
          <w:b/>
          <w:bCs/>
          <w:color w:val="036479" w:themeColor="text2"/>
          <w:szCs w:val="20"/>
        </w:rPr>
      </w:pPr>
      <w:r w:rsidRPr="00AC3905">
        <w:rPr>
          <w:rFonts w:ascii="Arial Bold" w:hAnsi="Arial Bold" w:cs="Arial"/>
          <w:b/>
          <w:bCs/>
          <w:noProof/>
          <w:color w:val="036479" w:themeColor="text2"/>
          <w:szCs w:val="20"/>
        </w:rPr>
        <w:drawing>
          <wp:inline distT="0" distB="0" distL="0" distR="0" wp14:anchorId="4FBBF2AF" wp14:editId="48D95275">
            <wp:extent cx="8229600" cy="3429000"/>
            <wp:effectExtent l="0" t="0" r="0" b="0"/>
            <wp:docPr id="1462028302" name="Picture 9"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28302" name="Picture 9" descr="A screenshot of a video gam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29600" cy="3429000"/>
                    </a:xfrm>
                    <a:prstGeom prst="rect">
                      <a:avLst/>
                    </a:prstGeom>
                    <a:noFill/>
                    <a:ln>
                      <a:noFill/>
                    </a:ln>
                  </pic:spPr>
                </pic:pic>
              </a:graphicData>
            </a:graphic>
          </wp:inline>
        </w:drawing>
      </w:r>
    </w:p>
    <w:p w14:paraId="43328B45" w14:textId="77777777" w:rsidR="00AC3905" w:rsidRPr="00AC3905" w:rsidRDefault="00AC3905" w:rsidP="00147A1D">
      <w:pPr>
        <w:pStyle w:val="Source"/>
        <w:rPr>
          <w:i w:val="0"/>
          <w:sz w:val="18"/>
          <w:szCs w:val="18"/>
        </w:rPr>
      </w:pPr>
      <w:r w:rsidRPr="00AC3905">
        <w:t>Source: Guidehouse analysis of Nicor Gas program tracking and customer billing data.</w:t>
      </w:r>
    </w:p>
    <w:p w14:paraId="0515B5F0" w14:textId="77777777" w:rsidR="00AC3905" w:rsidRPr="00AC3905" w:rsidRDefault="00AC3905" w:rsidP="00AC3905">
      <w:pPr>
        <w:suppressAutoHyphens w:val="0"/>
        <w:autoSpaceDN/>
        <w:spacing w:before="0" w:after="0"/>
        <w:rPr>
          <w:szCs w:val="20"/>
        </w:rPr>
      </w:pPr>
    </w:p>
    <w:p w14:paraId="2CF16093" w14:textId="73070551" w:rsidR="00AC3905" w:rsidRPr="00577499" w:rsidRDefault="00AC3905" w:rsidP="00F2624D">
      <w:pPr>
        <w:pStyle w:val="Caption"/>
      </w:pPr>
      <w:bookmarkStart w:id="103" w:name="_Toc172553813"/>
      <w:bookmarkStart w:id="104" w:name="_Toc195887213"/>
      <w:r w:rsidRPr="00577499">
        <w:lastRenderedPageBreak/>
        <w:t xml:space="preserve">Figure </w:t>
      </w:r>
      <w:r w:rsidR="00F2624D" w:rsidRPr="00577499">
        <w:fldChar w:fldCharType="begin"/>
      </w:r>
      <w:r w:rsidR="00F2624D" w:rsidRPr="00577499">
        <w:instrText xml:space="preserve"> STYLEREF 5 \s </w:instrText>
      </w:r>
      <w:r w:rsidR="00F2624D" w:rsidRPr="00577499">
        <w:fldChar w:fldCharType="separate"/>
      </w:r>
      <w:r w:rsidR="00F2624D" w:rsidRPr="00577499">
        <w:t>B</w:t>
      </w:r>
      <w:r w:rsidR="00F2624D" w:rsidRPr="00577499">
        <w:fldChar w:fldCharType="end"/>
      </w:r>
      <w:r w:rsidR="00F2624D" w:rsidRPr="00577499">
        <w:noBreakHyphen/>
      </w:r>
      <w:r w:rsidR="00F2624D" w:rsidRPr="00577499">
        <w:fldChar w:fldCharType="begin"/>
      </w:r>
      <w:r w:rsidR="00F2624D" w:rsidRPr="00577499">
        <w:instrText xml:space="preserve"> SEQ Figure_1 \* ARABIC \s 5 </w:instrText>
      </w:r>
      <w:r w:rsidR="00F2624D" w:rsidRPr="00577499">
        <w:fldChar w:fldCharType="separate"/>
      </w:r>
      <w:r w:rsidR="00F2624D" w:rsidRPr="00577499">
        <w:t>3</w:t>
      </w:r>
      <w:r w:rsidR="00F2624D" w:rsidRPr="00577499">
        <w:fldChar w:fldCharType="end"/>
      </w:r>
      <w:r w:rsidR="00F2624D" w:rsidRPr="00577499">
        <w:t>.</w:t>
      </w:r>
      <w:r w:rsidRPr="00577499">
        <w:t xml:space="preserve"> 2024 Percent Savings and 90% Confidence Interval, Wave 3</w:t>
      </w:r>
      <w:bookmarkEnd w:id="103"/>
      <w:r w:rsidR="00E34820" w:rsidRPr="00577499">
        <w:t xml:space="preserve"> (202009)</w:t>
      </w:r>
      <w:bookmarkEnd w:id="104"/>
    </w:p>
    <w:p w14:paraId="31DB5D59" w14:textId="460C5815" w:rsidR="00AC3905" w:rsidRPr="00AC3905" w:rsidRDefault="00AC3905" w:rsidP="00AC3905">
      <w:pPr>
        <w:keepNext/>
        <w:suppressAutoHyphens w:val="0"/>
        <w:autoSpaceDN/>
        <w:spacing w:before="0"/>
        <w:jc w:val="center"/>
        <w:rPr>
          <w:rFonts w:ascii="Arial Bold" w:hAnsi="Arial Bold" w:cs="Arial"/>
          <w:b/>
          <w:bCs/>
          <w:color w:val="036479" w:themeColor="text2"/>
          <w:szCs w:val="20"/>
        </w:rPr>
      </w:pPr>
      <w:r w:rsidRPr="00AC3905">
        <w:rPr>
          <w:rFonts w:ascii="Arial Bold" w:hAnsi="Arial Bold" w:cs="Arial"/>
          <w:b/>
          <w:bCs/>
          <w:noProof/>
          <w:color w:val="036479" w:themeColor="text2"/>
          <w:szCs w:val="20"/>
        </w:rPr>
        <w:drawing>
          <wp:inline distT="0" distB="0" distL="0" distR="0" wp14:anchorId="5D62C98F" wp14:editId="484CE426">
            <wp:extent cx="8229600" cy="3429000"/>
            <wp:effectExtent l="0" t="0" r="0" b="0"/>
            <wp:docPr id="907062144" name="Picture 1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62144" name="Picture 11" descr="A screenshot of a video game&#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29600" cy="3429000"/>
                    </a:xfrm>
                    <a:prstGeom prst="rect">
                      <a:avLst/>
                    </a:prstGeom>
                    <a:noFill/>
                    <a:ln>
                      <a:noFill/>
                    </a:ln>
                  </pic:spPr>
                </pic:pic>
              </a:graphicData>
            </a:graphic>
          </wp:inline>
        </w:drawing>
      </w:r>
    </w:p>
    <w:p w14:paraId="65D156F5" w14:textId="385B2119" w:rsidR="00AC3905" w:rsidRDefault="00AC3905" w:rsidP="00857AE2">
      <w:pPr>
        <w:pStyle w:val="Source"/>
        <w:rPr>
          <w:rFonts w:ascii="Arial Bold" w:hAnsi="Arial Bold" w:cs="Arial"/>
          <w:b/>
          <w:bCs/>
          <w:color w:val="036479" w:themeColor="text2"/>
          <w:szCs w:val="20"/>
        </w:rPr>
      </w:pPr>
      <w:r w:rsidRPr="00AC3905">
        <w:t>Source: Guidehouse analysis of Nicor Gas program tracking and customer billing data.</w:t>
      </w:r>
    </w:p>
    <w:p w14:paraId="0298FF6A" w14:textId="09B9173F" w:rsidR="00AC3905" w:rsidRPr="00577499" w:rsidRDefault="00E34820" w:rsidP="00F2624D">
      <w:pPr>
        <w:pStyle w:val="Caption"/>
      </w:pPr>
      <w:bookmarkStart w:id="105" w:name="_Ref195885855"/>
      <w:bookmarkStart w:id="106" w:name="_Toc195887214"/>
      <w:r w:rsidRPr="00577499">
        <w:lastRenderedPageBreak/>
        <w:t xml:space="preserve">Figure </w:t>
      </w:r>
      <w:r w:rsidR="00F2624D" w:rsidRPr="00577499">
        <w:fldChar w:fldCharType="begin"/>
      </w:r>
      <w:r w:rsidR="00F2624D" w:rsidRPr="00577499">
        <w:instrText xml:space="preserve"> STYLEREF 5 \s </w:instrText>
      </w:r>
      <w:r w:rsidR="00F2624D" w:rsidRPr="00577499">
        <w:fldChar w:fldCharType="separate"/>
      </w:r>
      <w:r w:rsidR="00F2624D" w:rsidRPr="00577499">
        <w:t>B</w:t>
      </w:r>
      <w:r w:rsidR="00F2624D" w:rsidRPr="00577499">
        <w:fldChar w:fldCharType="end"/>
      </w:r>
      <w:r w:rsidR="00F2624D" w:rsidRPr="00577499">
        <w:noBreakHyphen/>
      </w:r>
      <w:r w:rsidR="00F2624D" w:rsidRPr="00577499">
        <w:fldChar w:fldCharType="begin"/>
      </w:r>
      <w:r w:rsidR="00F2624D" w:rsidRPr="00577499">
        <w:instrText xml:space="preserve"> SEQ Figure_1 \* ARABIC \s 5 </w:instrText>
      </w:r>
      <w:r w:rsidR="00F2624D" w:rsidRPr="00577499">
        <w:fldChar w:fldCharType="separate"/>
      </w:r>
      <w:r w:rsidR="00F2624D" w:rsidRPr="00577499">
        <w:t>4</w:t>
      </w:r>
      <w:r w:rsidR="00F2624D" w:rsidRPr="00577499">
        <w:fldChar w:fldCharType="end"/>
      </w:r>
      <w:bookmarkEnd w:id="105"/>
      <w:r w:rsidR="00F2624D" w:rsidRPr="00577499">
        <w:t>.</w:t>
      </w:r>
      <w:r w:rsidR="00AC3905" w:rsidRPr="00577499">
        <w:t xml:space="preserve"> 2024 Percent Savings and 90% Confidence Interval, Wave 4</w:t>
      </w:r>
      <w:r w:rsidRPr="00577499">
        <w:t xml:space="preserve"> (202402)</w:t>
      </w:r>
      <w:bookmarkEnd w:id="106"/>
    </w:p>
    <w:p w14:paraId="591388FE" w14:textId="5BDF8C36" w:rsidR="00AC3905" w:rsidRPr="00AC3905" w:rsidRDefault="00AC3905" w:rsidP="00AC3905">
      <w:pPr>
        <w:keepNext/>
        <w:keepLines/>
        <w:suppressAutoHyphens w:val="0"/>
        <w:autoSpaceDN/>
        <w:spacing w:before="0"/>
        <w:jc w:val="center"/>
        <w:rPr>
          <w:rFonts w:ascii="Arial Bold" w:hAnsi="Arial Bold" w:cs="Arial"/>
          <w:b/>
          <w:bCs/>
          <w:color w:val="036479" w:themeColor="text2"/>
          <w:szCs w:val="20"/>
        </w:rPr>
      </w:pPr>
      <w:r w:rsidRPr="00AC3905">
        <w:rPr>
          <w:rFonts w:ascii="Arial Bold" w:hAnsi="Arial Bold" w:cs="Arial"/>
          <w:b/>
          <w:bCs/>
          <w:noProof/>
          <w:color w:val="036479" w:themeColor="text2"/>
          <w:szCs w:val="20"/>
        </w:rPr>
        <w:drawing>
          <wp:inline distT="0" distB="0" distL="0" distR="0" wp14:anchorId="3783DF1F" wp14:editId="0FA50210">
            <wp:extent cx="8229600" cy="3429000"/>
            <wp:effectExtent l="0" t="0" r="0" b="0"/>
            <wp:docPr id="1784505068" name="Picture 13"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05068" name="Picture 13" descr="A screenshot of a video game&#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0" cy="3429000"/>
                    </a:xfrm>
                    <a:prstGeom prst="rect">
                      <a:avLst/>
                    </a:prstGeom>
                    <a:noFill/>
                    <a:ln>
                      <a:noFill/>
                    </a:ln>
                  </pic:spPr>
                </pic:pic>
              </a:graphicData>
            </a:graphic>
          </wp:inline>
        </w:drawing>
      </w:r>
    </w:p>
    <w:p w14:paraId="2000C7EA" w14:textId="77777777" w:rsidR="00AC3905" w:rsidRPr="00AC3905" w:rsidRDefault="00AC3905" w:rsidP="00AC3905">
      <w:pPr>
        <w:suppressAutoHyphens w:val="0"/>
        <w:autoSpaceDN/>
        <w:spacing w:before="0" w:after="0"/>
        <w:rPr>
          <w:szCs w:val="20"/>
        </w:rPr>
      </w:pPr>
    </w:p>
    <w:p w14:paraId="590217E0" w14:textId="77777777" w:rsidR="00AC3905" w:rsidRPr="00AC3905" w:rsidRDefault="00AC3905" w:rsidP="00857AE2">
      <w:pPr>
        <w:pStyle w:val="Source"/>
        <w:rPr>
          <w:i w:val="0"/>
          <w:sz w:val="18"/>
          <w:szCs w:val="18"/>
        </w:rPr>
      </w:pPr>
      <w:r w:rsidRPr="00AC3905">
        <w:t>Source: Guidehouse analysis of Nicor Gas program tracking and customer billing data.</w:t>
      </w:r>
    </w:p>
    <w:p w14:paraId="405ACB3C" w14:textId="77777777" w:rsidR="00AC3905" w:rsidRPr="00AC3905" w:rsidRDefault="00AC3905" w:rsidP="00AC3905">
      <w:pPr>
        <w:suppressAutoHyphens w:val="0"/>
        <w:autoSpaceDN/>
        <w:spacing w:before="0" w:after="0"/>
        <w:rPr>
          <w:szCs w:val="20"/>
        </w:rPr>
        <w:sectPr w:rsidR="00AC3905" w:rsidRPr="00AC3905" w:rsidSect="00AC3905">
          <w:headerReference w:type="default" r:id="rId23"/>
          <w:footerReference w:type="default" r:id="rId24"/>
          <w:pgSz w:w="15840" w:h="12240" w:orient="landscape" w:code="1"/>
          <w:pgMar w:top="1440" w:right="1440" w:bottom="1440" w:left="1440" w:header="720" w:footer="720" w:gutter="0"/>
          <w:pgNumType w:chapStyle="5"/>
          <w:cols w:space="720"/>
          <w:docGrid w:linePitch="360"/>
        </w:sectPr>
      </w:pPr>
    </w:p>
    <w:p w14:paraId="763394FC" w14:textId="77777777" w:rsidR="00AC3905" w:rsidRPr="00AC3905" w:rsidRDefault="00AC3905" w:rsidP="00AC3905">
      <w:pPr>
        <w:keepNext/>
        <w:keepLines/>
        <w:numPr>
          <w:ilvl w:val="5"/>
          <w:numId w:val="0"/>
        </w:numPr>
        <w:suppressAutoHyphens w:val="0"/>
        <w:autoSpaceDN/>
        <w:spacing w:before="240" w:after="240"/>
        <w:ind w:left="720" w:hanging="720"/>
        <w:outlineLvl w:val="5"/>
        <w:rPr>
          <w:rFonts w:cs="Arial"/>
          <w:b/>
          <w:iCs/>
          <w:kern w:val="28"/>
          <w:position w:val="6"/>
          <w:sz w:val="28"/>
          <w:szCs w:val="26"/>
        </w:rPr>
      </w:pPr>
      <w:bookmarkStart w:id="107" w:name="_Toc110421334"/>
      <w:bookmarkStart w:id="108" w:name="_Toc132900794"/>
      <w:bookmarkStart w:id="109" w:name="_Toc137824766"/>
      <w:bookmarkStart w:id="110" w:name="_Toc172553800"/>
      <w:r w:rsidRPr="00AC3905">
        <w:rPr>
          <w:rFonts w:cs="Arial"/>
          <w:b/>
          <w:iCs/>
          <w:kern w:val="28"/>
          <w:position w:val="6"/>
          <w:sz w:val="28"/>
          <w:szCs w:val="26"/>
        </w:rPr>
        <w:lastRenderedPageBreak/>
        <w:t>Uplift Analysis Results</w:t>
      </w:r>
      <w:bookmarkEnd w:id="107"/>
      <w:bookmarkEnd w:id="108"/>
      <w:bookmarkEnd w:id="109"/>
      <w:bookmarkEnd w:id="110"/>
    </w:p>
    <w:p w14:paraId="33E77FBC" w14:textId="76594894" w:rsidR="00AC3905" w:rsidRPr="00AC3905" w:rsidRDefault="00AC3905" w:rsidP="00AC3905">
      <w:pPr>
        <w:suppressAutoHyphens w:val="0"/>
        <w:autoSpaceDN/>
        <w:spacing w:before="0" w:after="240"/>
        <w:rPr>
          <w:szCs w:val="20"/>
        </w:rPr>
      </w:pPr>
      <w:r w:rsidRPr="00AC3905">
        <w:rPr>
          <w:szCs w:val="20"/>
        </w:rPr>
        <w:t>This section summarizes 202</w:t>
      </w:r>
      <w:r>
        <w:rPr>
          <w:szCs w:val="20"/>
        </w:rPr>
        <w:t>4</w:t>
      </w:r>
      <w:r w:rsidRPr="00AC3905">
        <w:rPr>
          <w:szCs w:val="20"/>
        </w:rPr>
        <w:t xml:space="preserve"> uplift results. The uplift of savings in other EE programs was </w:t>
      </w:r>
      <w:r>
        <w:rPr>
          <w:szCs w:val="20"/>
        </w:rPr>
        <w:t>310</w:t>
      </w:r>
      <w:r w:rsidRPr="00AC3905">
        <w:rPr>
          <w:szCs w:val="20"/>
        </w:rPr>
        <w:t>,</w:t>
      </w:r>
      <w:r>
        <w:rPr>
          <w:szCs w:val="20"/>
        </w:rPr>
        <w:t>550</w:t>
      </w:r>
      <w:r w:rsidRPr="00AC3905">
        <w:rPr>
          <w:szCs w:val="20"/>
        </w:rPr>
        <w:t xml:space="preserve"> therms, or approximately 1</w:t>
      </w:r>
      <w:r>
        <w:rPr>
          <w:szCs w:val="20"/>
        </w:rPr>
        <w:t>4</w:t>
      </w:r>
      <w:r w:rsidRPr="00AC3905">
        <w:rPr>
          <w:szCs w:val="20"/>
        </w:rPr>
        <w:t>% of total savings. The uplift can be broken down into uplift in 202</w:t>
      </w:r>
      <w:r>
        <w:rPr>
          <w:szCs w:val="20"/>
        </w:rPr>
        <w:t>4</w:t>
      </w:r>
      <w:r w:rsidRPr="00AC3905">
        <w:rPr>
          <w:szCs w:val="20"/>
        </w:rPr>
        <w:t xml:space="preserve"> and legacy uplift from previous program years. The 202</w:t>
      </w:r>
      <w:r>
        <w:rPr>
          <w:szCs w:val="20"/>
        </w:rPr>
        <w:t>4</w:t>
      </w:r>
      <w:r w:rsidRPr="00AC3905">
        <w:rPr>
          <w:szCs w:val="20"/>
        </w:rPr>
        <w:t xml:space="preserve"> uplift was 4</w:t>
      </w:r>
      <w:r>
        <w:rPr>
          <w:szCs w:val="20"/>
        </w:rPr>
        <w:t>2</w:t>
      </w:r>
      <w:r w:rsidRPr="00AC3905">
        <w:rPr>
          <w:szCs w:val="20"/>
        </w:rPr>
        <w:t>,</w:t>
      </w:r>
      <w:r>
        <w:rPr>
          <w:szCs w:val="20"/>
        </w:rPr>
        <w:t>619</w:t>
      </w:r>
      <w:r w:rsidRPr="00AC3905">
        <w:rPr>
          <w:szCs w:val="20"/>
        </w:rPr>
        <w:t xml:space="preserve"> therms or </w:t>
      </w:r>
      <w:r>
        <w:rPr>
          <w:szCs w:val="20"/>
        </w:rPr>
        <w:t>1</w:t>
      </w:r>
      <w:r w:rsidRPr="00AC3905">
        <w:rPr>
          <w:szCs w:val="20"/>
        </w:rPr>
        <w:t>.</w:t>
      </w:r>
      <w:r>
        <w:rPr>
          <w:szCs w:val="20"/>
        </w:rPr>
        <w:t>9</w:t>
      </w:r>
      <w:r w:rsidRPr="00AC3905">
        <w:rPr>
          <w:szCs w:val="20"/>
        </w:rPr>
        <w:t>% of total program savings, and the legacy uplift was 2</w:t>
      </w:r>
      <w:r>
        <w:rPr>
          <w:szCs w:val="20"/>
        </w:rPr>
        <w:t>67</w:t>
      </w:r>
      <w:r w:rsidRPr="00AC3905">
        <w:rPr>
          <w:szCs w:val="20"/>
        </w:rPr>
        <w:t>,</w:t>
      </w:r>
      <w:r>
        <w:rPr>
          <w:szCs w:val="20"/>
        </w:rPr>
        <w:t>930</w:t>
      </w:r>
      <w:r w:rsidRPr="00AC3905">
        <w:rPr>
          <w:szCs w:val="20"/>
        </w:rPr>
        <w:t xml:space="preserve"> therms or 1</w:t>
      </w:r>
      <w:r>
        <w:rPr>
          <w:szCs w:val="20"/>
        </w:rPr>
        <w:t>2</w:t>
      </w:r>
      <w:r w:rsidRPr="00AC3905">
        <w:rPr>
          <w:szCs w:val="20"/>
        </w:rPr>
        <w:t xml:space="preserve">% of total program savings. The relatively large portion of savings </w:t>
      </w:r>
      <w:proofErr w:type="gramStart"/>
      <w:r w:rsidRPr="00AC3905">
        <w:rPr>
          <w:szCs w:val="20"/>
        </w:rPr>
        <w:t>double counted</w:t>
      </w:r>
      <w:proofErr w:type="gramEnd"/>
      <w:r w:rsidRPr="00AC3905">
        <w:rPr>
          <w:szCs w:val="20"/>
        </w:rPr>
        <w:t xml:space="preserve"> with other Nicor Gas EE programs suggests that the home energy reports are doing a good job of channeling customers into other EE programs.</w:t>
      </w:r>
    </w:p>
    <w:p w14:paraId="531C1042" w14:textId="63CC9525" w:rsidR="00AC3905" w:rsidRPr="00AC3905" w:rsidRDefault="0055667B" w:rsidP="00AC3905">
      <w:pPr>
        <w:keepNext/>
        <w:keepLines/>
        <w:suppressAutoHyphens w:val="0"/>
        <w:autoSpaceDN/>
        <w:spacing w:before="0" w:after="0"/>
        <w:rPr>
          <w:szCs w:val="20"/>
        </w:rPr>
      </w:pPr>
      <w:r>
        <w:rPr>
          <w:szCs w:val="20"/>
        </w:rPr>
        <w:fldChar w:fldCharType="begin"/>
      </w:r>
      <w:r>
        <w:rPr>
          <w:szCs w:val="20"/>
        </w:rPr>
        <w:instrText xml:space="preserve"> REF _Ref195885892 \h </w:instrText>
      </w:r>
      <w:r>
        <w:rPr>
          <w:szCs w:val="20"/>
        </w:rPr>
      </w:r>
      <w:r>
        <w:rPr>
          <w:szCs w:val="20"/>
        </w:rPr>
        <w:fldChar w:fldCharType="separate"/>
      </w:r>
      <w:r>
        <w:t xml:space="preserve">Table </w:t>
      </w:r>
      <w:r>
        <w:rPr>
          <w:noProof/>
        </w:rPr>
        <w:t>B</w:t>
      </w:r>
      <w:r>
        <w:noBreakHyphen/>
      </w:r>
      <w:r>
        <w:rPr>
          <w:noProof/>
        </w:rPr>
        <w:t>2</w:t>
      </w:r>
      <w:r>
        <w:rPr>
          <w:szCs w:val="20"/>
        </w:rPr>
        <w:fldChar w:fldCharType="end"/>
      </w:r>
      <w:r w:rsidR="00E34820" w:rsidRPr="00E34820">
        <w:rPr>
          <w:szCs w:val="20"/>
        </w:rPr>
        <w:t xml:space="preserve"> </w:t>
      </w:r>
      <w:r w:rsidR="00AC3905" w:rsidRPr="00E34820">
        <w:rPr>
          <w:szCs w:val="20"/>
        </w:rPr>
        <w:t xml:space="preserve">through </w:t>
      </w:r>
      <w:r w:rsidR="00E34820" w:rsidRPr="00E34820">
        <w:rPr>
          <w:szCs w:val="20"/>
        </w:rPr>
        <w:fldChar w:fldCharType="begin"/>
      </w:r>
      <w:r w:rsidR="00E34820" w:rsidRPr="00E34820">
        <w:rPr>
          <w:szCs w:val="20"/>
        </w:rPr>
        <w:instrText xml:space="preserve"> REF _Ref195794796 \h </w:instrText>
      </w:r>
      <w:r w:rsidR="00E34820">
        <w:rPr>
          <w:szCs w:val="20"/>
        </w:rPr>
        <w:instrText xml:space="preserve"> \* MERGEFORMAT </w:instrText>
      </w:r>
      <w:r w:rsidR="00E34820" w:rsidRPr="00E34820">
        <w:rPr>
          <w:szCs w:val="20"/>
        </w:rPr>
      </w:r>
      <w:r w:rsidR="00E34820" w:rsidRPr="00E34820">
        <w:rPr>
          <w:szCs w:val="20"/>
        </w:rPr>
        <w:fldChar w:fldCharType="separate"/>
      </w:r>
      <w:r>
        <w:rPr>
          <w:szCs w:val="20"/>
        </w:rPr>
        <w:fldChar w:fldCharType="begin"/>
      </w:r>
      <w:r>
        <w:rPr>
          <w:szCs w:val="20"/>
        </w:rPr>
        <w:instrText xml:space="preserve"> REF _Ref195885901 \h </w:instrText>
      </w:r>
      <w:r>
        <w:rPr>
          <w:szCs w:val="20"/>
        </w:rPr>
      </w:r>
      <w:r>
        <w:rPr>
          <w:szCs w:val="20"/>
        </w:rPr>
        <w:fldChar w:fldCharType="separate"/>
      </w:r>
      <w:r>
        <w:t xml:space="preserve">Table </w:t>
      </w:r>
      <w:r>
        <w:rPr>
          <w:noProof/>
        </w:rPr>
        <w:t>B</w:t>
      </w:r>
      <w:r>
        <w:noBreakHyphen/>
      </w:r>
      <w:r>
        <w:rPr>
          <w:noProof/>
        </w:rPr>
        <w:t>5</w:t>
      </w:r>
      <w:r>
        <w:rPr>
          <w:szCs w:val="20"/>
        </w:rPr>
        <w:fldChar w:fldCharType="end"/>
      </w:r>
      <w:r w:rsidR="00E34820" w:rsidRPr="00E34820">
        <w:rPr>
          <w:szCs w:val="20"/>
        </w:rPr>
        <w:fldChar w:fldCharType="end"/>
      </w:r>
      <w:r w:rsidR="00E34820" w:rsidRPr="00E34820">
        <w:rPr>
          <w:szCs w:val="20"/>
        </w:rPr>
        <w:t xml:space="preserve"> </w:t>
      </w:r>
      <w:r w:rsidR="00AC3905" w:rsidRPr="00E34820">
        <w:rPr>
          <w:szCs w:val="20"/>
        </w:rPr>
        <w:t>pr</w:t>
      </w:r>
      <w:r w:rsidR="00AC3905" w:rsidRPr="00AC3905">
        <w:rPr>
          <w:szCs w:val="20"/>
        </w:rPr>
        <w:t>esent program savings due to participation in other EE programs in 202</w:t>
      </w:r>
      <w:r w:rsidR="00AC3905">
        <w:rPr>
          <w:szCs w:val="20"/>
        </w:rPr>
        <w:t>4</w:t>
      </w:r>
      <w:r w:rsidR="00AC3905" w:rsidRPr="00AC3905">
        <w:rPr>
          <w:szCs w:val="20"/>
        </w:rPr>
        <w:t xml:space="preserve"> for each of the HER program waves. Each column provides information on one of five EE Programs for which estimates for deemed savings are available.</w:t>
      </w:r>
      <w:r w:rsidR="00AC3905" w:rsidRPr="00AC3905">
        <w:rPr>
          <w:szCs w:val="20"/>
          <w:vertAlign w:val="superscript"/>
        </w:rPr>
        <w:footnoteReference w:id="18"/>
      </w:r>
      <w:r w:rsidR="00AC3905" w:rsidRPr="00AC3905">
        <w:rPr>
          <w:szCs w:val="20"/>
        </w:rPr>
        <w:t xml:space="preserve"> While these tables show estimates of both positive and negative uplift, only positive values were used to adjust program savings for double counting. For all cases where the EE program did not exist in the pre-program year, the estimate is based on a probability of detection (POD) statistic; otherwise, it is based on a DID statistic.</w:t>
      </w:r>
      <w:r w:rsidR="00AC3905" w:rsidRPr="00AC3905">
        <w:rPr>
          <w:szCs w:val="20"/>
          <w:vertAlign w:val="superscript"/>
        </w:rPr>
        <w:footnoteReference w:id="19"/>
      </w:r>
      <w:r w:rsidR="00AC3905" w:rsidRPr="00AC3905">
        <w:rPr>
          <w:szCs w:val="20"/>
        </w:rPr>
        <w:t xml:space="preserve"> </w:t>
      </w:r>
    </w:p>
    <w:p w14:paraId="3E1B5CA8" w14:textId="57D480B3" w:rsidR="00AC3905" w:rsidRPr="00577499" w:rsidRDefault="00E34820" w:rsidP="00577499">
      <w:pPr>
        <w:pStyle w:val="Caption"/>
        <w:spacing w:before="120"/>
      </w:pPr>
      <w:bookmarkStart w:id="111" w:name="_Toc172553807"/>
      <w:bookmarkStart w:id="112" w:name="_Ref195885892"/>
      <w:bookmarkStart w:id="113" w:name="_Toc195887206"/>
      <w:r w:rsidRPr="00577499">
        <w:t xml:space="preserve">Table </w:t>
      </w:r>
      <w:r w:rsidR="0074319D" w:rsidRPr="00577499">
        <w:fldChar w:fldCharType="begin"/>
      </w:r>
      <w:r w:rsidR="0074319D" w:rsidRPr="00577499">
        <w:instrText xml:space="preserve"> STYLEREF 5 \s </w:instrText>
      </w:r>
      <w:r w:rsidR="0074319D" w:rsidRPr="00577499">
        <w:fldChar w:fldCharType="separate"/>
      </w:r>
      <w:r w:rsidR="0074319D" w:rsidRPr="00577499">
        <w:t>B</w:t>
      </w:r>
      <w:r w:rsidR="0074319D" w:rsidRPr="00577499">
        <w:fldChar w:fldCharType="end"/>
      </w:r>
      <w:r w:rsidR="0074319D" w:rsidRPr="00577499">
        <w:noBreakHyphen/>
      </w:r>
      <w:r w:rsidR="0074319D" w:rsidRPr="00577499">
        <w:fldChar w:fldCharType="begin"/>
      </w:r>
      <w:r w:rsidR="0074319D" w:rsidRPr="00577499">
        <w:instrText xml:space="preserve"> SEQ Table_Apx \* ARABIC \s 5 </w:instrText>
      </w:r>
      <w:r w:rsidR="0074319D" w:rsidRPr="00577499">
        <w:fldChar w:fldCharType="separate"/>
      </w:r>
      <w:r w:rsidR="0074319D" w:rsidRPr="00577499">
        <w:t>2</w:t>
      </w:r>
      <w:r w:rsidR="0074319D" w:rsidRPr="00577499">
        <w:fldChar w:fldCharType="end"/>
      </w:r>
      <w:bookmarkEnd w:id="112"/>
      <w:r w:rsidR="0074319D" w:rsidRPr="00577499">
        <w:t>.</w:t>
      </w:r>
      <w:r w:rsidR="00AC3905" w:rsidRPr="00577499">
        <w:t xml:space="preserve"> 2024 Uplift Adjustment Details, Wave 1</w:t>
      </w:r>
      <w:bookmarkEnd w:id="111"/>
      <w:r w:rsidR="004F7EEA" w:rsidRPr="00577499">
        <w:t xml:space="preserve"> (201910)</w:t>
      </w:r>
      <w:bookmarkEnd w:id="113"/>
    </w:p>
    <w:tbl>
      <w:tblPr>
        <w:tblStyle w:val="EnergyTable12"/>
        <w:tblW w:w="9320" w:type="dxa"/>
        <w:tblLook w:val="04A0" w:firstRow="1" w:lastRow="0" w:firstColumn="1" w:lastColumn="0" w:noHBand="0" w:noVBand="1"/>
      </w:tblPr>
      <w:tblGrid>
        <w:gridCol w:w="5544"/>
        <w:gridCol w:w="919"/>
        <w:gridCol w:w="919"/>
        <w:gridCol w:w="969"/>
        <w:gridCol w:w="969"/>
      </w:tblGrid>
      <w:tr w:rsidR="00AC3905" w:rsidRPr="00F551AF" w14:paraId="2F8D6977" w14:textId="77777777" w:rsidTr="00AC390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3ABE5E0A" w14:textId="6EDC82C1" w:rsidR="00AC3905" w:rsidRPr="00F551AF" w:rsidRDefault="00AC3905" w:rsidP="00AC3905">
            <w:pPr>
              <w:keepNext/>
              <w:keepLines/>
              <w:suppressAutoHyphens w:val="0"/>
              <w:autoSpaceDN/>
              <w:spacing w:before="40" w:after="40"/>
              <w:jc w:val="left"/>
              <w:rPr>
                <w:rFonts w:ascii="Arial Narrow" w:hAnsi="Arial Narrow" w:cs="Calibri"/>
                <w:sz w:val="20"/>
                <w:szCs w:val="20"/>
              </w:rPr>
            </w:pPr>
            <w:r w:rsidRPr="00F551AF">
              <w:rPr>
                <w:rFonts w:ascii="Arial Narrow" w:hAnsi="Arial Narrow" w:cs="Calibri"/>
                <w:sz w:val="20"/>
                <w:szCs w:val="20"/>
              </w:rPr>
              <w:t>Program</w:t>
            </w:r>
            <w:r w:rsidR="00F551AF">
              <w:rPr>
                <w:rFonts w:ascii="Arial Narrow" w:hAnsi="Arial Narrow" w:cs="Calibri"/>
                <w:sz w:val="20"/>
                <w:szCs w:val="20"/>
              </w:rPr>
              <w:t xml:space="preserve"> Parameters</w:t>
            </w:r>
          </w:p>
        </w:tc>
        <w:tc>
          <w:tcPr>
            <w:tcW w:w="0" w:type="auto"/>
            <w:noWrap/>
            <w:hideMark/>
          </w:tcPr>
          <w:p w14:paraId="342A8AA3" w14:textId="77777777"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ESK</w:t>
            </w:r>
          </w:p>
        </w:tc>
        <w:tc>
          <w:tcPr>
            <w:tcW w:w="0" w:type="auto"/>
            <w:noWrap/>
            <w:hideMark/>
          </w:tcPr>
          <w:p w14:paraId="5F15635C" w14:textId="77777777"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HEER</w:t>
            </w:r>
          </w:p>
        </w:tc>
        <w:tc>
          <w:tcPr>
            <w:tcW w:w="0" w:type="auto"/>
            <w:noWrap/>
            <w:hideMark/>
          </w:tcPr>
          <w:p w14:paraId="52919996" w14:textId="77777777"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HES</w:t>
            </w:r>
          </w:p>
        </w:tc>
        <w:tc>
          <w:tcPr>
            <w:tcW w:w="969" w:type="dxa"/>
            <w:noWrap/>
            <w:hideMark/>
          </w:tcPr>
          <w:p w14:paraId="36BDEF2D" w14:textId="77777777" w:rsidR="00AC3905" w:rsidRPr="00F551AF"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F551AF">
              <w:rPr>
                <w:rFonts w:ascii="Arial Narrow" w:hAnsi="Arial Narrow" w:cs="Calibri"/>
                <w:sz w:val="20"/>
                <w:szCs w:val="20"/>
              </w:rPr>
              <w:t>IE</w:t>
            </w:r>
          </w:p>
        </w:tc>
      </w:tr>
      <w:tr w:rsidR="00AC3905" w:rsidRPr="00F551AF" w14:paraId="18CC3C62"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5F13C515"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 xml:space="preserve">Median program savings, annual </w:t>
            </w:r>
            <w:proofErr w:type="gramStart"/>
            <w:r w:rsidRPr="00F551AF">
              <w:rPr>
                <w:rFonts w:ascii="Arial Narrow" w:hAnsi="Arial Narrow" w:cs="Calibri"/>
                <w:color w:val="000000"/>
                <w:sz w:val="20"/>
                <w:szCs w:val="20"/>
              </w:rPr>
              <w:t>therms</w:t>
            </w:r>
            <w:proofErr w:type="gramEnd"/>
            <w:r w:rsidRPr="00F551AF">
              <w:rPr>
                <w:rFonts w:ascii="Arial Narrow" w:hAnsi="Arial Narrow" w:cs="Calibri"/>
                <w:color w:val="000000"/>
                <w:sz w:val="20"/>
                <w:szCs w:val="20"/>
              </w:rPr>
              <w:t xml:space="preserve"> per EE participant</w:t>
            </w:r>
          </w:p>
        </w:tc>
        <w:tc>
          <w:tcPr>
            <w:tcW w:w="0" w:type="auto"/>
            <w:noWrap/>
            <w:vAlign w:val="top"/>
            <w:hideMark/>
          </w:tcPr>
          <w:p w14:paraId="147CA214" w14:textId="69FCF68B"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53.15</w:t>
            </w:r>
          </w:p>
        </w:tc>
        <w:tc>
          <w:tcPr>
            <w:tcW w:w="0" w:type="auto"/>
            <w:noWrap/>
            <w:vAlign w:val="top"/>
            <w:hideMark/>
          </w:tcPr>
          <w:p w14:paraId="0C629EE1" w14:textId="7EC03339"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102.51</w:t>
            </w:r>
          </w:p>
        </w:tc>
        <w:tc>
          <w:tcPr>
            <w:tcW w:w="0" w:type="auto"/>
            <w:noWrap/>
            <w:vAlign w:val="top"/>
            <w:hideMark/>
          </w:tcPr>
          <w:p w14:paraId="3E75C766" w14:textId="1A9B1A27"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112.1761</w:t>
            </w:r>
          </w:p>
        </w:tc>
        <w:tc>
          <w:tcPr>
            <w:tcW w:w="969" w:type="dxa"/>
            <w:noWrap/>
            <w:vAlign w:val="top"/>
            <w:hideMark/>
          </w:tcPr>
          <w:p w14:paraId="476F6D98" w14:textId="7EB106C6"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34.509</w:t>
            </w:r>
          </w:p>
        </w:tc>
      </w:tr>
      <w:tr w:rsidR="00AC3905" w:rsidRPr="00F551AF" w14:paraId="0C3F2881"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6E353F1C"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Number of treatment customers</w:t>
            </w:r>
          </w:p>
        </w:tc>
        <w:tc>
          <w:tcPr>
            <w:tcW w:w="0" w:type="auto"/>
            <w:noWrap/>
            <w:vAlign w:val="top"/>
            <w:hideMark/>
          </w:tcPr>
          <w:p w14:paraId="0BC30844" w14:textId="709D9D84"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129,061 </w:t>
            </w:r>
          </w:p>
        </w:tc>
        <w:tc>
          <w:tcPr>
            <w:tcW w:w="0" w:type="auto"/>
            <w:noWrap/>
            <w:vAlign w:val="top"/>
            <w:hideMark/>
          </w:tcPr>
          <w:p w14:paraId="5420CC2E" w14:textId="3E3DE9E6"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129,061 </w:t>
            </w:r>
          </w:p>
        </w:tc>
        <w:tc>
          <w:tcPr>
            <w:tcW w:w="0" w:type="auto"/>
            <w:noWrap/>
            <w:vAlign w:val="top"/>
            <w:hideMark/>
          </w:tcPr>
          <w:p w14:paraId="0945D263" w14:textId="6AA3017E"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129,061 </w:t>
            </w:r>
          </w:p>
        </w:tc>
        <w:tc>
          <w:tcPr>
            <w:tcW w:w="969" w:type="dxa"/>
            <w:noWrap/>
            <w:vAlign w:val="top"/>
            <w:hideMark/>
          </w:tcPr>
          <w:p w14:paraId="56A4D2FD" w14:textId="7F594BD8"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129,061 </w:t>
            </w:r>
          </w:p>
        </w:tc>
      </w:tr>
      <w:tr w:rsidR="00AC3905" w:rsidRPr="00F551AF" w14:paraId="686FF78A"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6E018240"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Number of control customer</w:t>
            </w:r>
          </w:p>
        </w:tc>
        <w:tc>
          <w:tcPr>
            <w:tcW w:w="0" w:type="auto"/>
            <w:noWrap/>
            <w:vAlign w:val="top"/>
            <w:hideMark/>
          </w:tcPr>
          <w:p w14:paraId="4AEEC397" w14:textId="1735A89C"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37,560 </w:t>
            </w:r>
          </w:p>
        </w:tc>
        <w:tc>
          <w:tcPr>
            <w:tcW w:w="0" w:type="auto"/>
            <w:noWrap/>
            <w:vAlign w:val="top"/>
            <w:hideMark/>
          </w:tcPr>
          <w:p w14:paraId="44D258E3" w14:textId="7F5A5A77"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37,560 </w:t>
            </w:r>
          </w:p>
        </w:tc>
        <w:tc>
          <w:tcPr>
            <w:tcW w:w="0" w:type="auto"/>
            <w:noWrap/>
            <w:vAlign w:val="top"/>
            <w:hideMark/>
          </w:tcPr>
          <w:p w14:paraId="54A8DEEB" w14:textId="6200E2A5"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37,560 </w:t>
            </w:r>
          </w:p>
        </w:tc>
        <w:tc>
          <w:tcPr>
            <w:tcW w:w="969" w:type="dxa"/>
            <w:noWrap/>
            <w:vAlign w:val="top"/>
            <w:hideMark/>
          </w:tcPr>
          <w:p w14:paraId="6D7CD122" w14:textId="4587684D"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37,560 </w:t>
            </w:r>
          </w:p>
        </w:tc>
      </w:tr>
      <w:tr w:rsidR="00AC3905" w:rsidRPr="00F551AF" w14:paraId="05E4963C"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2A786271" w14:textId="170977F4"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Avg. savings per HER treatment customer, 2024</w:t>
            </w:r>
          </w:p>
        </w:tc>
        <w:tc>
          <w:tcPr>
            <w:tcW w:w="0" w:type="auto"/>
            <w:noWrap/>
            <w:vAlign w:val="top"/>
            <w:hideMark/>
          </w:tcPr>
          <w:p w14:paraId="676565CF" w14:textId="36295AE3"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0.06</w:t>
            </w:r>
          </w:p>
        </w:tc>
        <w:tc>
          <w:tcPr>
            <w:tcW w:w="0" w:type="auto"/>
            <w:noWrap/>
            <w:vAlign w:val="top"/>
            <w:hideMark/>
          </w:tcPr>
          <w:p w14:paraId="37FFB175" w14:textId="20D2367B"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0.60</w:t>
            </w:r>
          </w:p>
        </w:tc>
        <w:tc>
          <w:tcPr>
            <w:tcW w:w="0" w:type="auto"/>
            <w:noWrap/>
            <w:vAlign w:val="top"/>
            <w:hideMark/>
          </w:tcPr>
          <w:p w14:paraId="6747A7A0" w14:textId="56F6A3F1"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0.11</w:t>
            </w:r>
          </w:p>
        </w:tc>
        <w:tc>
          <w:tcPr>
            <w:tcW w:w="969" w:type="dxa"/>
            <w:noWrap/>
            <w:vAlign w:val="top"/>
            <w:hideMark/>
          </w:tcPr>
          <w:p w14:paraId="42F681F6" w14:textId="3E89219A"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0.27</w:t>
            </w:r>
          </w:p>
        </w:tc>
      </w:tr>
      <w:tr w:rsidR="00AC3905" w:rsidRPr="00F551AF" w14:paraId="1C903F7C"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2D64236F" w14:textId="189753E1"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Avg. savings per HER control customer, 2024</w:t>
            </w:r>
          </w:p>
        </w:tc>
        <w:tc>
          <w:tcPr>
            <w:tcW w:w="0" w:type="auto"/>
            <w:noWrap/>
            <w:vAlign w:val="top"/>
            <w:hideMark/>
          </w:tcPr>
          <w:p w14:paraId="75B03688" w14:textId="3F0F997D"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0.05</w:t>
            </w:r>
          </w:p>
        </w:tc>
        <w:tc>
          <w:tcPr>
            <w:tcW w:w="0" w:type="auto"/>
            <w:noWrap/>
            <w:vAlign w:val="top"/>
            <w:hideMark/>
          </w:tcPr>
          <w:p w14:paraId="0428FE1D" w14:textId="551DDCB2"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0.56</w:t>
            </w:r>
          </w:p>
        </w:tc>
        <w:tc>
          <w:tcPr>
            <w:tcW w:w="0" w:type="auto"/>
            <w:noWrap/>
            <w:vAlign w:val="top"/>
            <w:hideMark/>
          </w:tcPr>
          <w:p w14:paraId="33A95802" w14:textId="5B3A8527"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0.10</w:t>
            </w:r>
          </w:p>
        </w:tc>
        <w:tc>
          <w:tcPr>
            <w:tcW w:w="969" w:type="dxa"/>
            <w:noWrap/>
            <w:vAlign w:val="top"/>
            <w:hideMark/>
          </w:tcPr>
          <w:p w14:paraId="02A2046B" w14:textId="4A8091B4"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0.22</w:t>
            </w:r>
          </w:p>
        </w:tc>
      </w:tr>
      <w:tr w:rsidR="00AC3905" w:rsidRPr="00F551AF" w14:paraId="38AEF67F"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64E03DE1" w14:textId="35326FCB"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2024 savings difference</w:t>
            </w:r>
          </w:p>
        </w:tc>
        <w:tc>
          <w:tcPr>
            <w:tcW w:w="0" w:type="auto"/>
            <w:noWrap/>
            <w:vAlign w:val="top"/>
            <w:hideMark/>
          </w:tcPr>
          <w:p w14:paraId="09B2DCAC" w14:textId="7CD81257"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0.01</w:t>
            </w:r>
          </w:p>
        </w:tc>
        <w:tc>
          <w:tcPr>
            <w:tcW w:w="0" w:type="auto"/>
            <w:noWrap/>
            <w:vAlign w:val="top"/>
            <w:hideMark/>
          </w:tcPr>
          <w:p w14:paraId="2DC87698" w14:textId="4A5FF884"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0.05</w:t>
            </w:r>
          </w:p>
        </w:tc>
        <w:tc>
          <w:tcPr>
            <w:tcW w:w="0" w:type="auto"/>
            <w:noWrap/>
            <w:vAlign w:val="top"/>
            <w:hideMark/>
          </w:tcPr>
          <w:p w14:paraId="7E7A8353" w14:textId="1366690E"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0.01</w:t>
            </w:r>
          </w:p>
        </w:tc>
        <w:tc>
          <w:tcPr>
            <w:tcW w:w="969" w:type="dxa"/>
            <w:noWrap/>
            <w:vAlign w:val="top"/>
            <w:hideMark/>
          </w:tcPr>
          <w:p w14:paraId="3D0D0CC0" w14:textId="4E7EA115"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0.05</w:t>
            </w:r>
          </w:p>
        </w:tc>
      </w:tr>
      <w:tr w:rsidR="00AC3905" w:rsidRPr="00F551AF" w14:paraId="39443FA4"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2B332A53"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Avg. savings per HER treatment customer, pre</w:t>
            </w:r>
          </w:p>
        </w:tc>
        <w:tc>
          <w:tcPr>
            <w:tcW w:w="0" w:type="auto"/>
            <w:noWrap/>
            <w:vAlign w:val="top"/>
            <w:hideMark/>
          </w:tcPr>
          <w:p w14:paraId="64EB70DE" w14:textId="799231BF"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0" w:type="auto"/>
            <w:noWrap/>
            <w:vAlign w:val="top"/>
            <w:hideMark/>
          </w:tcPr>
          <w:p w14:paraId="3755CFC3" w14:textId="151A0DE7"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0" w:type="auto"/>
            <w:noWrap/>
            <w:vAlign w:val="top"/>
            <w:hideMark/>
          </w:tcPr>
          <w:p w14:paraId="721040E1" w14:textId="0256CB3F"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969" w:type="dxa"/>
            <w:noWrap/>
            <w:vAlign w:val="top"/>
            <w:hideMark/>
          </w:tcPr>
          <w:p w14:paraId="7495FE28" w14:textId="19124904"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r>
      <w:tr w:rsidR="00AC3905" w:rsidRPr="00F551AF" w14:paraId="57E5B702"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0A4A3AD7"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Avg. savings per HER control customer, pre</w:t>
            </w:r>
          </w:p>
        </w:tc>
        <w:tc>
          <w:tcPr>
            <w:tcW w:w="0" w:type="auto"/>
            <w:noWrap/>
            <w:vAlign w:val="top"/>
            <w:hideMark/>
          </w:tcPr>
          <w:p w14:paraId="5CC00FCA" w14:textId="107EB2C3"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0" w:type="auto"/>
            <w:noWrap/>
            <w:vAlign w:val="top"/>
            <w:hideMark/>
          </w:tcPr>
          <w:p w14:paraId="4F2A8F60" w14:textId="7F955832"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0" w:type="auto"/>
            <w:noWrap/>
            <w:vAlign w:val="top"/>
            <w:hideMark/>
          </w:tcPr>
          <w:p w14:paraId="2ECB2B4B" w14:textId="106F9D70"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969" w:type="dxa"/>
            <w:noWrap/>
            <w:vAlign w:val="top"/>
            <w:hideMark/>
          </w:tcPr>
          <w:p w14:paraId="4348B8C8" w14:textId="4521606C"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r>
      <w:tr w:rsidR="00AC3905" w:rsidRPr="00F551AF" w14:paraId="6E4C3871"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22AAA637"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Pre savings difference</w:t>
            </w:r>
          </w:p>
        </w:tc>
        <w:tc>
          <w:tcPr>
            <w:tcW w:w="0" w:type="auto"/>
            <w:noWrap/>
            <w:vAlign w:val="top"/>
            <w:hideMark/>
          </w:tcPr>
          <w:p w14:paraId="07B74155" w14:textId="5108D86D"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0" w:type="auto"/>
            <w:noWrap/>
            <w:vAlign w:val="top"/>
            <w:hideMark/>
          </w:tcPr>
          <w:p w14:paraId="1C5219F2" w14:textId="17B9B545"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0" w:type="auto"/>
            <w:noWrap/>
            <w:vAlign w:val="top"/>
            <w:hideMark/>
          </w:tcPr>
          <w:p w14:paraId="14BA1802" w14:textId="259477D9"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c>
          <w:tcPr>
            <w:tcW w:w="969" w:type="dxa"/>
            <w:noWrap/>
            <w:vAlign w:val="top"/>
            <w:hideMark/>
          </w:tcPr>
          <w:p w14:paraId="4237B5F4" w14:textId="1C921234"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0.00</w:t>
            </w:r>
          </w:p>
        </w:tc>
      </w:tr>
      <w:tr w:rsidR="00AC3905" w:rsidRPr="00F551AF" w14:paraId="267139A0"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7D1E28FB"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DID or POD statistic</w:t>
            </w:r>
          </w:p>
        </w:tc>
        <w:tc>
          <w:tcPr>
            <w:tcW w:w="0" w:type="auto"/>
            <w:noWrap/>
            <w:vAlign w:val="top"/>
            <w:hideMark/>
          </w:tcPr>
          <w:p w14:paraId="09170E9D" w14:textId="40A2FA5F"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0.01</w:t>
            </w:r>
          </w:p>
        </w:tc>
        <w:tc>
          <w:tcPr>
            <w:tcW w:w="0" w:type="auto"/>
            <w:noWrap/>
            <w:vAlign w:val="top"/>
            <w:hideMark/>
          </w:tcPr>
          <w:p w14:paraId="54984007" w14:textId="0F8FEF76"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0.05</w:t>
            </w:r>
          </w:p>
        </w:tc>
        <w:tc>
          <w:tcPr>
            <w:tcW w:w="0" w:type="auto"/>
            <w:noWrap/>
            <w:vAlign w:val="top"/>
            <w:hideMark/>
          </w:tcPr>
          <w:p w14:paraId="6FDD1FB6" w14:textId="43284E05"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0.01</w:t>
            </w:r>
          </w:p>
        </w:tc>
        <w:tc>
          <w:tcPr>
            <w:tcW w:w="969" w:type="dxa"/>
            <w:noWrap/>
            <w:vAlign w:val="top"/>
            <w:hideMark/>
          </w:tcPr>
          <w:p w14:paraId="11167AC9" w14:textId="2491747A"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0.05</w:t>
            </w:r>
          </w:p>
        </w:tc>
      </w:tr>
      <w:tr w:rsidR="00AC3905" w:rsidRPr="00F551AF" w14:paraId="195D7435"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60BC8956"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Savings attributable to other programs, therms</w:t>
            </w:r>
          </w:p>
        </w:tc>
        <w:tc>
          <w:tcPr>
            <w:tcW w:w="0" w:type="auto"/>
            <w:noWrap/>
            <w:vAlign w:val="top"/>
            <w:hideMark/>
          </w:tcPr>
          <w:p w14:paraId="3BED9CC2" w14:textId="379CF7B5"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664 </w:t>
            </w:r>
          </w:p>
        </w:tc>
        <w:tc>
          <w:tcPr>
            <w:tcW w:w="0" w:type="auto"/>
            <w:noWrap/>
            <w:vAlign w:val="top"/>
            <w:hideMark/>
          </w:tcPr>
          <w:p w14:paraId="25A38343" w14:textId="3C970422"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5,978 </w:t>
            </w:r>
          </w:p>
        </w:tc>
        <w:tc>
          <w:tcPr>
            <w:tcW w:w="0" w:type="auto"/>
            <w:noWrap/>
            <w:vAlign w:val="top"/>
            <w:hideMark/>
          </w:tcPr>
          <w:p w14:paraId="0CEF7171" w14:textId="2710F737"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1,457 </w:t>
            </w:r>
          </w:p>
        </w:tc>
        <w:tc>
          <w:tcPr>
            <w:tcW w:w="969" w:type="dxa"/>
            <w:noWrap/>
            <w:vAlign w:val="top"/>
            <w:hideMark/>
          </w:tcPr>
          <w:p w14:paraId="58DFB632" w14:textId="0D9F22F7" w:rsidR="00AC3905" w:rsidRPr="00F551AF"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 xml:space="preserve"> 7,036 </w:t>
            </w:r>
          </w:p>
        </w:tc>
      </w:tr>
      <w:tr w:rsidR="00AC3905" w:rsidRPr="00F551AF" w14:paraId="26675AA3"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544" w:type="dxa"/>
            <w:noWrap/>
            <w:hideMark/>
          </w:tcPr>
          <w:p w14:paraId="313FD924" w14:textId="77777777" w:rsidR="00AC3905" w:rsidRPr="00F551AF" w:rsidRDefault="00AC3905" w:rsidP="00AC3905">
            <w:pPr>
              <w:keepNext/>
              <w:keepLines/>
              <w:suppressAutoHyphens w:val="0"/>
              <w:autoSpaceDN/>
              <w:spacing w:before="40" w:after="40"/>
              <w:jc w:val="left"/>
              <w:rPr>
                <w:rFonts w:ascii="Arial Narrow" w:hAnsi="Arial Narrow" w:cs="Calibri"/>
                <w:color w:val="000000"/>
                <w:sz w:val="20"/>
                <w:szCs w:val="20"/>
              </w:rPr>
            </w:pPr>
            <w:r w:rsidRPr="00F551AF">
              <w:rPr>
                <w:rFonts w:ascii="Arial Narrow" w:hAnsi="Arial Narrow" w:cs="Calibri"/>
                <w:color w:val="000000"/>
                <w:sz w:val="20"/>
                <w:szCs w:val="20"/>
              </w:rPr>
              <w:t>Implied change in participation</w:t>
            </w:r>
          </w:p>
        </w:tc>
        <w:tc>
          <w:tcPr>
            <w:tcW w:w="0" w:type="auto"/>
            <w:noWrap/>
            <w:vAlign w:val="top"/>
            <w:hideMark/>
          </w:tcPr>
          <w:p w14:paraId="797A0348" w14:textId="6BEF122E"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12.5</w:t>
            </w:r>
          </w:p>
        </w:tc>
        <w:tc>
          <w:tcPr>
            <w:tcW w:w="0" w:type="auto"/>
            <w:noWrap/>
            <w:vAlign w:val="top"/>
            <w:hideMark/>
          </w:tcPr>
          <w:p w14:paraId="58DCCCC1" w14:textId="0E1F085A"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58.3</w:t>
            </w:r>
          </w:p>
        </w:tc>
        <w:tc>
          <w:tcPr>
            <w:tcW w:w="0" w:type="auto"/>
            <w:noWrap/>
            <w:vAlign w:val="top"/>
            <w:hideMark/>
          </w:tcPr>
          <w:p w14:paraId="29A7DBA9" w14:textId="4C445571"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13.0</w:t>
            </w:r>
          </w:p>
        </w:tc>
        <w:tc>
          <w:tcPr>
            <w:tcW w:w="969" w:type="dxa"/>
            <w:noWrap/>
            <w:vAlign w:val="top"/>
            <w:hideMark/>
          </w:tcPr>
          <w:p w14:paraId="27A2AA2D" w14:textId="22882570" w:rsidR="00AC3905" w:rsidRPr="00F551AF"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0"/>
              </w:rPr>
            </w:pPr>
            <w:r w:rsidRPr="00F551AF">
              <w:rPr>
                <w:rFonts w:ascii="Arial Narrow" w:hAnsi="Arial Narrow"/>
                <w:sz w:val="20"/>
                <w:szCs w:val="20"/>
              </w:rPr>
              <w:t>203.9</w:t>
            </w:r>
          </w:p>
        </w:tc>
      </w:tr>
    </w:tbl>
    <w:p w14:paraId="660CF455" w14:textId="77777777" w:rsidR="00AC3905" w:rsidRPr="00AC3905" w:rsidRDefault="00AC3905" w:rsidP="00857AE2">
      <w:pPr>
        <w:pStyle w:val="Source"/>
        <w:rPr>
          <w:i w:val="0"/>
          <w:sz w:val="18"/>
          <w:szCs w:val="18"/>
        </w:rPr>
      </w:pPr>
      <w:r w:rsidRPr="00AC3905">
        <w:t xml:space="preserve">Source: Guidehouse analysis of Nicor </w:t>
      </w:r>
      <w:r w:rsidRPr="00AC3905">
        <w:rPr>
          <w:sz w:val="18"/>
          <w:szCs w:val="18"/>
        </w:rPr>
        <w:t>Gas program tracking and customer billing data.</w:t>
      </w:r>
    </w:p>
    <w:p w14:paraId="1A0647E8" w14:textId="77777777" w:rsidR="00AC3905" w:rsidRPr="00AC3905" w:rsidRDefault="00AC3905" w:rsidP="00AC3905">
      <w:pPr>
        <w:suppressAutoHyphens w:val="0"/>
        <w:autoSpaceDN/>
        <w:spacing w:before="0" w:after="0"/>
        <w:ind w:left="270"/>
        <w:rPr>
          <w:i/>
          <w:sz w:val="16"/>
          <w:szCs w:val="16"/>
        </w:rPr>
      </w:pPr>
    </w:p>
    <w:p w14:paraId="7E015FC0" w14:textId="583A1A5F" w:rsidR="00AC3905" w:rsidRPr="00577499" w:rsidRDefault="00E34820" w:rsidP="00577499">
      <w:pPr>
        <w:pStyle w:val="Caption"/>
      </w:pPr>
      <w:bookmarkStart w:id="114" w:name="_Toc172553808"/>
      <w:bookmarkStart w:id="115" w:name="_Ref133315119"/>
      <w:bookmarkStart w:id="116" w:name="_Toc133316583"/>
      <w:bookmarkStart w:id="117" w:name="_Toc137824742"/>
      <w:bookmarkStart w:id="118" w:name="_Toc195887207"/>
      <w:r w:rsidRPr="00577499">
        <w:lastRenderedPageBreak/>
        <w:t xml:space="preserve">Table </w:t>
      </w:r>
      <w:r w:rsidR="0074319D" w:rsidRPr="00577499">
        <w:fldChar w:fldCharType="begin"/>
      </w:r>
      <w:r w:rsidR="0074319D" w:rsidRPr="00577499">
        <w:instrText xml:space="preserve"> STYLEREF 5 \s </w:instrText>
      </w:r>
      <w:r w:rsidR="0074319D" w:rsidRPr="00577499">
        <w:fldChar w:fldCharType="separate"/>
      </w:r>
      <w:r w:rsidR="0074319D" w:rsidRPr="00577499">
        <w:t>B</w:t>
      </w:r>
      <w:r w:rsidR="0074319D" w:rsidRPr="00577499">
        <w:fldChar w:fldCharType="end"/>
      </w:r>
      <w:r w:rsidR="0074319D" w:rsidRPr="00577499">
        <w:noBreakHyphen/>
      </w:r>
      <w:r w:rsidR="0074319D" w:rsidRPr="00577499">
        <w:fldChar w:fldCharType="begin"/>
      </w:r>
      <w:r w:rsidR="0074319D" w:rsidRPr="00577499">
        <w:instrText xml:space="preserve"> SEQ Table_Apx \* ARABIC \s 5 </w:instrText>
      </w:r>
      <w:r w:rsidR="0074319D" w:rsidRPr="00577499">
        <w:fldChar w:fldCharType="separate"/>
      </w:r>
      <w:r w:rsidR="0074319D" w:rsidRPr="00577499">
        <w:t>3</w:t>
      </w:r>
      <w:r w:rsidR="0074319D" w:rsidRPr="00577499">
        <w:fldChar w:fldCharType="end"/>
      </w:r>
      <w:r w:rsidR="0074319D" w:rsidRPr="00577499">
        <w:t>.</w:t>
      </w:r>
      <w:r w:rsidR="00AC3905" w:rsidRPr="00577499">
        <w:t xml:space="preserve"> 2024 Uplift Adjustment Details, Wave 2</w:t>
      </w:r>
      <w:bookmarkEnd w:id="114"/>
      <w:r w:rsidR="004F7EEA" w:rsidRPr="00577499">
        <w:t xml:space="preserve"> (202011)</w:t>
      </w:r>
      <w:bookmarkEnd w:id="118"/>
    </w:p>
    <w:tbl>
      <w:tblPr>
        <w:tblStyle w:val="EnergyTable12"/>
        <w:tblW w:w="9180" w:type="dxa"/>
        <w:tblLayout w:type="fixed"/>
        <w:tblLook w:val="04A0" w:firstRow="1" w:lastRow="0" w:firstColumn="1" w:lastColumn="0" w:noHBand="0" w:noVBand="1"/>
      </w:tblPr>
      <w:tblGrid>
        <w:gridCol w:w="5040"/>
        <w:gridCol w:w="990"/>
        <w:gridCol w:w="990"/>
        <w:gridCol w:w="900"/>
        <w:gridCol w:w="1260"/>
      </w:tblGrid>
      <w:tr w:rsidR="00AC3905" w:rsidRPr="00DE45F1" w14:paraId="7C8C9C79" w14:textId="77777777" w:rsidTr="00AC390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5C34C1A" w14:textId="4A7E3837" w:rsidR="00AC3905" w:rsidRPr="00DE45F1" w:rsidRDefault="00AC3905" w:rsidP="00AC3905">
            <w:pPr>
              <w:keepNext/>
              <w:keepLines/>
              <w:suppressAutoHyphens w:val="0"/>
              <w:autoSpaceDN/>
              <w:spacing w:before="40" w:after="40"/>
              <w:jc w:val="left"/>
              <w:rPr>
                <w:rFonts w:ascii="Arial Narrow" w:hAnsi="Arial Narrow" w:cs="Calibri"/>
                <w:sz w:val="20"/>
                <w:szCs w:val="20"/>
              </w:rPr>
            </w:pPr>
            <w:r w:rsidRPr="00DE45F1">
              <w:rPr>
                <w:rFonts w:ascii="Arial Narrow" w:hAnsi="Arial Narrow" w:cs="Calibri"/>
                <w:sz w:val="20"/>
                <w:szCs w:val="20"/>
              </w:rPr>
              <w:t>Program</w:t>
            </w:r>
            <w:r w:rsidR="00F551AF">
              <w:rPr>
                <w:rFonts w:ascii="Arial Narrow" w:hAnsi="Arial Narrow" w:cs="Calibri"/>
                <w:sz w:val="20"/>
                <w:szCs w:val="20"/>
              </w:rPr>
              <w:t xml:space="preserve"> Parameters</w:t>
            </w:r>
          </w:p>
        </w:tc>
        <w:tc>
          <w:tcPr>
            <w:tcW w:w="990" w:type="dxa"/>
            <w:noWrap/>
            <w:hideMark/>
          </w:tcPr>
          <w:p w14:paraId="004B44F6"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ESK</w:t>
            </w:r>
          </w:p>
        </w:tc>
        <w:tc>
          <w:tcPr>
            <w:tcW w:w="990" w:type="dxa"/>
            <w:noWrap/>
            <w:hideMark/>
          </w:tcPr>
          <w:p w14:paraId="62A137BB"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HEER</w:t>
            </w:r>
          </w:p>
        </w:tc>
        <w:tc>
          <w:tcPr>
            <w:tcW w:w="900" w:type="dxa"/>
            <w:noWrap/>
            <w:hideMark/>
          </w:tcPr>
          <w:p w14:paraId="5DE3DAC6"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HES</w:t>
            </w:r>
          </w:p>
        </w:tc>
        <w:tc>
          <w:tcPr>
            <w:tcW w:w="1260" w:type="dxa"/>
            <w:noWrap/>
            <w:hideMark/>
          </w:tcPr>
          <w:p w14:paraId="094CBDFE"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IE</w:t>
            </w:r>
          </w:p>
        </w:tc>
      </w:tr>
      <w:tr w:rsidR="00AC3905" w:rsidRPr="00DE45F1" w14:paraId="4491963C"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95BBB47"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 xml:space="preserve">Median program savings, annual </w:t>
            </w:r>
            <w:proofErr w:type="gramStart"/>
            <w:r w:rsidRPr="00DE45F1">
              <w:rPr>
                <w:rFonts w:ascii="Arial Narrow" w:hAnsi="Arial Narrow" w:cs="Calibri"/>
                <w:color w:val="000000"/>
                <w:sz w:val="20"/>
                <w:szCs w:val="20"/>
              </w:rPr>
              <w:t>therms</w:t>
            </w:r>
            <w:proofErr w:type="gramEnd"/>
            <w:r w:rsidRPr="00DE45F1">
              <w:rPr>
                <w:rFonts w:ascii="Arial Narrow" w:hAnsi="Arial Narrow" w:cs="Calibri"/>
                <w:color w:val="000000"/>
                <w:sz w:val="20"/>
                <w:szCs w:val="20"/>
              </w:rPr>
              <w:t xml:space="preserve"> per EE participant</w:t>
            </w:r>
          </w:p>
        </w:tc>
        <w:tc>
          <w:tcPr>
            <w:tcW w:w="990" w:type="dxa"/>
            <w:noWrap/>
            <w:vAlign w:val="top"/>
            <w:hideMark/>
          </w:tcPr>
          <w:p w14:paraId="0F2C6D3C" w14:textId="4DD43DF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53.15</w:t>
            </w:r>
          </w:p>
        </w:tc>
        <w:tc>
          <w:tcPr>
            <w:tcW w:w="990" w:type="dxa"/>
            <w:noWrap/>
            <w:vAlign w:val="top"/>
            <w:hideMark/>
          </w:tcPr>
          <w:p w14:paraId="3667537D" w14:textId="3D8B042C"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102.51</w:t>
            </w:r>
          </w:p>
        </w:tc>
        <w:tc>
          <w:tcPr>
            <w:tcW w:w="900" w:type="dxa"/>
            <w:noWrap/>
            <w:vAlign w:val="top"/>
            <w:hideMark/>
          </w:tcPr>
          <w:p w14:paraId="34FAC132" w14:textId="41791FB7"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93.26</w:t>
            </w:r>
          </w:p>
        </w:tc>
        <w:tc>
          <w:tcPr>
            <w:tcW w:w="1260" w:type="dxa"/>
            <w:noWrap/>
            <w:vAlign w:val="top"/>
            <w:hideMark/>
          </w:tcPr>
          <w:p w14:paraId="12D26C64" w14:textId="6970F112"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34.51</w:t>
            </w:r>
          </w:p>
        </w:tc>
      </w:tr>
      <w:tr w:rsidR="00AC3905" w:rsidRPr="00DE45F1" w14:paraId="3968337E"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03D454E"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Number of treatment customers</w:t>
            </w:r>
          </w:p>
        </w:tc>
        <w:tc>
          <w:tcPr>
            <w:tcW w:w="990" w:type="dxa"/>
            <w:noWrap/>
            <w:vAlign w:val="top"/>
            <w:hideMark/>
          </w:tcPr>
          <w:p w14:paraId="69987C14" w14:textId="3A514255"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188,906 </w:t>
            </w:r>
          </w:p>
        </w:tc>
        <w:tc>
          <w:tcPr>
            <w:tcW w:w="990" w:type="dxa"/>
            <w:noWrap/>
            <w:vAlign w:val="top"/>
            <w:hideMark/>
          </w:tcPr>
          <w:p w14:paraId="19DCF4B1" w14:textId="439267C9"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188,906 </w:t>
            </w:r>
          </w:p>
        </w:tc>
        <w:tc>
          <w:tcPr>
            <w:tcW w:w="900" w:type="dxa"/>
            <w:noWrap/>
            <w:vAlign w:val="top"/>
            <w:hideMark/>
          </w:tcPr>
          <w:p w14:paraId="4CA3F395" w14:textId="0A77865F"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188,906 </w:t>
            </w:r>
          </w:p>
        </w:tc>
        <w:tc>
          <w:tcPr>
            <w:tcW w:w="1260" w:type="dxa"/>
            <w:noWrap/>
            <w:vAlign w:val="top"/>
            <w:hideMark/>
          </w:tcPr>
          <w:p w14:paraId="48C46755" w14:textId="45D61E4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188,906 </w:t>
            </w:r>
          </w:p>
        </w:tc>
      </w:tr>
      <w:tr w:rsidR="00AC3905" w:rsidRPr="00DE45F1" w14:paraId="5E3BF6D3"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D8C3F8A"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Number of control customer</w:t>
            </w:r>
          </w:p>
        </w:tc>
        <w:tc>
          <w:tcPr>
            <w:tcW w:w="990" w:type="dxa"/>
            <w:noWrap/>
            <w:vAlign w:val="top"/>
            <w:hideMark/>
          </w:tcPr>
          <w:p w14:paraId="386E7803" w14:textId="4B372EF5"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62,919 </w:t>
            </w:r>
          </w:p>
        </w:tc>
        <w:tc>
          <w:tcPr>
            <w:tcW w:w="990" w:type="dxa"/>
            <w:noWrap/>
            <w:vAlign w:val="top"/>
            <w:hideMark/>
          </w:tcPr>
          <w:p w14:paraId="00FECDB5" w14:textId="750E3BAE"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62,919 </w:t>
            </w:r>
          </w:p>
        </w:tc>
        <w:tc>
          <w:tcPr>
            <w:tcW w:w="900" w:type="dxa"/>
            <w:noWrap/>
            <w:vAlign w:val="top"/>
            <w:hideMark/>
          </w:tcPr>
          <w:p w14:paraId="4A263839" w14:textId="338E51AC"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62,919 </w:t>
            </w:r>
          </w:p>
        </w:tc>
        <w:tc>
          <w:tcPr>
            <w:tcW w:w="1260" w:type="dxa"/>
            <w:noWrap/>
            <w:vAlign w:val="top"/>
            <w:hideMark/>
          </w:tcPr>
          <w:p w14:paraId="3747C7A3" w14:textId="2EC82232"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62,919 </w:t>
            </w:r>
          </w:p>
        </w:tc>
      </w:tr>
      <w:tr w:rsidR="00AC3905" w:rsidRPr="00DE45F1" w14:paraId="3DB41277"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D78F19E" w14:textId="71600195"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treatment customer, 2024</w:t>
            </w:r>
          </w:p>
        </w:tc>
        <w:tc>
          <w:tcPr>
            <w:tcW w:w="990" w:type="dxa"/>
            <w:noWrap/>
            <w:vAlign w:val="top"/>
            <w:hideMark/>
          </w:tcPr>
          <w:p w14:paraId="63DA02A1" w14:textId="51645A89"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0.05</w:t>
            </w:r>
          </w:p>
        </w:tc>
        <w:tc>
          <w:tcPr>
            <w:tcW w:w="990" w:type="dxa"/>
            <w:noWrap/>
            <w:vAlign w:val="top"/>
            <w:hideMark/>
          </w:tcPr>
          <w:p w14:paraId="3DA3B839" w14:textId="0D82A96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0.64</w:t>
            </w:r>
          </w:p>
        </w:tc>
        <w:tc>
          <w:tcPr>
            <w:tcW w:w="900" w:type="dxa"/>
            <w:noWrap/>
            <w:vAlign w:val="top"/>
            <w:hideMark/>
          </w:tcPr>
          <w:p w14:paraId="4CDF4576" w14:textId="2FD6A481"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0.10</w:t>
            </w:r>
          </w:p>
        </w:tc>
        <w:tc>
          <w:tcPr>
            <w:tcW w:w="1260" w:type="dxa"/>
            <w:noWrap/>
            <w:vAlign w:val="top"/>
            <w:hideMark/>
          </w:tcPr>
          <w:p w14:paraId="2C78A925" w14:textId="1F5E4408"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0.20</w:t>
            </w:r>
          </w:p>
        </w:tc>
      </w:tr>
      <w:tr w:rsidR="00AC3905" w:rsidRPr="00DE45F1" w14:paraId="0AAA6411"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0352DE8" w14:textId="0BA5FF9C"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control customer, 2024</w:t>
            </w:r>
          </w:p>
        </w:tc>
        <w:tc>
          <w:tcPr>
            <w:tcW w:w="990" w:type="dxa"/>
            <w:noWrap/>
            <w:vAlign w:val="top"/>
            <w:hideMark/>
          </w:tcPr>
          <w:p w14:paraId="532EEC7B" w14:textId="75412ABC"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0.05</w:t>
            </w:r>
          </w:p>
        </w:tc>
        <w:tc>
          <w:tcPr>
            <w:tcW w:w="990" w:type="dxa"/>
            <w:noWrap/>
            <w:vAlign w:val="top"/>
            <w:hideMark/>
          </w:tcPr>
          <w:p w14:paraId="4A33044C" w14:textId="17337CF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0.62</w:t>
            </w:r>
          </w:p>
        </w:tc>
        <w:tc>
          <w:tcPr>
            <w:tcW w:w="900" w:type="dxa"/>
            <w:noWrap/>
            <w:vAlign w:val="top"/>
            <w:hideMark/>
          </w:tcPr>
          <w:p w14:paraId="2238BABE" w14:textId="2B1E8373"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0.08</w:t>
            </w:r>
          </w:p>
        </w:tc>
        <w:tc>
          <w:tcPr>
            <w:tcW w:w="1260" w:type="dxa"/>
            <w:noWrap/>
            <w:vAlign w:val="top"/>
            <w:hideMark/>
          </w:tcPr>
          <w:p w14:paraId="7560CA69" w14:textId="078081BE"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0.21</w:t>
            </w:r>
          </w:p>
        </w:tc>
      </w:tr>
      <w:tr w:rsidR="00AC3905" w:rsidRPr="00DE45F1" w14:paraId="1623A62C"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5CDA436" w14:textId="64FC7CF1"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2024 savings difference</w:t>
            </w:r>
          </w:p>
        </w:tc>
        <w:tc>
          <w:tcPr>
            <w:tcW w:w="990" w:type="dxa"/>
            <w:noWrap/>
            <w:vAlign w:val="top"/>
            <w:hideMark/>
          </w:tcPr>
          <w:p w14:paraId="7D2182C1" w14:textId="185D5E10"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0" w:type="dxa"/>
            <w:noWrap/>
            <w:vAlign w:val="top"/>
            <w:hideMark/>
          </w:tcPr>
          <w:p w14:paraId="09A22FD6" w14:textId="5F74A640"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0.02</w:t>
            </w:r>
          </w:p>
        </w:tc>
        <w:tc>
          <w:tcPr>
            <w:tcW w:w="900" w:type="dxa"/>
            <w:noWrap/>
            <w:vAlign w:val="top"/>
            <w:hideMark/>
          </w:tcPr>
          <w:p w14:paraId="2E11D2D3" w14:textId="357D205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0.01</w:t>
            </w:r>
          </w:p>
        </w:tc>
        <w:tc>
          <w:tcPr>
            <w:tcW w:w="1260" w:type="dxa"/>
            <w:noWrap/>
            <w:vAlign w:val="top"/>
            <w:hideMark/>
          </w:tcPr>
          <w:p w14:paraId="7CD1B753" w14:textId="27139BAE"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-0.01</w:t>
            </w:r>
          </w:p>
        </w:tc>
      </w:tr>
      <w:tr w:rsidR="00AC3905" w:rsidRPr="00DE45F1" w14:paraId="66B19DA7"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0AAA9B8"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treatment customer, pre</w:t>
            </w:r>
          </w:p>
        </w:tc>
        <w:tc>
          <w:tcPr>
            <w:tcW w:w="990" w:type="dxa"/>
            <w:noWrap/>
            <w:vAlign w:val="top"/>
            <w:hideMark/>
          </w:tcPr>
          <w:p w14:paraId="5E3DD979" w14:textId="0785E65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0" w:type="dxa"/>
            <w:noWrap/>
            <w:vAlign w:val="top"/>
            <w:hideMark/>
          </w:tcPr>
          <w:p w14:paraId="05CCEAE0" w14:textId="0FE8EB4E"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00" w:type="dxa"/>
            <w:noWrap/>
            <w:vAlign w:val="top"/>
            <w:hideMark/>
          </w:tcPr>
          <w:p w14:paraId="215B46C7" w14:textId="59981D0E"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1260" w:type="dxa"/>
            <w:noWrap/>
            <w:vAlign w:val="top"/>
            <w:hideMark/>
          </w:tcPr>
          <w:p w14:paraId="45B70AFF" w14:textId="6F5F5068"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r>
      <w:tr w:rsidR="00AC3905" w:rsidRPr="00DE45F1" w14:paraId="0EC7FD87"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6FA054E"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control customer, pre</w:t>
            </w:r>
          </w:p>
        </w:tc>
        <w:tc>
          <w:tcPr>
            <w:tcW w:w="990" w:type="dxa"/>
            <w:noWrap/>
            <w:vAlign w:val="top"/>
            <w:hideMark/>
          </w:tcPr>
          <w:p w14:paraId="00AA61EC" w14:textId="309E9D0E"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0" w:type="dxa"/>
            <w:noWrap/>
            <w:vAlign w:val="top"/>
            <w:hideMark/>
          </w:tcPr>
          <w:p w14:paraId="237B5362" w14:textId="116C9FB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00" w:type="dxa"/>
            <w:noWrap/>
            <w:vAlign w:val="top"/>
            <w:hideMark/>
          </w:tcPr>
          <w:p w14:paraId="4D3A965E" w14:textId="03E18724"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1260" w:type="dxa"/>
            <w:noWrap/>
            <w:vAlign w:val="top"/>
            <w:hideMark/>
          </w:tcPr>
          <w:p w14:paraId="5BA7693A" w14:textId="66506CC4"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r>
      <w:tr w:rsidR="00AC3905" w:rsidRPr="00DE45F1" w14:paraId="33989633"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955EFB9"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Pre savings difference</w:t>
            </w:r>
          </w:p>
        </w:tc>
        <w:tc>
          <w:tcPr>
            <w:tcW w:w="990" w:type="dxa"/>
            <w:noWrap/>
            <w:vAlign w:val="top"/>
            <w:hideMark/>
          </w:tcPr>
          <w:p w14:paraId="60DA5137" w14:textId="074032B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0" w:type="dxa"/>
            <w:noWrap/>
            <w:vAlign w:val="top"/>
            <w:hideMark/>
          </w:tcPr>
          <w:p w14:paraId="326A8FFC" w14:textId="5D74862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00" w:type="dxa"/>
            <w:noWrap/>
            <w:vAlign w:val="top"/>
            <w:hideMark/>
          </w:tcPr>
          <w:p w14:paraId="3D228AB1" w14:textId="09CB69E3"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1260" w:type="dxa"/>
            <w:noWrap/>
            <w:vAlign w:val="top"/>
            <w:hideMark/>
          </w:tcPr>
          <w:p w14:paraId="712F8176" w14:textId="21063EC6"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r>
      <w:tr w:rsidR="00AC3905" w:rsidRPr="00DE45F1" w14:paraId="6D189444"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FC6F458"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DID or POD statistic</w:t>
            </w:r>
          </w:p>
        </w:tc>
        <w:tc>
          <w:tcPr>
            <w:tcW w:w="990" w:type="dxa"/>
            <w:noWrap/>
            <w:vAlign w:val="top"/>
            <w:hideMark/>
          </w:tcPr>
          <w:p w14:paraId="0E98E1A9" w14:textId="1152C0E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0" w:type="dxa"/>
            <w:noWrap/>
            <w:vAlign w:val="top"/>
            <w:hideMark/>
          </w:tcPr>
          <w:p w14:paraId="1A15D675" w14:textId="0C8DFB8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0.02</w:t>
            </w:r>
          </w:p>
        </w:tc>
        <w:tc>
          <w:tcPr>
            <w:tcW w:w="900" w:type="dxa"/>
            <w:noWrap/>
            <w:vAlign w:val="top"/>
            <w:hideMark/>
          </w:tcPr>
          <w:p w14:paraId="52D0F39C" w14:textId="5D06474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0.01</w:t>
            </w:r>
          </w:p>
        </w:tc>
        <w:tc>
          <w:tcPr>
            <w:tcW w:w="1260" w:type="dxa"/>
            <w:noWrap/>
            <w:vAlign w:val="top"/>
            <w:hideMark/>
          </w:tcPr>
          <w:p w14:paraId="351E8ED9" w14:textId="783D06F0"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-0.01</w:t>
            </w:r>
          </w:p>
        </w:tc>
      </w:tr>
      <w:tr w:rsidR="00AC3905" w:rsidRPr="00DE45F1" w14:paraId="4CD1558A" w14:textId="77777777" w:rsidTr="00AC390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2FCDF53"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Savings attributable to other programs, therms</w:t>
            </w:r>
          </w:p>
        </w:tc>
        <w:tc>
          <w:tcPr>
            <w:tcW w:w="990" w:type="dxa"/>
            <w:noWrap/>
            <w:vAlign w:val="top"/>
            <w:hideMark/>
          </w:tcPr>
          <w:p w14:paraId="1A105F47" w14:textId="3099770F"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640</w:t>
            </w:r>
          </w:p>
        </w:tc>
        <w:tc>
          <w:tcPr>
            <w:tcW w:w="990" w:type="dxa"/>
            <w:noWrap/>
            <w:vAlign w:val="top"/>
            <w:hideMark/>
          </w:tcPr>
          <w:p w14:paraId="0123DE65" w14:textId="6A253AB6"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3,575</w:t>
            </w:r>
          </w:p>
        </w:tc>
        <w:tc>
          <w:tcPr>
            <w:tcW w:w="900" w:type="dxa"/>
            <w:noWrap/>
            <w:vAlign w:val="top"/>
            <w:hideMark/>
          </w:tcPr>
          <w:p w14:paraId="581773A0" w14:textId="694D59D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2,464</w:t>
            </w:r>
          </w:p>
        </w:tc>
        <w:tc>
          <w:tcPr>
            <w:tcW w:w="1260" w:type="dxa"/>
            <w:noWrap/>
            <w:vAlign w:val="top"/>
            <w:hideMark/>
          </w:tcPr>
          <w:p w14:paraId="16BB9E0A" w14:textId="11E81565"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-1,024</w:t>
            </w:r>
          </w:p>
        </w:tc>
      </w:tr>
      <w:tr w:rsidR="00AC3905" w:rsidRPr="00DE45F1" w14:paraId="5A51BDD7" w14:textId="77777777" w:rsidTr="00AC390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5CB5C03"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Implied change in participation</w:t>
            </w:r>
          </w:p>
        </w:tc>
        <w:tc>
          <w:tcPr>
            <w:tcW w:w="990" w:type="dxa"/>
            <w:noWrap/>
            <w:vAlign w:val="top"/>
            <w:hideMark/>
          </w:tcPr>
          <w:p w14:paraId="3595A081" w14:textId="0D8861C8"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12.0</w:t>
            </w:r>
          </w:p>
        </w:tc>
        <w:tc>
          <w:tcPr>
            <w:tcW w:w="990" w:type="dxa"/>
            <w:noWrap/>
            <w:vAlign w:val="top"/>
            <w:hideMark/>
          </w:tcPr>
          <w:p w14:paraId="483B3E4B" w14:textId="7D94F17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34.9</w:t>
            </w:r>
          </w:p>
        </w:tc>
        <w:tc>
          <w:tcPr>
            <w:tcW w:w="900" w:type="dxa"/>
            <w:noWrap/>
            <w:vAlign w:val="top"/>
            <w:hideMark/>
          </w:tcPr>
          <w:p w14:paraId="23D19D63" w14:textId="7937658F"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26.4</w:t>
            </w:r>
          </w:p>
        </w:tc>
        <w:tc>
          <w:tcPr>
            <w:tcW w:w="1260" w:type="dxa"/>
            <w:noWrap/>
            <w:vAlign w:val="top"/>
            <w:hideMark/>
          </w:tcPr>
          <w:p w14:paraId="3B8FA626" w14:textId="7E799E30"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-29.7</w:t>
            </w:r>
          </w:p>
        </w:tc>
      </w:tr>
    </w:tbl>
    <w:p w14:paraId="0CECC523" w14:textId="77777777" w:rsidR="00AC3905" w:rsidRPr="00AC3905" w:rsidRDefault="00AC3905" w:rsidP="00857AE2">
      <w:pPr>
        <w:pStyle w:val="Source"/>
        <w:rPr>
          <w:i w:val="0"/>
          <w:sz w:val="18"/>
          <w:szCs w:val="18"/>
        </w:rPr>
      </w:pPr>
      <w:r w:rsidRPr="00857AE2">
        <w:t>Source: Guidehouse analysis of Nicor Gas program tracking and customer billing data.</w:t>
      </w:r>
    </w:p>
    <w:p w14:paraId="0BAE4004" w14:textId="5FE2B306" w:rsidR="00AC3905" w:rsidRPr="00577499" w:rsidRDefault="00E34820" w:rsidP="00577499">
      <w:pPr>
        <w:pStyle w:val="Caption"/>
        <w:spacing w:before="120"/>
      </w:pPr>
      <w:bookmarkStart w:id="119" w:name="_Toc172553809"/>
      <w:bookmarkStart w:id="120" w:name="_Toc195887208"/>
      <w:bookmarkEnd w:id="115"/>
      <w:bookmarkEnd w:id="116"/>
      <w:bookmarkEnd w:id="117"/>
      <w:r w:rsidRPr="00577499">
        <w:t xml:space="preserve">Table </w:t>
      </w:r>
      <w:r w:rsidR="00242EB7" w:rsidRPr="00577499">
        <w:fldChar w:fldCharType="begin"/>
      </w:r>
      <w:r w:rsidR="00242EB7" w:rsidRPr="00577499">
        <w:instrText xml:space="preserve"> STYLEREF 5 \s </w:instrText>
      </w:r>
      <w:r w:rsidR="00242EB7" w:rsidRPr="00577499">
        <w:fldChar w:fldCharType="separate"/>
      </w:r>
      <w:r w:rsidR="00242EB7" w:rsidRPr="00577499">
        <w:t>B</w:t>
      </w:r>
      <w:r w:rsidR="00242EB7" w:rsidRPr="00577499">
        <w:fldChar w:fldCharType="end"/>
      </w:r>
      <w:r w:rsidR="00242EB7" w:rsidRPr="00577499">
        <w:noBreakHyphen/>
      </w:r>
      <w:r w:rsidR="00242EB7" w:rsidRPr="00577499">
        <w:fldChar w:fldCharType="begin"/>
      </w:r>
      <w:r w:rsidR="00242EB7" w:rsidRPr="00577499">
        <w:instrText xml:space="preserve"> SEQ Table_Apx \* ARABIC \s 5 </w:instrText>
      </w:r>
      <w:r w:rsidR="00242EB7" w:rsidRPr="00577499">
        <w:fldChar w:fldCharType="separate"/>
      </w:r>
      <w:r w:rsidR="00242EB7" w:rsidRPr="00577499">
        <w:t>4</w:t>
      </w:r>
      <w:r w:rsidR="00242EB7" w:rsidRPr="00577499">
        <w:fldChar w:fldCharType="end"/>
      </w:r>
      <w:r w:rsidR="00242EB7" w:rsidRPr="00577499">
        <w:t>.</w:t>
      </w:r>
      <w:r w:rsidR="00AC3905" w:rsidRPr="00577499">
        <w:t xml:space="preserve"> 2024 Uplift Adjustment Details, Wave 3</w:t>
      </w:r>
      <w:bookmarkEnd w:id="119"/>
      <w:r w:rsidR="004F7EEA" w:rsidRPr="00577499">
        <w:t xml:space="preserve"> (202009)</w:t>
      </w:r>
      <w:bookmarkEnd w:id="120"/>
    </w:p>
    <w:tbl>
      <w:tblPr>
        <w:tblStyle w:val="EnergyTable12"/>
        <w:tblW w:w="9360" w:type="dxa"/>
        <w:tblLayout w:type="fixed"/>
        <w:tblLook w:val="04A0" w:firstRow="1" w:lastRow="0" w:firstColumn="1" w:lastColumn="0" w:noHBand="0" w:noVBand="1"/>
      </w:tblPr>
      <w:tblGrid>
        <w:gridCol w:w="4546"/>
        <w:gridCol w:w="991"/>
        <w:gridCol w:w="896"/>
        <w:gridCol w:w="943"/>
        <w:gridCol w:w="992"/>
        <w:gridCol w:w="992"/>
      </w:tblGrid>
      <w:tr w:rsidR="00AC3905" w:rsidRPr="00DE45F1" w14:paraId="40D147EC" w14:textId="7EAA3FA7" w:rsidTr="00AC390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36DA8DFB" w14:textId="072001D6" w:rsidR="00AC3905" w:rsidRPr="00DE45F1" w:rsidRDefault="00AC3905" w:rsidP="00AC3905">
            <w:pPr>
              <w:keepNext/>
              <w:keepLines/>
              <w:suppressAutoHyphens w:val="0"/>
              <w:autoSpaceDN/>
              <w:spacing w:before="40" w:after="40"/>
              <w:jc w:val="left"/>
              <w:rPr>
                <w:rFonts w:ascii="Arial Narrow" w:hAnsi="Arial Narrow" w:cs="Calibri"/>
                <w:sz w:val="20"/>
                <w:szCs w:val="20"/>
              </w:rPr>
            </w:pPr>
            <w:r w:rsidRPr="00DE45F1">
              <w:rPr>
                <w:rFonts w:ascii="Arial Narrow" w:hAnsi="Arial Narrow" w:cs="Calibri"/>
                <w:sz w:val="20"/>
                <w:szCs w:val="20"/>
              </w:rPr>
              <w:t>Program</w:t>
            </w:r>
            <w:r w:rsidR="00F551AF">
              <w:rPr>
                <w:rFonts w:ascii="Arial Narrow" w:hAnsi="Arial Narrow" w:cs="Calibri"/>
                <w:sz w:val="20"/>
                <w:szCs w:val="20"/>
              </w:rPr>
              <w:t xml:space="preserve"> Parameters</w:t>
            </w:r>
          </w:p>
        </w:tc>
        <w:tc>
          <w:tcPr>
            <w:tcW w:w="991" w:type="dxa"/>
            <w:noWrap/>
            <w:hideMark/>
          </w:tcPr>
          <w:p w14:paraId="79859652"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ESK</w:t>
            </w:r>
          </w:p>
        </w:tc>
        <w:tc>
          <w:tcPr>
            <w:tcW w:w="896" w:type="dxa"/>
            <w:noWrap/>
            <w:hideMark/>
          </w:tcPr>
          <w:p w14:paraId="14E4B437"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HEER</w:t>
            </w:r>
          </w:p>
        </w:tc>
        <w:tc>
          <w:tcPr>
            <w:tcW w:w="943" w:type="dxa"/>
            <w:noWrap/>
            <w:hideMark/>
          </w:tcPr>
          <w:p w14:paraId="24E24F2A"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HES</w:t>
            </w:r>
          </w:p>
        </w:tc>
        <w:tc>
          <w:tcPr>
            <w:tcW w:w="992" w:type="dxa"/>
          </w:tcPr>
          <w:p w14:paraId="1903C60B" w14:textId="77777777"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IE</w:t>
            </w:r>
          </w:p>
        </w:tc>
        <w:tc>
          <w:tcPr>
            <w:tcW w:w="992" w:type="dxa"/>
          </w:tcPr>
          <w:p w14:paraId="6458E363" w14:textId="07C0607D" w:rsidR="00AC3905" w:rsidRPr="00DE45F1" w:rsidRDefault="00AC3905" w:rsidP="00AC3905">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MF</w:t>
            </w:r>
          </w:p>
        </w:tc>
      </w:tr>
      <w:tr w:rsidR="00AC3905" w:rsidRPr="00DE45F1" w14:paraId="7E214C48" w14:textId="41183CFC" w:rsidTr="0023309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37C0FDDB"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 xml:space="preserve">Median program savings, annual </w:t>
            </w:r>
            <w:proofErr w:type="gramStart"/>
            <w:r w:rsidRPr="00DE45F1">
              <w:rPr>
                <w:rFonts w:ascii="Arial Narrow" w:hAnsi="Arial Narrow" w:cs="Calibri"/>
                <w:color w:val="000000"/>
                <w:sz w:val="20"/>
                <w:szCs w:val="20"/>
              </w:rPr>
              <w:t>therms</w:t>
            </w:r>
            <w:proofErr w:type="gramEnd"/>
            <w:r w:rsidRPr="00DE45F1">
              <w:rPr>
                <w:rFonts w:ascii="Arial Narrow" w:hAnsi="Arial Narrow" w:cs="Calibri"/>
                <w:color w:val="000000"/>
                <w:sz w:val="20"/>
                <w:szCs w:val="20"/>
              </w:rPr>
              <w:t xml:space="preserve"> per EE participant</w:t>
            </w:r>
          </w:p>
        </w:tc>
        <w:tc>
          <w:tcPr>
            <w:tcW w:w="991" w:type="dxa"/>
            <w:noWrap/>
            <w:vAlign w:val="top"/>
            <w:hideMark/>
          </w:tcPr>
          <w:p w14:paraId="01D77B3A" w14:textId="1F5E2271"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53.15</w:t>
            </w:r>
          </w:p>
        </w:tc>
        <w:tc>
          <w:tcPr>
            <w:tcW w:w="896" w:type="dxa"/>
            <w:noWrap/>
            <w:vAlign w:val="top"/>
            <w:hideMark/>
          </w:tcPr>
          <w:p w14:paraId="429F0A2E" w14:textId="58F228C7"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102.51</w:t>
            </w:r>
          </w:p>
        </w:tc>
        <w:tc>
          <w:tcPr>
            <w:tcW w:w="943" w:type="dxa"/>
            <w:noWrap/>
            <w:vAlign w:val="top"/>
            <w:hideMark/>
          </w:tcPr>
          <w:p w14:paraId="6A5663B2" w14:textId="47E2EA12"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82.63</w:t>
            </w:r>
          </w:p>
        </w:tc>
        <w:tc>
          <w:tcPr>
            <w:tcW w:w="992" w:type="dxa"/>
            <w:vAlign w:val="top"/>
          </w:tcPr>
          <w:p w14:paraId="0F3BA478" w14:textId="4D2CE8A2"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34.51</w:t>
            </w:r>
          </w:p>
        </w:tc>
        <w:tc>
          <w:tcPr>
            <w:tcW w:w="992" w:type="dxa"/>
            <w:vAlign w:val="top"/>
          </w:tcPr>
          <w:p w14:paraId="59E8583A" w14:textId="4EE56D0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1203.86</w:t>
            </w:r>
          </w:p>
        </w:tc>
      </w:tr>
      <w:tr w:rsidR="00AC3905" w:rsidRPr="00DE45F1" w14:paraId="5D873F3D" w14:textId="418D8A41" w:rsidTr="0023309C">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5E786B4D"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Number of treatment customers</w:t>
            </w:r>
          </w:p>
        </w:tc>
        <w:tc>
          <w:tcPr>
            <w:tcW w:w="991" w:type="dxa"/>
            <w:noWrap/>
            <w:vAlign w:val="top"/>
            <w:hideMark/>
          </w:tcPr>
          <w:p w14:paraId="4CB960A2" w14:textId="33416A8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176,146 </w:t>
            </w:r>
          </w:p>
        </w:tc>
        <w:tc>
          <w:tcPr>
            <w:tcW w:w="896" w:type="dxa"/>
            <w:noWrap/>
            <w:vAlign w:val="top"/>
            <w:hideMark/>
          </w:tcPr>
          <w:p w14:paraId="7EBD03C2" w14:textId="0729725F"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176,146 </w:t>
            </w:r>
          </w:p>
        </w:tc>
        <w:tc>
          <w:tcPr>
            <w:tcW w:w="943" w:type="dxa"/>
            <w:noWrap/>
            <w:vAlign w:val="top"/>
            <w:hideMark/>
          </w:tcPr>
          <w:p w14:paraId="344632AC" w14:textId="17F57A5D"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176,146 </w:t>
            </w:r>
          </w:p>
        </w:tc>
        <w:tc>
          <w:tcPr>
            <w:tcW w:w="992" w:type="dxa"/>
            <w:vAlign w:val="top"/>
          </w:tcPr>
          <w:p w14:paraId="0412BA71" w14:textId="79885437"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176,146 </w:t>
            </w:r>
          </w:p>
        </w:tc>
        <w:tc>
          <w:tcPr>
            <w:tcW w:w="992" w:type="dxa"/>
            <w:vAlign w:val="top"/>
          </w:tcPr>
          <w:p w14:paraId="6DFDA9A4" w14:textId="7E13B60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 xml:space="preserve"> 176,146 </w:t>
            </w:r>
          </w:p>
        </w:tc>
      </w:tr>
      <w:tr w:rsidR="00AC3905" w:rsidRPr="00DE45F1" w14:paraId="476F2F84" w14:textId="3761E41A" w:rsidTr="0023309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2891FE39"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Number of control customer</w:t>
            </w:r>
          </w:p>
        </w:tc>
        <w:tc>
          <w:tcPr>
            <w:tcW w:w="991" w:type="dxa"/>
            <w:noWrap/>
            <w:vAlign w:val="top"/>
            <w:hideMark/>
          </w:tcPr>
          <w:p w14:paraId="03D29C3D" w14:textId="6D39946F"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58,730 </w:t>
            </w:r>
          </w:p>
        </w:tc>
        <w:tc>
          <w:tcPr>
            <w:tcW w:w="896" w:type="dxa"/>
            <w:noWrap/>
            <w:vAlign w:val="top"/>
            <w:hideMark/>
          </w:tcPr>
          <w:p w14:paraId="41C0873C" w14:textId="06C1306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58,730 </w:t>
            </w:r>
          </w:p>
        </w:tc>
        <w:tc>
          <w:tcPr>
            <w:tcW w:w="943" w:type="dxa"/>
            <w:noWrap/>
            <w:vAlign w:val="top"/>
            <w:hideMark/>
          </w:tcPr>
          <w:p w14:paraId="1210CFAF" w14:textId="4BD7B017"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58,730 </w:t>
            </w:r>
          </w:p>
        </w:tc>
        <w:tc>
          <w:tcPr>
            <w:tcW w:w="992" w:type="dxa"/>
            <w:vAlign w:val="top"/>
          </w:tcPr>
          <w:p w14:paraId="29FC199C" w14:textId="73018DCF"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58,730 </w:t>
            </w:r>
          </w:p>
        </w:tc>
        <w:tc>
          <w:tcPr>
            <w:tcW w:w="992" w:type="dxa"/>
            <w:vAlign w:val="top"/>
          </w:tcPr>
          <w:p w14:paraId="41788619" w14:textId="1DAA3B55"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 xml:space="preserve"> 58,730 </w:t>
            </w:r>
          </w:p>
        </w:tc>
      </w:tr>
      <w:tr w:rsidR="00AC3905" w:rsidRPr="00DE45F1" w14:paraId="7DBEBA15" w14:textId="47BD3FF4" w:rsidTr="0023309C">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0F7EBD7D" w14:textId="7DCF567F"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treatment customer, 2024</w:t>
            </w:r>
          </w:p>
        </w:tc>
        <w:tc>
          <w:tcPr>
            <w:tcW w:w="991" w:type="dxa"/>
            <w:noWrap/>
            <w:vAlign w:val="top"/>
            <w:hideMark/>
          </w:tcPr>
          <w:p w14:paraId="0C38126B" w14:textId="392960F8"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0.06</w:t>
            </w:r>
          </w:p>
        </w:tc>
        <w:tc>
          <w:tcPr>
            <w:tcW w:w="896" w:type="dxa"/>
            <w:noWrap/>
            <w:vAlign w:val="top"/>
            <w:hideMark/>
          </w:tcPr>
          <w:p w14:paraId="5E275A93" w14:textId="76A2D410"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0.78</w:t>
            </w:r>
          </w:p>
        </w:tc>
        <w:tc>
          <w:tcPr>
            <w:tcW w:w="943" w:type="dxa"/>
            <w:noWrap/>
            <w:vAlign w:val="top"/>
            <w:hideMark/>
          </w:tcPr>
          <w:p w14:paraId="26CAB316" w14:textId="3E238FD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0.12</w:t>
            </w:r>
          </w:p>
        </w:tc>
        <w:tc>
          <w:tcPr>
            <w:tcW w:w="992" w:type="dxa"/>
            <w:vAlign w:val="top"/>
          </w:tcPr>
          <w:p w14:paraId="49452C3B" w14:textId="0316E13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0.17</w:t>
            </w:r>
          </w:p>
        </w:tc>
        <w:tc>
          <w:tcPr>
            <w:tcW w:w="992" w:type="dxa"/>
            <w:vAlign w:val="top"/>
          </w:tcPr>
          <w:p w14:paraId="424B496F" w14:textId="1FCB515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6B1605DC" w14:textId="5D4D0056" w:rsidTr="0023309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18F5B1FD" w14:textId="73EDEF3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control customer, 2024</w:t>
            </w:r>
          </w:p>
        </w:tc>
        <w:tc>
          <w:tcPr>
            <w:tcW w:w="991" w:type="dxa"/>
            <w:noWrap/>
            <w:vAlign w:val="top"/>
            <w:hideMark/>
          </w:tcPr>
          <w:p w14:paraId="24BA0237" w14:textId="5B063D0A"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0.06</w:t>
            </w:r>
          </w:p>
        </w:tc>
        <w:tc>
          <w:tcPr>
            <w:tcW w:w="896" w:type="dxa"/>
            <w:noWrap/>
            <w:vAlign w:val="top"/>
            <w:hideMark/>
          </w:tcPr>
          <w:p w14:paraId="0EF3C084" w14:textId="2A73BFD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0.81</w:t>
            </w:r>
          </w:p>
        </w:tc>
        <w:tc>
          <w:tcPr>
            <w:tcW w:w="943" w:type="dxa"/>
            <w:noWrap/>
            <w:vAlign w:val="top"/>
            <w:hideMark/>
          </w:tcPr>
          <w:p w14:paraId="382D34D6" w14:textId="004037BF"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0.11</w:t>
            </w:r>
          </w:p>
        </w:tc>
        <w:tc>
          <w:tcPr>
            <w:tcW w:w="992" w:type="dxa"/>
            <w:vAlign w:val="top"/>
          </w:tcPr>
          <w:p w14:paraId="3950C804" w14:textId="402C1FE8"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0.24</w:t>
            </w:r>
          </w:p>
        </w:tc>
        <w:tc>
          <w:tcPr>
            <w:tcW w:w="992" w:type="dxa"/>
            <w:vAlign w:val="top"/>
          </w:tcPr>
          <w:p w14:paraId="6E12DB5A" w14:textId="77D0DB1F"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07F0F666" w14:textId="6475EC0D" w:rsidTr="0023309C">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46EBC2E8" w14:textId="7C779CAE"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2024 savings difference</w:t>
            </w:r>
          </w:p>
        </w:tc>
        <w:tc>
          <w:tcPr>
            <w:tcW w:w="991" w:type="dxa"/>
            <w:noWrap/>
            <w:vAlign w:val="top"/>
            <w:hideMark/>
          </w:tcPr>
          <w:p w14:paraId="5DA10D08" w14:textId="3A291A1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067DC214" w14:textId="62191844"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-0.03</w:t>
            </w:r>
          </w:p>
        </w:tc>
        <w:tc>
          <w:tcPr>
            <w:tcW w:w="943" w:type="dxa"/>
            <w:noWrap/>
            <w:vAlign w:val="top"/>
            <w:hideMark/>
          </w:tcPr>
          <w:p w14:paraId="218B2866" w14:textId="5602D6A7"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0.01</w:t>
            </w:r>
          </w:p>
        </w:tc>
        <w:tc>
          <w:tcPr>
            <w:tcW w:w="992" w:type="dxa"/>
            <w:vAlign w:val="top"/>
          </w:tcPr>
          <w:p w14:paraId="72998E32" w14:textId="64461146"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-0.07</w:t>
            </w:r>
          </w:p>
        </w:tc>
        <w:tc>
          <w:tcPr>
            <w:tcW w:w="992" w:type="dxa"/>
            <w:vAlign w:val="top"/>
          </w:tcPr>
          <w:p w14:paraId="1AED9F58" w14:textId="6F118684"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47BA6A8C" w14:textId="2906A6AC" w:rsidTr="0023309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42295FA0"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treatment customer, pre</w:t>
            </w:r>
          </w:p>
        </w:tc>
        <w:tc>
          <w:tcPr>
            <w:tcW w:w="991" w:type="dxa"/>
            <w:noWrap/>
            <w:vAlign w:val="top"/>
            <w:hideMark/>
          </w:tcPr>
          <w:p w14:paraId="48465C49" w14:textId="6DF7C0C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4E4F2A38" w14:textId="43D24B4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43" w:type="dxa"/>
            <w:noWrap/>
            <w:vAlign w:val="top"/>
            <w:hideMark/>
          </w:tcPr>
          <w:p w14:paraId="4E138E0B" w14:textId="3CD55B66"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5F3D24D2" w14:textId="4ECDA85D"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7F34D4B2" w14:textId="42C0C855"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58EF1A94" w14:textId="28D0A40E" w:rsidTr="0023309C">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55966A07"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control customer, pre</w:t>
            </w:r>
          </w:p>
        </w:tc>
        <w:tc>
          <w:tcPr>
            <w:tcW w:w="991" w:type="dxa"/>
            <w:noWrap/>
            <w:vAlign w:val="top"/>
            <w:hideMark/>
          </w:tcPr>
          <w:p w14:paraId="066E8156" w14:textId="3640F90F"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58647E35" w14:textId="02316071"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43" w:type="dxa"/>
            <w:noWrap/>
            <w:vAlign w:val="top"/>
            <w:hideMark/>
          </w:tcPr>
          <w:p w14:paraId="224A9969" w14:textId="2858BDED"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22EC290A" w14:textId="59A7065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67327C6F" w14:textId="77AA6183"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414531EA" w14:textId="16DC95E1" w:rsidTr="0023309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67DB9793"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Pre savings difference</w:t>
            </w:r>
          </w:p>
        </w:tc>
        <w:tc>
          <w:tcPr>
            <w:tcW w:w="991" w:type="dxa"/>
            <w:noWrap/>
            <w:vAlign w:val="top"/>
            <w:hideMark/>
          </w:tcPr>
          <w:p w14:paraId="6E52CD3F" w14:textId="67413241"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7998EAD6" w14:textId="4F97E826"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43" w:type="dxa"/>
            <w:noWrap/>
            <w:vAlign w:val="top"/>
            <w:hideMark/>
          </w:tcPr>
          <w:p w14:paraId="7A7604CE" w14:textId="6CDDA073"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1CA356CA" w14:textId="6818C046"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276E8D44" w14:textId="189536AB"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39A76D78" w14:textId="572E29D7" w:rsidTr="0023309C">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1698B022"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DID or POD statistic</w:t>
            </w:r>
          </w:p>
        </w:tc>
        <w:tc>
          <w:tcPr>
            <w:tcW w:w="991" w:type="dxa"/>
            <w:noWrap/>
            <w:vAlign w:val="top"/>
            <w:hideMark/>
          </w:tcPr>
          <w:p w14:paraId="7AA9BED2" w14:textId="67CC133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5D0A8083" w14:textId="0AC990A5"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-0.03</w:t>
            </w:r>
          </w:p>
        </w:tc>
        <w:tc>
          <w:tcPr>
            <w:tcW w:w="943" w:type="dxa"/>
            <w:noWrap/>
            <w:vAlign w:val="top"/>
            <w:hideMark/>
          </w:tcPr>
          <w:p w14:paraId="76F1161A" w14:textId="3B19DEB4"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0.01</w:t>
            </w:r>
          </w:p>
        </w:tc>
        <w:tc>
          <w:tcPr>
            <w:tcW w:w="992" w:type="dxa"/>
            <w:vAlign w:val="top"/>
          </w:tcPr>
          <w:p w14:paraId="19E9CE98" w14:textId="0179BC1D"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-0.07</w:t>
            </w:r>
          </w:p>
        </w:tc>
        <w:tc>
          <w:tcPr>
            <w:tcW w:w="992" w:type="dxa"/>
            <w:vAlign w:val="top"/>
          </w:tcPr>
          <w:p w14:paraId="21080987" w14:textId="36325491"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2257A4D0" w14:textId="4C625383" w:rsidTr="0023309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671F5CAC"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Savings attributable to other programs, therms</w:t>
            </w:r>
          </w:p>
        </w:tc>
        <w:tc>
          <w:tcPr>
            <w:tcW w:w="991" w:type="dxa"/>
            <w:noWrap/>
            <w:vAlign w:val="top"/>
            <w:hideMark/>
          </w:tcPr>
          <w:p w14:paraId="393328A6" w14:textId="76EBE2B8"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279</w:t>
            </w:r>
          </w:p>
        </w:tc>
        <w:tc>
          <w:tcPr>
            <w:tcW w:w="896" w:type="dxa"/>
            <w:noWrap/>
            <w:vAlign w:val="top"/>
            <w:hideMark/>
          </w:tcPr>
          <w:p w14:paraId="7AAB2CF0" w14:textId="19853342"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-5,652</w:t>
            </w:r>
          </w:p>
        </w:tc>
        <w:tc>
          <w:tcPr>
            <w:tcW w:w="943" w:type="dxa"/>
            <w:noWrap/>
            <w:vAlign w:val="top"/>
            <w:hideMark/>
          </w:tcPr>
          <w:p w14:paraId="13E7DBB7" w14:textId="1BBA5A8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2,598</w:t>
            </w:r>
          </w:p>
        </w:tc>
        <w:tc>
          <w:tcPr>
            <w:tcW w:w="992" w:type="dxa"/>
            <w:vAlign w:val="top"/>
          </w:tcPr>
          <w:p w14:paraId="40E4BDF1" w14:textId="02C2F17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-11,759</w:t>
            </w:r>
          </w:p>
        </w:tc>
        <w:tc>
          <w:tcPr>
            <w:tcW w:w="992" w:type="dxa"/>
            <w:vAlign w:val="top"/>
          </w:tcPr>
          <w:p w14:paraId="732AAFC3" w14:textId="319BF46A"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461</w:t>
            </w:r>
          </w:p>
        </w:tc>
      </w:tr>
      <w:tr w:rsidR="00AC3905" w:rsidRPr="00DE45F1" w14:paraId="1A6F3B20" w14:textId="47A5D09D" w:rsidTr="0023309C">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175A865F"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Implied change in participation</w:t>
            </w:r>
          </w:p>
        </w:tc>
        <w:tc>
          <w:tcPr>
            <w:tcW w:w="991" w:type="dxa"/>
            <w:noWrap/>
            <w:vAlign w:val="top"/>
            <w:hideMark/>
          </w:tcPr>
          <w:p w14:paraId="06E1B6F1" w14:textId="597C59D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5.3</w:t>
            </w:r>
          </w:p>
        </w:tc>
        <w:tc>
          <w:tcPr>
            <w:tcW w:w="896" w:type="dxa"/>
            <w:noWrap/>
            <w:vAlign w:val="top"/>
            <w:hideMark/>
          </w:tcPr>
          <w:p w14:paraId="1C33F985" w14:textId="3298695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-55.1</w:t>
            </w:r>
          </w:p>
        </w:tc>
        <w:tc>
          <w:tcPr>
            <w:tcW w:w="943" w:type="dxa"/>
            <w:noWrap/>
            <w:vAlign w:val="top"/>
            <w:hideMark/>
          </w:tcPr>
          <w:p w14:paraId="10F81F1D" w14:textId="7A20724F"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31.4</w:t>
            </w:r>
          </w:p>
        </w:tc>
        <w:tc>
          <w:tcPr>
            <w:tcW w:w="992" w:type="dxa"/>
            <w:vAlign w:val="top"/>
          </w:tcPr>
          <w:p w14:paraId="19CE4D11" w14:textId="056C5466"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-340.7</w:t>
            </w:r>
          </w:p>
        </w:tc>
        <w:tc>
          <w:tcPr>
            <w:tcW w:w="992" w:type="dxa"/>
            <w:vAlign w:val="top"/>
          </w:tcPr>
          <w:p w14:paraId="3F40EBC8" w14:textId="27EE742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0.4</w:t>
            </w:r>
          </w:p>
        </w:tc>
      </w:tr>
    </w:tbl>
    <w:p w14:paraId="383C0C13" w14:textId="77777777" w:rsidR="00AC3905" w:rsidRPr="00AC3905" w:rsidRDefault="00AC3905" w:rsidP="00857AE2">
      <w:pPr>
        <w:pStyle w:val="Source"/>
        <w:rPr>
          <w:i w:val="0"/>
          <w:sz w:val="18"/>
          <w:szCs w:val="18"/>
        </w:rPr>
      </w:pPr>
      <w:r w:rsidRPr="00857AE2">
        <w:t xml:space="preserve">Source: Guidehouse analysis of Nicor Gas program tracking and customer </w:t>
      </w:r>
      <w:r w:rsidRPr="00AC3905">
        <w:rPr>
          <w:sz w:val="18"/>
          <w:szCs w:val="18"/>
        </w:rPr>
        <w:t>billing data.</w:t>
      </w:r>
    </w:p>
    <w:p w14:paraId="1FF2805D" w14:textId="77777777" w:rsidR="00AC3905" w:rsidRPr="00EE614F" w:rsidRDefault="00AC3905" w:rsidP="00AC3905">
      <w:pPr>
        <w:pStyle w:val="GHBodytext"/>
      </w:pPr>
    </w:p>
    <w:p w14:paraId="65D0DDA3" w14:textId="77777777" w:rsidR="00EE614F" w:rsidRDefault="00EE614F" w:rsidP="00EE614F">
      <w:pPr>
        <w:suppressAutoHyphens w:val="0"/>
        <w:autoSpaceDN/>
        <w:spacing w:before="0" w:after="0"/>
        <w:rPr>
          <w:szCs w:val="20"/>
        </w:rPr>
      </w:pPr>
    </w:p>
    <w:p w14:paraId="349B1243" w14:textId="2EAEBF20" w:rsidR="00AC3905" w:rsidRPr="00577499" w:rsidRDefault="00E34820" w:rsidP="00577499">
      <w:pPr>
        <w:pStyle w:val="Caption"/>
      </w:pPr>
      <w:bookmarkStart w:id="121" w:name="_Ref195885901"/>
      <w:bookmarkStart w:id="122" w:name="_Toc195887209"/>
      <w:r w:rsidRPr="00577499">
        <w:lastRenderedPageBreak/>
        <w:t xml:space="preserve">Table </w:t>
      </w:r>
      <w:r w:rsidR="00242EB7" w:rsidRPr="00577499">
        <w:fldChar w:fldCharType="begin"/>
      </w:r>
      <w:r w:rsidR="00242EB7" w:rsidRPr="00577499">
        <w:instrText xml:space="preserve"> STYLEREF 5 \s </w:instrText>
      </w:r>
      <w:r w:rsidR="00242EB7" w:rsidRPr="00577499">
        <w:fldChar w:fldCharType="separate"/>
      </w:r>
      <w:r w:rsidR="00242EB7" w:rsidRPr="00577499">
        <w:t>B</w:t>
      </w:r>
      <w:r w:rsidR="00242EB7" w:rsidRPr="00577499">
        <w:fldChar w:fldCharType="end"/>
      </w:r>
      <w:r w:rsidR="00242EB7" w:rsidRPr="00577499">
        <w:noBreakHyphen/>
      </w:r>
      <w:r w:rsidR="00242EB7" w:rsidRPr="00577499">
        <w:fldChar w:fldCharType="begin"/>
      </w:r>
      <w:r w:rsidR="00242EB7" w:rsidRPr="00577499">
        <w:instrText xml:space="preserve"> SEQ Table_Apx \* ARABIC \s 5 </w:instrText>
      </w:r>
      <w:r w:rsidR="00242EB7" w:rsidRPr="00577499">
        <w:fldChar w:fldCharType="separate"/>
      </w:r>
      <w:r w:rsidR="00242EB7" w:rsidRPr="00577499">
        <w:t>5</w:t>
      </w:r>
      <w:r w:rsidR="00242EB7" w:rsidRPr="00577499">
        <w:fldChar w:fldCharType="end"/>
      </w:r>
      <w:bookmarkEnd w:id="121"/>
      <w:r w:rsidR="00242EB7" w:rsidRPr="00577499">
        <w:t>.</w:t>
      </w:r>
      <w:r w:rsidR="00AC3905" w:rsidRPr="00577499">
        <w:t xml:space="preserve"> 2024 Uplift Adjustment Details, Wave 4</w:t>
      </w:r>
      <w:r w:rsidR="004F7EEA" w:rsidRPr="00577499">
        <w:t xml:space="preserve"> (202402)</w:t>
      </w:r>
      <w:bookmarkEnd w:id="122"/>
    </w:p>
    <w:tbl>
      <w:tblPr>
        <w:tblStyle w:val="EnergyTable12"/>
        <w:tblW w:w="9360" w:type="dxa"/>
        <w:tblLayout w:type="fixed"/>
        <w:tblLook w:val="04A0" w:firstRow="1" w:lastRow="0" w:firstColumn="1" w:lastColumn="0" w:noHBand="0" w:noVBand="1"/>
      </w:tblPr>
      <w:tblGrid>
        <w:gridCol w:w="4546"/>
        <w:gridCol w:w="991"/>
        <w:gridCol w:w="896"/>
        <w:gridCol w:w="943"/>
        <w:gridCol w:w="992"/>
        <w:gridCol w:w="992"/>
      </w:tblGrid>
      <w:tr w:rsidR="00AC3905" w:rsidRPr="00DE45F1" w14:paraId="3C64C490" w14:textId="77777777" w:rsidTr="008B2E81">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3C186650" w14:textId="552AAC29" w:rsidR="00AC3905" w:rsidRPr="00DE45F1" w:rsidRDefault="00AC3905" w:rsidP="008B2E81">
            <w:pPr>
              <w:keepNext/>
              <w:keepLines/>
              <w:suppressAutoHyphens w:val="0"/>
              <w:autoSpaceDN/>
              <w:spacing w:before="40" w:after="40"/>
              <w:jc w:val="left"/>
              <w:rPr>
                <w:rFonts w:ascii="Arial Narrow" w:hAnsi="Arial Narrow" w:cs="Calibri"/>
                <w:sz w:val="20"/>
                <w:szCs w:val="20"/>
              </w:rPr>
            </w:pPr>
            <w:r w:rsidRPr="00DE45F1">
              <w:rPr>
                <w:rFonts w:ascii="Arial Narrow" w:hAnsi="Arial Narrow" w:cs="Calibri"/>
                <w:sz w:val="20"/>
                <w:szCs w:val="20"/>
              </w:rPr>
              <w:t>Program</w:t>
            </w:r>
            <w:r w:rsidR="00F551AF">
              <w:rPr>
                <w:rFonts w:ascii="Arial Narrow" w:hAnsi="Arial Narrow" w:cs="Calibri"/>
                <w:sz w:val="20"/>
                <w:szCs w:val="20"/>
              </w:rPr>
              <w:t xml:space="preserve"> Parameters</w:t>
            </w:r>
          </w:p>
        </w:tc>
        <w:tc>
          <w:tcPr>
            <w:tcW w:w="991" w:type="dxa"/>
            <w:noWrap/>
            <w:hideMark/>
          </w:tcPr>
          <w:p w14:paraId="0F19D9F7" w14:textId="77777777" w:rsidR="00AC3905" w:rsidRPr="00DE45F1" w:rsidRDefault="00AC3905" w:rsidP="008B2E81">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ESK</w:t>
            </w:r>
          </w:p>
        </w:tc>
        <w:tc>
          <w:tcPr>
            <w:tcW w:w="896" w:type="dxa"/>
            <w:noWrap/>
            <w:hideMark/>
          </w:tcPr>
          <w:p w14:paraId="6DCB9678" w14:textId="77777777" w:rsidR="00AC3905" w:rsidRPr="00DE45F1" w:rsidRDefault="00AC3905" w:rsidP="008B2E81">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HEER</w:t>
            </w:r>
          </w:p>
        </w:tc>
        <w:tc>
          <w:tcPr>
            <w:tcW w:w="943" w:type="dxa"/>
            <w:noWrap/>
            <w:hideMark/>
          </w:tcPr>
          <w:p w14:paraId="36586D36" w14:textId="77777777" w:rsidR="00AC3905" w:rsidRPr="00DE45F1" w:rsidRDefault="00AC3905" w:rsidP="008B2E81">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HES</w:t>
            </w:r>
          </w:p>
        </w:tc>
        <w:tc>
          <w:tcPr>
            <w:tcW w:w="992" w:type="dxa"/>
          </w:tcPr>
          <w:p w14:paraId="79626E94" w14:textId="77777777" w:rsidR="00AC3905" w:rsidRPr="00DE45F1" w:rsidRDefault="00AC3905" w:rsidP="008B2E81">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IE</w:t>
            </w:r>
          </w:p>
        </w:tc>
        <w:tc>
          <w:tcPr>
            <w:tcW w:w="992" w:type="dxa"/>
          </w:tcPr>
          <w:p w14:paraId="50392C49" w14:textId="77777777" w:rsidR="00AC3905" w:rsidRPr="00DE45F1" w:rsidRDefault="00AC3905" w:rsidP="008B2E81">
            <w:pPr>
              <w:keepNext/>
              <w:keepLines/>
              <w:suppressAutoHyphens w:val="0"/>
              <w:autoSpaceDN/>
              <w:spacing w:before="40"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sz w:val="20"/>
                <w:szCs w:val="20"/>
              </w:rPr>
            </w:pPr>
            <w:r w:rsidRPr="00DE45F1">
              <w:rPr>
                <w:rFonts w:ascii="Arial Narrow" w:hAnsi="Arial Narrow" w:cs="Calibri"/>
                <w:sz w:val="20"/>
                <w:szCs w:val="20"/>
              </w:rPr>
              <w:t>MF</w:t>
            </w:r>
          </w:p>
        </w:tc>
      </w:tr>
      <w:tr w:rsidR="00AC3905" w:rsidRPr="00DE45F1" w14:paraId="395DAC9C" w14:textId="77777777" w:rsidTr="008B2E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00D58C34"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 xml:space="preserve">Median program savings, annual </w:t>
            </w:r>
            <w:proofErr w:type="gramStart"/>
            <w:r w:rsidRPr="00DE45F1">
              <w:rPr>
                <w:rFonts w:ascii="Arial Narrow" w:hAnsi="Arial Narrow" w:cs="Calibri"/>
                <w:color w:val="000000"/>
                <w:sz w:val="20"/>
                <w:szCs w:val="20"/>
              </w:rPr>
              <w:t>therms</w:t>
            </w:r>
            <w:proofErr w:type="gramEnd"/>
            <w:r w:rsidRPr="00DE45F1">
              <w:rPr>
                <w:rFonts w:ascii="Arial Narrow" w:hAnsi="Arial Narrow" w:cs="Calibri"/>
                <w:color w:val="000000"/>
                <w:sz w:val="20"/>
                <w:szCs w:val="20"/>
              </w:rPr>
              <w:t xml:space="preserve"> per EE participant</w:t>
            </w:r>
          </w:p>
        </w:tc>
        <w:tc>
          <w:tcPr>
            <w:tcW w:w="991" w:type="dxa"/>
            <w:noWrap/>
            <w:vAlign w:val="top"/>
            <w:hideMark/>
          </w:tcPr>
          <w:p w14:paraId="1B7049BC" w14:textId="26CFEA3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53.15</w:t>
            </w:r>
          </w:p>
        </w:tc>
        <w:tc>
          <w:tcPr>
            <w:tcW w:w="896" w:type="dxa"/>
            <w:noWrap/>
            <w:vAlign w:val="top"/>
            <w:hideMark/>
          </w:tcPr>
          <w:p w14:paraId="3DC97688" w14:textId="294AADE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102.51</w:t>
            </w:r>
          </w:p>
        </w:tc>
        <w:tc>
          <w:tcPr>
            <w:tcW w:w="943" w:type="dxa"/>
            <w:noWrap/>
            <w:vAlign w:val="top"/>
            <w:hideMark/>
          </w:tcPr>
          <w:p w14:paraId="74D51E73" w14:textId="7D153BD5"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125.09</w:t>
            </w:r>
          </w:p>
        </w:tc>
        <w:tc>
          <w:tcPr>
            <w:tcW w:w="992" w:type="dxa"/>
            <w:vAlign w:val="top"/>
          </w:tcPr>
          <w:p w14:paraId="2EFE1E9C" w14:textId="0D00F2E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34.51</w:t>
            </w:r>
          </w:p>
        </w:tc>
        <w:tc>
          <w:tcPr>
            <w:tcW w:w="992" w:type="dxa"/>
            <w:vAlign w:val="top"/>
          </w:tcPr>
          <w:p w14:paraId="65E911D3" w14:textId="0428743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393.30</w:t>
            </w:r>
          </w:p>
        </w:tc>
      </w:tr>
      <w:tr w:rsidR="00AC3905" w:rsidRPr="00DE45F1" w14:paraId="3C81CE70" w14:textId="77777777" w:rsidTr="008B2E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59B3B828"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Number of treatment customers</w:t>
            </w:r>
          </w:p>
        </w:tc>
        <w:tc>
          <w:tcPr>
            <w:tcW w:w="991" w:type="dxa"/>
            <w:noWrap/>
            <w:vAlign w:val="top"/>
            <w:hideMark/>
          </w:tcPr>
          <w:p w14:paraId="5EACCE6A" w14:textId="2A14FCE8"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78,750 </w:t>
            </w:r>
          </w:p>
        </w:tc>
        <w:tc>
          <w:tcPr>
            <w:tcW w:w="896" w:type="dxa"/>
            <w:noWrap/>
            <w:vAlign w:val="top"/>
            <w:hideMark/>
          </w:tcPr>
          <w:p w14:paraId="2677AA53" w14:textId="18CDBF25"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78,750 </w:t>
            </w:r>
          </w:p>
        </w:tc>
        <w:tc>
          <w:tcPr>
            <w:tcW w:w="943" w:type="dxa"/>
            <w:noWrap/>
            <w:vAlign w:val="top"/>
            <w:hideMark/>
          </w:tcPr>
          <w:p w14:paraId="57CE089E" w14:textId="0767537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78,750 </w:t>
            </w:r>
          </w:p>
        </w:tc>
        <w:tc>
          <w:tcPr>
            <w:tcW w:w="992" w:type="dxa"/>
            <w:vAlign w:val="top"/>
          </w:tcPr>
          <w:p w14:paraId="162D86C5" w14:textId="18B328A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78,750 </w:t>
            </w:r>
          </w:p>
        </w:tc>
        <w:tc>
          <w:tcPr>
            <w:tcW w:w="992" w:type="dxa"/>
            <w:vAlign w:val="top"/>
          </w:tcPr>
          <w:p w14:paraId="6B97E039" w14:textId="74E80CE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 xml:space="preserve"> 78,750 </w:t>
            </w:r>
          </w:p>
        </w:tc>
      </w:tr>
      <w:tr w:rsidR="00AC3905" w:rsidRPr="00DE45F1" w14:paraId="3D666AE5" w14:textId="77777777" w:rsidTr="008B2E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5AD96F89"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Number of control customer</w:t>
            </w:r>
          </w:p>
        </w:tc>
        <w:tc>
          <w:tcPr>
            <w:tcW w:w="991" w:type="dxa"/>
            <w:noWrap/>
            <w:vAlign w:val="top"/>
            <w:hideMark/>
          </w:tcPr>
          <w:p w14:paraId="6298B43B" w14:textId="3251669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25,000 </w:t>
            </w:r>
          </w:p>
        </w:tc>
        <w:tc>
          <w:tcPr>
            <w:tcW w:w="896" w:type="dxa"/>
            <w:noWrap/>
            <w:vAlign w:val="top"/>
            <w:hideMark/>
          </w:tcPr>
          <w:p w14:paraId="174736FE" w14:textId="44E96F51"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25,000 </w:t>
            </w:r>
          </w:p>
        </w:tc>
        <w:tc>
          <w:tcPr>
            <w:tcW w:w="943" w:type="dxa"/>
            <w:noWrap/>
            <w:vAlign w:val="top"/>
            <w:hideMark/>
          </w:tcPr>
          <w:p w14:paraId="221575E8" w14:textId="6CD4484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25,000 </w:t>
            </w:r>
          </w:p>
        </w:tc>
        <w:tc>
          <w:tcPr>
            <w:tcW w:w="992" w:type="dxa"/>
            <w:vAlign w:val="top"/>
          </w:tcPr>
          <w:p w14:paraId="2C5911A2" w14:textId="62105CD1"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 xml:space="preserve"> 25,000 </w:t>
            </w:r>
          </w:p>
        </w:tc>
        <w:tc>
          <w:tcPr>
            <w:tcW w:w="992" w:type="dxa"/>
            <w:vAlign w:val="top"/>
          </w:tcPr>
          <w:p w14:paraId="70065136" w14:textId="431F008D"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 xml:space="preserve"> 25,000 </w:t>
            </w:r>
          </w:p>
        </w:tc>
      </w:tr>
      <w:tr w:rsidR="00AC3905" w:rsidRPr="00DE45F1" w14:paraId="75C7BD2C" w14:textId="77777777" w:rsidTr="008B2E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1D1FAAC9" w14:textId="5A13F239"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treatment customer, 2024</w:t>
            </w:r>
          </w:p>
        </w:tc>
        <w:tc>
          <w:tcPr>
            <w:tcW w:w="991" w:type="dxa"/>
            <w:noWrap/>
            <w:vAlign w:val="top"/>
            <w:hideMark/>
          </w:tcPr>
          <w:p w14:paraId="62E7A175" w14:textId="1803465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0.07</w:t>
            </w:r>
          </w:p>
        </w:tc>
        <w:tc>
          <w:tcPr>
            <w:tcW w:w="896" w:type="dxa"/>
            <w:noWrap/>
            <w:vAlign w:val="top"/>
            <w:hideMark/>
          </w:tcPr>
          <w:p w14:paraId="6B29E76F" w14:textId="60C6F31D"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1.18</w:t>
            </w:r>
          </w:p>
        </w:tc>
        <w:tc>
          <w:tcPr>
            <w:tcW w:w="943" w:type="dxa"/>
            <w:noWrap/>
            <w:vAlign w:val="top"/>
            <w:hideMark/>
          </w:tcPr>
          <w:p w14:paraId="41A076AC" w14:textId="2B7E65B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0.18</w:t>
            </w:r>
          </w:p>
        </w:tc>
        <w:tc>
          <w:tcPr>
            <w:tcW w:w="992" w:type="dxa"/>
            <w:vAlign w:val="top"/>
          </w:tcPr>
          <w:p w14:paraId="43F58D4F" w14:textId="51C262A4"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0.39</w:t>
            </w:r>
          </w:p>
        </w:tc>
        <w:tc>
          <w:tcPr>
            <w:tcW w:w="992" w:type="dxa"/>
            <w:vAlign w:val="top"/>
          </w:tcPr>
          <w:p w14:paraId="3E3AEDF6" w14:textId="590A37F6"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4A870A49" w14:textId="77777777" w:rsidTr="008B2E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0AB133C7" w14:textId="5C4A4376"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control customer, 2024</w:t>
            </w:r>
          </w:p>
        </w:tc>
        <w:tc>
          <w:tcPr>
            <w:tcW w:w="991" w:type="dxa"/>
            <w:noWrap/>
            <w:vAlign w:val="top"/>
            <w:hideMark/>
          </w:tcPr>
          <w:p w14:paraId="4B1C1742" w14:textId="5E01DDFB"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0.07</w:t>
            </w:r>
          </w:p>
        </w:tc>
        <w:tc>
          <w:tcPr>
            <w:tcW w:w="896" w:type="dxa"/>
            <w:noWrap/>
            <w:vAlign w:val="top"/>
            <w:hideMark/>
          </w:tcPr>
          <w:p w14:paraId="0FB52123" w14:textId="0CA6B81D"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1.02</w:t>
            </w:r>
          </w:p>
        </w:tc>
        <w:tc>
          <w:tcPr>
            <w:tcW w:w="943" w:type="dxa"/>
            <w:noWrap/>
            <w:vAlign w:val="top"/>
            <w:hideMark/>
          </w:tcPr>
          <w:p w14:paraId="32C4ED3E" w14:textId="45F00B5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0.25</w:t>
            </w:r>
          </w:p>
        </w:tc>
        <w:tc>
          <w:tcPr>
            <w:tcW w:w="992" w:type="dxa"/>
            <w:vAlign w:val="top"/>
          </w:tcPr>
          <w:p w14:paraId="47CE3FD6" w14:textId="78885C7C"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0.33</w:t>
            </w:r>
          </w:p>
        </w:tc>
        <w:tc>
          <w:tcPr>
            <w:tcW w:w="992" w:type="dxa"/>
            <w:vAlign w:val="top"/>
          </w:tcPr>
          <w:p w14:paraId="4E73C630" w14:textId="17EC0E89"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0BE2B28F" w14:textId="77777777" w:rsidTr="008B2E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39A26D1C" w14:textId="491C587D"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2024 savings difference</w:t>
            </w:r>
          </w:p>
        </w:tc>
        <w:tc>
          <w:tcPr>
            <w:tcW w:w="991" w:type="dxa"/>
            <w:noWrap/>
            <w:vAlign w:val="top"/>
            <w:hideMark/>
          </w:tcPr>
          <w:p w14:paraId="274095CD" w14:textId="6715FE5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73BFB003" w14:textId="1508B4CD"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0.16</w:t>
            </w:r>
          </w:p>
        </w:tc>
        <w:tc>
          <w:tcPr>
            <w:tcW w:w="943" w:type="dxa"/>
            <w:noWrap/>
            <w:vAlign w:val="top"/>
            <w:hideMark/>
          </w:tcPr>
          <w:p w14:paraId="1BD05B6D" w14:textId="2B0232E3"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-0.06</w:t>
            </w:r>
          </w:p>
        </w:tc>
        <w:tc>
          <w:tcPr>
            <w:tcW w:w="992" w:type="dxa"/>
            <w:vAlign w:val="top"/>
          </w:tcPr>
          <w:p w14:paraId="235033A6" w14:textId="1FDC1F59"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0.06</w:t>
            </w:r>
          </w:p>
        </w:tc>
        <w:tc>
          <w:tcPr>
            <w:tcW w:w="992" w:type="dxa"/>
            <w:vAlign w:val="top"/>
          </w:tcPr>
          <w:p w14:paraId="56DA32FB" w14:textId="7CC7A3A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588C4CFA" w14:textId="77777777" w:rsidTr="008B2E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12E8D698"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treatment customer, pre</w:t>
            </w:r>
          </w:p>
        </w:tc>
        <w:tc>
          <w:tcPr>
            <w:tcW w:w="991" w:type="dxa"/>
            <w:noWrap/>
            <w:vAlign w:val="top"/>
            <w:hideMark/>
          </w:tcPr>
          <w:p w14:paraId="097D3301" w14:textId="25F2CDCE"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231A602B" w14:textId="74664D45"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43" w:type="dxa"/>
            <w:noWrap/>
            <w:vAlign w:val="top"/>
            <w:hideMark/>
          </w:tcPr>
          <w:p w14:paraId="45E80AF1" w14:textId="47CF7701"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71F897AA" w14:textId="30A181AE"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68DF45F9" w14:textId="65BD50D0"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6830E87E" w14:textId="77777777" w:rsidTr="008B2E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197205C3"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Avg. savings per HER control customer, pre</w:t>
            </w:r>
          </w:p>
        </w:tc>
        <w:tc>
          <w:tcPr>
            <w:tcW w:w="991" w:type="dxa"/>
            <w:noWrap/>
            <w:vAlign w:val="top"/>
            <w:hideMark/>
          </w:tcPr>
          <w:p w14:paraId="4653D5BE" w14:textId="59D39358"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193BB3F1" w14:textId="3CE0D5B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43" w:type="dxa"/>
            <w:noWrap/>
            <w:vAlign w:val="top"/>
            <w:hideMark/>
          </w:tcPr>
          <w:p w14:paraId="2272D6D4" w14:textId="3A1D34B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2AA85849" w14:textId="5141B917"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174FB71F" w14:textId="32F5FE2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52BEFAC2" w14:textId="77777777" w:rsidTr="008B2E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37540782"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Pre savings difference</w:t>
            </w:r>
          </w:p>
        </w:tc>
        <w:tc>
          <w:tcPr>
            <w:tcW w:w="991" w:type="dxa"/>
            <w:noWrap/>
            <w:vAlign w:val="top"/>
            <w:hideMark/>
          </w:tcPr>
          <w:p w14:paraId="2DB0E8FC" w14:textId="6C60D667"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76E6CE74" w14:textId="6C9742E7"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43" w:type="dxa"/>
            <w:noWrap/>
            <w:vAlign w:val="top"/>
            <w:hideMark/>
          </w:tcPr>
          <w:p w14:paraId="0F8B4037" w14:textId="38491AB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6C2B2C0F" w14:textId="701B00C1"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992" w:type="dxa"/>
            <w:vAlign w:val="top"/>
          </w:tcPr>
          <w:p w14:paraId="4F46307D" w14:textId="251EC1BA"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69A7CA7E" w14:textId="77777777" w:rsidTr="008B2E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03A6CC08"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DID or POD statistic</w:t>
            </w:r>
          </w:p>
        </w:tc>
        <w:tc>
          <w:tcPr>
            <w:tcW w:w="991" w:type="dxa"/>
            <w:noWrap/>
            <w:vAlign w:val="top"/>
            <w:hideMark/>
          </w:tcPr>
          <w:p w14:paraId="30EE036F" w14:textId="5C8A711E"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0.00</w:t>
            </w:r>
          </w:p>
        </w:tc>
        <w:tc>
          <w:tcPr>
            <w:tcW w:w="896" w:type="dxa"/>
            <w:noWrap/>
            <w:vAlign w:val="top"/>
            <w:hideMark/>
          </w:tcPr>
          <w:p w14:paraId="36067977" w14:textId="32E79B57"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0.16</w:t>
            </w:r>
          </w:p>
        </w:tc>
        <w:tc>
          <w:tcPr>
            <w:tcW w:w="943" w:type="dxa"/>
            <w:noWrap/>
            <w:vAlign w:val="top"/>
            <w:hideMark/>
          </w:tcPr>
          <w:p w14:paraId="316E904A" w14:textId="6206D90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-0.06</w:t>
            </w:r>
          </w:p>
        </w:tc>
        <w:tc>
          <w:tcPr>
            <w:tcW w:w="992" w:type="dxa"/>
            <w:vAlign w:val="top"/>
          </w:tcPr>
          <w:p w14:paraId="79A23A5A" w14:textId="09AE590C"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0.06</w:t>
            </w:r>
          </w:p>
        </w:tc>
        <w:tc>
          <w:tcPr>
            <w:tcW w:w="992" w:type="dxa"/>
            <w:vAlign w:val="top"/>
          </w:tcPr>
          <w:p w14:paraId="5FA575DF" w14:textId="4E42EEA8"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0.00</w:t>
            </w:r>
          </w:p>
        </w:tc>
      </w:tr>
      <w:tr w:rsidR="00AC3905" w:rsidRPr="00DE45F1" w14:paraId="4F8D8F85" w14:textId="77777777" w:rsidTr="008B2E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651045D9"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Savings attributable to other programs, therms</w:t>
            </w:r>
          </w:p>
        </w:tc>
        <w:tc>
          <w:tcPr>
            <w:tcW w:w="991" w:type="dxa"/>
            <w:noWrap/>
            <w:vAlign w:val="top"/>
            <w:hideMark/>
          </w:tcPr>
          <w:p w14:paraId="3C547C42" w14:textId="0B2B13E4"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393</w:t>
            </w:r>
          </w:p>
        </w:tc>
        <w:tc>
          <w:tcPr>
            <w:tcW w:w="896" w:type="dxa"/>
            <w:noWrap/>
            <w:vAlign w:val="top"/>
            <w:hideMark/>
          </w:tcPr>
          <w:p w14:paraId="102FD56F" w14:textId="274BB2BA"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12,530</w:t>
            </w:r>
          </w:p>
        </w:tc>
        <w:tc>
          <w:tcPr>
            <w:tcW w:w="943" w:type="dxa"/>
            <w:noWrap/>
            <w:vAlign w:val="top"/>
            <w:hideMark/>
          </w:tcPr>
          <w:p w14:paraId="161BB48E" w14:textId="66F1DE0F"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-4,825</w:t>
            </w:r>
          </w:p>
        </w:tc>
        <w:tc>
          <w:tcPr>
            <w:tcW w:w="992" w:type="dxa"/>
            <w:vAlign w:val="top"/>
          </w:tcPr>
          <w:p w14:paraId="3FEA6C06" w14:textId="42A463B8"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4,332</w:t>
            </w:r>
          </w:p>
        </w:tc>
        <w:tc>
          <w:tcPr>
            <w:tcW w:w="992" w:type="dxa"/>
            <w:vAlign w:val="top"/>
          </w:tcPr>
          <w:p w14:paraId="1F3F041D" w14:textId="1F89BC66" w:rsidR="00AC3905" w:rsidRPr="00DE45F1" w:rsidRDefault="00AC3905" w:rsidP="00AC3905">
            <w:pPr>
              <w:keepNext/>
              <w:keepLines/>
              <w:suppressAutoHyphens w:val="0"/>
              <w:autoSpaceDN/>
              <w:spacing w:before="40" w:after="4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E45F1">
              <w:rPr>
                <w:rFonts w:ascii="Arial Narrow" w:hAnsi="Arial Narrow"/>
                <w:sz w:val="20"/>
                <w:szCs w:val="20"/>
              </w:rPr>
              <w:t>211</w:t>
            </w:r>
          </w:p>
        </w:tc>
      </w:tr>
      <w:tr w:rsidR="00AC3905" w:rsidRPr="00DE45F1" w14:paraId="3C85BDF0" w14:textId="77777777" w:rsidTr="008B2E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46" w:type="dxa"/>
            <w:noWrap/>
            <w:hideMark/>
          </w:tcPr>
          <w:p w14:paraId="04C7C9FF" w14:textId="77777777" w:rsidR="00AC3905" w:rsidRPr="00DE45F1" w:rsidRDefault="00AC3905" w:rsidP="00AC3905">
            <w:pPr>
              <w:keepNext/>
              <w:keepLines/>
              <w:suppressAutoHyphens w:val="0"/>
              <w:autoSpaceDN/>
              <w:spacing w:before="40" w:after="40"/>
              <w:jc w:val="left"/>
              <w:rPr>
                <w:rFonts w:ascii="Arial Narrow" w:hAnsi="Arial Narrow" w:cs="Calibri"/>
                <w:color w:val="000000"/>
                <w:sz w:val="20"/>
                <w:szCs w:val="20"/>
              </w:rPr>
            </w:pPr>
            <w:r w:rsidRPr="00DE45F1">
              <w:rPr>
                <w:rFonts w:ascii="Arial Narrow" w:hAnsi="Arial Narrow" w:cs="Calibri"/>
                <w:color w:val="000000"/>
                <w:sz w:val="20"/>
                <w:szCs w:val="20"/>
              </w:rPr>
              <w:t>Implied change in participation</w:t>
            </w:r>
          </w:p>
        </w:tc>
        <w:tc>
          <w:tcPr>
            <w:tcW w:w="991" w:type="dxa"/>
            <w:noWrap/>
            <w:vAlign w:val="top"/>
            <w:hideMark/>
          </w:tcPr>
          <w:p w14:paraId="7F9CE598" w14:textId="532B7500"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7.4</w:t>
            </w:r>
          </w:p>
        </w:tc>
        <w:tc>
          <w:tcPr>
            <w:tcW w:w="896" w:type="dxa"/>
            <w:noWrap/>
            <w:vAlign w:val="top"/>
            <w:hideMark/>
          </w:tcPr>
          <w:p w14:paraId="4120EDA2" w14:textId="0434B6CB"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122.2</w:t>
            </w:r>
          </w:p>
        </w:tc>
        <w:tc>
          <w:tcPr>
            <w:tcW w:w="943" w:type="dxa"/>
            <w:noWrap/>
            <w:vAlign w:val="top"/>
            <w:hideMark/>
          </w:tcPr>
          <w:p w14:paraId="27492B9B" w14:textId="62933FF2"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-38.6</w:t>
            </w:r>
          </w:p>
        </w:tc>
        <w:tc>
          <w:tcPr>
            <w:tcW w:w="992" w:type="dxa"/>
            <w:vAlign w:val="top"/>
          </w:tcPr>
          <w:p w14:paraId="3D1AA549" w14:textId="652C1E3A"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E45F1">
              <w:rPr>
                <w:rFonts w:ascii="Arial Narrow" w:hAnsi="Arial Narrow"/>
                <w:sz w:val="20"/>
                <w:szCs w:val="20"/>
              </w:rPr>
              <w:t>125.5</w:t>
            </w:r>
          </w:p>
        </w:tc>
        <w:tc>
          <w:tcPr>
            <w:tcW w:w="992" w:type="dxa"/>
            <w:vAlign w:val="top"/>
          </w:tcPr>
          <w:p w14:paraId="4243C267" w14:textId="0CC078D9" w:rsidR="00AC3905" w:rsidRPr="00DE45F1" w:rsidRDefault="00AC3905" w:rsidP="00AC3905">
            <w:pPr>
              <w:keepNext/>
              <w:keepLines/>
              <w:suppressAutoHyphens w:val="0"/>
              <w:autoSpaceDN/>
              <w:spacing w:before="40" w:after="4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E45F1">
              <w:rPr>
                <w:rFonts w:ascii="Arial Narrow" w:hAnsi="Arial Narrow"/>
                <w:sz w:val="20"/>
                <w:szCs w:val="20"/>
              </w:rPr>
              <w:t>0.5</w:t>
            </w:r>
          </w:p>
        </w:tc>
      </w:tr>
    </w:tbl>
    <w:p w14:paraId="71D475D4" w14:textId="77777777" w:rsidR="00AC3905" w:rsidRPr="00AC3905" w:rsidRDefault="00AC3905" w:rsidP="00857AE2">
      <w:pPr>
        <w:pStyle w:val="Source"/>
        <w:rPr>
          <w:i w:val="0"/>
          <w:sz w:val="18"/>
          <w:szCs w:val="18"/>
        </w:rPr>
      </w:pPr>
      <w:r w:rsidRPr="00857AE2">
        <w:t xml:space="preserve">Source: Guidehouse analysis of </w:t>
      </w:r>
      <w:r w:rsidRPr="00AC3905">
        <w:rPr>
          <w:sz w:val="18"/>
          <w:szCs w:val="18"/>
        </w:rPr>
        <w:t>Nicor Gas program tracking and customer billing data.</w:t>
      </w:r>
    </w:p>
    <w:p w14:paraId="6EAD2A3B" w14:textId="77777777" w:rsidR="00DA36B3" w:rsidRDefault="00DA36B3" w:rsidP="00503E8D">
      <w:pPr>
        <w:sectPr w:rsidR="00DA36B3" w:rsidSect="00DA36B3">
          <w:headerReference w:type="default" r:id="rId25"/>
          <w:footerReference w:type="default" r:id="rId26"/>
          <w:pgSz w:w="12240" w:h="15840" w:code="1"/>
          <w:pgMar w:top="1440" w:right="1440" w:bottom="1440" w:left="1440" w:header="720" w:footer="720" w:gutter="0"/>
          <w:pgNumType w:chapStyle="5"/>
          <w:cols w:space="720"/>
          <w:docGrid w:linePitch="360"/>
        </w:sectPr>
      </w:pPr>
    </w:p>
    <w:p w14:paraId="467ADB4B" w14:textId="18018528" w:rsidR="004F7EEA" w:rsidRDefault="004F7EEA" w:rsidP="004F7EEA">
      <w:pPr>
        <w:pStyle w:val="Heading5"/>
      </w:pPr>
      <w:bookmarkStart w:id="123" w:name="_Toc195887225"/>
      <w:r>
        <w:lastRenderedPageBreak/>
        <w:t xml:space="preserve">Appendix C. </w:t>
      </w:r>
      <w:r w:rsidRPr="004F7EEA">
        <w:t>Program Specific Inputs for the Illinois TRC</w:t>
      </w:r>
      <w:bookmarkEnd w:id="123"/>
    </w:p>
    <w:p w14:paraId="1CB7B54D" w14:textId="7B22D938" w:rsidR="00146DF1" w:rsidRPr="004F7EEA" w:rsidRDefault="0055667B" w:rsidP="00503E8D">
      <w:pPr>
        <w:keepNext/>
        <w:keepLines/>
        <w:suppressAutoHyphens w:val="0"/>
        <w:autoSpaceDN/>
        <w:spacing w:before="0" w:after="0"/>
        <w:rPr>
          <w:szCs w:val="20"/>
        </w:rPr>
      </w:pPr>
      <w:r>
        <w:rPr>
          <w:szCs w:val="20"/>
        </w:rPr>
        <w:fldChar w:fldCharType="begin"/>
      </w:r>
      <w:r>
        <w:rPr>
          <w:szCs w:val="20"/>
        </w:rPr>
        <w:instrText xml:space="preserve"> REF _Ref195885918 \h </w:instrText>
      </w:r>
      <w:r>
        <w:rPr>
          <w:szCs w:val="20"/>
        </w:rPr>
      </w:r>
      <w:r>
        <w:rPr>
          <w:szCs w:val="20"/>
        </w:rPr>
        <w:fldChar w:fldCharType="separate"/>
      </w:r>
      <w:r>
        <w:t xml:space="preserve">Table </w:t>
      </w:r>
      <w:r>
        <w:rPr>
          <w:noProof/>
        </w:rPr>
        <w:t>C</w:t>
      </w:r>
      <w:r>
        <w:noBreakHyphen/>
      </w:r>
      <w:r>
        <w:rPr>
          <w:noProof/>
        </w:rPr>
        <w:t>1</w:t>
      </w:r>
      <w:r>
        <w:rPr>
          <w:szCs w:val="20"/>
        </w:rPr>
        <w:fldChar w:fldCharType="end"/>
      </w:r>
      <w:r w:rsidR="004F7EEA">
        <w:rPr>
          <w:szCs w:val="20"/>
        </w:rPr>
        <w:t xml:space="preserve"> </w:t>
      </w:r>
      <w:r w:rsidR="00146DF1" w:rsidRPr="004F7EEA">
        <w:rPr>
          <w:szCs w:val="20"/>
        </w:rPr>
        <w:t>shows the Total Resource Cost (TRC) cost-effectiveness analysis inputs available at the time of producing this impact evaluation report. Additional required cost data (e.g., measure costs, program level incentive and non-incentive costs) are not included in this table and will be provided to the evaluation team later. Guidehouse will include annual and lifetime water savings and greenhouse gas reductions in the end of year summary report.</w:t>
      </w:r>
    </w:p>
    <w:p w14:paraId="4EB315D3" w14:textId="77777777" w:rsidR="00146DF1" w:rsidRDefault="00146DF1" w:rsidP="0064697C">
      <w:pPr>
        <w:pStyle w:val="Caption"/>
        <w:sectPr w:rsidR="00146DF1" w:rsidSect="00A9711B">
          <w:pgSz w:w="12240" w:h="15840" w:code="1"/>
          <w:pgMar w:top="1440" w:right="1440" w:bottom="1440" w:left="1440" w:header="720" w:footer="720" w:gutter="0"/>
          <w:pgNumType w:start="1" w:chapStyle="5"/>
          <w:cols w:space="720"/>
          <w:docGrid w:linePitch="360"/>
        </w:sectPr>
      </w:pPr>
      <w:bookmarkStart w:id="124" w:name="_Ref66787029"/>
      <w:bookmarkStart w:id="125" w:name="_Ref63952142"/>
      <w:bookmarkStart w:id="126" w:name="_Toc367307499"/>
      <w:bookmarkStart w:id="127" w:name="_Toc398541812"/>
      <w:bookmarkStart w:id="128" w:name="_Toc398541925"/>
      <w:bookmarkStart w:id="129" w:name="_Toc398546657"/>
      <w:bookmarkStart w:id="130" w:name="_Toc423009519"/>
      <w:bookmarkStart w:id="131" w:name="_Toc426278637"/>
      <w:bookmarkStart w:id="132" w:name="_Toc63321485"/>
      <w:bookmarkStart w:id="133" w:name="_Toc63961488"/>
      <w:bookmarkStart w:id="134" w:name="_Toc61360851"/>
    </w:p>
    <w:p w14:paraId="47592B19" w14:textId="15ED025D" w:rsidR="00146DF1" w:rsidRPr="00470827" w:rsidRDefault="004F7EEA" w:rsidP="0064697C">
      <w:pPr>
        <w:pStyle w:val="Caption"/>
      </w:pPr>
      <w:bookmarkStart w:id="135" w:name="_Ref195885918"/>
      <w:bookmarkStart w:id="136" w:name="_Toc195887210"/>
      <w:r w:rsidRPr="00577499">
        <w:lastRenderedPageBreak/>
        <w:t xml:space="preserve">Table </w:t>
      </w:r>
      <w:r w:rsidR="00242EB7" w:rsidRPr="00577499">
        <w:fldChar w:fldCharType="begin"/>
      </w:r>
      <w:r w:rsidR="00242EB7" w:rsidRPr="00577499">
        <w:instrText xml:space="preserve"> STYLEREF 5 \s </w:instrText>
      </w:r>
      <w:r w:rsidR="00242EB7" w:rsidRPr="00577499">
        <w:fldChar w:fldCharType="separate"/>
      </w:r>
      <w:r w:rsidR="00242EB7" w:rsidRPr="00577499">
        <w:t>C</w:t>
      </w:r>
      <w:r w:rsidR="00242EB7" w:rsidRPr="00577499">
        <w:fldChar w:fldCharType="end"/>
      </w:r>
      <w:r w:rsidR="00242EB7" w:rsidRPr="00577499">
        <w:noBreakHyphen/>
      </w:r>
      <w:r w:rsidR="00242EB7" w:rsidRPr="00577499">
        <w:fldChar w:fldCharType="begin"/>
      </w:r>
      <w:r w:rsidR="00242EB7" w:rsidRPr="00577499">
        <w:instrText xml:space="preserve"> SEQ Table_Apx \* ARABIC \s 5 </w:instrText>
      </w:r>
      <w:r w:rsidR="00242EB7" w:rsidRPr="00577499">
        <w:fldChar w:fldCharType="separate"/>
      </w:r>
      <w:r w:rsidR="00242EB7" w:rsidRPr="00577499">
        <w:t>1</w:t>
      </w:r>
      <w:r w:rsidR="00242EB7" w:rsidRPr="00577499">
        <w:fldChar w:fldCharType="end"/>
      </w:r>
      <w:bookmarkEnd w:id="135"/>
      <w:r w:rsidR="00242EB7" w:rsidRPr="00577499">
        <w:t>.</w:t>
      </w:r>
      <w:bookmarkEnd w:id="124"/>
      <w:r w:rsidR="00146DF1" w:rsidRPr="00470827" w:rsidDel="00146395">
        <w:t xml:space="preserve"> </w:t>
      </w:r>
      <w:bookmarkEnd w:id="125"/>
      <w:bookmarkEnd w:id="126"/>
      <w:bookmarkEnd w:id="127"/>
      <w:bookmarkEnd w:id="128"/>
      <w:bookmarkEnd w:id="129"/>
      <w:bookmarkEnd w:id="130"/>
      <w:bookmarkEnd w:id="131"/>
      <w:bookmarkEnd w:id="132"/>
      <w:bookmarkEnd w:id="133"/>
      <w:r w:rsidR="00146DF1" w:rsidRPr="00470827">
        <w:t>Verified Cost Effectiveness Inputs</w:t>
      </w:r>
      <w:bookmarkStart w:id="137" w:name="Table_B_1"/>
      <w:bookmarkEnd w:id="134"/>
      <w:bookmarkEnd w:id="136"/>
      <w:bookmarkEnd w:id="137"/>
    </w:p>
    <w:tbl>
      <w:tblPr>
        <w:tblW w:w="0" w:type="auto"/>
        <w:jc w:val="center"/>
        <w:tblLayout w:type="fixed"/>
        <w:tblLook w:val="0420" w:firstRow="1" w:lastRow="0" w:firstColumn="0" w:lastColumn="0" w:noHBand="0" w:noVBand="1"/>
      </w:tblPr>
      <w:tblGrid>
        <w:gridCol w:w="1890"/>
        <w:gridCol w:w="1800"/>
        <w:gridCol w:w="1530"/>
        <w:gridCol w:w="540"/>
        <w:gridCol w:w="1440"/>
        <w:gridCol w:w="1440"/>
        <w:gridCol w:w="1440"/>
        <w:gridCol w:w="1440"/>
        <w:gridCol w:w="1440"/>
        <w:gridCol w:w="1440"/>
        <w:gridCol w:w="1440"/>
      </w:tblGrid>
      <w:tr w:rsidR="00DE45F1" w14:paraId="7C0D543E" w14:textId="77777777" w:rsidTr="00DE45F1">
        <w:trPr>
          <w:tblHeader/>
          <w:jc w:val="center"/>
        </w:trPr>
        <w:tc>
          <w:tcPr>
            <w:tcW w:w="189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2D74A0E"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80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8BCCAB6"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153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DB98448"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5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11481AB"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BF49D9"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780E3AD"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6AB0F27"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B714AEC"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4540E08" w14:textId="34B646F8"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7AB41FE"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00F7521"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DE45F1" w14:paraId="62EF8B38" w14:textId="77777777" w:rsidTr="00DE45F1">
        <w:trPr>
          <w:jc w:val="center"/>
        </w:trPr>
        <w:tc>
          <w:tcPr>
            <w:tcW w:w="189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5C5E3"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80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73FB0"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Behavioral Savings</w:t>
            </w:r>
          </w:p>
        </w:tc>
        <w:tc>
          <w:tcPr>
            <w:tcW w:w="153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130733"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5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7F537"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6EF9D" w14:textId="6867D209"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541,890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30917"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F093E4"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6782D"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D5B58" w14:textId="50146DC3"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AE7537">
              <w:rPr>
                <w:rFonts w:ascii="Arial Narrow" w:eastAsia="DejaVu Sans" w:hAnsi="DejaVu Sans" w:cs="DejaVu Sans"/>
                <w:color w:val="000000"/>
                <w:sz w:val="20"/>
                <w:szCs w:val="20"/>
              </w:rPr>
              <w:t>1</w:t>
            </w:r>
            <w:r>
              <w:rPr>
                <w:rFonts w:ascii="Arial Narrow" w:eastAsia="DejaVu Sans" w:hAnsi="DejaVu Sans" w:cs="DejaVu Sans"/>
                <w:color w:val="000000"/>
                <w:sz w:val="20"/>
                <w:szCs w:val="20"/>
              </w:rPr>
              <w:t>,</w:t>
            </w:r>
            <w:r w:rsidRPr="00AE7537">
              <w:rPr>
                <w:rFonts w:ascii="Arial Narrow" w:eastAsia="DejaVu Sans" w:hAnsi="DejaVu Sans" w:cs="DejaVu Sans"/>
                <w:color w:val="000000"/>
                <w:sz w:val="20"/>
                <w:szCs w:val="20"/>
              </w:rPr>
              <w:t>152</w:t>
            </w:r>
            <w:r>
              <w:rPr>
                <w:rFonts w:ascii="Arial Narrow" w:eastAsia="DejaVu Sans" w:hAnsi="DejaVu Sans" w:cs="DejaVu Sans"/>
                <w:color w:val="000000"/>
                <w:sz w:val="20"/>
                <w:szCs w:val="20"/>
              </w:rPr>
              <w:t>,</w:t>
            </w:r>
            <w:r w:rsidRPr="00AE7537">
              <w:rPr>
                <w:rFonts w:ascii="Arial Narrow" w:eastAsia="DejaVu Sans" w:hAnsi="DejaVu Sans" w:cs="DejaVu Sans"/>
                <w:color w:val="000000"/>
                <w:sz w:val="20"/>
                <w:szCs w:val="20"/>
              </w:rPr>
              <w:t>590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628B2" w14:textId="4F3DC590"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3F374"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1,075,525</w:t>
            </w:r>
          </w:p>
        </w:tc>
      </w:tr>
      <w:tr w:rsidR="00DE45F1" w14:paraId="200B030C" w14:textId="77777777" w:rsidTr="00DE45F1">
        <w:trPr>
          <w:jc w:val="center"/>
        </w:trPr>
        <w:tc>
          <w:tcPr>
            <w:tcW w:w="3690" w:type="dxa"/>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DA58D0" w14:textId="10EDE1DF"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Total or Weighted Average</w:t>
            </w:r>
          </w:p>
        </w:tc>
        <w:tc>
          <w:tcPr>
            <w:tcW w:w="153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8DC536"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5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6D34B16"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F453BF"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3DBA00"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7.00</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157642"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6676CD"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E8727C" w14:textId="654FB643"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sidRPr="00AE7537">
              <w:rPr>
                <w:rFonts w:ascii="Arial Narrow" w:eastAsia="DejaVu Sans" w:hAnsi="DejaVu Sans" w:cs="DejaVu Sans"/>
                <w:b/>
                <w:color w:val="000000"/>
                <w:sz w:val="20"/>
                <w:szCs w:val="20"/>
              </w:rPr>
              <w:t>1</w:t>
            </w:r>
            <w:r>
              <w:rPr>
                <w:rFonts w:ascii="Arial Narrow" w:eastAsia="DejaVu Sans" w:hAnsi="DejaVu Sans" w:cs="DejaVu Sans"/>
                <w:b/>
                <w:color w:val="000000"/>
                <w:sz w:val="20"/>
                <w:szCs w:val="20"/>
              </w:rPr>
              <w:t>,</w:t>
            </w:r>
            <w:r w:rsidRPr="00AE7537">
              <w:rPr>
                <w:rFonts w:ascii="Arial Narrow" w:eastAsia="DejaVu Sans" w:hAnsi="DejaVu Sans" w:cs="DejaVu Sans"/>
                <w:b/>
                <w:color w:val="000000"/>
                <w:sz w:val="20"/>
                <w:szCs w:val="20"/>
              </w:rPr>
              <w:t>152</w:t>
            </w:r>
            <w:r>
              <w:rPr>
                <w:rFonts w:ascii="Arial Narrow" w:eastAsia="DejaVu Sans" w:hAnsi="DejaVu Sans" w:cs="DejaVu Sans"/>
                <w:b/>
                <w:color w:val="000000"/>
                <w:sz w:val="20"/>
                <w:szCs w:val="20"/>
              </w:rPr>
              <w:t>,</w:t>
            </w:r>
            <w:r w:rsidRPr="00AE7537">
              <w:rPr>
                <w:rFonts w:ascii="Arial Narrow" w:eastAsia="DejaVu Sans" w:hAnsi="DejaVu Sans" w:cs="DejaVu Sans"/>
                <w:b/>
                <w:color w:val="000000"/>
                <w:sz w:val="20"/>
                <w:szCs w:val="20"/>
              </w:rPr>
              <w:t>590</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7CDAFD"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E9CA84" w14:textId="77777777" w:rsidR="00DE45F1" w:rsidRDefault="00DE45F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1,075,525</w:t>
            </w:r>
          </w:p>
        </w:tc>
      </w:tr>
    </w:tbl>
    <w:p w14:paraId="618095B6" w14:textId="77777777" w:rsidR="00146DF1" w:rsidRPr="00D12853" w:rsidRDefault="00146DF1" w:rsidP="00DE45F1">
      <w:pPr>
        <w:pStyle w:val="Source"/>
        <w:ind w:firstLine="720"/>
        <w:rPr>
          <w:i w:val="0"/>
        </w:rPr>
      </w:pPr>
      <w:r w:rsidRPr="00857AE2">
        <w:t>Source: Evaluation team analysis</w:t>
      </w:r>
    </w:p>
    <w:p w14:paraId="1CFC435B" w14:textId="1ACB59C3" w:rsidR="00146DF1" w:rsidRDefault="00146DF1" w:rsidP="00F20206"/>
    <w:sectPr w:rsidR="00146DF1" w:rsidSect="005A107C">
      <w:headerReference w:type="default" r:id="rId27"/>
      <w:footerReference w:type="default" r:id="rId28"/>
      <w:type w:val="continuous"/>
      <w:pgSz w:w="2016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836E" w14:textId="77777777" w:rsidR="00D926C8" w:rsidRDefault="00D926C8">
      <w:pPr>
        <w:spacing w:before="0" w:after="0"/>
      </w:pPr>
      <w:r>
        <w:separator/>
      </w:r>
    </w:p>
  </w:endnote>
  <w:endnote w:type="continuationSeparator" w:id="0">
    <w:p w14:paraId="5A863165" w14:textId="77777777" w:rsidR="00D926C8" w:rsidRDefault="00D926C8">
      <w:pPr>
        <w:spacing w:before="0" w:after="0"/>
      </w:pPr>
      <w:r>
        <w:continuationSeparator/>
      </w:r>
    </w:p>
  </w:endnote>
  <w:endnote w:type="continuationNotice" w:id="1">
    <w:p w14:paraId="522BA1D5" w14:textId="77777777" w:rsidR="00D926C8" w:rsidRDefault="00D926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77CE" w14:textId="77777777" w:rsidR="00146DF1" w:rsidRDefault="00146DF1"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1B00DC" w14:textId="77777777" w:rsidR="00146DF1" w:rsidRDefault="00146DF1"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7CD9" w14:textId="77777777" w:rsidR="00146DF1" w:rsidRPr="006B38AE" w:rsidRDefault="00146DF1"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70343450" w14:textId="77777777" w:rsidTr="0022388A">
      <w:trPr>
        <w:trHeight w:val="144"/>
        <w:jc w:val="center"/>
      </w:trPr>
      <w:tc>
        <w:tcPr>
          <w:tcW w:w="7470" w:type="dxa"/>
          <w:tcBorders>
            <w:top w:val="single" w:sz="8" w:space="0" w:color="8C8C8C"/>
            <w:left w:val="nil"/>
            <w:bottom w:val="nil"/>
          </w:tcBorders>
        </w:tcPr>
        <w:p w14:paraId="4D1A9AC9" w14:textId="77777777" w:rsidR="00146DF1" w:rsidRPr="00582062" w:rsidRDefault="00146DF1" w:rsidP="006B38AE">
          <w:pPr>
            <w:pStyle w:val="Footer"/>
            <w:spacing w:before="120"/>
            <w:rPr>
              <w:sz w:val="2"/>
              <w:szCs w:val="2"/>
            </w:rPr>
          </w:pPr>
        </w:p>
      </w:tc>
      <w:tc>
        <w:tcPr>
          <w:tcW w:w="1890" w:type="dxa"/>
          <w:tcBorders>
            <w:top w:val="single" w:sz="8" w:space="0" w:color="8C8C8C"/>
          </w:tcBorders>
        </w:tcPr>
        <w:p w14:paraId="10B0F859" w14:textId="77777777" w:rsidR="00146DF1" w:rsidRPr="00582062" w:rsidRDefault="00146DF1" w:rsidP="006B38AE">
          <w:pPr>
            <w:pStyle w:val="Footer"/>
            <w:spacing w:before="120"/>
            <w:jc w:val="right"/>
            <w:rPr>
              <w:sz w:val="2"/>
              <w:szCs w:val="2"/>
            </w:rPr>
          </w:pPr>
        </w:p>
      </w:tc>
    </w:tr>
    <w:tr w:rsidR="004F0F97" w:rsidRPr="00EA2FA5" w14:paraId="01DCDE9A" w14:textId="77777777" w:rsidTr="0022388A">
      <w:trPr>
        <w:trHeight w:val="195"/>
        <w:jc w:val="center"/>
      </w:trPr>
      <w:tc>
        <w:tcPr>
          <w:tcW w:w="7470" w:type="dxa"/>
          <w:tcBorders>
            <w:top w:val="nil"/>
            <w:left w:val="nil"/>
          </w:tcBorders>
          <w:vAlign w:val="center"/>
        </w:tcPr>
        <w:p w14:paraId="1DC7D3EE" w14:textId="77777777" w:rsidR="00146DF1" w:rsidRPr="0075421C" w:rsidRDefault="00146DF1" w:rsidP="006B38AE">
          <w:pPr>
            <w:pStyle w:val="Footer"/>
            <w:rPr>
              <w:i/>
              <w:iCs/>
              <w:sz w:val="18"/>
            </w:rPr>
          </w:pPr>
          <w:r w:rsidRPr="007B1C67">
            <w:rPr>
              <w:rFonts w:cs="Arial"/>
              <w:sz w:val="18"/>
              <w:szCs w:val="18"/>
            </w:rPr>
            <w:t>Guidehouse Inc.</w:t>
          </w:r>
        </w:p>
      </w:tc>
      <w:tc>
        <w:tcPr>
          <w:tcW w:w="1890" w:type="dxa"/>
          <w:vAlign w:val="center"/>
        </w:tcPr>
        <w:p w14:paraId="161A1679" w14:textId="77777777" w:rsidR="00146DF1" w:rsidRPr="0075421C" w:rsidRDefault="00146DF1"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15467BB" w14:textId="77777777" w:rsidR="00146DF1" w:rsidRPr="000C64C5" w:rsidRDefault="00146DF1" w:rsidP="006B38AE">
    <w:pPr>
      <w:pStyle w:val="Footer"/>
      <w:ind w:right="360"/>
      <w:rPr>
        <w:sz w:val="2"/>
        <w:szCs w:val="2"/>
      </w:rPr>
    </w:pPr>
  </w:p>
  <w:p w14:paraId="6E1C23BC" w14:textId="77777777" w:rsidR="00146DF1" w:rsidRPr="008B6585" w:rsidRDefault="00146DF1"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55667B" w:rsidRPr="00582062" w14:paraId="5580947A" w14:textId="77777777" w:rsidTr="0022388A">
      <w:trPr>
        <w:trHeight w:val="144"/>
        <w:jc w:val="center"/>
      </w:trPr>
      <w:tc>
        <w:tcPr>
          <w:tcW w:w="7470" w:type="dxa"/>
          <w:tcBorders>
            <w:top w:val="single" w:sz="8" w:space="0" w:color="8C8C8C"/>
            <w:left w:val="nil"/>
            <w:bottom w:val="nil"/>
          </w:tcBorders>
        </w:tcPr>
        <w:p w14:paraId="2E3C962F" w14:textId="77777777" w:rsidR="0055667B" w:rsidRPr="00582062" w:rsidRDefault="0055667B" w:rsidP="006B38AE">
          <w:pPr>
            <w:pStyle w:val="Footer"/>
            <w:spacing w:before="120"/>
            <w:rPr>
              <w:sz w:val="2"/>
              <w:szCs w:val="2"/>
            </w:rPr>
          </w:pPr>
        </w:p>
      </w:tc>
      <w:tc>
        <w:tcPr>
          <w:tcW w:w="1890" w:type="dxa"/>
          <w:tcBorders>
            <w:top w:val="single" w:sz="8" w:space="0" w:color="8C8C8C"/>
          </w:tcBorders>
        </w:tcPr>
        <w:p w14:paraId="655A5520" w14:textId="77777777" w:rsidR="0055667B" w:rsidRPr="00582062" w:rsidRDefault="0055667B" w:rsidP="006B38AE">
          <w:pPr>
            <w:pStyle w:val="Footer"/>
            <w:spacing w:before="120"/>
            <w:jc w:val="right"/>
            <w:rPr>
              <w:sz w:val="2"/>
              <w:szCs w:val="2"/>
            </w:rPr>
          </w:pPr>
        </w:p>
      </w:tc>
    </w:tr>
    <w:tr w:rsidR="0055667B" w:rsidRPr="00EA2FA5" w14:paraId="3B9069D8" w14:textId="77777777" w:rsidTr="0022388A">
      <w:trPr>
        <w:trHeight w:val="195"/>
        <w:jc w:val="center"/>
      </w:trPr>
      <w:tc>
        <w:tcPr>
          <w:tcW w:w="7470" w:type="dxa"/>
          <w:tcBorders>
            <w:top w:val="nil"/>
            <w:left w:val="nil"/>
          </w:tcBorders>
          <w:vAlign w:val="center"/>
        </w:tcPr>
        <w:p w14:paraId="40CCDCB8" w14:textId="77777777" w:rsidR="0055667B" w:rsidRPr="0075421C" w:rsidRDefault="0055667B" w:rsidP="006B38AE">
          <w:pPr>
            <w:pStyle w:val="Footer"/>
            <w:rPr>
              <w:i/>
              <w:iCs/>
              <w:sz w:val="18"/>
            </w:rPr>
          </w:pPr>
          <w:r w:rsidRPr="007B1C67">
            <w:rPr>
              <w:rFonts w:cs="Arial"/>
              <w:sz w:val="18"/>
              <w:szCs w:val="18"/>
            </w:rPr>
            <w:t>Guidehouse Inc.</w:t>
          </w:r>
        </w:p>
      </w:tc>
      <w:tc>
        <w:tcPr>
          <w:tcW w:w="1890" w:type="dxa"/>
          <w:vAlign w:val="center"/>
        </w:tcPr>
        <w:p w14:paraId="0E3C54DD" w14:textId="27044C30" w:rsidR="0055667B" w:rsidRPr="0075421C" w:rsidRDefault="0055667B" w:rsidP="006B38AE">
          <w:pPr>
            <w:pStyle w:val="Footer"/>
            <w:jc w:val="right"/>
            <w:rPr>
              <w:rStyle w:val="PageNumber"/>
              <w:sz w:val="18"/>
            </w:rPr>
          </w:pPr>
          <w:r w:rsidRPr="0075421C">
            <w:rPr>
              <w:rStyle w:val="PageNumber"/>
              <w:sz w:val="18"/>
            </w:rPr>
            <w:t xml:space="preserve">Page </w:t>
          </w:r>
          <w:r w:rsidRPr="0055667B">
            <w:rPr>
              <w:rStyle w:val="PageNumber"/>
              <w:sz w:val="18"/>
            </w:rPr>
            <w:fldChar w:fldCharType="begin"/>
          </w:r>
          <w:r w:rsidRPr="0055667B">
            <w:rPr>
              <w:rStyle w:val="PageNumber"/>
              <w:sz w:val="18"/>
            </w:rPr>
            <w:instrText xml:space="preserve"> PAGE   \* MERGEFORMAT </w:instrText>
          </w:r>
          <w:r w:rsidRPr="0055667B">
            <w:rPr>
              <w:rStyle w:val="PageNumber"/>
              <w:sz w:val="18"/>
            </w:rPr>
            <w:fldChar w:fldCharType="separate"/>
          </w:r>
          <w:r w:rsidRPr="0055667B">
            <w:rPr>
              <w:rStyle w:val="PageNumber"/>
              <w:noProof/>
              <w:sz w:val="18"/>
            </w:rPr>
            <w:t>1</w:t>
          </w:r>
          <w:r w:rsidRPr="0055667B">
            <w:rPr>
              <w:rStyle w:val="PageNumber"/>
              <w:noProof/>
              <w:sz w:val="18"/>
            </w:rPr>
            <w:fldChar w:fldCharType="end"/>
          </w:r>
        </w:p>
      </w:tc>
    </w:tr>
  </w:tbl>
  <w:p w14:paraId="2E3948DB" w14:textId="77777777" w:rsidR="0055667B" w:rsidRPr="000C64C5" w:rsidRDefault="0055667B" w:rsidP="006B38AE">
    <w:pPr>
      <w:pStyle w:val="Footer"/>
      <w:ind w:right="360"/>
      <w:rPr>
        <w:sz w:val="2"/>
        <w:szCs w:val="2"/>
      </w:rPr>
    </w:pPr>
  </w:p>
  <w:p w14:paraId="66ACB4AD" w14:textId="77777777" w:rsidR="0055667B" w:rsidRPr="008B6585" w:rsidRDefault="0055667B"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B334B5" w:rsidRPr="00582062" w14:paraId="0BD958A6" w14:textId="77777777" w:rsidTr="00B334B5">
      <w:trPr>
        <w:trHeight w:val="144"/>
        <w:jc w:val="center"/>
      </w:trPr>
      <w:tc>
        <w:tcPr>
          <w:tcW w:w="3990" w:type="pct"/>
          <w:tcBorders>
            <w:top w:val="single" w:sz="8" w:space="0" w:color="8C8C8C"/>
            <w:left w:val="nil"/>
            <w:bottom w:val="nil"/>
          </w:tcBorders>
        </w:tcPr>
        <w:p w14:paraId="7E66983A" w14:textId="77777777" w:rsidR="00B334B5" w:rsidRPr="00582062" w:rsidRDefault="00B334B5" w:rsidP="006B38AE">
          <w:pPr>
            <w:pStyle w:val="Footer"/>
            <w:spacing w:before="120"/>
            <w:rPr>
              <w:sz w:val="2"/>
              <w:szCs w:val="2"/>
            </w:rPr>
          </w:pPr>
        </w:p>
      </w:tc>
      <w:tc>
        <w:tcPr>
          <w:tcW w:w="1010" w:type="pct"/>
          <w:tcBorders>
            <w:top w:val="single" w:sz="8" w:space="0" w:color="8C8C8C"/>
          </w:tcBorders>
        </w:tcPr>
        <w:p w14:paraId="40EAD425" w14:textId="77777777" w:rsidR="00B334B5" w:rsidRPr="00582062" w:rsidRDefault="00B334B5" w:rsidP="006B38AE">
          <w:pPr>
            <w:pStyle w:val="Footer"/>
            <w:spacing w:before="120"/>
            <w:jc w:val="right"/>
            <w:rPr>
              <w:sz w:val="2"/>
              <w:szCs w:val="2"/>
            </w:rPr>
          </w:pPr>
        </w:p>
      </w:tc>
    </w:tr>
    <w:tr w:rsidR="00B334B5" w:rsidRPr="00EA2FA5" w14:paraId="35D6FCFE" w14:textId="77777777" w:rsidTr="00B334B5">
      <w:trPr>
        <w:trHeight w:val="195"/>
        <w:jc w:val="center"/>
      </w:trPr>
      <w:tc>
        <w:tcPr>
          <w:tcW w:w="3990" w:type="pct"/>
          <w:tcBorders>
            <w:top w:val="nil"/>
            <w:left w:val="nil"/>
          </w:tcBorders>
          <w:vAlign w:val="center"/>
        </w:tcPr>
        <w:p w14:paraId="2C2A9D8A" w14:textId="77777777" w:rsidR="00B334B5" w:rsidRPr="0075421C" w:rsidRDefault="00B334B5" w:rsidP="006B38AE">
          <w:pPr>
            <w:pStyle w:val="Footer"/>
            <w:rPr>
              <w:i/>
              <w:iCs/>
              <w:sz w:val="18"/>
            </w:rPr>
          </w:pPr>
          <w:r w:rsidRPr="007B1C67">
            <w:rPr>
              <w:rFonts w:cs="Arial"/>
              <w:sz w:val="18"/>
              <w:szCs w:val="18"/>
            </w:rPr>
            <w:t>Guidehouse Inc.</w:t>
          </w:r>
        </w:p>
      </w:tc>
      <w:tc>
        <w:tcPr>
          <w:tcW w:w="1010" w:type="pct"/>
          <w:vAlign w:val="center"/>
        </w:tcPr>
        <w:p w14:paraId="79EA8AAD" w14:textId="77777777" w:rsidR="00B334B5" w:rsidRPr="0075421C" w:rsidRDefault="00B334B5" w:rsidP="006B38AE">
          <w:pPr>
            <w:pStyle w:val="Footer"/>
            <w:jc w:val="right"/>
            <w:rPr>
              <w:rStyle w:val="PageNumber"/>
              <w:sz w:val="18"/>
            </w:rPr>
          </w:pPr>
          <w:r w:rsidRPr="0075421C">
            <w:rPr>
              <w:rStyle w:val="PageNumber"/>
              <w:sz w:val="18"/>
            </w:rPr>
            <w:t xml:space="preserve">Page </w:t>
          </w:r>
          <w:r w:rsidRPr="0055667B">
            <w:rPr>
              <w:rStyle w:val="PageNumber"/>
              <w:sz w:val="18"/>
            </w:rPr>
            <w:fldChar w:fldCharType="begin"/>
          </w:r>
          <w:r w:rsidRPr="0055667B">
            <w:rPr>
              <w:rStyle w:val="PageNumber"/>
              <w:sz w:val="18"/>
            </w:rPr>
            <w:instrText xml:space="preserve"> PAGE   \* MERGEFORMAT </w:instrText>
          </w:r>
          <w:r w:rsidRPr="0055667B">
            <w:rPr>
              <w:rStyle w:val="PageNumber"/>
              <w:sz w:val="18"/>
            </w:rPr>
            <w:fldChar w:fldCharType="separate"/>
          </w:r>
          <w:r w:rsidRPr="0055667B">
            <w:rPr>
              <w:rStyle w:val="PageNumber"/>
              <w:noProof/>
              <w:sz w:val="18"/>
            </w:rPr>
            <w:t>1</w:t>
          </w:r>
          <w:r w:rsidRPr="0055667B">
            <w:rPr>
              <w:rStyle w:val="PageNumber"/>
              <w:noProof/>
              <w:sz w:val="18"/>
            </w:rPr>
            <w:fldChar w:fldCharType="end"/>
          </w:r>
        </w:p>
      </w:tc>
    </w:tr>
  </w:tbl>
  <w:p w14:paraId="13B476B7" w14:textId="77777777" w:rsidR="00B334B5" w:rsidRPr="000C64C5" w:rsidRDefault="00B334B5" w:rsidP="006B38AE">
    <w:pPr>
      <w:pStyle w:val="Footer"/>
      <w:ind w:right="360"/>
      <w:rPr>
        <w:sz w:val="2"/>
        <w:szCs w:val="2"/>
      </w:rPr>
    </w:pPr>
  </w:p>
  <w:p w14:paraId="0D3B072D" w14:textId="77777777" w:rsidR="009476A4" w:rsidRPr="008B6585" w:rsidRDefault="009476A4">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7469"/>
      <w:gridCol w:w="1891"/>
    </w:tblGrid>
    <w:tr w:rsidR="00DA36B3" w:rsidRPr="00582062" w14:paraId="7E281598" w14:textId="77777777" w:rsidTr="00B334B5">
      <w:trPr>
        <w:trHeight w:val="144"/>
        <w:jc w:val="center"/>
      </w:trPr>
      <w:tc>
        <w:tcPr>
          <w:tcW w:w="3990" w:type="pct"/>
          <w:tcBorders>
            <w:top w:val="single" w:sz="8" w:space="0" w:color="8C8C8C"/>
            <w:left w:val="nil"/>
            <w:bottom w:val="nil"/>
          </w:tcBorders>
        </w:tcPr>
        <w:p w14:paraId="1EA589E7" w14:textId="77777777" w:rsidR="00DA36B3" w:rsidRPr="00582062" w:rsidRDefault="00DA36B3" w:rsidP="006B38AE">
          <w:pPr>
            <w:pStyle w:val="Footer"/>
            <w:spacing w:before="120"/>
            <w:rPr>
              <w:sz w:val="2"/>
              <w:szCs w:val="2"/>
            </w:rPr>
          </w:pPr>
        </w:p>
      </w:tc>
      <w:tc>
        <w:tcPr>
          <w:tcW w:w="1010" w:type="pct"/>
          <w:tcBorders>
            <w:top w:val="single" w:sz="8" w:space="0" w:color="8C8C8C"/>
          </w:tcBorders>
        </w:tcPr>
        <w:p w14:paraId="4FA81485" w14:textId="77777777" w:rsidR="00DA36B3" w:rsidRPr="00582062" w:rsidRDefault="00DA36B3" w:rsidP="006B38AE">
          <w:pPr>
            <w:pStyle w:val="Footer"/>
            <w:spacing w:before="120"/>
            <w:jc w:val="right"/>
            <w:rPr>
              <w:sz w:val="2"/>
              <w:szCs w:val="2"/>
            </w:rPr>
          </w:pPr>
        </w:p>
      </w:tc>
    </w:tr>
    <w:tr w:rsidR="00DA36B3" w:rsidRPr="00EA2FA5" w14:paraId="1AFC31EF" w14:textId="77777777" w:rsidTr="00B334B5">
      <w:trPr>
        <w:trHeight w:val="195"/>
        <w:jc w:val="center"/>
      </w:trPr>
      <w:tc>
        <w:tcPr>
          <w:tcW w:w="3990" w:type="pct"/>
          <w:tcBorders>
            <w:top w:val="nil"/>
            <w:left w:val="nil"/>
          </w:tcBorders>
          <w:vAlign w:val="center"/>
        </w:tcPr>
        <w:p w14:paraId="62D15BE8" w14:textId="77777777" w:rsidR="00DA36B3" w:rsidRPr="0075421C" w:rsidRDefault="00DA36B3" w:rsidP="006B38AE">
          <w:pPr>
            <w:pStyle w:val="Footer"/>
            <w:rPr>
              <w:i/>
              <w:iCs/>
              <w:sz w:val="18"/>
            </w:rPr>
          </w:pPr>
          <w:r w:rsidRPr="007B1C67">
            <w:rPr>
              <w:rFonts w:cs="Arial"/>
              <w:sz w:val="18"/>
              <w:szCs w:val="18"/>
            </w:rPr>
            <w:t>Guidehouse Inc.</w:t>
          </w:r>
        </w:p>
      </w:tc>
      <w:tc>
        <w:tcPr>
          <w:tcW w:w="1010" w:type="pct"/>
          <w:vAlign w:val="center"/>
        </w:tcPr>
        <w:p w14:paraId="14BFBE82" w14:textId="77777777" w:rsidR="00DA36B3" w:rsidRPr="0075421C" w:rsidRDefault="00DA36B3" w:rsidP="006B38AE">
          <w:pPr>
            <w:pStyle w:val="Footer"/>
            <w:jc w:val="right"/>
            <w:rPr>
              <w:rStyle w:val="PageNumber"/>
              <w:sz w:val="18"/>
            </w:rPr>
          </w:pPr>
          <w:r w:rsidRPr="0075421C">
            <w:rPr>
              <w:rStyle w:val="PageNumber"/>
              <w:sz w:val="18"/>
            </w:rPr>
            <w:t xml:space="preserve">Page </w:t>
          </w:r>
          <w:r w:rsidRPr="0055667B">
            <w:rPr>
              <w:rStyle w:val="PageNumber"/>
              <w:sz w:val="18"/>
            </w:rPr>
            <w:fldChar w:fldCharType="begin"/>
          </w:r>
          <w:r w:rsidRPr="0055667B">
            <w:rPr>
              <w:rStyle w:val="PageNumber"/>
              <w:sz w:val="18"/>
            </w:rPr>
            <w:instrText xml:space="preserve"> PAGE   \* MERGEFORMAT </w:instrText>
          </w:r>
          <w:r w:rsidRPr="0055667B">
            <w:rPr>
              <w:rStyle w:val="PageNumber"/>
              <w:sz w:val="18"/>
            </w:rPr>
            <w:fldChar w:fldCharType="separate"/>
          </w:r>
          <w:r w:rsidRPr="0055667B">
            <w:rPr>
              <w:rStyle w:val="PageNumber"/>
              <w:noProof/>
              <w:sz w:val="18"/>
            </w:rPr>
            <w:t>1</w:t>
          </w:r>
          <w:r w:rsidRPr="0055667B">
            <w:rPr>
              <w:rStyle w:val="PageNumber"/>
              <w:noProof/>
              <w:sz w:val="18"/>
            </w:rPr>
            <w:fldChar w:fldCharType="end"/>
          </w:r>
        </w:p>
      </w:tc>
    </w:tr>
  </w:tbl>
  <w:p w14:paraId="581453D9" w14:textId="77777777" w:rsidR="00DA36B3" w:rsidRPr="000C64C5" w:rsidRDefault="00DA36B3" w:rsidP="006B38AE">
    <w:pPr>
      <w:pStyle w:val="Footer"/>
      <w:ind w:right="360"/>
      <w:rPr>
        <w:sz w:val="2"/>
        <w:szCs w:val="2"/>
      </w:rPr>
    </w:pPr>
  </w:p>
  <w:p w14:paraId="1EE18440" w14:textId="77777777" w:rsidR="00DA36B3" w:rsidRPr="008B6585" w:rsidRDefault="00DA36B3" w:rsidP="006B38AE">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3789"/>
      <w:gridCol w:w="3491"/>
    </w:tblGrid>
    <w:tr w:rsidR="005C6E53" w:rsidRPr="00582062" w14:paraId="711020B8" w14:textId="77777777" w:rsidTr="005C6E53">
      <w:trPr>
        <w:trHeight w:val="144"/>
        <w:jc w:val="center"/>
      </w:trPr>
      <w:tc>
        <w:tcPr>
          <w:tcW w:w="3990" w:type="pct"/>
          <w:tcBorders>
            <w:top w:val="single" w:sz="8" w:space="0" w:color="8C8C8C"/>
            <w:left w:val="nil"/>
            <w:bottom w:val="nil"/>
          </w:tcBorders>
        </w:tcPr>
        <w:p w14:paraId="09C66175" w14:textId="77777777" w:rsidR="00146DF1" w:rsidRPr="00582062" w:rsidRDefault="00146DF1" w:rsidP="006B38AE">
          <w:pPr>
            <w:pStyle w:val="Footer"/>
            <w:spacing w:before="120"/>
            <w:rPr>
              <w:sz w:val="2"/>
              <w:szCs w:val="2"/>
            </w:rPr>
          </w:pPr>
        </w:p>
      </w:tc>
      <w:tc>
        <w:tcPr>
          <w:tcW w:w="1010" w:type="pct"/>
          <w:tcBorders>
            <w:top w:val="single" w:sz="8" w:space="0" w:color="8C8C8C"/>
          </w:tcBorders>
        </w:tcPr>
        <w:p w14:paraId="1A9569FF" w14:textId="77777777" w:rsidR="00146DF1" w:rsidRPr="00582062" w:rsidRDefault="00146DF1" w:rsidP="006B38AE">
          <w:pPr>
            <w:pStyle w:val="Footer"/>
            <w:spacing w:before="120"/>
            <w:jc w:val="right"/>
            <w:rPr>
              <w:sz w:val="2"/>
              <w:szCs w:val="2"/>
            </w:rPr>
          </w:pPr>
        </w:p>
      </w:tc>
    </w:tr>
    <w:tr w:rsidR="005C6E53" w:rsidRPr="00EA2FA5" w14:paraId="6F43AEAF" w14:textId="77777777" w:rsidTr="005C6E53">
      <w:trPr>
        <w:trHeight w:val="195"/>
        <w:jc w:val="center"/>
      </w:trPr>
      <w:tc>
        <w:tcPr>
          <w:tcW w:w="3990" w:type="pct"/>
          <w:tcBorders>
            <w:top w:val="nil"/>
            <w:left w:val="nil"/>
          </w:tcBorders>
          <w:vAlign w:val="center"/>
        </w:tcPr>
        <w:p w14:paraId="12C41ED2" w14:textId="77777777" w:rsidR="00146DF1" w:rsidRPr="0075421C" w:rsidRDefault="00146DF1" w:rsidP="006B38AE">
          <w:pPr>
            <w:pStyle w:val="Footer"/>
            <w:rPr>
              <w:i/>
              <w:iCs/>
              <w:sz w:val="18"/>
            </w:rPr>
          </w:pPr>
          <w:r w:rsidRPr="007B1C67">
            <w:rPr>
              <w:rFonts w:cs="Arial"/>
              <w:sz w:val="18"/>
              <w:szCs w:val="18"/>
            </w:rPr>
            <w:t>Guidehouse Inc.</w:t>
          </w:r>
        </w:p>
      </w:tc>
      <w:tc>
        <w:tcPr>
          <w:tcW w:w="1010" w:type="pct"/>
          <w:vAlign w:val="center"/>
        </w:tcPr>
        <w:p w14:paraId="08DF0807" w14:textId="77777777" w:rsidR="00146DF1" w:rsidRPr="0075421C" w:rsidRDefault="00146DF1"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2916DFB" w14:textId="77777777" w:rsidR="00146DF1" w:rsidRPr="000C64C5" w:rsidRDefault="00146DF1" w:rsidP="006B38AE">
    <w:pPr>
      <w:pStyle w:val="Footer"/>
      <w:ind w:right="360"/>
      <w:rPr>
        <w:sz w:val="2"/>
        <w:szCs w:val="2"/>
      </w:rPr>
    </w:pPr>
  </w:p>
  <w:p w14:paraId="7034FA24" w14:textId="77777777" w:rsidR="00146DF1" w:rsidRPr="008B6585" w:rsidRDefault="00146DF1"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B9EE" w14:textId="77777777" w:rsidR="00D926C8" w:rsidRDefault="00D926C8">
      <w:pPr>
        <w:spacing w:before="0" w:after="0"/>
      </w:pPr>
      <w:r>
        <w:separator/>
      </w:r>
    </w:p>
  </w:footnote>
  <w:footnote w:type="continuationSeparator" w:id="0">
    <w:p w14:paraId="7376F465" w14:textId="77777777" w:rsidR="00D926C8" w:rsidRDefault="00D926C8">
      <w:pPr>
        <w:spacing w:before="0" w:after="0"/>
      </w:pPr>
      <w:r>
        <w:continuationSeparator/>
      </w:r>
    </w:p>
  </w:footnote>
  <w:footnote w:type="continuationNotice" w:id="1">
    <w:p w14:paraId="29110486" w14:textId="77777777" w:rsidR="00D926C8" w:rsidRDefault="00D926C8">
      <w:pPr>
        <w:spacing w:before="0" w:after="0"/>
      </w:pPr>
    </w:p>
  </w:footnote>
  <w:footnote w:id="2">
    <w:p w14:paraId="57033717" w14:textId="30AA7420" w:rsidR="00EE614F" w:rsidRDefault="00EE614F" w:rsidP="00EE614F">
      <w:pPr>
        <w:pStyle w:val="FootnoteText"/>
      </w:pPr>
      <w:r>
        <w:rPr>
          <w:rStyle w:val="FootnoteReference"/>
        </w:rPr>
        <w:footnoteRef/>
      </w:r>
      <w:r>
        <w:t xml:space="preserve"> The implementer for this program switched between CY2021 and CY2022. Waves 1-3 in this report match the implementer designations from CY2021 and map, respectively to 201910_g, 202011_g, and 202009_g for the current implementer.</w:t>
      </w:r>
    </w:p>
  </w:footnote>
  <w:footnote w:id="3">
    <w:p w14:paraId="48445DE7" w14:textId="7496B150" w:rsidR="00EE614F" w:rsidRPr="00AA612E" w:rsidRDefault="00EE614F" w:rsidP="00EE614F">
      <w:pPr>
        <w:pStyle w:val="FootnoteText"/>
        <w:rPr>
          <w:szCs w:val="18"/>
        </w:rPr>
      </w:pPr>
      <w:r w:rsidRPr="00AA612E">
        <w:rPr>
          <w:rStyle w:val="FootnoteReference"/>
          <w:szCs w:val="18"/>
        </w:rPr>
        <w:footnoteRef/>
      </w:r>
      <w:r w:rsidRPr="00AA612E">
        <w:rPr>
          <w:szCs w:val="18"/>
        </w:rPr>
        <w:t xml:space="preserve"> </w:t>
      </w:r>
      <w:r>
        <w:rPr>
          <w:rFonts w:cs="Arial"/>
          <w:szCs w:val="18"/>
        </w:rPr>
        <w:t>See Appendix</w:t>
      </w:r>
      <w:r w:rsidR="00D55C51">
        <w:rPr>
          <w:rFonts w:cs="Arial"/>
          <w:szCs w:val="18"/>
        </w:rPr>
        <w:t xml:space="preserve"> Accounting for Uplift in Other Energy Efficiency Programs</w:t>
      </w:r>
      <w:r w:rsidRPr="00AA612E">
        <w:rPr>
          <w:rFonts w:cs="Arial"/>
          <w:szCs w:val="18"/>
        </w:rPr>
        <w:t>.</w:t>
      </w:r>
    </w:p>
  </w:footnote>
  <w:footnote w:id="4">
    <w:p w14:paraId="01D34781" w14:textId="63F8DCE7" w:rsidR="00EE614F" w:rsidRPr="00AA612E" w:rsidRDefault="00EE614F" w:rsidP="00EE614F">
      <w:pPr>
        <w:pStyle w:val="FootnoteText"/>
        <w:rPr>
          <w:szCs w:val="18"/>
        </w:rPr>
      </w:pPr>
      <w:r w:rsidRPr="00AA612E">
        <w:rPr>
          <w:rStyle w:val="FootnoteReference"/>
          <w:szCs w:val="18"/>
        </w:rPr>
        <w:footnoteRef/>
      </w:r>
      <w:r w:rsidRPr="00AA612E">
        <w:rPr>
          <w:szCs w:val="18"/>
        </w:rPr>
        <w:t xml:space="preserve"> See </w:t>
      </w:r>
      <w:r>
        <w:rPr>
          <w:szCs w:val="18"/>
        </w:rPr>
        <w:t>IL-</w:t>
      </w:r>
      <w:r w:rsidRPr="00AA612E">
        <w:rPr>
          <w:szCs w:val="18"/>
        </w:rPr>
        <w:t xml:space="preserve">TRM, Measure 6.1.1, Volume 4, Version </w:t>
      </w:r>
      <w:r>
        <w:rPr>
          <w:szCs w:val="18"/>
        </w:rPr>
        <w:t>1</w:t>
      </w:r>
      <w:r w:rsidR="00D55C51">
        <w:rPr>
          <w:szCs w:val="18"/>
        </w:rPr>
        <w:t>2</w:t>
      </w:r>
      <w:r w:rsidRPr="00AA612E">
        <w:rPr>
          <w:szCs w:val="18"/>
        </w:rPr>
        <w:t>.0</w:t>
      </w:r>
      <w:r>
        <w:rPr>
          <w:szCs w:val="18"/>
        </w:rPr>
        <w:t xml:space="preserve"> </w:t>
      </w:r>
      <w:r>
        <w:t xml:space="preserve">and </w:t>
      </w:r>
      <w:r w:rsidRPr="008D785F">
        <w:t xml:space="preserve">Appendix </w:t>
      </w:r>
      <w:r w:rsidR="00D55C51">
        <w:t>Accounting for Savings Persistence and Participant Retention</w:t>
      </w:r>
      <w:r w:rsidRPr="008D785F">
        <w:t>.</w:t>
      </w:r>
    </w:p>
  </w:footnote>
  <w:footnote w:id="5">
    <w:p w14:paraId="29318BB8" w14:textId="77777777" w:rsidR="00EE614F" w:rsidRPr="00AA612E" w:rsidRDefault="00EE614F" w:rsidP="00EE614F">
      <w:pPr>
        <w:pStyle w:val="FootnoteText"/>
        <w:rPr>
          <w:szCs w:val="18"/>
        </w:rPr>
      </w:pPr>
      <w:r w:rsidRPr="00AA612E">
        <w:rPr>
          <w:rStyle w:val="FootnoteReference"/>
          <w:szCs w:val="18"/>
        </w:rPr>
        <w:footnoteRef/>
      </w:r>
      <w:r w:rsidRPr="00AA612E">
        <w:rPr>
          <w:szCs w:val="18"/>
        </w:rPr>
        <w:t xml:space="preserve"> Across the two models, the parameter estima</w:t>
      </w:r>
      <w:r w:rsidRPr="003010AA">
        <w:rPr>
          <w:szCs w:val="18"/>
        </w:rPr>
        <w:t>tes were not statistically different</w:t>
      </w:r>
      <w:r>
        <w:rPr>
          <w:szCs w:val="18"/>
        </w:rPr>
        <w:t xml:space="preserve"> for either wave</w:t>
      </w:r>
      <w:r w:rsidRPr="003010AA">
        <w:rPr>
          <w:szCs w:val="18"/>
        </w:rPr>
        <w:t>; that is, t</w:t>
      </w:r>
      <w:r w:rsidRPr="00AA612E">
        <w:rPr>
          <w:szCs w:val="18"/>
        </w:rPr>
        <w:t xml:space="preserve">he estimates for each model are within the 90% confidence bounds for the other model. This </w:t>
      </w:r>
      <w:r>
        <w:rPr>
          <w:szCs w:val="18"/>
        </w:rPr>
        <w:t xml:space="preserve">result </w:t>
      </w:r>
      <w:r w:rsidRPr="00AA612E">
        <w:rPr>
          <w:szCs w:val="18"/>
        </w:rPr>
        <w:t>supports the methodological approach, and indicates the results are robust.</w:t>
      </w:r>
    </w:p>
  </w:footnote>
  <w:footnote w:id="6">
    <w:p w14:paraId="6CC9DD85" w14:textId="77777777" w:rsidR="00EE614F" w:rsidRDefault="00EE614F" w:rsidP="00EE614F">
      <w:pPr>
        <w:pStyle w:val="FootnoteText"/>
      </w:pPr>
      <w:r>
        <w:rPr>
          <w:rStyle w:val="FootnoteReference"/>
        </w:rPr>
        <w:footnoteRef/>
      </w:r>
      <w:r>
        <w:t xml:space="preserve"> One likely reason for this situation is that the LDV model embodies more flexibility than the LFER model, in that the former allows the individual customer control variable to vary seasonally while the latter does not – a particularly attractive feature given the highly seasonal nature of natural gas usage. The LFER model treats all unobserved inter-household heterogeneity affecting households’ energy usage as time-invariant, while the LDV model uses lagged individual controls that can vary over time.</w:t>
      </w:r>
    </w:p>
  </w:footnote>
  <w:footnote w:id="7">
    <w:p w14:paraId="174439B2" w14:textId="77777777" w:rsidR="00EE614F" w:rsidRDefault="00EE614F" w:rsidP="00EE614F">
      <w:pPr>
        <w:pStyle w:val="FootnoteText"/>
      </w:pPr>
      <w:r>
        <w:rPr>
          <w:rStyle w:val="FootnoteReference"/>
        </w:rPr>
        <w:footnoteRef/>
      </w:r>
      <w:r>
        <w:t xml:space="preserve"> Allcott, Hunt and Todd Rogers, 2014. “The Short-Run and Long-Run Effects of Behavioral Intervention: Experimental Evidence from Energy Conservation.” </w:t>
      </w:r>
      <w:r>
        <w:rPr>
          <w:i/>
        </w:rPr>
        <w:t>American Economic Review</w:t>
      </w:r>
      <w:r>
        <w:t>, 104(10): 3003-37.</w:t>
      </w:r>
    </w:p>
  </w:footnote>
  <w:footnote w:id="8">
    <w:p w14:paraId="2F66173D" w14:textId="77777777" w:rsidR="00EE614F" w:rsidRDefault="00EE614F" w:rsidP="00EE614F">
      <w:pPr>
        <w:pStyle w:val="FootnoteText"/>
      </w:pPr>
      <w:r>
        <w:rPr>
          <w:rStyle w:val="FootnoteReference"/>
        </w:rPr>
        <w:footnoteRef/>
      </w:r>
      <w:r>
        <w:t xml:space="preserve"> For this program, a pre-period of September 2019 to August 2020 was used for both Waves 2 and 3 as Guidehouse initially understood that was when those waves had launched. After discussion with Nicor and the program implementer, we decided to retain this pre-period despite the clarification of when reports were first sent to each of these waves as changing it would likely have an immaterial effect on savings. </w:t>
      </w:r>
    </w:p>
  </w:footnote>
  <w:footnote w:id="9">
    <w:p w14:paraId="7A965420" w14:textId="77777777" w:rsidR="00EE614F" w:rsidRPr="00AA612E" w:rsidRDefault="00EE614F" w:rsidP="00EE614F">
      <w:pPr>
        <w:pStyle w:val="FootnoteText"/>
        <w:rPr>
          <w:szCs w:val="18"/>
        </w:rPr>
      </w:pPr>
      <w:r w:rsidRPr="00AA612E">
        <w:rPr>
          <w:rStyle w:val="FootnoteReference"/>
          <w:szCs w:val="18"/>
        </w:rPr>
        <w:footnoteRef/>
      </w:r>
      <w:r w:rsidRPr="00AA612E">
        <w:rPr>
          <w:szCs w:val="18"/>
        </w:rPr>
        <w:t xml:space="preserve"> In other words, if there are </w:t>
      </w:r>
      <w:r w:rsidRPr="00AA612E">
        <w:rPr>
          <w:i/>
          <w:szCs w:val="18"/>
        </w:rPr>
        <w:t>T</w:t>
      </w:r>
      <w:r w:rsidRPr="00AA612E">
        <w:rPr>
          <w:szCs w:val="18"/>
        </w:rPr>
        <w:t xml:space="preserve"> post-program months, there are </w:t>
      </w:r>
      <w:r w:rsidRPr="00AA612E">
        <w:rPr>
          <w:i/>
          <w:szCs w:val="18"/>
        </w:rPr>
        <w:t>T</w:t>
      </w:r>
      <w:r w:rsidRPr="00AA612E">
        <w:rPr>
          <w:szCs w:val="18"/>
        </w:rPr>
        <w:t xml:space="preserve"> monthly dummy variables in the model, with the dummy variable </w:t>
      </w:r>
      <w:proofErr w:type="spellStart"/>
      <w:r w:rsidRPr="00AA612E">
        <w:rPr>
          <w:i/>
          <w:szCs w:val="18"/>
        </w:rPr>
        <w:t>Month</w:t>
      </w:r>
      <w:r w:rsidRPr="00AA612E">
        <w:rPr>
          <w:i/>
          <w:szCs w:val="18"/>
          <w:vertAlign w:val="subscript"/>
        </w:rPr>
        <w:t>tt</w:t>
      </w:r>
      <w:proofErr w:type="spellEnd"/>
      <w:r w:rsidRPr="00AA612E">
        <w:rPr>
          <w:i/>
          <w:szCs w:val="18"/>
          <w:vertAlign w:val="subscript"/>
        </w:rPr>
        <w:t xml:space="preserve"> </w:t>
      </w:r>
      <w:r w:rsidRPr="00AA612E">
        <w:rPr>
          <w:szCs w:val="18"/>
        </w:rPr>
        <w:t>the only one to take a value of 1 at time t. These are, in other words, monthly fixed effects.</w:t>
      </w:r>
    </w:p>
  </w:footnote>
  <w:footnote w:id="10">
    <w:p w14:paraId="74264F13" w14:textId="77777777" w:rsidR="00EE614F" w:rsidRDefault="00EE614F" w:rsidP="00EE614F">
      <w:pPr>
        <w:pStyle w:val="FootnoteText"/>
      </w:pPr>
      <w:r>
        <w:rPr>
          <w:rStyle w:val="FootnoteReference"/>
        </w:rPr>
        <w:footnoteRef/>
      </w:r>
      <w:r>
        <w:t xml:space="preserve"> It is not possible to avoid double-counting of the savings generated by programs for which tracking data are not available, such as upstream programs.</w:t>
      </w:r>
    </w:p>
  </w:footnote>
  <w:footnote w:id="11">
    <w:p w14:paraId="7CB48B0D" w14:textId="77777777" w:rsidR="00EE614F" w:rsidRDefault="00EE614F" w:rsidP="00EE614F">
      <w:pPr>
        <w:pStyle w:val="FootnoteText"/>
      </w:pPr>
      <w:r>
        <w:rPr>
          <w:rStyle w:val="FootnoteReference"/>
        </w:rPr>
        <w:footnoteRef/>
      </w:r>
      <w:r>
        <w:t xml:space="preserve"> Where the averages are calculated over all treatment and control group customers, not just those who participated in other EE programs.</w:t>
      </w:r>
    </w:p>
  </w:footnote>
  <w:footnote w:id="12">
    <w:p w14:paraId="35477B5E" w14:textId="77777777" w:rsidR="00EE614F" w:rsidRDefault="00EE614F" w:rsidP="00EE614F">
      <w:pPr>
        <w:pStyle w:val="FootnoteText"/>
      </w:pPr>
      <w:r>
        <w:rPr>
          <w:rStyle w:val="FootnoteReference"/>
        </w:rPr>
        <w:footnoteRef/>
      </w:r>
      <w:r>
        <w:t xml:space="preserve"> Other EE program savings were pro-rated to the program participation date assuming a flat load shape. </w:t>
      </w:r>
    </w:p>
  </w:footnote>
  <w:footnote w:id="13">
    <w:p w14:paraId="1254928D" w14:textId="77777777" w:rsidR="00EE614F" w:rsidRDefault="00EE614F" w:rsidP="00EE614F">
      <w:pPr>
        <w:pStyle w:val="FootnoteText"/>
      </w:pPr>
      <w:r>
        <w:rPr>
          <w:rStyle w:val="FootnoteReference"/>
        </w:rPr>
        <w:footnoteRef/>
      </w:r>
      <w:r>
        <w:t xml:space="preserve"> Including single family, multifamily, and public housing authority.</w:t>
      </w:r>
    </w:p>
  </w:footnote>
  <w:footnote w:id="14">
    <w:p w14:paraId="5186F70D" w14:textId="77777777" w:rsidR="00EE614F" w:rsidRDefault="00EE614F" w:rsidP="00EE614F">
      <w:pPr>
        <w:pStyle w:val="FootnoteText"/>
      </w:pPr>
      <w:r>
        <w:rPr>
          <w:rStyle w:val="FootnoteReference"/>
        </w:rPr>
        <w:footnoteRef/>
      </w:r>
      <w:r>
        <w:t xml:space="preserve"> Tracking data files are set up this way because, in conformity with the IL-TRM, Section 3.2, savings are first-year savings, not lifetime savings.</w:t>
      </w:r>
    </w:p>
  </w:footnote>
  <w:footnote w:id="15">
    <w:p w14:paraId="41C080AB" w14:textId="77777777" w:rsidR="00EE614F" w:rsidRDefault="00EE614F" w:rsidP="00EE614F">
      <w:pPr>
        <w:pStyle w:val="FootnoteText"/>
      </w:pPr>
      <w:r>
        <w:rPr>
          <w:rStyle w:val="FootnoteReference"/>
        </w:rPr>
        <w:footnoteRef/>
      </w:r>
      <w:r>
        <w:t xml:space="preserve"> Because HER Program participants are dropped from that program when they move, other EE programs’ savings are no longer captured in the HER Program savings from that point forward.</w:t>
      </w:r>
    </w:p>
  </w:footnote>
  <w:footnote w:id="16">
    <w:p w14:paraId="1114FCE3" w14:textId="77F3AF3E" w:rsidR="00EE614F" w:rsidRDefault="00EE614F" w:rsidP="00EE614F">
      <w:pPr>
        <w:pStyle w:val="FootnoteText"/>
      </w:pPr>
      <w:r>
        <w:rPr>
          <w:rStyle w:val="FootnoteReference"/>
        </w:rPr>
        <w:footnoteRef/>
      </w:r>
      <w:r>
        <w:t xml:space="preserve"> For all waves, Guidehouse used the actual savings from CY2020 and CY2021 to subtract from CY202</w:t>
      </w:r>
      <w:r w:rsidR="00E41DBE">
        <w:t>4</w:t>
      </w:r>
      <w:r>
        <w:t xml:space="preserve"> actual savings. Normalized savings were not used (and were not even calculated for CY2022</w:t>
      </w:r>
      <w:r w:rsidR="00D55C51">
        <w:t xml:space="preserve"> and CY2023</w:t>
      </w:r>
      <w:r>
        <w:t>).</w:t>
      </w:r>
      <w:r w:rsidR="00D55C51">
        <w:t xml:space="preserve"> Note savings from 2019 for Wave 1 have dropped out of the persistence calculation.</w:t>
      </w:r>
    </w:p>
  </w:footnote>
  <w:footnote w:id="17">
    <w:p w14:paraId="6D363EFE" w14:textId="77777777" w:rsidR="00EE614F" w:rsidRPr="00F33709" w:rsidRDefault="00EE614F" w:rsidP="00EE614F">
      <w:pPr>
        <w:pStyle w:val="FootnoteText"/>
      </w:pPr>
      <w:r>
        <w:rPr>
          <w:rStyle w:val="FootnoteReference"/>
        </w:rPr>
        <w:footnoteRef/>
      </w:r>
      <w:r>
        <w:t xml:space="preserve"> Documentation on this retention rate was shared with Nicor Gas, the program implementer, and Illinois Commerce Commission staff in June 20</w:t>
      </w:r>
      <w:r w:rsidRPr="00470827">
        <w:t xml:space="preserve">23 in </w:t>
      </w:r>
      <w:r w:rsidRPr="00470827">
        <w:rPr>
          <w:i/>
          <w:iCs/>
        </w:rPr>
        <w:t>Retention Rates- Behavior Savings_2023-06-16.pptx</w:t>
      </w:r>
      <w:r w:rsidRPr="00470827">
        <w:t>.</w:t>
      </w:r>
    </w:p>
  </w:footnote>
  <w:footnote w:id="18">
    <w:p w14:paraId="7B73C44C" w14:textId="0E36B530" w:rsidR="00AC3905" w:rsidRPr="00AA612E" w:rsidRDefault="00AC3905" w:rsidP="00AC3905">
      <w:pPr>
        <w:pStyle w:val="FootnoteText"/>
        <w:rPr>
          <w:szCs w:val="18"/>
        </w:rPr>
      </w:pPr>
      <w:r w:rsidRPr="00AA612E">
        <w:rPr>
          <w:rStyle w:val="FootnoteReference"/>
          <w:szCs w:val="18"/>
        </w:rPr>
        <w:footnoteRef/>
      </w:r>
      <w:r w:rsidRPr="00AA612E">
        <w:rPr>
          <w:szCs w:val="18"/>
        </w:rPr>
        <w:t xml:space="preserve"> See Section </w:t>
      </w:r>
      <w:r>
        <w:rPr>
          <w:szCs w:val="18"/>
        </w:rPr>
        <w:fldChar w:fldCharType="begin"/>
      </w:r>
      <w:r>
        <w:rPr>
          <w:szCs w:val="18"/>
        </w:rPr>
        <w:instrText xml:space="preserve"> REF _Ref33181676 \n \h </w:instrText>
      </w:r>
      <w:r>
        <w:rPr>
          <w:szCs w:val="18"/>
        </w:rPr>
      </w:r>
      <w:r>
        <w:rPr>
          <w:szCs w:val="18"/>
        </w:rPr>
        <w:fldChar w:fldCharType="separate"/>
      </w:r>
      <w:r>
        <w:rPr>
          <w:szCs w:val="18"/>
        </w:rPr>
        <w:t>A.1.3</w:t>
      </w:r>
      <w:r>
        <w:rPr>
          <w:szCs w:val="18"/>
        </w:rPr>
        <w:fldChar w:fldCharType="end"/>
      </w:r>
      <w:r w:rsidRPr="00AA612E">
        <w:rPr>
          <w:szCs w:val="18"/>
        </w:rPr>
        <w:t xml:space="preserve"> for more information about the programs considered.</w:t>
      </w:r>
      <w:r>
        <w:rPr>
          <w:szCs w:val="18"/>
        </w:rPr>
        <w:t xml:space="preserve"> Note that MF was considered for Waves 1 and 2, but there was no crossover participation between MF and HER in 2024.</w:t>
      </w:r>
    </w:p>
  </w:footnote>
  <w:footnote w:id="19">
    <w:p w14:paraId="233E848F" w14:textId="77777777" w:rsidR="00AC3905" w:rsidRPr="00AA612E" w:rsidRDefault="00AC3905" w:rsidP="00AC3905">
      <w:pPr>
        <w:pStyle w:val="FootnoteText"/>
        <w:rPr>
          <w:szCs w:val="18"/>
        </w:rPr>
      </w:pPr>
      <w:r w:rsidRPr="00AA612E">
        <w:rPr>
          <w:rStyle w:val="FootnoteReference"/>
          <w:szCs w:val="18"/>
        </w:rPr>
        <w:footnoteRef/>
      </w:r>
      <w:r w:rsidRPr="00AA612E">
        <w:rPr>
          <w:szCs w:val="18"/>
        </w:rPr>
        <w:t xml:space="preserve"> See Section </w:t>
      </w:r>
      <w:r>
        <w:rPr>
          <w:szCs w:val="18"/>
        </w:rPr>
        <w:fldChar w:fldCharType="begin"/>
      </w:r>
      <w:r>
        <w:rPr>
          <w:szCs w:val="18"/>
        </w:rPr>
        <w:instrText xml:space="preserve"> REF _Ref33181676 \n \h </w:instrText>
      </w:r>
      <w:r>
        <w:rPr>
          <w:szCs w:val="18"/>
        </w:rPr>
      </w:r>
      <w:r>
        <w:rPr>
          <w:szCs w:val="18"/>
        </w:rPr>
        <w:fldChar w:fldCharType="separate"/>
      </w:r>
      <w:r>
        <w:rPr>
          <w:szCs w:val="18"/>
        </w:rPr>
        <w:t>A.1.3</w:t>
      </w:r>
      <w:r>
        <w:rPr>
          <w:szCs w:val="18"/>
        </w:rPr>
        <w:fldChar w:fldCharType="end"/>
      </w:r>
      <w:r w:rsidRPr="00AA612E">
        <w:rPr>
          <w:szCs w:val="18"/>
        </w:rPr>
        <w:t xml:space="preserve"> for more information on POD and DID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2C03C78E" w14:textId="77777777" w:rsidTr="0022388A">
      <w:trPr>
        <w:jc w:val="center"/>
      </w:trPr>
      <w:tc>
        <w:tcPr>
          <w:tcW w:w="1980" w:type="dxa"/>
          <w:vAlign w:val="center"/>
        </w:tcPr>
        <w:p w14:paraId="4CA59E85" w14:textId="77777777" w:rsidR="00146DF1" w:rsidRPr="006A71F6" w:rsidRDefault="00146DF1" w:rsidP="00E656A1">
          <w:pPr>
            <w:pStyle w:val="Header"/>
          </w:pPr>
          <w:r>
            <w:rPr>
              <w:noProof/>
            </w:rPr>
            <w:drawing>
              <wp:inline distT="0" distB="0" distL="0" distR="0" wp14:anchorId="35A78040" wp14:editId="75EFF9A1">
                <wp:extent cx="1097282" cy="277522"/>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08BF3FEB" w14:textId="77777777" w:rsidR="00146DF1" w:rsidRPr="007B09EC" w:rsidRDefault="00146DF1"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280B5A5E" w14:textId="77777777" w:rsidR="00146DF1" w:rsidRDefault="00146DF1"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4556" w14:textId="77777777" w:rsidR="00146DF1" w:rsidRDefault="00146DF1" w:rsidP="00F2773B">
    <w:pPr>
      <w:pStyle w:val="Header"/>
    </w:pPr>
    <w:r>
      <w:rPr>
        <w:noProof/>
      </w:rPr>
      <w:drawing>
        <wp:anchor distT="0" distB="0" distL="114300" distR="114300" simplePos="0" relativeHeight="251658240" behindDoc="0" locked="0" layoutInCell="1" allowOverlap="1" wp14:anchorId="1248824A" wp14:editId="02BAFA79">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67B38F" w14:textId="77777777" w:rsidR="00146DF1" w:rsidRPr="00F2773B" w:rsidRDefault="00146DF1"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4F0F97" w14:paraId="00B43039" w14:textId="77777777" w:rsidTr="00917C40">
      <w:trPr>
        <w:jc w:val="center"/>
      </w:trPr>
      <w:tc>
        <w:tcPr>
          <w:tcW w:w="4770" w:type="dxa"/>
          <w:vAlign w:val="center"/>
        </w:tcPr>
        <w:p w14:paraId="3CC76F11" w14:textId="77777777" w:rsidR="00146DF1" w:rsidRPr="006A71F6" w:rsidRDefault="00146DF1" w:rsidP="00E656A1">
          <w:pPr>
            <w:pStyle w:val="Header"/>
          </w:pPr>
          <w:r>
            <w:rPr>
              <w:noProof/>
            </w:rPr>
            <w:drawing>
              <wp:inline distT="0" distB="0" distL="0" distR="0" wp14:anchorId="5A27A02A" wp14:editId="3D384B8B">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49FCC23B" w14:textId="3CA4AA23" w:rsidR="00146DF1" w:rsidRPr="00DB621C" w:rsidRDefault="00146DF1" w:rsidP="00917C40">
          <w:pPr>
            <w:pStyle w:val="Header"/>
            <w:rPr>
              <w:bCs/>
            </w:rPr>
          </w:pPr>
          <w:r w:rsidRPr="00DB621C">
            <w:rPr>
              <w:bCs/>
              <w:noProof/>
            </w:rPr>
            <w:fldChar w:fldCharType="begin"/>
          </w:r>
          <w:r w:rsidRPr="00DB621C">
            <w:rPr>
              <w:bCs/>
              <w:noProof/>
            </w:rPr>
            <w:instrText xml:space="preserve"> STYLEREF  Title,Cover_Title  \* MERGEFORMAT </w:instrText>
          </w:r>
          <w:r w:rsidRPr="00DB621C">
            <w:rPr>
              <w:bCs/>
              <w:noProof/>
            </w:rPr>
            <w:fldChar w:fldCharType="separate"/>
          </w:r>
          <w:r w:rsidR="00F551AF">
            <w:rPr>
              <w:bCs/>
              <w:noProof/>
            </w:rPr>
            <w:t>Home Energy Reports Impact Evaluation Report</w:t>
          </w:r>
          <w:r w:rsidRPr="00DB621C">
            <w:rPr>
              <w:bCs/>
              <w:noProof/>
            </w:rPr>
            <w:fldChar w:fldCharType="end"/>
          </w:r>
        </w:p>
      </w:tc>
    </w:tr>
  </w:tbl>
  <w:p w14:paraId="1BAAA592" w14:textId="77777777" w:rsidR="00146DF1" w:rsidRPr="00E656A1" w:rsidRDefault="00146DF1"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5210"/>
      <w:gridCol w:w="5014"/>
    </w:tblGrid>
    <w:tr w:rsidR="00B334B5" w14:paraId="2EBDAC0B" w14:textId="77777777" w:rsidTr="002F14CE">
      <w:trPr>
        <w:jc w:val="center"/>
      </w:trPr>
      <w:tc>
        <w:tcPr>
          <w:tcW w:w="2548" w:type="pct"/>
          <w:vAlign w:val="center"/>
        </w:tcPr>
        <w:p w14:paraId="36E5DF8D" w14:textId="77777777" w:rsidR="00B334B5" w:rsidRPr="006A71F6" w:rsidRDefault="00B334B5" w:rsidP="00E656A1">
          <w:pPr>
            <w:pStyle w:val="Header"/>
          </w:pPr>
          <w:r>
            <w:rPr>
              <w:noProof/>
            </w:rPr>
            <w:drawing>
              <wp:inline distT="0" distB="0" distL="0" distR="0" wp14:anchorId="233EE8EB" wp14:editId="3F7A4CEC">
                <wp:extent cx="1081454" cy="274320"/>
                <wp:effectExtent l="0" t="0" r="4445" b="0"/>
                <wp:docPr id="1832985969"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2452" w:type="pct"/>
          <w:vAlign w:val="bottom"/>
        </w:tcPr>
        <w:p w14:paraId="2BBDE317" w14:textId="0371E0E2" w:rsidR="00B334B5" w:rsidRPr="00DB621C" w:rsidRDefault="00B334B5" w:rsidP="00917C40">
          <w:pPr>
            <w:pStyle w:val="Header"/>
            <w:rPr>
              <w:bCs/>
            </w:rPr>
          </w:pPr>
          <w:r w:rsidRPr="00DB621C">
            <w:rPr>
              <w:bCs/>
              <w:noProof/>
            </w:rPr>
            <w:fldChar w:fldCharType="begin"/>
          </w:r>
          <w:r w:rsidRPr="00DB621C">
            <w:rPr>
              <w:bCs/>
              <w:noProof/>
            </w:rPr>
            <w:instrText xml:space="preserve"> STYLEREF  Title,Cover_Title  \* MERGEFORMAT </w:instrText>
          </w:r>
          <w:r w:rsidRPr="00DB621C">
            <w:rPr>
              <w:bCs/>
              <w:noProof/>
            </w:rPr>
            <w:fldChar w:fldCharType="separate"/>
          </w:r>
          <w:r w:rsidR="00F551AF">
            <w:rPr>
              <w:bCs/>
              <w:noProof/>
            </w:rPr>
            <w:t>Home Energy Reports Impact Evaluation Report</w:t>
          </w:r>
          <w:r w:rsidRPr="00DB621C">
            <w:rPr>
              <w:bCs/>
              <w:noProof/>
            </w:rPr>
            <w:fldChar w:fldCharType="end"/>
          </w:r>
        </w:p>
      </w:tc>
    </w:tr>
  </w:tbl>
  <w:p w14:paraId="3D7DEECC" w14:textId="77777777" w:rsidR="009476A4" w:rsidRDefault="009476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2A70E380" w14:textId="77777777" w:rsidTr="005C6E53">
      <w:trPr>
        <w:jc w:val="center"/>
      </w:trPr>
      <w:tc>
        <w:tcPr>
          <w:tcW w:w="1058" w:type="pct"/>
          <w:vAlign w:val="center"/>
        </w:tcPr>
        <w:p w14:paraId="6B1E6798" w14:textId="77777777" w:rsidR="00146DF1" w:rsidRPr="006A71F6" w:rsidRDefault="00146DF1" w:rsidP="00E656A1">
          <w:pPr>
            <w:pStyle w:val="Header"/>
          </w:pPr>
          <w:r>
            <w:rPr>
              <w:noProof/>
            </w:rPr>
            <w:drawing>
              <wp:inline distT="0" distB="0" distL="0" distR="0" wp14:anchorId="33B6EDA3" wp14:editId="0BC74D66">
                <wp:extent cx="1097282" cy="277522"/>
                <wp:effectExtent l="0" t="0" r="0" b="0"/>
                <wp:docPr id="2034031251" name="Picture 156989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08792443" w14:textId="2589A56A" w:rsidR="00146DF1" w:rsidRPr="00DA6CEF" w:rsidRDefault="00146DF1" w:rsidP="00E656A1">
          <w:pPr>
            <w:pStyle w:val="Header"/>
            <w:jc w:val="right"/>
            <w:rPr>
              <w:bCs/>
            </w:rPr>
          </w:pPr>
          <w:r w:rsidRPr="00DA6CEF">
            <w:rPr>
              <w:bCs/>
              <w:noProof/>
            </w:rPr>
            <w:fldChar w:fldCharType="begin"/>
          </w:r>
          <w:r w:rsidRPr="00DA6CEF">
            <w:rPr>
              <w:bCs/>
              <w:noProof/>
            </w:rPr>
            <w:instrText xml:space="preserve"> STYLEREF  Title,Cover_Title  \* MERGEFORMAT </w:instrText>
          </w:r>
          <w:r w:rsidRPr="00DA6CEF">
            <w:rPr>
              <w:bCs/>
              <w:noProof/>
            </w:rPr>
            <w:fldChar w:fldCharType="separate"/>
          </w:r>
          <w:r w:rsidR="00F551AF">
            <w:rPr>
              <w:bCs/>
              <w:noProof/>
            </w:rPr>
            <w:t>Home Energy Reports Impact Evaluation Report</w:t>
          </w:r>
          <w:r w:rsidRPr="00DA6CEF">
            <w:rPr>
              <w:bCs/>
              <w:noProof/>
            </w:rPr>
            <w:fldChar w:fldCharType="end"/>
          </w:r>
        </w:p>
      </w:tc>
    </w:tr>
  </w:tbl>
  <w:p w14:paraId="47D47214" w14:textId="77777777" w:rsidR="00146DF1" w:rsidRPr="00E656A1" w:rsidRDefault="00146DF1" w:rsidP="00E65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5C6E53" w14:paraId="6D375D69" w14:textId="77777777" w:rsidTr="005C6E53">
      <w:trPr>
        <w:jc w:val="center"/>
      </w:trPr>
      <w:tc>
        <w:tcPr>
          <w:tcW w:w="1058" w:type="pct"/>
          <w:vAlign w:val="center"/>
        </w:tcPr>
        <w:p w14:paraId="13E98C8A" w14:textId="77777777" w:rsidR="00146DF1" w:rsidRPr="006A71F6" w:rsidRDefault="00146DF1" w:rsidP="00E656A1">
          <w:pPr>
            <w:pStyle w:val="Header"/>
          </w:pPr>
          <w:r>
            <w:rPr>
              <w:noProof/>
            </w:rPr>
            <w:drawing>
              <wp:inline distT="0" distB="0" distL="0" distR="0" wp14:anchorId="77F10AF5" wp14:editId="753E4F17">
                <wp:extent cx="1097282" cy="277522"/>
                <wp:effectExtent l="0" t="0" r="0" b="0"/>
                <wp:docPr id="9" name="Picture 2066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01C13C6A" w14:textId="042D69B8" w:rsidR="00146DF1" w:rsidRPr="000E0881" w:rsidRDefault="00146DF1" w:rsidP="00E656A1">
          <w:pPr>
            <w:pStyle w:val="Header"/>
            <w:jc w:val="right"/>
            <w:rPr>
              <w:bCs/>
            </w:rPr>
          </w:pPr>
          <w:r w:rsidRPr="000E0881">
            <w:rPr>
              <w:bCs/>
              <w:noProof/>
            </w:rPr>
            <w:fldChar w:fldCharType="begin"/>
          </w:r>
          <w:r w:rsidRPr="000E0881">
            <w:rPr>
              <w:bCs/>
              <w:noProof/>
            </w:rPr>
            <w:instrText xml:space="preserve"> STYLEREF  Title,Cover_Title  \* MERGEFORMAT </w:instrText>
          </w:r>
          <w:r w:rsidRPr="000E0881">
            <w:rPr>
              <w:bCs/>
              <w:noProof/>
            </w:rPr>
            <w:fldChar w:fldCharType="separate"/>
          </w:r>
          <w:r w:rsidR="00DE45F1">
            <w:rPr>
              <w:bCs/>
              <w:noProof/>
            </w:rPr>
            <w:t>Home Energy Reports Impact Evaluation Report</w:t>
          </w:r>
          <w:r w:rsidRPr="000E0881">
            <w:rPr>
              <w:bCs/>
              <w:noProof/>
            </w:rPr>
            <w:fldChar w:fldCharType="end"/>
          </w:r>
        </w:p>
      </w:tc>
    </w:tr>
  </w:tbl>
  <w:p w14:paraId="00077A1D" w14:textId="77777777" w:rsidR="00146DF1" w:rsidRPr="00E656A1" w:rsidRDefault="00146DF1"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0568AB50"/>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specVanish w:val="0"/>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34DA3"/>
    <w:multiLevelType w:val="hybridMultilevel"/>
    <w:tmpl w:val="4E46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C9172C"/>
    <w:multiLevelType w:val="hybridMultilevel"/>
    <w:tmpl w:val="9B267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D001C3D"/>
    <w:multiLevelType w:val="hybridMultilevel"/>
    <w:tmpl w:val="31E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65250A3E"/>
    <w:multiLevelType w:val="hybridMultilevel"/>
    <w:tmpl w:val="42FE921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3"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5"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8"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9"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3"/>
  </w:num>
  <w:num w:numId="2" w16cid:durableId="803624762">
    <w:abstractNumId w:val="12"/>
  </w:num>
  <w:num w:numId="3" w16cid:durableId="9726398">
    <w:abstractNumId w:val="17"/>
  </w:num>
  <w:num w:numId="4" w16cid:durableId="646207924">
    <w:abstractNumId w:val="49"/>
  </w:num>
  <w:num w:numId="5" w16cid:durableId="1778678908">
    <w:abstractNumId w:val="45"/>
  </w:num>
  <w:num w:numId="6" w16cid:durableId="129179713">
    <w:abstractNumId w:val="13"/>
  </w:num>
  <w:num w:numId="7" w16cid:durableId="1735278040">
    <w:abstractNumId w:val="40"/>
  </w:num>
  <w:num w:numId="8" w16cid:durableId="391200273">
    <w:abstractNumId w:val="30"/>
  </w:num>
  <w:num w:numId="9" w16cid:durableId="1815029820">
    <w:abstractNumId w:val="55"/>
  </w:num>
  <w:num w:numId="10" w16cid:durableId="1595625335">
    <w:abstractNumId w:val="52"/>
  </w:num>
  <w:num w:numId="11" w16cid:durableId="207108751">
    <w:abstractNumId w:val="58"/>
  </w:num>
  <w:num w:numId="12" w16cid:durableId="1519387041">
    <w:abstractNumId w:val="21"/>
  </w:num>
  <w:num w:numId="13" w16cid:durableId="941915311">
    <w:abstractNumId w:val="39"/>
  </w:num>
  <w:num w:numId="14" w16cid:durableId="2093163222">
    <w:abstractNumId w:val="54"/>
  </w:num>
  <w:num w:numId="15" w16cid:durableId="954873979">
    <w:abstractNumId w:val="50"/>
  </w:num>
  <w:num w:numId="16" w16cid:durableId="366292854">
    <w:abstractNumId w:val="57"/>
  </w:num>
  <w:num w:numId="17" w16cid:durableId="819809129">
    <w:abstractNumId w:val="10"/>
  </w:num>
  <w:num w:numId="18" w16cid:durableId="1235244614">
    <w:abstractNumId w:val="20"/>
  </w:num>
  <w:num w:numId="19" w16cid:durableId="1904296771">
    <w:abstractNumId w:val="59"/>
  </w:num>
  <w:num w:numId="20" w16cid:durableId="590821376">
    <w:abstractNumId w:val="18"/>
  </w:num>
  <w:num w:numId="21" w16cid:durableId="199242883">
    <w:abstractNumId w:val="46"/>
  </w:num>
  <w:num w:numId="22" w16cid:durableId="1032724391">
    <w:abstractNumId w:val="26"/>
  </w:num>
  <w:num w:numId="23" w16cid:durableId="118230274">
    <w:abstractNumId w:val="22"/>
  </w:num>
  <w:num w:numId="24" w16cid:durableId="626737538">
    <w:abstractNumId w:val="38"/>
  </w:num>
  <w:num w:numId="25" w16cid:durableId="1773158570">
    <w:abstractNumId w:val="19"/>
  </w:num>
  <w:num w:numId="26" w16cid:durableId="2068843606">
    <w:abstractNumId w:val="48"/>
  </w:num>
  <w:num w:numId="27" w16cid:durableId="1748187011">
    <w:abstractNumId w:val="27"/>
  </w:num>
  <w:num w:numId="28" w16cid:durableId="1842699578">
    <w:abstractNumId w:val="23"/>
  </w:num>
  <w:num w:numId="29" w16cid:durableId="1222788141">
    <w:abstractNumId w:val="31"/>
  </w:num>
  <w:num w:numId="30" w16cid:durableId="786697576">
    <w:abstractNumId w:val="44"/>
  </w:num>
  <w:num w:numId="31" w16cid:durableId="201064580">
    <w:abstractNumId w:val="37"/>
  </w:num>
  <w:num w:numId="32" w16cid:durableId="1767001644">
    <w:abstractNumId w:val="41"/>
  </w:num>
  <w:num w:numId="33" w16cid:durableId="701176498">
    <w:abstractNumId w:val="56"/>
  </w:num>
  <w:num w:numId="34" w16cid:durableId="1728335976">
    <w:abstractNumId w:val="33"/>
  </w:num>
  <w:num w:numId="35" w16cid:durableId="1518813320">
    <w:abstractNumId w:val="53"/>
  </w:num>
  <w:num w:numId="36" w16cid:durableId="1562211509">
    <w:abstractNumId w:val="28"/>
  </w:num>
  <w:num w:numId="37" w16cid:durableId="660625367">
    <w:abstractNumId w:val="34"/>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5"/>
  </w:num>
  <w:num w:numId="49" w16cid:durableId="1842045997">
    <w:abstractNumId w:val="36"/>
  </w:num>
  <w:num w:numId="50" w16cid:durableId="1822113845">
    <w:abstractNumId w:val="35"/>
  </w:num>
  <w:num w:numId="51" w16cid:durableId="1714428968">
    <w:abstractNumId w:val="14"/>
  </w:num>
  <w:num w:numId="52" w16cid:durableId="1948195692">
    <w:abstractNumId w:val="15"/>
  </w:num>
  <w:num w:numId="53" w16cid:durableId="665671986">
    <w:abstractNumId w:val="29"/>
  </w:num>
  <w:num w:numId="54" w16cid:durableId="231279709">
    <w:abstractNumId w:val="42"/>
  </w:num>
  <w:num w:numId="55" w16cid:durableId="2035227353">
    <w:abstractNumId w:val="24"/>
  </w:num>
  <w:num w:numId="56" w16cid:durableId="815026076">
    <w:abstractNumId w:val="11"/>
  </w:num>
  <w:num w:numId="57" w16cid:durableId="1322852866">
    <w:abstractNumId w:val="47"/>
  </w:num>
  <w:num w:numId="58" w16cid:durableId="303239438">
    <w:abstractNumId w:val="51"/>
  </w:num>
  <w:num w:numId="59" w16cid:durableId="20484809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231755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7F"/>
    <w:rsid w:val="00004A03"/>
    <w:rsid w:val="00007D67"/>
    <w:rsid w:val="000905EA"/>
    <w:rsid w:val="000E0881"/>
    <w:rsid w:val="00124445"/>
    <w:rsid w:val="00146DF1"/>
    <w:rsid w:val="00147A1D"/>
    <w:rsid w:val="001B48C1"/>
    <w:rsid w:val="001C201B"/>
    <w:rsid w:val="002076D0"/>
    <w:rsid w:val="0021624B"/>
    <w:rsid w:val="00242EB7"/>
    <w:rsid w:val="00271823"/>
    <w:rsid w:val="002A6327"/>
    <w:rsid w:val="002F14CE"/>
    <w:rsid w:val="00374705"/>
    <w:rsid w:val="003A565C"/>
    <w:rsid w:val="003D12D0"/>
    <w:rsid w:val="00422618"/>
    <w:rsid w:val="00470827"/>
    <w:rsid w:val="004A1129"/>
    <w:rsid w:val="004E26C5"/>
    <w:rsid w:val="004F7EEA"/>
    <w:rsid w:val="005011F6"/>
    <w:rsid w:val="00503E8D"/>
    <w:rsid w:val="0055667B"/>
    <w:rsid w:val="00577499"/>
    <w:rsid w:val="005900A1"/>
    <w:rsid w:val="00615592"/>
    <w:rsid w:val="00646822"/>
    <w:rsid w:val="006F29D8"/>
    <w:rsid w:val="0074319D"/>
    <w:rsid w:val="00747DF7"/>
    <w:rsid w:val="00764650"/>
    <w:rsid w:val="00765564"/>
    <w:rsid w:val="007E1A0A"/>
    <w:rsid w:val="007E2CD9"/>
    <w:rsid w:val="0083493A"/>
    <w:rsid w:val="008578AD"/>
    <w:rsid w:val="00857AE2"/>
    <w:rsid w:val="00866006"/>
    <w:rsid w:val="008F7DF6"/>
    <w:rsid w:val="00901089"/>
    <w:rsid w:val="00902763"/>
    <w:rsid w:val="009476A4"/>
    <w:rsid w:val="00986C85"/>
    <w:rsid w:val="00A06687"/>
    <w:rsid w:val="00A43E5E"/>
    <w:rsid w:val="00A922D8"/>
    <w:rsid w:val="00A9711B"/>
    <w:rsid w:val="00A97CD6"/>
    <w:rsid w:val="00AC3905"/>
    <w:rsid w:val="00AE7537"/>
    <w:rsid w:val="00B32011"/>
    <w:rsid w:val="00B334B5"/>
    <w:rsid w:val="00B33811"/>
    <w:rsid w:val="00CA7155"/>
    <w:rsid w:val="00CB6CF7"/>
    <w:rsid w:val="00CC3A7E"/>
    <w:rsid w:val="00CE368B"/>
    <w:rsid w:val="00D55C51"/>
    <w:rsid w:val="00D565C8"/>
    <w:rsid w:val="00D926C8"/>
    <w:rsid w:val="00DA36B3"/>
    <w:rsid w:val="00DA6CEF"/>
    <w:rsid w:val="00DB621C"/>
    <w:rsid w:val="00DE45F1"/>
    <w:rsid w:val="00E34820"/>
    <w:rsid w:val="00E41DBE"/>
    <w:rsid w:val="00E503A1"/>
    <w:rsid w:val="00EB1A5F"/>
    <w:rsid w:val="00EB1AD3"/>
    <w:rsid w:val="00EC7B7F"/>
    <w:rsid w:val="00EE614F"/>
    <w:rsid w:val="00F2624D"/>
    <w:rsid w:val="00F551AF"/>
    <w:rsid w:val="00F64CA4"/>
    <w:rsid w:val="00FA7026"/>
    <w:rsid w:val="00FC243E"/>
    <w:rsid w:val="00FD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E152"/>
  <w15:docId w15:val="{5C35D40A-BB90-4A0F-B31B-4C4A6B4C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FA7026"/>
    <w:pPr>
      <w:keepNext/>
      <w:spacing w:before="120" w:after="120"/>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numPr>
        <w:ilvl w:val="2"/>
        <w:numId w:val="56"/>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Normal"/>
    <w:next w:val="BodyText"/>
    <w:link w:val="Heading5Char"/>
    <w:unhideWhenUsed/>
    <w:qFormat/>
    <w:rsid w:val="002076D0"/>
    <w:pPr>
      <w:keepNext/>
      <w:keepLines/>
      <w:pageBreakBefore/>
      <w:numPr>
        <w:ilvl w:val="4"/>
        <w:numId w:val="56"/>
      </w:numPr>
      <w:suppressAutoHyphens w:val="0"/>
      <w:autoSpaceDN/>
      <w:spacing w:after="240"/>
      <w:outlineLvl w:val="4"/>
    </w:pPr>
    <w:rPr>
      <w:rFonts w:cs="Arial"/>
      <w:b/>
      <w:kern w:val="28"/>
      <w:sz w:val="32"/>
      <w:szCs w:val="28"/>
    </w:rPr>
  </w:style>
  <w:style w:type="paragraph" w:styleId="Heading6">
    <w:name w:val="heading 6"/>
    <w:aliases w:val="Append Level 2"/>
    <w:next w:val="BodyText"/>
    <w:link w:val="Heading6Char"/>
    <w:unhideWhenUsed/>
    <w:qFormat/>
    <w:rsid w:val="002076D0"/>
    <w:pPr>
      <w:keepNext/>
      <w:keepLines/>
      <w:numPr>
        <w:ilvl w:val="5"/>
        <w:numId w:val="56"/>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2076D0"/>
    <w:pPr>
      <w:numPr>
        <w:ilvl w:val="6"/>
        <w:numId w:val="56"/>
      </w:numPr>
      <w:spacing w:before="240" w:after="240"/>
      <w:outlineLvl w:val="6"/>
    </w:pPr>
    <w:rPr>
      <w:rFonts w:ascii="Arial" w:hAnsi="Arial"/>
      <w:b/>
      <w:iCs/>
      <w:sz w:val="24"/>
      <w:szCs w:val="26"/>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A7026"/>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w:hAnsi="Arial" w:cs="Arial"/>
      <w:b/>
      <w:kern w:val="28"/>
      <w:sz w:val="32"/>
      <w:szCs w:val="28"/>
    </w:rPr>
  </w:style>
  <w:style w:type="character" w:customStyle="1" w:styleId="Heading6Char">
    <w:name w:val="Heading 6 Char"/>
    <w:aliases w:val="Append Level 2 Char"/>
    <w:basedOn w:val="DefaultParagraphFont"/>
    <w:link w:val="Heading6"/>
    <w:locked/>
    <w:rsid w:val="00E9032C"/>
    <w:rPr>
      <w:rFonts w:ascii="Arial" w:hAnsi="Arial" w:cs="Arial"/>
      <w:b/>
      <w:iCs/>
      <w:kern w:val="28"/>
      <w:position w:val="6"/>
      <w:sz w:val="28"/>
      <w:szCs w:val="26"/>
    </w:rPr>
  </w:style>
  <w:style w:type="character" w:customStyle="1" w:styleId="Heading7Char">
    <w:name w:val="Heading 7 Char"/>
    <w:aliases w:val="Append Level 3 Char"/>
    <w:basedOn w:val="DefaultParagraphFont"/>
    <w:link w:val="Heading7"/>
    <w:locked/>
    <w:rsid w:val="00E9032C"/>
    <w:rPr>
      <w:rFonts w:ascii="Arial" w:hAnsi="Arial"/>
      <w:b/>
      <w:iCs/>
      <w:sz w:val="24"/>
      <w:szCs w:val="26"/>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qFormat/>
    <w:rsid w:val="00E9032C"/>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qFormat/>
    <w:rsid w:val="00A15ECA"/>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A15ECA"/>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A15ECA"/>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 w:type="character" w:customStyle="1" w:styleId="ui-provider">
    <w:name w:val="ui-provider"/>
    <w:basedOn w:val="DefaultParagraphFont"/>
    <w:rsid w:val="00EE614F"/>
  </w:style>
  <w:style w:type="table" w:customStyle="1" w:styleId="EnergyTable11">
    <w:name w:val="Energy Table11"/>
    <w:basedOn w:val="TableNormal"/>
    <w:uiPriority w:val="99"/>
    <w:qFormat/>
    <w:rsid w:val="00EE614F"/>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2">
    <w:name w:val="Energy Table12"/>
    <w:basedOn w:val="TableNormal"/>
    <w:uiPriority w:val="99"/>
    <w:qFormat/>
    <w:rsid w:val="00AC390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8445026">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59279125">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67148815">
      <w:bodyDiv w:val="1"/>
      <w:marLeft w:val="0"/>
      <w:marRight w:val="0"/>
      <w:marTop w:val="0"/>
      <w:marBottom w:val="0"/>
      <w:divBdr>
        <w:top w:val="none" w:sz="0" w:space="0" w:color="auto"/>
        <w:left w:val="none" w:sz="0" w:space="0" w:color="auto"/>
        <w:bottom w:val="none" w:sz="0" w:space="0" w:color="auto"/>
        <w:right w:val="none" w:sz="0" w:space="0" w:color="auto"/>
      </w:divBdr>
    </w:div>
    <w:div w:id="380518010">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46726926">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4098759">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1154106">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73546463">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77599885">
      <w:bodyDiv w:val="1"/>
      <w:marLeft w:val="0"/>
      <w:marRight w:val="0"/>
      <w:marTop w:val="0"/>
      <w:marBottom w:val="0"/>
      <w:divBdr>
        <w:top w:val="none" w:sz="0" w:space="0" w:color="auto"/>
        <w:left w:val="none" w:sz="0" w:space="0" w:color="auto"/>
        <w:bottom w:val="none" w:sz="0" w:space="0" w:color="auto"/>
        <w:right w:val="none" w:sz="0" w:space="0" w:color="auto"/>
      </w:divBdr>
    </w:div>
    <w:div w:id="1505393347">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47340545">
      <w:bodyDiv w:val="1"/>
      <w:marLeft w:val="0"/>
      <w:marRight w:val="0"/>
      <w:marTop w:val="0"/>
      <w:marBottom w:val="0"/>
      <w:divBdr>
        <w:top w:val="none" w:sz="0" w:space="0" w:color="auto"/>
        <w:left w:val="none" w:sz="0" w:space="0" w:color="auto"/>
        <w:bottom w:val="none" w:sz="0" w:space="0" w:color="auto"/>
        <w:right w:val="none" w:sz="0" w:space="0" w:color="auto"/>
      </w:divBdr>
    </w:div>
    <w:div w:id="1773814700">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32212050">
      <w:bodyDiv w:val="1"/>
      <w:marLeft w:val="0"/>
      <w:marRight w:val="0"/>
      <w:marTop w:val="0"/>
      <w:marBottom w:val="0"/>
      <w:divBdr>
        <w:top w:val="none" w:sz="0" w:space="0" w:color="auto"/>
        <w:left w:val="none" w:sz="0" w:space="0" w:color="auto"/>
        <w:bottom w:val="none" w:sz="0" w:space="0" w:color="auto"/>
        <w:right w:val="none" w:sz="0" w:space="0" w:color="auto"/>
      </w:divBdr>
    </w:div>
    <w:div w:id="1841188491">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70041578">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095933127">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11774142">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3.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23</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35102</CharactersWithSpaces>
  <SharedDoc>false</SharedDoc>
  <HLinks>
    <vt:vector size="120" baseType="variant">
      <vt:variant>
        <vt:i4>524369</vt:i4>
      </vt:variant>
      <vt:variant>
        <vt:i4>144</vt:i4>
      </vt:variant>
      <vt:variant>
        <vt:i4>0</vt:i4>
      </vt:variant>
      <vt:variant>
        <vt:i4>5</vt:i4>
      </vt:variant>
      <vt:variant>
        <vt:lpwstr>http://www.ilsag.info/technical-reference-manual.html</vt:lpwstr>
      </vt:variant>
      <vt:variant>
        <vt:lpwstr/>
      </vt:variant>
      <vt:variant>
        <vt:i4>3801209</vt:i4>
      </vt:variant>
      <vt:variant>
        <vt:i4>132</vt:i4>
      </vt:variant>
      <vt:variant>
        <vt:i4>0</vt:i4>
      </vt:variant>
      <vt:variant>
        <vt:i4>5</vt:i4>
      </vt:variant>
      <vt:variant>
        <vt:lpwstr>https://www.ilsag.info/evaluator-ntg-recommendations-for-2024/</vt:lpwstr>
      </vt:variant>
      <vt:variant>
        <vt:lpwstr/>
      </vt:variant>
      <vt:variant>
        <vt:i4>1966129</vt:i4>
      </vt:variant>
      <vt:variant>
        <vt:i4>110</vt:i4>
      </vt:variant>
      <vt:variant>
        <vt:i4>0</vt:i4>
      </vt:variant>
      <vt:variant>
        <vt:i4>5</vt:i4>
      </vt:variant>
      <vt:variant>
        <vt:lpwstr/>
      </vt:variant>
      <vt:variant>
        <vt:lpwstr>_Toc156946234</vt:lpwstr>
      </vt:variant>
      <vt:variant>
        <vt:i4>1966129</vt:i4>
      </vt:variant>
      <vt:variant>
        <vt:i4>104</vt:i4>
      </vt:variant>
      <vt:variant>
        <vt:i4>0</vt:i4>
      </vt:variant>
      <vt:variant>
        <vt:i4>5</vt:i4>
      </vt:variant>
      <vt:variant>
        <vt:lpwstr/>
      </vt:variant>
      <vt:variant>
        <vt:lpwstr>_Toc156946233</vt:lpwstr>
      </vt:variant>
      <vt:variant>
        <vt:i4>2031673</vt:i4>
      </vt:variant>
      <vt:variant>
        <vt:i4>95</vt:i4>
      </vt:variant>
      <vt:variant>
        <vt:i4>0</vt:i4>
      </vt:variant>
      <vt:variant>
        <vt:i4>5</vt:i4>
      </vt:variant>
      <vt:variant>
        <vt:lpwstr/>
      </vt:variant>
      <vt:variant>
        <vt:lpwstr>_Toc189737203</vt:lpwstr>
      </vt:variant>
      <vt:variant>
        <vt:i4>2031673</vt:i4>
      </vt:variant>
      <vt:variant>
        <vt:i4>89</vt:i4>
      </vt:variant>
      <vt:variant>
        <vt:i4>0</vt:i4>
      </vt:variant>
      <vt:variant>
        <vt:i4>5</vt:i4>
      </vt:variant>
      <vt:variant>
        <vt:lpwstr/>
      </vt:variant>
      <vt:variant>
        <vt:lpwstr>_Toc189737202</vt:lpwstr>
      </vt:variant>
      <vt:variant>
        <vt:i4>2031673</vt:i4>
      </vt:variant>
      <vt:variant>
        <vt:i4>83</vt:i4>
      </vt:variant>
      <vt:variant>
        <vt:i4>0</vt:i4>
      </vt:variant>
      <vt:variant>
        <vt:i4>5</vt:i4>
      </vt:variant>
      <vt:variant>
        <vt:lpwstr/>
      </vt:variant>
      <vt:variant>
        <vt:lpwstr>_Toc189737201</vt:lpwstr>
      </vt:variant>
      <vt:variant>
        <vt:i4>2031673</vt:i4>
      </vt:variant>
      <vt:variant>
        <vt:i4>77</vt:i4>
      </vt:variant>
      <vt:variant>
        <vt:i4>0</vt:i4>
      </vt:variant>
      <vt:variant>
        <vt:i4>5</vt:i4>
      </vt:variant>
      <vt:variant>
        <vt:lpwstr/>
      </vt:variant>
      <vt:variant>
        <vt:lpwstr>_Toc189737200</vt:lpwstr>
      </vt:variant>
      <vt:variant>
        <vt:i4>1441850</vt:i4>
      </vt:variant>
      <vt:variant>
        <vt:i4>71</vt:i4>
      </vt:variant>
      <vt:variant>
        <vt:i4>0</vt:i4>
      </vt:variant>
      <vt:variant>
        <vt:i4>5</vt:i4>
      </vt:variant>
      <vt:variant>
        <vt:lpwstr/>
      </vt:variant>
      <vt:variant>
        <vt:lpwstr>_Toc189737199</vt:lpwstr>
      </vt:variant>
      <vt:variant>
        <vt:i4>2031679</vt:i4>
      </vt:variant>
      <vt:variant>
        <vt:i4>62</vt:i4>
      </vt:variant>
      <vt:variant>
        <vt:i4>0</vt:i4>
      </vt:variant>
      <vt:variant>
        <vt:i4>5</vt:i4>
      </vt:variant>
      <vt:variant>
        <vt:lpwstr/>
      </vt:variant>
      <vt:variant>
        <vt:lpwstr>_Toc189741369</vt:lpwstr>
      </vt:variant>
      <vt:variant>
        <vt:i4>2031679</vt:i4>
      </vt:variant>
      <vt:variant>
        <vt:i4>56</vt:i4>
      </vt:variant>
      <vt:variant>
        <vt:i4>0</vt:i4>
      </vt:variant>
      <vt:variant>
        <vt:i4>5</vt:i4>
      </vt:variant>
      <vt:variant>
        <vt:lpwstr/>
      </vt:variant>
      <vt:variant>
        <vt:lpwstr>_Toc189741368</vt:lpwstr>
      </vt:variant>
      <vt:variant>
        <vt:i4>2031679</vt:i4>
      </vt:variant>
      <vt:variant>
        <vt:i4>50</vt:i4>
      </vt:variant>
      <vt:variant>
        <vt:i4>0</vt:i4>
      </vt:variant>
      <vt:variant>
        <vt:i4>5</vt:i4>
      </vt:variant>
      <vt:variant>
        <vt:lpwstr/>
      </vt:variant>
      <vt:variant>
        <vt:lpwstr>_Toc189741367</vt:lpwstr>
      </vt:variant>
      <vt:variant>
        <vt:i4>2031679</vt:i4>
      </vt:variant>
      <vt:variant>
        <vt:i4>44</vt:i4>
      </vt:variant>
      <vt:variant>
        <vt:i4>0</vt:i4>
      </vt:variant>
      <vt:variant>
        <vt:i4>5</vt:i4>
      </vt:variant>
      <vt:variant>
        <vt:lpwstr/>
      </vt:variant>
      <vt:variant>
        <vt:lpwstr>_Toc189741366</vt:lpwstr>
      </vt:variant>
      <vt:variant>
        <vt:i4>2031679</vt:i4>
      </vt:variant>
      <vt:variant>
        <vt:i4>38</vt:i4>
      </vt:variant>
      <vt:variant>
        <vt:i4>0</vt:i4>
      </vt:variant>
      <vt:variant>
        <vt:i4>5</vt:i4>
      </vt:variant>
      <vt:variant>
        <vt:lpwstr/>
      </vt:variant>
      <vt:variant>
        <vt:lpwstr>_Toc189741365</vt:lpwstr>
      </vt:variant>
      <vt:variant>
        <vt:i4>2031679</vt:i4>
      </vt:variant>
      <vt:variant>
        <vt:i4>32</vt:i4>
      </vt:variant>
      <vt:variant>
        <vt:i4>0</vt:i4>
      </vt:variant>
      <vt:variant>
        <vt:i4>5</vt:i4>
      </vt:variant>
      <vt:variant>
        <vt:lpwstr/>
      </vt:variant>
      <vt:variant>
        <vt:lpwstr>_Toc189741364</vt:lpwstr>
      </vt:variant>
      <vt:variant>
        <vt:i4>2031679</vt:i4>
      </vt:variant>
      <vt:variant>
        <vt:i4>26</vt:i4>
      </vt:variant>
      <vt:variant>
        <vt:i4>0</vt:i4>
      </vt:variant>
      <vt:variant>
        <vt:i4>5</vt:i4>
      </vt:variant>
      <vt:variant>
        <vt:lpwstr/>
      </vt:variant>
      <vt:variant>
        <vt:lpwstr>_Toc189741363</vt:lpwstr>
      </vt:variant>
      <vt:variant>
        <vt:i4>2031679</vt:i4>
      </vt:variant>
      <vt:variant>
        <vt:i4>20</vt:i4>
      </vt:variant>
      <vt:variant>
        <vt:i4>0</vt:i4>
      </vt:variant>
      <vt:variant>
        <vt:i4>5</vt:i4>
      </vt:variant>
      <vt:variant>
        <vt:lpwstr/>
      </vt:variant>
      <vt:variant>
        <vt:lpwstr>_Toc189741362</vt:lpwstr>
      </vt:variant>
      <vt:variant>
        <vt:i4>2031679</vt:i4>
      </vt:variant>
      <vt:variant>
        <vt:i4>14</vt:i4>
      </vt:variant>
      <vt:variant>
        <vt:i4>0</vt:i4>
      </vt:variant>
      <vt:variant>
        <vt:i4>5</vt:i4>
      </vt:variant>
      <vt:variant>
        <vt:lpwstr/>
      </vt:variant>
      <vt:variant>
        <vt:lpwstr>_Toc189741361</vt:lpwstr>
      </vt:variant>
      <vt:variant>
        <vt:i4>2031679</vt:i4>
      </vt:variant>
      <vt:variant>
        <vt:i4>8</vt:i4>
      </vt:variant>
      <vt:variant>
        <vt:i4>0</vt:i4>
      </vt:variant>
      <vt:variant>
        <vt:i4>5</vt:i4>
      </vt:variant>
      <vt:variant>
        <vt:lpwstr/>
      </vt:variant>
      <vt:variant>
        <vt:lpwstr>_Toc189741360</vt:lpwstr>
      </vt:variant>
      <vt:variant>
        <vt:i4>1835071</vt:i4>
      </vt:variant>
      <vt:variant>
        <vt:i4>2</vt:i4>
      </vt:variant>
      <vt:variant>
        <vt:i4>0</vt:i4>
      </vt:variant>
      <vt:variant>
        <vt:i4>5</vt:i4>
      </vt:variant>
      <vt:variant>
        <vt:lpwstr/>
      </vt:variant>
      <vt:variant>
        <vt:lpwstr>_Toc189741359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38</cp:revision>
  <cp:lastPrinted>2017-10-03T19:32:00Z</cp:lastPrinted>
  <dcterms:created xsi:type="dcterms:W3CDTF">2025-04-02T01:55:00Z</dcterms:created>
  <dcterms:modified xsi:type="dcterms:W3CDTF">2025-04-19T04:29:00Z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