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015A" w14:textId="77777777" w:rsidR="00250A50" w:rsidRPr="00B53186" w:rsidRDefault="00250A50">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C23C97" w:rsidRPr="006C1252" w14:paraId="240EA8EC" w14:textId="77777777">
        <w:trPr>
          <w:trHeight w:val="2114"/>
          <w:jc w:val="center"/>
        </w:trPr>
        <w:tc>
          <w:tcPr>
            <w:tcW w:w="9360" w:type="dxa"/>
            <w:gridSpan w:val="8"/>
          </w:tcPr>
          <w:p w14:paraId="22369C15" w14:textId="77777777" w:rsidR="00250A50" w:rsidRPr="008F5FB2" w:rsidRDefault="00250A50">
            <w:pPr>
              <w:pStyle w:val="Title"/>
            </w:pPr>
          </w:p>
        </w:tc>
      </w:tr>
      <w:tr w:rsidR="00C23C97" w:rsidRPr="006C1252" w14:paraId="0431AE0E" w14:textId="77777777">
        <w:trPr>
          <w:trHeight w:val="2114"/>
          <w:jc w:val="center"/>
        </w:trPr>
        <w:tc>
          <w:tcPr>
            <w:tcW w:w="9360" w:type="dxa"/>
            <w:gridSpan w:val="8"/>
          </w:tcPr>
          <w:p w14:paraId="617330A9" w14:textId="77777777" w:rsidR="00250A50" w:rsidRDefault="00250A50">
            <w:pPr>
              <w:pStyle w:val="Title"/>
            </w:pPr>
            <w:bookmarkStart w:id="0" w:name="Title_Program_Name"/>
            <w:r>
              <w:t>Business Energy Efficiency Rebates</w:t>
            </w:r>
            <w:bookmarkEnd w:id="0"/>
            <w:r>
              <w:t xml:space="preserve"> </w:t>
            </w:r>
            <w:r w:rsidRPr="00E656A1">
              <w:t>Impact Evaluation Report</w:t>
            </w:r>
          </w:p>
          <w:p w14:paraId="1B1EB5D0" w14:textId="77777777" w:rsidR="00250A50" w:rsidRPr="00E84648" w:rsidRDefault="00250A50">
            <w:pPr>
              <w:pStyle w:val="Subtitle"/>
              <w:rPr>
                <w:b w:val="0"/>
                <w:bCs/>
              </w:rPr>
            </w:pPr>
            <w:r>
              <w:t xml:space="preserve">Energy Efficiency Plan: Program Year 2024 </w:t>
            </w:r>
            <w:r>
              <w:br/>
              <w:t>(1/1/2024-12/31/2024)</w:t>
            </w:r>
          </w:p>
        </w:tc>
      </w:tr>
      <w:tr w:rsidR="00C23C97" w:rsidRPr="00C324C7" w14:paraId="6610E1CB" w14:textId="77777777">
        <w:trPr>
          <w:trHeight w:val="2263"/>
          <w:jc w:val="center"/>
        </w:trPr>
        <w:tc>
          <w:tcPr>
            <w:tcW w:w="9360" w:type="dxa"/>
            <w:gridSpan w:val="8"/>
          </w:tcPr>
          <w:p w14:paraId="00EEF920" w14:textId="3CADC369" w:rsidR="00250A50" w:rsidRDefault="00250A50">
            <w:pPr>
              <w:pStyle w:val="Preparedfor"/>
            </w:pPr>
            <w:r>
              <w:t>Prepared for:</w:t>
            </w:r>
          </w:p>
          <w:p w14:paraId="6AD7F047" w14:textId="77777777" w:rsidR="00250A50" w:rsidRDefault="00250A50">
            <w:pPr>
              <w:pStyle w:val="Preparedfor"/>
            </w:pPr>
            <w:r>
              <w:t>Nicor Gas Company</w:t>
            </w:r>
          </w:p>
          <w:p w14:paraId="7929C1B6" w14:textId="77777777" w:rsidR="00250A50" w:rsidRPr="004F0F97" w:rsidRDefault="00250A50">
            <w:pPr>
              <w:pStyle w:val="CoverClientName0"/>
            </w:pPr>
            <w:r w:rsidRPr="004F0F97">
              <w:t>DRAFT</w:t>
            </w:r>
          </w:p>
          <w:p w14:paraId="51F95A7A" w14:textId="4CFBE6F2" w:rsidR="00250A50" w:rsidRPr="00363D18" w:rsidRDefault="00290146">
            <w:pPr>
              <w:pStyle w:val="CoverClientName0"/>
              <w:spacing w:after="0"/>
            </w:pPr>
            <w:r>
              <w:t xml:space="preserve">April </w:t>
            </w:r>
            <w:r w:rsidR="0067220E">
              <w:t>1</w:t>
            </w:r>
            <w:r w:rsidR="00952231">
              <w:t>8</w:t>
            </w:r>
            <w:r w:rsidR="00250A50">
              <w:t>, 2025</w:t>
            </w:r>
          </w:p>
        </w:tc>
      </w:tr>
      <w:tr w:rsidR="00C23C97" w:rsidRPr="00A53568" w14:paraId="61672053" w14:textId="77777777">
        <w:trPr>
          <w:trHeight w:val="419"/>
          <w:jc w:val="center"/>
        </w:trPr>
        <w:tc>
          <w:tcPr>
            <w:tcW w:w="6739" w:type="dxa"/>
            <w:gridSpan w:val="5"/>
          </w:tcPr>
          <w:p w14:paraId="30B32308" w14:textId="77777777" w:rsidR="00250A50" w:rsidRDefault="00250A50">
            <w:pPr>
              <w:pStyle w:val="BodyTextBold"/>
              <w:rPr>
                <w:rStyle w:val="CoverText"/>
              </w:rPr>
            </w:pPr>
          </w:p>
          <w:p w14:paraId="6353AE2A" w14:textId="75B2F861" w:rsidR="00250A50" w:rsidRDefault="00250A50">
            <w:pPr>
              <w:pStyle w:val="BodyTextBold"/>
              <w:rPr>
                <w:rStyle w:val="CoverText"/>
              </w:rPr>
            </w:pPr>
            <w:r>
              <w:rPr>
                <w:rStyle w:val="CoverText"/>
              </w:rPr>
              <w:t xml:space="preserve">Prepared by: </w:t>
            </w:r>
          </w:p>
        </w:tc>
        <w:tc>
          <w:tcPr>
            <w:tcW w:w="2621" w:type="dxa"/>
            <w:gridSpan w:val="3"/>
          </w:tcPr>
          <w:p w14:paraId="1C4D6D4F" w14:textId="77777777" w:rsidR="00250A50" w:rsidRDefault="00250A50">
            <w:pPr>
              <w:pStyle w:val="BodyTextNoSpacingAfter"/>
              <w:rPr>
                <w:rStyle w:val="CoverText"/>
              </w:rPr>
            </w:pPr>
          </w:p>
        </w:tc>
      </w:tr>
      <w:tr w:rsidR="00C23C97" w:rsidRPr="00957EA9" w14:paraId="58C961A4" w14:textId="77777777">
        <w:trPr>
          <w:trHeight w:val="900"/>
          <w:jc w:val="center"/>
        </w:trPr>
        <w:tc>
          <w:tcPr>
            <w:tcW w:w="3227" w:type="dxa"/>
          </w:tcPr>
          <w:p w14:paraId="4C500BEF" w14:textId="6ACF3813" w:rsidR="00250A50" w:rsidRPr="008B387B" w:rsidRDefault="00290146">
            <w:pPr>
              <w:pStyle w:val="PresentedBy"/>
              <w:rPr>
                <w:bCs/>
                <w:color w:val="auto"/>
              </w:rPr>
            </w:pPr>
            <w:r>
              <w:rPr>
                <w:bCs/>
                <w:color w:val="auto"/>
              </w:rPr>
              <w:t>Sophie Berne</w:t>
            </w:r>
          </w:p>
          <w:p w14:paraId="35E6AC5D" w14:textId="77777777" w:rsidR="00250A50" w:rsidRPr="008B387B" w:rsidRDefault="00250A50">
            <w:pPr>
              <w:pStyle w:val="PresentedBy"/>
              <w:rPr>
                <w:bCs/>
                <w:color w:val="auto"/>
              </w:rPr>
            </w:pPr>
            <w:r w:rsidRPr="008B387B">
              <w:rPr>
                <w:bCs/>
                <w:color w:val="auto"/>
              </w:rPr>
              <w:t xml:space="preserve">Guidehouse </w:t>
            </w:r>
          </w:p>
        </w:tc>
        <w:tc>
          <w:tcPr>
            <w:tcW w:w="3489" w:type="dxa"/>
            <w:gridSpan w:val="3"/>
          </w:tcPr>
          <w:p w14:paraId="6D6F2BC5" w14:textId="2799E851" w:rsidR="00250A50" w:rsidRDefault="00290146">
            <w:pPr>
              <w:pStyle w:val="BodyTextNoSpacingAfter"/>
              <w:rPr>
                <w:rStyle w:val="CoverText"/>
                <w:bCs/>
              </w:rPr>
            </w:pPr>
            <w:r>
              <w:rPr>
                <w:rStyle w:val="CoverText"/>
                <w:bCs/>
              </w:rPr>
              <w:t>Raniel Chan</w:t>
            </w:r>
          </w:p>
          <w:p w14:paraId="5CEF296A" w14:textId="44233DFF" w:rsidR="00250A50" w:rsidRPr="008B387B" w:rsidRDefault="00290146">
            <w:pPr>
              <w:pStyle w:val="BodyTextNoSpacingAfter"/>
              <w:rPr>
                <w:rStyle w:val="CoverText"/>
                <w:bCs/>
              </w:rPr>
            </w:pPr>
            <w:r>
              <w:rPr>
                <w:rStyle w:val="CoverText"/>
                <w:bCs/>
              </w:rPr>
              <w:t>Guidehouse</w:t>
            </w:r>
          </w:p>
        </w:tc>
        <w:tc>
          <w:tcPr>
            <w:tcW w:w="2644" w:type="dxa"/>
            <w:gridSpan w:val="4"/>
          </w:tcPr>
          <w:p w14:paraId="32F58805" w14:textId="77777777" w:rsidR="00250A50" w:rsidRDefault="00F86713" w:rsidP="00A65CAB">
            <w:pPr>
              <w:pStyle w:val="PresentedBy"/>
              <w:rPr>
                <w:rStyle w:val="CoverText"/>
                <w:bCs/>
                <w:iCs/>
              </w:rPr>
            </w:pPr>
            <w:r>
              <w:rPr>
                <w:rStyle w:val="CoverText"/>
                <w:bCs/>
                <w:iCs/>
              </w:rPr>
              <w:t>Sagar Phalke</w:t>
            </w:r>
          </w:p>
          <w:p w14:paraId="5E14A34B" w14:textId="3B08FE71" w:rsidR="00250A50" w:rsidRPr="00957EA9" w:rsidRDefault="00F86713">
            <w:pPr>
              <w:pStyle w:val="PresentedBy"/>
              <w:rPr>
                <w:rStyle w:val="CoverText"/>
                <w:bCs/>
                <w:iCs/>
              </w:rPr>
            </w:pPr>
            <w:r>
              <w:rPr>
                <w:rStyle w:val="CoverText"/>
                <w:bCs/>
                <w:iCs/>
              </w:rPr>
              <w:t>Guidehouse</w:t>
            </w:r>
          </w:p>
        </w:tc>
      </w:tr>
      <w:tr w:rsidR="00C23C97" w14:paraId="3AD37BF8" w14:textId="77777777">
        <w:trPr>
          <w:jc w:val="center"/>
        </w:trPr>
        <w:tc>
          <w:tcPr>
            <w:tcW w:w="3227" w:type="dxa"/>
            <w:vAlign w:val="center"/>
          </w:tcPr>
          <w:p w14:paraId="40B3B1E9" w14:textId="77777777" w:rsidR="00250A50" w:rsidRPr="00957EA9" w:rsidRDefault="00250A50">
            <w:pPr>
              <w:pStyle w:val="PresentedBy"/>
              <w:jc w:val="center"/>
              <w:rPr>
                <w:b/>
                <w:color w:val="auto"/>
              </w:rPr>
            </w:pPr>
          </w:p>
        </w:tc>
        <w:tc>
          <w:tcPr>
            <w:tcW w:w="3489" w:type="dxa"/>
            <w:gridSpan w:val="3"/>
            <w:vAlign w:val="center"/>
          </w:tcPr>
          <w:p w14:paraId="48BD0F9C" w14:textId="77777777" w:rsidR="00250A50" w:rsidRPr="6BF7E7CA" w:rsidRDefault="00250A50">
            <w:pPr>
              <w:pStyle w:val="PresentedBy"/>
              <w:jc w:val="center"/>
              <w:rPr>
                <w:b/>
                <w:bCs/>
                <w:color w:val="auto"/>
              </w:rPr>
            </w:pPr>
          </w:p>
        </w:tc>
        <w:tc>
          <w:tcPr>
            <w:tcW w:w="2644" w:type="dxa"/>
            <w:gridSpan w:val="4"/>
          </w:tcPr>
          <w:p w14:paraId="180CB6F4" w14:textId="77777777" w:rsidR="00250A50" w:rsidRDefault="00250A50">
            <w:pPr>
              <w:pStyle w:val="PresentedBy"/>
              <w:rPr>
                <w:b/>
                <w:color w:val="auto"/>
              </w:rPr>
            </w:pPr>
          </w:p>
        </w:tc>
      </w:tr>
      <w:tr w:rsidR="00C23C97" w:rsidRPr="00D8064B" w14:paraId="6F52DD5E" w14:textId="77777777">
        <w:trPr>
          <w:trHeight w:val="1135"/>
          <w:jc w:val="center"/>
        </w:trPr>
        <w:tc>
          <w:tcPr>
            <w:tcW w:w="3227" w:type="dxa"/>
            <w:vAlign w:val="center"/>
          </w:tcPr>
          <w:p w14:paraId="5E479DF4" w14:textId="77777777" w:rsidR="00250A50" w:rsidRPr="00D8064B" w:rsidRDefault="00250A50">
            <w:pPr>
              <w:pStyle w:val="TitlepageRestriction"/>
              <w:jc w:val="center"/>
              <w:rPr>
                <w:sz w:val="18"/>
                <w:szCs w:val="18"/>
              </w:rPr>
            </w:pPr>
          </w:p>
        </w:tc>
        <w:tc>
          <w:tcPr>
            <w:tcW w:w="3324" w:type="dxa"/>
            <w:vAlign w:val="center"/>
          </w:tcPr>
          <w:p w14:paraId="7C8370B4" w14:textId="77777777" w:rsidR="00250A50" w:rsidRPr="00D8064B" w:rsidRDefault="00250A50">
            <w:pPr>
              <w:pStyle w:val="TitlepageRestriction"/>
              <w:jc w:val="center"/>
              <w:rPr>
                <w:sz w:val="18"/>
                <w:szCs w:val="18"/>
              </w:rPr>
            </w:pPr>
          </w:p>
        </w:tc>
        <w:tc>
          <w:tcPr>
            <w:tcW w:w="2058" w:type="dxa"/>
            <w:gridSpan w:val="5"/>
            <w:vAlign w:val="center"/>
          </w:tcPr>
          <w:p w14:paraId="5987AC24" w14:textId="77777777" w:rsidR="00250A50" w:rsidRPr="00D8064B" w:rsidRDefault="00250A50">
            <w:pPr>
              <w:pStyle w:val="TitlepageRestriction"/>
              <w:jc w:val="center"/>
              <w:rPr>
                <w:sz w:val="18"/>
                <w:szCs w:val="18"/>
              </w:rPr>
            </w:pPr>
          </w:p>
        </w:tc>
        <w:tc>
          <w:tcPr>
            <w:tcW w:w="751" w:type="dxa"/>
          </w:tcPr>
          <w:p w14:paraId="44E3B992" w14:textId="77777777" w:rsidR="00250A50" w:rsidRPr="00D8064B" w:rsidRDefault="00250A50">
            <w:pPr>
              <w:pStyle w:val="TitlepageRestriction"/>
              <w:rPr>
                <w:sz w:val="18"/>
                <w:szCs w:val="18"/>
              </w:rPr>
            </w:pPr>
          </w:p>
        </w:tc>
      </w:tr>
      <w:tr w:rsidR="00C23C97" w:rsidRPr="005D53EC" w14:paraId="29E2C65C" w14:textId="77777777">
        <w:trPr>
          <w:trHeight w:val="495"/>
          <w:jc w:val="center"/>
        </w:trPr>
        <w:tc>
          <w:tcPr>
            <w:tcW w:w="3227" w:type="dxa"/>
            <w:vAlign w:val="center"/>
          </w:tcPr>
          <w:p w14:paraId="59035C5A" w14:textId="77777777" w:rsidR="00250A50" w:rsidRPr="00D8064B" w:rsidRDefault="00250A50">
            <w:pPr>
              <w:pStyle w:val="TitlepageRestriction"/>
              <w:rPr>
                <w:sz w:val="18"/>
                <w:szCs w:val="18"/>
              </w:rPr>
            </w:pPr>
            <w:r w:rsidRPr="00D8064B">
              <w:rPr>
                <w:b/>
                <w:sz w:val="18"/>
                <w:szCs w:val="18"/>
              </w:rPr>
              <w:t>guidehouse.com</w:t>
            </w:r>
          </w:p>
        </w:tc>
        <w:tc>
          <w:tcPr>
            <w:tcW w:w="3482" w:type="dxa"/>
            <w:gridSpan w:val="2"/>
          </w:tcPr>
          <w:p w14:paraId="70FAD69D" w14:textId="77777777" w:rsidR="00250A50" w:rsidRPr="00D8064B" w:rsidRDefault="00250A50">
            <w:pPr>
              <w:pStyle w:val="TitlepageRestriction"/>
              <w:rPr>
                <w:sz w:val="18"/>
                <w:szCs w:val="18"/>
              </w:rPr>
            </w:pPr>
          </w:p>
        </w:tc>
        <w:tc>
          <w:tcPr>
            <w:tcW w:w="1541" w:type="dxa"/>
            <w:gridSpan w:val="3"/>
            <w:vAlign w:val="center"/>
          </w:tcPr>
          <w:p w14:paraId="620830C8" w14:textId="77777777" w:rsidR="00250A50" w:rsidRPr="00D8064B" w:rsidRDefault="00250A50">
            <w:pPr>
              <w:pStyle w:val="TitlepageRestriction"/>
              <w:rPr>
                <w:sz w:val="18"/>
                <w:szCs w:val="18"/>
              </w:rPr>
            </w:pPr>
          </w:p>
        </w:tc>
        <w:tc>
          <w:tcPr>
            <w:tcW w:w="1110" w:type="dxa"/>
            <w:gridSpan w:val="2"/>
          </w:tcPr>
          <w:p w14:paraId="6F444A49" w14:textId="77777777" w:rsidR="00250A50" w:rsidRPr="00D8064B" w:rsidRDefault="00250A50">
            <w:pPr>
              <w:pStyle w:val="TitlepageRestriction"/>
              <w:rPr>
                <w:sz w:val="18"/>
                <w:szCs w:val="18"/>
              </w:rPr>
            </w:pPr>
          </w:p>
        </w:tc>
      </w:tr>
    </w:tbl>
    <w:p w14:paraId="7BE08A5D" w14:textId="77777777" w:rsidR="00250A50" w:rsidRPr="004B7712" w:rsidRDefault="00250A50">
      <w:pPr>
        <w:sectPr w:rsidR="00250A50" w:rsidRPr="004B7712">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702914E8" w14:textId="77777777" w:rsidR="00250A50" w:rsidRPr="00CE09F1" w:rsidRDefault="00250A50">
      <w:pPr>
        <w:pStyle w:val="Contactinfo"/>
      </w:pPr>
    </w:p>
    <w:p w14:paraId="731403AF" w14:textId="77777777" w:rsidR="00250A50" w:rsidRPr="00CE09F1" w:rsidRDefault="00250A50">
      <w:pPr>
        <w:pStyle w:val="Contactinfo"/>
      </w:pPr>
    </w:p>
    <w:p w14:paraId="61DE5712" w14:textId="77777777" w:rsidR="00250A50" w:rsidRPr="00CE09F1" w:rsidRDefault="00250A50">
      <w:pPr>
        <w:pStyle w:val="Contactinfo"/>
      </w:pPr>
    </w:p>
    <w:p w14:paraId="29BF292E" w14:textId="77777777" w:rsidR="00250A50" w:rsidRPr="00CE09F1" w:rsidRDefault="00250A50">
      <w:pPr>
        <w:pStyle w:val="Contactinfo"/>
      </w:pPr>
    </w:p>
    <w:p w14:paraId="259B82CF" w14:textId="77777777" w:rsidR="00250A50" w:rsidRPr="00CE09F1" w:rsidRDefault="00250A50">
      <w:pPr>
        <w:pStyle w:val="Contactinfo"/>
      </w:pPr>
    </w:p>
    <w:p w14:paraId="59F60269" w14:textId="77777777" w:rsidR="00250A50" w:rsidRPr="005621C7" w:rsidRDefault="00250A50">
      <w:pPr>
        <w:pStyle w:val="Contactinfo"/>
        <w:rPr>
          <w:b/>
        </w:rPr>
      </w:pPr>
    </w:p>
    <w:p w14:paraId="4DC74D5C" w14:textId="77777777" w:rsidR="00250A50" w:rsidRPr="005621C7" w:rsidRDefault="00250A50">
      <w:pPr>
        <w:pStyle w:val="Contactinfo"/>
        <w:rPr>
          <w:b/>
        </w:rPr>
      </w:pPr>
      <w:r w:rsidRPr="005621C7">
        <w:rPr>
          <w:b/>
        </w:rPr>
        <w:t>Submitted to:</w:t>
      </w:r>
    </w:p>
    <w:p w14:paraId="71EFACBE" w14:textId="77777777" w:rsidR="00250A50" w:rsidRPr="005621C7" w:rsidRDefault="00250A50">
      <w:pPr>
        <w:pStyle w:val="Contactinfo"/>
      </w:pPr>
    </w:p>
    <w:p w14:paraId="12C2EB90" w14:textId="77777777" w:rsidR="00250A50" w:rsidRPr="000E3526" w:rsidRDefault="00250A50">
      <w:pPr>
        <w:pStyle w:val="Contactinfo"/>
      </w:pPr>
      <w:r>
        <w:t>Nicor Gas Company</w:t>
      </w:r>
    </w:p>
    <w:p w14:paraId="5AD3B493" w14:textId="77777777" w:rsidR="00250A50" w:rsidRPr="000E3526" w:rsidRDefault="00250A50">
      <w:pPr>
        <w:pStyle w:val="Contactinfo"/>
      </w:pPr>
      <w:r>
        <w:t>1844 Ferry Road</w:t>
      </w:r>
    </w:p>
    <w:p w14:paraId="06C34D43" w14:textId="77777777" w:rsidR="00250A50" w:rsidRPr="000E3526" w:rsidRDefault="00250A50">
      <w:pPr>
        <w:pStyle w:val="Contactinfo"/>
      </w:pPr>
      <w:r>
        <w:t>Naperville, IL 60563</w:t>
      </w:r>
    </w:p>
    <w:p w14:paraId="0D77BF5C" w14:textId="77777777" w:rsidR="00250A50" w:rsidRPr="005621C7" w:rsidRDefault="00250A50">
      <w:pPr>
        <w:pStyle w:val="Contactinfo"/>
      </w:pPr>
    </w:p>
    <w:p w14:paraId="45F4F2DB" w14:textId="77777777" w:rsidR="00250A50" w:rsidRPr="005621C7" w:rsidRDefault="00250A50">
      <w:pPr>
        <w:pStyle w:val="Contactinfo"/>
      </w:pPr>
    </w:p>
    <w:p w14:paraId="61158B81" w14:textId="77777777" w:rsidR="00250A50" w:rsidRPr="005621C7" w:rsidRDefault="00250A50">
      <w:pPr>
        <w:pStyle w:val="Contactinfo"/>
        <w:rPr>
          <w:b/>
        </w:rPr>
      </w:pPr>
      <w:r w:rsidRPr="005621C7">
        <w:rPr>
          <w:b/>
        </w:rPr>
        <w:t>Submitted by:</w:t>
      </w:r>
    </w:p>
    <w:p w14:paraId="1295CCCD" w14:textId="77777777" w:rsidR="00250A50" w:rsidRPr="005621C7" w:rsidRDefault="00250A50">
      <w:pPr>
        <w:pStyle w:val="Contactinfo"/>
      </w:pPr>
    </w:p>
    <w:p w14:paraId="17DE8E65" w14:textId="77777777" w:rsidR="00250A50" w:rsidRPr="005621C7" w:rsidRDefault="00250A50">
      <w:pPr>
        <w:pStyle w:val="Contactinfo"/>
      </w:pPr>
      <w:r>
        <w:t>Guidehouse</w:t>
      </w:r>
    </w:p>
    <w:p w14:paraId="50097BD4" w14:textId="77777777" w:rsidR="00250A50" w:rsidRPr="005621C7" w:rsidRDefault="00250A50">
      <w:pPr>
        <w:pStyle w:val="Contactinfo"/>
      </w:pPr>
      <w:r>
        <w:t>150 N. Riverside Plaza, Suite 2100</w:t>
      </w:r>
    </w:p>
    <w:p w14:paraId="16E04444" w14:textId="77777777" w:rsidR="00250A50" w:rsidRPr="005621C7" w:rsidRDefault="00250A50">
      <w:pPr>
        <w:pStyle w:val="Contactinfo"/>
      </w:pPr>
      <w:r w:rsidRPr="005621C7">
        <w:t>Chicago, IL 60606</w:t>
      </w:r>
    </w:p>
    <w:p w14:paraId="34A7ACC9" w14:textId="77777777" w:rsidR="00250A50" w:rsidRPr="005621C7" w:rsidRDefault="00250A50">
      <w:pPr>
        <w:pStyle w:val="Contactinfo"/>
      </w:pPr>
    </w:p>
    <w:p w14:paraId="1F9C6AD2" w14:textId="77777777" w:rsidR="00250A50" w:rsidRPr="005621C7" w:rsidRDefault="00250A50">
      <w:pPr>
        <w:pStyle w:val="Contactinfo"/>
      </w:pPr>
    </w:p>
    <w:p w14:paraId="4EBABEEC" w14:textId="77777777" w:rsidR="00250A50" w:rsidRPr="005621C7" w:rsidRDefault="00250A50">
      <w:pPr>
        <w:pStyle w:val="Contactinfo"/>
      </w:pPr>
      <w:r w:rsidRPr="005621C7">
        <w:rPr>
          <w:b/>
        </w:rPr>
        <w:t>Contact:</w:t>
      </w:r>
    </w:p>
    <w:p w14:paraId="6D3B4C42" w14:textId="77777777" w:rsidR="00250A50" w:rsidRPr="005621C7" w:rsidRDefault="00250A50">
      <w:pPr>
        <w:pStyle w:val="Contactinfo"/>
      </w:pPr>
    </w:p>
    <w:tbl>
      <w:tblPr>
        <w:tblW w:w="10057" w:type="dxa"/>
        <w:tblInd w:w="-90" w:type="dxa"/>
        <w:tblLook w:val="00A0" w:firstRow="1" w:lastRow="0" w:firstColumn="1" w:lastColumn="0" w:noHBand="0" w:noVBand="0"/>
      </w:tblPr>
      <w:tblGrid>
        <w:gridCol w:w="3534"/>
        <w:gridCol w:w="3179"/>
        <w:gridCol w:w="3701"/>
      </w:tblGrid>
      <w:tr w:rsidR="00C23C97" w:rsidRPr="007B32D7" w14:paraId="433AF571" w14:textId="77777777">
        <w:tc>
          <w:tcPr>
            <w:tcW w:w="3330" w:type="dxa"/>
          </w:tcPr>
          <w:p w14:paraId="16E968BB" w14:textId="77777777" w:rsidR="00250A50" w:rsidRDefault="00250A50">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Walker</w:t>
            </w:r>
            <w:r w:rsidRPr="00657529">
              <w:rPr>
                <w:rFonts w:ascii="Arial" w:eastAsiaTheme="minorHAnsi" w:hAnsi="Arial" w:cstheme="minorBidi"/>
                <w:sz w:val="20"/>
                <w:szCs w:val="20"/>
              </w:rPr>
              <w:t xml:space="preserve"> </w:t>
            </w:r>
          </w:p>
          <w:p w14:paraId="13637F04" w14:textId="77777777" w:rsidR="00250A50" w:rsidRPr="00657529" w:rsidRDefault="00250A50">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6B0C6EF4" w14:textId="77777777" w:rsidR="00250A50" w:rsidRPr="00657529" w:rsidRDefault="00250A50">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Pr="00657529">
              <w:rPr>
                <w:rFonts w:ascii="Arial" w:eastAsiaTheme="minorHAnsi" w:hAnsi="Arial" w:cstheme="minorBidi"/>
                <w:sz w:val="20"/>
                <w:szCs w:val="20"/>
              </w:rPr>
              <w:t>  </w:t>
            </w:r>
          </w:p>
          <w:p w14:paraId="570970D0" w14:textId="77777777" w:rsidR="00250A50" w:rsidRPr="00012528" w:rsidRDefault="00250A50">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Pr="00012528">
              <w:rPr>
                <w:rFonts w:ascii="Arial" w:eastAsiaTheme="minorHAnsi" w:hAnsi="Arial" w:cstheme="minorBidi"/>
                <w:b/>
                <w:bCs/>
                <w:sz w:val="20"/>
                <w:szCs w:val="20"/>
              </w:rPr>
              <w:t xml:space="preserve">  </w:t>
            </w:r>
          </w:p>
          <w:p w14:paraId="2039C43D" w14:textId="77777777" w:rsidR="00250A50" w:rsidRDefault="00250A50">
            <w:pPr>
              <w:pStyle w:val="paragraph"/>
              <w:spacing w:before="0" w:beforeAutospacing="0" w:after="0" w:afterAutospacing="0"/>
              <w:textAlignment w:val="baseline"/>
            </w:pPr>
          </w:p>
          <w:p w14:paraId="632A287B" w14:textId="77777777" w:rsidR="00250A50" w:rsidRPr="00AE0841" w:rsidRDefault="00250A50">
            <w:pPr>
              <w:pStyle w:val="Contactinfo"/>
              <w:rPr>
                <w:sz w:val="20"/>
              </w:rPr>
            </w:pPr>
            <w:r>
              <w:rPr>
                <w:sz w:val="20"/>
              </w:rPr>
              <w:t>Charles Ampong</w:t>
            </w:r>
            <w:r w:rsidRPr="00AE0841">
              <w:rPr>
                <w:sz w:val="20"/>
              </w:rPr>
              <w:br/>
              <w:t>Associate Director</w:t>
            </w:r>
          </w:p>
          <w:p w14:paraId="635FEC18" w14:textId="77777777" w:rsidR="00250A50" w:rsidRPr="00AE0841" w:rsidRDefault="00250A50">
            <w:pPr>
              <w:pStyle w:val="Contactinfo"/>
              <w:rPr>
                <w:sz w:val="20"/>
              </w:rPr>
            </w:pPr>
            <w:r w:rsidRPr="00AE0841">
              <w:rPr>
                <w:sz w:val="20"/>
              </w:rPr>
              <w:t>608.</w:t>
            </w:r>
            <w:r>
              <w:rPr>
                <w:sz w:val="20"/>
              </w:rPr>
              <w:t>446.3172</w:t>
            </w:r>
          </w:p>
          <w:p w14:paraId="71F146C2" w14:textId="77777777" w:rsidR="00250A50" w:rsidRPr="00012528" w:rsidRDefault="00250A50">
            <w:pPr>
              <w:pStyle w:val="Contactinfo"/>
              <w:rPr>
                <w:sz w:val="20"/>
              </w:rPr>
            </w:pPr>
            <w:r w:rsidRPr="00012528">
              <w:rPr>
                <w:b/>
                <w:sz w:val="20"/>
                <w:u w:color="93D500" w:themeColor="accent1"/>
              </w:rPr>
              <w:t>charles.ampong@guidehouse.com</w:t>
            </w:r>
          </w:p>
          <w:p w14:paraId="50346BD9" w14:textId="77777777" w:rsidR="00250A50" w:rsidRDefault="00250A50">
            <w:pPr>
              <w:pStyle w:val="Contactinfo"/>
              <w:rPr>
                <w:sz w:val="20"/>
              </w:rPr>
            </w:pPr>
          </w:p>
          <w:p w14:paraId="061A48EA" w14:textId="77777777" w:rsidR="00250A50" w:rsidRPr="007B32D7" w:rsidRDefault="00250A50">
            <w:pPr>
              <w:pStyle w:val="Contactinfo"/>
            </w:pPr>
          </w:p>
        </w:tc>
        <w:tc>
          <w:tcPr>
            <w:tcW w:w="3420" w:type="dxa"/>
          </w:tcPr>
          <w:p w14:paraId="396BEDC2" w14:textId="77777777" w:rsidR="00250A50" w:rsidRPr="00657529" w:rsidRDefault="00250A50">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Pr="00657529">
              <w:rPr>
                <w:rFonts w:ascii="Arial" w:eastAsiaTheme="minorHAnsi" w:hAnsi="Arial" w:cstheme="minorBidi"/>
                <w:sz w:val="20"/>
                <w:szCs w:val="20"/>
              </w:rPr>
              <w:t xml:space="preserve"> </w:t>
            </w:r>
          </w:p>
          <w:p w14:paraId="7C8D0084" w14:textId="77777777" w:rsidR="00250A50" w:rsidRPr="00657529" w:rsidRDefault="00250A50">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4859CE60" w14:textId="77777777" w:rsidR="00250A50" w:rsidRPr="00657529" w:rsidRDefault="00250A50">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Pr="00657529">
              <w:rPr>
                <w:rFonts w:ascii="Arial" w:eastAsiaTheme="minorHAnsi" w:hAnsi="Arial" w:cstheme="minorBidi"/>
                <w:sz w:val="20"/>
                <w:szCs w:val="20"/>
              </w:rPr>
              <w:t> </w:t>
            </w:r>
          </w:p>
          <w:p w14:paraId="384F0D9F" w14:textId="77777777" w:rsidR="00250A50" w:rsidRPr="00012528" w:rsidRDefault="00250A50">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Pr="00012528">
              <w:rPr>
                <w:rFonts w:ascii="Arial" w:eastAsiaTheme="minorHAnsi" w:hAnsi="Arial" w:cstheme="minorBidi"/>
                <w:b/>
                <w:sz w:val="20"/>
                <w:szCs w:val="20"/>
                <w:u w:color="93D500" w:themeColor="accent1"/>
              </w:rPr>
              <w:t>@guidehouse.com</w:t>
            </w:r>
          </w:p>
          <w:p w14:paraId="4BCA50F2" w14:textId="77777777" w:rsidR="00250A50" w:rsidRPr="00657529" w:rsidRDefault="00250A50">
            <w:pPr>
              <w:pStyle w:val="paragraph"/>
              <w:spacing w:before="0" w:beforeAutospacing="0" w:after="0" w:afterAutospacing="0"/>
              <w:textAlignment w:val="baseline"/>
              <w:rPr>
                <w:rFonts w:ascii="Arial" w:eastAsiaTheme="minorHAnsi" w:hAnsi="Arial" w:cstheme="minorBidi"/>
                <w:sz w:val="20"/>
                <w:szCs w:val="20"/>
              </w:rPr>
            </w:pPr>
          </w:p>
          <w:p w14:paraId="2B9038FE" w14:textId="77777777" w:rsidR="00250A50" w:rsidRPr="007B32D7" w:rsidRDefault="00250A50">
            <w:pPr>
              <w:pStyle w:val="Contactinfo"/>
            </w:pPr>
          </w:p>
        </w:tc>
        <w:tc>
          <w:tcPr>
            <w:tcW w:w="3307" w:type="dxa"/>
          </w:tcPr>
          <w:p w14:paraId="56E74363" w14:textId="77777777" w:rsidR="00250A50" w:rsidRPr="00AE0841" w:rsidRDefault="00250A50">
            <w:pPr>
              <w:pStyle w:val="Contactinfo"/>
              <w:rPr>
                <w:sz w:val="20"/>
              </w:rPr>
            </w:pPr>
            <w:r>
              <w:rPr>
                <w:sz w:val="20"/>
              </w:rPr>
              <w:t>Laura Agapay-Read</w:t>
            </w:r>
            <w:r w:rsidRPr="00AE0841">
              <w:rPr>
                <w:sz w:val="20"/>
              </w:rPr>
              <w:br/>
              <w:t>Associate Director</w:t>
            </w:r>
          </w:p>
          <w:p w14:paraId="01110203" w14:textId="77777777" w:rsidR="00250A50" w:rsidRDefault="00250A50">
            <w:pPr>
              <w:pStyle w:val="Contactinfo"/>
              <w:rPr>
                <w:sz w:val="20"/>
              </w:rPr>
            </w:pPr>
            <w:r>
              <w:rPr>
                <w:sz w:val="20"/>
              </w:rPr>
              <w:t>312</w:t>
            </w:r>
            <w:r w:rsidRPr="00AE0841">
              <w:rPr>
                <w:sz w:val="20"/>
              </w:rPr>
              <w:t>.</w:t>
            </w:r>
            <w:r>
              <w:rPr>
                <w:sz w:val="20"/>
              </w:rPr>
              <w:t>583</w:t>
            </w:r>
            <w:r w:rsidRPr="00AE0841">
              <w:rPr>
                <w:sz w:val="20"/>
              </w:rPr>
              <w:t>.</w:t>
            </w:r>
            <w:r>
              <w:rPr>
                <w:sz w:val="20"/>
              </w:rPr>
              <w:t>4178</w:t>
            </w:r>
          </w:p>
          <w:p w14:paraId="0486E6CA" w14:textId="77777777" w:rsidR="00250A50" w:rsidRPr="00012528" w:rsidRDefault="00250A50">
            <w:pPr>
              <w:pStyle w:val="Contactinfo"/>
              <w:rPr>
                <w:sz w:val="20"/>
              </w:rPr>
            </w:pPr>
            <w:r w:rsidRPr="00012528">
              <w:rPr>
                <w:b/>
                <w:sz w:val="20"/>
                <w:u w:color="93D500" w:themeColor="accent1"/>
              </w:rPr>
              <w:t>laura.agapay.read@guidehouse.com</w:t>
            </w:r>
          </w:p>
          <w:p w14:paraId="4650819D" w14:textId="77777777" w:rsidR="00250A50" w:rsidRPr="000D0C1E" w:rsidRDefault="00250A50">
            <w:pPr>
              <w:pStyle w:val="Contactinfo"/>
              <w:rPr>
                <w:color w:val="0070C0"/>
                <w:sz w:val="20"/>
              </w:rPr>
            </w:pPr>
          </w:p>
          <w:p w14:paraId="19894C25" w14:textId="77777777" w:rsidR="00250A50" w:rsidRPr="007B32D7" w:rsidRDefault="00250A50">
            <w:pPr>
              <w:pStyle w:val="Contactinfo"/>
            </w:pPr>
          </w:p>
        </w:tc>
      </w:tr>
    </w:tbl>
    <w:p w14:paraId="47E6CD43" w14:textId="77777777" w:rsidR="00250A50" w:rsidRPr="005621C7" w:rsidRDefault="00250A50">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7C5D5BAD" w14:textId="77777777" w:rsidR="00250A50" w:rsidRPr="005621C7" w:rsidRDefault="00250A50">
      <w:pPr>
        <w:pStyle w:val="Contactinfo"/>
        <w:sectPr w:rsidR="00250A50" w:rsidRPr="005621C7">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249301F9" w14:textId="77777777" w:rsidR="00250A50" w:rsidRPr="005621C7" w:rsidRDefault="00250A50" w:rsidP="00EF2FBC">
      <w:pPr>
        <w:pStyle w:val="TOCHeading"/>
      </w:pPr>
      <w:r w:rsidRPr="005621C7">
        <w:lastRenderedPageBreak/>
        <w:t>Table of Contents</w:t>
      </w:r>
    </w:p>
    <w:p w14:paraId="16D388C1" w14:textId="7BDF8F2C" w:rsidR="00843003" w:rsidRDefault="00250A50">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5712229" w:history="1">
        <w:r w:rsidR="00843003" w:rsidRPr="00185803">
          <w:rPr>
            <w:rStyle w:val="Hyperlink"/>
            <w:noProof/>
          </w:rPr>
          <w:t>Introduction</w:t>
        </w:r>
        <w:r w:rsidR="00843003">
          <w:rPr>
            <w:noProof/>
            <w:webHidden/>
          </w:rPr>
          <w:tab/>
        </w:r>
        <w:r w:rsidR="00843003">
          <w:rPr>
            <w:noProof/>
            <w:webHidden/>
          </w:rPr>
          <w:fldChar w:fldCharType="begin"/>
        </w:r>
        <w:r w:rsidR="00843003">
          <w:rPr>
            <w:noProof/>
            <w:webHidden/>
          </w:rPr>
          <w:instrText xml:space="preserve"> PAGEREF _Toc195712229 \h </w:instrText>
        </w:r>
        <w:r w:rsidR="00843003">
          <w:rPr>
            <w:noProof/>
            <w:webHidden/>
          </w:rPr>
        </w:r>
        <w:r w:rsidR="00843003">
          <w:rPr>
            <w:noProof/>
            <w:webHidden/>
          </w:rPr>
          <w:fldChar w:fldCharType="separate"/>
        </w:r>
        <w:r w:rsidR="00843003">
          <w:rPr>
            <w:noProof/>
            <w:webHidden/>
          </w:rPr>
          <w:t>2</w:t>
        </w:r>
        <w:r w:rsidR="00843003">
          <w:rPr>
            <w:noProof/>
            <w:webHidden/>
          </w:rPr>
          <w:fldChar w:fldCharType="end"/>
        </w:r>
      </w:hyperlink>
    </w:p>
    <w:p w14:paraId="4C321BBF" w14:textId="369DAE09" w:rsidR="00843003" w:rsidRDefault="00843003">
      <w:pPr>
        <w:pStyle w:val="TOC1"/>
        <w:rPr>
          <w:rFonts w:asciiTheme="minorHAnsi" w:eastAsiaTheme="minorEastAsia" w:hAnsiTheme="minorHAnsi" w:cstheme="minorBidi"/>
          <w:b w:val="0"/>
          <w:noProof/>
          <w:kern w:val="2"/>
          <w:sz w:val="24"/>
          <w14:ligatures w14:val="standardContextual"/>
        </w:rPr>
      </w:pPr>
      <w:hyperlink w:anchor="_Toc195712230" w:history="1">
        <w:r w:rsidRPr="00185803">
          <w:rPr>
            <w:rStyle w:val="Hyperlink"/>
            <w:noProof/>
          </w:rPr>
          <w:t>Program Description</w:t>
        </w:r>
        <w:r>
          <w:rPr>
            <w:noProof/>
            <w:webHidden/>
          </w:rPr>
          <w:tab/>
        </w:r>
        <w:r>
          <w:rPr>
            <w:noProof/>
            <w:webHidden/>
          </w:rPr>
          <w:fldChar w:fldCharType="begin"/>
        </w:r>
        <w:r>
          <w:rPr>
            <w:noProof/>
            <w:webHidden/>
          </w:rPr>
          <w:instrText xml:space="preserve"> PAGEREF _Toc195712230 \h </w:instrText>
        </w:r>
        <w:r>
          <w:rPr>
            <w:noProof/>
            <w:webHidden/>
          </w:rPr>
        </w:r>
        <w:r>
          <w:rPr>
            <w:noProof/>
            <w:webHidden/>
          </w:rPr>
          <w:fldChar w:fldCharType="separate"/>
        </w:r>
        <w:r>
          <w:rPr>
            <w:noProof/>
            <w:webHidden/>
          </w:rPr>
          <w:t>2</w:t>
        </w:r>
        <w:r>
          <w:rPr>
            <w:noProof/>
            <w:webHidden/>
          </w:rPr>
          <w:fldChar w:fldCharType="end"/>
        </w:r>
      </w:hyperlink>
    </w:p>
    <w:p w14:paraId="395F3ABD" w14:textId="762D3684" w:rsidR="00843003" w:rsidRDefault="00843003">
      <w:pPr>
        <w:pStyle w:val="TOC1"/>
        <w:rPr>
          <w:rFonts w:asciiTheme="minorHAnsi" w:eastAsiaTheme="minorEastAsia" w:hAnsiTheme="minorHAnsi" w:cstheme="minorBidi"/>
          <w:b w:val="0"/>
          <w:noProof/>
          <w:kern w:val="2"/>
          <w:sz w:val="24"/>
          <w14:ligatures w14:val="standardContextual"/>
        </w:rPr>
      </w:pPr>
      <w:hyperlink w:anchor="_Toc195712231" w:history="1">
        <w:r w:rsidRPr="00185803">
          <w:rPr>
            <w:rStyle w:val="Hyperlink"/>
            <w:noProof/>
          </w:rPr>
          <w:t>Program Savings Detail</w:t>
        </w:r>
        <w:r>
          <w:rPr>
            <w:noProof/>
            <w:webHidden/>
          </w:rPr>
          <w:tab/>
        </w:r>
        <w:r>
          <w:rPr>
            <w:noProof/>
            <w:webHidden/>
          </w:rPr>
          <w:fldChar w:fldCharType="begin"/>
        </w:r>
        <w:r>
          <w:rPr>
            <w:noProof/>
            <w:webHidden/>
          </w:rPr>
          <w:instrText xml:space="preserve"> PAGEREF _Toc195712231 \h </w:instrText>
        </w:r>
        <w:r>
          <w:rPr>
            <w:noProof/>
            <w:webHidden/>
          </w:rPr>
        </w:r>
        <w:r>
          <w:rPr>
            <w:noProof/>
            <w:webHidden/>
          </w:rPr>
          <w:fldChar w:fldCharType="separate"/>
        </w:r>
        <w:r>
          <w:rPr>
            <w:noProof/>
            <w:webHidden/>
          </w:rPr>
          <w:t>4</w:t>
        </w:r>
        <w:r>
          <w:rPr>
            <w:noProof/>
            <w:webHidden/>
          </w:rPr>
          <w:fldChar w:fldCharType="end"/>
        </w:r>
      </w:hyperlink>
    </w:p>
    <w:p w14:paraId="155D4206" w14:textId="09997642" w:rsidR="00843003" w:rsidRDefault="00843003">
      <w:pPr>
        <w:pStyle w:val="TOC1"/>
        <w:rPr>
          <w:rFonts w:asciiTheme="minorHAnsi" w:eastAsiaTheme="minorEastAsia" w:hAnsiTheme="minorHAnsi" w:cstheme="minorBidi"/>
          <w:b w:val="0"/>
          <w:noProof/>
          <w:kern w:val="2"/>
          <w:sz w:val="24"/>
          <w14:ligatures w14:val="standardContextual"/>
        </w:rPr>
      </w:pPr>
      <w:hyperlink w:anchor="_Toc195712232" w:history="1">
        <w:r w:rsidRPr="00185803">
          <w:rPr>
            <w:rStyle w:val="Hyperlink"/>
            <w:noProof/>
          </w:rPr>
          <w:t>Program Savings by Measure</w:t>
        </w:r>
        <w:r>
          <w:rPr>
            <w:noProof/>
            <w:webHidden/>
          </w:rPr>
          <w:tab/>
        </w:r>
        <w:r>
          <w:rPr>
            <w:noProof/>
            <w:webHidden/>
          </w:rPr>
          <w:fldChar w:fldCharType="begin"/>
        </w:r>
        <w:r>
          <w:rPr>
            <w:noProof/>
            <w:webHidden/>
          </w:rPr>
          <w:instrText xml:space="preserve"> PAGEREF _Toc195712232 \h </w:instrText>
        </w:r>
        <w:r>
          <w:rPr>
            <w:noProof/>
            <w:webHidden/>
          </w:rPr>
        </w:r>
        <w:r>
          <w:rPr>
            <w:noProof/>
            <w:webHidden/>
          </w:rPr>
          <w:fldChar w:fldCharType="separate"/>
        </w:r>
        <w:r>
          <w:rPr>
            <w:noProof/>
            <w:webHidden/>
          </w:rPr>
          <w:t>5</w:t>
        </w:r>
        <w:r>
          <w:rPr>
            <w:noProof/>
            <w:webHidden/>
          </w:rPr>
          <w:fldChar w:fldCharType="end"/>
        </w:r>
      </w:hyperlink>
    </w:p>
    <w:p w14:paraId="35BAA018" w14:textId="03A9B11C" w:rsidR="00843003" w:rsidRDefault="00843003">
      <w:pPr>
        <w:pStyle w:val="TOC1"/>
        <w:rPr>
          <w:rFonts w:asciiTheme="minorHAnsi" w:eastAsiaTheme="minorEastAsia" w:hAnsiTheme="minorHAnsi" w:cstheme="minorBidi"/>
          <w:b w:val="0"/>
          <w:noProof/>
          <w:kern w:val="2"/>
          <w:sz w:val="24"/>
          <w14:ligatures w14:val="standardContextual"/>
        </w:rPr>
      </w:pPr>
      <w:hyperlink w:anchor="_Toc195712233" w:history="1">
        <w:r w:rsidRPr="00185803">
          <w:rPr>
            <w:rStyle w:val="Hyperlink"/>
            <w:noProof/>
          </w:rPr>
          <w:t>Impact Analysis Findings and Recommendations</w:t>
        </w:r>
        <w:r>
          <w:rPr>
            <w:noProof/>
            <w:webHidden/>
          </w:rPr>
          <w:tab/>
        </w:r>
        <w:r>
          <w:rPr>
            <w:noProof/>
            <w:webHidden/>
          </w:rPr>
          <w:fldChar w:fldCharType="begin"/>
        </w:r>
        <w:r>
          <w:rPr>
            <w:noProof/>
            <w:webHidden/>
          </w:rPr>
          <w:instrText xml:space="preserve"> PAGEREF _Toc195712233 \h </w:instrText>
        </w:r>
        <w:r>
          <w:rPr>
            <w:noProof/>
            <w:webHidden/>
          </w:rPr>
        </w:r>
        <w:r>
          <w:rPr>
            <w:noProof/>
            <w:webHidden/>
          </w:rPr>
          <w:fldChar w:fldCharType="separate"/>
        </w:r>
        <w:r>
          <w:rPr>
            <w:noProof/>
            <w:webHidden/>
          </w:rPr>
          <w:t>7</w:t>
        </w:r>
        <w:r>
          <w:rPr>
            <w:noProof/>
            <w:webHidden/>
          </w:rPr>
          <w:fldChar w:fldCharType="end"/>
        </w:r>
      </w:hyperlink>
    </w:p>
    <w:p w14:paraId="539C903C" w14:textId="1C05F2F4" w:rsidR="00843003" w:rsidRDefault="00843003">
      <w:pPr>
        <w:pStyle w:val="TOC2"/>
        <w:rPr>
          <w:rFonts w:asciiTheme="minorHAnsi" w:eastAsiaTheme="minorEastAsia" w:hAnsiTheme="minorHAnsi" w:cstheme="minorBidi"/>
          <w:noProof/>
          <w:kern w:val="2"/>
          <w:sz w:val="24"/>
          <w14:ligatures w14:val="standardContextual"/>
        </w:rPr>
      </w:pPr>
      <w:hyperlink w:anchor="_Toc195712234" w:history="1">
        <w:r w:rsidRPr="00185803">
          <w:rPr>
            <w:rStyle w:val="Hyperlink"/>
            <w:noProof/>
          </w:rPr>
          <w:t>Impact Parameter Estimates</w:t>
        </w:r>
        <w:r>
          <w:rPr>
            <w:noProof/>
            <w:webHidden/>
          </w:rPr>
          <w:tab/>
        </w:r>
        <w:r>
          <w:rPr>
            <w:noProof/>
            <w:webHidden/>
          </w:rPr>
          <w:fldChar w:fldCharType="begin"/>
        </w:r>
        <w:r>
          <w:rPr>
            <w:noProof/>
            <w:webHidden/>
          </w:rPr>
          <w:instrText xml:space="preserve"> PAGEREF _Toc195712234 \h </w:instrText>
        </w:r>
        <w:r>
          <w:rPr>
            <w:noProof/>
            <w:webHidden/>
          </w:rPr>
        </w:r>
        <w:r>
          <w:rPr>
            <w:noProof/>
            <w:webHidden/>
          </w:rPr>
          <w:fldChar w:fldCharType="separate"/>
        </w:r>
        <w:r>
          <w:rPr>
            <w:noProof/>
            <w:webHidden/>
          </w:rPr>
          <w:t>7</w:t>
        </w:r>
        <w:r>
          <w:rPr>
            <w:noProof/>
            <w:webHidden/>
          </w:rPr>
          <w:fldChar w:fldCharType="end"/>
        </w:r>
      </w:hyperlink>
    </w:p>
    <w:p w14:paraId="38562DA2" w14:textId="7C92660E" w:rsidR="00843003" w:rsidRDefault="00843003">
      <w:pPr>
        <w:pStyle w:val="TOC2"/>
        <w:rPr>
          <w:rFonts w:asciiTheme="minorHAnsi" w:eastAsiaTheme="minorEastAsia" w:hAnsiTheme="minorHAnsi" w:cstheme="minorBidi"/>
          <w:noProof/>
          <w:kern w:val="2"/>
          <w:sz w:val="24"/>
          <w14:ligatures w14:val="standardContextual"/>
        </w:rPr>
      </w:pPr>
      <w:hyperlink w:anchor="_Toc195712235" w:history="1">
        <w:r w:rsidRPr="00185803">
          <w:rPr>
            <w:rStyle w:val="Hyperlink"/>
            <w:noProof/>
          </w:rPr>
          <w:t>Findings and Recommendations</w:t>
        </w:r>
        <w:r>
          <w:rPr>
            <w:noProof/>
            <w:webHidden/>
          </w:rPr>
          <w:tab/>
        </w:r>
        <w:r>
          <w:rPr>
            <w:noProof/>
            <w:webHidden/>
          </w:rPr>
          <w:fldChar w:fldCharType="begin"/>
        </w:r>
        <w:r>
          <w:rPr>
            <w:noProof/>
            <w:webHidden/>
          </w:rPr>
          <w:instrText xml:space="preserve"> PAGEREF _Toc195712235 \h </w:instrText>
        </w:r>
        <w:r>
          <w:rPr>
            <w:noProof/>
            <w:webHidden/>
          </w:rPr>
        </w:r>
        <w:r>
          <w:rPr>
            <w:noProof/>
            <w:webHidden/>
          </w:rPr>
          <w:fldChar w:fldCharType="separate"/>
        </w:r>
        <w:r>
          <w:rPr>
            <w:noProof/>
            <w:webHidden/>
          </w:rPr>
          <w:t>8</w:t>
        </w:r>
        <w:r>
          <w:rPr>
            <w:noProof/>
            <w:webHidden/>
          </w:rPr>
          <w:fldChar w:fldCharType="end"/>
        </w:r>
      </w:hyperlink>
    </w:p>
    <w:p w14:paraId="5D215F8A" w14:textId="70B2970F" w:rsidR="00843003" w:rsidRDefault="00843003">
      <w:pPr>
        <w:pStyle w:val="TOC1"/>
        <w:rPr>
          <w:rFonts w:asciiTheme="minorHAnsi" w:eastAsiaTheme="minorEastAsia" w:hAnsiTheme="minorHAnsi" w:cstheme="minorBidi"/>
          <w:b w:val="0"/>
          <w:noProof/>
          <w:kern w:val="2"/>
          <w:sz w:val="24"/>
          <w14:ligatures w14:val="standardContextual"/>
        </w:rPr>
      </w:pPr>
      <w:hyperlink w:anchor="_Toc195712236" w:history="1">
        <w:r w:rsidRPr="00185803">
          <w:rPr>
            <w:rStyle w:val="Hyperlink"/>
            <w:noProof/>
          </w:rPr>
          <w:t>Appendix A. Impact Analysis Methodology</w:t>
        </w:r>
        <w:r>
          <w:rPr>
            <w:noProof/>
            <w:webHidden/>
          </w:rPr>
          <w:tab/>
        </w:r>
        <w:r>
          <w:rPr>
            <w:noProof/>
            <w:webHidden/>
          </w:rPr>
          <w:fldChar w:fldCharType="begin"/>
        </w:r>
        <w:r>
          <w:rPr>
            <w:noProof/>
            <w:webHidden/>
          </w:rPr>
          <w:instrText xml:space="preserve"> PAGEREF _Toc195712236 \h </w:instrText>
        </w:r>
        <w:r>
          <w:rPr>
            <w:noProof/>
            <w:webHidden/>
          </w:rPr>
        </w:r>
        <w:r>
          <w:rPr>
            <w:noProof/>
            <w:webHidden/>
          </w:rPr>
          <w:fldChar w:fldCharType="separate"/>
        </w:r>
        <w:r>
          <w:rPr>
            <w:noProof/>
            <w:webHidden/>
          </w:rPr>
          <w:t>16</w:t>
        </w:r>
        <w:r>
          <w:rPr>
            <w:noProof/>
            <w:webHidden/>
          </w:rPr>
          <w:fldChar w:fldCharType="end"/>
        </w:r>
      </w:hyperlink>
    </w:p>
    <w:p w14:paraId="645B1A1B" w14:textId="037EC334" w:rsidR="00843003" w:rsidRDefault="00843003">
      <w:pPr>
        <w:pStyle w:val="TOC1"/>
        <w:rPr>
          <w:rFonts w:asciiTheme="minorHAnsi" w:eastAsiaTheme="minorEastAsia" w:hAnsiTheme="minorHAnsi" w:cstheme="minorBidi"/>
          <w:b w:val="0"/>
          <w:noProof/>
          <w:kern w:val="2"/>
          <w:sz w:val="24"/>
          <w14:ligatures w14:val="standardContextual"/>
        </w:rPr>
      </w:pPr>
      <w:hyperlink w:anchor="_Toc195712237" w:history="1">
        <w:r w:rsidRPr="00185803">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_Toc195712237 \h </w:instrText>
        </w:r>
        <w:r>
          <w:rPr>
            <w:noProof/>
            <w:webHidden/>
          </w:rPr>
        </w:r>
        <w:r>
          <w:rPr>
            <w:noProof/>
            <w:webHidden/>
          </w:rPr>
          <w:fldChar w:fldCharType="separate"/>
        </w:r>
        <w:r>
          <w:rPr>
            <w:noProof/>
            <w:webHidden/>
          </w:rPr>
          <w:t>18</w:t>
        </w:r>
        <w:r>
          <w:rPr>
            <w:noProof/>
            <w:webHidden/>
          </w:rPr>
          <w:fldChar w:fldCharType="end"/>
        </w:r>
      </w:hyperlink>
    </w:p>
    <w:p w14:paraId="3C18CAD8" w14:textId="23DDCC96" w:rsidR="00250A50" w:rsidRDefault="00250A50">
      <w:pPr>
        <w:pStyle w:val="TableofFigures"/>
      </w:pPr>
      <w:r>
        <w:rPr>
          <w:rFonts w:eastAsia="Calibri"/>
          <w:noProof/>
          <w:sz w:val="20"/>
          <w:szCs w:val="22"/>
        </w:rPr>
        <w:fldChar w:fldCharType="end"/>
      </w:r>
    </w:p>
    <w:p w14:paraId="1E2A9F1B" w14:textId="77777777" w:rsidR="00250A50" w:rsidRPr="005621C7" w:rsidRDefault="00250A50" w:rsidP="00EF2FBC">
      <w:pPr>
        <w:pStyle w:val="TOCHeading"/>
      </w:pPr>
      <w:r w:rsidRPr="005621C7">
        <w:t>List of Tables</w:t>
      </w:r>
      <w:r>
        <w:t>,</w:t>
      </w:r>
      <w:r w:rsidRPr="005621C7">
        <w:t xml:space="preserve"> Figures</w:t>
      </w:r>
      <w:r>
        <w:t>, and Equations</w:t>
      </w:r>
    </w:p>
    <w:p w14:paraId="154DFB95" w14:textId="0DAB5EFD" w:rsidR="00843003" w:rsidRDefault="00250A50">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5712240" w:history="1">
        <w:r w:rsidR="00843003" w:rsidRPr="00B22837">
          <w:rPr>
            <w:rStyle w:val="Hyperlink"/>
            <w:noProof/>
          </w:rPr>
          <w:t>Table 1. 2024 Volumetric Findings Detail</w:t>
        </w:r>
        <w:r w:rsidR="00843003">
          <w:rPr>
            <w:noProof/>
            <w:webHidden/>
          </w:rPr>
          <w:tab/>
        </w:r>
        <w:r w:rsidR="00843003">
          <w:rPr>
            <w:noProof/>
            <w:webHidden/>
          </w:rPr>
          <w:fldChar w:fldCharType="begin"/>
        </w:r>
        <w:r w:rsidR="00843003">
          <w:rPr>
            <w:noProof/>
            <w:webHidden/>
          </w:rPr>
          <w:instrText xml:space="preserve"> PAGEREF _Toc195712240 \h </w:instrText>
        </w:r>
        <w:r w:rsidR="00843003">
          <w:rPr>
            <w:noProof/>
            <w:webHidden/>
          </w:rPr>
        </w:r>
        <w:r w:rsidR="00843003">
          <w:rPr>
            <w:noProof/>
            <w:webHidden/>
          </w:rPr>
          <w:fldChar w:fldCharType="separate"/>
        </w:r>
        <w:r w:rsidR="00843003">
          <w:rPr>
            <w:noProof/>
            <w:webHidden/>
          </w:rPr>
          <w:t>2</w:t>
        </w:r>
        <w:r w:rsidR="00843003">
          <w:rPr>
            <w:noProof/>
            <w:webHidden/>
          </w:rPr>
          <w:fldChar w:fldCharType="end"/>
        </w:r>
      </w:hyperlink>
    </w:p>
    <w:p w14:paraId="6BB92E36" w14:textId="3391E505" w:rsidR="00843003" w:rsidRDefault="00843003">
      <w:pPr>
        <w:pStyle w:val="TableofFigures"/>
        <w:rPr>
          <w:rFonts w:asciiTheme="minorHAnsi" w:eastAsiaTheme="minorEastAsia" w:hAnsiTheme="minorHAnsi" w:cstheme="minorBidi"/>
          <w:noProof/>
          <w:kern w:val="2"/>
          <w:sz w:val="24"/>
          <w14:ligatures w14:val="standardContextual"/>
        </w:rPr>
      </w:pPr>
      <w:hyperlink w:anchor="_Toc195712241" w:history="1">
        <w:r w:rsidRPr="00B22837">
          <w:rPr>
            <w:rStyle w:val="Hyperlink"/>
            <w:noProof/>
          </w:rPr>
          <w:t>Table 2. 2024 Installed Measure Quantities</w:t>
        </w:r>
        <w:r>
          <w:rPr>
            <w:noProof/>
            <w:webHidden/>
          </w:rPr>
          <w:tab/>
        </w:r>
        <w:r>
          <w:rPr>
            <w:noProof/>
            <w:webHidden/>
          </w:rPr>
          <w:fldChar w:fldCharType="begin"/>
        </w:r>
        <w:r>
          <w:rPr>
            <w:noProof/>
            <w:webHidden/>
          </w:rPr>
          <w:instrText xml:space="preserve"> PAGEREF _Toc195712241 \h </w:instrText>
        </w:r>
        <w:r>
          <w:rPr>
            <w:noProof/>
            <w:webHidden/>
          </w:rPr>
        </w:r>
        <w:r>
          <w:rPr>
            <w:noProof/>
            <w:webHidden/>
          </w:rPr>
          <w:fldChar w:fldCharType="separate"/>
        </w:r>
        <w:r>
          <w:rPr>
            <w:noProof/>
            <w:webHidden/>
          </w:rPr>
          <w:t>3</w:t>
        </w:r>
        <w:r>
          <w:rPr>
            <w:noProof/>
            <w:webHidden/>
          </w:rPr>
          <w:fldChar w:fldCharType="end"/>
        </w:r>
      </w:hyperlink>
    </w:p>
    <w:p w14:paraId="3A2EB877" w14:textId="73FB3C2C" w:rsidR="00843003" w:rsidRDefault="00843003">
      <w:pPr>
        <w:pStyle w:val="TableofFigures"/>
        <w:rPr>
          <w:rFonts w:asciiTheme="minorHAnsi" w:eastAsiaTheme="minorEastAsia" w:hAnsiTheme="minorHAnsi" w:cstheme="minorBidi"/>
          <w:noProof/>
          <w:kern w:val="2"/>
          <w:sz w:val="24"/>
          <w14:ligatures w14:val="standardContextual"/>
        </w:rPr>
      </w:pPr>
      <w:hyperlink w:anchor="_Toc195712242" w:history="1">
        <w:r w:rsidRPr="00B22837">
          <w:rPr>
            <w:rStyle w:val="Hyperlink"/>
            <w:noProof/>
          </w:rPr>
          <w:t>Table 3. 2024 Annual Energy Savings Summary</w:t>
        </w:r>
        <w:r>
          <w:rPr>
            <w:noProof/>
            <w:webHidden/>
          </w:rPr>
          <w:tab/>
        </w:r>
        <w:r>
          <w:rPr>
            <w:noProof/>
            <w:webHidden/>
          </w:rPr>
          <w:fldChar w:fldCharType="begin"/>
        </w:r>
        <w:r>
          <w:rPr>
            <w:noProof/>
            <w:webHidden/>
          </w:rPr>
          <w:instrText xml:space="preserve"> PAGEREF _Toc195712242 \h </w:instrText>
        </w:r>
        <w:r>
          <w:rPr>
            <w:noProof/>
            <w:webHidden/>
          </w:rPr>
        </w:r>
        <w:r>
          <w:rPr>
            <w:noProof/>
            <w:webHidden/>
          </w:rPr>
          <w:fldChar w:fldCharType="separate"/>
        </w:r>
        <w:r>
          <w:rPr>
            <w:noProof/>
            <w:webHidden/>
          </w:rPr>
          <w:t>4</w:t>
        </w:r>
        <w:r>
          <w:rPr>
            <w:noProof/>
            <w:webHidden/>
          </w:rPr>
          <w:fldChar w:fldCharType="end"/>
        </w:r>
      </w:hyperlink>
    </w:p>
    <w:p w14:paraId="2D6787F8" w14:textId="3FF5DA4B" w:rsidR="00843003" w:rsidRDefault="00843003">
      <w:pPr>
        <w:pStyle w:val="TableofFigures"/>
        <w:rPr>
          <w:rFonts w:asciiTheme="minorHAnsi" w:eastAsiaTheme="minorEastAsia" w:hAnsiTheme="minorHAnsi" w:cstheme="minorBidi"/>
          <w:noProof/>
          <w:kern w:val="2"/>
          <w:sz w:val="24"/>
          <w14:ligatures w14:val="standardContextual"/>
        </w:rPr>
      </w:pPr>
      <w:hyperlink w:anchor="_Toc195712243" w:history="1">
        <w:r w:rsidRPr="00B22837">
          <w:rPr>
            <w:rStyle w:val="Hyperlink"/>
            <w:noProof/>
          </w:rPr>
          <w:t>Table 4. 2024 Annual Energy Savings by Measure</w:t>
        </w:r>
        <w:r>
          <w:rPr>
            <w:noProof/>
            <w:webHidden/>
          </w:rPr>
          <w:tab/>
        </w:r>
        <w:r>
          <w:rPr>
            <w:noProof/>
            <w:webHidden/>
          </w:rPr>
          <w:fldChar w:fldCharType="begin"/>
        </w:r>
        <w:r>
          <w:rPr>
            <w:noProof/>
            <w:webHidden/>
          </w:rPr>
          <w:instrText xml:space="preserve"> PAGEREF _Toc195712243 \h </w:instrText>
        </w:r>
        <w:r>
          <w:rPr>
            <w:noProof/>
            <w:webHidden/>
          </w:rPr>
        </w:r>
        <w:r>
          <w:rPr>
            <w:noProof/>
            <w:webHidden/>
          </w:rPr>
          <w:fldChar w:fldCharType="separate"/>
        </w:r>
        <w:r>
          <w:rPr>
            <w:noProof/>
            <w:webHidden/>
          </w:rPr>
          <w:t>5</w:t>
        </w:r>
        <w:r>
          <w:rPr>
            <w:noProof/>
            <w:webHidden/>
          </w:rPr>
          <w:fldChar w:fldCharType="end"/>
        </w:r>
      </w:hyperlink>
    </w:p>
    <w:p w14:paraId="77D80DA8" w14:textId="56C7137F" w:rsidR="00843003" w:rsidRDefault="00843003">
      <w:pPr>
        <w:pStyle w:val="TableofFigures"/>
        <w:rPr>
          <w:rFonts w:asciiTheme="minorHAnsi" w:eastAsiaTheme="minorEastAsia" w:hAnsiTheme="minorHAnsi" w:cstheme="minorBidi"/>
          <w:noProof/>
          <w:kern w:val="2"/>
          <w:sz w:val="24"/>
          <w14:ligatures w14:val="standardContextual"/>
        </w:rPr>
      </w:pPr>
      <w:hyperlink w:anchor="_Toc195712244" w:history="1">
        <w:r w:rsidRPr="00B22837">
          <w:rPr>
            <w:rStyle w:val="Hyperlink"/>
            <w:noProof/>
          </w:rPr>
          <w:t>Table 5. Verified Gross Savings Parameters</w:t>
        </w:r>
        <w:r>
          <w:rPr>
            <w:noProof/>
            <w:webHidden/>
          </w:rPr>
          <w:tab/>
        </w:r>
        <w:r>
          <w:rPr>
            <w:noProof/>
            <w:webHidden/>
          </w:rPr>
          <w:fldChar w:fldCharType="begin"/>
        </w:r>
        <w:r>
          <w:rPr>
            <w:noProof/>
            <w:webHidden/>
          </w:rPr>
          <w:instrText xml:space="preserve"> PAGEREF _Toc195712244 \h </w:instrText>
        </w:r>
        <w:r>
          <w:rPr>
            <w:noProof/>
            <w:webHidden/>
          </w:rPr>
        </w:r>
        <w:r>
          <w:rPr>
            <w:noProof/>
            <w:webHidden/>
          </w:rPr>
          <w:fldChar w:fldCharType="separate"/>
        </w:r>
        <w:r>
          <w:rPr>
            <w:noProof/>
            <w:webHidden/>
          </w:rPr>
          <w:t>7</w:t>
        </w:r>
        <w:r>
          <w:rPr>
            <w:noProof/>
            <w:webHidden/>
          </w:rPr>
          <w:fldChar w:fldCharType="end"/>
        </w:r>
      </w:hyperlink>
    </w:p>
    <w:p w14:paraId="1F9A33B8" w14:textId="37713C9F" w:rsidR="00250A50" w:rsidRDefault="00250A50">
      <w:pPr>
        <w:pStyle w:val="TableofFigures"/>
      </w:pPr>
      <w:r>
        <w:fldChar w:fldCharType="end"/>
      </w:r>
    </w:p>
    <w:p w14:paraId="6C3BFC4E" w14:textId="54E72B33" w:rsidR="00843003" w:rsidRDefault="00250A50">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5712245" w:history="1">
        <w:r w:rsidR="00843003" w:rsidRPr="004E7D33">
          <w:rPr>
            <w:rStyle w:val="Hyperlink"/>
            <w:noProof/>
          </w:rPr>
          <w:t>Table A</w:t>
        </w:r>
        <w:r w:rsidR="00843003" w:rsidRPr="004E7D33">
          <w:rPr>
            <w:rStyle w:val="Hyperlink"/>
            <w:noProof/>
          </w:rPr>
          <w:noBreakHyphen/>
          <w:t>1. Profile of Gross Impact Sample for Custom Projects</w:t>
        </w:r>
        <w:r w:rsidR="00843003">
          <w:rPr>
            <w:noProof/>
            <w:webHidden/>
          </w:rPr>
          <w:tab/>
        </w:r>
        <w:r w:rsidR="00843003">
          <w:rPr>
            <w:noProof/>
            <w:webHidden/>
          </w:rPr>
          <w:fldChar w:fldCharType="begin"/>
        </w:r>
        <w:r w:rsidR="00843003">
          <w:rPr>
            <w:noProof/>
            <w:webHidden/>
          </w:rPr>
          <w:instrText xml:space="preserve"> PAGEREF _Toc195712245 \h </w:instrText>
        </w:r>
        <w:r w:rsidR="00843003">
          <w:rPr>
            <w:noProof/>
            <w:webHidden/>
          </w:rPr>
        </w:r>
        <w:r w:rsidR="00843003">
          <w:rPr>
            <w:noProof/>
            <w:webHidden/>
          </w:rPr>
          <w:fldChar w:fldCharType="separate"/>
        </w:r>
        <w:r w:rsidR="00843003">
          <w:rPr>
            <w:noProof/>
            <w:webHidden/>
          </w:rPr>
          <w:t>16</w:t>
        </w:r>
        <w:r w:rsidR="00843003">
          <w:rPr>
            <w:noProof/>
            <w:webHidden/>
          </w:rPr>
          <w:fldChar w:fldCharType="end"/>
        </w:r>
      </w:hyperlink>
    </w:p>
    <w:p w14:paraId="544B3E30" w14:textId="7F8F34DD" w:rsidR="00843003" w:rsidRDefault="00843003">
      <w:pPr>
        <w:pStyle w:val="TableofFigures"/>
        <w:rPr>
          <w:rFonts w:asciiTheme="minorHAnsi" w:eastAsiaTheme="minorEastAsia" w:hAnsiTheme="minorHAnsi" w:cstheme="minorBidi"/>
          <w:noProof/>
          <w:kern w:val="2"/>
          <w:sz w:val="24"/>
          <w14:ligatures w14:val="standardContextual"/>
        </w:rPr>
      </w:pPr>
      <w:hyperlink w:anchor="_Toc195712246" w:history="1">
        <w:r w:rsidRPr="004E7D33">
          <w:rPr>
            <w:rStyle w:val="Hyperlink"/>
            <w:noProof/>
          </w:rPr>
          <w:t>Table B</w:t>
        </w:r>
        <w:r w:rsidRPr="004E7D33">
          <w:rPr>
            <w:rStyle w:val="Hyperlink"/>
            <w:noProof/>
          </w:rPr>
          <w:noBreakHyphen/>
          <w:t>1. Verified Cost Effectiveness Inputs</w:t>
        </w:r>
        <w:r>
          <w:rPr>
            <w:noProof/>
            <w:webHidden/>
          </w:rPr>
          <w:tab/>
        </w:r>
        <w:r>
          <w:rPr>
            <w:noProof/>
            <w:webHidden/>
          </w:rPr>
          <w:fldChar w:fldCharType="begin"/>
        </w:r>
        <w:r>
          <w:rPr>
            <w:noProof/>
            <w:webHidden/>
          </w:rPr>
          <w:instrText xml:space="preserve"> PAGEREF _Toc195712246 \h </w:instrText>
        </w:r>
        <w:r>
          <w:rPr>
            <w:noProof/>
            <w:webHidden/>
          </w:rPr>
        </w:r>
        <w:r>
          <w:rPr>
            <w:noProof/>
            <w:webHidden/>
          </w:rPr>
          <w:fldChar w:fldCharType="separate"/>
        </w:r>
        <w:r>
          <w:rPr>
            <w:noProof/>
            <w:webHidden/>
          </w:rPr>
          <w:t>19</w:t>
        </w:r>
        <w:r>
          <w:rPr>
            <w:noProof/>
            <w:webHidden/>
          </w:rPr>
          <w:fldChar w:fldCharType="end"/>
        </w:r>
      </w:hyperlink>
    </w:p>
    <w:p w14:paraId="25C38B0C" w14:textId="65D4DC78" w:rsidR="00250A50" w:rsidRPr="005618B1" w:rsidRDefault="00250A50">
      <w:pPr>
        <w:sectPr w:rsidR="00250A50" w:rsidRPr="005618B1">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59BA158A" w14:textId="279AC01A" w:rsidR="00250A50" w:rsidRDefault="00250A50">
      <w:pPr>
        <w:pStyle w:val="Heading10"/>
      </w:pPr>
      <w:bookmarkStart w:id="1" w:name="_Toc195788185"/>
      <w:r>
        <w:lastRenderedPageBreak/>
        <w:t>Introduction</w:t>
      </w:r>
      <w:bookmarkEnd w:id="1"/>
    </w:p>
    <w:p w14:paraId="52D9223A" w14:textId="05FCC740" w:rsidR="00250A50" w:rsidRPr="00A324A4" w:rsidRDefault="00E73EA5" w:rsidP="00107AFD">
      <w:r>
        <w:t>This report presents the results of the Nicor Gas 2024 Business Energy Efficiency Rebates (BEER) program</w:t>
      </w:r>
      <w:r w:rsidR="00B47D36">
        <w:t>. It presents a s</w:t>
      </w:r>
      <w:r>
        <w:t>ummary of the energy impacts</w:t>
      </w:r>
      <w:r w:rsidR="00B47D36">
        <w:t xml:space="preserve"> for the total program and</w:t>
      </w:r>
      <w:r>
        <w:t xml:space="preserve"> broken out by program path and relevant measures. The appendices present the impact analysis methodology and Illinois total resource cost (TRC) inputs. Program year 2024 covers January 1, </w:t>
      </w:r>
      <w:proofErr w:type="gramStart"/>
      <w:r>
        <w:t>2024</w:t>
      </w:r>
      <w:proofErr w:type="gramEnd"/>
      <w:r>
        <w:t xml:space="preserve"> through December 31, 2024.</w:t>
      </w:r>
    </w:p>
    <w:p w14:paraId="6F02F5C4" w14:textId="77777777" w:rsidR="00250A50" w:rsidRDefault="00250A50">
      <w:pPr>
        <w:pStyle w:val="Heading10"/>
      </w:pPr>
      <w:bookmarkStart w:id="2" w:name="_Toc195788186"/>
      <w:bookmarkStart w:id="3" w:name="_Toc241481251"/>
      <w:bookmarkStart w:id="4" w:name="_Toc255776003"/>
      <w:r>
        <w:t>Program Description</w:t>
      </w:r>
      <w:bookmarkEnd w:id="2"/>
    </w:p>
    <w:p w14:paraId="1A6CB75A" w14:textId="77777777" w:rsidR="00B47D36" w:rsidRDefault="00E73EA5" w:rsidP="005E5AF8">
      <w:pPr>
        <w:rPr>
          <w:rStyle w:val="CoverText"/>
          <w:bCs/>
          <w:noProof/>
          <w:szCs w:val="16"/>
        </w:rPr>
      </w:pPr>
      <w:bookmarkStart w:id="5" w:name="_Ref38883149"/>
      <w:bookmarkStart w:id="6" w:name="_Toc38883092"/>
      <w:r>
        <w:rPr>
          <w:rStyle w:val="CoverText"/>
          <w:bCs/>
          <w:noProof/>
          <w:szCs w:val="16"/>
        </w:rPr>
        <w:t xml:space="preserve">The BEER program provides incentives to business (private) and public sector customers that install new, high efficiency space heating, water heating, pipe insulation, commercial kitchen, and weatherstripping equipment covered by the program. The program consists of </w:t>
      </w:r>
      <w:r w:rsidR="00B47D36">
        <w:rPr>
          <w:rStyle w:val="CoverText"/>
          <w:bCs/>
          <w:noProof/>
          <w:szCs w:val="16"/>
        </w:rPr>
        <w:t>five</w:t>
      </w:r>
      <w:r>
        <w:rPr>
          <w:rStyle w:val="CoverText"/>
          <w:bCs/>
          <w:noProof/>
          <w:szCs w:val="16"/>
        </w:rPr>
        <w:t xml:space="preserve"> delivery paths: </w:t>
      </w:r>
    </w:p>
    <w:p w14:paraId="61AABB5C" w14:textId="77777777" w:rsidR="00B47D36" w:rsidRPr="00B47D36" w:rsidRDefault="00E73EA5" w:rsidP="00A03059">
      <w:pPr>
        <w:pStyle w:val="ListBullet"/>
        <w:rPr>
          <w:rStyle w:val="CoverText"/>
          <w:bCs/>
          <w:i/>
          <w:noProof/>
          <w:szCs w:val="16"/>
        </w:rPr>
      </w:pPr>
      <w:r>
        <w:rPr>
          <w:rStyle w:val="CoverText"/>
          <w:bCs/>
          <w:noProof/>
          <w:szCs w:val="16"/>
        </w:rPr>
        <w:t xml:space="preserve">Rebates for prescriptive cost-effective equipment as well as services (such as boiler tune-ups) to improve the energy efficiency of existing equipment. </w:t>
      </w:r>
    </w:p>
    <w:p w14:paraId="16CBD828" w14:textId="77777777" w:rsidR="00B47D36" w:rsidRPr="00B47D36" w:rsidRDefault="00E73EA5" w:rsidP="00A03059">
      <w:pPr>
        <w:pStyle w:val="ListBullet"/>
        <w:rPr>
          <w:rStyle w:val="CoverText"/>
          <w:bCs/>
          <w:i/>
          <w:noProof/>
          <w:szCs w:val="16"/>
        </w:rPr>
      </w:pPr>
      <w:r>
        <w:rPr>
          <w:rStyle w:val="CoverText"/>
          <w:bCs/>
          <w:noProof/>
          <w:szCs w:val="16"/>
        </w:rPr>
        <w:t xml:space="preserve">Free assessments and direct install measures, such as efficient faucet aerators, low-flow showerheads, and pre-rinse sprayers. </w:t>
      </w:r>
    </w:p>
    <w:p w14:paraId="319BB99A" w14:textId="77777777" w:rsidR="00B47D36" w:rsidRPr="00B47D36" w:rsidRDefault="00E73EA5" w:rsidP="00A03059">
      <w:pPr>
        <w:pStyle w:val="ListBullet"/>
        <w:rPr>
          <w:rStyle w:val="CoverText"/>
          <w:bCs/>
          <w:i/>
          <w:noProof/>
          <w:szCs w:val="16"/>
        </w:rPr>
      </w:pPr>
      <w:r>
        <w:rPr>
          <w:rStyle w:val="CoverText"/>
          <w:bCs/>
          <w:noProof/>
          <w:szCs w:val="16"/>
        </w:rPr>
        <w:t xml:space="preserve">Business optimization measures including steam traps and tune-ups. </w:t>
      </w:r>
    </w:p>
    <w:p w14:paraId="75B49014" w14:textId="1AAF0E4C" w:rsidR="00B47D36" w:rsidRDefault="00E73EA5" w:rsidP="00A03059">
      <w:pPr>
        <w:pStyle w:val="ListBullet"/>
        <w:rPr>
          <w:rStyle w:val="CoverText"/>
          <w:bCs/>
          <w:noProof/>
          <w:szCs w:val="16"/>
        </w:rPr>
      </w:pPr>
      <w:r w:rsidRPr="00B47D36">
        <w:rPr>
          <w:rStyle w:val="CoverText"/>
          <w:bCs/>
          <w:noProof/>
          <w:szCs w:val="16"/>
        </w:rPr>
        <w:t>Midstream commercial food service (CFS) equipment incentives offering using midstream delivery channels. This path’s goals are to reduce barriers for food service operators to purchasing energy efficient equipment, and to reduce energy usage in the commercial food service sector</w:t>
      </w:r>
      <w:r w:rsidR="00B47D36">
        <w:rPr>
          <w:rStyle w:val="CoverText"/>
          <w:bCs/>
          <w:noProof/>
          <w:szCs w:val="16"/>
        </w:rPr>
        <w:t>.</w:t>
      </w:r>
    </w:p>
    <w:p w14:paraId="0BFC6951" w14:textId="229BA8F8" w:rsidR="00B47D36" w:rsidRPr="00B47D36" w:rsidRDefault="00B47D36" w:rsidP="00A03059">
      <w:pPr>
        <w:pStyle w:val="ListBullet"/>
        <w:rPr>
          <w:szCs w:val="16"/>
        </w:rPr>
      </w:pPr>
      <w:r>
        <w:t>Building Operator Certification training and certification program, teaching participants how to improve building comfort and efficiency by optimizing a building’s s</w:t>
      </w:r>
      <w:r w:rsidR="00380FA9">
        <w:rPr>
          <w:szCs w:val="16"/>
        </w:rPr>
        <w:t xml:space="preserve">ystems. This has been offered for several years by the Midwest Energy Efficiency Alliance, at full tuition reimbursement for ComEd, Ameren Illinois, and natural gas customers who complete the curriculum. </w:t>
      </w:r>
    </w:p>
    <w:p w14:paraId="423219A5" w14:textId="6FB5D7AE" w:rsidR="00250A50" w:rsidRDefault="00250A50">
      <w:bookmarkStart w:id="7" w:name="_Hlk500573405"/>
      <w:r>
        <w:t xml:space="preserve">The program had </w:t>
      </w:r>
      <w:r w:rsidR="00380FA9" w:rsidRPr="00380FA9">
        <w:t>477</w:t>
      </w:r>
      <w:r>
        <w:t xml:space="preserve"> participants in 2024 and completed </w:t>
      </w:r>
      <w:r w:rsidR="00380FA9">
        <w:t>551</w:t>
      </w:r>
      <w:r>
        <w:t xml:space="preserve"> projects as shown in the following table. </w:t>
      </w:r>
      <w:r w:rsidR="00380FA9">
        <w:t>The program served customers in both the private and public sectors.</w:t>
      </w:r>
    </w:p>
    <w:p w14:paraId="27B01ADE" w14:textId="77777777" w:rsidR="00250A50" w:rsidRDefault="00250A50">
      <w:pPr>
        <w:pStyle w:val="Caption"/>
      </w:pPr>
      <w:bookmarkStart w:id="8" w:name="_Toc195788196"/>
      <w:bookmarkEnd w:id="5"/>
      <w:bookmarkEnd w:id="7"/>
      <w:r>
        <w:t xml:space="preserve">Table </w:t>
      </w:r>
      <w:r>
        <w:fldChar w:fldCharType="begin"/>
      </w:r>
      <w:r>
        <w:instrText xml:space="preserve"> SEQ Table \* ARABIC </w:instrText>
      </w:r>
      <w:r>
        <w:fldChar w:fldCharType="separate"/>
      </w:r>
      <w:r>
        <w:rPr>
          <w:noProof/>
        </w:rPr>
        <w:t>1</w:t>
      </w:r>
      <w:r>
        <w:rPr>
          <w:noProof/>
        </w:rPr>
        <w:fldChar w:fldCharType="end"/>
      </w:r>
      <w:r w:rsidRPr="00F7087A">
        <w:t>.</w:t>
      </w:r>
      <w:r>
        <w:t xml:space="preserve"> 2024 </w:t>
      </w:r>
      <w:r w:rsidRPr="005C2837">
        <w:t>Volumetric</w:t>
      </w:r>
      <w:r>
        <w:t xml:space="preserve"> Findings Detail</w:t>
      </w:r>
      <w:bookmarkStart w:id="9" w:name="Table_1"/>
      <w:bookmarkEnd w:id="6"/>
      <w:bookmarkEnd w:id="8"/>
      <w:bookmarkEnd w:id="9"/>
    </w:p>
    <w:tbl>
      <w:tblPr>
        <w:tblW w:w="5000" w:type="pct"/>
        <w:jc w:val="center"/>
        <w:tblLook w:val="0420" w:firstRow="1" w:lastRow="0" w:firstColumn="0" w:lastColumn="0" w:noHBand="0" w:noVBand="1"/>
      </w:tblPr>
      <w:tblGrid>
        <w:gridCol w:w="2010"/>
        <w:gridCol w:w="1189"/>
        <w:gridCol w:w="1241"/>
        <w:gridCol w:w="1230"/>
        <w:gridCol w:w="820"/>
        <w:gridCol w:w="1097"/>
        <w:gridCol w:w="1097"/>
        <w:gridCol w:w="676"/>
      </w:tblGrid>
      <w:tr w:rsidR="00290146" w14:paraId="4F5F6A76" w14:textId="77777777" w:rsidTr="00471863">
        <w:trPr>
          <w:tblHeader/>
          <w:jc w:val="center"/>
        </w:trPr>
        <w:tc>
          <w:tcPr>
            <w:tcW w:w="107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036D1F"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Participation</w:t>
            </w:r>
          </w:p>
        </w:tc>
        <w:tc>
          <w:tcPr>
            <w:tcW w:w="63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07E1A1F"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Assessment Direct Install</w:t>
            </w:r>
          </w:p>
        </w:tc>
        <w:tc>
          <w:tcPr>
            <w:tcW w:w="66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0BD0BA0"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Building Operator Certification</w:t>
            </w:r>
          </w:p>
        </w:tc>
        <w:tc>
          <w:tcPr>
            <w:tcW w:w="65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73D656"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Business Optimization Program</w:t>
            </w:r>
          </w:p>
        </w:tc>
        <w:tc>
          <w:tcPr>
            <w:tcW w:w="43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9F27996"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Direct Install</w:t>
            </w:r>
          </w:p>
        </w:tc>
        <w:tc>
          <w:tcPr>
            <w:tcW w:w="58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62F28E3"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Midstream CFS</w:t>
            </w:r>
          </w:p>
        </w:tc>
        <w:tc>
          <w:tcPr>
            <w:tcW w:w="58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A406B8C"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Prescriptive</w:t>
            </w:r>
          </w:p>
        </w:tc>
        <w:tc>
          <w:tcPr>
            <w:tcW w:w="36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46AC6F4"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Total</w:t>
            </w:r>
          </w:p>
        </w:tc>
      </w:tr>
      <w:tr w:rsidR="00290146" w14:paraId="36CE42D5" w14:textId="77777777" w:rsidTr="00471863">
        <w:trPr>
          <w:jc w:val="center"/>
        </w:trPr>
        <w:tc>
          <w:tcPr>
            <w:tcW w:w="107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41952"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290146">
              <w:rPr>
                <w:rFonts w:ascii="Arial Narrow" w:eastAsia="DejaVu Sans" w:hAnsi="DejaVu Sans" w:cs="DejaVu Sans"/>
                <w:b/>
                <w:bCs/>
                <w:color w:val="000000"/>
                <w:sz w:val="20"/>
                <w:szCs w:val="20"/>
              </w:rPr>
              <w:t>Private Sector</w:t>
            </w:r>
          </w:p>
        </w:tc>
        <w:tc>
          <w:tcPr>
            <w:tcW w:w="63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CC1A35"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6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63EAB"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5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6EF0AC"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43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13EC6D"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8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1C154"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8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2820B"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36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3A142"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290146" w14:paraId="10A2EBCD"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6C7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A4A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02F6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66EC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45DB7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01E74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84</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1A63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19020"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336</w:t>
            </w:r>
          </w:p>
        </w:tc>
      </w:tr>
      <w:tr w:rsidR="00290146" w14:paraId="3DD0307F"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3CD89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4DC6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C194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750F4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6E13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BDCF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A7F19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EBE57F"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363</w:t>
            </w:r>
          </w:p>
        </w:tc>
      </w:tr>
      <w:tr w:rsidR="00290146" w14:paraId="49977C36"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15F8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1AFE1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925A7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4BA0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2817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E0FB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DDCF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392E8"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44</w:t>
            </w:r>
          </w:p>
        </w:tc>
      </w:tr>
      <w:tr w:rsidR="00290146" w14:paraId="4B70C539"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50AB8"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290146">
              <w:rPr>
                <w:rFonts w:ascii="Arial Narrow" w:eastAsia="DejaVu Sans" w:hAnsi="DejaVu Sans" w:cs="DejaVu Sans"/>
                <w:b/>
                <w:bCs/>
                <w:color w:val="000000"/>
                <w:sz w:val="20"/>
                <w:szCs w:val="20"/>
              </w:rPr>
              <w:t>Public Sector</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F90C49"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92563"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C0AC7"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63688"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6C8C2"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0B402"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6A265" w14:textId="77777777" w:rsidR="00671B73" w:rsidRPr="00380FA9"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r>
      <w:tr w:rsidR="00290146" w14:paraId="116C6336"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AEEF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DD8E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74D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1D5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8118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517E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395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113</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F7EB3"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141</w:t>
            </w:r>
          </w:p>
        </w:tc>
      </w:tr>
      <w:tr w:rsidR="00290146" w14:paraId="51DE4BDD"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6BB5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E30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B56F8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593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4B5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3BFA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BEEA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158</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0B64B"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188</w:t>
            </w:r>
          </w:p>
        </w:tc>
      </w:tr>
      <w:tr w:rsidR="00290146" w14:paraId="1F7A0B1D"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1375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8537E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EB2A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93FD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2B5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BA467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F6AA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B4D87"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19</w:t>
            </w:r>
          </w:p>
        </w:tc>
      </w:tr>
      <w:tr w:rsidR="00290146" w14:paraId="61136B3C"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090D8F"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290146">
              <w:rPr>
                <w:rFonts w:ascii="Arial Narrow" w:eastAsia="DejaVu Sans" w:hAnsi="DejaVu Sans" w:cs="DejaVu Sans"/>
                <w:b/>
                <w:bCs/>
                <w:color w:val="000000"/>
                <w:sz w:val="20"/>
                <w:szCs w:val="20"/>
              </w:rPr>
              <w:t>Program 2024 Total</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59FF5C"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67983"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071A0"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3FB8F"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6A77D"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46111" w14:textId="77777777" w:rsidR="00671B73"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CB046" w14:textId="77777777" w:rsidR="00671B73" w:rsidRPr="00380FA9" w:rsidRDefault="00671B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r>
      <w:tr w:rsidR="00290146" w14:paraId="2A5054EF"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5B5A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16FE9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0E9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2122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F0F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6137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84</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DF60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211</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4FDFC"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477</w:t>
            </w:r>
          </w:p>
        </w:tc>
      </w:tr>
      <w:tr w:rsidR="00290146" w14:paraId="333E3C65" w14:textId="77777777" w:rsidTr="00471863">
        <w:trPr>
          <w:jc w:val="center"/>
        </w:trPr>
        <w:tc>
          <w:tcPr>
            <w:tcW w:w="107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72AF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63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927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w:t>
            </w:r>
          </w:p>
        </w:tc>
        <w:tc>
          <w:tcPr>
            <w:tcW w:w="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976D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w:t>
            </w:r>
          </w:p>
        </w:tc>
        <w:tc>
          <w:tcPr>
            <w:tcW w:w="6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89AF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w:t>
            </w:r>
          </w:p>
        </w:tc>
        <w:tc>
          <w:tcPr>
            <w:tcW w:w="4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E94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D311D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w:t>
            </w:r>
          </w:p>
        </w:tc>
        <w:tc>
          <w:tcPr>
            <w:tcW w:w="5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0595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263</w:t>
            </w:r>
          </w:p>
        </w:tc>
        <w:tc>
          <w:tcPr>
            <w:tcW w:w="3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F6E10"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551</w:t>
            </w:r>
          </w:p>
        </w:tc>
      </w:tr>
      <w:tr w:rsidR="00290146" w14:paraId="32980E56" w14:textId="77777777" w:rsidTr="00471863">
        <w:trPr>
          <w:jc w:val="center"/>
        </w:trPr>
        <w:tc>
          <w:tcPr>
            <w:tcW w:w="107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9FCD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63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A3322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c>
          <w:tcPr>
            <w:tcW w:w="66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C7F23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65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A2E41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43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16341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58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D8D3A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c>
          <w:tcPr>
            <w:tcW w:w="58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3CD68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w:t>
            </w:r>
          </w:p>
        </w:tc>
        <w:tc>
          <w:tcPr>
            <w:tcW w:w="36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FFEF9C" w14:textId="77777777" w:rsidR="00671B73" w:rsidRPr="00380FA9"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380FA9">
              <w:rPr>
                <w:rFonts w:ascii="Arial Narrow" w:eastAsia="DejaVu Sans" w:hAnsi="DejaVu Sans" w:cs="DejaVu Sans"/>
                <w:b/>
                <w:bCs/>
                <w:color w:val="000000"/>
                <w:sz w:val="20"/>
                <w:szCs w:val="20"/>
              </w:rPr>
              <w:t>46</w:t>
            </w:r>
          </w:p>
        </w:tc>
      </w:tr>
    </w:tbl>
    <w:p w14:paraId="0E6ACAD8" w14:textId="4BEE70A7" w:rsidR="00250A50" w:rsidRPr="00752E20" w:rsidRDefault="00250A50">
      <w:pPr>
        <w:pStyle w:val="GraphFootnote"/>
      </w:pPr>
      <w:r w:rsidRPr="00752E20">
        <w:lastRenderedPageBreak/>
        <w:t xml:space="preserve">* Participants are defined as </w:t>
      </w:r>
      <w:r w:rsidR="00290146">
        <w:t>the distinct count of site addresses, or applicants for the Building Operator Certification path.</w:t>
      </w:r>
    </w:p>
    <w:p w14:paraId="31F46C87" w14:textId="135B8189" w:rsidR="00250A50" w:rsidRDefault="00250A50" w:rsidP="00290146">
      <w:pPr>
        <w:pStyle w:val="GraphFootnote"/>
      </w:pPr>
      <w:r w:rsidRPr="00752E20">
        <w:t xml:space="preserve">† Installed Projects are defined as </w:t>
      </w:r>
      <w:r w:rsidR="00290146">
        <w:t>the distinct count of project IDs.</w:t>
      </w:r>
    </w:p>
    <w:p w14:paraId="32BD0A6D" w14:textId="0CA78A41" w:rsidR="00290146" w:rsidRPr="00290146" w:rsidRDefault="00290146" w:rsidP="008C7B22">
      <w:pPr>
        <w:pStyle w:val="GraphFootnote"/>
      </w:pPr>
      <w:r w:rsidRPr="00290146">
        <w:t>‡ Measure Types Installed are defined as the distinct count of reporting measure types.</w:t>
      </w:r>
    </w:p>
    <w:p w14:paraId="08F44965" w14:textId="77777777" w:rsidR="00250A50" w:rsidRDefault="00250A50" w:rsidP="00290146">
      <w:pPr>
        <w:pStyle w:val="Source"/>
      </w:pPr>
      <w:r w:rsidRPr="00E47345">
        <w:t xml:space="preserve">Source: </w:t>
      </w:r>
      <w:r>
        <w:t xml:space="preserve">Nicor Gas tracking data and evaluation team </w:t>
      </w:r>
      <w:r w:rsidRPr="00651E3A">
        <w:t>analysis</w:t>
      </w:r>
    </w:p>
    <w:p w14:paraId="5A9A0BBC" w14:textId="77777777" w:rsidR="00250A50" w:rsidRDefault="00250A50">
      <w:r>
        <w:fldChar w:fldCharType="begin"/>
      </w:r>
      <w:r>
        <w:instrText xml:space="preserve"> REF _Ref189735540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62C1244E" w14:textId="77777777" w:rsidR="00250A50" w:rsidRDefault="00250A50">
      <w:pPr>
        <w:pStyle w:val="Caption"/>
      </w:pPr>
      <w:bookmarkStart w:id="10" w:name="_Ref189735540"/>
      <w:bookmarkStart w:id="11" w:name="_Toc61360846"/>
      <w:bookmarkStart w:id="12" w:name="_Toc195788197"/>
      <w:r>
        <w:t xml:space="preserve">Table </w:t>
      </w:r>
      <w:r>
        <w:fldChar w:fldCharType="begin"/>
      </w:r>
      <w:r>
        <w:instrText xml:space="preserve"> SEQ Table \* ARABIC </w:instrText>
      </w:r>
      <w:r>
        <w:fldChar w:fldCharType="separate"/>
      </w:r>
      <w:r>
        <w:rPr>
          <w:noProof/>
        </w:rPr>
        <w:t>2</w:t>
      </w:r>
      <w:r>
        <w:rPr>
          <w:noProof/>
        </w:rPr>
        <w:fldChar w:fldCharType="end"/>
      </w:r>
      <w:bookmarkEnd w:id="10"/>
      <w:r w:rsidRPr="00F7087A">
        <w:t>.</w:t>
      </w:r>
      <w:r>
        <w:t xml:space="preserve"> 2024 Installed </w:t>
      </w:r>
      <w:r w:rsidRPr="0084176E">
        <w:t>Measure</w:t>
      </w:r>
      <w:r>
        <w:t xml:space="preserve"> Quantities</w:t>
      </w:r>
      <w:bookmarkStart w:id="13" w:name="Table_2"/>
      <w:bookmarkEnd w:id="11"/>
      <w:bookmarkEnd w:id="12"/>
      <w:bookmarkEnd w:id="13"/>
    </w:p>
    <w:tbl>
      <w:tblPr>
        <w:tblW w:w="5000" w:type="pct"/>
        <w:jc w:val="center"/>
        <w:tblLook w:val="0420" w:firstRow="1" w:lastRow="0" w:firstColumn="0" w:lastColumn="0" w:noHBand="0" w:noVBand="1"/>
      </w:tblPr>
      <w:tblGrid>
        <w:gridCol w:w="1170"/>
        <w:gridCol w:w="2574"/>
        <w:gridCol w:w="3096"/>
        <w:gridCol w:w="1170"/>
        <w:gridCol w:w="1350"/>
      </w:tblGrid>
      <w:tr w:rsidR="00671B73" w14:paraId="35C038EB" w14:textId="77777777" w:rsidTr="008E3E32">
        <w:trPr>
          <w:tblHeader/>
          <w:jc w:val="center"/>
        </w:trPr>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69AAB97"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Program Category</w:t>
            </w:r>
          </w:p>
        </w:tc>
        <w:tc>
          <w:tcPr>
            <w:tcW w:w="137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6B57EDF"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Program Path</w:t>
            </w:r>
          </w:p>
        </w:tc>
        <w:tc>
          <w:tcPr>
            <w:tcW w:w="165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D101A2"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Measure</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C388EC7"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Quantity Unit</w:t>
            </w:r>
          </w:p>
        </w:tc>
        <w:tc>
          <w:tcPr>
            <w:tcW w:w="72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CA237D" w14:textId="77777777" w:rsidR="00671B73" w:rsidRPr="00290146"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Installed Quantity</w:t>
            </w:r>
          </w:p>
        </w:tc>
      </w:tr>
      <w:tr w:rsidR="00671B73" w14:paraId="3F574AF1" w14:textId="77777777" w:rsidTr="008E3E32">
        <w:trPr>
          <w:jc w:val="center"/>
        </w:trPr>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4664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4F35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7E48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741B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2356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430</w:t>
            </w:r>
          </w:p>
        </w:tc>
      </w:tr>
      <w:tr w:rsidR="00671B73" w14:paraId="354D6BFD"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E2E51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B0ED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4975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Kitchen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E7A2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8242E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795CF84B"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349B1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F3E9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1E4C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3274A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29D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6996529B"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AE5D3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BE1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66FB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Showerheads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99D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3A6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440</w:t>
            </w:r>
          </w:p>
        </w:tc>
      </w:tr>
      <w:tr w:rsidR="00671B73" w14:paraId="1E84F3B7"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EBF74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791E2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698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BOC</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5364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7FCA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r>
      <w:tr w:rsidR="00671B73" w14:paraId="29B0824B"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6779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A6C57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254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3218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AFFB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w:t>
            </w:r>
          </w:p>
        </w:tc>
      </w:tr>
      <w:tr w:rsidR="00671B73" w14:paraId="7D6AFD47"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352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8889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D13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3C40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83A5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r>
      <w:tr w:rsidR="00671B73" w14:paraId="7CE652ED"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3849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2F2D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C10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687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31AC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277</w:t>
            </w:r>
          </w:p>
        </w:tc>
      </w:tr>
      <w:tr w:rsidR="00671B73" w14:paraId="5BFA0A53"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845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900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398A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449DE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99E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w:t>
            </w:r>
          </w:p>
        </w:tc>
      </w:tr>
      <w:tr w:rsidR="00671B73" w14:paraId="193B620C"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AEF1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621BA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B52D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35200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A69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263</w:t>
            </w:r>
          </w:p>
        </w:tc>
      </w:tr>
      <w:tr w:rsidR="00671B73" w14:paraId="5AA967B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D248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005E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FFA4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Garage Door Hinge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0B9C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3CE2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202</w:t>
            </w:r>
          </w:p>
        </w:tc>
      </w:tr>
      <w:tr w:rsidR="00671B73" w14:paraId="55E01D98"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DC43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5DED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EF11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Automatic Conveyor Broiler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F43A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67BD8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5E26CB3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C39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A1F7F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282B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C907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4F596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r>
      <w:tr w:rsidR="00671B73" w14:paraId="0EFA4926"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FF4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61B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69616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A81D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3CB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671B73" w14:paraId="5639EDEF"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4EE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DED5D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D4CA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Conveyor Oven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17B9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5EB45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w:t>
            </w:r>
          </w:p>
        </w:tc>
      </w:tr>
      <w:tr w:rsidR="00671B73" w14:paraId="693FF1F4"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9D2B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5E87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2D36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3D6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EFA2A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w:t>
            </w:r>
          </w:p>
        </w:tc>
      </w:tr>
      <w:tr w:rsidR="00671B73" w14:paraId="001B513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31FF3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80E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F463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46DE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487E2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w:t>
            </w:r>
          </w:p>
        </w:tc>
      </w:tr>
      <w:tr w:rsidR="00671B73" w14:paraId="5181A7BD"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08732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7029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AB4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955FE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BC7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516FEC69"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0CD2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4C3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C051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Kitchen Demand Ventilation Controls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D349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77D69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r>
      <w:tr w:rsidR="00671B73" w14:paraId="048A9BD7"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CD6BF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475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067F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16BE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48E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671B73" w14:paraId="6FA999DD"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93F7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40F6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F6F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Rack Oven - Double Oven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CF25B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5C45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671B73" w14:paraId="0E207E1F"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09AD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C0DEC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F6CB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Rotisserie Oven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B261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1FAD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671B73" w14:paraId="27CFD8F9"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31C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B30E7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EFB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D76C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3863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671B73" w14:paraId="0AD2518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393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8685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8D7C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9FFC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52D2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r>
      <w:tr w:rsidR="00671B73" w14:paraId="20BFF3F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E03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30E69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9D17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4BF8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259B3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671B73" w14:paraId="69FF05F8"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EBE3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D4376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D06D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D0D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AB5D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71A5CB3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4E78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82866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6BC48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608E4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FC64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w:t>
            </w:r>
          </w:p>
        </w:tc>
      </w:tr>
      <w:tr w:rsidR="00671B73" w14:paraId="4900E5E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1AC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F0113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2038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DA05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C8FA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671B73" w14:paraId="4607059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05A4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5538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333A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2131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34FB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671B73" w14:paraId="72C42A3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D41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5A8D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AC01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Boiler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8A5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7A2F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r>
      <w:tr w:rsidR="00671B73" w14:paraId="36F501D3"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427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9553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737A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8015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3FE0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w:t>
            </w:r>
          </w:p>
        </w:tc>
      </w:tr>
      <w:tr w:rsidR="00671B73" w14:paraId="51FFF649"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3C6B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FBCDE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17B6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Infrared </w:t>
            </w:r>
            <w:proofErr w:type="spellStart"/>
            <w:r>
              <w:rPr>
                <w:rFonts w:ascii="Arial Narrow" w:eastAsia="DejaVu Sans" w:hAnsi="DejaVu Sans" w:cs="DejaVu Sans"/>
                <w:color w:val="000000"/>
                <w:sz w:val="20"/>
                <w:szCs w:val="20"/>
              </w:rPr>
              <w:t>Charbroiler</w:t>
            </w:r>
            <w:proofErr w:type="spellEnd"/>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DFEF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BFA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671B73" w14:paraId="0A10218A"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83A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8C3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4C42A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5B67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5DD1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2E5D1B6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35E9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158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7015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1BF4A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5500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1,175</w:t>
            </w:r>
          </w:p>
        </w:tc>
      </w:tr>
      <w:tr w:rsidR="00671B73" w14:paraId="6EB7E552"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F205A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CED3F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5B85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9CC74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94DB8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2EF6BFF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57BF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1924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504E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925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14D9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671B73" w14:paraId="3BF2F53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2E2D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36E3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9198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Commercial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594E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D5C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w:t>
            </w:r>
          </w:p>
        </w:tc>
      </w:tr>
      <w:tr w:rsidR="00671B73" w14:paraId="2570F31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4FE9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6C92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AEE9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487BC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05B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185</w:t>
            </w:r>
          </w:p>
        </w:tc>
      </w:tr>
      <w:tr w:rsidR="00671B73" w14:paraId="4E39FA6F"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966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5BE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EE06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2BD0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9D2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94</w:t>
            </w:r>
          </w:p>
        </w:tc>
      </w:tr>
      <w:tr w:rsidR="00671B73" w14:paraId="3AFF9E61"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94A9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E792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A131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B88B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7A3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w:t>
            </w:r>
          </w:p>
        </w:tc>
      </w:tr>
      <w:tr w:rsidR="00671B73" w14:paraId="44ECC81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6BC2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2208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7468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6A187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867A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r>
      <w:tr w:rsidR="00671B73" w14:paraId="17434CCF"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4AE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04BB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5C1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ACA4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39AA3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w:t>
            </w:r>
          </w:p>
        </w:tc>
      </w:tr>
      <w:tr w:rsidR="00671B73" w14:paraId="3DFE2AF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6525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226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CEF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Kitchen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D54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6F69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r>
      <w:tr w:rsidR="00671B73" w14:paraId="45482B71"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C2023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DCE22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E00D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D3E5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135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26BF815F"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7715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397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C911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Showerheads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7DC9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86DC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r>
      <w:tr w:rsidR="00671B73" w14:paraId="70DEC96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D2E0D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0895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4E58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BOC</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6EA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665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r>
      <w:tr w:rsidR="00671B73" w14:paraId="01E086BC"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285E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711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7C7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521F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548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71665F69"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D94E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5CA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0F6DF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9EC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09FF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r>
      <w:tr w:rsidR="00671B73" w14:paraId="2E71477B"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729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8F11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642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Garage Door Hinge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AF2E7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738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w:t>
            </w:r>
          </w:p>
        </w:tc>
      </w:tr>
      <w:tr w:rsidR="00671B73" w14:paraId="566DCE4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FF4F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5021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F0BB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Chemical Descaling</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507A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77EA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671B73" w14:paraId="30E95E94"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0712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2F2A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342E6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4628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3E7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r>
      <w:tr w:rsidR="00671B73" w14:paraId="02649C3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E1F7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691D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A9D3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F014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1E6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w:t>
            </w:r>
          </w:p>
        </w:tc>
      </w:tr>
      <w:tr w:rsidR="00671B73" w14:paraId="741F6ACC"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88F3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2A15A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DAA1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Boiler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423E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146A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w:t>
            </w:r>
          </w:p>
        </w:tc>
      </w:tr>
      <w:tr w:rsidR="00671B73" w14:paraId="12EC24F0"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10BE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3214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11BE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7543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694E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w:t>
            </w:r>
          </w:p>
        </w:tc>
      </w:tr>
      <w:tr w:rsidR="00671B73" w14:paraId="45C9A1C5"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51C0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CCD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0574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18A9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EEB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78</w:t>
            </w:r>
          </w:p>
        </w:tc>
      </w:tr>
      <w:tr w:rsidR="00671B73" w14:paraId="1EF744CF"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4FCB2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2313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63FA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Commercial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5BA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398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p>
        </w:tc>
      </w:tr>
      <w:tr w:rsidR="00671B73" w14:paraId="0ADA576A"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76AE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BFDA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EDAC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8FE1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972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r>
      <w:tr w:rsidR="00671B73" w14:paraId="3DA7EFBE" w14:textId="77777777" w:rsidTr="008E3E32">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8316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D447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78A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8F1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EBC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w:t>
            </w:r>
          </w:p>
        </w:tc>
      </w:tr>
      <w:tr w:rsidR="00671B73" w14:paraId="28CEE415" w14:textId="77777777" w:rsidTr="008E3E32">
        <w:trPr>
          <w:jc w:val="center"/>
        </w:trPr>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A511C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7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A8039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5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19F95D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446A5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72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AF800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bl>
    <w:p w14:paraId="2410D02C" w14:textId="77777777" w:rsidR="00250A50" w:rsidRDefault="00250A50">
      <w:pPr>
        <w:pStyle w:val="Source"/>
      </w:pPr>
      <w:r w:rsidRPr="00A15ECA">
        <w:t>Source</w:t>
      </w:r>
      <w:r w:rsidRPr="00651E3A">
        <w:t xml:space="preserve">: </w:t>
      </w:r>
      <w:bookmarkStart w:id="14" w:name="_Hlk186754865"/>
      <w:r>
        <w:t xml:space="preserve">Nicor Gas tracking data and evaluation team </w:t>
      </w:r>
      <w:r w:rsidRPr="00651E3A">
        <w:t>analysis</w:t>
      </w:r>
      <w:bookmarkEnd w:id="14"/>
    </w:p>
    <w:p w14:paraId="3D97FAE7" w14:textId="77777777" w:rsidR="00250A50" w:rsidRDefault="00250A50">
      <w:pPr>
        <w:pStyle w:val="Heading10"/>
      </w:pPr>
      <w:bookmarkStart w:id="15" w:name="_Toc195788187"/>
      <w:r>
        <w:t>Program Savings Detail</w:t>
      </w:r>
      <w:bookmarkEnd w:id="15"/>
    </w:p>
    <w:p w14:paraId="1E81376F" w14:textId="1225B3B3" w:rsidR="00250A50" w:rsidRDefault="00250A50">
      <w:r>
        <w:fldChar w:fldCharType="begin"/>
      </w:r>
      <w:r>
        <w:instrText xml:space="preserve"> REF _Ref500500894 \h </w:instrText>
      </w:r>
      <w:r>
        <w:fldChar w:fldCharType="separate"/>
      </w:r>
      <w:r>
        <w:t xml:space="preserve">Table </w:t>
      </w:r>
      <w:r>
        <w:rPr>
          <w:noProof/>
        </w:rPr>
        <w:t>3</w:t>
      </w:r>
      <w:r>
        <w:fldChar w:fldCharType="end"/>
      </w:r>
      <w:r>
        <w:t xml:space="preserve"> </w:t>
      </w:r>
      <w:r w:rsidRPr="00A90B62">
        <w:t>summarize</w:t>
      </w:r>
      <w:r>
        <w:t>s</w:t>
      </w:r>
      <w:r w:rsidRPr="00A90B62">
        <w:t xml:space="preserve"> the </w:t>
      </w:r>
      <w:r>
        <w:t xml:space="preserve">energy </w:t>
      </w:r>
      <w:r w:rsidRPr="00A90B62">
        <w:t xml:space="preserve">savings the </w:t>
      </w:r>
      <w:r w:rsidR="00380FA9">
        <w:t>BEER</w:t>
      </w:r>
      <w:r>
        <w:t xml:space="preserve"> P</w:t>
      </w:r>
      <w:r w:rsidRPr="00A90B62">
        <w:t>rogram</w:t>
      </w:r>
      <w:r>
        <w:t xml:space="preserve"> achieved by path in 2024.</w:t>
      </w:r>
      <w:r w:rsidR="00CE221F" w:rsidRPr="00290146">
        <w:rPr>
          <w:rFonts w:ascii="Arial Narrow" w:eastAsia="DejaVu Sans" w:hAnsi="DejaVu Sans" w:cs="DejaVu Sans"/>
          <w:b/>
          <w:bCs/>
          <w:color w:val="FFFFFF"/>
          <w:sz w:val="20"/>
          <w:szCs w:val="20"/>
        </w:rPr>
        <w:t xml:space="preserve"> </w:t>
      </w:r>
    </w:p>
    <w:p w14:paraId="296375ED" w14:textId="6F3001A5" w:rsidR="00A222F4" w:rsidRPr="00A222F4" w:rsidRDefault="00250A50" w:rsidP="00A222F4">
      <w:pPr>
        <w:pStyle w:val="Caption"/>
        <w:keepLines/>
      </w:pPr>
      <w:bookmarkStart w:id="16" w:name="_Ref500500894"/>
      <w:bookmarkStart w:id="17" w:name="_Toc397011684"/>
      <w:bookmarkStart w:id="18" w:name="_Toc397011694"/>
      <w:bookmarkStart w:id="19" w:name="_Toc398541809"/>
      <w:bookmarkStart w:id="20" w:name="_Toc398541922"/>
      <w:bookmarkStart w:id="21" w:name="_Toc398546654"/>
      <w:bookmarkStart w:id="22" w:name="_Toc423009516"/>
      <w:bookmarkStart w:id="23" w:name="_Toc426278634"/>
      <w:bookmarkStart w:id="24" w:name="_Toc61360847"/>
      <w:bookmarkStart w:id="25" w:name="_Toc195788198"/>
      <w:r>
        <w:t xml:space="preserve">Table </w:t>
      </w:r>
      <w:r>
        <w:fldChar w:fldCharType="begin"/>
      </w:r>
      <w:r>
        <w:instrText xml:space="preserve"> SEQ Table \* ARABIC </w:instrText>
      </w:r>
      <w:r>
        <w:fldChar w:fldCharType="separate"/>
      </w:r>
      <w:r>
        <w:rPr>
          <w:noProof/>
        </w:rPr>
        <w:t>3</w:t>
      </w:r>
      <w:r>
        <w:rPr>
          <w:noProof/>
        </w:rPr>
        <w:fldChar w:fldCharType="end"/>
      </w:r>
      <w:bookmarkEnd w:id="16"/>
      <w:r>
        <w:t>. 2024 Annual Energy Savings Summary</w:t>
      </w:r>
      <w:bookmarkStart w:id="26" w:name="Table_3"/>
      <w:bookmarkEnd w:id="17"/>
      <w:bookmarkEnd w:id="18"/>
      <w:bookmarkEnd w:id="19"/>
      <w:bookmarkEnd w:id="20"/>
      <w:bookmarkEnd w:id="21"/>
      <w:bookmarkEnd w:id="22"/>
      <w:bookmarkEnd w:id="23"/>
      <w:bookmarkEnd w:id="24"/>
      <w:bookmarkEnd w:id="25"/>
      <w:bookmarkEnd w:id="26"/>
      <w:r>
        <w:t xml:space="preserve"> </w:t>
      </w:r>
    </w:p>
    <w:tbl>
      <w:tblPr>
        <w:tblW w:w="5000" w:type="pct"/>
        <w:jc w:val="center"/>
        <w:tblLook w:val="0420" w:firstRow="1" w:lastRow="0" w:firstColumn="0" w:lastColumn="0" w:noHBand="0" w:noVBand="1"/>
      </w:tblPr>
      <w:tblGrid>
        <w:gridCol w:w="1730"/>
        <w:gridCol w:w="2540"/>
        <w:gridCol w:w="784"/>
        <w:gridCol w:w="648"/>
        <w:gridCol w:w="1565"/>
        <w:gridCol w:w="528"/>
        <w:gridCol w:w="1565"/>
      </w:tblGrid>
      <w:tr w:rsidR="00CE221F" w14:paraId="440E1984" w14:textId="77777777" w:rsidTr="00A222F4">
        <w:trPr>
          <w:tblHeader/>
          <w:jc w:val="center"/>
        </w:trPr>
        <w:tc>
          <w:tcPr>
            <w:tcW w:w="92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0282B"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Program Category</w:t>
            </w:r>
          </w:p>
        </w:tc>
        <w:tc>
          <w:tcPr>
            <w:tcW w:w="135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DE1D5A3"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Program Path</w:t>
            </w:r>
          </w:p>
        </w:tc>
        <w:tc>
          <w:tcPr>
            <w:tcW w:w="41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645B15B"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Ex Ante Gross Savings (Therms)</w:t>
            </w:r>
          </w:p>
        </w:tc>
        <w:tc>
          <w:tcPr>
            <w:tcW w:w="34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AB1A2C9"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Verified Gross RR*</w:t>
            </w:r>
          </w:p>
        </w:tc>
        <w:tc>
          <w:tcPr>
            <w:tcW w:w="83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ED1BC"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Verified Gross Savings (Therms)</w:t>
            </w:r>
          </w:p>
        </w:tc>
        <w:tc>
          <w:tcPr>
            <w:tcW w:w="28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80F588"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NTG</w:t>
            </w:r>
            <w:r w:rsidRPr="00290146">
              <w:rPr>
                <w:rFonts w:ascii="Arial Narrow" w:eastAsia="DejaVu Sans" w:hAnsi="DejaVu Sans" w:cs="DejaVu Sans"/>
                <w:b/>
                <w:bCs/>
                <w:color w:val="FFFFFF"/>
                <w:sz w:val="20"/>
                <w:szCs w:val="20"/>
              </w:rPr>
              <w:t>†</w:t>
            </w:r>
          </w:p>
        </w:tc>
        <w:tc>
          <w:tcPr>
            <w:tcW w:w="83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7E8701" w14:textId="77777777" w:rsidR="00CE221F" w:rsidRPr="00290146"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90146">
              <w:rPr>
                <w:rFonts w:ascii="Arial Narrow" w:eastAsia="DejaVu Sans" w:hAnsi="DejaVu Sans" w:cs="DejaVu Sans"/>
                <w:b/>
                <w:bCs/>
                <w:color w:val="FFFFFF"/>
                <w:sz w:val="20"/>
                <w:szCs w:val="20"/>
              </w:rPr>
              <w:t>Verified Net Savings (Therms)</w:t>
            </w:r>
          </w:p>
        </w:tc>
      </w:tr>
      <w:tr w:rsidR="00A222F4" w14:paraId="2D37A76A" w14:textId="77777777" w:rsidTr="00A222F4">
        <w:trPr>
          <w:jc w:val="center"/>
        </w:trPr>
        <w:tc>
          <w:tcPr>
            <w:tcW w:w="92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5A2DC" w14:textId="52D5AFE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35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5BDD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41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CE0FA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7,068</w:t>
            </w:r>
          </w:p>
        </w:tc>
        <w:tc>
          <w:tcPr>
            <w:tcW w:w="34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A6F48" w14:textId="1D65DF4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3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BBDD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7,068</w:t>
            </w:r>
          </w:p>
        </w:tc>
        <w:tc>
          <w:tcPr>
            <w:tcW w:w="28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E28F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83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A3BDE" w14:textId="4C827D8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6,079</w:t>
            </w:r>
          </w:p>
        </w:tc>
      </w:tr>
      <w:tr w:rsidR="00A222F4" w14:paraId="1F47026A"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E5969" w14:textId="4CA89DA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58EB0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6B82A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13,036</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F02E0" w14:textId="0CDCF9A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117%</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9E218A" w14:textId="20869D0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15,298</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9A6FD" w14:textId="2546F2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3739C" w14:textId="6742F9F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15,298</w:t>
            </w:r>
          </w:p>
        </w:tc>
      </w:tr>
      <w:tr w:rsidR="00A222F4" w14:paraId="231163E0"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44EB7" w14:textId="02874E7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C6A6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26F1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1,545,639</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C2A9C" w14:textId="2BC4F21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B5C12" w14:textId="1E8DA0E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986D04">
              <w:rPr>
                <w:rFonts w:ascii="Arial Narrow" w:eastAsia="DejaVu Sans" w:hAnsi="DejaVu Sans" w:cs="DejaVu Sans"/>
                <w:color w:val="000000"/>
                <w:sz w:val="20"/>
                <w:szCs w:val="20"/>
              </w:rPr>
              <w:t>1,562,832</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7D74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25A5D" w14:textId="3A633F5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A55568">
              <w:rPr>
                <w:rFonts w:ascii="Arial Narrow" w:eastAsia="DejaVu Sans" w:hAnsi="DejaVu Sans" w:cs="DejaVu Sans"/>
                <w:color w:val="000000"/>
                <w:sz w:val="20"/>
                <w:szCs w:val="20"/>
              </w:rPr>
              <w:t>1,437,806</w:t>
            </w:r>
          </w:p>
        </w:tc>
      </w:tr>
      <w:tr w:rsidR="00A222F4" w14:paraId="245F2E68"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143CA" w14:textId="2836A2C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29E2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CEC5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8,305</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40EF0" w14:textId="55E35D8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106%</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DE9A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8,766</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A964A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042DD5" w14:textId="60A014F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7,539</w:t>
            </w:r>
          </w:p>
        </w:tc>
      </w:tr>
      <w:tr w:rsidR="00A222F4" w14:paraId="462A8158"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40027" w14:textId="2A99F8C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6D71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C4A1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143,827</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222DCB" w14:textId="3790128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159%</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3806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229,382</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1464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722B0" w14:textId="0EF7F2E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183,506</w:t>
            </w:r>
          </w:p>
        </w:tc>
      </w:tr>
      <w:tr w:rsidR="00A222F4" w14:paraId="2A9687DB"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0EAC7" w14:textId="03D4A67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BBE0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D106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863,030</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A9D52" w14:textId="2E4D1B6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2608E" w14:textId="18513B9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92E88">
              <w:rPr>
                <w:rFonts w:ascii="Arial Narrow" w:eastAsia="DejaVu Sans" w:hAnsi="DejaVu Sans" w:cs="DejaVu Sans"/>
                <w:color w:val="000000"/>
                <w:sz w:val="20"/>
                <w:szCs w:val="20"/>
              </w:rPr>
              <w:t>885,758</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EF489" w14:textId="3A2357E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DDFF43" w14:textId="7F6897F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D91641">
              <w:rPr>
                <w:rFonts w:ascii="Arial Narrow" w:eastAsia="DejaVu Sans" w:hAnsi="DejaVu Sans" w:cs="DejaVu Sans"/>
                <w:color w:val="000000"/>
                <w:sz w:val="20"/>
                <w:szCs w:val="20"/>
              </w:rPr>
              <w:t>761,776</w:t>
            </w:r>
          </w:p>
        </w:tc>
      </w:tr>
      <w:tr w:rsidR="00CE221F" w14:paraId="6A5C3EC9" w14:textId="77777777" w:rsidTr="00A222F4">
        <w:trPr>
          <w:jc w:val="center"/>
        </w:trPr>
        <w:tc>
          <w:tcPr>
            <w:tcW w:w="2281"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9D5F03" w14:textId="542E2F1E"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Private, Non-DAC Subtotal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97F50"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2,580,906</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6610AE" w14:textId="7D08F384" w:rsidR="00CE221F" w:rsidRPr="00335B2B" w:rsidRDefault="00A222F4"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Pr>
                <w:rFonts w:ascii="Arial Narrow" w:eastAsia="DejaVu Sans" w:hAnsi="DejaVu Sans" w:cs="DejaVu Sans"/>
                <w:b/>
                <w:i/>
                <w:color w:val="000000"/>
                <w:sz w:val="20"/>
                <w:szCs w:val="20"/>
              </w:rPr>
              <w:t>105%</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ABD59" w14:textId="5F879150" w:rsidR="00CE221F" w:rsidRPr="00335B2B" w:rsidRDefault="00D91641"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D91641">
              <w:rPr>
                <w:rFonts w:ascii="Arial Narrow" w:eastAsia="DejaVu Sans" w:hAnsi="DejaVu Sans" w:cs="DejaVu Sans"/>
                <w:b/>
                <w:i/>
                <w:color w:val="000000"/>
                <w:sz w:val="20"/>
                <w:szCs w:val="20"/>
              </w:rPr>
              <w:t>2,709,104</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EECE0"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D55AB" w14:textId="6BD58B4D" w:rsidR="00CE221F" w:rsidRPr="00335B2B" w:rsidRDefault="00FF2CA7"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FF2CA7">
              <w:rPr>
                <w:rFonts w:ascii="Arial Narrow" w:eastAsia="DejaVu Sans" w:hAnsi="DejaVu Sans" w:cs="DejaVu Sans"/>
                <w:b/>
                <w:i/>
                <w:color w:val="000000"/>
                <w:sz w:val="20"/>
                <w:szCs w:val="20"/>
              </w:rPr>
              <w:t>2,412,002</w:t>
            </w:r>
          </w:p>
        </w:tc>
      </w:tr>
      <w:tr w:rsidR="00A222F4" w14:paraId="3A910E59"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191AA" w14:textId="444564B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9E0F2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A18A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1,132</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0F7D2" w14:textId="20C0F63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FE06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1,132</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069D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8B3C32" w14:textId="3C76598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1,132</w:t>
            </w:r>
          </w:p>
        </w:tc>
      </w:tr>
      <w:tr w:rsidR="00A222F4" w14:paraId="04995ED8"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05168" w14:textId="1608F4C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0044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BF8D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132,896</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77DF8" w14:textId="2DEDB28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113%</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86FC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150,155</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C5199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2FBF9" w14:textId="65E5175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150,155</w:t>
            </w:r>
          </w:p>
        </w:tc>
      </w:tr>
      <w:tr w:rsidR="00A222F4" w14:paraId="7D43C976"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840B7" w14:textId="4FEDD19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7617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20B0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EC771" w14:textId="50B6071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60C1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9AF0F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129F8" w14:textId="2F5F2D3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r>
      <w:tr w:rsidR="00A222F4" w14:paraId="649C128F"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4AF2F" w14:textId="12F3CCE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158B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3D631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239,671</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F0ED2" w14:textId="5D013E6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B8613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242,716</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77178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739A9" w14:textId="05874AF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242,716</w:t>
            </w:r>
          </w:p>
        </w:tc>
      </w:tr>
      <w:tr w:rsidR="00CE221F" w14:paraId="14514A69" w14:textId="77777777" w:rsidTr="00A222F4">
        <w:trPr>
          <w:jc w:val="center"/>
        </w:trPr>
        <w:tc>
          <w:tcPr>
            <w:tcW w:w="2281"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6C4576" w14:textId="1588953A"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Private, DAC Subtotal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CC6AF"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375,414</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F0934" w14:textId="36E215AF" w:rsidR="00CE221F" w:rsidRPr="00335B2B" w:rsidRDefault="00A222F4"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Pr>
                <w:rFonts w:ascii="Arial Narrow" w:eastAsia="DejaVu Sans" w:hAnsi="DejaVu Sans" w:cs="DejaVu Sans"/>
                <w:b/>
                <w:i/>
                <w:color w:val="000000"/>
                <w:sz w:val="20"/>
                <w:szCs w:val="20"/>
              </w:rPr>
              <w:t>105%</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103BB"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395,718</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8EFBC"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D9A9C" w14:textId="10EF98D6"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395,718</w:t>
            </w:r>
          </w:p>
        </w:tc>
      </w:tr>
      <w:tr w:rsidR="00A222F4" w14:paraId="32B637F8"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05BD0" w14:textId="4F34147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F00D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AAA74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2,073</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054B1" w14:textId="7D36D27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DD47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2,073</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D45C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D55ED" w14:textId="7B5E52E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1,783</w:t>
            </w:r>
          </w:p>
        </w:tc>
      </w:tr>
      <w:tr w:rsidR="00A222F4" w14:paraId="463FFF98"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DFAE4" w14:textId="4A8B15D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DEAF7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2035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14,116</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62AE5" w14:textId="1D10089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89%</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85F5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12,537</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D953E" w14:textId="7446184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F32785" w14:textId="152FBCB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12,537</w:t>
            </w:r>
          </w:p>
        </w:tc>
      </w:tr>
      <w:tr w:rsidR="00A222F4" w14:paraId="679A417A"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D41D0" w14:textId="54694F4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2890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6E1D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17,188</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1AAE0" w14:textId="4BFDE11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102%</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523B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17,529</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7591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34C14" w14:textId="4D9EEC1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16,127</w:t>
            </w:r>
          </w:p>
        </w:tc>
      </w:tr>
      <w:tr w:rsidR="00A222F4" w14:paraId="5CC7EC7E"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ED797" w14:textId="418A211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16F6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8218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1,334</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A209D" w14:textId="6BB960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181%</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1FD3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2,412</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9B896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AE60A" w14:textId="2FC32FD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2,075</w:t>
            </w:r>
          </w:p>
        </w:tc>
      </w:tr>
      <w:tr w:rsidR="00A222F4" w14:paraId="5CA161F3"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C875F6" w14:textId="32F1299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2568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62553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608,202</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B9EC2" w14:textId="1610FB0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63D6A" w14:textId="1AE041D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31A3">
              <w:rPr>
                <w:rFonts w:ascii="Arial Narrow" w:eastAsia="DejaVu Sans" w:hAnsi="DejaVu Sans" w:cs="DejaVu Sans"/>
                <w:color w:val="000000"/>
                <w:sz w:val="20"/>
                <w:szCs w:val="20"/>
              </w:rPr>
              <w:t>671,816</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5EC32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3B69D" w14:textId="284ABBF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31A3">
              <w:rPr>
                <w:rFonts w:ascii="Arial Narrow" w:eastAsia="DejaVu Sans" w:hAnsi="DejaVu Sans" w:cs="DejaVu Sans"/>
                <w:color w:val="000000"/>
                <w:sz w:val="20"/>
                <w:szCs w:val="20"/>
              </w:rPr>
              <w:t>577,762</w:t>
            </w:r>
          </w:p>
        </w:tc>
      </w:tr>
      <w:tr w:rsidR="00CE221F" w14:paraId="7FE5A048" w14:textId="77777777" w:rsidTr="00A222F4">
        <w:trPr>
          <w:jc w:val="center"/>
        </w:trPr>
        <w:tc>
          <w:tcPr>
            <w:tcW w:w="2281"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0E0F5" w14:textId="02CB9F08"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Public, Non-DAC Subtotal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44725"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642,914</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A087F" w14:textId="50F93178"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335B2B">
              <w:rPr>
                <w:rFonts w:ascii="Arial Narrow" w:eastAsia="DejaVu Sans" w:hAnsi="DejaVu Sans" w:cs="DejaVu Sans"/>
                <w:b/>
                <w:i/>
                <w:color w:val="000000"/>
                <w:sz w:val="20"/>
                <w:szCs w:val="20"/>
              </w:rPr>
              <w:t>1</w:t>
            </w:r>
            <w:r w:rsidR="00A222F4">
              <w:rPr>
                <w:rFonts w:ascii="Arial Narrow" w:eastAsia="DejaVu Sans" w:hAnsi="DejaVu Sans" w:cs="DejaVu Sans"/>
                <w:b/>
                <w:i/>
                <w:color w:val="000000"/>
                <w:sz w:val="20"/>
                <w:szCs w:val="20"/>
              </w:rPr>
              <w:t>10%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4B080" w14:textId="561A7515"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736991">
              <w:rPr>
                <w:rFonts w:ascii="Arial Narrow" w:eastAsia="DejaVu Sans" w:hAnsi="DejaVu Sans" w:cs="DejaVu Sans"/>
                <w:b/>
                <w:i/>
                <w:color w:val="000000"/>
                <w:sz w:val="20"/>
                <w:szCs w:val="20"/>
              </w:rPr>
              <w:t>706,367</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B3F976" w14:textId="77777777"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3F89E" w14:textId="500A8BDB" w:rsidR="00CE221F" w:rsidRPr="00335B2B"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902BAA">
              <w:rPr>
                <w:rFonts w:ascii="Arial Narrow" w:eastAsia="DejaVu Sans" w:hAnsi="DejaVu Sans" w:cs="DejaVu Sans"/>
                <w:b/>
                <w:i/>
                <w:color w:val="000000"/>
                <w:sz w:val="20"/>
                <w:szCs w:val="20"/>
              </w:rPr>
              <w:t>610,283</w:t>
            </w:r>
          </w:p>
        </w:tc>
      </w:tr>
      <w:tr w:rsidR="00A222F4" w14:paraId="13FF5FF2"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2F706" w14:textId="5287C96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B673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8A1AB" w14:textId="6576809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ED52C" w14:textId="71CFC77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74A75D" w14:textId="09239BA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5855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2D7C1E" w14:textId="070C6B3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w:t>
            </w:r>
          </w:p>
        </w:tc>
      </w:tr>
      <w:tr w:rsidR="00A222F4" w14:paraId="1B64C2F7" w14:textId="77777777" w:rsidTr="00A222F4">
        <w:trPr>
          <w:jc w:val="center"/>
        </w:trPr>
        <w:tc>
          <w:tcPr>
            <w:tcW w:w="92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0809C" w14:textId="722A36E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3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2B54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47C06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72,326</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C49F7" w14:textId="19D9198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134%</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E64D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97,211</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E88D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8E9E8A" w14:textId="06092C4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97,211</w:t>
            </w:r>
          </w:p>
        </w:tc>
      </w:tr>
      <w:tr w:rsidR="00CE221F" w14:paraId="3E356989" w14:textId="77777777" w:rsidTr="00A222F4">
        <w:trPr>
          <w:jc w:val="center"/>
        </w:trPr>
        <w:tc>
          <w:tcPr>
            <w:tcW w:w="2281"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A9CD24" w14:textId="70EEA741" w:rsidR="00CE221F" w:rsidRPr="00C86FBD"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i/>
                <w:color w:val="000000"/>
                <w:sz w:val="20"/>
                <w:szCs w:val="20"/>
              </w:rPr>
            </w:pPr>
            <w:r w:rsidRPr="00C86FBD">
              <w:rPr>
                <w:rFonts w:ascii="Arial Narrow" w:eastAsia="DejaVu Sans" w:hAnsi="DejaVu Sans" w:cs="DejaVu Sans"/>
                <w:b/>
                <w:i/>
                <w:color w:val="000000"/>
                <w:sz w:val="20"/>
                <w:szCs w:val="20"/>
              </w:rPr>
              <w:lastRenderedPageBreak/>
              <w:t>Public, DAC Subtotal</w:t>
            </w:r>
          </w:p>
        </w:tc>
        <w:tc>
          <w:tcPr>
            <w:tcW w:w="4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6E02E" w14:textId="77777777" w:rsidR="00CE221F" w:rsidRPr="00C86FBD"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C86FBD">
              <w:rPr>
                <w:rFonts w:ascii="Arial Narrow" w:eastAsia="DejaVu Sans" w:hAnsi="DejaVu Sans" w:cs="DejaVu Sans"/>
                <w:b/>
                <w:i/>
                <w:color w:val="000000"/>
                <w:sz w:val="20"/>
                <w:szCs w:val="20"/>
              </w:rPr>
              <w:t>72,415</w:t>
            </w:r>
          </w:p>
        </w:tc>
        <w:tc>
          <w:tcPr>
            <w:tcW w:w="3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31C39" w14:textId="7B99D0A1" w:rsidR="00CE221F" w:rsidRPr="00C86FBD"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C86FBD">
              <w:rPr>
                <w:rFonts w:ascii="Arial Narrow" w:eastAsia="DejaVu Sans" w:hAnsi="DejaVu Sans" w:cs="DejaVu Sans"/>
                <w:b/>
                <w:i/>
                <w:color w:val="000000"/>
                <w:sz w:val="20"/>
                <w:szCs w:val="20"/>
              </w:rPr>
              <w:t>1</w:t>
            </w:r>
            <w:r w:rsidR="00A222F4">
              <w:rPr>
                <w:rFonts w:ascii="Arial Narrow" w:eastAsia="DejaVu Sans" w:hAnsi="DejaVu Sans" w:cs="DejaVu Sans"/>
                <w:b/>
                <w:i/>
                <w:color w:val="000000"/>
                <w:sz w:val="20"/>
                <w:szCs w:val="20"/>
              </w:rPr>
              <w:t>34%</w:t>
            </w: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DEBCE7" w14:textId="77777777" w:rsidR="00CE221F" w:rsidRPr="00C86FBD"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C86FBD">
              <w:rPr>
                <w:rFonts w:ascii="Arial Narrow" w:eastAsia="DejaVu Sans" w:hAnsi="DejaVu Sans" w:cs="DejaVu Sans"/>
                <w:b/>
                <w:i/>
                <w:color w:val="000000"/>
                <w:sz w:val="20"/>
                <w:szCs w:val="20"/>
              </w:rPr>
              <w:t>97,300</w:t>
            </w:r>
          </w:p>
        </w:tc>
        <w:tc>
          <w:tcPr>
            <w:tcW w:w="28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1D00B" w14:textId="77777777" w:rsidR="00CE221F" w:rsidRPr="00C86FBD"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p>
        </w:tc>
        <w:tc>
          <w:tcPr>
            <w:tcW w:w="8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A3023" w14:textId="10DA083C" w:rsidR="00CE221F" w:rsidRPr="00C86FBD"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i/>
                <w:color w:val="000000"/>
                <w:sz w:val="20"/>
                <w:szCs w:val="20"/>
              </w:rPr>
            </w:pPr>
            <w:r w:rsidRPr="00C86FBD">
              <w:rPr>
                <w:rFonts w:ascii="Arial Narrow" w:eastAsia="DejaVu Sans" w:hAnsi="DejaVu Sans" w:cs="DejaVu Sans"/>
                <w:b/>
                <w:i/>
                <w:color w:val="000000"/>
                <w:sz w:val="20"/>
                <w:szCs w:val="20"/>
              </w:rPr>
              <w:t>97,300</w:t>
            </w:r>
          </w:p>
        </w:tc>
      </w:tr>
      <w:tr w:rsidR="00CE221F" w14:paraId="627D2689" w14:textId="77777777" w:rsidTr="00A222F4">
        <w:trPr>
          <w:jc w:val="center"/>
        </w:trPr>
        <w:tc>
          <w:tcPr>
            <w:tcW w:w="2281" w:type="pct"/>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C05BA3" w14:textId="046EEF01" w:rsidR="00CE221F" w:rsidRDefault="00CE221F"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 xml:space="preserve">Total </w:t>
            </w:r>
          </w:p>
        </w:tc>
        <w:tc>
          <w:tcPr>
            <w:tcW w:w="41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49DA1DD" w14:textId="77777777" w:rsidR="00CE221F"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3,671,650</w:t>
            </w:r>
          </w:p>
        </w:tc>
        <w:tc>
          <w:tcPr>
            <w:tcW w:w="34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577534" w14:textId="2242EE9B" w:rsidR="00CE221F"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w:t>
            </w:r>
            <w:r w:rsidR="00A222F4">
              <w:rPr>
                <w:rFonts w:ascii="Arial Narrow" w:eastAsia="DejaVu Sans" w:hAnsi="DejaVu Sans" w:cs="DejaVu Sans"/>
                <w:b/>
                <w:color w:val="000000"/>
                <w:sz w:val="20"/>
                <w:szCs w:val="20"/>
              </w:rPr>
              <w:t>06%</w:t>
            </w:r>
          </w:p>
        </w:tc>
        <w:tc>
          <w:tcPr>
            <w:tcW w:w="83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37FE2B" w14:textId="3FA4399C" w:rsidR="00CE221F" w:rsidRDefault="00FF2CA7"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FF2CA7">
              <w:rPr>
                <w:rFonts w:ascii="Arial Narrow" w:eastAsia="DejaVu Sans" w:hAnsi="DejaVu Sans" w:cs="DejaVu Sans"/>
                <w:b/>
                <w:color w:val="000000"/>
                <w:sz w:val="20"/>
                <w:szCs w:val="20"/>
              </w:rPr>
              <w:t>3,908,490</w:t>
            </w:r>
          </w:p>
        </w:tc>
        <w:tc>
          <w:tcPr>
            <w:tcW w:w="28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1E8CE4" w14:textId="77777777" w:rsidR="00CE221F" w:rsidRDefault="00CE221F"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83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7BA531" w14:textId="1A42E27A" w:rsidR="00CE221F" w:rsidRDefault="00FF2CA7"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FF2CA7">
              <w:rPr>
                <w:rFonts w:ascii="Arial Narrow" w:eastAsia="DejaVu Sans" w:hAnsi="DejaVu Sans" w:cs="DejaVu Sans"/>
                <w:b/>
                <w:color w:val="000000"/>
                <w:sz w:val="20"/>
                <w:szCs w:val="20"/>
              </w:rPr>
              <w:t>3,515,304</w:t>
            </w:r>
          </w:p>
        </w:tc>
      </w:tr>
    </w:tbl>
    <w:p w14:paraId="763C3886" w14:textId="77777777" w:rsidR="00250A50" w:rsidRDefault="00250A50">
      <w:pPr>
        <w:pStyle w:val="GraphFootnote"/>
        <w:keepLines/>
      </w:pPr>
      <w:bookmarkStart w:id="27" w:name="_Hlk500574807"/>
      <w:r>
        <w:t>* Realization Rate (RR) is the ratio of verified gross savings to ex ante gross savings, based on evaluation research findings.</w:t>
      </w:r>
    </w:p>
    <w:bookmarkEnd w:id="27"/>
    <w:p w14:paraId="0E5D8E09" w14:textId="2D1758C1" w:rsidR="001E39A4" w:rsidRDefault="00250A50">
      <w:pPr>
        <w:pStyle w:val="GraphFootnote"/>
      </w:pPr>
      <w:r w:rsidRPr="00A15ECA">
        <w:t xml:space="preserve">† NTG, Net to Gross is the deemed value available on the SAG website: </w:t>
      </w:r>
      <w:hyperlink r:id="rId17">
        <w:r w:rsidRPr="00A15ECA">
          <w:t>https://www.ilsag.info/evaluator-ntg-recommendations-for-2024/</w:t>
        </w:r>
      </w:hyperlink>
      <w:r w:rsidRPr="00A15ECA">
        <w:t xml:space="preserve">. </w:t>
      </w:r>
      <w:r w:rsidR="001E39A4">
        <w:t xml:space="preserve">Note: Note: </w:t>
      </w:r>
      <w:r w:rsidR="00EC5514">
        <w:t>All savings estimat</w:t>
      </w:r>
      <w:r w:rsidR="00E01359">
        <w:t>ing</w:t>
      </w:r>
      <w:r w:rsidR="00EC5514">
        <w:t xml:space="preserve"> algorithms presented in the IL TRM v12.0 for t</w:t>
      </w:r>
      <w:r w:rsidR="001E39A4">
        <w:t xml:space="preserve">he Building Operator Certification measure </w:t>
      </w:r>
      <w:r w:rsidR="00EC5514">
        <w:t>are for net savings. Therefore, this measure does not require the additional application of</w:t>
      </w:r>
      <w:r w:rsidR="001E39A4">
        <w:t xml:space="preserve"> </w:t>
      </w:r>
      <w:proofErr w:type="gramStart"/>
      <w:r w:rsidR="001E39A4">
        <w:t>a NTG</w:t>
      </w:r>
      <w:proofErr w:type="gramEnd"/>
      <w:r w:rsidR="001E39A4">
        <w:t xml:space="preserve"> value.</w:t>
      </w:r>
    </w:p>
    <w:p w14:paraId="409C31B9" w14:textId="77777777" w:rsidR="00250A50" w:rsidRDefault="00250A50">
      <w:pPr>
        <w:pStyle w:val="Source"/>
      </w:pPr>
      <w:r w:rsidRPr="00A15ECA">
        <w:t>Source</w:t>
      </w:r>
      <w:r>
        <w:t>: Evaluation team analysis</w:t>
      </w:r>
    </w:p>
    <w:p w14:paraId="17314C43" w14:textId="77777777" w:rsidR="00250A50" w:rsidRDefault="00250A50">
      <w:pPr>
        <w:pStyle w:val="Heading10"/>
      </w:pPr>
      <w:bookmarkStart w:id="28" w:name="_Toc195788188"/>
      <w:r>
        <w:t>Program Savings by Measure</w:t>
      </w:r>
      <w:bookmarkEnd w:id="28"/>
    </w:p>
    <w:bookmarkEnd w:id="3"/>
    <w:bookmarkEnd w:id="4"/>
    <w:p w14:paraId="202E0588" w14:textId="4A5C2F0D" w:rsidR="00250A50" w:rsidRDefault="00250A50">
      <w:r>
        <w:t>The</w:t>
      </w:r>
      <w:r w:rsidR="00380FA9">
        <w:t xml:space="preserve"> BEER</w:t>
      </w:r>
      <w:r>
        <w:t xml:space="preserve"> program include</w:t>
      </w:r>
      <w:r w:rsidR="00D3076E">
        <w:t xml:space="preserve">s 33 </w:t>
      </w:r>
      <w:r>
        <w:t>measures as shown in the following table. The</w:t>
      </w:r>
      <w:r w:rsidR="003F2887">
        <w:t xml:space="preserve"> Steam Tra</w:t>
      </w:r>
      <w:r w:rsidR="00572DE4">
        <w:t>p, Industrial High Pressure and Steam Trap, Industrial Medium Pressure</w:t>
      </w:r>
      <w:r w:rsidRPr="00C34677">
        <w:t xml:space="preserve"> </w:t>
      </w:r>
      <w:r w:rsidR="00BD055C">
        <w:t>measures</w:t>
      </w:r>
      <w:r w:rsidR="007D03F5">
        <w:t xml:space="preserve"> </w:t>
      </w:r>
      <w:r>
        <w:t xml:space="preserve">contributed the most savings. </w:t>
      </w:r>
    </w:p>
    <w:p w14:paraId="5C30F067" w14:textId="77777777" w:rsidR="00250A50" w:rsidRPr="00A90B62" w:rsidRDefault="00250A50">
      <w:pPr>
        <w:pStyle w:val="Caption"/>
        <w:keepLines/>
      </w:pPr>
      <w:bookmarkStart w:id="29" w:name="_Toc398546655"/>
      <w:bookmarkStart w:id="30" w:name="_Toc423009517"/>
      <w:bookmarkStart w:id="31" w:name="_Toc426278635"/>
      <w:bookmarkStart w:id="32" w:name="_Toc61360848"/>
      <w:bookmarkStart w:id="33" w:name="_Toc195788199"/>
      <w:bookmarkStart w:id="34" w:name="_Hlk29910940"/>
      <w:r>
        <w:t xml:space="preserve">Table </w:t>
      </w:r>
      <w:r>
        <w:fldChar w:fldCharType="begin"/>
      </w:r>
      <w:r>
        <w:instrText xml:space="preserve"> SEQ Table \* ARABIC </w:instrText>
      </w:r>
      <w:r>
        <w:fldChar w:fldCharType="separate"/>
      </w:r>
      <w:r>
        <w:rPr>
          <w:noProof/>
        </w:rPr>
        <w:t>4</w:t>
      </w:r>
      <w:r>
        <w:rPr>
          <w:noProof/>
        </w:rPr>
        <w:fldChar w:fldCharType="end"/>
      </w:r>
      <w:r>
        <w:t>. 2024</w:t>
      </w:r>
      <w:r w:rsidRPr="00A90B62">
        <w:t xml:space="preserve"> </w:t>
      </w:r>
      <w:r>
        <w:t>Annual Energy Savings by Measure</w:t>
      </w:r>
      <w:bookmarkStart w:id="35" w:name="Table_4"/>
      <w:bookmarkEnd w:id="29"/>
      <w:bookmarkEnd w:id="30"/>
      <w:bookmarkEnd w:id="31"/>
      <w:bookmarkEnd w:id="32"/>
      <w:bookmarkEnd w:id="33"/>
      <w:bookmarkEnd w:id="35"/>
    </w:p>
    <w:tbl>
      <w:tblPr>
        <w:tblW w:w="9450" w:type="dxa"/>
        <w:jc w:val="center"/>
        <w:tblLayout w:type="fixed"/>
        <w:tblLook w:val="0420" w:firstRow="1" w:lastRow="0" w:firstColumn="0" w:lastColumn="0" w:noHBand="0" w:noVBand="1"/>
      </w:tblPr>
      <w:tblGrid>
        <w:gridCol w:w="1352"/>
        <w:gridCol w:w="1978"/>
        <w:gridCol w:w="1890"/>
        <w:gridCol w:w="810"/>
        <w:gridCol w:w="990"/>
        <w:gridCol w:w="810"/>
        <w:gridCol w:w="630"/>
        <w:gridCol w:w="990"/>
      </w:tblGrid>
      <w:tr w:rsidR="0099450A" w14:paraId="7B4A4F75" w14:textId="77777777" w:rsidTr="00E66954">
        <w:trPr>
          <w:tblHeader/>
          <w:jc w:val="center"/>
        </w:trPr>
        <w:tc>
          <w:tcPr>
            <w:tcW w:w="1352"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C83986D" w14:textId="77777777"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Program Category</w:t>
            </w:r>
          </w:p>
        </w:tc>
        <w:tc>
          <w:tcPr>
            <w:tcW w:w="1978"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F7B74D9" w14:textId="77777777"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Program Path</w:t>
            </w:r>
          </w:p>
        </w:tc>
        <w:tc>
          <w:tcPr>
            <w:tcW w:w="189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0E27E3E" w14:textId="77777777"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Savings Category</w:t>
            </w:r>
          </w:p>
        </w:tc>
        <w:tc>
          <w:tcPr>
            <w:tcW w:w="81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C11D515" w14:textId="56937B6F"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 xml:space="preserve">Ex Ante </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 xml:space="preserve">Gross </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Savings (Therms)</w:t>
            </w:r>
          </w:p>
        </w:tc>
        <w:tc>
          <w:tcPr>
            <w:tcW w:w="99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328682F" w14:textId="77777777"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Verified Gross RR*</w:t>
            </w:r>
          </w:p>
        </w:tc>
        <w:tc>
          <w:tcPr>
            <w:tcW w:w="81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031BFF3" w14:textId="33755DF4"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 xml:space="preserve">Verified </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 xml:space="preserve">Gross </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 xml:space="preserve">Savings </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(Therms)</w:t>
            </w:r>
          </w:p>
        </w:tc>
        <w:tc>
          <w:tcPr>
            <w:tcW w:w="63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F9D7DD5" w14:textId="77777777"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NTG</w:t>
            </w:r>
            <w:r w:rsidRPr="00380FA9">
              <w:rPr>
                <w:rFonts w:ascii="Arial Narrow" w:eastAsia="DejaVu Sans" w:hAnsi="DejaVu Sans" w:cs="DejaVu Sans"/>
                <w:b/>
                <w:bCs/>
                <w:color w:val="FFFFFF"/>
                <w:sz w:val="20"/>
                <w:szCs w:val="20"/>
              </w:rPr>
              <w:t>†</w:t>
            </w:r>
          </w:p>
        </w:tc>
        <w:tc>
          <w:tcPr>
            <w:tcW w:w="99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8D1FFAD" w14:textId="19190F7B" w:rsidR="0099450A" w:rsidRPr="00380FA9"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Verified Net</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 xml:space="preserve"> Savings </w:t>
            </w:r>
            <w:r>
              <w:rPr>
                <w:rFonts w:ascii="Arial Narrow" w:eastAsia="DejaVu Sans" w:hAnsi="DejaVu Sans" w:cs="DejaVu Sans"/>
                <w:b/>
                <w:bCs/>
                <w:color w:val="FFFFFF"/>
                <w:sz w:val="20"/>
                <w:szCs w:val="20"/>
              </w:rPr>
              <w:br/>
            </w:r>
            <w:r w:rsidRPr="00380FA9">
              <w:rPr>
                <w:rFonts w:ascii="Arial Narrow" w:eastAsia="DejaVu Sans" w:hAnsi="DejaVu Sans" w:cs="DejaVu Sans"/>
                <w:b/>
                <w:bCs/>
                <w:color w:val="FFFFFF"/>
                <w:sz w:val="20"/>
                <w:szCs w:val="20"/>
              </w:rPr>
              <w:t>(Therms)</w:t>
            </w:r>
          </w:p>
        </w:tc>
      </w:tr>
      <w:tr w:rsidR="00A222F4" w14:paraId="6E49628A" w14:textId="77777777" w:rsidTr="00E66954">
        <w:trPr>
          <w:jc w:val="center"/>
        </w:trPr>
        <w:tc>
          <w:tcPr>
            <w:tcW w:w="1352"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D743DF" w14:textId="11C73A0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53B25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6B6D41C" w14:textId="3A89D01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Bath</w:t>
            </w:r>
          </w:p>
        </w:tc>
        <w:tc>
          <w:tcPr>
            <w:tcW w:w="81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F3FD9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2,944</w:t>
            </w:r>
          </w:p>
        </w:tc>
        <w:tc>
          <w:tcPr>
            <w:tcW w:w="99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53F494" w14:textId="771FA58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DA952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2,944</w:t>
            </w:r>
          </w:p>
        </w:tc>
        <w:tc>
          <w:tcPr>
            <w:tcW w:w="63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97D1C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3D6B0CC" w14:textId="0AA70CB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2,532 </w:t>
            </w:r>
          </w:p>
        </w:tc>
      </w:tr>
      <w:tr w:rsidR="00A222F4" w14:paraId="47A15AB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563F92" w14:textId="21F9617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D18C3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1EE0157" w14:textId="5400C5F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Kitchen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B62924" w14:textId="0E93D27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552F4E" w14:textId="5DE30BB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04AC76" w14:textId="006F20E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58FEA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5F65ED8" w14:textId="0965F80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6 </w:t>
            </w:r>
          </w:p>
        </w:tc>
      </w:tr>
      <w:tr w:rsidR="00A222F4" w14:paraId="6150E248"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21D495" w14:textId="17BC31D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E5112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33BB47C" w14:textId="3CB6823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Pre-Rinse Spray Valves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87BCA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5C668C" w14:textId="79DE01D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D6DE9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25A5C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89F4619" w14:textId="537F13A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340 </w:t>
            </w:r>
          </w:p>
        </w:tc>
      </w:tr>
      <w:tr w:rsidR="00A222F4" w14:paraId="4AC53F98"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05BCA5" w14:textId="2F3C308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22F3A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78885EE" w14:textId="40AF809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Showerheads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86E03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3,722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5580C5" w14:textId="3028427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39BBA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3,722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E1482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25E67EA" w14:textId="52ED492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3,201 </w:t>
            </w:r>
          </w:p>
        </w:tc>
      </w:tr>
      <w:tr w:rsidR="00A222F4" w14:paraId="64630344"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257DEB" w14:textId="64E7D0D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5C4FB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FFFD744" w14:textId="27E58C5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BOC</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F22BA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13,036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82CC91" w14:textId="4127698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117%</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EE910B" w14:textId="71FA677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53F45E5A">
              <w:rPr>
                <w:rFonts w:ascii="Arial Narrow" w:eastAsia="DejaVu Sans" w:hAnsi="DejaVu Sans" w:cs="DejaVu Sans"/>
                <w:color w:val="000000" w:themeColor="text1"/>
                <w:sz w:val="20"/>
                <w:szCs w:val="20"/>
              </w:rPr>
              <w:t>15,298</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3F3FF1" w14:textId="253F2C7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55BF8C1" w14:textId="7153172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53F45E5A">
              <w:rPr>
                <w:rFonts w:ascii="Arial Narrow" w:hAnsi="Arial Narrow" w:cs="Calibri"/>
                <w:color w:val="000000" w:themeColor="text1"/>
                <w:sz w:val="20"/>
                <w:szCs w:val="20"/>
              </w:rPr>
              <w:t xml:space="preserve"> 15,298 </w:t>
            </w:r>
          </w:p>
        </w:tc>
      </w:tr>
      <w:tr w:rsidR="00A222F4" w14:paraId="043ECCA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812AFC" w14:textId="386A3F0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5AD2E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D07F4DD" w14:textId="2C4654E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Process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499EA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169,317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5904E6" w14:textId="24B931E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1DD24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169,317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18EF1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C7DE172" w14:textId="7A96353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155,772 </w:t>
            </w:r>
          </w:p>
        </w:tc>
      </w:tr>
      <w:tr w:rsidR="00A222F4" w14:paraId="1192D969"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3CD37D" w14:textId="05FB2C5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8A598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22A961D" w14:textId="2134E81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Pipe Insulation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CDBBE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AED0A1" w14:textId="1386FD6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869B69" w14:textId="25EF513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292E94">
              <w:rPr>
                <w:rFonts w:ascii="Arial Narrow" w:eastAsia="DejaVu Sans" w:hAnsi="DejaVu Sans" w:cs="DejaVu Sans"/>
                <w:color w:val="000000"/>
                <w:sz w:val="20"/>
                <w:szCs w:val="20"/>
              </w:rPr>
              <w:t>1,045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04ECB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612FD79" w14:textId="690A80D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292E94">
              <w:rPr>
                <w:rFonts w:ascii="Arial Narrow" w:hAnsi="Arial Narrow" w:cs="Calibri"/>
                <w:color w:val="000000"/>
                <w:sz w:val="20"/>
                <w:szCs w:val="20"/>
              </w:rPr>
              <w:t xml:space="preserve">961 </w:t>
            </w:r>
            <w:r>
              <w:rPr>
                <w:rFonts w:ascii="Arial Narrow" w:hAnsi="Arial Narrow" w:cs="Calibri"/>
                <w:color w:val="000000"/>
                <w:sz w:val="20"/>
                <w:szCs w:val="20"/>
              </w:rPr>
              <w:t xml:space="preserve"> </w:t>
            </w:r>
          </w:p>
        </w:tc>
      </w:tr>
      <w:tr w:rsidR="00A222F4" w14:paraId="7CAE009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AB4B70" w14:textId="68E4E49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79EDA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34F4D28" w14:textId="05B83B4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Dry Cleaner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4FDC1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212,577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BB08B1" w14:textId="38E13E0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4939D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214,846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3C577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7B3ED93" w14:textId="4EAD3F2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197,659 </w:t>
            </w:r>
          </w:p>
        </w:tc>
      </w:tr>
      <w:tr w:rsidR="00A222F4" w14:paraId="62E3EB3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5A4334" w14:textId="68CBFA2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D0F65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27A7992" w14:textId="07C60D5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High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96AFB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816,818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E05CAC" w14:textId="4921D47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4FEDC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822,923</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60D29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39CD6A8" w14:textId="6E335EA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757,089 </w:t>
            </w:r>
          </w:p>
        </w:tc>
      </w:tr>
      <w:tr w:rsidR="00A222F4" w14:paraId="37CA20E3"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C42E8B" w14:textId="3EE51BC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3A6AD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8D8CEF6" w14:textId="53FAD5E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Medium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8882D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345,882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114DC6" w14:textId="349ED67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E1779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354,701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B529A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B6549B9" w14:textId="3B060C6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326,325 </w:t>
            </w:r>
          </w:p>
        </w:tc>
      </w:tr>
      <w:tr w:rsidR="00A222F4" w14:paraId="3C716C8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5C86C5" w14:textId="596E0E4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AB196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1A20A0A" w14:textId="58ED4FE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Garage Door Hinge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67DF1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8,305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E5B3A5" w14:textId="6C6BB35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106%</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298F5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8,766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6BF01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025927D" w14:textId="3D3D9B9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7,539 </w:t>
            </w:r>
          </w:p>
        </w:tc>
      </w:tr>
      <w:tr w:rsidR="00A222F4" w14:paraId="1A2CA717"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5D237A" w14:textId="131432B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26DC8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59FF025" w14:textId="231ECE8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Automatic Conveyor Broiler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CC9A8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5,952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50F3C7" w14:textId="655C2D1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A4DEC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5,952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02543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A49541C" w14:textId="613398C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4,762 </w:t>
            </w:r>
          </w:p>
        </w:tc>
      </w:tr>
      <w:tr w:rsidR="00A222F4" w14:paraId="575942CE"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12ECEE" w14:textId="1662BC8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183C8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00A33CD" w14:textId="6FE5A55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Combination Oven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71FB0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6,261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B897FC" w14:textId="2863720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78%</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AB60D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4,853</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AFA83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E928DDD" w14:textId="23DF8F7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3,883 </w:t>
            </w:r>
          </w:p>
        </w:tc>
      </w:tr>
      <w:tr w:rsidR="00A222F4" w14:paraId="59F3ED0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64CBDB" w14:textId="1D67F33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ED3D1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67C251C" w14:textId="580529C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Convection Oven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A874E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690</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9A3BBA" w14:textId="2ECF8E2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99%</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F23F0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684</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692ED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A5214C8" w14:textId="1C9A8C5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547 </w:t>
            </w:r>
          </w:p>
        </w:tc>
      </w:tr>
      <w:tr w:rsidR="00A222F4" w14:paraId="366434ED"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DA3F53" w14:textId="7DFBB10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BC3C0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B968A53" w14:textId="5920F7E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Conveyor Oven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45855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21,198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18554F" w14:textId="3F6AE26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98%</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8D8C3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20,740</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4915F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03B84D8" w14:textId="2CBA36E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16,592 </w:t>
            </w:r>
          </w:p>
        </w:tc>
      </w:tr>
      <w:tr w:rsidR="00A222F4" w14:paraId="1FBD642D"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4F35A6" w14:textId="312AED7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C9FB1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029A408" w14:textId="60D4659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Fryer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86BB2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87,916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C5639D" w14:textId="58F29D7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107%</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8B3F3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94,065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05489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419E043" w14:textId="4092F86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75,252 </w:t>
            </w:r>
          </w:p>
        </w:tc>
      </w:tr>
      <w:tr w:rsidR="00A222F4" w14:paraId="2F290694"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B8D350" w14:textId="55B2835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8F6A0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1E75538" w14:textId="4F4A1C8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Griddle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BD236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7,851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031880" w14:textId="395F509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109%</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CFE5A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8,589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AA1AF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EF24409" w14:textId="644B2BA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6,871 </w:t>
            </w:r>
          </w:p>
        </w:tc>
      </w:tr>
      <w:tr w:rsidR="00A222F4" w14:paraId="7256FD94"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EE389A" w14:textId="12B8BAD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FE47C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A62E7D1" w14:textId="6936777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Infrared Salamander Broiler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63F5E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DC47A7" w14:textId="6776CC3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B58AC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99446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3983C88" w14:textId="5A311CB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384 </w:t>
            </w:r>
          </w:p>
        </w:tc>
      </w:tr>
      <w:tr w:rsidR="00A222F4" w14:paraId="07282F02"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4AFE3F" w14:textId="57C67B5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08648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3E5756D" w14:textId="6991B7B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Kitchen Demand Ventilation Controls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D6879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9,288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1CF0D9" w14:textId="5F51CD9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965%</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50566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89,629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0F6F4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C1B1CAF" w14:textId="1EA0942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71,703 </w:t>
            </w:r>
          </w:p>
        </w:tc>
      </w:tr>
      <w:tr w:rsidR="00A222F4" w14:paraId="6335CB0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A01381" w14:textId="67A64E3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19030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05B7C6E" w14:textId="1641DD1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Pasta Cooker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C145A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98F7C6" w14:textId="0CB6B25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6628F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3D805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459C70B" w14:textId="1A20699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1,104 </w:t>
            </w:r>
          </w:p>
        </w:tc>
      </w:tr>
      <w:tr w:rsidR="00A222F4" w14:paraId="5E586A4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BBE507" w14:textId="061FED2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4E0A9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D7D8784" w14:textId="77CCA87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Rack Oven - Double Oven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C4ADD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1,986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4DF79B" w14:textId="7422E37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20E1B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2,185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80967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A2D13AB" w14:textId="5470FAF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1,748 </w:t>
            </w:r>
          </w:p>
        </w:tc>
      </w:tr>
      <w:tr w:rsidR="00A222F4" w14:paraId="7220757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F0FF02" w14:textId="2FD9F63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73967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526CEC2" w14:textId="016855B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Rotisserie Oven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D6955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2CBCB2" w14:textId="3735ED3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4FBD1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15558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B428620" w14:textId="03AB565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659 </w:t>
            </w:r>
          </w:p>
        </w:tc>
      </w:tr>
      <w:tr w:rsidR="00A222F4" w14:paraId="48F2E43A"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47D343" w14:textId="596621B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809A9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37DFF77" w14:textId="1AAC4D6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Process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BE6D5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46,466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759F23" w14:textId="63CAF21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66D73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51,366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5AEFC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476499E" w14:textId="6D3912D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44,175 </w:t>
            </w:r>
          </w:p>
        </w:tc>
      </w:tr>
      <w:tr w:rsidR="00A222F4" w14:paraId="742BC63A"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2A56E5" w14:textId="7A9E187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54502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34C9875" w14:textId="5F233E8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Space Heating</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1857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50,809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E8F7B9" w14:textId="7FAD095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74637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50,809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190F1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9D825B7" w14:textId="28B20F9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43,696 </w:t>
            </w:r>
          </w:p>
        </w:tc>
      </w:tr>
      <w:tr w:rsidR="00A222F4" w14:paraId="39609C9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609CE0" w14:textId="50BB5A7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6F165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DED6B84" w14:textId="662327B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Combination Oven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42A4F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2,019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C01F1B" w14:textId="60E05DE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96%</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76143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1,946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F17D4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4AE2F7C" w14:textId="610E2CD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1,673 </w:t>
            </w:r>
          </w:p>
        </w:tc>
      </w:tr>
      <w:tr w:rsidR="00A222F4" w14:paraId="6954B449"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630519" w14:textId="02CA3ED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C7602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9EC2D62" w14:textId="6DB73EB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Compressed Air Heat Recovery</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95F2D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48,361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925E8D" w14:textId="461700A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421A7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48,361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FE3FD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840CF11" w14:textId="181A793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41,590 </w:t>
            </w:r>
          </w:p>
        </w:tc>
      </w:tr>
      <w:tr w:rsidR="00A222F4" w14:paraId="19B23951"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95511F" w14:textId="0AD3263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56151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A7A2139" w14:textId="29EEDFC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Fryer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595AC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26,722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FD552C" w14:textId="36D0C33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116%</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B945A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30,936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B1511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AF2A50A" w14:textId="76B3837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26,605 </w:t>
            </w:r>
          </w:p>
        </w:tc>
      </w:tr>
      <w:tr w:rsidR="00A222F4" w14:paraId="72641AF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4D933E" w14:textId="5700BB3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16A1E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C99230F" w14:textId="4C0ADC2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Grain Dryer Tune-Up</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E2C95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39,906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522494" w14:textId="691AA2D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52412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39,906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99FA3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475B316" w14:textId="773A5BE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34,319 </w:t>
            </w:r>
          </w:p>
        </w:tc>
      </w:tr>
      <w:tr w:rsidR="00A222F4" w14:paraId="6898B3A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6C97D6" w14:textId="3A4532B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098F2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5BE61C6" w14:textId="57ABE93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Griddle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B9AE7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66D449" w14:textId="586BDD1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227%</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EAD22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1,481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8E0A8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E031DBD" w14:textId="44EF328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1,274 </w:t>
            </w:r>
          </w:p>
        </w:tc>
      </w:tr>
      <w:tr w:rsidR="00A222F4" w14:paraId="7F33DE39"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2FE468" w14:textId="67050D4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5A371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051F3F9" w14:textId="791E5C7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Boiler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0973F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17,296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B3BDA0" w14:textId="3DB6C26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131%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7E819C" w14:textId="452D8F2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C3B24">
              <w:rPr>
                <w:rFonts w:ascii="Arial Narrow" w:eastAsia="DejaVu Sans" w:hAnsi="DejaVu Sans" w:cs="DejaVu Sans"/>
                <w:color w:val="000000"/>
                <w:sz w:val="20"/>
                <w:szCs w:val="20"/>
              </w:rPr>
              <w:t>22,696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3F196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85710FF" w14:textId="7FD9C41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w:t>
            </w:r>
            <w:r w:rsidRPr="007C3B24">
              <w:rPr>
                <w:rFonts w:ascii="Arial Narrow" w:hAnsi="Arial Narrow" w:cs="Calibri"/>
                <w:color w:val="000000"/>
                <w:sz w:val="20"/>
                <w:szCs w:val="20"/>
              </w:rPr>
              <w:t xml:space="preserve">19,519 </w:t>
            </w:r>
            <w:r>
              <w:rPr>
                <w:rFonts w:ascii="Arial Narrow" w:hAnsi="Arial Narrow" w:cs="Calibri"/>
                <w:color w:val="000000"/>
                <w:sz w:val="20"/>
                <w:szCs w:val="20"/>
              </w:rPr>
              <w:t xml:space="preserve"> </w:t>
            </w:r>
          </w:p>
        </w:tc>
      </w:tr>
      <w:tr w:rsidR="00A222F4" w14:paraId="6298054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E13DE0" w14:textId="3E81E3D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0F75F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E666B61" w14:textId="1CCDFC4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Furnace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32467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8,998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C76350" w14:textId="43EC0F2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102%</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399A20" w14:textId="512D3E2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377DE">
              <w:rPr>
                <w:rFonts w:ascii="Arial Narrow" w:eastAsia="DejaVu Sans" w:hAnsi="DejaVu Sans" w:cs="DejaVu Sans"/>
                <w:color w:val="000000"/>
                <w:sz w:val="20"/>
                <w:szCs w:val="20"/>
              </w:rPr>
              <w:t>9,212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DAA1F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3933D01" w14:textId="4FB5E8A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w:t>
            </w:r>
            <w:r w:rsidRPr="003377DE">
              <w:rPr>
                <w:rFonts w:ascii="Arial Narrow" w:hAnsi="Arial Narrow" w:cs="Calibri"/>
                <w:color w:val="000000"/>
                <w:sz w:val="20"/>
                <w:szCs w:val="20"/>
              </w:rPr>
              <w:t xml:space="preserve">7,922 </w:t>
            </w:r>
            <w:r w:rsidRPr="0073569C">
              <w:rPr>
                <w:rFonts w:ascii="Arial Narrow" w:hAnsi="Arial Narrow" w:cs="Calibri"/>
                <w:color w:val="000000"/>
                <w:sz w:val="20"/>
                <w:szCs w:val="20"/>
              </w:rPr>
              <w:t xml:space="preserve"> </w:t>
            </w:r>
            <w:r>
              <w:rPr>
                <w:rFonts w:ascii="Arial Narrow" w:hAnsi="Arial Narrow" w:cs="Calibri"/>
                <w:color w:val="000000"/>
                <w:sz w:val="20"/>
                <w:szCs w:val="20"/>
              </w:rPr>
              <w:t xml:space="preserve"> </w:t>
            </w:r>
          </w:p>
        </w:tc>
      </w:tr>
      <w:tr w:rsidR="00A222F4" w14:paraId="74C68F4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109F82" w14:textId="59FF60A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C4291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0B4A426" w14:textId="2553E85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 xml:space="preserve">Infrared </w:t>
            </w:r>
            <w:proofErr w:type="spellStart"/>
            <w:r>
              <w:rPr>
                <w:rFonts w:ascii="Arial Narrow" w:hAnsi="Arial Narrow" w:cs="Calibri"/>
                <w:color w:val="000000"/>
                <w:sz w:val="20"/>
                <w:szCs w:val="20"/>
              </w:rPr>
              <w:t>Charbroiler</w:t>
            </w:r>
            <w:proofErr w:type="spellEnd"/>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0A04B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2,827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64DD0C" w14:textId="2A06F5C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0B7C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2,827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1628E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202E98C" w14:textId="5431F02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2,431 </w:t>
            </w:r>
          </w:p>
        </w:tc>
      </w:tr>
      <w:tr w:rsidR="00A222F4" w14:paraId="44C15D2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737488" w14:textId="56ADDF1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4A41D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FB9BEAB" w14:textId="1F0616F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Ozone Laundry</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D44C8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18,854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89EAC1" w14:textId="1505691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99%</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FFE20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18,606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8F004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43BCA01" w14:textId="6A239AA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16,001 </w:t>
            </w:r>
          </w:p>
        </w:tc>
      </w:tr>
      <w:tr w:rsidR="00A222F4" w14:paraId="65BF989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209F3A" w14:textId="1EBAC8B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89550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520096E" w14:textId="47AB0F9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Pipe Insulation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168C6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4,412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1594FA" w14:textId="2D24355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0105D2" w14:textId="1975F63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A3335">
              <w:rPr>
                <w:rFonts w:ascii="Arial Narrow" w:eastAsia="DejaVu Sans" w:hAnsi="DejaVu Sans" w:cs="DejaVu Sans"/>
                <w:color w:val="000000"/>
                <w:sz w:val="20"/>
                <w:szCs w:val="20"/>
              </w:rPr>
              <w:t>4,412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4942A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89BA2C1" w14:textId="5D741CE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906E4">
              <w:rPr>
                <w:rFonts w:ascii="Arial Narrow" w:hAnsi="Arial Narrow" w:cs="Calibri"/>
                <w:color w:val="000000"/>
                <w:sz w:val="20"/>
                <w:szCs w:val="20"/>
              </w:rPr>
              <w:t xml:space="preserve">3,794 </w:t>
            </w:r>
            <w:r>
              <w:rPr>
                <w:rFonts w:ascii="Arial Narrow" w:hAnsi="Arial Narrow" w:cs="Calibri"/>
                <w:color w:val="000000"/>
                <w:sz w:val="20"/>
                <w:szCs w:val="20"/>
              </w:rPr>
              <w:t xml:space="preserve"> </w:t>
            </w:r>
          </w:p>
        </w:tc>
      </w:tr>
      <w:tr w:rsidR="00A222F4" w14:paraId="5CFBDC1E"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4E71FE" w14:textId="74C44AE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77BE2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A0EB5BF" w14:textId="0882E1B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Pre-Rinse Spray Valves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5F155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C3545E" w14:textId="13A098F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92%</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889436" w14:textId="0B28D8C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438</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AA8B0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871489F" w14:textId="3996E27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377 </w:t>
            </w:r>
          </w:p>
        </w:tc>
      </w:tr>
      <w:tr w:rsidR="00A222F4" w14:paraId="53C1E33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385B5E" w14:textId="0EA5885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15F14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DC7D888" w14:textId="201AD22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Small Commercial Thermostat</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CA896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0751B8" w14:textId="48AA422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D6FD5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C222B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7925489" w14:textId="5CE59F9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373 </w:t>
            </w:r>
          </w:p>
        </w:tc>
      </w:tr>
      <w:tr w:rsidR="00A222F4" w14:paraId="19988444"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36677B" w14:textId="3C7DC46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2CC3D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2679B40" w14:textId="3FFBCD8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Commercial</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BBB96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C52F8A" w14:textId="5D06B51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106%</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BD89B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59F1D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99EBBD4" w14:textId="7900EFA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139 </w:t>
            </w:r>
          </w:p>
        </w:tc>
      </w:tr>
      <w:tr w:rsidR="00A222F4" w14:paraId="5FF4A648"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16ECCA" w14:textId="4D79FFF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86AAD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7678C42" w14:textId="3A08547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Dry Cleaner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7CA8B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82,199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61BEDD" w14:textId="03A63E5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E3EF3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83,076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5CDD0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83AB9BF" w14:textId="71D9BF7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71,445 </w:t>
            </w:r>
          </w:p>
        </w:tc>
      </w:tr>
      <w:tr w:rsidR="00A222F4" w14:paraId="0878841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9C0673" w14:textId="7988E2B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B0520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ED6B4EF" w14:textId="6C9E0BD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High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E8249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418,189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D19B8A" w14:textId="201AB5E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48C45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421,297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A0205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68CF3FA" w14:textId="22C0C09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362,315 </w:t>
            </w:r>
          </w:p>
        </w:tc>
      </w:tr>
      <w:tr w:rsidR="00A222F4" w14:paraId="109FFC73"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70C1D3" w14:textId="38183C6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C8701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F718B5C" w14:textId="0638F51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Medium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FC41E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93,509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783F82" w14:textId="28C9770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29584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96,036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2CBE5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A40BD04" w14:textId="3990DCD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82,591 </w:t>
            </w:r>
          </w:p>
        </w:tc>
      </w:tr>
      <w:tr w:rsidR="00A222F4" w14:paraId="29466B4C"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A491E1" w14:textId="7556FDB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7D573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auto"/>
            <w:tcMar>
              <w:top w:w="0" w:type="dxa"/>
              <w:left w:w="0" w:type="dxa"/>
              <w:bottom w:w="0" w:type="dxa"/>
              <w:right w:w="0" w:type="dxa"/>
            </w:tcMar>
            <w:vAlign w:val="center"/>
          </w:tcPr>
          <w:p w14:paraId="5448091B" w14:textId="521E95C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Water Heater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92273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779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F6B9EE" w14:textId="285C0FF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229%</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47903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75578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E73530F" w14:textId="0444E60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1,537 </w:t>
            </w:r>
          </w:p>
        </w:tc>
      </w:tr>
      <w:tr w:rsidR="007D01F9" w:rsidRPr="00A222F4" w14:paraId="4D5A576A" w14:textId="77777777" w:rsidTr="00E66954">
        <w:trPr>
          <w:jc w:val="center"/>
        </w:trPr>
        <w:tc>
          <w:tcPr>
            <w:tcW w:w="333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8DF616" w14:textId="565822B3"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Private, Non-DAC Subtotal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4BBC71F" w14:textId="7A64856C"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D2AD2F"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2,580,906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4A8B09" w14:textId="4593DB13" w:rsidR="0099450A" w:rsidRPr="00A222F4" w:rsidRDefault="00A222F4"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105%</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C4C37F" w14:textId="70530E00" w:rsidR="0099450A" w:rsidRPr="00A222F4" w:rsidRDefault="00457E49"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2,709,104</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8CA6D7"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2D8419F" w14:textId="50B00231" w:rsidR="0099450A" w:rsidRPr="00A222F4" w:rsidRDefault="00457E49"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xml:space="preserve">2,412,002 </w:t>
            </w:r>
            <w:r w:rsidR="0099450A" w:rsidRPr="00A222F4">
              <w:rPr>
                <w:rFonts w:ascii="Arial Narrow" w:hAnsi="Arial Narrow" w:cs="Calibri"/>
                <w:b/>
                <w:bCs/>
                <w:i/>
                <w:iCs/>
                <w:color w:val="000000"/>
                <w:sz w:val="20"/>
                <w:szCs w:val="20"/>
              </w:rPr>
              <w:t xml:space="preserve">  </w:t>
            </w:r>
          </w:p>
        </w:tc>
      </w:tr>
      <w:tr w:rsidR="00A222F4" w14:paraId="020F37C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D86882" w14:textId="74AB5FA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2E056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D4336C6" w14:textId="7D5F7EC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Bath</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9914D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C207FA" w14:textId="73E238B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B8C34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297E1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CCEBC00" w14:textId="766E714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135 </w:t>
            </w:r>
          </w:p>
        </w:tc>
      </w:tr>
      <w:tr w:rsidR="00A222F4" w14:paraId="5CDD0F2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DA7BDF" w14:textId="1BED076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CED98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8E73DB6" w14:textId="538FDD4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Showerheads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37542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A2FD69" w14:textId="5269B4C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E057F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9ABE9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B295CE1" w14:textId="63EF6F2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997 </w:t>
            </w:r>
          </w:p>
        </w:tc>
      </w:tr>
      <w:tr w:rsidR="00A222F4" w14:paraId="0DFCEB81"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9C6A0C" w14:textId="04D8EE7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9D1E6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CEB943D" w14:textId="5128DB2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Process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A2D20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42,382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606FFE" w14:textId="766DD27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138%</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B5637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58,551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B6111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E43E6DF" w14:textId="0A47A51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58,551 </w:t>
            </w:r>
          </w:p>
        </w:tc>
      </w:tr>
      <w:tr w:rsidR="00A222F4" w14:paraId="06E8E77C"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E37C52" w14:textId="24903F7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25221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186F114" w14:textId="276CA31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Dry Cleaner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DB3D0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80,377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C1B25A" w14:textId="1E50AE0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E4067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81,235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D9DF3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F4D6357" w14:textId="487C816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81,235 </w:t>
            </w:r>
          </w:p>
        </w:tc>
      </w:tr>
      <w:tr w:rsidR="00A222F4" w14:paraId="522D091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0542A9" w14:textId="04FA393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DB133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031362D" w14:textId="0DB9721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High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F839C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5,507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CD9AE7" w14:textId="2658922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BC637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5,557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0940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B568B5B" w14:textId="4A76D3C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5,557 </w:t>
            </w:r>
          </w:p>
        </w:tc>
      </w:tr>
      <w:tr w:rsidR="00A222F4" w14:paraId="092ED57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C26178" w14:textId="53BFFAA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21EF3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EBB906A" w14:textId="1E5B845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Medium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A0107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4,630</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A49CE5" w14:textId="1D90FB5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104%</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23B3B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4,812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B33C7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20F1F41" w14:textId="5B585E6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4,812 </w:t>
            </w:r>
          </w:p>
        </w:tc>
      </w:tr>
      <w:tr w:rsidR="00A222F4" w14:paraId="2E7AB9DC"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BECE7A" w14:textId="501A345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03FF4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5E0F5AE" w14:textId="37F02A1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Garage Door Hinge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3DDFA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BA5339" w14:textId="68B358B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17A31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D7E2E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8A6B500" w14:textId="3108E94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1,715 </w:t>
            </w:r>
          </w:p>
        </w:tc>
      </w:tr>
      <w:tr w:rsidR="00A222F4" w14:paraId="497BE45E"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390650" w14:textId="78D2094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B3F94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081D432" w14:textId="138A6D5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Fryer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B63CD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3,095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4899D5" w14:textId="2CF6DF6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42742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3,435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6E7B5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6878EBD" w14:textId="5115DC0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3,435 </w:t>
            </w:r>
          </w:p>
        </w:tc>
      </w:tr>
      <w:tr w:rsidR="00A222F4" w14:paraId="6D103C21"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F4BFCB" w14:textId="6FE2527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6E99D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0E82C30" w14:textId="4091B86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Furnace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F3FE9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2,675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7A8F78" w14:textId="38F65DB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DEB34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2,689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91807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08A84AA" w14:textId="1714D34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2,689 </w:t>
            </w:r>
          </w:p>
        </w:tc>
      </w:tr>
      <w:tr w:rsidR="00A222F4" w14:paraId="557DEA65"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DFBE0B" w14:textId="1E5B594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8A6FC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733040B" w14:textId="315B8BA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Ozone Laundry</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2EED2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37,411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4D55ED" w14:textId="66F6500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E62DA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37,411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714CB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8CB9774" w14:textId="06B3B95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37,411 </w:t>
            </w:r>
          </w:p>
        </w:tc>
      </w:tr>
      <w:tr w:rsidR="00A222F4" w14:paraId="7C3E2310"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9619CE" w14:textId="0A6DC4B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68CA0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48F7E11" w14:textId="200854E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Commercial</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E40E0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17,249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FB9ADB" w14:textId="7A57AD0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106%</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709BC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18,259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13E69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2DB2599" w14:textId="2FDDD17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18,259 </w:t>
            </w:r>
          </w:p>
        </w:tc>
      </w:tr>
      <w:tr w:rsidR="00A222F4" w14:paraId="4BC829F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D41DC3" w14:textId="5D40104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86B2E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88D5879" w14:textId="7AAE5C0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Dry Cleaner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87BEB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47,516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AD8658" w14:textId="5F627BB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07B97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48,023</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628F0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5196F1A" w14:textId="29DBA9D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48,023 </w:t>
            </w:r>
          </w:p>
        </w:tc>
      </w:tr>
      <w:tr w:rsidR="00A222F4" w14:paraId="4AAA38F9"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FEA353" w14:textId="6BD17F1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CC82A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23073E5" w14:textId="0E0DCCF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High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DB150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119,400</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C25255" w14:textId="7645521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DD67D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120,346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E5583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609A275" w14:textId="614910A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120,346 </w:t>
            </w:r>
          </w:p>
        </w:tc>
      </w:tr>
      <w:tr w:rsidR="00A222F4" w14:paraId="4617B5B7"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587375" w14:textId="39D1EF4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5248E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0511F03" w14:textId="427CF7C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Medium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1F8F8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12,325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D30FC8" w14:textId="7B3502D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102%</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11334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12,554</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E96A3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70BADCE" w14:textId="4F24479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12,554 </w:t>
            </w:r>
          </w:p>
        </w:tc>
      </w:tr>
      <w:tr w:rsidR="007D01F9" w:rsidRPr="00A222F4" w14:paraId="0DC2AC0F" w14:textId="77777777" w:rsidTr="00E66954">
        <w:trPr>
          <w:jc w:val="center"/>
        </w:trPr>
        <w:tc>
          <w:tcPr>
            <w:tcW w:w="333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429C1E" w14:textId="0AB854DC"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lastRenderedPageBreak/>
              <w:t>Private, DAC Subtotal</w:t>
            </w:r>
          </w:p>
        </w:tc>
        <w:tc>
          <w:tcPr>
            <w:tcW w:w="1890" w:type="dxa"/>
            <w:tcBorders>
              <w:top w:val="nil"/>
              <w:left w:val="nil"/>
              <w:bottom w:val="single" w:sz="8" w:space="0" w:color="B3EFFD" w:themeColor="accent3" w:themeTint="33"/>
              <w:right w:val="nil"/>
            </w:tcBorders>
            <w:shd w:val="clear" w:color="auto" w:fill="auto"/>
            <w:tcMar>
              <w:top w:w="0" w:type="dxa"/>
              <w:left w:w="0" w:type="dxa"/>
              <w:bottom w:w="0" w:type="dxa"/>
              <w:right w:w="0" w:type="dxa"/>
            </w:tcMar>
            <w:vAlign w:val="center"/>
          </w:tcPr>
          <w:p w14:paraId="0D83806D" w14:textId="4F3A2AD0"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E2942B"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375,414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5ADC6E" w14:textId="2D21BE5A" w:rsidR="0099450A" w:rsidRPr="00A222F4" w:rsidRDefault="00A222F4"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105%</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C76B9B"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395,718</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781F0E"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B10C782" w14:textId="394B6E82"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xml:space="preserve"> 395,718 </w:t>
            </w:r>
          </w:p>
        </w:tc>
      </w:tr>
      <w:tr w:rsidR="00A222F4" w14:paraId="4D791509"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4F6929" w14:textId="0ACA9CB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81F5B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1C67CFD" w14:textId="05895D2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Bath</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B5DA8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1,470</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8DB7DF" w14:textId="01B7CA5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D3DAB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1,470</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7BD17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CE7A386" w14:textId="453DE30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1,264 </w:t>
            </w:r>
          </w:p>
        </w:tc>
      </w:tr>
      <w:tr w:rsidR="00A222F4" w14:paraId="637EECD9"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28CD71" w14:textId="774ADB6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5E335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73B5E1A" w14:textId="01C6A69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Kitchen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95DDB8" w14:textId="2E93774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67A040" w14:textId="6BF6F98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7BB13C" w14:textId="643E016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4B198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BC87009" w14:textId="2F71FE8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46 </w:t>
            </w:r>
          </w:p>
        </w:tc>
      </w:tr>
      <w:tr w:rsidR="00A222F4" w14:paraId="1776C5A5"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512A09" w14:textId="7DAE36F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C64FA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7795A87" w14:textId="3CF19C0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Pre-Rinse Spray Valves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92BFC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D38A0F" w14:textId="4D65B70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6442B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5FEAC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1F5381E" w14:textId="42387D9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408 </w:t>
            </w:r>
          </w:p>
        </w:tc>
      </w:tr>
      <w:tr w:rsidR="00A222F4" w14:paraId="76FE382A"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891040" w14:textId="38370C2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4141C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0C15BF2" w14:textId="1BFBF36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Showerheads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F14AE0" w14:textId="7E62332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D245DE" w14:textId="6C1D2F6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CF5553" w14:textId="0B407BD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093EC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0E40770" w14:textId="3805220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65 </w:t>
            </w:r>
          </w:p>
        </w:tc>
      </w:tr>
      <w:tr w:rsidR="00A222F4" w14:paraId="6C93BD65"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BD936E" w14:textId="14C4BDD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CD934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552FB67" w14:textId="2BB61AC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BOC</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83834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14,116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4FDAA4" w14:textId="0CB7CE4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89%</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83809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12,537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EA32B2" w14:textId="4454BC2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3F72D5A" w14:textId="7A5C77E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12,537 </w:t>
            </w:r>
          </w:p>
        </w:tc>
      </w:tr>
      <w:tr w:rsidR="00A222F4" w14:paraId="4356B5D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D5B483" w14:textId="632628F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7B0A4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6ABA9A5" w14:textId="042EF68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High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98067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11,015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3DEAD1" w14:textId="4F96EB8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65FBA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11,114</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73806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D0BA8C6" w14:textId="5B3B6F2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10,225 </w:t>
            </w:r>
          </w:p>
        </w:tc>
      </w:tr>
      <w:tr w:rsidR="00A222F4" w14:paraId="61CBCE2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8B6B32" w14:textId="4190D23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9C58C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0E8C616" w14:textId="18B45A8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Medium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0435D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6,173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92A957" w14:textId="3F8761E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104%</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772A7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6,415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A542D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0.92</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DD364B8" w14:textId="217B4B1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5,902 </w:t>
            </w:r>
          </w:p>
        </w:tc>
      </w:tr>
      <w:tr w:rsidR="00A222F4" w14:paraId="744182BD"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B1340A" w14:textId="7B21552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265D7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3F6C530" w14:textId="5A01E3C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Garage Door Hinge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F7BD8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2F681F" w14:textId="451DC7D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181%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BA32F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2,412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4144E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C9AA891" w14:textId="7C838CC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2,075 </w:t>
            </w:r>
          </w:p>
        </w:tc>
      </w:tr>
      <w:tr w:rsidR="00A222F4" w14:paraId="0228F2A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41721E" w14:textId="4F04E1D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C39A4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6C99F50" w14:textId="158D2BD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Chemical Descaling</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F183C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2,982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5A0ABD" w14:textId="7DD41C8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63%</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5AE88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1,876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96497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DC4CE3D" w14:textId="51DA2A8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1,613 </w:t>
            </w:r>
          </w:p>
        </w:tc>
      </w:tr>
      <w:tr w:rsidR="00A222F4" w14:paraId="28055ED4"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F180C6" w14:textId="7C14FDC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E62E2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B62D0C8" w14:textId="63D8381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Process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F08410" w14:textId="27EBD7C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0739F2" w14:textId="306807D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46D47B" w14:textId="09DE9B7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5224C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7245608" w14:textId="44D280A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71 </w:t>
            </w:r>
          </w:p>
        </w:tc>
      </w:tr>
      <w:tr w:rsidR="00A222F4" w14:paraId="03A427B1"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13B066" w14:textId="6DADF73F"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631A8A"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D7D8464" w14:textId="78ED9C4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Space Heating</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4CE0A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325,813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52FE92" w14:textId="5FCA5CE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FCFEB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325,813</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C42D2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29BF21E" w14:textId="49523A1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280,200 </w:t>
            </w:r>
          </w:p>
        </w:tc>
      </w:tr>
      <w:tr w:rsidR="00A222F4" w14:paraId="7A1D3135"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936D05" w14:textId="51758A7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CA29B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59921DE" w14:textId="4E9157A3"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Boiler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B510B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161,727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4E6EB5" w14:textId="6E2FF66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139%</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F9DAC4" w14:textId="3C4CCEA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84540">
              <w:rPr>
                <w:rFonts w:ascii="Arial Narrow" w:eastAsia="DejaVu Sans" w:hAnsi="DejaVu Sans" w:cs="DejaVu Sans"/>
                <w:color w:val="000000"/>
                <w:sz w:val="20"/>
                <w:szCs w:val="20"/>
              </w:rPr>
              <w:t>224,866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4A4FD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DA69132" w14:textId="69A0B86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w:t>
            </w:r>
            <w:r w:rsidRPr="00860AD5">
              <w:rPr>
                <w:rFonts w:ascii="Arial Narrow" w:hAnsi="Arial Narrow" w:cs="Calibri"/>
                <w:color w:val="000000"/>
                <w:sz w:val="20"/>
                <w:szCs w:val="20"/>
              </w:rPr>
              <w:t xml:space="preserve">193,385 </w:t>
            </w:r>
            <w:r>
              <w:rPr>
                <w:rFonts w:ascii="Arial Narrow" w:hAnsi="Arial Narrow" w:cs="Calibri"/>
                <w:color w:val="000000"/>
                <w:sz w:val="20"/>
                <w:szCs w:val="20"/>
              </w:rPr>
              <w:t xml:space="preserve"> </w:t>
            </w:r>
          </w:p>
        </w:tc>
      </w:tr>
      <w:tr w:rsidR="00A222F4" w14:paraId="3FEE23FA"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F5BCCF" w14:textId="36D4BC6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59231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FEBE150" w14:textId="38DBEE3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Furnace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2FAD4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9,817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184AE7" w14:textId="7A70F43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FE30EC" w14:textId="65A02A3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860AD5">
              <w:rPr>
                <w:rFonts w:ascii="Arial Narrow" w:eastAsia="DejaVu Sans" w:hAnsi="DejaVu Sans" w:cs="DejaVu Sans"/>
                <w:color w:val="000000"/>
                <w:sz w:val="20"/>
                <w:szCs w:val="20"/>
              </w:rPr>
              <w:t>9,817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A79FA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FB3CDE2" w14:textId="4C80313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811EE6">
              <w:rPr>
                <w:rFonts w:ascii="Arial Narrow" w:hAnsi="Arial Narrow" w:cs="Calibri"/>
                <w:color w:val="000000"/>
                <w:sz w:val="20"/>
                <w:szCs w:val="20"/>
              </w:rPr>
              <w:t xml:space="preserve">8,443 </w:t>
            </w:r>
            <w:r>
              <w:rPr>
                <w:rFonts w:ascii="Arial Narrow" w:hAnsi="Arial Narrow" w:cs="Calibri"/>
                <w:color w:val="000000"/>
                <w:sz w:val="20"/>
                <w:szCs w:val="20"/>
              </w:rPr>
              <w:t xml:space="preserve"> </w:t>
            </w:r>
          </w:p>
        </w:tc>
      </w:tr>
      <w:tr w:rsidR="00A222F4" w14:paraId="3A33DE3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E71599" w14:textId="113CBAA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34580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B69AF9D" w14:textId="684DAFC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Pipe Insulation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83094F" w14:textId="4CE329D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08C50F" w14:textId="2DB3014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7CB47A" w14:textId="4643BE2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24A46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E4723C3" w14:textId="119FC88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42 </w:t>
            </w:r>
          </w:p>
        </w:tc>
      </w:tr>
      <w:tr w:rsidR="00A222F4" w14:paraId="680F2858"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E08685" w14:textId="704CF0F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95926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2F3CB0F" w14:textId="075E622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Commercial</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C1E6D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1,593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C1078A" w14:textId="56A1842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106%</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4B1FA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09764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51314BC" w14:textId="5DFC72D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1,450 </w:t>
            </w:r>
          </w:p>
        </w:tc>
      </w:tr>
      <w:tr w:rsidR="00A222F4" w14:paraId="6EC5B62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8B9837" w14:textId="71620B9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5B48D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D8DCAED" w14:textId="4AE856B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High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AEB7D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75,906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CFB9D4" w14:textId="03E232A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18C41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76,439</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28A56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513AC4C" w14:textId="68A0349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65,737 </w:t>
            </w:r>
          </w:p>
        </w:tc>
      </w:tr>
      <w:tr w:rsidR="00A222F4" w14:paraId="0593CA2F"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E9C824" w14:textId="7375BE0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AFDC2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625CA49" w14:textId="4E53C7E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Steam Trap, Industrial Medium Pressure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CDF8BB"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30,154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CC1033" w14:textId="4FAB8AB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964E8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31,086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4EFD9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968D3D8" w14:textId="0B18F28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26,734 </w:t>
            </w:r>
          </w:p>
        </w:tc>
      </w:tr>
      <w:tr w:rsidR="00A222F4" w14:paraId="7C53F34C"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C00FD8" w14:textId="1350BFF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Non-DAC</w:t>
            </w:r>
            <w:proofErr w:type="gramEnd"/>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2C8FBD"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59192923" w14:textId="7F28DAC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Water Heater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4C0187" w14:textId="5133038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E35B67" w14:textId="2FBADC9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128%</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36639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96BA2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0.86</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499D381" w14:textId="7923CB7C"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87 </w:t>
            </w:r>
          </w:p>
        </w:tc>
      </w:tr>
      <w:tr w:rsidR="007D01F9" w:rsidRPr="00A222F4" w14:paraId="7377DA39" w14:textId="77777777" w:rsidTr="00E66954">
        <w:trPr>
          <w:jc w:val="center"/>
        </w:trPr>
        <w:tc>
          <w:tcPr>
            <w:tcW w:w="333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5E9E16" w14:textId="33274E5B"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Public, Non-DAC Subtotal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4B3EB4B" w14:textId="5D5F14A2"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5688F8"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642,914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D15B26"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1.10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A29E78" w14:textId="6CECA50E"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706,367</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A61704"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15E232A" w14:textId="4D84EC04"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xml:space="preserve"> 610,283  </w:t>
            </w:r>
          </w:p>
        </w:tc>
      </w:tr>
      <w:tr w:rsidR="00A222F4" w14:paraId="241149AA"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FB9FFC" w14:textId="3970ECD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357A4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4EEE6FC6" w14:textId="23A7782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Bath</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42DBC4" w14:textId="62BF90B2"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F5CA11" w14:textId="005B58E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55BC2D" w14:textId="2665F44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20E78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94FC3A5" w14:textId="213194D5"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81 </w:t>
            </w:r>
          </w:p>
        </w:tc>
      </w:tr>
      <w:tr w:rsidR="00A222F4" w14:paraId="06352C7A"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43C57D" w14:textId="0697E8C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FC383C"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FCF1AE3" w14:textId="6ABA0A58"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Faucet Aerator - Kitchen</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472B83" w14:textId="370BC78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5D3182" w14:textId="3AE3906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4117CE" w14:textId="71E8221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3AE99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03C5928" w14:textId="3183AC2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8 </w:t>
            </w:r>
          </w:p>
        </w:tc>
      </w:tr>
      <w:tr w:rsidR="00A222F4" w14:paraId="6737F325"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F7E8BC" w14:textId="0E1C1A0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A858C8"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AD579D5" w14:textId="7E2BD46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Process</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AFA29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2,162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FCE0D0" w14:textId="7806D959"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177%</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499A60"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3,836</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B436CF"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6D0801BF" w14:textId="34A5DF7D"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3,836 </w:t>
            </w:r>
          </w:p>
        </w:tc>
      </w:tr>
      <w:tr w:rsidR="00A222F4" w14:paraId="047E3816"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77CEE5" w14:textId="6F2F8E8A"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491C1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22C96B0" w14:textId="7280EFC6"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Boiler Tune Up, Space Heating</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9D99F4"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11,928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281271" w14:textId="0D14EF1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5822A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11,928</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3599C9"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1CC31EB8" w14:textId="4FE91F50"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11,928 </w:t>
            </w:r>
          </w:p>
        </w:tc>
      </w:tr>
      <w:tr w:rsidR="00A222F4" w14:paraId="53F6E025"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3A6327" w14:textId="2861C8F1"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FAD417"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03155052" w14:textId="577B762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Boiler</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B71102"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57,205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1474EA" w14:textId="4DF249CB"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141%</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D5F0C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80,382</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83C05E"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7DFFA8AD" w14:textId="1F3B953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80,382 </w:t>
            </w:r>
          </w:p>
        </w:tc>
      </w:tr>
      <w:tr w:rsidR="00A222F4" w14:paraId="3444530B" w14:textId="77777777" w:rsidTr="00E66954">
        <w:trPr>
          <w:jc w:val="center"/>
        </w:trPr>
        <w:tc>
          <w:tcPr>
            <w:tcW w:w="135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01C97A" w14:textId="60FD8F8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DAC</w:t>
            </w:r>
          </w:p>
        </w:tc>
        <w:tc>
          <w:tcPr>
            <w:tcW w:w="197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9B2595"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8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305FE170" w14:textId="36701C9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High Efficiency Furnace</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585303"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75854F" w14:textId="6E7F0214"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882521"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1,065</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053F86" w14:textId="77777777"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0ECB765" w14:textId="2B377D3E" w:rsidR="00A222F4" w:rsidRDefault="00A222F4" w:rsidP="00A222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1,065 </w:t>
            </w:r>
          </w:p>
        </w:tc>
      </w:tr>
      <w:tr w:rsidR="0099450A" w:rsidRPr="00A222F4" w14:paraId="2088815C" w14:textId="77777777" w:rsidTr="00E66954">
        <w:trPr>
          <w:jc w:val="center"/>
        </w:trPr>
        <w:tc>
          <w:tcPr>
            <w:tcW w:w="333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5A5DE6" w14:textId="645A2E90"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Public, DAC Subtotal</w:t>
            </w:r>
          </w:p>
        </w:tc>
        <w:tc>
          <w:tcPr>
            <w:tcW w:w="18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57E81B"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70166C"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72,415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18F312" w14:textId="7681FB07" w:rsidR="0099450A" w:rsidRPr="00A222F4" w:rsidRDefault="00A222F4"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134%</w:t>
            </w:r>
          </w:p>
        </w:tc>
        <w:tc>
          <w:tcPr>
            <w:tcW w:w="81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31B81A"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eastAsia="DejaVu Sans" w:hAnsi="DejaVu Sans" w:cs="DejaVu Sans"/>
                <w:b/>
                <w:bCs/>
                <w:i/>
                <w:iCs/>
                <w:color w:val="000000"/>
                <w:sz w:val="20"/>
                <w:szCs w:val="20"/>
              </w:rPr>
              <w:t>97,300</w:t>
            </w:r>
          </w:p>
        </w:tc>
        <w:tc>
          <w:tcPr>
            <w:tcW w:w="6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70B0FC" w14:textId="77777777"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990" w:type="dxa"/>
            <w:tcBorders>
              <w:top w:val="nil"/>
              <w:left w:val="nil"/>
              <w:bottom w:val="single" w:sz="8" w:space="0" w:color="B3EFFD" w:themeColor="accent3" w:themeTint="33"/>
              <w:right w:val="nil"/>
            </w:tcBorders>
            <w:shd w:val="clear" w:color="auto" w:fill="FFFFFF" w:themeFill="background1"/>
            <w:tcMar>
              <w:top w:w="0" w:type="dxa"/>
              <w:left w:w="0" w:type="dxa"/>
              <w:bottom w:w="0" w:type="dxa"/>
              <w:right w:w="0" w:type="dxa"/>
            </w:tcMar>
            <w:vAlign w:val="center"/>
          </w:tcPr>
          <w:p w14:paraId="2BC0DA6E" w14:textId="62ABADBA" w:rsidR="0099450A" w:rsidRPr="00A222F4"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A222F4">
              <w:rPr>
                <w:rFonts w:ascii="Arial Narrow" w:hAnsi="Arial Narrow" w:cs="Calibri"/>
                <w:b/>
                <w:bCs/>
                <w:i/>
                <w:iCs/>
                <w:color w:val="000000"/>
                <w:sz w:val="20"/>
                <w:szCs w:val="20"/>
              </w:rPr>
              <w:t xml:space="preserve"> 97,300 </w:t>
            </w:r>
          </w:p>
        </w:tc>
      </w:tr>
      <w:tr w:rsidR="0099450A" w14:paraId="028C7382" w14:textId="77777777" w:rsidTr="00E66954">
        <w:trPr>
          <w:jc w:val="center"/>
        </w:trPr>
        <w:tc>
          <w:tcPr>
            <w:tcW w:w="3330" w:type="dxa"/>
            <w:gridSpan w:val="2"/>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8076B87" w14:textId="18550761" w:rsidR="0099450A"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 xml:space="preserve">Total </w:t>
            </w:r>
          </w:p>
        </w:tc>
        <w:tc>
          <w:tcPr>
            <w:tcW w:w="189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10A7CA6" w14:textId="7E99D1A0" w:rsidR="0099450A" w:rsidRDefault="0099450A"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81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A5CE5FD" w14:textId="77777777" w:rsidR="0099450A"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3,671,650</w:t>
            </w:r>
          </w:p>
        </w:tc>
        <w:tc>
          <w:tcPr>
            <w:tcW w:w="99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8EFF427" w14:textId="09F56B55" w:rsidR="0099450A" w:rsidRDefault="00A222F4"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106%</w:t>
            </w:r>
          </w:p>
        </w:tc>
        <w:tc>
          <w:tcPr>
            <w:tcW w:w="81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8763C75" w14:textId="7F5F3EE0" w:rsidR="0099450A" w:rsidRDefault="00D7159B"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D7159B">
              <w:rPr>
                <w:rFonts w:ascii="Arial Narrow" w:eastAsia="DejaVu Sans" w:hAnsi="DejaVu Sans" w:cs="DejaVu Sans"/>
                <w:b/>
                <w:color w:val="000000"/>
                <w:sz w:val="20"/>
                <w:szCs w:val="20"/>
              </w:rPr>
              <w:t>3,908,490</w:t>
            </w:r>
          </w:p>
        </w:tc>
        <w:tc>
          <w:tcPr>
            <w:tcW w:w="63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AFA287F" w14:textId="77777777" w:rsidR="0099450A" w:rsidRDefault="0099450A"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99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AADA47F" w14:textId="03FC0706" w:rsidR="0099450A" w:rsidRDefault="00D7159B"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D7159B">
              <w:rPr>
                <w:rFonts w:ascii="Arial Narrow" w:eastAsia="DejaVu Sans" w:hAnsi="DejaVu Sans" w:cs="DejaVu Sans"/>
                <w:b/>
                <w:color w:val="000000"/>
                <w:sz w:val="20"/>
                <w:szCs w:val="20"/>
              </w:rPr>
              <w:t>3,515,304</w:t>
            </w:r>
          </w:p>
        </w:tc>
      </w:tr>
    </w:tbl>
    <w:p w14:paraId="41B2B4DA" w14:textId="77777777" w:rsidR="00D604F8" w:rsidRDefault="00D604F8" w:rsidP="00D604F8">
      <w:pPr>
        <w:pStyle w:val="GraphFootnote"/>
        <w:keepLines/>
      </w:pPr>
      <w:r>
        <w:t>* Realization Rate (RR) is the ratio of verified gross savings to ex ante gross savings, based on evaluation research findings.</w:t>
      </w:r>
    </w:p>
    <w:p w14:paraId="0E0FA40D" w14:textId="77777777" w:rsidR="00ED665D" w:rsidRDefault="00D604F8" w:rsidP="00D604F8">
      <w:pPr>
        <w:pStyle w:val="GraphFootnote"/>
      </w:pPr>
      <w:r w:rsidRPr="00A15ECA">
        <w:t xml:space="preserve">† NTG, Net to Gross is the deemed value available on the SAG website: </w:t>
      </w:r>
      <w:hyperlink r:id="rId18">
        <w:r w:rsidRPr="00A15ECA">
          <w:t>https://www.ilsag.info/evaluator-ntg-recommendations-for-2024/</w:t>
        </w:r>
      </w:hyperlink>
      <w:r w:rsidRPr="00A15ECA">
        <w:t xml:space="preserve">. </w:t>
      </w:r>
    </w:p>
    <w:p w14:paraId="7FD0EB21" w14:textId="2B205023" w:rsidR="00D604F8" w:rsidRPr="00A15ECA" w:rsidRDefault="001E39A4" w:rsidP="00D604F8">
      <w:pPr>
        <w:pStyle w:val="GraphFootnote"/>
      </w:pPr>
      <w:r>
        <w:t xml:space="preserve">Note: </w:t>
      </w:r>
      <w:r w:rsidR="00E01359">
        <w:t>All savings estimating algorithms presented in the IL TRM v12.0 for t</w:t>
      </w:r>
      <w:r w:rsidR="00A30414">
        <w:t xml:space="preserve">he </w:t>
      </w:r>
      <w:r w:rsidR="00ED665D">
        <w:t>Building Operator Certification</w:t>
      </w:r>
      <w:r w:rsidR="00A30414">
        <w:t xml:space="preserve"> measure</w:t>
      </w:r>
      <w:r w:rsidR="00ED665D">
        <w:t xml:space="preserve"> </w:t>
      </w:r>
      <w:r w:rsidR="00E01359">
        <w:t xml:space="preserve">are for net savings. Therefore, this measure does not require </w:t>
      </w:r>
      <w:proofErr w:type="gramStart"/>
      <w:r w:rsidR="00E01359">
        <w:t>the</w:t>
      </w:r>
      <w:proofErr w:type="gramEnd"/>
      <w:r w:rsidR="00E01359">
        <w:t xml:space="preserve"> additional application of</w:t>
      </w:r>
      <w:r w:rsidR="00ED665D">
        <w:t xml:space="preserve"> </w:t>
      </w:r>
      <w:proofErr w:type="gramStart"/>
      <w:r w:rsidR="00ED665D">
        <w:t>a</w:t>
      </w:r>
      <w:r w:rsidR="0028377C">
        <w:t>n</w:t>
      </w:r>
      <w:r w:rsidR="00ED665D">
        <w:t xml:space="preserve"> NTG</w:t>
      </w:r>
      <w:proofErr w:type="gramEnd"/>
      <w:r w:rsidR="00ED665D">
        <w:t xml:space="preserve"> value.</w:t>
      </w:r>
    </w:p>
    <w:p w14:paraId="0CD94C53" w14:textId="77777777" w:rsidR="00250A50" w:rsidRDefault="00250A50">
      <w:pPr>
        <w:pStyle w:val="Source"/>
      </w:pPr>
      <w:r>
        <w:t>Source: Evaluation team analysis</w:t>
      </w:r>
    </w:p>
    <w:p w14:paraId="39A919C6" w14:textId="77777777" w:rsidR="00250A50" w:rsidRDefault="00250A50" w:rsidP="00ED44B5"/>
    <w:p w14:paraId="274E99CC" w14:textId="77777777" w:rsidR="00250A50" w:rsidRDefault="00250A50">
      <w:pPr>
        <w:pStyle w:val="Heading10"/>
      </w:pPr>
      <w:bookmarkStart w:id="36" w:name="_Toc398546640"/>
      <w:bookmarkStart w:id="37" w:name="_Toc423009489"/>
      <w:bookmarkStart w:id="38" w:name="_Toc459627231"/>
      <w:bookmarkStart w:id="39" w:name="_Toc61360800"/>
      <w:bookmarkStart w:id="40" w:name="_Toc195788189"/>
      <w:bookmarkEnd w:id="34"/>
      <w:r>
        <w:lastRenderedPageBreak/>
        <w:t>Impact Analysis Findings and Recommendations</w:t>
      </w:r>
      <w:bookmarkEnd w:id="36"/>
      <w:bookmarkEnd w:id="37"/>
      <w:bookmarkEnd w:id="38"/>
      <w:bookmarkEnd w:id="39"/>
      <w:bookmarkEnd w:id="40"/>
    </w:p>
    <w:p w14:paraId="251F16D0" w14:textId="77777777" w:rsidR="00250A50" w:rsidRPr="00162769" w:rsidRDefault="00250A50">
      <w:pPr>
        <w:pStyle w:val="Heading2"/>
      </w:pPr>
      <w:bookmarkStart w:id="41" w:name="_Toc501649913"/>
      <w:bookmarkStart w:id="42" w:name="_Toc61360801"/>
      <w:bookmarkStart w:id="43" w:name="_Toc195788190"/>
      <w:r w:rsidRPr="00162769">
        <w:t>Impact Parameter Estimates</w:t>
      </w:r>
      <w:bookmarkEnd w:id="41"/>
      <w:bookmarkEnd w:id="42"/>
      <w:bookmarkEnd w:id="43"/>
    </w:p>
    <w:bookmarkStart w:id="44" w:name="_Toc381633053"/>
    <w:p w14:paraId="782632C4" w14:textId="7F97DF8F" w:rsidR="00250A50" w:rsidRDefault="00250A50" w:rsidP="003B4830">
      <w:r>
        <w:fldChar w:fldCharType="begin"/>
      </w:r>
      <w:r>
        <w:instrText xml:space="preserve"> REF _Ref503449693 \h </w:instrText>
      </w:r>
      <w:r>
        <w:fldChar w:fldCharType="separate"/>
      </w:r>
      <w:r>
        <w:t xml:space="preserve">Table </w:t>
      </w:r>
      <w:r>
        <w:rPr>
          <w:noProof/>
        </w:rPr>
        <w:t>5</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w:t>
      </w:r>
      <w:r w:rsidR="00507343">
        <w:t xml:space="preserve">a </w:t>
      </w:r>
      <w:r>
        <w:t>discussion of all measures with realization rates above or below 100%</w:t>
      </w:r>
      <w:r w:rsidRPr="007367D2">
        <w:t>.</w:t>
      </w:r>
      <w:r w:rsidR="00AE2D34">
        <w:t xml:space="preserve"> </w:t>
      </w:r>
      <w:r w:rsidR="007555AD">
        <w:fldChar w:fldCharType="begin"/>
      </w:r>
      <w:r w:rsidR="007555AD">
        <w:instrText xml:space="preserve"> REF _Ref65052649 \h </w:instrText>
      </w:r>
      <w:r w:rsidR="007555AD">
        <w:fldChar w:fldCharType="separate"/>
      </w:r>
      <w:r w:rsidR="007555AD">
        <w:t xml:space="preserve">Appendix A </w:t>
      </w:r>
      <w:r w:rsidR="007555AD">
        <w:fldChar w:fldCharType="end"/>
      </w:r>
      <w:r w:rsidRPr="00F30437">
        <w:t>pr</w:t>
      </w:r>
      <w:r>
        <w:t>ovide</w:t>
      </w:r>
      <w:bookmarkStart w:id="45" w:name="x"/>
      <w:bookmarkEnd w:id="45"/>
      <w:r>
        <w:t>s a description of the i</w:t>
      </w:r>
      <w:r w:rsidRPr="000475D3">
        <w:t xml:space="preserve">mpact </w:t>
      </w:r>
      <w:r>
        <w:t>a</w:t>
      </w:r>
      <w:r w:rsidRPr="000475D3">
        <w:t xml:space="preserve">nalysis </w:t>
      </w:r>
      <w:r>
        <w:t>m</w:t>
      </w:r>
      <w:r w:rsidRPr="000475D3">
        <w:t>ethodology</w:t>
      </w:r>
      <w:r>
        <w:t>.</w:t>
      </w:r>
    </w:p>
    <w:p w14:paraId="18D8BFAC" w14:textId="77777777" w:rsidR="00250A50" w:rsidRPr="00E8651B" w:rsidRDefault="00250A50">
      <w:pPr>
        <w:pStyle w:val="Caption"/>
        <w:keepLines/>
      </w:pPr>
      <w:bookmarkStart w:id="46" w:name="_Ref503449693"/>
      <w:bookmarkStart w:id="47" w:name="_Toc61360849"/>
      <w:bookmarkStart w:id="48" w:name="_Toc195788200"/>
      <w:bookmarkEnd w:id="44"/>
      <w:r>
        <w:t xml:space="preserve">Table </w:t>
      </w:r>
      <w:r>
        <w:fldChar w:fldCharType="begin"/>
      </w:r>
      <w:r>
        <w:instrText xml:space="preserve"> SEQ Table \* ARABIC </w:instrText>
      </w:r>
      <w:r>
        <w:fldChar w:fldCharType="separate"/>
      </w:r>
      <w:r>
        <w:rPr>
          <w:noProof/>
        </w:rPr>
        <w:t>5</w:t>
      </w:r>
      <w:r>
        <w:rPr>
          <w:noProof/>
        </w:rPr>
        <w:fldChar w:fldCharType="end"/>
      </w:r>
      <w:bookmarkEnd w:id="46"/>
      <w:r>
        <w:t xml:space="preserve">. </w:t>
      </w:r>
      <w:r w:rsidRPr="00E8651B">
        <w:t>Verified Gross Savings Parameters</w:t>
      </w:r>
      <w:bookmarkStart w:id="49" w:name="Table_5"/>
      <w:bookmarkEnd w:id="47"/>
      <w:bookmarkEnd w:id="48"/>
      <w:bookmarkEnd w:id="49"/>
    </w:p>
    <w:tbl>
      <w:tblPr>
        <w:tblW w:w="5000" w:type="pct"/>
        <w:jc w:val="center"/>
        <w:tblLook w:val="0420" w:firstRow="1" w:lastRow="0" w:firstColumn="0" w:lastColumn="0" w:noHBand="0" w:noVBand="1"/>
      </w:tblPr>
      <w:tblGrid>
        <w:gridCol w:w="3114"/>
        <w:gridCol w:w="445"/>
        <w:gridCol w:w="1591"/>
        <w:gridCol w:w="1131"/>
        <w:gridCol w:w="1316"/>
        <w:gridCol w:w="1763"/>
      </w:tblGrid>
      <w:tr w:rsidR="00380FA9" w14:paraId="361E81FB" w14:textId="77777777" w:rsidTr="00720FAE">
        <w:trPr>
          <w:tblHeader/>
          <w:jc w:val="center"/>
        </w:trPr>
        <w:tc>
          <w:tcPr>
            <w:tcW w:w="166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E3DDFA8" w14:textId="77777777" w:rsidR="00671B73" w:rsidRPr="00380FA9" w:rsidRDefault="00250A50"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Measure</w:t>
            </w:r>
          </w:p>
        </w:tc>
        <w:tc>
          <w:tcPr>
            <w:tcW w:w="23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6BA1662" w14:textId="77777777" w:rsidR="00671B73" w:rsidRPr="00380FA9" w:rsidRDefault="00250A50" w:rsidP="00380F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Unit Basis</w:t>
            </w:r>
          </w:p>
        </w:tc>
        <w:tc>
          <w:tcPr>
            <w:tcW w:w="85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BF98C17" w14:textId="77777777" w:rsidR="00671B73" w:rsidRPr="00380FA9" w:rsidRDefault="00250A50"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Ex Ante Gross (therms/unit)</w:t>
            </w:r>
          </w:p>
        </w:tc>
        <w:tc>
          <w:tcPr>
            <w:tcW w:w="60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8003B4" w14:textId="77777777" w:rsidR="00671B73" w:rsidRPr="00380FA9" w:rsidRDefault="00250A50" w:rsidP="00380F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Verified Gross (therms/unit)</w:t>
            </w:r>
          </w:p>
        </w:tc>
        <w:tc>
          <w:tcPr>
            <w:tcW w:w="70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D92C372" w14:textId="77777777" w:rsidR="0028377C" w:rsidRDefault="00250A50"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Realization</w:t>
            </w:r>
          </w:p>
          <w:p w14:paraId="7D1AF6D0" w14:textId="3A3660A9" w:rsidR="00671B73" w:rsidRPr="00380FA9" w:rsidRDefault="00250A50"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Rate</w:t>
            </w:r>
          </w:p>
        </w:tc>
        <w:tc>
          <w:tcPr>
            <w:tcW w:w="94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E7B9562" w14:textId="77777777" w:rsidR="00671B73" w:rsidRPr="00380FA9" w:rsidRDefault="00250A50" w:rsidP="00DA2E0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380FA9">
              <w:rPr>
                <w:rFonts w:ascii="Arial Narrow" w:eastAsia="DejaVu Sans" w:hAnsi="DejaVu Sans" w:cs="DejaVu Sans"/>
                <w:b/>
                <w:bCs/>
                <w:color w:val="FFFFFF"/>
                <w:sz w:val="20"/>
                <w:szCs w:val="20"/>
              </w:rPr>
              <w:t>Data Source(s)</w:t>
            </w:r>
          </w:p>
        </w:tc>
      </w:tr>
      <w:tr w:rsidR="00720FAE" w14:paraId="3D7C4533" w14:textId="77777777" w:rsidTr="00720FAE">
        <w:trPr>
          <w:jc w:val="center"/>
        </w:trPr>
        <w:tc>
          <w:tcPr>
            <w:tcW w:w="166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6D488F" w14:textId="27FAFB03"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r>
              <w:rPr>
                <w:rFonts w:ascii="Arial Narrow" w:eastAsia="DejaVu Sans" w:hAnsi="DejaVu Sans" w:cs="DejaVu Sans"/>
                <w:color w:val="000000"/>
                <w:sz w:val="20"/>
                <w:szCs w:val="20"/>
              </w:rPr>
              <w:t>TAutomatic</w:t>
            </w:r>
            <w:proofErr w:type="spellEnd"/>
            <w:r>
              <w:rPr>
                <w:rFonts w:ascii="Arial Narrow" w:eastAsia="DejaVu Sans" w:hAnsi="DejaVu Sans" w:cs="DejaVu Sans"/>
                <w:color w:val="000000"/>
                <w:sz w:val="20"/>
                <w:szCs w:val="20"/>
              </w:rPr>
              <w:t xml:space="preserve"> Conveyor Broiler</w:t>
            </w:r>
          </w:p>
        </w:tc>
        <w:tc>
          <w:tcPr>
            <w:tcW w:w="23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56FA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8AA51"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AA0B2"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39A24" w14:textId="38DA23C8"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D29DF" w14:textId="0E420C6D"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IL TRM v12.</w:t>
            </w:r>
            <w:proofErr w:type="gramStart"/>
            <w:r>
              <w:rPr>
                <w:rFonts w:ascii="Arial Narrow" w:eastAsia="DejaVu Sans" w:hAnsi="DejaVu Sans" w:cs="DejaVu Sans"/>
                <w:color w:val="000000"/>
                <w:sz w:val="20"/>
                <w:szCs w:val="20"/>
              </w:rPr>
              <w:t>0</w:t>
            </w:r>
            <w:r>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w:t>
            </w:r>
            <w:proofErr w:type="gramEnd"/>
            <w:r>
              <w:rPr>
                <w:rFonts w:ascii="Arial Narrow" w:eastAsia="DejaVu Sans" w:hAnsi="DejaVu Sans" w:cs="DejaVu Sans"/>
                <w:color w:val="000000"/>
                <w:sz w:val="20"/>
                <w:szCs w:val="20"/>
              </w:rPr>
              <w:t xml:space="preserve"> Section 4.2.22</w:t>
            </w:r>
          </w:p>
        </w:tc>
      </w:tr>
      <w:tr w:rsidR="00720FAE" w14:paraId="03F62952"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792A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BOC (in TRM)</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2552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 ft.</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8B6DD" w14:textId="5496178A"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C416F" w14:textId="074D9610"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0.0046</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7109E" w14:textId="1D8FA5F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Vary</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1580AC" w14:textId="47657FB0"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4.8.24 and PTD*</w:t>
            </w:r>
          </w:p>
        </w:tc>
      </w:tr>
      <w:tr w:rsidR="00720FAE" w14:paraId="400B2003"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9BD262"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Chemical Descaling</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E2B7C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1B772"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75BF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F09FC" w14:textId="6BFC35A4"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63%</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5EF5DD" w14:textId="11123D05"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4.4.49</w:t>
            </w:r>
          </w:p>
        </w:tc>
      </w:tr>
      <w:tr w:rsidR="00720FAE" w14:paraId="50AB7060"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7EF5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533F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8863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32D2B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B6ACF" w14:textId="0F9C52EE"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109%</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D726C" w14:textId="10500EF1"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4.4.3</w:t>
            </w:r>
          </w:p>
        </w:tc>
      </w:tr>
      <w:tr w:rsidR="00720FAE" w14:paraId="66CF29BB"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02F63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AD09B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B0BA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B9CE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008F6" w14:textId="0412FA21"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04AF8A" w14:textId="77E9542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F853D2">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.4.2</w:t>
            </w:r>
          </w:p>
        </w:tc>
      </w:tr>
      <w:tr w:rsidR="00720FAE" w14:paraId="52D04CAF"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80DAA7"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10BD6"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0026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A93EA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64617" w14:textId="4844BB82"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82%</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BD8FE" w14:textId="010A3F0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w:t>
            </w:r>
          </w:p>
        </w:tc>
      </w:tr>
      <w:tr w:rsidR="00720FAE" w14:paraId="4B4BFCC7"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1AA932"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9B1E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B342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5D77D7"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B569C" w14:textId="44ED80C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680E8" w14:textId="592B4E1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4.7.9</w:t>
            </w:r>
          </w:p>
        </w:tc>
      </w:tr>
      <w:tr w:rsidR="00720FAE" w14:paraId="10BD801E"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2D367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004D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79FF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0FFC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24E56" w14:textId="43FA32B3"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99%</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4249D" w14:textId="5B9A7654"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4.2.5</w:t>
            </w:r>
          </w:p>
        </w:tc>
      </w:tr>
      <w:tr w:rsidR="00720FAE" w14:paraId="6A048001"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8B3A6"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Conveyor Oven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0BC5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6826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50AE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0DC6C" w14:textId="3DB1F465"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98%</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4E93D" w14:textId="39E0427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4.2.4</w:t>
            </w:r>
          </w:p>
        </w:tc>
      </w:tr>
      <w:tr w:rsidR="00720FAE" w14:paraId="10526986"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FA511"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5C5CE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61BE8"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9807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1AE92" w14:textId="7773EB63"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2D501" w14:textId="27A5BF1E"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F853D2">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.3.2</w:t>
            </w:r>
          </w:p>
        </w:tc>
      </w:tr>
      <w:tr w:rsidR="00720FAE" w14:paraId="730A00EA"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6EB3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Kitchen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9A2C91"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AC881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EF81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B124EA" w14:textId="4A8A77F4"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1D737" w14:textId="394ED5D1"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4.3.2</w:t>
            </w:r>
          </w:p>
        </w:tc>
      </w:tr>
      <w:tr w:rsidR="00720FAE" w14:paraId="41318770"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D20A17"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A0E1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5C4EB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5B18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B968F4" w14:textId="5A8F5ACC"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109%</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C46B6" w14:textId="1955EE6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w:t>
            </w:r>
            <w:r w:rsidDel="0085520A">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4.2.7</w:t>
            </w:r>
          </w:p>
        </w:tc>
      </w:tr>
      <w:tr w:rsidR="00720FAE" w14:paraId="32FBA932"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5ACE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Garage Door Hinge</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7E6C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C27B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D959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18FF6" w14:textId="00DEB034"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114%</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3CA7BB" w14:textId="152602F6"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85520A">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.8.12</w:t>
            </w:r>
          </w:p>
        </w:tc>
      </w:tr>
      <w:tr w:rsidR="00720FAE" w14:paraId="4756A895"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6AB2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17FD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013DA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A8245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7C9B2" w14:textId="64F467B4"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517732" w14:textId="678D09B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85520A">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.1.15</w:t>
            </w:r>
          </w:p>
        </w:tc>
      </w:tr>
      <w:tr w:rsidR="00720FAE" w14:paraId="068A1558"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8E39C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4BD62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41D0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A03C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00DFD" w14:textId="741BF210"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118%</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55FD4" w14:textId="3667D6DE"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85520A">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.2.8</w:t>
            </w:r>
          </w:p>
        </w:tc>
      </w:tr>
      <w:tr w:rsidR="00720FAE" w14:paraId="1A3F69F4"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195D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Boiler</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DBD16"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0BAB2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2509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B4F29" w14:textId="0E486A8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139%</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88D3E" w14:textId="35E8628A"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4.4.10, IL TRM v12.0 Errata Memo</w:t>
            </w:r>
          </w:p>
        </w:tc>
      </w:tr>
      <w:tr w:rsidR="00720FAE" w14:paraId="64C1C3DB"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D074B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B0187"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16587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D489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E79862" w14:textId="2AD68B3B"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DD06E" w14:textId="3C1BF0B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4.4.11</w:t>
            </w:r>
          </w:p>
        </w:tc>
      </w:tr>
      <w:tr w:rsidR="00720FAE" w14:paraId="4E180626"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395B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Infrared </w:t>
            </w:r>
            <w:proofErr w:type="spellStart"/>
            <w:r>
              <w:rPr>
                <w:rFonts w:ascii="Arial Narrow" w:eastAsia="DejaVu Sans" w:hAnsi="DejaVu Sans" w:cs="DejaVu Sans"/>
                <w:color w:val="000000"/>
                <w:sz w:val="20"/>
                <w:szCs w:val="20"/>
              </w:rPr>
              <w:t>Charbroiler</w:t>
            </w:r>
            <w:proofErr w:type="spellEnd"/>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13F35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BF4B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994BF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4BB1F" w14:textId="61547885"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8B4D0E" w14:textId="010863D6"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4.2.12</w:t>
            </w:r>
          </w:p>
        </w:tc>
      </w:tr>
      <w:tr w:rsidR="00720FAE" w14:paraId="29B7D617"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0C79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5688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91017"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B098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49BC0A" w14:textId="2783C2F1"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F9B5B" w14:textId="159E56BC"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4.2.14</w:t>
            </w:r>
          </w:p>
        </w:tc>
      </w:tr>
      <w:tr w:rsidR="00720FAE" w14:paraId="2743BED1"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CF6A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Kitchen Demand Ventilation Controls</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EB396"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C82A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DB9A8"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82C35" w14:textId="47BC0EDA"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965%</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4E6B7" w14:textId="184A681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4.2.16</w:t>
            </w:r>
          </w:p>
        </w:tc>
      </w:tr>
      <w:tr w:rsidR="00720FAE" w14:paraId="32B797D0"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C249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414A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688728"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15F07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78E8D" w14:textId="56AA518B"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E49867" w14:textId="7FD02D35"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4.3.6</w:t>
            </w:r>
          </w:p>
        </w:tc>
      </w:tr>
      <w:tr w:rsidR="00720FAE" w14:paraId="184F77AD"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47CBB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F44C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E9EEC" w14:textId="70633AA5"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839DA7" w14:textId="29CDB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3C1F2" w14:textId="30C72BDC"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4362F" w14:textId="4D2E1240"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4.2.17</w:t>
            </w:r>
          </w:p>
        </w:tc>
      </w:tr>
      <w:tr w:rsidR="00720FAE" w14:paraId="55ACCE22"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EF01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D0D0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89BC1" w14:textId="7B7EFA43"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C2463" w14:textId="5153D473"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CCBAC" w14:textId="340039FF"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E59EF" w14:textId="59D8BD8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4.4.14</w:t>
            </w:r>
          </w:p>
        </w:tc>
      </w:tr>
      <w:tr w:rsidR="00720FAE" w14:paraId="038D1E2F"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6CE3E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061A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DF3E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2579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6BC3B" w14:textId="13C4083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97%</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FF9C1" w14:textId="3FD7F66B"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4.2.11</w:t>
            </w:r>
          </w:p>
        </w:tc>
      </w:tr>
      <w:tr w:rsidR="00720FAE" w14:paraId="3033ECF3"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BA5F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Rack Oven - Double Oven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B2470"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1B481"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968E3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A5CD2" w14:textId="51589928"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110%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7CEC3" w14:textId="30F9FAF5"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4.2.18, IL TRM v12.0 Errata Memo</w:t>
            </w:r>
          </w:p>
        </w:tc>
      </w:tr>
      <w:tr w:rsidR="00720FAE" w14:paraId="40A4A580"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6058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Rotisserie Oven</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DE474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0928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33AC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30BC3" w14:textId="2DB64E1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6F868" w14:textId="3BB4915C"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4.2.13</w:t>
            </w:r>
          </w:p>
        </w:tc>
      </w:tr>
      <w:tr w:rsidR="00720FAE" w14:paraId="5850C799"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DE4F6"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Showerheads</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5737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B0AE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EDB2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EA0B5B" w14:textId="0F9B5DCC"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29813" w14:textId="17E1E924"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4.3.3</w:t>
            </w:r>
          </w:p>
        </w:tc>
      </w:tr>
      <w:tr w:rsidR="00720FAE" w14:paraId="5A4C440E"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6295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6D2355"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15237"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BD5C2"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43BC9" w14:textId="3CBBADCE"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64C5C" w14:textId="38459DB1"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4.4.48</w:t>
            </w:r>
          </w:p>
        </w:tc>
      </w:tr>
      <w:tr w:rsidR="00720FAE" w14:paraId="6A225459"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BB6B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Commercial</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E287C"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3DCE3"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DC10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2740C" w14:textId="46728248"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106%</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AAFAC" w14:textId="001138A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4.4.16</w:t>
            </w:r>
          </w:p>
        </w:tc>
      </w:tr>
      <w:tr w:rsidR="00720FAE" w14:paraId="062BE845"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AB7E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3E8731"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52DF4"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50CA9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92B11" w14:textId="4C42184B"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762310" w14:textId="52ED521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C62933">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.4.16</w:t>
            </w:r>
          </w:p>
        </w:tc>
      </w:tr>
      <w:tr w:rsidR="00720FAE" w14:paraId="21ADAAC3"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A4F2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3C15F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45DE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45731"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1C3A7" w14:textId="18A0DEA2"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B90C4" w14:textId="4B1BBD92"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C62933">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.4.16</w:t>
            </w:r>
          </w:p>
        </w:tc>
      </w:tr>
      <w:tr w:rsidR="00720FAE" w14:paraId="6484C7B4" w14:textId="77777777" w:rsidTr="00720FAE">
        <w:trPr>
          <w:jc w:val="center"/>
        </w:trPr>
        <w:tc>
          <w:tcPr>
            <w:tcW w:w="166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CC279"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2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D684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77C0F"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F31BA"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38416" w14:textId="343CA122"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9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4F1FD3" w14:textId="0EC4A6F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4.4.16</w:t>
            </w:r>
          </w:p>
        </w:tc>
      </w:tr>
      <w:tr w:rsidR="00720FAE" w14:paraId="46AA8B35" w14:textId="77777777" w:rsidTr="00720FAE">
        <w:trPr>
          <w:jc w:val="center"/>
        </w:trPr>
        <w:tc>
          <w:tcPr>
            <w:tcW w:w="166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EE2D5D"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w:t>
            </w:r>
          </w:p>
        </w:tc>
        <w:tc>
          <w:tcPr>
            <w:tcW w:w="23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4F34FB"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85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B0661E"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60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4A33B6" w14:textId="77777777"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70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AEAA67" w14:textId="7D619A79"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DejaVu Sans" w:cs="DejaVu Sans"/>
                <w:color w:val="000000"/>
                <w:sz w:val="20"/>
                <w:szCs w:val="20"/>
              </w:rPr>
            </w:pPr>
            <w:r>
              <w:rPr>
                <w:rFonts w:ascii="Arial Narrow" w:hAnsi="Arial Narrow" w:cs="Calibri"/>
                <w:color w:val="000000"/>
                <w:sz w:val="20"/>
                <w:szCs w:val="20"/>
              </w:rPr>
              <w:t>220%</w:t>
            </w:r>
          </w:p>
        </w:tc>
        <w:tc>
          <w:tcPr>
            <w:tcW w:w="94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CC10BB" w14:textId="7854B2FA" w:rsidR="00720FAE" w:rsidRDefault="00720FAE" w:rsidP="00720F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gramStart"/>
            <w:r>
              <w:rPr>
                <w:rFonts w:ascii="Arial Narrow" w:eastAsia="DejaVu Sans" w:hAnsi="DejaVu Sans" w:cs="DejaVu Sans"/>
                <w:color w:val="000000"/>
                <w:sz w:val="20"/>
                <w:szCs w:val="20"/>
              </w:rPr>
              <w:t>Section</w:t>
            </w:r>
            <w:r w:rsidDel="00C62933">
              <w:rPr>
                <w:rFonts w:ascii="Arial Narrow" w:eastAsia="DejaVu Sans" w:hAnsi="DejaVu Sans" w:cs="DejaVu Sans"/>
                <w:color w:val="000000"/>
                <w:sz w:val="20"/>
                <w:szCs w:val="20"/>
              </w:rPr>
              <w:t xml:space="preserve"> </w:t>
            </w:r>
            <w:r>
              <w:rPr>
                <w:rFonts w:ascii="Arial Narrow" w:eastAsia="DejaVu Sans" w:hAnsi="DejaVu Sans" w:cs="DejaVu Sans"/>
                <w:color w:val="000000"/>
                <w:sz w:val="20"/>
                <w:szCs w:val="20"/>
              </w:rPr>
              <w:t xml:space="preserve"> 4</w:t>
            </w:r>
            <w:proofErr w:type="gramEnd"/>
            <w:r>
              <w:rPr>
                <w:rFonts w:ascii="Arial Narrow" w:eastAsia="DejaVu Sans" w:hAnsi="DejaVu Sans" w:cs="DejaVu Sans"/>
                <w:color w:val="000000"/>
                <w:sz w:val="20"/>
                <w:szCs w:val="20"/>
              </w:rPr>
              <w:t>.3.1</w:t>
            </w:r>
          </w:p>
        </w:tc>
      </w:tr>
    </w:tbl>
    <w:p w14:paraId="17AB4FB7" w14:textId="77777777" w:rsidR="00250A50" w:rsidRDefault="00250A50">
      <w:pPr>
        <w:pStyle w:val="GraphFootnote"/>
        <w:keepNext/>
        <w:keepLines/>
      </w:pPr>
      <w:r>
        <w:lastRenderedPageBreak/>
        <w:t>* Program Tracking Data (PTD) provided by</w:t>
      </w:r>
      <w:r w:rsidRPr="002D2F94">
        <w:t xml:space="preserve"> </w:t>
      </w:r>
      <w:r>
        <w:t xml:space="preserve">Nicor </w:t>
      </w:r>
      <w:proofErr w:type="gramStart"/>
      <w:r>
        <w:t>Ga</w:t>
      </w:r>
      <w:r w:rsidRPr="002D2F94">
        <w:t>s,</w:t>
      </w:r>
      <w:proofErr w:type="gramEnd"/>
      <w:r w:rsidRPr="002D2F94">
        <w:t xml:space="preserve"> extract dated</w:t>
      </w:r>
      <w:r>
        <w:t xml:space="preserve"> January 30, 2025.</w:t>
      </w:r>
    </w:p>
    <w:p w14:paraId="221DE2B1" w14:textId="77777777" w:rsidR="00250A50" w:rsidRPr="00F63DEC" w:rsidRDefault="00250A50" w:rsidP="006F15D0">
      <w:pPr>
        <w:pStyle w:val="GraphFootnote"/>
      </w:pPr>
      <w:r w:rsidRPr="00BA3411">
        <w:t>†</w:t>
      </w:r>
      <w:r>
        <w:t xml:space="preserve"> </w:t>
      </w:r>
      <w:r w:rsidRPr="006F7D77">
        <w:t>State of Illinois Technical Reference Manual</w:t>
      </w:r>
      <w:r>
        <w:t xml:space="preserve"> version 12.0 fr</w:t>
      </w:r>
      <w:r w:rsidRPr="00F63DEC">
        <w:t xml:space="preserve">om </w:t>
      </w:r>
      <w:r w:rsidRPr="006559CD">
        <w:t>http://www.ilsag.info/technical-reference-manual.html</w:t>
      </w:r>
      <w:r w:rsidRPr="00F63DEC">
        <w:t>.</w:t>
      </w:r>
    </w:p>
    <w:p w14:paraId="4CB61AE3" w14:textId="77777777" w:rsidR="006F15D0" w:rsidRPr="006F15D0" w:rsidRDefault="006F15D0" w:rsidP="006F15D0"/>
    <w:p w14:paraId="5E1A8D0A" w14:textId="77777777" w:rsidR="00250A50" w:rsidRDefault="00250A50">
      <w:pPr>
        <w:pStyle w:val="Heading2"/>
      </w:pPr>
      <w:bookmarkStart w:id="50" w:name="_Toc61360802"/>
      <w:bookmarkStart w:id="51" w:name="_Toc195788191"/>
      <w:r>
        <w:t>Findings and Recommendations</w:t>
      </w:r>
      <w:bookmarkEnd w:id="50"/>
      <w:bookmarkEnd w:id="51"/>
    </w:p>
    <w:p w14:paraId="337D4843" w14:textId="519A01B1" w:rsidR="00B37320" w:rsidRDefault="00B37320" w:rsidP="00B37320">
      <w:pPr>
        <w:pStyle w:val="Heading4"/>
      </w:pPr>
      <w:r>
        <w:t>Food Service Equipment</w:t>
      </w:r>
    </w:p>
    <w:p w14:paraId="2B4E386D" w14:textId="31ADC04A" w:rsidR="00F13421" w:rsidRDefault="00250A50" w:rsidP="00301095">
      <w:pPr>
        <w:rPr>
          <w:bCs/>
        </w:rPr>
      </w:pPr>
      <w:r w:rsidRPr="00915A79">
        <w:rPr>
          <w:b/>
        </w:rPr>
        <w:t>Finding 1</w:t>
      </w:r>
      <w:r w:rsidR="00D12C8A">
        <w:rPr>
          <w:b/>
        </w:rPr>
        <w:t>a</w:t>
      </w:r>
      <w:r w:rsidRPr="00915A79">
        <w:rPr>
          <w:b/>
        </w:rPr>
        <w:t>.</w:t>
      </w:r>
      <w:r w:rsidR="00A456FB">
        <w:rPr>
          <w:b/>
        </w:rPr>
        <w:t xml:space="preserve"> </w:t>
      </w:r>
      <w:r w:rsidR="00A456FB">
        <w:rPr>
          <w:bCs/>
        </w:rPr>
        <w:t xml:space="preserve">The evaluation team compared </w:t>
      </w:r>
      <w:r w:rsidR="000E1DF5">
        <w:rPr>
          <w:bCs/>
        </w:rPr>
        <w:t xml:space="preserve">variable </w:t>
      </w:r>
      <w:r w:rsidR="00A456FB">
        <w:rPr>
          <w:bCs/>
        </w:rPr>
        <w:t xml:space="preserve">inputs in the tracking data to the Qualified Products List (QPL) according to manufacturer and model number for measures in the Food Service Equipment end use. The Combination Oven, Convection Oven, Fryer (Standard and Large Vat), Griddle, Conveyor Oven &gt;=25in, and Rotisserie Oven </w:t>
      </w:r>
      <w:r w:rsidR="0076763C">
        <w:rPr>
          <w:bCs/>
        </w:rPr>
        <w:t xml:space="preserve">measures </w:t>
      </w:r>
      <w:r w:rsidR="00A456FB">
        <w:rPr>
          <w:bCs/>
        </w:rPr>
        <w:t xml:space="preserve">had some </w:t>
      </w:r>
      <w:r w:rsidR="00C91D48">
        <w:rPr>
          <w:bCs/>
        </w:rPr>
        <w:t>input values</w:t>
      </w:r>
      <w:r w:rsidR="00A456FB">
        <w:rPr>
          <w:bCs/>
        </w:rPr>
        <w:t xml:space="preserve"> that did not match between the tracking data and QPL, so verified savings utilize the QPL values. </w:t>
      </w:r>
    </w:p>
    <w:p w14:paraId="36A06252" w14:textId="61A53FAB" w:rsidR="00301095" w:rsidRDefault="00F13421" w:rsidP="00301095">
      <w:pPr>
        <w:rPr>
          <w:bCs/>
        </w:rPr>
      </w:pPr>
      <w:r>
        <w:rPr>
          <w:b/>
        </w:rPr>
        <w:t xml:space="preserve">Finding 1b. </w:t>
      </w:r>
      <w:r w:rsidR="00DC4030">
        <w:rPr>
          <w:bCs/>
        </w:rPr>
        <w:t xml:space="preserve">The Rack Oven – Double Oven measure only provided an efficiency value in the tracking </w:t>
      </w:r>
      <w:proofErr w:type="gramStart"/>
      <w:r w:rsidR="00DC4030">
        <w:rPr>
          <w:bCs/>
        </w:rPr>
        <w:t>data,</w:t>
      </w:r>
      <w:proofErr w:type="gramEnd"/>
      <w:r w:rsidR="00DC4030">
        <w:rPr>
          <w:bCs/>
        </w:rPr>
        <w:t xml:space="preserve"> this did not align with the QPL so verified savings utilized the QPL for the efficiency. Verified savings also use the QPL to fill in all other input values for this measure.</w:t>
      </w:r>
    </w:p>
    <w:p w14:paraId="1AB6C771" w14:textId="004E1DF9" w:rsidR="00301095" w:rsidRDefault="00F13421" w:rsidP="00301095">
      <w:pPr>
        <w:rPr>
          <w:bCs/>
        </w:rPr>
      </w:pPr>
      <w:r>
        <w:rPr>
          <w:b/>
        </w:rPr>
        <w:t xml:space="preserve">Finding 1c. </w:t>
      </w:r>
      <w:r w:rsidR="00301095">
        <w:rPr>
          <w:bCs/>
        </w:rPr>
        <w:t xml:space="preserve">The evaluation team was unable to recreate ex ante savings for some Fryer, Griddle, Combination Oven, and Convection Oven measures before applying any </w:t>
      </w:r>
      <w:r w:rsidR="00356A26">
        <w:rPr>
          <w:bCs/>
        </w:rPr>
        <w:t xml:space="preserve">of these </w:t>
      </w:r>
      <w:r w:rsidR="00301095">
        <w:rPr>
          <w:bCs/>
        </w:rPr>
        <w:t xml:space="preserve">QPL changes. </w:t>
      </w:r>
    </w:p>
    <w:p w14:paraId="6BBE058F" w14:textId="627A7191" w:rsidR="00821322" w:rsidRDefault="00356A26" w:rsidP="002E23F0">
      <w:pPr>
        <w:tabs>
          <w:tab w:val="left" w:pos="720"/>
        </w:tabs>
        <w:spacing w:line="264" w:lineRule="auto"/>
        <w:ind w:left="900" w:hanging="360"/>
        <w:rPr>
          <w:bCs/>
        </w:rPr>
      </w:pPr>
      <w:r w:rsidRPr="00BE1CA5">
        <w:rPr>
          <w:b/>
        </w:rPr>
        <w:t>Recommendation</w:t>
      </w:r>
      <w:r>
        <w:rPr>
          <w:b/>
          <w:bCs/>
        </w:rPr>
        <w:t xml:space="preserve"> 1. </w:t>
      </w:r>
      <w:r>
        <w:t>Review the QPL and tracking data to ensure reported measure input values align and ex ante savings reflect the tracking data values</w:t>
      </w:r>
      <w:r w:rsidR="004322FF">
        <w:t xml:space="preserve">. </w:t>
      </w:r>
      <w:r>
        <w:t xml:space="preserve">Review the </w:t>
      </w:r>
      <w:proofErr w:type="spellStart"/>
      <w:proofErr w:type="gramStart"/>
      <w:r>
        <w:t>ex ante</w:t>
      </w:r>
      <w:proofErr w:type="spellEnd"/>
      <w:proofErr w:type="gramEnd"/>
      <w:r>
        <w:t xml:space="preserve"> algorithms, especially the Idle Energy term, to confirm they are producing the correct value.</w:t>
      </w:r>
    </w:p>
    <w:p w14:paraId="47088E66" w14:textId="0DAB38EB" w:rsidR="00BC4F9C" w:rsidRDefault="005F4DB9">
      <w:pPr>
        <w:spacing w:line="264" w:lineRule="auto"/>
        <w:rPr>
          <w:bCs/>
        </w:rPr>
      </w:pPr>
      <w:r w:rsidRPr="005F4DB9">
        <w:rPr>
          <w:b/>
        </w:rPr>
        <w:t xml:space="preserve">Finding </w:t>
      </w:r>
      <w:r w:rsidR="007C7DF9">
        <w:rPr>
          <w:b/>
        </w:rPr>
        <w:t>2</w:t>
      </w:r>
      <w:r>
        <w:rPr>
          <w:bCs/>
        </w:rPr>
        <w:t xml:space="preserve">. </w:t>
      </w:r>
      <w:r w:rsidR="00BC4F9C">
        <w:rPr>
          <w:bCs/>
        </w:rPr>
        <w:t xml:space="preserve">The evaluation team found instances of </w:t>
      </w:r>
      <w:r w:rsidR="002832A7">
        <w:rPr>
          <w:bCs/>
        </w:rPr>
        <w:t>Food Service Equipment end use</w:t>
      </w:r>
      <w:r w:rsidR="00BC4F9C">
        <w:rPr>
          <w:bCs/>
        </w:rPr>
        <w:t xml:space="preserve"> measures, such as some Fryer, Griddle, and Rotisserie Ove</w:t>
      </w:r>
      <w:r w:rsidR="002832A7">
        <w:rPr>
          <w:bCs/>
        </w:rPr>
        <w:t xml:space="preserve">n, </w:t>
      </w:r>
      <w:r w:rsidR="00BB7FA0">
        <w:rPr>
          <w:bCs/>
        </w:rPr>
        <w:t>with</w:t>
      </w:r>
      <w:r w:rsidR="00BC4F9C">
        <w:rPr>
          <w:bCs/>
        </w:rPr>
        <w:t xml:space="preserve"> values in the tracking data that do not align with the </w:t>
      </w:r>
      <w:proofErr w:type="gramStart"/>
      <w:r w:rsidR="00BC4F9C">
        <w:rPr>
          <w:bCs/>
        </w:rPr>
        <w:t>QPL</w:t>
      </w:r>
      <w:proofErr w:type="gramEnd"/>
      <w:r w:rsidR="00BC4F9C">
        <w:rPr>
          <w:bCs/>
        </w:rPr>
        <w:t xml:space="preserve"> but ex ante savings reflect QPL values. This indicates the tracking data values do not support </w:t>
      </w:r>
      <w:r w:rsidR="00D03599">
        <w:rPr>
          <w:bCs/>
        </w:rPr>
        <w:t xml:space="preserve">the </w:t>
      </w:r>
      <w:proofErr w:type="spellStart"/>
      <w:proofErr w:type="gramStart"/>
      <w:r w:rsidR="00BC4F9C">
        <w:rPr>
          <w:bCs/>
        </w:rPr>
        <w:t>ex ante</w:t>
      </w:r>
      <w:proofErr w:type="spellEnd"/>
      <w:proofErr w:type="gramEnd"/>
      <w:r w:rsidR="00BC4F9C">
        <w:rPr>
          <w:bCs/>
        </w:rPr>
        <w:t xml:space="preserve"> savings</w:t>
      </w:r>
      <w:r w:rsidR="00D03599">
        <w:rPr>
          <w:bCs/>
        </w:rPr>
        <w:t xml:space="preserve"> calculation</w:t>
      </w:r>
      <w:r w:rsidR="00A56F73">
        <w:rPr>
          <w:bCs/>
        </w:rPr>
        <w:t>s</w:t>
      </w:r>
      <w:r w:rsidR="00BC4F9C">
        <w:rPr>
          <w:bCs/>
        </w:rPr>
        <w:t>.</w:t>
      </w:r>
      <w:r w:rsidR="007113DA">
        <w:rPr>
          <w:bCs/>
        </w:rPr>
        <w:t xml:space="preserve"> Verified savings</w:t>
      </w:r>
      <w:r w:rsidR="00B9651F">
        <w:rPr>
          <w:bCs/>
        </w:rPr>
        <w:t xml:space="preserve"> </w:t>
      </w:r>
      <w:r w:rsidR="00ED2D20">
        <w:rPr>
          <w:bCs/>
        </w:rPr>
        <w:t>use the QPL values so this has no impact on the realization rate for these measures.</w:t>
      </w:r>
    </w:p>
    <w:p w14:paraId="5392ECF5" w14:textId="2AADCC6F" w:rsidR="00250A50" w:rsidRDefault="00250A50" w:rsidP="00E80B0C">
      <w:pPr>
        <w:tabs>
          <w:tab w:val="left" w:pos="720"/>
        </w:tabs>
        <w:spacing w:line="264" w:lineRule="auto"/>
        <w:ind w:left="900" w:hanging="360"/>
      </w:pPr>
      <w:r w:rsidRPr="00BB5CF7">
        <w:rPr>
          <w:b/>
        </w:rPr>
        <w:t>Recommendation</w:t>
      </w:r>
      <w:r w:rsidRPr="00BB5CF7">
        <w:rPr>
          <w:b/>
          <w:bCs/>
        </w:rPr>
        <w:t xml:space="preserve"> </w:t>
      </w:r>
      <w:r w:rsidR="007C7DF9">
        <w:rPr>
          <w:b/>
          <w:bCs/>
        </w:rPr>
        <w:t>2</w:t>
      </w:r>
      <w:r w:rsidRPr="00BB5CF7">
        <w:rPr>
          <w:b/>
          <w:bCs/>
        </w:rPr>
        <w:t>.</w:t>
      </w:r>
      <w:r>
        <w:rPr>
          <w:b/>
          <w:bCs/>
        </w:rPr>
        <w:t xml:space="preserve"> </w:t>
      </w:r>
      <w:r w:rsidR="00BC4F9C">
        <w:t xml:space="preserve">Review the QPL and tracking data to ensure </w:t>
      </w:r>
      <w:r w:rsidR="007C7DF9">
        <w:t xml:space="preserve">tracking data </w:t>
      </w:r>
      <w:r w:rsidR="00BC4F9C">
        <w:t xml:space="preserve">measure input values align </w:t>
      </w:r>
      <w:r w:rsidR="009A3BE6">
        <w:t xml:space="preserve">with reported </w:t>
      </w:r>
      <w:r w:rsidR="00BC4F9C">
        <w:t>ex ante savings.</w:t>
      </w:r>
      <w:r w:rsidR="007F387B">
        <w:t xml:space="preserve"> </w:t>
      </w:r>
    </w:p>
    <w:p w14:paraId="540E3521" w14:textId="31EF2939" w:rsidR="009A3BE6" w:rsidRDefault="009A3BE6" w:rsidP="009A3BE6">
      <w:pPr>
        <w:spacing w:line="264" w:lineRule="auto"/>
        <w:rPr>
          <w:bCs/>
        </w:rPr>
      </w:pPr>
      <w:r>
        <w:rPr>
          <w:b/>
          <w:bCs/>
        </w:rPr>
        <w:t xml:space="preserve">Finding 3. </w:t>
      </w:r>
      <w:r>
        <w:t xml:space="preserve">The evaluation team compares tracking data inputs against the QPL </w:t>
      </w:r>
      <w:r w:rsidR="00151B34">
        <w:t xml:space="preserve">according to manufacturer and model number for </w:t>
      </w:r>
      <w:r w:rsidR="00BA0C05">
        <w:t>Food Service Equipment</w:t>
      </w:r>
      <w:r w:rsidR="00151B34">
        <w:t xml:space="preserve">. There are a few instances where the evaluation team could not </w:t>
      </w:r>
      <w:r>
        <w:rPr>
          <w:bCs/>
        </w:rPr>
        <w:t>utilize the QPL:</w:t>
      </w:r>
    </w:p>
    <w:p w14:paraId="4B3E04C4" w14:textId="729B21FA" w:rsidR="008C46F0" w:rsidRDefault="008C46F0" w:rsidP="008C46F0">
      <w:pPr>
        <w:pStyle w:val="ListParagraph"/>
        <w:numPr>
          <w:ilvl w:val="0"/>
          <w:numId w:val="58"/>
        </w:numPr>
        <w:spacing w:line="264" w:lineRule="auto"/>
        <w:rPr>
          <w:bCs/>
        </w:rPr>
      </w:pPr>
      <w:r>
        <w:rPr>
          <w:bCs/>
        </w:rPr>
        <w:t xml:space="preserve">The Infrared </w:t>
      </w:r>
      <w:proofErr w:type="spellStart"/>
      <w:r>
        <w:rPr>
          <w:bCs/>
        </w:rPr>
        <w:t>Charbroiler</w:t>
      </w:r>
      <w:proofErr w:type="spellEnd"/>
      <w:r>
        <w:rPr>
          <w:bCs/>
        </w:rPr>
        <w:t xml:space="preserve"> measures manufactured by Vulcan with the model numbers “VCCB25” and “VBBC60” could not be found in the QPL</w:t>
      </w:r>
      <w:r w:rsidR="008164F1">
        <w:rPr>
          <w:bCs/>
        </w:rPr>
        <w:t xml:space="preserve"> so verified savings utilize input values from the tracking data</w:t>
      </w:r>
      <w:r>
        <w:rPr>
          <w:bCs/>
        </w:rPr>
        <w:t>.</w:t>
      </w:r>
    </w:p>
    <w:p w14:paraId="31D495AF" w14:textId="6DDCCFF9" w:rsidR="00486CBC" w:rsidRDefault="00486CBC" w:rsidP="008C46F0">
      <w:pPr>
        <w:pStyle w:val="ListParagraph"/>
        <w:numPr>
          <w:ilvl w:val="0"/>
          <w:numId w:val="58"/>
        </w:numPr>
        <w:spacing w:line="264" w:lineRule="auto"/>
        <w:rPr>
          <w:bCs/>
        </w:rPr>
      </w:pPr>
      <w:r>
        <w:rPr>
          <w:bCs/>
        </w:rPr>
        <w:t xml:space="preserve">The Pre-Rinse Spray Valve measures manufactured by </w:t>
      </w:r>
      <w:proofErr w:type="spellStart"/>
      <w:r w:rsidR="00BE3EC3">
        <w:rPr>
          <w:bCs/>
        </w:rPr>
        <w:t>Niagra</w:t>
      </w:r>
      <w:proofErr w:type="spellEnd"/>
      <w:r w:rsidR="00BE3EC3">
        <w:rPr>
          <w:bCs/>
        </w:rPr>
        <w:t xml:space="preserve"> with the model number “N2180-1.1” could not be found in the QPL</w:t>
      </w:r>
      <w:r w:rsidR="008164F1">
        <w:rPr>
          <w:bCs/>
        </w:rPr>
        <w:t xml:space="preserve"> so verified savings utilize input values from the tracking data</w:t>
      </w:r>
      <w:r w:rsidR="00BE3EC3">
        <w:rPr>
          <w:bCs/>
        </w:rPr>
        <w:t>.</w:t>
      </w:r>
    </w:p>
    <w:p w14:paraId="03E54EFB" w14:textId="04ED2A2D" w:rsidR="008C46F0" w:rsidRDefault="009A3BE6" w:rsidP="008C46F0">
      <w:pPr>
        <w:pStyle w:val="ListParagraph"/>
        <w:numPr>
          <w:ilvl w:val="0"/>
          <w:numId w:val="58"/>
        </w:numPr>
        <w:spacing w:line="264" w:lineRule="auto"/>
        <w:rPr>
          <w:bCs/>
        </w:rPr>
      </w:pPr>
      <w:r>
        <w:rPr>
          <w:bCs/>
        </w:rPr>
        <w:t>The Fryer measure manufactured by Pitco with the model number “SSH60” in the tracking data did not have enough details provided in the tracking data’s model number to utilize the QPL</w:t>
      </w:r>
      <w:r w:rsidR="008164F1" w:rsidRPr="008164F1">
        <w:rPr>
          <w:bCs/>
        </w:rPr>
        <w:t xml:space="preserve"> </w:t>
      </w:r>
      <w:r w:rsidR="008164F1">
        <w:rPr>
          <w:bCs/>
        </w:rPr>
        <w:t>so verified savings utilize input values from the tracking data</w:t>
      </w:r>
      <w:r>
        <w:rPr>
          <w:bCs/>
        </w:rPr>
        <w:t>.</w:t>
      </w:r>
      <w:r w:rsidR="008C46F0" w:rsidRPr="008C46F0">
        <w:rPr>
          <w:bCs/>
        </w:rPr>
        <w:t xml:space="preserve"> </w:t>
      </w:r>
    </w:p>
    <w:p w14:paraId="40190DBA" w14:textId="3DD0AC94" w:rsidR="009A3BE6" w:rsidRDefault="008C46F0" w:rsidP="008C46F0">
      <w:pPr>
        <w:pStyle w:val="ListParagraph"/>
        <w:numPr>
          <w:ilvl w:val="0"/>
          <w:numId w:val="58"/>
        </w:numPr>
        <w:spacing w:line="264" w:lineRule="auto"/>
        <w:rPr>
          <w:bCs/>
        </w:rPr>
      </w:pPr>
      <w:r>
        <w:rPr>
          <w:bCs/>
        </w:rPr>
        <w:lastRenderedPageBreak/>
        <w:t>The Conveyor Oven &lt;25in measures had no information provided in the tracking data so verified savings utilize input values from the TRM.</w:t>
      </w:r>
    </w:p>
    <w:p w14:paraId="55A9431C" w14:textId="0EFE7ABF" w:rsidR="00D01A20" w:rsidRPr="008C46F0" w:rsidRDefault="00D01A20" w:rsidP="008C46F0">
      <w:pPr>
        <w:pStyle w:val="ListParagraph"/>
        <w:numPr>
          <w:ilvl w:val="0"/>
          <w:numId w:val="58"/>
        </w:numPr>
        <w:spacing w:line="264" w:lineRule="auto"/>
        <w:rPr>
          <w:bCs/>
        </w:rPr>
      </w:pPr>
      <w:r w:rsidRPr="00486CBC">
        <w:rPr>
          <w:bCs/>
        </w:rPr>
        <w:t>The Infrared Salamander Broiler utilizes the TRM algorithms and values because it is not clear which column contains the Energy Input Rate value, the main value listed in the QPL.</w:t>
      </w:r>
      <w:r w:rsidR="00954E15" w:rsidRPr="00954E15">
        <w:rPr>
          <w:bCs/>
        </w:rPr>
        <w:t xml:space="preserve"> </w:t>
      </w:r>
      <w:r w:rsidR="00954E15">
        <w:rPr>
          <w:bCs/>
        </w:rPr>
        <w:t xml:space="preserve">Verified savings utilize input values from </w:t>
      </w:r>
      <w:proofErr w:type="gramStart"/>
      <w:r w:rsidR="00954E15">
        <w:rPr>
          <w:bCs/>
        </w:rPr>
        <w:t>the tracking</w:t>
      </w:r>
      <w:proofErr w:type="gramEnd"/>
      <w:r w:rsidR="00954E15">
        <w:rPr>
          <w:bCs/>
        </w:rPr>
        <w:t xml:space="preserve"> data</w:t>
      </w:r>
      <w:r w:rsidR="00340501">
        <w:rPr>
          <w:bCs/>
        </w:rPr>
        <w:t>.</w:t>
      </w:r>
    </w:p>
    <w:p w14:paraId="1C307123" w14:textId="2C4A60F4" w:rsidR="009A3BE6" w:rsidRDefault="009A3BE6" w:rsidP="009A3BE6">
      <w:pPr>
        <w:pStyle w:val="ListParagraph"/>
        <w:numPr>
          <w:ilvl w:val="0"/>
          <w:numId w:val="58"/>
        </w:numPr>
        <w:spacing w:line="264" w:lineRule="auto"/>
        <w:rPr>
          <w:bCs/>
        </w:rPr>
      </w:pPr>
      <w:r>
        <w:rPr>
          <w:bCs/>
        </w:rPr>
        <w:t>The Pasta Cooker measure utilizes a deemed savings approach</w:t>
      </w:r>
      <w:r w:rsidR="008C46F0">
        <w:rPr>
          <w:bCs/>
        </w:rPr>
        <w:t>.</w:t>
      </w:r>
      <w:r w:rsidR="00954E15">
        <w:rPr>
          <w:bCs/>
        </w:rPr>
        <w:t xml:space="preserve"> This deemed value is used by both </w:t>
      </w:r>
      <w:proofErr w:type="gramStart"/>
      <w:r w:rsidR="00954E15">
        <w:rPr>
          <w:bCs/>
        </w:rPr>
        <w:t>ex ante</w:t>
      </w:r>
      <w:proofErr w:type="gramEnd"/>
      <w:r w:rsidR="00954E15">
        <w:rPr>
          <w:bCs/>
        </w:rPr>
        <w:t xml:space="preserve"> and verified savings.</w:t>
      </w:r>
    </w:p>
    <w:p w14:paraId="76E83B46" w14:textId="4D321B08" w:rsidR="009574F3" w:rsidRDefault="009A3BE6" w:rsidP="002E23F0">
      <w:pPr>
        <w:pStyle w:val="ListParagraph"/>
        <w:numPr>
          <w:ilvl w:val="0"/>
          <w:numId w:val="58"/>
        </w:numPr>
        <w:spacing w:line="264" w:lineRule="auto"/>
      </w:pPr>
      <w:r>
        <w:rPr>
          <w:bCs/>
        </w:rPr>
        <w:t>The Kitchen Demand Ventilation Controls measure only has incentive information listed in the QPL</w:t>
      </w:r>
      <w:r w:rsidR="00954E15">
        <w:rPr>
          <w:bCs/>
        </w:rPr>
        <w:t xml:space="preserve"> so verified savings utilize input values from the tracking data</w:t>
      </w:r>
      <w:r>
        <w:rPr>
          <w:bCs/>
        </w:rPr>
        <w:t>.</w:t>
      </w:r>
    </w:p>
    <w:p w14:paraId="0A09E31B" w14:textId="7BD6BBB8" w:rsidR="009574F3" w:rsidRPr="004C5D73" w:rsidRDefault="009574F3" w:rsidP="002E23F0">
      <w:pPr>
        <w:tabs>
          <w:tab w:val="left" w:pos="720"/>
        </w:tabs>
        <w:spacing w:line="264" w:lineRule="auto"/>
        <w:ind w:left="900" w:hanging="360"/>
      </w:pPr>
      <w:r w:rsidRPr="009574F3">
        <w:rPr>
          <w:b/>
        </w:rPr>
        <w:t xml:space="preserve"> </w:t>
      </w:r>
      <w:r w:rsidRPr="00BB5CF7">
        <w:rPr>
          <w:b/>
        </w:rPr>
        <w:t>Recommendation</w:t>
      </w:r>
      <w:r w:rsidRPr="00BB5CF7">
        <w:rPr>
          <w:b/>
          <w:bCs/>
        </w:rPr>
        <w:t xml:space="preserve"> </w:t>
      </w:r>
      <w:r w:rsidR="004C5D73">
        <w:rPr>
          <w:b/>
          <w:bCs/>
        </w:rPr>
        <w:t>3</w:t>
      </w:r>
      <w:r w:rsidRPr="00BB5CF7">
        <w:rPr>
          <w:b/>
          <w:bCs/>
        </w:rPr>
        <w:t>.</w:t>
      </w:r>
      <w:r>
        <w:rPr>
          <w:b/>
          <w:bCs/>
        </w:rPr>
        <w:t xml:space="preserve"> </w:t>
      </w:r>
      <w:r w:rsidR="004C5D73">
        <w:t>Review</w:t>
      </w:r>
      <w:r>
        <w:t xml:space="preserve"> </w:t>
      </w:r>
      <w:r w:rsidR="00125E03">
        <w:t xml:space="preserve">the model numbers provided in the tracking data </w:t>
      </w:r>
      <w:r w:rsidR="004C5D73">
        <w:t>against the</w:t>
      </w:r>
      <w:r w:rsidR="00125E03">
        <w:t xml:space="preserve"> QP</w:t>
      </w:r>
      <w:r w:rsidR="00D01A20">
        <w:t>L</w:t>
      </w:r>
      <w:r w:rsidR="004C5D73">
        <w:t xml:space="preserve"> to make sure the two align. Ensure the variable inputs are provided for all tracking data measures as appliable and that they are clearly labeled in the column header.</w:t>
      </w:r>
    </w:p>
    <w:p w14:paraId="1C576D80" w14:textId="66C4BC7E" w:rsidR="00B37320" w:rsidRPr="00B37320" w:rsidRDefault="00B37320" w:rsidP="00B37320">
      <w:pPr>
        <w:rPr>
          <w:bCs/>
        </w:rPr>
      </w:pPr>
      <w:r w:rsidRPr="00915A79">
        <w:rPr>
          <w:b/>
        </w:rPr>
        <w:t xml:space="preserve">Finding </w:t>
      </w:r>
      <w:r w:rsidR="004C5D73">
        <w:rPr>
          <w:b/>
        </w:rPr>
        <w:t>4</w:t>
      </w:r>
      <w:r w:rsidRPr="00915A79">
        <w:rPr>
          <w:b/>
        </w:rPr>
        <w:t>.</w:t>
      </w:r>
      <w:r>
        <w:rPr>
          <w:b/>
        </w:rPr>
        <w:t xml:space="preserve"> </w:t>
      </w:r>
      <w:r>
        <w:rPr>
          <w:bCs/>
        </w:rPr>
        <w:t xml:space="preserve">As noted during the </w:t>
      </w:r>
      <w:r w:rsidR="00C3412F">
        <w:rPr>
          <w:bCs/>
        </w:rPr>
        <w:t xml:space="preserve">midyear </w:t>
      </w:r>
      <w:r>
        <w:rPr>
          <w:bCs/>
        </w:rPr>
        <w:t>interim impact analysis</w:t>
      </w:r>
      <w:r w:rsidR="00FD4880">
        <w:rPr>
          <w:rStyle w:val="FootnoteReference"/>
          <w:bCs/>
        </w:rPr>
        <w:footnoteReference w:id="2"/>
      </w:r>
      <w:r>
        <w:rPr>
          <w:bCs/>
        </w:rPr>
        <w:t xml:space="preserve">, the evaluation team observed </w:t>
      </w:r>
      <w:proofErr w:type="gramStart"/>
      <w:r>
        <w:rPr>
          <w:bCs/>
        </w:rPr>
        <w:t>ex ante</w:t>
      </w:r>
      <w:proofErr w:type="gramEnd"/>
      <w:r>
        <w:rPr>
          <w:bCs/>
        </w:rPr>
        <w:t xml:space="preserve"> savings calculations </w:t>
      </w:r>
      <w:r w:rsidR="00C72BA0">
        <w:rPr>
          <w:bCs/>
        </w:rPr>
        <w:t>for the Kitchen Demand Ventilation Controls measure</w:t>
      </w:r>
      <w:r w:rsidR="005D605F">
        <w:rPr>
          <w:bCs/>
        </w:rPr>
        <w:t>s</w:t>
      </w:r>
      <w:r w:rsidR="00C72BA0">
        <w:rPr>
          <w:bCs/>
        </w:rPr>
        <w:t xml:space="preserve"> </w:t>
      </w:r>
      <w:r>
        <w:rPr>
          <w:bCs/>
        </w:rPr>
        <w:t>do not include the horsepower (HP) variable</w:t>
      </w:r>
      <w:r w:rsidR="00C72BA0">
        <w:rPr>
          <w:bCs/>
        </w:rPr>
        <w:t>. T</w:t>
      </w:r>
      <w:r>
        <w:rPr>
          <w:bCs/>
        </w:rPr>
        <w:t>he IL TRM v12.0 outlines this input as the second term</w:t>
      </w:r>
      <w:r w:rsidR="00C3412F">
        <w:rPr>
          <w:bCs/>
        </w:rPr>
        <w:t xml:space="preserve"> in the savings calculation. The </w:t>
      </w:r>
      <w:r w:rsidR="00D9229E">
        <w:rPr>
          <w:bCs/>
        </w:rPr>
        <w:t xml:space="preserve">tracking data has </w:t>
      </w:r>
      <w:r w:rsidR="00C3412F">
        <w:rPr>
          <w:bCs/>
        </w:rPr>
        <w:t xml:space="preserve">7.75 </w:t>
      </w:r>
      <w:r w:rsidR="00B15423">
        <w:rPr>
          <w:bCs/>
        </w:rPr>
        <w:t xml:space="preserve">HP </w:t>
      </w:r>
      <w:r w:rsidR="0028377C">
        <w:rPr>
          <w:bCs/>
        </w:rPr>
        <w:t>value, but</w:t>
      </w:r>
      <w:r w:rsidR="00C3412F">
        <w:rPr>
          <w:bCs/>
        </w:rPr>
        <w:t xml:space="preserve"> this value aligned with </w:t>
      </w:r>
      <w:r w:rsidR="00C72BA0">
        <w:rPr>
          <w:bCs/>
        </w:rPr>
        <w:t>a</w:t>
      </w:r>
      <w:r w:rsidR="00C3412F">
        <w:rPr>
          <w:bCs/>
        </w:rPr>
        <w:t xml:space="preserve"> previous version of the TRM</w:t>
      </w:r>
      <w:r w:rsidR="00C72BA0">
        <w:rPr>
          <w:bCs/>
        </w:rPr>
        <w:t>. The</w:t>
      </w:r>
      <w:r w:rsidR="0031420A">
        <w:rPr>
          <w:bCs/>
        </w:rPr>
        <w:t xml:space="preserve"> </w:t>
      </w:r>
      <w:r w:rsidR="00C3412F">
        <w:rPr>
          <w:bCs/>
        </w:rPr>
        <w:t xml:space="preserve">TRM v12.0 </w:t>
      </w:r>
      <w:r w:rsidR="00E02777">
        <w:rPr>
          <w:bCs/>
        </w:rPr>
        <w:t xml:space="preserve">for 2024 </w:t>
      </w:r>
      <w:r w:rsidR="00C3412F">
        <w:rPr>
          <w:bCs/>
        </w:rPr>
        <w:t>lists a value of 9.65</w:t>
      </w:r>
      <w:r w:rsidR="00684205">
        <w:rPr>
          <w:bCs/>
        </w:rPr>
        <w:t xml:space="preserve"> HP, which we used in the verified savings calculation</w:t>
      </w:r>
      <w:r w:rsidR="00C3412F">
        <w:rPr>
          <w:bCs/>
        </w:rPr>
        <w:t>.</w:t>
      </w:r>
    </w:p>
    <w:p w14:paraId="0DC9F6B2" w14:textId="244F482C" w:rsidR="00C3412F" w:rsidRDefault="00B37320" w:rsidP="00E80B0C">
      <w:pPr>
        <w:tabs>
          <w:tab w:val="left" w:pos="720"/>
        </w:tabs>
        <w:spacing w:line="264" w:lineRule="auto"/>
        <w:ind w:left="900" w:hanging="360"/>
      </w:pPr>
      <w:r w:rsidRPr="00BE1CA5">
        <w:rPr>
          <w:b/>
        </w:rPr>
        <w:t>Recommendation</w:t>
      </w:r>
      <w:r>
        <w:rPr>
          <w:b/>
          <w:bCs/>
        </w:rPr>
        <w:t xml:space="preserve"> </w:t>
      </w:r>
      <w:r w:rsidR="004C5D73">
        <w:rPr>
          <w:b/>
          <w:bCs/>
        </w:rPr>
        <w:t>4</w:t>
      </w:r>
      <w:r>
        <w:rPr>
          <w:b/>
          <w:bCs/>
        </w:rPr>
        <w:t xml:space="preserve">. </w:t>
      </w:r>
      <w:r w:rsidR="00C3412F">
        <w:t xml:space="preserve">Ensure tracking data inputs align with the most recent version of the </w:t>
      </w:r>
      <w:r w:rsidR="00DF214E">
        <w:t>TRM and</w:t>
      </w:r>
      <w:r w:rsidR="00C3412F">
        <w:t xml:space="preserve"> ensure ex ante savings calculations include all necessary inputs.</w:t>
      </w:r>
    </w:p>
    <w:p w14:paraId="1809B90C" w14:textId="739B32C8" w:rsidR="00C3412F" w:rsidRPr="00C3412F" w:rsidRDefault="00C3412F" w:rsidP="00C3412F">
      <w:pPr>
        <w:rPr>
          <w:bCs/>
        </w:rPr>
      </w:pPr>
      <w:r w:rsidRPr="00915A79">
        <w:rPr>
          <w:b/>
        </w:rPr>
        <w:t xml:space="preserve">Finding </w:t>
      </w:r>
      <w:r w:rsidR="004C5D73">
        <w:rPr>
          <w:b/>
        </w:rPr>
        <w:t>5</w:t>
      </w:r>
      <w:r w:rsidRPr="00915A79">
        <w:rPr>
          <w:b/>
        </w:rPr>
        <w:t>.</w:t>
      </w:r>
      <w:r>
        <w:rPr>
          <w:b/>
        </w:rPr>
        <w:t xml:space="preserve"> </w:t>
      </w:r>
      <w:r>
        <w:rPr>
          <w:bCs/>
        </w:rPr>
        <w:t xml:space="preserve">The IL TRM v12.0 Errata Memo has updated the Days value </w:t>
      </w:r>
      <w:r w:rsidR="0038296E">
        <w:rPr>
          <w:bCs/>
        </w:rPr>
        <w:t xml:space="preserve">for the Rack Oven – Double Oven measure </w:t>
      </w:r>
      <w:r>
        <w:rPr>
          <w:bCs/>
        </w:rPr>
        <w:t>to 365 with no language allowing a custom actual value</w:t>
      </w:r>
      <w:r w:rsidR="008A2A37">
        <w:rPr>
          <w:bCs/>
        </w:rPr>
        <w:t xml:space="preserve">. Verified savings use this </w:t>
      </w:r>
      <w:r w:rsidR="00C13260">
        <w:rPr>
          <w:bCs/>
        </w:rPr>
        <w:t xml:space="preserve">TRM </w:t>
      </w:r>
      <w:r w:rsidR="008A2A37">
        <w:rPr>
          <w:bCs/>
        </w:rPr>
        <w:t xml:space="preserve">value </w:t>
      </w:r>
      <w:r w:rsidR="006E2017">
        <w:rPr>
          <w:bCs/>
        </w:rPr>
        <w:t>instead of</w:t>
      </w:r>
      <w:r w:rsidR="008A2A37">
        <w:rPr>
          <w:bCs/>
        </w:rPr>
        <w:t xml:space="preserve"> the 312</w:t>
      </w:r>
      <w:r w:rsidR="00C13260">
        <w:rPr>
          <w:bCs/>
        </w:rPr>
        <w:t xml:space="preserve"> in the tracking data’s </w:t>
      </w:r>
      <w:proofErr w:type="spellStart"/>
      <w:r w:rsidR="00462546">
        <w:rPr>
          <w:bCs/>
        </w:rPr>
        <w:t>OperationDaysYear</w:t>
      </w:r>
      <w:proofErr w:type="spellEnd"/>
      <w:r w:rsidR="00462546">
        <w:rPr>
          <w:bCs/>
        </w:rPr>
        <w:t xml:space="preserve"> column.</w:t>
      </w:r>
    </w:p>
    <w:p w14:paraId="0801A248" w14:textId="10D84579" w:rsidR="00C3412F" w:rsidRDefault="00C3412F" w:rsidP="00E80B0C">
      <w:pPr>
        <w:tabs>
          <w:tab w:val="left" w:pos="720"/>
        </w:tabs>
        <w:spacing w:line="264" w:lineRule="auto"/>
        <w:ind w:left="900" w:hanging="360"/>
      </w:pPr>
      <w:r w:rsidRPr="00BE1CA5">
        <w:rPr>
          <w:b/>
        </w:rPr>
        <w:t>Recommendation</w:t>
      </w:r>
      <w:r>
        <w:rPr>
          <w:b/>
          <w:bCs/>
        </w:rPr>
        <w:t xml:space="preserve"> </w:t>
      </w:r>
      <w:r w:rsidR="004C5D73">
        <w:rPr>
          <w:b/>
          <w:bCs/>
        </w:rPr>
        <w:t>5</w:t>
      </w:r>
      <w:r>
        <w:rPr>
          <w:b/>
          <w:bCs/>
        </w:rPr>
        <w:t xml:space="preserve">. </w:t>
      </w:r>
      <w:r>
        <w:t xml:space="preserve">Ensure ex ante savings calculations </w:t>
      </w:r>
      <w:r w:rsidR="0085090A">
        <w:t xml:space="preserve">for </w:t>
      </w:r>
      <w:r w:rsidR="0085090A">
        <w:rPr>
          <w:bCs/>
        </w:rPr>
        <w:t>Rack Oven – Double Oven utilizes</w:t>
      </w:r>
      <w:r w:rsidR="00FA363E">
        <w:rPr>
          <w:bCs/>
        </w:rPr>
        <w:t xml:space="preserve"> deemed inputs from </w:t>
      </w:r>
      <w:r>
        <w:t xml:space="preserve">the </w:t>
      </w:r>
      <w:r w:rsidR="00387C7E">
        <w:t>current</w:t>
      </w:r>
      <w:r>
        <w:t xml:space="preserve"> TRM Errata Memo.</w:t>
      </w:r>
    </w:p>
    <w:p w14:paraId="3BD49BA5" w14:textId="4403A76F" w:rsidR="00B37320" w:rsidRDefault="00B37320" w:rsidP="00B37320">
      <w:pPr>
        <w:pStyle w:val="Heading4"/>
      </w:pPr>
      <w:r>
        <w:t>HVAC</w:t>
      </w:r>
    </w:p>
    <w:p w14:paraId="0119D4EE" w14:textId="7E3BF940" w:rsidR="00250A50" w:rsidRPr="00B37320" w:rsidRDefault="00250A50">
      <w:pPr>
        <w:rPr>
          <w:bCs/>
        </w:rPr>
      </w:pPr>
      <w:r w:rsidRPr="00915A79">
        <w:rPr>
          <w:b/>
        </w:rPr>
        <w:t xml:space="preserve">Finding </w:t>
      </w:r>
      <w:r w:rsidR="004C5D73">
        <w:rPr>
          <w:b/>
        </w:rPr>
        <w:t>6</w:t>
      </w:r>
      <w:r w:rsidRPr="00915A79">
        <w:rPr>
          <w:b/>
        </w:rPr>
        <w:t>.</w:t>
      </w:r>
      <w:r w:rsidR="00B37320">
        <w:rPr>
          <w:b/>
        </w:rPr>
        <w:t xml:space="preserve"> </w:t>
      </w:r>
      <w:r w:rsidR="00C3412F">
        <w:rPr>
          <w:bCs/>
        </w:rPr>
        <w:t>As noted during the midyear interim impact analysis, the evaluation team observed ex ante savings utilize the tracking data column ‘Utilization</w:t>
      </w:r>
      <w:r w:rsidR="0028377C">
        <w:rPr>
          <w:bCs/>
        </w:rPr>
        <w:t xml:space="preserve"> </w:t>
      </w:r>
      <w:r w:rsidR="00C3412F">
        <w:rPr>
          <w:bCs/>
        </w:rPr>
        <w:t xml:space="preserve">Factor’ for the T1 variable’s value for all Steam Trap measures. The source of these values is unclear, they should be based on an equation provided in IL TRM v12.0. Verified savings </w:t>
      </w:r>
      <w:r w:rsidR="00532554">
        <w:rPr>
          <w:bCs/>
        </w:rPr>
        <w:t xml:space="preserve">use </w:t>
      </w:r>
      <w:r w:rsidR="00C3412F">
        <w:rPr>
          <w:bCs/>
        </w:rPr>
        <w:t>the IL TRM v12</w:t>
      </w:r>
      <w:r w:rsidR="004B1E31">
        <w:rPr>
          <w:bCs/>
        </w:rPr>
        <w:t>.0</w:t>
      </w:r>
      <w:r w:rsidR="00C3412F">
        <w:rPr>
          <w:bCs/>
        </w:rPr>
        <w:t xml:space="preserve"> equation to calculate the T1 value.</w:t>
      </w:r>
      <w:r w:rsidR="00B37320">
        <w:rPr>
          <w:bCs/>
        </w:rPr>
        <w:t xml:space="preserve"> </w:t>
      </w:r>
    </w:p>
    <w:p w14:paraId="2ED60FC9" w14:textId="18B94F2C" w:rsidR="00B37320" w:rsidRPr="00E80B0C" w:rsidRDefault="00250A50" w:rsidP="00E80B0C">
      <w:pPr>
        <w:tabs>
          <w:tab w:val="left" w:pos="720"/>
        </w:tabs>
        <w:spacing w:line="264" w:lineRule="auto"/>
        <w:ind w:left="900" w:hanging="360"/>
      </w:pPr>
      <w:r w:rsidRPr="00BE1CA5">
        <w:rPr>
          <w:b/>
        </w:rPr>
        <w:t>Recommendation</w:t>
      </w:r>
      <w:r>
        <w:rPr>
          <w:b/>
          <w:bCs/>
        </w:rPr>
        <w:t xml:space="preserve"> </w:t>
      </w:r>
      <w:r w:rsidR="004C5D73">
        <w:rPr>
          <w:b/>
          <w:bCs/>
        </w:rPr>
        <w:t>6</w:t>
      </w:r>
      <w:r>
        <w:rPr>
          <w:b/>
          <w:bCs/>
        </w:rPr>
        <w:t xml:space="preserve">. </w:t>
      </w:r>
      <w:r w:rsidR="00C3412F">
        <w:t>Provide more information on the source of the T1 values in the ‘Utilization</w:t>
      </w:r>
      <w:r w:rsidR="0028377C">
        <w:t xml:space="preserve"> </w:t>
      </w:r>
      <w:r w:rsidR="00C3412F">
        <w:t xml:space="preserve">Factor’ column of the tracking </w:t>
      </w:r>
      <w:r w:rsidR="00833940">
        <w:t>data or</w:t>
      </w:r>
      <w:r w:rsidR="00C3412F">
        <w:t xml:space="preserve"> ensure the tracking data inputs align with the </w:t>
      </w:r>
      <w:r w:rsidR="000427CF">
        <w:t>current</w:t>
      </w:r>
      <w:r w:rsidR="00C3412F">
        <w:t xml:space="preserve"> IL TRM.</w:t>
      </w:r>
    </w:p>
    <w:p w14:paraId="0887E7F8" w14:textId="58C01939" w:rsidR="00B37320" w:rsidRPr="00C3412F" w:rsidRDefault="00B37320" w:rsidP="00B37320">
      <w:pPr>
        <w:rPr>
          <w:bCs/>
        </w:rPr>
      </w:pPr>
      <w:r w:rsidRPr="00915A79">
        <w:rPr>
          <w:b/>
        </w:rPr>
        <w:t xml:space="preserve">Finding </w:t>
      </w:r>
      <w:r w:rsidR="004C5D73">
        <w:rPr>
          <w:b/>
        </w:rPr>
        <w:t>7</w:t>
      </w:r>
      <w:r w:rsidRPr="00915A79">
        <w:rPr>
          <w:b/>
        </w:rPr>
        <w:t>.</w:t>
      </w:r>
      <w:r w:rsidR="00C3412F">
        <w:rPr>
          <w:b/>
        </w:rPr>
        <w:t xml:space="preserve"> </w:t>
      </w:r>
      <w:r w:rsidR="00C3412F">
        <w:rPr>
          <w:bCs/>
        </w:rPr>
        <w:t>The evaluation team was unable to recreate ex ante savings for some High Efficiency Furnace, High Efficiency Boiler, Boiler Chemical Descaling, and Boiler Tune Up, Process measures. Verified savings use information provided in the tracking data and the IL TRM v12.0.</w:t>
      </w:r>
    </w:p>
    <w:p w14:paraId="64A81140" w14:textId="3E79AFC0" w:rsidR="00B37320" w:rsidRDefault="00B37320" w:rsidP="00E80B0C">
      <w:pPr>
        <w:tabs>
          <w:tab w:val="left" w:pos="720"/>
        </w:tabs>
        <w:spacing w:line="264" w:lineRule="auto"/>
        <w:ind w:left="900" w:hanging="360"/>
      </w:pPr>
      <w:r w:rsidRPr="00BE1CA5">
        <w:rPr>
          <w:b/>
        </w:rPr>
        <w:lastRenderedPageBreak/>
        <w:t>Recommendation</w:t>
      </w:r>
      <w:r>
        <w:rPr>
          <w:b/>
          <w:bCs/>
        </w:rPr>
        <w:t xml:space="preserve"> </w:t>
      </w:r>
      <w:r w:rsidR="004C5D73">
        <w:rPr>
          <w:b/>
          <w:bCs/>
        </w:rPr>
        <w:t>7</w:t>
      </w:r>
      <w:r>
        <w:rPr>
          <w:b/>
          <w:bCs/>
        </w:rPr>
        <w:t xml:space="preserve">. </w:t>
      </w:r>
      <w:r w:rsidR="00C3412F">
        <w:t xml:space="preserve">Ensure the input values </w:t>
      </w:r>
      <w:r w:rsidR="00E82460">
        <w:t>provided in the tracking data for the High Efficiency Furnace, High Efficiency Boiler, Boiler Chemical Descaling, and Boiler Tune Up, Process measures support</w:t>
      </w:r>
      <w:r w:rsidR="00C3412F">
        <w:t xml:space="preserve"> the </w:t>
      </w:r>
      <w:proofErr w:type="spellStart"/>
      <w:proofErr w:type="gramStart"/>
      <w:r w:rsidR="00C3412F">
        <w:t>ex ante</w:t>
      </w:r>
      <w:proofErr w:type="spellEnd"/>
      <w:proofErr w:type="gramEnd"/>
      <w:r w:rsidR="00C3412F">
        <w:t xml:space="preserve"> savings in the tracking data.</w:t>
      </w:r>
    </w:p>
    <w:p w14:paraId="62B0551B" w14:textId="599D41E1" w:rsidR="00B37320" w:rsidRPr="00C3412F" w:rsidRDefault="00B37320" w:rsidP="00B37320">
      <w:pPr>
        <w:rPr>
          <w:bCs/>
        </w:rPr>
      </w:pPr>
      <w:r w:rsidRPr="00915A79">
        <w:rPr>
          <w:b/>
        </w:rPr>
        <w:t xml:space="preserve">Finding </w:t>
      </w:r>
      <w:r w:rsidR="004C5D73">
        <w:rPr>
          <w:b/>
        </w:rPr>
        <w:t>8</w:t>
      </w:r>
      <w:r w:rsidRPr="00915A79">
        <w:rPr>
          <w:b/>
        </w:rPr>
        <w:t>.</w:t>
      </w:r>
      <w:r w:rsidR="00C3412F">
        <w:rPr>
          <w:b/>
        </w:rPr>
        <w:t xml:space="preserve"> </w:t>
      </w:r>
      <w:r w:rsidR="00532554">
        <w:rPr>
          <w:bCs/>
        </w:rPr>
        <w:t xml:space="preserve">The evaluation team </w:t>
      </w:r>
      <w:r w:rsidR="00E1609A">
        <w:rPr>
          <w:bCs/>
        </w:rPr>
        <w:t xml:space="preserve">found the values in </w:t>
      </w:r>
      <w:proofErr w:type="spellStart"/>
      <w:r w:rsidR="001B0D59">
        <w:rPr>
          <w:bCs/>
        </w:rPr>
        <w:t>PreInstallationEfficiency</w:t>
      </w:r>
      <w:proofErr w:type="spellEnd"/>
      <w:r w:rsidR="001B0D59">
        <w:rPr>
          <w:bCs/>
        </w:rPr>
        <w:t xml:space="preserve"> and </w:t>
      </w:r>
      <w:proofErr w:type="spellStart"/>
      <w:r w:rsidR="001B0D59">
        <w:rPr>
          <w:bCs/>
        </w:rPr>
        <w:t>PostInstallationEfficienc</w:t>
      </w:r>
      <w:r w:rsidR="00486814">
        <w:rPr>
          <w:bCs/>
        </w:rPr>
        <w:t>y</w:t>
      </w:r>
      <w:proofErr w:type="spellEnd"/>
      <w:r w:rsidR="00486814">
        <w:rPr>
          <w:bCs/>
        </w:rPr>
        <w:t xml:space="preserve"> tracking data columns</w:t>
      </w:r>
      <w:r w:rsidR="001B0D59">
        <w:rPr>
          <w:bCs/>
        </w:rPr>
        <w:t xml:space="preserve"> were </w:t>
      </w:r>
      <w:r w:rsidR="00C7449D">
        <w:rPr>
          <w:bCs/>
        </w:rPr>
        <w:t>switched for</w:t>
      </w:r>
      <w:r w:rsidR="007E6CD9">
        <w:rPr>
          <w:bCs/>
        </w:rPr>
        <w:t xml:space="preserve"> </w:t>
      </w:r>
      <w:r w:rsidR="00776116">
        <w:rPr>
          <w:bCs/>
        </w:rPr>
        <w:t>Boiler Tune Up, Process</w:t>
      </w:r>
      <w:r w:rsidR="00024E75">
        <w:rPr>
          <w:bCs/>
        </w:rPr>
        <w:t>’</w:t>
      </w:r>
      <w:r w:rsidR="00776116">
        <w:rPr>
          <w:bCs/>
        </w:rPr>
        <w:t xml:space="preserve"> </w:t>
      </w:r>
      <w:proofErr w:type="spellStart"/>
      <w:r w:rsidR="00776116">
        <w:rPr>
          <w:bCs/>
        </w:rPr>
        <w:t>MeasureID_IC</w:t>
      </w:r>
      <w:proofErr w:type="spellEnd"/>
      <w:r w:rsidR="00776116">
        <w:rPr>
          <w:bCs/>
        </w:rPr>
        <w:t xml:space="preserve"> </w:t>
      </w:r>
      <w:r w:rsidR="00776116" w:rsidRPr="00776116">
        <w:rPr>
          <w:bCs/>
        </w:rPr>
        <w:t xml:space="preserve">MLI </w:t>
      </w:r>
      <w:r w:rsidR="00776116">
        <w:rPr>
          <w:bCs/>
        </w:rPr>
        <w:t>–</w:t>
      </w:r>
      <w:r w:rsidR="00776116" w:rsidRPr="00776116">
        <w:rPr>
          <w:bCs/>
        </w:rPr>
        <w:t xml:space="preserve"> 24180565</w:t>
      </w:r>
      <w:r w:rsidR="00776116">
        <w:rPr>
          <w:bCs/>
        </w:rPr>
        <w:t xml:space="preserve"> and </w:t>
      </w:r>
      <w:r w:rsidR="00B7755E">
        <w:rPr>
          <w:bCs/>
        </w:rPr>
        <w:t>Boiler Tune Up, Space Heating</w:t>
      </w:r>
      <w:r w:rsidR="00024E75">
        <w:rPr>
          <w:bCs/>
        </w:rPr>
        <w:t>’s</w:t>
      </w:r>
      <w:r w:rsidR="00B7755E">
        <w:rPr>
          <w:bCs/>
        </w:rPr>
        <w:t xml:space="preserve"> </w:t>
      </w:r>
      <w:proofErr w:type="spellStart"/>
      <w:r w:rsidR="00B7755E">
        <w:rPr>
          <w:bCs/>
        </w:rPr>
        <w:t>MeasureID_IC</w:t>
      </w:r>
      <w:proofErr w:type="spellEnd"/>
      <w:r w:rsidR="00B7755E">
        <w:rPr>
          <w:bCs/>
        </w:rPr>
        <w:t xml:space="preserve"> </w:t>
      </w:r>
      <w:r w:rsidR="00B7755E" w:rsidRPr="00B7755E">
        <w:rPr>
          <w:bCs/>
        </w:rPr>
        <w:t xml:space="preserve">MLI </w:t>
      </w:r>
      <w:r w:rsidR="00B7755E">
        <w:rPr>
          <w:bCs/>
        </w:rPr>
        <w:t>–</w:t>
      </w:r>
      <w:r w:rsidR="00B7755E" w:rsidRPr="00B7755E">
        <w:rPr>
          <w:bCs/>
        </w:rPr>
        <w:t xml:space="preserve"> 19979260</w:t>
      </w:r>
      <w:r w:rsidR="00B7755E">
        <w:rPr>
          <w:bCs/>
        </w:rPr>
        <w:t xml:space="preserve">. </w:t>
      </w:r>
      <w:r w:rsidR="002E5809">
        <w:rPr>
          <w:bCs/>
        </w:rPr>
        <w:t xml:space="preserve">The values as written were </w:t>
      </w:r>
      <w:r w:rsidR="00BB0B73">
        <w:rPr>
          <w:bCs/>
        </w:rPr>
        <w:t xml:space="preserve">producing negative savings, so verified savings utilize the </w:t>
      </w:r>
      <w:proofErr w:type="spellStart"/>
      <w:r w:rsidR="00BB0B73">
        <w:rPr>
          <w:bCs/>
        </w:rPr>
        <w:t>PostInstallationEffieciency</w:t>
      </w:r>
      <w:proofErr w:type="spellEnd"/>
      <w:r w:rsidR="00BB0B73">
        <w:rPr>
          <w:bCs/>
        </w:rPr>
        <w:t xml:space="preserve"> value for the </w:t>
      </w:r>
      <w:r w:rsidR="00497940">
        <w:rPr>
          <w:bCs/>
        </w:rPr>
        <w:t xml:space="preserve">Pre-installation efficiency variable and the </w:t>
      </w:r>
      <w:proofErr w:type="spellStart"/>
      <w:r w:rsidR="00856276">
        <w:rPr>
          <w:bCs/>
        </w:rPr>
        <w:t>PreInstallationEfficiency</w:t>
      </w:r>
      <w:proofErr w:type="spellEnd"/>
      <w:r w:rsidR="00856276">
        <w:rPr>
          <w:bCs/>
        </w:rPr>
        <w:t xml:space="preserve"> </w:t>
      </w:r>
      <w:r w:rsidR="00497940">
        <w:rPr>
          <w:bCs/>
        </w:rPr>
        <w:t xml:space="preserve">value for the </w:t>
      </w:r>
      <w:proofErr w:type="gramStart"/>
      <w:r w:rsidR="00497940">
        <w:rPr>
          <w:bCs/>
        </w:rPr>
        <w:t>Post-installation</w:t>
      </w:r>
      <w:proofErr w:type="gramEnd"/>
      <w:r w:rsidR="00497940">
        <w:rPr>
          <w:bCs/>
        </w:rPr>
        <w:t xml:space="preserve"> efficiency variable.</w:t>
      </w:r>
      <w:r w:rsidR="00856276">
        <w:rPr>
          <w:bCs/>
        </w:rPr>
        <w:t xml:space="preserve"> This had no impact on the realization rate.</w:t>
      </w:r>
    </w:p>
    <w:p w14:paraId="4BAD777B" w14:textId="1B65DEDC" w:rsidR="003A7B25" w:rsidRPr="00E80B0C" w:rsidRDefault="00B37320" w:rsidP="00E80B0C">
      <w:pPr>
        <w:tabs>
          <w:tab w:val="left" w:pos="720"/>
        </w:tabs>
        <w:spacing w:line="264" w:lineRule="auto"/>
        <w:ind w:left="900" w:hanging="360"/>
      </w:pPr>
      <w:r w:rsidRPr="00BE1CA5">
        <w:rPr>
          <w:b/>
        </w:rPr>
        <w:t>Recommendation</w:t>
      </w:r>
      <w:r>
        <w:rPr>
          <w:b/>
          <w:bCs/>
        </w:rPr>
        <w:t xml:space="preserve"> </w:t>
      </w:r>
      <w:r w:rsidR="004C5D73">
        <w:rPr>
          <w:b/>
          <w:bCs/>
        </w:rPr>
        <w:t>8</w:t>
      </w:r>
      <w:r>
        <w:rPr>
          <w:b/>
          <w:bCs/>
        </w:rPr>
        <w:t xml:space="preserve">. </w:t>
      </w:r>
      <w:r w:rsidR="00856276">
        <w:t xml:space="preserve">Ensure the values provided in the </w:t>
      </w:r>
      <w:proofErr w:type="spellStart"/>
      <w:r w:rsidR="00856276">
        <w:rPr>
          <w:bCs/>
        </w:rPr>
        <w:t>PreInstallationEfficiency</w:t>
      </w:r>
      <w:proofErr w:type="spellEnd"/>
      <w:r w:rsidR="00856276">
        <w:rPr>
          <w:bCs/>
        </w:rPr>
        <w:t xml:space="preserve"> and </w:t>
      </w:r>
      <w:proofErr w:type="spellStart"/>
      <w:r w:rsidR="00856276">
        <w:rPr>
          <w:bCs/>
        </w:rPr>
        <w:t>PostInstallationEfficiency</w:t>
      </w:r>
      <w:proofErr w:type="spellEnd"/>
      <w:r w:rsidR="00856276">
        <w:rPr>
          <w:bCs/>
        </w:rPr>
        <w:t xml:space="preserve"> tracking data columns are accurate and support the </w:t>
      </w:r>
      <w:proofErr w:type="spellStart"/>
      <w:proofErr w:type="gramStart"/>
      <w:r w:rsidR="00856276">
        <w:rPr>
          <w:bCs/>
        </w:rPr>
        <w:t>ex ante</w:t>
      </w:r>
      <w:proofErr w:type="spellEnd"/>
      <w:proofErr w:type="gramEnd"/>
      <w:r w:rsidR="00856276">
        <w:rPr>
          <w:bCs/>
        </w:rPr>
        <w:t xml:space="preserve"> savings calculation.</w:t>
      </w:r>
    </w:p>
    <w:p w14:paraId="2F7F2AC4" w14:textId="42C352EF" w:rsidR="00B37320" w:rsidRDefault="00B37320" w:rsidP="00B37320">
      <w:pPr>
        <w:rPr>
          <w:bCs/>
        </w:rPr>
      </w:pPr>
      <w:r w:rsidRPr="00915A79">
        <w:rPr>
          <w:b/>
        </w:rPr>
        <w:t xml:space="preserve">Finding </w:t>
      </w:r>
      <w:r w:rsidR="00F77862">
        <w:rPr>
          <w:b/>
        </w:rPr>
        <w:t>9</w:t>
      </w:r>
      <w:r w:rsidRPr="00915A79">
        <w:rPr>
          <w:b/>
        </w:rPr>
        <w:t>.</w:t>
      </w:r>
      <w:r w:rsidR="00C3412F">
        <w:rPr>
          <w:b/>
        </w:rPr>
        <w:t xml:space="preserve"> </w:t>
      </w:r>
      <w:r w:rsidR="007C5D1B">
        <w:rPr>
          <w:bCs/>
        </w:rPr>
        <w:t xml:space="preserve">Verified savings treat the </w:t>
      </w:r>
      <w:r w:rsidR="0020115E">
        <w:rPr>
          <w:bCs/>
        </w:rPr>
        <w:t xml:space="preserve">tracking data measures </w:t>
      </w:r>
      <w:r w:rsidR="0020115E" w:rsidRPr="0020115E">
        <w:rPr>
          <w:bCs/>
        </w:rPr>
        <w:t>Condensing Boilers, &gt;90%</w:t>
      </w:r>
      <w:r w:rsidR="0020115E">
        <w:rPr>
          <w:bCs/>
        </w:rPr>
        <w:t xml:space="preserve"> and </w:t>
      </w:r>
      <w:r w:rsidR="005F3B64">
        <w:rPr>
          <w:bCs/>
        </w:rPr>
        <w:t>Non-</w:t>
      </w:r>
      <w:r w:rsidR="0020115E" w:rsidRPr="0020115E">
        <w:rPr>
          <w:bCs/>
        </w:rPr>
        <w:t>Condensing Boilers, &gt;</w:t>
      </w:r>
      <w:r w:rsidR="005F3B64">
        <w:rPr>
          <w:bCs/>
        </w:rPr>
        <w:t>85</w:t>
      </w:r>
      <w:r w:rsidR="0020115E" w:rsidRPr="0020115E">
        <w:rPr>
          <w:bCs/>
        </w:rPr>
        <w:t>%</w:t>
      </w:r>
      <w:r w:rsidR="005F3B64">
        <w:rPr>
          <w:bCs/>
        </w:rPr>
        <w:t xml:space="preserve"> as Hot Water High Efficiency Boilers. </w:t>
      </w:r>
      <w:r w:rsidR="007C5D1B">
        <w:rPr>
          <w:bCs/>
        </w:rPr>
        <w:t>The IL TRM v12.0 Errata Memo has</w:t>
      </w:r>
      <w:r w:rsidR="005F3B64">
        <w:rPr>
          <w:bCs/>
        </w:rPr>
        <w:t xml:space="preserve"> updated the baseline efficiency values for measures </w:t>
      </w:r>
      <w:r w:rsidR="00340B89">
        <w:rPr>
          <w:bCs/>
        </w:rPr>
        <w:t>with capacity ranging from 300,00 to 2,500,000 Btu/</w:t>
      </w:r>
      <w:proofErr w:type="spellStart"/>
      <w:r w:rsidR="00340B89">
        <w:rPr>
          <w:bCs/>
        </w:rPr>
        <w:t>hr</w:t>
      </w:r>
      <w:proofErr w:type="spellEnd"/>
      <w:r w:rsidR="00340B89">
        <w:rPr>
          <w:bCs/>
        </w:rPr>
        <w:t xml:space="preserve"> </w:t>
      </w:r>
      <w:r w:rsidR="005F3B64">
        <w:rPr>
          <w:bCs/>
        </w:rPr>
        <w:t xml:space="preserve">from 84% to 80%. </w:t>
      </w:r>
      <w:r w:rsidR="00340B89">
        <w:rPr>
          <w:bCs/>
        </w:rPr>
        <w:t xml:space="preserve">This </w:t>
      </w:r>
      <w:r w:rsidR="005E3E42">
        <w:rPr>
          <w:bCs/>
        </w:rPr>
        <w:t>update was necessary for</w:t>
      </w:r>
      <w:r w:rsidR="00340B89">
        <w:rPr>
          <w:bCs/>
        </w:rPr>
        <w:t xml:space="preserve"> all measures except for </w:t>
      </w:r>
      <w:proofErr w:type="spellStart"/>
      <w:r w:rsidR="00B776AE">
        <w:rPr>
          <w:bCs/>
        </w:rPr>
        <w:t>MeasureID_IC</w:t>
      </w:r>
      <w:proofErr w:type="spellEnd"/>
      <w:r w:rsidR="00B776AE">
        <w:rPr>
          <w:bCs/>
        </w:rPr>
        <w:t xml:space="preserve"> </w:t>
      </w:r>
      <w:r w:rsidR="00B776AE" w:rsidRPr="00B776AE">
        <w:rPr>
          <w:bCs/>
        </w:rPr>
        <w:t xml:space="preserve">MLI </w:t>
      </w:r>
      <w:r w:rsidR="00B776AE">
        <w:rPr>
          <w:bCs/>
        </w:rPr>
        <w:t>–</w:t>
      </w:r>
      <w:r w:rsidR="00B776AE" w:rsidRPr="00B776AE">
        <w:rPr>
          <w:bCs/>
        </w:rPr>
        <w:t xml:space="preserve"> 17905225</w:t>
      </w:r>
      <w:r w:rsidR="00B776AE">
        <w:rPr>
          <w:bCs/>
        </w:rPr>
        <w:t xml:space="preserve"> and </w:t>
      </w:r>
      <w:r w:rsidR="00E8142B" w:rsidRPr="00E8142B">
        <w:rPr>
          <w:bCs/>
        </w:rPr>
        <w:t xml:space="preserve">MLI </w:t>
      </w:r>
      <w:r w:rsidR="00E8142B">
        <w:rPr>
          <w:bCs/>
        </w:rPr>
        <w:t>–</w:t>
      </w:r>
      <w:r w:rsidR="00E8142B" w:rsidRPr="00E8142B">
        <w:rPr>
          <w:bCs/>
        </w:rPr>
        <w:t xml:space="preserve"> 17905248</w:t>
      </w:r>
      <w:r w:rsidR="00E8142B">
        <w:rPr>
          <w:bCs/>
        </w:rPr>
        <w:t xml:space="preserve"> since they have a capacity of 199,000 </w:t>
      </w:r>
      <w:proofErr w:type="spellStart"/>
      <w:r w:rsidR="00E8142B">
        <w:rPr>
          <w:bCs/>
        </w:rPr>
        <w:t>Btuh</w:t>
      </w:r>
      <w:proofErr w:type="spellEnd"/>
      <w:r w:rsidR="00E8142B">
        <w:rPr>
          <w:bCs/>
        </w:rPr>
        <w:t>/</w:t>
      </w:r>
      <w:proofErr w:type="spellStart"/>
      <w:r w:rsidR="00E8142B">
        <w:rPr>
          <w:bCs/>
        </w:rPr>
        <w:t>hr</w:t>
      </w:r>
      <w:proofErr w:type="spellEnd"/>
      <w:r w:rsidR="00E8142B">
        <w:rPr>
          <w:bCs/>
        </w:rPr>
        <w:t xml:space="preserve"> in the tracking data.</w:t>
      </w:r>
      <w:r w:rsidR="005E3E42">
        <w:rPr>
          <w:bCs/>
        </w:rPr>
        <w:t xml:space="preserve"> </w:t>
      </w:r>
      <w:r w:rsidR="0002763E">
        <w:rPr>
          <w:bCs/>
        </w:rPr>
        <w:t>Some measures that were impacted had a realization rate of 1</w:t>
      </w:r>
      <w:r w:rsidR="00CB34A8">
        <w:rPr>
          <w:bCs/>
        </w:rPr>
        <w:t>00%</w:t>
      </w:r>
      <w:r w:rsidR="00E53A63">
        <w:rPr>
          <w:bCs/>
        </w:rPr>
        <w:t>, indicating these correctly incorporate the errata, while others did not.</w:t>
      </w:r>
    </w:p>
    <w:p w14:paraId="3C9860D1" w14:textId="5A5183F3" w:rsidR="00B37320" w:rsidRPr="00E53A63" w:rsidRDefault="00B37320" w:rsidP="00B37320">
      <w:pPr>
        <w:tabs>
          <w:tab w:val="left" w:pos="720"/>
        </w:tabs>
        <w:spacing w:line="264" w:lineRule="auto"/>
        <w:ind w:left="900" w:hanging="360"/>
      </w:pPr>
      <w:r w:rsidRPr="00BE1CA5">
        <w:rPr>
          <w:b/>
        </w:rPr>
        <w:t>Recommendation</w:t>
      </w:r>
      <w:r>
        <w:rPr>
          <w:b/>
          <w:bCs/>
        </w:rPr>
        <w:t xml:space="preserve"> </w:t>
      </w:r>
      <w:r w:rsidR="00F77862">
        <w:rPr>
          <w:b/>
          <w:bCs/>
        </w:rPr>
        <w:t>9</w:t>
      </w:r>
      <w:r>
        <w:rPr>
          <w:b/>
          <w:bCs/>
        </w:rPr>
        <w:t xml:space="preserve">. </w:t>
      </w:r>
      <w:r w:rsidR="00E53A63">
        <w:t xml:space="preserve">Ensure ex ante savings </w:t>
      </w:r>
      <w:r w:rsidR="0013435C">
        <w:t xml:space="preserve">from boilers </w:t>
      </w:r>
      <w:r w:rsidR="00E53A63">
        <w:t xml:space="preserve">align with the </w:t>
      </w:r>
      <w:r w:rsidR="0013435C">
        <w:t xml:space="preserve">applicable </w:t>
      </w:r>
      <w:r w:rsidR="00E53A63">
        <w:t>IL TRM, and values reported in the tracking data consistently support ex ante savings calculations.</w:t>
      </w:r>
    </w:p>
    <w:p w14:paraId="3F4A666F" w14:textId="043FD50D" w:rsidR="00F77862" w:rsidRDefault="00F77862" w:rsidP="00F77862">
      <w:pPr>
        <w:rPr>
          <w:bCs/>
        </w:rPr>
      </w:pPr>
      <w:r w:rsidRPr="00915A79">
        <w:rPr>
          <w:b/>
        </w:rPr>
        <w:t xml:space="preserve">Finding </w:t>
      </w:r>
      <w:r>
        <w:rPr>
          <w:b/>
        </w:rPr>
        <w:t>10</w:t>
      </w:r>
      <w:r w:rsidRPr="00915A79">
        <w:rPr>
          <w:b/>
        </w:rPr>
        <w:t>.</w:t>
      </w:r>
      <w:r>
        <w:rPr>
          <w:b/>
        </w:rPr>
        <w:t xml:space="preserve"> </w:t>
      </w:r>
      <w:r>
        <w:rPr>
          <w:bCs/>
        </w:rPr>
        <w:t>The evaluation team had the following observations surrounding Equivalent Full Load Hours (EFLH):</w:t>
      </w:r>
    </w:p>
    <w:p w14:paraId="2448806D" w14:textId="1FDD0A0C" w:rsidR="00F77862" w:rsidRDefault="00F77862" w:rsidP="00F77862">
      <w:pPr>
        <w:pStyle w:val="ListParagraph"/>
        <w:numPr>
          <w:ilvl w:val="0"/>
          <w:numId w:val="62"/>
        </w:numPr>
        <w:rPr>
          <w:bCs/>
        </w:rPr>
      </w:pPr>
      <w:r>
        <w:rPr>
          <w:bCs/>
        </w:rPr>
        <w:t xml:space="preserve">High Efficiency Furnace’s </w:t>
      </w:r>
      <w:proofErr w:type="spellStart"/>
      <w:r>
        <w:rPr>
          <w:bCs/>
        </w:rPr>
        <w:t>MeasureID_IC</w:t>
      </w:r>
      <w:proofErr w:type="spellEnd"/>
      <w:r>
        <w:rPr>
          <w:bCs/>
        </w:rPr>
        <w:t xml:space="preserve"> </w:t>
      </w:r>
      <w:r w:rsidRPr="00372103">
        <w:rPr>
          <w:bCs/>
        </w:rPr>
        <w:t xml:space="preserve">MLI </w:t>
      </w:r>
      <w:r>
        <w:rPr>
          <w:bCs/>
        </w:rPr>
        <w:t>–</w:t>
      </w:r>
      <w:r w:rsidRPr="00372103">
        <w:rPr>
          <w:bCs/>
        </w:rPr>
        <w:t xml:space="preserve"> 21376391</w:t>
      </w:r>
      <w:r>
        <w:rPr>
          <w:bCs/>
        </w:rPr>
        <w:t xml:space="preserve"> was reported as having an Office – Low Rise building type in the tracking data, but the value in the tracking data</w:t>
      </w:r>
      <w:r w:rsidR="00473BA0">
        <w:rPr>
          <w:bCs/>
        </w:rPr>
        <w:t xml:space="preserve">’s </w:t>
      </w:r>
      <w:proofErr w:type="spellStart"/>
      <w:r w:rsidR="00473BA0" w:rsidRPr="00473BA0">
        <w:rPr>
          <w:bCs/>
        </w:rPr>
        <w:t>EquivalentFullLoadHours</w:t>
      </w:r>
      <w:proofErr w:type="spellEnd"/>
      <w:r w:rsidR="00473BA0">
        <w:rPr>
          <w:bCs/>
        </w:rPr>
        <w:t xml:space="preserve"> column</w:t>
      </w:r>
      <w:r>
        <w:rPr>
          <w:bCs/>
        </w:rPr>
        <w:t xml:space="preserve"> is 1325 hours. This measure is installed in climate zone 2 and should thus report an EFLH of 2625 hours. Ex ante savings appear to reflect this value so there is no impact on the realization rate.</w:t>
      </w:r>
    </w:p>
    <w:p w14:paraId="108C5ABB" w14:textId="4011FD09" w:rsidR="00DB264A" w:rsidRDefault="00A31969" w:rsidP="00F77862">
      <w:pPr>
        <w:pStyle w:val="ListParagraph"/>
        <w:numPr>
          <w:ilvl w:val="0"/>
          <w:numId w:val="62"/>
        </w:numPr>
        <w:rPr>
          <w:bCs/>
        </w:rPr>
      </w:pPr>
      <w:r>
        <w:rPr>
          <w:bCs/>
        </w:rPr>
        <w:t xml:space="preserve">The tracking data </w:t>
      </w:r>
      <w:r w:rsidR="007407E3">
        <w:rPr>
          <w:bCs/>
        </w:rPr>
        <w:t xml:space="preserve">reported a building type of “-1” for </w:t>
      </w:r>
      <w:r w:rsidR="001927EB">
        <w:rPr>
          <w:bCs/>
        </w:rPr>
        <w:t xml:space="preserve">some instances of Steam Trap, Industrial High Pressure, Boiler Tune Up, Process, Steam Trap, Industrial Medium Pressure, </w:t>
      </w:r>
      <w:r w:rsidR="003C6BD3">
        <w:rPr>
          <w:bCs/>
        </w:rPr>
        <w:t>Faucet Aerator – Bath, High Efficiency Furnace, High Efficiency Boiler, Pipe Insulation, Compressed Air Heat Recovery, and Building Operator Certification measures</w:t>
      </w:r>
      <w:r w:rsidR="00C346BA">
        <w:rPr>
          <w:bCs/>
        </w:rPr>
        <w:t>.</w:t>
      </w:r>
      <w:r w:rsidR="003C6BD3">
        <w:rPr>
          <w:bCs/>
        </w:rPr>
        <w:t xml:space="preserve"> Verified savings use </w:t>
      </w:r>
      <w:r w:rsidR="00B06446">
        <w:rPr>
          <w:bCs/>
        </w:rPr>
        <w:t>values from the</w:t>
      </w:r>
      <w:r w:rsidR="003C6BD3">
        <w:rPr>
          <w:bCs/>
        </w:rPr>
        <w:t xml:space="preserve"> tracking data</w:t>
      </w:r>
      <w:r w:rsidR="00473BA0">
        <w:rPr>
          <w:bCs/>
        </w:rPr>
        <w:t xml:space="preserve">’s </w:t>
      </w:r>
      <w:proofErr w:type="spellStart"/>
      <w:r w:rsidR="00B06446" w:rsidRPr="00B06446">
        <w:rPr>
          <w:bCs/>
        </w:rPr>
        <w:t>EquivalentFullLoadHours</w:t>
      </w:r>
      <w:proofErr w:type="spellEnd"/>
      <w:r w:rsidR="00B06446">
        <w:rPr>
          <w:bCs/>
        </w:rPr>
        <w:t xml:space="preserve"> column where a given measure needs the EFLH </w:t>
      </w:r>
      <w:r w:rsidR="00674B47">
        <w:rPr>
          <w:bCs/>
        </w:rPr>
        <w:t>input</w:t>
      </w:r>
      <w:r w:rsidR="00B06446">
        <w:rPr>
          <w:bCs/>
        </w:rPr>
        <w:t>.</w:t>
      </w:r>
      <w:r w:rsidR="00B2383E">
        <w:rPr>
          <w:bCs/>
        </w:rPr>
        <w:t xml:space="preserve"> This has no impact on the realization rate.</w:t>
      </w:r>
    </w:p>
    <w:p w14:paraId="73C9C330" w14:textId="0C7A45E2" w:rsidR="00B2383E" w:rsidRPr="00674B47" w:rsidRDefault="00C00213" w:rsidP="00674B47">
      <w:pPr>
        <w:pStyle w:val="ListParagraph"/>
        <w:numPr>
          <w:ilvl w:val="0"/>
          <w:numId w:val="62"/>
        </w:numPr>
        <w:rPr>
          <w:bCs/>
        </w:rPr>
      </w:pPr>
      <w:r>
        <w:rPr>
          <w:bCs/>
        </w:rPr>
        <w:t xml:space="preserve">The tracking data reported a </w:t>
      </w:r>
      <w:r w:rsidR="00321FAC">
        <w:rPr>
          <w:bCs/>
        </w:rPr>
        <w:t xml:space="preserve">Public Sector building type for one instance of the Faucet Aerator – Bath measure and two instances of the High Efficiency Boiler measure. </w:t>
      </w:r>
      <w:r w:rsidR="00674B47">
        <w:rPr>
          <w:bCs/>
        </w:rPr>
        <w:t xml:space="preserve">This building type was removed from the TRM in version 9. Verified savings use values from the tracking data’s </w:t>
      </w:r>
      <w:proofErr w:type="spellStart"/>
      <w:r w:rsidR="00674B47" w:rsidRPr="00B06446">
        <w:rPr>
          <w:bCs/>
        </w:rPr>
        <w:t>EquivalentFullLoadHours</w:t>
      </w:r>
      <w:proofErr w:type="spellEnd"/>
      <w:r w:rsidR="00674B47">
        <w:rPr>
          <w:bCs/>
        </w:rPr>
        <w:t xml:space="preserve"> column for the EFLH input. This has no impact on the realization rate.</w:t>
      </w:r>
    </w:p>
    <w:p w14:paraId="4942060B" w14:textId="03AF16C5" w:rsidR="00B37320" w:rsidRDefault="00F77862" w:rsidP="00F77862">
      <w:pPr>
        <w:tabs>
          <w:tab w:val="left" w:pos="720"/>
        </w:tabs>
        <w:spacing w:line="264" w:lineRule="auto"/>
        <w:ind w:left="900" w:hanging="360"/>
      </w:pPr>
      <w:r w:rsidRPr="00BE1CA5">
        <w:rPr>
          <w:b/>
        </w:rPr>
        <w:t>Recommendation</w:t>
      </w:r>
      <w:r>
        <w:rPr>
          <w:b/>
          <w:bCs/>
        </w:rPr>
        <w:t xml:space="preserve"> 10. </w:t>
      </w:r>
      <w:r>
        <w:t xml:space="preserve">Ensure the input values, climate zone and building types provided in the tracking data reflect the </w:t>
      </w:r>
      <w:proofErr w:type="spellStart"/>
      <w:proofErr w:type="gramStart"/>
      <w:r>
        <w:t>ex ante</w:t>
      </w:r>
      <w:proofErr w:type="spellEnd"/>
      <w:proofErr w:type="gramEnd"/>
      <w:r>
        <w:t xml:space="preserve"> savings and align with the </w:t>
      </w:r>
      <w:r w:rsidR="00B2383E">
        <w:t xml:space="preserve">building types listed in the </w:t>
      </w:r>
      <w:r>
        <w:t>IL TRM</w:t>
      </w:r>
      <w:r w:rsidR="00B2383E">
        <w:t xml:space="preserve"> v12.0</w:t>
      </w:r>
      <w:r>
        <w:t>.</w:t>
      </w:r>
    </w:p>
    <w:p w14:paraId="7470A985" w14:textId="77777777" w:rsidR="00F77862" w:rsidRDefault="00F77862" w:rsidP="00C3412F">
      <w:pPr>
        <w:tabs>
          <w:tab w:val="left" w:pos="720"/>
        </w:tabs>
        <w:spacing w:line="264" w:lineRule="auto"/>
      </w:pPr>
    </w:p>
    <w:p w14:paraId="29170B93" w14:textId="11F264BE" w:rsidR="00250A50" w:rsidRDefault="00250A50" w:rsidP="00250A50">
      <w:pPr>
        <w:pStyle w:val="Heading4"/>
      </w:pPr>
      <w:r>
        <w:t>Hot Water</w:t>
      </w:r>
    </w:p>
    <w:p w14:paraId="7423CA0F" w14:textId="773E3618" w:rsidR="00250A50" w:rsidRPr="00B37320" w:rsidRDefault="00250A50" w:rsidP="00250A50">
      <w:pPr>
        <w:rPr>
          <w:bCs/>
        </w:rPr>
      </w:pPr>
      <w:r w:rsidRPr="00915A79">
        <w:rPr>
          <w:b/>
        </w:rPr>
        <w:t xml:space="preserve">Finding </w:t>
      </w:r>
      <w:r w:rsidR="00992589">
        <w:rPr>
          <w:b/>
        </w:rPr>
        <w:t>1</w:t>
      </w:r>
      <w:r w:rsidR="004C5D73">
        <w:rPr>
          <w:b/>
        </w:rPr>
        <w:t>1</w:t>
      </w:r>
      <w:r w:rsidRPr="00915A79">
        <w:rPr>
          <w:b/>
        </w:rPr>
        <w:t>.</w:t>
      </w:r>
      <w:r>
        <w:rPr>
          <w:b/>
        </w:rPr>
        <w:t xml:space="preserve"> </w:t>
      </w:r>
      <w:proofErr w:type="gramStart"/>
      <w:r w:rsidR="004A3C47">
        <w:rPr>
          <w:bCs/>
        </w:rPr>
        <w:t>Similar to</w:t>
      </w:r>
      <w:proofErr w:type="gramEnd"/>
      <w:r w:rsidR="004A3C47">
        <w:rPr>
          <w:bCs/>
        </w:rPr>
        <w:t xml:space="preserve"> the midyear interim impact analysis, the evaluation team </w:t>
      </w:r>
      <w:r w:rsidR="00BE78AE">
        <w:rPr>
          <w:bCs/>
        </w:rPr>
        <w:t xml:space="preserve">used address information and tracking data </w:t>
      </w:r>
      <w:r w:rsidR="008E5A4B">
        <w:rPr>
          <w:bCs/>
        </w:rPr>
        <w:t>clues</w:t>
      </w:r>
      <w:r w:rsidR="00BE78AE">
        <w:rPr>
          <w:bCs/>
        </w:rPr>
        <w:t xml:space="preserve"> to </w:t>
      </w:r>
      <w:r w:rsidR="008E5A4B">
        <w:rPr>
          <w:bCs/>
        </w:rPr>
        <w:t xml:space="preserve">conclude </w:t>
      </w:r>
      <w:r w:rsidR="007E2FEA">
        <w:rPr>
          <w:bCs/>
        </w:rPr>
        <w:t>both</w:t>
      </w:r>
      <w:r w:rsidR="008E5A4B">
        <w:rPr>
          <w:bCs/>
        </w:rPr>
        <w:t xml:space="preserve"> Ozone Laundry measures</w:t>
      </w:r>
      <w:r w:rsidR="007E2FEA">
        <w:rPr>
          <w:bCs/>
        </w:rPr>
        <w:t>’ applications were Laundromat.</w:t>
      </w:r>
    </w:p>
    <w:p w14:paraId="3F3C3220" w14:textId="28AE3F17" w:rsidR="00250A50" w:rsidRPr="00E80B0C" w:rsidRDefault="00250A50" w:rsidP="00E80B0C">
      <w:pPr>
        <w:tabs>
          <w:tab w:val="left" w:pos="720"/>
        </w:tabs>
        <w:spacing w:line="264" w:lineRule="auto"/>
        <w:ind w:left="900" w:hanging="360"/>
      </w:pPr>
      <w:r w:rsidRPr="00BE1CA5">
        <w:rPr>
          <w:b/>
        </w:rPr>
        <w:t>Recommendation</w:t>
      </w:r>
      <w:r>
        <w:rPr>
          <w:b/>
          <w:bCs/>
        </w:rPr>
        <w:t xml:space="preserve"> </w:t>
      </w:r>
      <w:r w:rsidR="00992589">
        <w:rPr>
          <w:b/>
          <w:bCs/>
        </w:rPr>
        <w:t>1</w:t>
      </w:r>
      <w:r w:rsidR="004C5D73">
        <w:rPr>
          <w:b/>
          <w:bCs/>
        </w:rPr>
        <w:t>1</w:t>
      </w:r>
      <w:r>
        <w:rPr>
          <w:b/>
          <w:bCs/>
        </w:rPr>
        <w:t>.</w:t>
      </w:r>
      <w:r w:rsidR="00ED73AE">
        <w:rPr>
          <w:b/>
          <w:bCs/>
        </w:rPr>
        <w:t xml:space="preserve"> </w:t>
      </w:r>
      <w:r w:rsidR="00B95FBD">
        <w:t>Include</w:t>
      </w:r>
      <w:r w:rsidR="00ED73AE">
        <w:t xml:space="preserve"> the application type in the tracking data for Ozone Laundry measures to avoid potential savings discrepancies.</w:t>
      </w:r>
    </w:p>
    <w:p w14:paraId="090FA4E4" w14:textId="7741AA59" w:rsidR="00657C9D" w:rsidRPr="00657C9D" w:rsidRDefault="00250A50" w:rsidP="00250A50">
      <w:pPr>
        <w:rPr>
          <w:bCs/>
        </w:rPr>
      </w:pPr>
      <w:r w:rsidRPr="00915A79">
        <w:rPr>
          <w:b/>
        </w:rPr>
        <w:t xml:space="preserve">Finding </w:t>
      </w:r>
      <w:r w:rsidR="00992589">
        <w:rPr>
          <w:b/>
        </w:rPr>
        <w:t>1</w:t>
      </w:r>
      <w:r w:rsidR="004C5D73">
        <w:rPr>
          <w:b/>
        </w:rPr>
        <w:t>2</w:t>
      </w:r>
      <w:r w:rsidRPr="00915A79">
        <w:rPr>
          <w:b/>
        </w:rPr>
        <w:t>.</w:t>
      </w:r>
      <w:r>
        <w:rPr>
          <w:b/>
        </w:rPr>
        <w:t xml:space="preserve"> </w:t>
      </w:r>
      <w:r w:rsidR="00B27066">
        <w:rPr>
          <w:bCs/>
        </w:rPr>
        <w:t xml:space="preserve">The evaluation team was unable to recreate </w:t>
      </w:r>
      <w:proofErr w:type="gramStart"/>
      <w:r w:rsidR="00B27066">
        <w:rPr>
          <w:bCs/>
        </w:rPr>
        <w:t>ex ante</w:t>
      </w:r>
      <w:proofErr w:type="gramEnd"/>
      <w:r w:rsidR="00B27066">
        <w:rPr>
          <w:bCs/>
        </w:rPr>
        <w:t xml:space="preserve"> savings </w:t>
      </w:r>
      <w:r w:rsidR="00455437">
        <w:rPr>
          <w:bCs/>
        </w:rPr>
        <w:t xml:space="preserve">for the Water Heater measures. </w:t>
      </w:r>
      <w:r w:rsidR="007D3CE0">
        <w:rPr>
          <w:bCs/>
        </w:rPr>
        <w:t>The Tankless Water Heater type provided no information in the tracking data</w:t>
      </w:r>
      <w:r w:rsidR="00CE6E27">
        <w:rPr>
          <w:bCs/>
        </w:rPr>
        <w:t>’s</w:t>
      </w:r>
      <w:r w:rsidR="009612C3">
        <w:rPr>
          <w:bCs/>
        </w:rPr>
        <w:t xml:space="preserve"> Size column</w:t>
      </w:r>
      <w:r w:rsidR="007D3CE0">
        <w:rPr>
          <w:bCs/>
        </w:rPr>
        <w:t>, verified savings assumed 50 gallons for these measures</w:t>
      </w:r>
      <w:r w:rsidR="009612C3">
        <w:rPr>
          <w:bCs/>
        </w:rPr>
        <w:t xml:space="preserve">. Size is needed to inform </w:t>
      </w:r>
      <w:r w:rsidR="00C24712">
        <w:rPr>
          <w:bCs/>
        </w:rPr>
        <w:t>the estimated annual hot water consumption in gallons (</w:t>
      </w:r>
      <w:proofErr w:type="spellStart"/>
      <w:r w:rsidR="00C24712">
        <w:rPr>
          <w:bCs/>
        </w:rPr>
        <w:t>HotWaterUse_gallons</w:t>
      </w:r>
      <w:proofErr w:type="spellEnd"/>
      <w:r w:rsidR="00C24712">
        <w:rPr>
          <w:bCs/>
        </w:rPr>
        <w:t>).</w:t>
      </w:r>
      <w:r w:rsidR="00CE6E27">
        <w:rPr>
          <w:bCs/>
        </w:rPr>
        <w:t xml:space="preserve"> The </w:t>
      </w:r>
      <w:r w:rsidR="0028377C">
        <w:rPr>
          <w:bCs/>
        </w:rPr>
        <w:t xml:space="preserve">tracking data did not provide information for </w:t>
      </w:r>
      <w:r w:rsidR="00CE6E27">
        <w:rPr>
          <w:bCs/>
        </w:rPr>
        <w:t xml:space="preserve">Tankless Water Heater type </w:t>
      </w:r>
      <w:r w:rsidR="0028377C">
        <w:rPr>
          <w:bCs/>
        </w:rPr>
        <w:t>in “</w:t>
      </w:r>
      <w:proofErr w:type="spellStart"/>
      <w:r w:rsidR="00447E23">
        <w:rPr>
          <w:bCs/>
        </w:rPr>
        <w:t>StandbyLoss</w:t>
      </w:r>
      <w:proofErr w:type="spellEnd"/>
      <w:r w:rsidR="0028377C">
        <w:rPr>
          <w:bCs/>
        </w:rPr>
        <w:t>”</w:t>
      </w:r>
      <w:r w:rsidR="00447E23">
        <w:rPr>
          <w:bCs/>
        </w:rPr>
        <w:t xml:space="preserve"> column, so standby losses were only calculated for the </w:t>
      </w:r>
      <w:r w:rsidR="00B95FBD">
        <w:rPr>
          <w:bCs/>
        </w:rPr>
        <w:t>Storage Water Heater type.</w:t>
      </w:r>
    </w:p>
    <w:p w14:paraId="78C84D46" w14:textId="6F749688" w:rsidR="00250A50" w:rsidRPr="00B95FBD" w:rsidRDefault="00250A50" w:rsidP="00250A50">
      <w:pPr>
        <w:tabs>
          <w:tab w:val="left" w:pos="720"/>
        </w:tabs>
        <w:spacing w:line="264" w:lineRule="auto"/>
        <w:ind w:left="900" w:hanging="360"/>
      </w:pPr>
      <w:r w:rsidRPr="00BE1CA5">
        <w:rPr>
          <w:b/>
        </w:rPr>
        <w:t>Recommendation</w:t>
      </w:r>
      <w:r>
        <w:rPr>
          <w:b/>
          <w:bCs/>
        </w:rPr>
        <w:t xml:space="preserve"> </w:t>
      </w:r>
      <w:r w:rsidR="00992589">
        <w:rPr>
          <w:b/>
          <w:bCs/>
        </w:rPr>
        <w:t>1</w:t>
      </w:r>
      <w:r w:rsidR="004C5D73">
        <w:rPr>
          <w:b/>
          <w:bCs/>
        </w:rPr>
        <w:t>2</w:t>
      </w:r>
      <w:r>
        <w:rPr>
          <w:b/>
          <w:bCs/>
        </w:rPr>
        <w:t xml:space="preserve">. </w:t>
      </w:r>
      <w:r w:rsidR="00B95FBD">
        <w:t xml:space="preserve">Provide all necessary savings input in the tracking data </w:t>
      </w:r>
      <w:r w:rsidR="00866F2C">
        <w:t xml:space="preserve">to support the </w:t>
      </w:r>
      <w:r w:rsidR="00141975">
        <w:t xml:space="preserve">Storage and Tankless </w:t>
      </w:r>
      <w:r w:rsidR="009C384D">
        <w:t xml:space="preserve">Water Heater </w:t>
      </w:r>
      <w:r w:rsidR="00866F2C">
        <w:t>ex ante values</w:t>
      </w:r>
      <w:r w:rsidR="00141975">
        <w:t>, specifically Size and Standby</w:t>
      </w:r>
      <w:r w:rsidR="0028377C">
        <w:t xml:space="preserve"> L</w:t>
      </w:r>
      <w:r w:rsidR="00141975">
        <w:t>oss for Tankless Water Heater measures. This will help to</w:t>
      </w:r>
      <w:r w:rsidR="005806E4">
        <w:t xml:space="preserve"> </w:t>
      </w:r>
      <w:r w:rsidR="00866F2C">
        <w:t>avoid savings discrepancies</w:t>
      </w:r>
      <w:r w:rsidR="00141975">
        <w:t xml:space="preserve"> in the future</w:t>
      </w:r>
      <w:r w:rsidR="00866F2C">
        <w:t>.</w:t>
      </w:r>
    </w:p>
    <w:p w14:paraId="4969AE9C" w14:textId="47A64647" w:rsidR="00250A50" w:rsidRDefault="00250A50" w:rsidP="00250A50">
      <w:pPr>
        <w:pStyle w:val="Heading4"/>
      </w:pPr>
      <w:r>
        <w:t>Miscellaneous</w:t>
      </w:r>
    </w:p>
    <w:p w14:paraId="0D2C1F9C" w14:textId="43ECA879" w:rsidR="00866F2C" w:rsidRPr="00866F2C" w:rsidRDefault="00250A50" w:rsidP="00250A50">
      <w:pPr>
        <w:rPr>
          <w:bCs/>
        </w:rPr>
      </w:pPr>
      <w:r w:rsidRPr="00915A79">
        <w:rPr>
          <w:b/>
        </w:rPr>
        <w:t xml:space="preserve">Finding </w:t>
      </w:r>
      <w:r w:rsidR="00992589">
        <w:rPr>
          <w:b/>
        </w:rPr>
        <w:t>1</w:t>
      </w:r>
      <w:r w:rsidR="004C5D73">
        <w:rPr>
          <w:b/>
        </w:rPr>
        <w:t>3</w:t>
      </w:r>
      <w:r w:rsidRPr="00915A79">
        <w:rPr>
          <w:b/>
        </w:rPr>
        <w:t>.</w:t>
      </w:r>
      <w:r>
        <w:rPr>
          <w:b/>
        </w:rPr>
        <w:t xml:space="preserve"> </w:t>
      </w:r>
      <w:r w:rsidR="004206C7">
        <w:rPr>
          <w:bCs/>
        </w:rPr>
        <w:t>Verified savings follow</w:t>
      </w:r>
      <w:r w:rsidR="0038709C">
        <w:rPr>
          <w:bCs/>
        </w:rPr>
        <w:t xml:space="preserve"> the IL TRM v12.0 deemed existing building therms values for Garage Door Hinge measures. These values were determined using the tracking data building type and zip code to determine </w:t>
      </w:r>
      <w:r w:rsidR="004206C7">
        <w:rPr>
          <w:bCs/>
        </w:rPr>
        <w:t xml:space="preserve">the climate zone. The evaluation team was unable to replicate </w:t>
      </w:r>
      <w:proofErr w:type="gramStart"/>
      <w:r w:rsidR="004206C7">
        <w:rPr>
          <w:bCs/>
        </w:rPr>
        <w:t>ex ante</w:t>
      </w:r>
      <w:proofErr w:type="gramEnd"/>
      <w:r w:rsidR="004206C7">
        <w:rPr>
          <w:bCs/>
        </w:rPr>
        <w:t xml:space="preserve"> savings for this measure.</w:t>
      </w:r>
    </w:p>
    <w:p w14:paraId="6D863841" w14:textId="3207AECC" w:rsidR="00250A50" w:rsidRPr="004206C7" w:rsidRDefault="00250A50" w:rsidP="00250A50">
      <w:pPr>
        <w:tabs>
          <w:tab w:val="left" w:pos="720"/>
        </w:tabs>
        <w:spacing w:line="264" w:lineRule="auto"/>
        <w:ind w:left="900" w:hanging="360"/>
      </w:pPr>
      <w:r w:rsidRPr="00BE1CA5">
        <w:rPr>
          <w:b/>
        </w:rPr>
        <w:t>Recommendation</w:t>
      </w:r>
      <w:r>
        <w:rPr>
          <w:b/>
          <w:bCs/>
        </w:rPr>
        <w:t xml:space="preserve"> </w:t>
      </w:r>
      <w:r w:rsidR="00992589">
        <w:rPr>
          <w:b/>
          <w:bCs/>
        </w:rPr>
        <w:t>1</w:t>
      </w:r>
      <w:r w:rsidR="004C5D73">
        <w:rPr>
          <w:b/>
          <w:bCs/>
        </w:rPr>
        <w:t>3</w:t>
      </w:r>
      <w:r>
        <w:rPr>
          <w:b/>
          <w:bCs/>
        </w:rPr>
        <w:t xml:space="preserve">. </w:t>
      </w:r>
      <w:r w:rsidR="004206C7">
        <w:t xml:space="preserve">Provide all necessary details in the tracking data to </w:t>
      </w:r>
      <w:r w:rsidR="001128D5">
        <w:t>follow the IL TRM v12.0 deemed savings tables</w:t>
      </w:r>
      <w:r w:rsidR="00141975">
        <w:t xml:space="preserve"> for Garage Door Hinge measures</w:t>
      </w:r>
      <w:r w:rsidR="00C36004">
        <w:t>. The tracking data does have Climate Zone and Building Type, but</w:t>
      </w:r>
      <w:r w:rsidR="00E52AD4">
        <w:t xml:space="preserve"> do not</w:t>
      </w:r>
      <w:r w:rsidR="00743C97">
        <w:t xml:space="preserve"> specify if the measure is </w:t>
      </w:r>
      <w:r w:rsidR="0028377C">
        <w:t>installed</w:t>
      </w:r>
      <w:r w:rsidR="00743C97">
        <w:t xml:space="preserve"> a</w:t>
      </w:r>
      <w:r w:rsidR="008042A4">
        <w:t>s a retrofit or new construction measure</w:t>
      </w:r>
      <w:r w:rsidR="001128D5">
        <w:t>.</w:t>
      </w:r>
      <w:r w:rsidR="001B59EC">
        <w:t xml:space="preserve"> If ex ante savings follow the TRM’s algorithm, </w:t>
      </w:r>
      <w:r w:rsidR="008E63BE">
        <w:t>ensure the tracking data reflects that by providing all necessary input values.</w:t>
      </w:r>
    </w:p>
    <w:p w14:paraId="36207606" w14:textId="38AA73AB" w:rsidR="00C3412F" w:rsidRDefault="00C3412F" w:rsidP="00C3412F">
      <w:pPr>
        <w:pStyle w:val="Heading4"/>
      </w:pPr>
      <w:r>
        <w:t>Building Operator Certification</w:t>
      </w:r>
    </w:p>
    <w:p w14:paraId="64C1B97A" w14:textId="7B3406B4" w:rsidR="00290146" w:rsidRPr="00960017" w:rsidRDefault="00290146" w:rsidP="00290146">
      <w:pPr>
        <w:pStyle w:val="Finding"/>
        <w:ind w:left="360"/>
      </w:pPr>
      <w:r w:rsidRPr="00960017">
        <w:rPr>
          <w:b/>
        </w:rPr>
        <w:t>Finding 1</w:t>
      </w:r>
      <w:r w:rsidR="004C5D73">
        <w:rPr>
          <w:b/>
        </w:rPr>
        <w:t>4</w:t>
      </w:r>
      <w:r w:rsidRPr="00960017">
        <w:rPr>
          <w:b/>
        </w:rPr>
        <w:t xml:space="preserve">. </w:t>
      </w:r>
      <w:r w:rsidRPr="00960017">
        <w:rPr>
          <w:bCs/>
        </w:rPr>
        <w:t xml:space="preserve">The gas savings for multiple projects were calculated </w:t>
      </w:r>
      <w:r w:rsidR="0028377C" w:rsidRPr="00960017">
        <w:rPr>
          <w:bCs/>
        </w:rPr>
        <w:t>using incorrect</w:t>
      </w:r>
      <w:r w:rsidRPr="00960017">
        <w:rPr>
          <w:bCs/>
        </w:rPr>
        <w:t xml:space="preserve"> managed square footage </w:t>
      </w:r>
      <w:r w:rsidRPr="00960017">
        <w:t xml:space="preserve">as compared to the value reported in the project files. </w:t>
      </w:r>
    </w:p>
    <w:p w14:paraId="76F5597B" w14:textId="77777777" w:rsidR="00290146" w:rsidRPr="00B2769D" w:rsidRDefault="00290146" w:rsidP="00290146">
      <w:pPr>
        <w:pStyle w:val="Finding"/>
        <w:numPr>
          <w:ilvl w:val="0"/>
          <w:numId w:val="57"/>
        </w:numPr>
        <w:suppressAutoHyphens w:val="0"/>
        <w:autoSpaceDN/>
        <w:spacing w:before="0"/>
      </w:pPr>
      <w:r w:rsidRPr="00B2769D">
        <w:rPr>
          <w:b/>
        </w:rPr>
        <w:t>BOC20240</w:t>
      </w:r>
      <w:r>
        <w:rPr>
          <w:b/>
        </w:rPr>
        <w:t>6</w:t>
      </w:r>
      <w:r w:rsidRPr="00B2769D">
        <w:rPr>
          <w:b/>
        </w:rPr>
        <w:t>.</w:t>
      </w:r>
      <w:r w:rsidRPr="00B2769D">
        <w:t xml:space="preserve"> The </w:t>
      </w:r>
      <w:r>
        <w:t xml:space="preserve">Nicor Gas tracking data reported a </w:t>
      </w:r>
      <w:r w:rsidRPr="00B2769D">
        <w:t xml:space="preserve">managed square footage of </w:t>
      </w:r>
      <w:r>
        <w:t>300</w:t>
      </w:r>
      <w:r w:rsidRPr="00B2769D">
        <w:t>,000 ft</w:t>
      </w:r>
      <w:r w:rsidRPr="00B2769D">
        <w:rPr>
          <w:vertAlign w:val="superscript"/>
        </w:rPr>
        <w:t>2</w:t>
      </w:r>
      <w:r>
        <w:t xml:space="preserve"> for this participant.</w:t>
      </w:r>
      <w:r w:rsidRPr="00B2769D">
        <w:t xml:space="preserve"> The evaluation team </w:t>
      </w:r>
      <w:r>
        <w:t>verified a managed square footage of 542,000</w:t>
      </w:r>
      <w:r w:rsidRPr="00B2769D">
        <w:t xml:space="preserve"> ft</w:t>
      </w:r>
      <w:r w:rsidRPr="00B2769D">
        <w:rPr>
          <w:vertAlign w:val="superscript"/>
        </w:rPr>
        <w:t>2</w:t>
      </w:r>
      <w:r>
        <w:t xml:space="preserve"> for this participant consistent with the ComEd tracking data and the project files</w:t>
      </w:r>
      <w:r w:rsidRPr="00960017">
        <w:t xml:space="preserve"> </w:t>
      </w:r>
      <w:r>
        <w:t>and updated the verified savings accordingly</w:t>
      </w:r>
      <w:r w:rsidRPr="00B2769D">
        <w:t>.</w:t>
      </w:r>
    </w:p>
    <w:p w14:paraId="3D76AD8F" w14:textId="77777777" w:rsidR="00290146" w:rsidRPr="00B2769D" w:rsidRDefault="00290146" w:rsidP="00290146">
      <w:pPr>
        <w:pStyle w:val="Finding"/>
        <w:numPr>
          <w:ilvl w:val="0"/>
          <w:numId w:val="57"/>
        </w:numPr>
        <w:suppressAutoHyphens w:val="0"/>
        <w:autoSpaceDN/>
        <w:spacing w:before="0"/>
      </w:pPr>
      <w:r w:rsidRPr="00B2769D">
        <w:rPr>
          <w:b/>
        </w:rPr>
        <w:t>BOC20240</w:t>
      </w:r>
      <w:r>
        <w:rPr>
          <w:b/>
        </w:rPr>
        <w:t>8</w:t>
      </w:r>
      <w:r w:rsidRPr="00B2769D">
        <w:rPr>
          <w:b/>
        </w:rPr>
        <w:t>.</w:t>
      </w:r>
      <w:r w:rsidRPr="00B2769D">
        <w:t xml:space="preserve"> </w:t>
      </w:r>
      <w:r>
        <w:t>For this participant, t</w:t>
      </w:r>
      <w:r w:rsidRPr="00B2769D">
        <w:t xml:space="preserve">he </w:t>
      </w:r>
      <w:r>
        <w:t xml:space="preserve">Nicor Gas tracking data reported a </w:t>
      </w:r>
      <w:r w:rsidRPr="00B2769D">
        <w:t xml:space="preserve">managed square footage of </w:t>
      </w:r>
      <w:r>
        <w:t>234,840</w:t>
      </w:r>
      <w:r w:rsidRPr="00B2769D">
        <w:t xml:space="preserve"> ft</w:t>
      </w:r>
      <w:r w:rsidRPr="00B2769D">
        <w:rPr>
          <w:vertAlign w:val="superscript"/>
        </w:rPr>
        <w:t>2</w:t>
      </w:r>
      <w:r>
        <w:t>.</w:t>
      </w:r>
      <w:r w:rsidRPr="00B2769D">
        <w:t xml:space="preserve"> The evaluation team </w:t>
      </w:r>
      <w:r>
        <w:t>verified a managed square footage of over 500,000</w:t>
      </w:r>
      <w:r w:rsidRPr="00B2769D">
        <w:t xml:space="preserve"> ft</w:t>
      </w:r>
      <w:r w:rsidRPr="00B2769D">
        <w:rPr>
          <w:vertAlign w:val="superscript"/>
        </w:rPr>
        <w:t>2</w:t>
      </w:r>
      <w:r>
        <w:t xml:space="preserve"> for this participant consistent with the ComEd tracking data and the project files and updated the verified savings accordingly</w:t>
      </w:r>
      <w:r w:rsidRPr="00B2769D">
        <w:t>.</w:t>
      </w:r>
    </w:p>
    <w:p w14:paraId="0CED13C1" w14:textId="77777777" w:rsidR="00290146" w:rsidRPr="00B2769D" w:rsidRDefault="00290146" w:rsidP="00290146">
      <w:pPr>
        <w:pStyle w:val="Finding"/>
        <w:numPr>
          <w:ilvl w:val="0"/>
          <w:numId w:val="57"/>
        </w:numPr>
        <w:suppressAutoHyphens w:val="0"/>
        <w:autoSpaceDN/>
        <w:spacing w:before="0"/>
      </w:pPr>
      <w:r w:rsidRPr="00B2769D">
        <w:rPr>
          <w:b/>
        </w:rPr>
        <w:t>BOC2024</w:t>
      </w:r>
      <w:r>
        <w:rPr>
          <w:b/>
        </w:rPr>
        <w:t>43</w:t>
      </w:r>
      <w:r w:rsidRPr="00B2769D">
        <w:rPr>
          <w:b/>
        </w:rPr>
        <w:t>.</w:t>
      </w:r>
      <w:r w:rsidRPr="00B2769D">
        <w:t xml:space="preserve"> </w:t>
      </w:r>
      <w:r>
        <w:t>For this participant who reported operating two buildings in the project files, t</w:t>
      </w:r>
      <w:r w:rsidRPr="00B2769D">
        <w:t xml:space="preserve">he </w:t>
      </w:r>
      <w:r>
        <w:t xml:space="preserve">Nicor Gas tracking data only reported a </w:t>
      </w:r>
      <w:r w:rsidRPr="00B2769D">
        <w:t xml:space="preserve">managed square footage of </w:t>
      </w:r>
      <w:r>
        <w:t>100,000</w:t>
      </w:r>
      <w:r w:rsidRPr="00B2769D">
        <w:t xml:space="preserve"> ft</w:t>
      </w:r>
      <w:r w:rsidRPr="00B2769D">
        <w:rPr>
          <w:vertAlign w:val="superscript"/>
        </w:rPr>
        <w:t>2</w:t>
      </w:r>
      <w:r>
        <w:t xml:space="preserve"> corresponding to Building 1.</w:t>
      </w:r>
      <w:r w:rsidRPr="00B2769D">
        <w:t xml:space="preserve"> The evaluation team </w:t>
      </w:r>
      <w:r>
        <w:t xml:space="preserve">verified a total managed square </w:t>
      </w:r>
      <w:r>
        <w:lastRenderedPageBreak/>
        <w:t>footage of over 500,000</w:t>
      </w:r>
      <w:r w:rsidRPr="00B2769D">
        <w:t xml:space="preserve"> ft</w:t>
      </w:r>
      <w:r w:rsidRPr="00B2769D">
        <w:rPr>
          <w:vertAlign w:val="superscript"/>
        </w:rPr>
        <w:t>2</w:t>
      </w:r>
      <w:r>
        <w:t xml:space="preserve"> for this participant after including both buildings and updated the verified savings accordingly</w:t>
      </w:r>
      <w:r w:rsidRPr="00B2769D">
        <w:t>.</w:t>
      </w:r>
    </w:p>
    <w:p w14:paraId="7E1B8D8E" w14:textId="1C6CDD7B" w:rsidR="00290146" w:rsidRDefault="00290146" w:rsidP="00290146">
      <w:pPr>
        <w:pStyle w:val="Recommendation"/>
        <w:rPr>
          <w:b w:val="0"/>
          <w:lang w:val="en-US"/>
        </w:rPr>
      </w:pPr>
      <w:r w:rsidRPr="00960017">
        <w:rPr>
          <w:lang w:val="en-US"/>
        </w:rPr>
        <w:t>Recommendation 1</w:t>
      </w:r>
      <w:r w:rsidR="004C5D73">
        <w:rPr>
          <w:lang w:val="en-US"/>
        </w:rPr>
        <w:t>4</w:t>
      </w:r>
      <w:r w:rsidRPr="00960017">
        <w:rPr>
          <w:lang w:val="en-US"/>
        </w:rPr>
        <w:t xml:space="preserve">. </w:t>
      </w:r>
      <w:r w:rsidRPr="00960017">
        <w:rPr>
          <w:b w:val="0"/>
          <w:lang w:val="en-US"/>
        </w:rPr>
        <w:t xml:space="preserve">Implement quality control checks to ensure that the </w:t>
      </w:r>
      <w:r>
        <w:rPr>
          <w:b w:val="0"/>
          <w:lang w:val="en-US"/>
        </w:rPr>
        <w:t>managed square footage in the tracking data is consistent with the total managed square footage in the project files. In instances where the participant reports operating more than one building, ensure that the tracking data reported area includes the managed square footage from all operated buildings.</w:t>
      </w:r>
    </w:p>
    <w:p w14:paraId="02127481" w14:textId="77777777" w:rsidR="00290146" w:rsidRDefault="00290146" w:rsidP="00290146">
      <w:pPr>
        <w:pStyle w:val="Recommendation"/>
        <w:rPr>
          <w:b w:val="0"/>
          <w:u w:val="single"/>
          <w:lang w:val="en-US"/>
        </w:rPr>
      </w:pPr>
    </w:p>
    <w:p w14:paraId="190C2C57" w14:textId="17796E62" w:rsidR="00290146" w:rsidRPr="00B2769D" w:rsidRDefault="00290146" w:rsidP="00290146">
      <w:pPr>
        <w:pStyle w:val="Finding"/>
        <w:ind w:left="360"/>
      </w:pPr>
      <w:r w:rsidRPr="00B2769D">
        <w:rPr>
          <w:b/>
        </w:rPr>
        <w:t xml:space="preserve">Finding </w:t>
      </w:r>
      <w:r w:rsidR="00992589">
        <w:rPr>
          <w:b/>
        </w:rPr>
        <w:t>1</w:t>
      </w:r>
      <w:r w:rsidR="004C5D73">
        <w:rPr>
          <w:b/>
        </w:rPr>
        <w:t>5</w:t>
      </w:r>
      <w:r w:rsidRPr="00B2769D">
        <w:rPr>
          <w:b/>
        </w:rPr>
        <w:t xml:space="preserve">. </w:t>
      </w:r>
      <w:r w:rsidRPr="00B2769D">
        <w:t xml:space="preserve">For </w:t>
      </w:r>
      <w:r>
        <w:t>three</w:t>
      </w:r>
      <w:r w:rsidRPr="00B2769D">
        <w:t xml:space="preserve"> projects, the evaluation team updated the building area operated by the participant based on online research and detailed review of area information in the project files.</w:t>
      </w:r>
    </w:p>
    <w:p w14:paraId="030DD749" w14:textId="77777777" w:rsidR="00290146" w:rsidRPr="00B2769D" w:rsidRDefault="00290146" w:rsidP="00290146">
      <w:pPr>
        <w:pStyle w:val="Finding"/>
        <w:numPr>
          <w:ilvl w:val="0"/>
          <w:numId w:val="57"/>
        </w:numPr>
        <w:suppressAutoHyphens w:val="0"/>
        <w:autoSpaceDN/>
        <w:spacing w:before="0"/>
      </w:pPr>
      <w:r w:rsidRPr="00B2769D">
        <w:rPr>
          <w:b/>
        </w:rPr>
        <w:t>BOC202403.</w:t>
      </w:r>
      <w:r w:rsidRPr="00B2769D">
        <w:t xml:space="preserve"> The participant reported operating one building with a managed square footage of 240,000 ft</w:t>
      </w:r>
      <w:r w:rsidRPr="00B2769D">
        <w:rPr>
          <w:vertAlign w:val="superscript"/>
        </w:rPr>
        <w:t>2</w:t>
      </w:r>
      <w:r w:rsidRPr="00B2769D">
        <w:t>. The evaluation team updated the area using a building flyer from the real estate developers for this building and verified savings for a managed square footage of 220,070 ft</w:t>
      </w:r>
      <w:r w:rsidRPr="00B2769D">
        <w:rPr>
          <w:vertAlign w:val="superscript"/>
        </w:rPr>
        <w:t>2</w:t>
      </w:r>
      <w:r w:rsidRPr="00B2769D">
        <w:t>.</w:t>
      </w:r>
    </w:p>
    <w:p w14:paraId="4508AF2F" w14:textId="77777777" w:rsidR="00290146" w:rsidRDefault="00290146" w:rsidP="00290146">
      <w:pPr>
        <w:pStyle w:val="Finding"/>
        <w:numPr>
          <w:ilvl w:val="0"/>
          <w:numId w:val="57"/>
        </w:numPr>
        <w:suppressAutoHyphens w:val="0"/>
        <w:autoSpaceDN/>
        <w:spacing w:before="0"/>
      </w:pPr>
      <w:r w:rsidRPr="00B2769D">
        <w:rPr>
          <w:b/>
        </w:rPr>
        <w:t>BOC202440.</w:t>
      </w:r>
      <w:r w:rsidRPr="00B2769D">
        <w:t xml:space="preserve"> The project file for this participant included a detailed space-by-space breakdown of the total building area at the managed facility. The evaluation team used this information and updated the managed square footage from 250,000 ft</w:t>
      </w:r>
      <w:r w:rsidRPr="00B2769D">
        <w:rPr>
          <w:vertAlign w:val="superscript"/>
        </w:rPr>
        <w:t>2</w:t>
      </w:r>
      <w:r w:rsidRPr="00B2769D">
        <w:t xml:space="preserve"> to 240,050 ft</w:t>
      </w:r>
      <w:r w:rsidRPr="00B2769D">
        <w:rPr>
          <w:vertAlign w:val="superscript"/>
        </w:rPr>
        <w:t>2</w:t>
      </w:r>
      <w:r w:rsidRPr="00B2769D">
        <w:t xml:space="preserve"> after excluding any area corresponding to open-air spaces and greenhouse facilities.</w:t>
      </w:r>
    </w:p>
    <w:p w14:paraId="79358998" w14:textId="77777777" w:rsidR="00290146" w:rsidRPr="002D4E05" w:rsidRDefault="00290146" w:rsidP="00290146">
      <w:pPr>
        <w:pStyle w:val="Finding"/>
        <w:numPr>
          <w:ilvl w:val="0"/>
          <w:numId w:val="57"/>
        </w:numPr>
        <w:suppressAutoHyphens w:val="0"/>
        <w:autoSpaceDN/>
        <w:spacing w:before="0"/>
      </w:pPr>
      <w:r w:rsidRPr="002D4E05">
        <w:rPr>
          <w:b/>
          <w:bCs/>
        </w:rPr>
        <w:t xml:space="preserve">BOC202401. </w:t>
      </w:r>
      <w:r w:rsidRPr="002D4E05">
        <w:t>The participant only reported one building address in the project file with a managed square footage of more than 500,000 ft</w:t>
      </w:r>
      <w:r w:rsidRPr="002D4E05">
        <w:rPr>
          <w:vertAlign w:val="superscript"/>
        </w:rPr>
        <w:t>2</w:t>
      </w:r>
      <w:r w:rsidRPr="002D4E05">
        <w:t>. The evaluation team updated the managed area for this building using the facility information found on the county website and verified savings for a managed square footage of 294,200 ft</w:t>
      </w:r>
      <w:r w:rsidRPr="002D4E05">
        <w:rPr>
          <w:vertAlign w:val="superscript"/>
        </w:rPr>
        <w:t>2</w:t>
      </w:r>
      <w:r w:rsidRPr="002D4E05">
        <w:t>.</w:t>
      </w:r>
    </w:p>
    <w:p w14:paraId="15EC962A" w14:textId="288C7002" w:rsidR="00290146" w:rsidRDefault="00290146" w:rsidP="00290146">
      <w:pPr>
        <w:pStyle w:val="Recommendation"/>
        <w:rPr>
          <w:b w:val="0"/>
          <w:lang w:val="en-US"/>
        </w:rPr>
      </w:pPr>
      <w:r w:rsidRPr="002D4E05">
        <w:rPr>
          <w:lang w:val="en-US"/>
        </w:rPr>
        <w:t xml:space="preserve">Recommendation </w:t>
      </w:r>
      <w:r w:rsidR="00992589">
        <w:rPr>
          <w:lang w:val="en-US"/>
        </w:rPr>
        <w:t>1</w:t>
      </w:r>
      <w:r w:rsidR="004C5D73">
        <w:rPr>
          <w:lang w:val="en-US"/>
        </w:rPr>
        <w:t>5</w:t>
      </w:r>
      <w:r w:rsidRPr="002D4E05">
        <w:rPr>
          <w:lang w:val="en-US"/>
        </w:rPr>
        <w:t>.</w:t>
      </w:r>
      <w:r w:rsidRPr="002D4E05">
        <w:rPr>
          <w:b w:val="0"/>
          <w:lang w:val="en-US"/>
        </w:rPr>
        <w:t xml:space="preserve"> Ensure the managed square footage used to calculate </w:t>
      </w:r>
      <w:proofErr w:type="gramStart"/>
      <w:r w:rsidRPr="002D4E05">
        <w:rPr>
          <w:b w:val="0"/>
          <w:lang w:val="en-US"/>
        </w:rPr>
        <w:t>ex ante</w:t>
      </w:r>
      <w:proofErr w:type="gramEnd"/>
      <w:r w:rsidRPr="002D4E05">
        <w:rPr>
          <w:b w:val="0"/>
          <w:lang w:val="en-US"/>
        </w:rPr>
        <w:t xml:space="preserve"> savings does not include any open-air or unmanaged spaces at the building. If a participant operates more than one building, confirm details for all operated buildings are included in the project file.</w:t>
      </w:r>
    </w:p>
    <w:p w14:paraId="30498C2C" w14:textId="77777777" w:rsidR="00290146" w:rsidRDefault="00290146" w:rsidP="00290146">
      <w:pPr>
        <w:pStyle w:val="Recommendation"/>
        <w:rPr>
          <w:b w:val="0"/>
          <w:lang w:val="en-US"/>
        </w:rPr>
      </w:pPr>
    </w:p>
    <w:p w14:paraId="10932F55" w14:textId="2EB1BE5D" w:rsidR="00290146" w:rsidRPr="002D4E05" w:rsidRDefault="00290146" w:rsidP="00290146">
      <w:pPr>
        <w:pStyle w:val="Finding"/>
        <w:ind w:left="360"/>
      </w:pPr>
      <w:r w:rsidRPr="00B2769D">
        <w:rPr>
          <w:b/>
        </w:rPr>
        <w:t xml:space="preserve">Finding </w:t>
      </w:r>
      <w:r w:rsidR="00992589">
        <w:rPr>
          <w:b/>
        </w:rPr>
        <w:t>1</w:t>
      </w:r>
      <w:r w:rsidR="004C5D73">
        <w:rPr>
          <w:b/>
        </w:rPr>
        <w:t>6</w:t>
      </w:r>
      <w:r>
        <w:rPr>
          <w:b/>
        </w:rPr>
        <w:t>.</w:t>
      </w:r>
      <w:r w:rsidRPr="00B2769D">
        <w:rPr>
          <w:b/>
        </w:rPr>
        <w:t xml:space="preserve"> </w:t>
      </w:r>
      <w:r w:rsidRPr="00B2769D">
        <w:t xml:space="preserve">For some facilities with multiple participants, the evaluation team verified different </w:t>
      </w:r>
      <w:r w:rsidRPr="002D4E05">
        <w:t>managed square footage as compared to the tracking data and project files after accounting for all the building square footage previously claimed through the program.</w:t>
      </w:r>
    </w:p>
    <w:p w14:paraId="798B7DF5" w14:textId="77777777" w:rsidR="00290146" w:rsidRPr="002D4E05" w:rsidRDefault="00290146" w:rsidP="00290146">
      <w:pPr>
        <w:pStyle w:val="Finding"/>
        <w:numPr>
          <w:ilvl w:val="0"/>
          <w:numId w:val="57"/>
        </w:numPr>
        <w:suppressAutoHyphens w:val="0"/>
        <w:autoSpaceDN/>
        <w:spacing w:before="0"/>
      </w:pPr>
      <w:r w:rsidRPr="002D4E05">
        <w:rPr>
          <w:b/>
          <w:bCs/>
        </w:rPr>
        <w:t xml:space="preserve">BOC202401 and BOC202402. </w:t>
      </w:r>
      <w:r w:rsidRPr="002D4E05">
        <w:t>This facility had two participants in CY2024, with both participants reporting the same building address (one building with 50% of the time for both participants) for operated building in the project files. The program claimed savings for a managed square footage of 500,000 ft</w:t>
      </w:r>
      <w:r w:rsidRPr="002D4E05">
        <w:rPr>
          <w:vertAlign w:val="superscript"/>
        </w:rPr>
        <w:t>2</w:t>
      </w:r>
      <w:r w:rsidRPr="002D4E05">
        <w:t xml:space="preserve"> for one participant (BOC202401) and 402,800 ft</w:t>
      </w:r>
      <w:r w:rsidRPr="002D4E05">
        <w:rPr>
          <w:vertAlign w:val="superscript"/>
        </w:rPr>
        <w:t xml:space="preserve">2 </w:t>
      </w:r>
      <w:r w:rsidRPr="002D4E05">
        <w:t>for the other participant (BOC202402). As detailed in Finding 2 above, the evaluation team verified savings only for a managed square footage of 294,200 ft</w:t>
      </w:r>
      <w:r w:rsidRPr="002D4E05">
        <w:rPr>
          <w:vertAlign w:val="superscript"/>
        </w:rPr>
        <w:t>2</w:t>
      </w:r>
      <w:r w:rsidRPr="002D4E05">
        <w:t xml:space="preserve"> for BOC202401 resulting in a realization rate of 0.59. For BOC202402, since the savings associated with the building were already verified for BOC202401, the evaluation team verified no additional savings for this participant.</w:t>
      </w:r>
    </w:p>
    <w:p w14:paraId="776C150A" w14:textId="1336770A" w:rsidR="00290146" w:rsidRPr="00B2769D" w:rsidRDefault="00290146" w:rsidP="00290146">
      <w:pPr>
        <w:pStyle w:val="Finding"/>
        <w:numPr>
          <w:ilvl w:val="0"/>
          <w:numId w:val="57"/>
        </w:numPr>
        <w:suppressAutoHyphens w:val="0"/>
        <w:autoSpaceDN/>
        <w:spacing w:before="0"/>
      </w:pPr>
      <w:r w:rsidRPr="00310BD1">
        <w:rPr>
          <w:b/>
        </w:rPr>
        <w:t>BOC202405 and BOC202446.</w:t>
      </w:r>
      <w:r w:rsidRPr="00B2769D">
        <w:t xml:space="preserve"> This facility had two participants in CY2024, with both participants managing the same building (100% of the time for one participant and 90% of the time for the other) and one of them (BOC202446) also managing another </w:t>
      </w:r>
      <w:r w:rsidR="00EF6E99">
        <w:t xml:space="preserve">two </w:t>
      </w:r>
      <w:r w:rsidRPr="00B2769D">
        <w:t>building</w:t>
      </w:r>
      <w:r w:rsidR="00376C9F">
        <w:t>s</w:t>
      </w:r>
      <w:r w:rsidRPr="00B2769D">
        <w:t>. The evaluation team verified a realization rate of 1.00 for BOC202405 using the maximum eligible area per participant (500,000 ft</w:t>
      </w:r>
      <w:r w:rsidRPr="00B2769D">
        <w:rPr>
          <w:vertAlign w:val="superscript"/>
        </w:rPr>
        <w:t>2</w:t>
      </w:r>
      <w:r w:rsidRPr="00B2769D">
        <w:t>) of the total managed square footage of 808,840 ft</w:t>
      </w:r>
      <w:r w:rsidRPr="00B2769D">
        <w:rPr>
          <w:vertAlign w:val="superscript"/>
        </w:rPr>
        <w:t>2</w:t>
      </w:r>
      <w:r w:rsidRPr="00B2769D">
        <w:t xml:space="preserve"> for the building in common. For BOC202446, the evaluation team </w:t>
      </w:r>
      <w:r w:rsidRPr="00B2769D">
        <w:lastRenderedPageBreak/>
        <w:t xml:space="preserve">updated the managed square footage from </w:t>
      </w:r>
      <w:r w:rsidR="00D05D5C">
        <w:t>500,000</w:t>
      </w:r>
      <w:r w:rsidRPr="00B2769D">
        <w:t xml:space="preserve"> </w:t>
      </w:r>
      <w:bookmarkStart w:id="52" w:name="_Hlk193379205"/>
      <w:r w:rsidRPr="00B2769D">
        <w:t>ft</w:t>
      </w:r>
      <w:r w:rsidRPr="00B2769D">
        <w:rPr>
          <w:vertAlign w:val="superscript"/>
        </w:rPr>
        <w:t>2</w:t>
      </w:r>
      <w:r w:rsidRPr="00B2769D">
        <w:t xml:space="preserve"> to </w:t>
      </w:r>
      <w:r w:rsidR="00C25CF0">
        <w:t>421,484</w:t>
      </w:r>
      <w:r w:rsidRPr="00B2769D">
        <w:t xml:space="preserve"> ft</w:t>
      </w:r>
      <w:r w:rsidRPr="00B2769D">
        <w:rPr>
          <w:vertAlign w:val="superscript"/>
        </w:rPr>
        <w:t>2</w:t>
      </w:r>
      <w:r w:rsidRPr="00B2769D">
        <w:t xml:space="preserve"> </w:t>
      </w:r>
      <w:bookmarkEnd w:id="52"/>
      <w:r w:rsidRPr="00B2769D">
        <w:t>(308,840 ft</w:t>
      </w:r>
      <w:r w:rsidRPr="00B2769D">
        <w:rPr>
          <w:vertAlign w:val="superscript"/>
        </w:rPr>
        <w:t>2</w:t>
      </w:r>
      <w:r w:rsidRPr="00B2769D">
        <w:t xml:space="preserve"> + 47,142 ft</w:t>
      </w:r>
      <w:r w:rsidRPr="00B2769D">
        <w:rPr>
          <w:vertAlign w:val="superscript"/>
        </w:rPr>
        <w:t>2</w:t>
      </w:r>
      <w:r w:rsidR="00376C9F">
        <w:rPr>
          <w:vertAlign w:val="superscript"/>
        </w:rPr>
        <w:t xml:space="preserve"> </w:t>
      </w:r>
      <w:r w:rsidR="00376C9F" w:rsidRPr="00B2769D">
        <w:t xml:space="preserve">+ </w:t>
      </w:r>
      <w:r w:rsidR="00EB21C2">
        <w:t>65</w:t>
      </w:r>
      <w:r w:rsidR="00376C9F" w:rsidRPr="00B2769D">
        <w:t>,</w:t>
      </w:r>
      <w:r w:rsidR="00EB21C2">
        <w:t>502</w:t>
      </w:r>
      <w:r w:rsidR="00376C9F" w:rsidRPr="00B2769D">
        <w:t xml:space="preserve"> ft</w:t>
      </w:r>
      <w:r w:rsidR="00376C9F" w:rsidRPr="00B2769D">
        <w:rPr>
          <w:vertAlign w:val="superscript"/>
        </w:rPr>
        <w:t>2</w:t>
      </w:r>
      <w:r w:rsidRPr="00B2769D">
        <w:t xml:space="preserve">) using the remaining managed area for the building in common and the full managed area for the </w:t>
      </w:r>
      <w:r w:rsidR="00361BF2">
        <w:t xml:space="preserve">two </w:t>
      </w:r>
      <w:r w:rsidRPr="00B2769D">
        <w:t>other building</w:t>
      </w:r>
      <w:r w:rsidR="00361BF2">
        <w:t>s</w:t>
      </w:r>
      <w:r w:rsidRPr="00B2769D">
        <w:t xml:space="preserve"> reported in the project files.</w:t>
      </w:r>
    </w:p>
    <w:p w14:paraId="49120D31" w14:textId="20FC6ECE" w:rsidR="00E80B0C" w:rsidRDefault="00290146" w:rsidP="00E80B0C">
      <w:pPr>
        <w:pStyle w:val="Recommendation"/>
        <w:rPr>
          <w:b w:val="0"/>
          <w:lang w:val="en-US"/>
        </w:rPr>
      </w:pPr>
      <w:r w:rsidRPr="00B2769D">
        <w:rPr>
          <w:lang w:val="en-US"/>
        </w:rPr>
        <w:t xml:space="preserve">Recommendation </w:t>
      </w:r>
      <w:r w:rsidR="00992589">
        <w:rPr>
          <w:lang w:val="en-US"/>
        </w:rPr>
        <w:t>1</w:t>
      </w:r>
      <w:r w:rsidR="004C5D73">
        <w:rPr>
          <w:lang w:val="en-US"/>
        </w:rPr>
        <w:t>6</w:t>
      </w:r>
      <w:r w:rsidRPr="00B2769D">
        <w:rPr>
          <w:lang w:val="en-US"/>
        </w:rPr>
        <w:t>.</w:t>
      </w:r>
      <w:r w:rsidRPr="00B2769D">
        <w:rPr>
          <w:b w:val="0"/>
          <w:lang w:val="en-US"/>
        </w:rPr>
        <w:t xml:space="preserve"> Administer additional scrutiny during the savings review for facilities that have multiple participants in the same program year or repeat participation (same participant or same building) across multiple program years to ensure savings are not claimed based on the same square footage for multiple participants.</w:t>
      </w:r>
    </w:p>
    <w:p w14:paraId="46FB7304" w14:textId="77777777" w:rsidR="00D414B3" w:rsidRDefault="00D414B3" w:rsidP="00D414B3">
      <w:pPr>
        <w:pStyle w:val="Recommendation"/>
        <w:ind w:left="0"/>
        <w:rPr>
          <w:b w:val="0"/>
          <w:lang w:val="en-US"/>
        </w:rPr>
      </w:pPr>
    </w:p>
    <w:p w14:paraId="0C84684A" w14:textId="77777777" w:rsidR="00D414B3" w:rsidRDefault="00D414B3" w:rsidP="00D414B3">
      <w:pPr>
        <w:pStyle w:val="Heading4"/>
      </w:pPr>
      <w:r>
        <w:t>Disadvantaged Communities</w:t>
      </w:r>
    </w:p>
    <w:p w14:paraId="151805A4" w14:textId="44FD689F" w:rsidR="00D414B3" w:rsidRPr="00866F2C" w:rsidRDefault="00D414B3" w:rsidP="00D414B3">
      <w:pPr>
        <w:rPr>
          <w:bCs/>
        </w:rPr>
      </w:pPr>
      <w:r w:rsidRPr="00915A79">
        <w:rPr>
          <w:b/>
        </w:rPr>
        <w:t xml:space="preserve">Finding </w:t>
      </w:r>
      <w:r>
        <w:rPr>
          <w:b/>
        </w:rPr>
        <w:t>1</w:t>
      </w:r>
      <w:r w:rsidR="004C5D73">
        <w:rPr>
          <w:b/>
        </w:rPr>
        <w:t>7</w:t>
      </w:r>
      <w:r w:rsidRPr="00915A79">
        <w:rPr>
          <w:b/>
        </w:rPr>
        <w:t>.</w:t>
      </w:r>
      <w:r>
        <w:rPr>
          <w:b/>
        </w:rPr>
        <w:t xml:space="preserve"> </w:t>
      </w:r>
      <w:r>
        <w:rPr>
          <w:bCs/>
        </w:rPr>
        <w:t xml:space="preserve">The evaluation team </w:t>
      </w:r>
      <w:r w:rsidR="009B1284">
        <w:rPr>
          <w:bCs/>
        </w:rPr>
        <w:t xml:space="preserve">used </w:t>
      </w:r>
      <w:r w:rsidR="006B6ADA">
        <w:rPr>
          <w:bCs/>
        </w:rPr>
        <w:t>information in the</w:t>
      </w:r>
      <w:r w:rsidR="009B1284">
        <w:rPr>
          <w:bCs/>
        </w:rPr>
        <w:t xml:space="preserve"> tracking data to determine if measures were installed in disadvantaged communities</w:t>
      </w:r>
      <w:r w:rsidR="006B6ADA">
        <w:rPr>
          <w:bCs/>
        </w:rPr>
        <w:t>, with support from the supplemental file “</w:t>
      </w:r>
      <w:r w:rsidR="006B6ADA" w:rsidRPr="00E278F8">
        <w:t>2024 EEP Business Participant DAC 1-30</w:t>
      </w:r>
      <w:r w:rsidR="006B6ADA">
        <w:t xml:space="preserve">”. </w:t>
      </w:r>
      <w:r w:rsidR="00F13A1A">
        <w:t xml:space="preserve">The team deferred to the tracking data as this supplemental file </w:t>
      </w:r>
      <w:r w:rsidR="00E9309F">
        <w:t>did not contain</w:t>
      </w:r>
      <w:r w:rsidR="00F13A1A">
        <w:t xml:space="preserve"> disadvantaged community identifiers for measures in the Midstream CFS </w:t>
      </w:r>
      <w:r w:rsidR="00BD7A56">
        <w:t xml:space="preserve">or BOC program paths. </w:t>
      </w:r>
    </w:p>
    <w:p w14:paraId="1546B5D4" w14:textId="35AFDC9D" w:rsidR="00D414B3" w:rsidRDefault="00D414B3" w:rsidP="00B871FA">
      <w:pPr>
        <w:tabs>
          <w:tab w:val="left" w:pos="720"/>
        </w:tabs>
        <w:spacing w:line="264" w:lineRule="auto"/>
        <w:ind w:left="900" w:hanging="360"/>
      </w:pPr>
      <w:r w:rsidRPr="00BE1CA5">
        <w:rPr>
          <w:b/>
        </w:rPr>
        <w:t>Recommendation</w:t>
      </w:r>
      <w:r>
        <w:rPr>
          <w:b/>
          <w:bCs/>
        </w:rPr>
        <w:t xml:space="preserve"> 1</w:t>
      </w:r>
      <w:r w:rsidR="004C5D73">
        <w:rPr>
          <w:b/>
          <w:bCs/>
        </w:rPr>
        <w:t>7</w:t>
      </w:r>
      <w:r>
        <w:rPr>
          <w:b/>
          <w:bCs/>
        </w:rPr>
        <w:t xml:space="preserve">. </w:t>
      </w:r>
      <w:r w:rsidR="00505304">
        <w:t xml:space="preserve">Ensure the tracking data has enough information to properly identify if </w:t>
      </w:r>
      <w:r w:rsidR="00B871FA">
        <w:t xml:space="preserve">all </w:t>
      </w:r>
      <w:r w:rsidR="00505304">
        <w:t>measures are installed in disadvantaged communities</w:t>
      </w:r>
      <w:r w:rsidR="0028377C">
        <w:t xml:space="preserve"> for CFS projects</w:t>
      </w:r>
      <w:r w:rsidR="00505304">
        <w:t xml:space="preserve">. </w:t>
      </w:r>
    </w:p>
    <w:p w14:paraId="15FC0581" w14:textId="77777777" w:rsidR="008F4456" w:rsidRDefault="008F4456" w:rsidP="008F4456">
      <w:pPr>
        <w:tabs>
          <w:tab w:val="left" w:pos="720"/>
        </w:tabs>
        <w:spacing w:line="264" w:lineRule="auto"/>
      </w:pPr>
    </w:p>
    <w:p w14:paraId="762A9F6D" w14:textId="74CE41EE" w:rsidR="00C635EC" w:rsidRDefault="00C635EC" w:rsidP="00C635EC">
      <w:pPr>
        <w:pStyle w:val="Heading4"/>
      </w:pPr>
      <w:r>
        <w:t>Climate Zone</w:t>
      </w:r>
    </w:p>
    <w:p w14:paraId="5C32FDAD" w14:textId="427EBEDE" w:rsidR="00C635EC" w:rsidRPr="00866F2C" w:rsidRDefault="00C635EC" w:rsidP="00C635EC">
      <w:pPr>
        <w:rPr>
          <w:bCs/>
        </w:rPr>
      </w:pPr>
      <w:r w:rsidRPr="00915A79">
        <w:rPr>
          <w:b/>
        </w:rPr>
        <w:t xml:space="preserve">Finding </w:t>
      </w:r>
      <w:r>
        <w:rPr>
          <w:b/>
        </w:rPr>
        <w:t>18</w:t>
      </w:r>
      <w:r w:rsidRPr="00915A79">
        <w:rPr>
          <w:b/>
        </w:rPr>
        <w:t>.</w:t>
      </w:r>
      <w:r>
        <w:rPr>
          <w:b/>
        </w:rPr>
        <w:t xml:space="preserve"> </w:t>
      </w:r>
      <w:r>
        <w:rPr>
          <w:bCs/>
        </w:rPr>
        <w:t>The evaluation team found the tracking data</w:t>
      </w:r>
      <w:r w:rsidR="00600BE8">
        <w:rPr>
          <w:bCs/>
        </w:rPr>
        <w:t>’s Climate</w:t>
      </w:r>
      <w:r w:rsidR="0028377C">
        <w:rPr>
          <w:bCs/>
        </w:rPr>
        <w:t xml:space="preserve"> </w:t>
      </w:r>
      <w:r w:rsidR="00600BE8">
        <w:rPr>
          <w:bCs/>
        </w:rPr>
        <w:t>Zone column is blank for a</w:t>
      </w:r>
      <w:r w:rsidR="00FB20D6">
        <w:rPr>
          <w:bCs/>
        </w:rPr>
        <w:t xml:space="preserve">ll Midstream CFS projects as well as </w:t>
      </w:r>
      <w:r w:rsidR="0028377C">
        <w:rPr>
          <w:bCs/>
        </w:rPr>
        <w:t>several</w:t>
      </w:r>
      <w:r w:rsidR="00FB20D6">
        <w:rPr>
          <w:bCs/>
        </w:rPr>
        <w:t xml:space="preserve"> </w:t>
      </w:r>
      <w:r w:rsidR="0028377C">
        <w:rPr>
          <w:bCs/>
        </w:rPr>
        <w:t xml:space="preserve">other </w:t>
      </w:r>
      <w:r w:rsidR="00FB20D6">
        <w:rPr>
          <w:bCs/>
        </w:rPr>
        <w:t xml:space="preserve">projects in the other </w:t>
      </w:r>
      <w:r w:rsidR="0028377C">
        <w:rPr>
          <w:bCs/>
        </w:rPr>
        <w:t>p</w:t>
      </w:r>
      <w:r w:rsidR="00FB20D6">
        <w:rPr>
          <w:bCs/>
        </w:rPr>
        <w:t xml:space="preserve">rogram </w:t>
      </w:r>
      <w:r w:rsidR="0028377C">
        <w:rPr>
          <w:bCs/>
        </w:rPr>
        <w:t>p</w:t>
      </w:r>
      <w:r w:rsidR="00FB20D6">
        <w:rPr>
          <w:bCs/>
        </w:rPr>
        <w:t>aths</w:t>
      </w:r>
      <w:r>
        <w:t>.</w:t>
      </w:r>
      <w:r w:rsidR="007F3E3B">
        <w:t xml:space="preserve"> </w:t>
      </w:r>
      <w:r w:rsidR="00AE210D">
        <w:t>In these cases, the evaluation team verifie</w:t>
      </w:r>
      <w:r w:rsidR="0028377C">
        <w:t>d</w:t>
      </w:r>
      <w:r w:rsidR="00AE210D">
        <w:t xml:space="preserve"> a climate zone using </w:t>
      </w:r>
      <w:r w:rsidR="0072501A">
        <w:t>an Illinois Zip Code and Climate Zone Mapping file</w:t>
      </w:r>
      <w:r w:rsidR="00124370">
        <w:rPr>
          <w:rStyle w:val="FootnoteReference"/>
        </w:rPr>
        <w:footnoteReference w:id="3"/>
      </w:r>
      <w:r w:rsidR="007C05BA">
        <w:t xml:space="preserve"> and </w:t>
      </w:r>
      <w:r w:rsidR="0028377C">
        <w:t>the county information in the tracking data t</w:t>
      </w:r>
      <w:r w:rsidR="007C05BA">
        <w:t>o inform verified savings as applicable. This has no impact on the realization rate.</w:t>
      </w:r>
    </w:p>
    <w:p w14:paraId="2B3AB109" w14:textId="14F818A6" w:rsidR="00C635EC" w:rsidRDefault="00C635EC" w:rsidP="00C635EC">
      <w:pPr>
        <w:tabs>
          <w:tab w:val="left" w:pos="720"/>
        </w:tabs>
        <w:spacing w:line="264" w:lineRule="auto"/>
        <w:ind w:left="900" w:hanging="360"/>
      </w:pPr>
      <w:r w:rsidRPr="00BE1CA5">
        <w:rPr>
          <w:b/>
        </w:rPr>
        <w:t>Recommendation</w:t>
      </w:r>
      <w:r>
        <w:rPr>
          <w:b/>
          <w:bCs/>
        </w:rPr>
        <w:t xml:space="preserve"> 1</w:t>
      </w:r>
      <w:r w:rsidR="007C05BA">
        <w:rPr>
          <w:b/>
          <w:bCs/>
        </w:rPr>
        <w:t>8</w:t>
      </w:r>
      <w:r>
        <w:rPr>
          <w:b/>
          <w:bCs/>
        </w:rPr>
        <w:t xml:space="preserve">. </w:t>
      </w:r>
      <w:r w:rsidR="00C05022">
        <w:t>Provide</w:t>
      </w:r>
      <w:r w:rsidR="007C05BA">
        <w:t xml:space="preserve"> a climate zone for every project</w:t>
      </w:r>
      <w:r w:rsidR="00C05022">
        <w:t xml:space="preserve"> in the tracking data</w:t>
      </w:r>
      <w:r>
        <w:t>.</w:t>
      </w:r>
    </w:p>
    <w:p w14:paraId="75612633" w14:textId="4BA7BF96" w:rsidR="00C635EC" w:rsidRPr="00C635EC" w:rsidRDefault="00C635EC" w:rsidP="00C635EC">
      <w:pPr>
        <w:pStyle w:val="GHBodytext"/>
        <w:sectPr w:rsidR="00C635EC" w:rsidRPr="00C635EC" w:rsidSect="0028377C">
          <w:pgSz w:w="12240" w:h="15840" w:code="1"/>
          <w:pgMar w:top="1440" w:right="1440" w:bottom="1440" w:left="1440" w:header="720" w:footer="720" w:gutter="0"/>
          <w:pgNumType w:start="1"/>
          <w:cols w:space="720"/>
          <w:docGrid w:linePitch="360"/>
        </w:sectPr>
      </w:pPr>
    </w:p>
    <w:p w14:paraId="2B0362B2" w14:textId="439DF7EE" w:rsidR="00250A50" w:rsidRDefault="00250A50" w:rsidP="00F56169">
      <w:pPr>
        <w:pStyle w:val="Heading5"/>
        <w:ind w:left="0"/>
        <w:jc w:val="both"/>
      </w:pPr>
      <w:bookmarkStart w:id="53" w:name="_Ref65052649"/>
      <w:bookmarkStart w:id="54" w:name="_Ref65054436"/>
      <w:bookmarkStart w:id="55" w:name="_Ref65054442"/>
      <w:bookmarkStart w:id="56" w:name="_Toc195788192"/>
      <w:r>
        <w:lastRenderedPageBreak/>
        <w:t>Impact Analysis Methodology</w:t>
      </w:r>
      <w:bookmarkEnd w:id="53"/>
      <w:bookmarkEnd w:id="54"/>
      <w:bookmarkEnd w:id="55"/>
      <w:bookmarkEnd w:id="56"/>
    </w:p>
    <w:p w14:paraId="4CDAB3AD" w14:textId="339DFEB8" w:rsidR="000015D4" w:rsidRDefault="000015D4" w:rsidP="000015D4">
      <w:pPr>
        <w:pStyle w:val="Heading4"/>
      </w:pPr>
      <w:bookmarkStart w:id="57" w:name="_Ref66786934"/>
      <w:bookmarkStart w:id="58" w:name="_Toc497139745"/>
      <w:bookmarkStart w:id="59" w:name="_Toc61360850"/>
      <w:r>
        <w:t>Building Operator Certification</w:t>
      </w:r>
    </w:p>
    <w:p w14:paraId="5218D3A1" w14:textId="75C7102A" w:rsidR="00EF776B" w:rsidRPr="00AC48D7" w:rsidRDefault="00EF776B" w:rsidP="00EF776B">
      <w:r w:rsidRPr="001B783D">
        <w:t xml:space="preserve">The impact evaluation team applied the algorithms from Measure 4.8.24 Building Operator Certification from IL-TRM v12.0. </w:t>
      </w:r>
      <w:proofErr w:type="gramStart"/>
      <w:r w:rsidRPr="001B783D">
        <w:t>Guidehouse</w:t>
      </w:r>
      <w:proofErr w:type="gramEnd"/>
      <w:r w:rsidRPr="001B783D">
        <w:t xml:space="preserve"> used information collected from the participants and internet research to determine the inputs into the IL-TRM algorithm. If the square footage managed by a participant exceeded 500,000 ft</w:t>
      </w:r>
      <w:r w:rsidRPr="001B783D">
        <w:rPr>
          <w:vertAlign w:val="superscript"/>
        </w:rPr>
        <w:t>2</w:t>
      </w:r>
      <w:r w:rsidRPr="001B783D">
        <w:t>, savings were capped at 500,000 ft</w:t>
      </w:r>
      <w:r w:rsidRPr="001B783D">
        <w:rPr>
          <w:vertAlign w:val="superscript"/>
        </w:rPr>
        <w:t xml:space="preserve">2 </w:t>
      </w:r>
      <w:r w:rsidRPr="001B783D">
        <w:t>per participant</w:t>
      </w:r>
      <w:r w:rsidR="005D4FA6">
        <w:t xml:space="preserve"> </w:t>
      </w:r>
      <w:r w:rsidRPr="001B783D">
        <w:t>.</w:t>
      </w:r>
      <w:r w:rsidR="005D4FA6">
        <w:fldChar w:fldCharType="begin"/>
      </w:r>
      <w:r w:rsidR="005D4FA6">
        <w:instrText xml:space="preserve"> REF _Ref195774999 \h </w:instrText>
      </w:r>
      <w:r w:rsidR="005D4FA6">
        <w:fldChar w:fldCharType="separate"/>
      </w:r>
      <w:r w:rsidR="005D4FA6">
        <w:t xml:space="preserve">Table </w:t>
      </w:r>
      <w:r w:rsidR="005D4FA6">
        <w:rPr>
          <w:noProof/>
        </w:rPr>
        <w:t>A</w:t>
      </w:r>
      <w:r w:rsidR="005D4FA6">
        <w:noBreakHyphen/>
      </w:r>
      <w:r w:rsidR="005D4FA6">
        <w:rPr>
          <w:noProof/>
        </w:rPr>
        <w:t>1</w:t>
      </w:r>
      <w:r w:rsidR="005D4FA6">
        <w:fldChar w:fldCharType="end"/>
      </w:r>
      <w:r w:rsidRPr="001B783D">
        <w:t xml:space="preserve">shows the savings coefficients from IL-TRM v12.0, and they are used in </w:t>
      </w:r>
      <w:r w:rsidRPr="001B783D">
        <w:fldChar w:fldCharType="begin"/>
      </w:r>
      <w:r w:rsidRPr="001B783D">
        <w:instrText xml:space="preserve"> REF _Ref129551565 \h  \* MERGEFORMAT </w:instrText>
      </w:r>
      <w:r w:rsidRPr="001B783D">
        <w:fldChar w:fldCharType="separate"/>
      </w:r>
      <w:r w:rsidRPr="001B783D">
        <w:t>Equation 1</w:t>
      </w:r>
      <w:r w:rsidRPr="001B783D">
        <w:fldChar w:fldCharType="end"/>
      </w:r>
      <w:r w:rsidRPr="001B783D">
        <w:t xml:space="preserve">, </w:t>
      </w:r>
      <w:r w:rsidRPr="001B783D">
        <w:fldChar w:fldCharType="begin"/>
      </w:r>
      <w:r w:rsidRPr="001B783D">
        <w:instrText xml:space="preserve"> REF _Ref129551568 \h  \* MERGEFORMAT </w:instrText>
      </w:r>
      <w:r w:rsidRPr="001B783D">
        <w:fldChar w:fldCharType="separate"/>
      </w:r>
      <w:r w:rsidRPr="001B783D">
        <w:t>Equation 2</w:t>
      </w:r>
      <w:r w:rsidRPr="001B783D">
        <w:fldChar w:fldCharType="end"/>
      </w:r>
      <w:r w:rsidRPr="001B783D">
        <w:t xml:space="preserve">, and </w:t>
      </w:r>
      <w:r w:rsidRPr="001B783D">
        <w:fldChar w:fldCharType="begin"/>
      </w:r>
      <w:r w:rsidRPr="001B783D">
        <w:instrText xml:space="preserve"> REF _Ref129551569 \h  \* MERGEFORMAT </w:instrText>
      </w:r>
      <w:r w:rsidRPr="001B783D">
        <w:fldChar w:fldCharType="separate"/>
      </w:r>
      <w:r w:rsidRPr="001B783D">
        <w:t>Equation 3</w:t>
      </w:r>
      <w:r w:rsidRPr="001B783D">
        <w:fldChar w:fldCharType="end"/>
      </w:r>
      <w:r w:rsidRPr="001B783D">
        <w:t xml:space="preserve"> to verify the estimated annual energy savings.</w:t>
      </w:r>
    </w:p>
    <w:p w14:paraId="5F7CEFC0" w14:textId="77777777" w:rsidR="00250A50" w:rsidRDefault="00250A50">
      <w:pPr>
        <w:pStyle w:val="Caption"/>
      </w:pPr>
      <w:bookmarkStart w:id="60" w:name="_Ref195774999"/>
      <w:bookmarkStart w:id="61" w:name="_Toc195788203"/>
      <w:r>
        <w:t xml:space="preserve">Table </w:t>
      </w:r>
      <w:r>
        <w:fldChar w:fldCharType="begin"/>
      </w:r>
      <w:r>
        <w:instrText xml:space="preserve"> STYLEREF 5 \s </w:instrText>
      </w:r>
      <w:r>
        <w:fldChar w:fldCharType="separate"/>
      </w:r>
      <w:r>
        <w:rPr>
          <w:noProof/>
        </w:rPr>
        <w:t>A</w:t>
      </w:r>
      <w:r>
        <w:rPr>
          <w:noProof/>
        </w:rPr>
        <w:fldChar w:fldCharType="end"/>
      </w:r>
      <w:r>
        <w:noBreakHyphen/>
      </w:r>
      <w:r>
        <w:fldChar w:fldCharType="begin"/>
      </w:r>
      <w:r>
        <w:instrText xml:space="preserve"> SEQ Table_Apx \* ARABIC \s 5 </w:instrText>
      </w:r>
      <w:r>
        <w:fldChar w:fldCharType="separate"/>
      </w:r>
      <w:r>
        <w:rPr>
          <w:noProof/>
        </w:rPr>
        <w:t>1</w:t>
      </w:r>
      <w:r>
        <w:rPr>
          <w:noProof/>
        </w:rPr>
        <w:fldChar w:fldCharType="end"/>
      </w:r>
      <w:bookmarkEnd w:id="57"/>
      <w:bookmarkEnd w:id="60"/>
      <w:r>
        <w:t>.</w:t>
      </w:r>
      <w:r w:rsidDel="00146395">
        <w:t xml:space="preserve"> </w:t>
      </w:r>
      <w:r w:rsidRPr="00BA42C5">
        <w:t>Profile of Gross Impact Sample</w:t>
      </w:r>
      <w:bookmarkEnd w:id="58"/>
      <w:r>
        <w:t xml:space="preserve"> for Custom Projects</w:t>
      </w:r>
      <w:bookmarkStart w:id="62" w:name="Table_A_1"/>
      <w:bookmarkEnd w:id="59"/>
      <w:bookmarkEnd w:id="61"/>
      <w:bookmarkEnd w:id="62"/>
    </w:p>
    <w:tbl>
      <w:tblPr>
        <w:tblW w:w="0" w:type="auto"/>
        <w:jc w:val="center"/>
        <w:tblLayout w:type="fixed"/>
        <w:tblLook w:val="0420" w:firstRow="1" w:lastRow="0" w:firstColumn="0" w:lastColumn="0" w:noHBand="0" w:noVBand="1"/>
      </w:tblPr>
      <w:tblGrid>
        <w:gridCol w:w="1337"/>
        <w:gridCol w:w="1337"/>
        <w:gridCol w:w="566"/>
        <w:gridCol w:w="1620"/>
      </w:tblGrid>
      <w:tr w:rsidR="002E347E" w14:paraId="6BE14C6B" w14:textId="77777777" w:rsidTr="006654B1">
        <w:trPr>
          <w:tblHeader/>
          <w:jc w:val="center"/>
        </w:trPr>
        <w:tc>
          <w:tcPr>
            <w:tcW w:w="1337"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7067D9A" w14:textId="2848EFE2" w:rsidR="002E347E" w:rsidRPr="002E347E" w:rsidRDefault="002E347E" w:rsidP="00140A0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E347E">
              <w:rPr>
                <w:rFonts w:ascii="Arial Narrow" w:eastAsia="DejaVu Sans" w:hAnsi="DejaVu Sans" w:cs="DejaVu Sans"/>
                <w:b/>
                <w:bCs/>
                <w:color w:val="FFFFFF"/>
                <w:sz w:val="20"/>
                <w:szCs w:val="20"/>
              </w:rPr>
              <w:t>Savings Type</w:t>
            </w:r>
          </w:p>
        </w:tc>
        <w:tc>
          <w:tcPr>
            <w:tcW w:w="1337"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F0D6985" w14:textId="6CC65BFA" w:rsidR="002E347E" w:rsidRPr="002E347E" w:rsidRDefault="002E347E" w:rsidP="00140A0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E347E">
              <w:rPr>
                <w:rFonts w:ascii="Arial Narrow" w:eastAsia="DejaVu Sans" w:hAnsi="DejaVu Sans" w:cs="DejaVu Sans"/>
                <w:b/>
                <w:bCs/>
                <w:color w:val="FFFFFF"/>
                <w:sz w:val="20"/>
                <w:szCs w:val="20"/>
              </w:rPr>
              <w:t>Variable Name</w:t>
            </w:r>
          </w:p>
        </w:tc>
        <w:tc>
          <w:tcPr>
            <w:tcW w:w="56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95CE5C" w14:textId="64AA40F8" w:rsidR="002E347E" w:rsidRPr="002E347E" w:rsidRDefault="002E347E" w:rsidP="00140A0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FFFFFF"/>
                <w:sz w:val="20"/>
                <w:szCs w:val="20"/>
              </w:rPr>
            </w:pPr>
            <w:r w:rsidRPr="002E347E">
              <w:rPr>
                <w:rFonts w:ascii="Arial Narrow" w:eastAsia="DejaVu Sans" w:hAnsi="DejaVu Sans" w:cs="DejaVu Sans"/>
                <w:b/>
                <w:bCs/>
                <w:color w:val="FFFFFF"/>
                <w:sz w:val="20"/>
                <w:szCs w:val="20"/>
              </w:rPr>
              <w:t>Value</w:t>
            </w:r>
          </w:p>
        </w:tc>
        <w:tc>
          <w:tcPr>
            <w:tcW w:w="162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E1A7E5A" w14:textId="4521FBDB" w:rsidR="002E347E" w:rsidRPr="002E347E" w:rsidRDefault="002E347E" w:rsidP="00140A0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FFFFFF"/>
                <w:sz w:val="20"/>
                <w:szCs w:val="20"/>
              </w:rPr>
            </w:pPr>
            <w:r w:rsidRPr="002E347E">
              <w:rPr>
                <w:rFonts w:ascii="Arial Narrow" w:eastAsia="DejaVu Sans" w:hAnsi="DejaVu Sans" w:cs="DejaVu Sans"/>
                <w:b/>
                <w:bCs/>
                <w:color w:val="FFFFFF"/>
                <w:sz w:val="20"/>
                <w:szCs w:val="20"/>
              </w:rPr>
              <w:t>Unit</w:t>
            </w:r>
          </w:p>
        </w:tc>
      </w:tr>
      <w:tr w:rsidR="002E347E" w14:paraId="67818DD7" w14:textId="77777777" w:rsidTr="006654B1">
        <w:trPr>
          <w:jc w:val="center"/>
        </w:trPr>
        <w:tc>
          <w:tcPr>
            <w:tcW w:w="1337"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B8B515" w14:textId="5950FC21" w:rsidR="002E347E" w:rsidRPr="00140A07" w:rsidRDefault="00140A07" w:rsidP="00140A0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Cs/>
                <w:color w:val="000000"/>
                <w:sz w:val="20"/>
                <w:szCs w:val="20"/>
              </w:rPr>
            </w:pPr>
            <w:r w:rsidRPr="00140A07">
              <w:rPr>
                <w:rFonts w:ascii="Arial Narrow" w:eastAsia="DejaVu Sans" w:hAnsi="DejaVu Sans" w:cs="DejaVu Sans"/>
                <w:bCs/>
                <w:color w:val="000000"/>
                <w:sz w:val="20"/>
                <w:szCs w:val="20"/>
              </w:rPr>
              <w:t>Natural Gas</w:t>
            </w:r>
          </w:p>
        </w:tc>
        <w:tc>
          <w:tcPr>
            <w:tcW w:w="1337"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079E74" w14:textId="7C8D334E" w:rsidR="002E347E" w:rsidRPr="00140A07" w:rsidRDefault="00140A07" w:rsidP="00140A0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Cs/>
                <w:color w:val="000000"/>
                <w:sz w:val="20"/>
                <w:szCs w:val="20"/>
                <w:vertAlign w:val="subscript"/>
              </w:rPr>
            </w:pPr>
            <w:r w:rsidRPr="00140A07">
              <w:rPr>
                <w:rFonts w:ascii="Arial Narrow" w:eastAsia="DejaVu Sans" w:hAnsi="DejaVu Sans" w:cs="DejaVu Sans"/>
                <w:bCs/>
                <w:color w:val="000000"/>
                <w:sz w:val="20"/>
                <w:szCs w:val="20"/>
              </w:rPr>
              <w:t>C</w:t>
            </w:r>
            <w:r w:rsidRPr="00140A07">
              <w:rPr>
                <w:rFonts w:ascii="Arial Narrow" w:eastAsia="DejaVu Sans" w:hAnsi="DejaVu Sans" w:cs="DejaVu Sans"/>
                <w:bCs/>
                <w:color w:val="000000"/>
                <w:sz w:val="20"/>
                <w:szCs w:val="20"/>
                <w:vertAlign w:val="subscript"/>
              </w:rPr>
              <w:t>g</w:t>
            </w:r>
          </w:p>
        </w:tc>
        <w:tc>
          <w:tcPr>
            <w:tcW w:w="56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5687FB" w14:textId="0241E574" w:rsidR="002E347E" w:rsidRPr="00140A07" w:rsidRDefault="00140A07" w:rsidP="00140A0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Cs/>
                <w:color w:val="000000"/>
                <w:sz w:val="20"/>
                <w:szCs w:val="20"/>
              </w:rPr>
            </w:pPr>
            <w:r w:rsidRPr="00140A07">
              <w:rPr>
                <w:rFonts w:ascii="Arial Narrow" w:eastAsia="DejaVu Sans" w:hAnsi="DejaVu Sans" w:cs="DejaVu Sans"/>
                <w:bCs/>
                <w:color w:val="000000"/>
                <w:sz w:val="20"/>
                <w:szCs w:val="20"/>
              </w:rPr>
              <w:t>0.0046</w:t>
            </w:r>
          </w:p>
        </w:tc>
        <w:tc>
          <w:tcPr>
            <w:tcW w:w="162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AB78BB" w14:textId="70E9B578" w:rsidR="002E347E" w:rsidRPr="00140A07" w:rsidRDefault="00140A07" w:rsidP="00140A0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Cs/>
                <w:color w:val="000000"/>
                <w:sz w:val="20"/>
                <w:szCs w:val="20"/>
              </w:rPr>
            </w:pPr>
            <w:r w:rsidRPr="00140A07">
              <w:rPr>
                <w:rFonts w:ascii="Arial Narrow" w:eastAsia="DejaVu Sans" w:hAnsi="DejaVu Sans" w:cs="DejaVu Sans"/>
                <w:bCs/>
                <w:color w:val="000000"/>
                <w:sz w:val="20"/>
                <w:szCs w:val="20"/>
              </w:rPr>
              <w:t>therms/ft</w:t>
            </w:r>
            <w:r w:rsidRPr="00140A07">
              <w:rPr>
                <w:rFonts w:ascii="Arial Narrow" w:eastAsia="DejaVu Sans" w:hAnsi="DejaVu Sans" w:cs="DejaVu Sans"/>
                <w:bCs/>
                <w:color w:val="000000"/>
                <w:sz w:val="20"/>
                <w:szCs w:val="20"/>
                <w:vertAlign w:val="superscript"/>
              </w:rPr>
              <w:t>2</w:t>
            </w:r>
            <w:r w:rsidRPr="00140A07">
              <w:rPr>
                <w:rFonts w:ascii="Arial Narrow" w:eastAsia="DejaVu Sans" w:hAnsi="DejaVu Sans" w:cs="DejaVu Sans"/>
                <w:bCs/>
                <w:color w:val="000000"/>
                <w:sz w:val="20"/>
                <w:szCs w:val="20"/>
              </w:rPr>
              <w:t>/participant</w:t>
            </w:r>
          </w:p>
        </w:tc>
      </w:tr>
    </w:tbl>
    <w:p w14:paraId="0993849A" w14:textId="5AFBCA05" w:rsidR="008B5F2B" w:rsidRDefault="00250A50" w:rsidP="007605E8">
      <w:pPr>
        <w:pStyle w:val="Source"/>
        <w:keepNext/>
        <w:keepLines/>
        <w:ind w:firstLine="2250"/>
      </w:pPr>
      <w:r w:rsidRPr="0058029D">
        <w:t xml:space="preserve">Source: </w:t>
      </w:r>
      <w:r w:rsidR="006654B1">
        <w:t>IL TRM V12.0, Measure 4.8.24</w:t>
      </w:r>
    </w:p>
    <w:p w14:paraId="4BF38A61" w14:textId="77777777" w:rsidR="008B5F2B" w:rsidRDefault="008B5F2B" w:rsidP="0086042D"/>
    <w:p w14:paraId="350EBE81" w14:textId="030E0572" w:rsidR="008B5F2B" w:rsidRDefault="008B5F2B" w:rsidP="008B5F2B">
      <w:pPr>
        <w:pStyle w:val="Caption"/>
      </w:pPr>
      <w:r>
        <w:t xml:space="preserve">Equation </w:t>
      </w:r>
      <w:r>
        <w:fldChar w:fldCharType="begin"/>
      </w:r>
      <w:r>
        <w:instrText xml:space="preserve"> SEQ Equation \* ARABIC </w:instrText>
      </w:r>
      <w:r>
        <w:fldChar w:fldCharType="separate"/>
      </w:r>
      <w:r>
        <w:rPr>
          <w:noProof/>
        </w:rPr>
        <w:t>1</w:t>
      </w:r>
      <w:r>
        <w:rPr>
          <w:noProof/>
        </w:rPr>
        <w:fldChar w:fldCharType="end"/>
      </w:r>
      <w:r>
        <w:t>. Natural Gas Energy Savings per Participant</w:t>
      </w:r>
    </w:p>
    <w:p w14:paraId="0E773708" w14:textId="77777777" w:rsidR="00B153F4" w:rsidRPr="0004443A" w:rsidRDefault="00B153F4" w:rsidP="00B153F4">
      <w:pPr>
        <w:jc w:val="center"/>
        <w:rPr>
          <w:rFonts w:cs="Arial"/>
          <w:i/>
          <w:iCs/>
        </w:rPr>
      </w:pPr>
      <w:r w:rsidRPr="00AC48D7">
        <w:rPr>
          <w:rFonts w:cs="Arial"/>
          <w:i/>
          <w:iCs/>
        </w:rPr>
        <w:t>Natural Gas Savings = C</w:t>
      </w:r>
      <w:r w:rsidRPr="00AC48D7">
        <w:rPr>
          <w:rFonts w:cs="Arial"/>
          <w:i/>
          <w:iCs/>
          <w:vertAlign w:val="subscript"/>
        </w:rPr>
        <w:t>g</w:t>
      </w:r>
      <w:r w:rsidRPr="00AC48D7">
        <w:rPr>
          <w:rFonts w:cs="Arial"/>
          <w:i/>
          <w:iCs/>
        </w:rPr>
        <w:t xml:space="preserve"> x Area (Minimum of participant ft</w:t>
      </w:r>
      <w:r w:rsidRPr="00AC48D7">
        <w:rPr>
          <w:rFonts w:cs="Arial"/>
          <w:i/>
          <w:iCs/>
          <w:vertAlign w:val="superscript"/>
        </w:rPr>
        <w:t>2</w:t>
      </w:r>
      <w:r w:rsidRPr="00AC48D7">
        <w:rPr>
          <w:rFonts w:cs="Arial"/>
          <w:i/>
          <w:iCs/>
        </w:rPr>
        <w:t xml:space="preserve"> or 500,000 ft</w:t>
      </w:r>
      <w:r w:rsidRPr="00AC48D7">
        <w:rPr>
          <w:rFonts w:cs="Arial"/>
          <w:i/>
          <w:iCs/>
          <w:vertAlign w:val="superscript"/>
        </w:rPr>
        <w:t>2</w:t>
      </w:r>
      <w:r w:rsidRPr="00AC48D7">
        <w:rPr>
          <w:rFonts w:cs="Arial"/>
          <w:i/>
          <w:iCs/>
        </w:rPr>
        <w:t>)</w:t>
      </w:r>
      <w:r w:rsidRPr="00B2769D">
        <w:rPr>
          <w:color w:val="7030A0"/>
        </w:rPr>
        <w:t xml:space="preserve"> </w:t>
      </w:r>
    </w:p>
    <w:p w14:paraId="6BE18081" w14:textId="2E185FC8" w:rsidR="000015D4" w:rsidRDefault="006B12C7" w:rsidP="000015D4">
      <w:pPr>
        <w:pStyle w:val="Heading4"/>
      </w:pPr>
      <w:bookmarkStart w:id="63" w:name="_Ref60835960"/>
      <w:r>
        <w:t>All Other Measures</w:t>
      </w:r>
    </w:p>
    <w:p w14:paraId="29EC92AC" w14:textId="1D7672E6" w:rsidR="00280681" w:rsidRDefault="006B12C7" w:rsidP="00280681">
      <w:proofErr w:type="gramStart"/>
      <w:r>
        <w:t>Guidehouse</w:t>
      </w:r>
      <w:proofErr w:type="gramEnd"/>
      <w:r>
        <w:t xml:space="preserve"> calculated the verified gross savings </w:t>
      </w:r>
      <w:r w:rsidR="00280681">
        <w:t>for each measure type by conducting a review of the tracking data and applying the algorithms of IL TRM v12.0</w:t>
      </w:r>
      <w:r w:rsidR="00280681">
        <w:rPr>
          <w:rStyle w:val="FootnoteReference"/>
        </w:rPr>
        <w:footnoteReference w:id="4"/>
      </w:r>
      <w:r w:rsidR="00280681">
        <w:t xml:space="preserve"> and IL TRM v12.0 Errata Memo</w:t>
      </w:r>
      <w:r w:rsidR="00280681">
        <w:rPr>
          <w:rStyle w:val="FootnoteReference"/>
        </w:rPr>
        <w:footnoteReference w:id="5"/>
      </w:r>
      <w:r w:rsidR="00280681">
        <w:t xml:space="preserve">. The evaluation team checked that savings inputs </w:t>
      </w:r>
      <w:r w:rsidR="00526D7D">
        <w:t>provided in</w:t>
      </w:r>
      <w:r w:rsidR="00280681">
        <w:t xml:space="preserve"> the tracking data matched IL TRM v1</w:t>
      </w:r>
      <w:r w:rsidR="00526D7D">
        <w:t>2</w:t>
      </w:r>
      <w:r w:rsidR="00280681">
        <w:t xml:space="preserve">.0 and that custom inputs were properly used. Then the tracking data and custom values used for the verified savings were adjusted from the tracking data, as necessary. The savings algorithms were applied to determine the verified savings of each measure. Verified gross realization rates are calculated by dividing the verified savings by the </w:t>
      </w:r>
      <w:proofErr w:type="spellStart"/>
      <w:proofErr w:type="gramStart"/>
      <w:r w:rsidR="00280681">
        <w:t>ex ante</w:t>
      </w:r>
      <w:proofErr w:type="spellEnd"/>
      <w:proofErr w:type="gramEnd"/>
      <w:r w:rsidR="00280681">
        <w:t xml:space="preserve"> gross savings.</w:t>
      </w:r>
    </w:p>
    <w:p w14:paraId="73C38947" w14:textId="77777777" w:rsidR="00280681" w:rsidRDefault="00280681" w:rsidP="00280681">
      <w:r>
        <w:t xml:space="preserve">For most Food Service Equipment end use measures (applicable measures can be found in the Assessment Direct Install, Midstream CFS, and Prescriptive program paths), </w:t>
      </w:r>
      <w:proofErr w:type="gramStart"/>
      <w:r>
        <w:t>Guidehouse</w:t>
      </w:r>
      <w:proofErr w:type="gramEnd"/>
      <w:r>
        <w:t xml:space="preserve"> conducted an additional tracking data verification step. The evaluation team compared the tracking data values for these ENERGY STAR measures to the ENERGY STAR QPLs</w:t>
      </w:r>
      <w:r>
        <w:rPr>
          <w:rStyle w:val="FootnoteReference"/>
        </w:rPr>
        <w:footnoteReference w:id="6"/>
      </w:r>
      <w:r>
        <w:t xml:space="preserve"> by manufacturer and model number. Where the team found tracking data values and QPLs values disagreed, the evaluation team updated the tracking data using the QPL values. This approach aligns with </w:t>
      </w:r>
      <w:proofErr w:type="spellStart"/>
      <w:r>
        <w:t>Guidehouse’s</w:t>
      </w:r>
      <w:proofErr w:type="spellEnd"/>
      <w:r>
        <w:t xml:space="preserve"> process for the ComEd and Peoples Gas and North Shore Gas evaluations.</w:t>
      </w:r>
    </w:p>
    <w:p w14:paraId="718DED2C" w14:textId="5C927C2B" w:rsidR="00B37F51" w:rsidRPr="00B37F51" w:rsidRDefault="009B04CE" w:rsidP="00B37F51">
      <w:pPr>
        <w:pStyle w:val="GraphFootnote"/>
        <w:rPr>
          <w:rFonts w:ascii="Arial" w:hAnsi="Arial"/>
          <w:sz w:val="22"/>
        </w:rPr>
      </w:pPr>
      <w:r>
        <w:rPr>
          <w:rFonts w:ascii="Arial" w:hAnsi="Arial"/>
          <w:sz w:val="22"/>
        </w:rPr>
        <w:t>Based on the SAG policy, the evaluation team assigned a NTG of 1.0</w:t>
      </w:r>
      <w:r w:rsidR="000B3A15">
        <w:rPr>
          <w:rFonts w:ascii="Arial" w:hAnsi="Arial"/>
          <w:sz w:val="22"/>
        </w:rPr>
        <w:t>0</w:t>
      </w:r>
      <w:r>
        <w:rPr>
          <w:rFonts w:ascii="Arial" w:hAnsi="Arial"/>
          <w:sz w:val="22"/>
        </w:rPr>
        <w:t xml:space="preserve"> to all projects that were in d</w:t>
      </w:r>
      <w:r w:rsidR="00B37F51" w:rsidRPr="00B37F51">
        <w:rPr>
          <w:rFonts w:ascii="Arial" w:hAnsi="Arial"/>
          <w:sz w:val="22"/>
        </w:rPr>
        <w:t xml:space="preserve">isadvantaged communities (DAC) based on census tract and </w:t>
      </w:r>
      <w:r w:rsidR="00C329EB">
        <w:rPr>
          <w:rFonts w:ascii="Arial" w:hAnsi="Arial"/>
          <w:sz w:val="22"/>
        </w:rPr>
        <w:t xml:space="preserve">with </w:t>
      </w:r>
      <w:r w:rsidR="00B37F51" w:rsidRPr="00B37F51">
        <w:rPr>
          <w:rFonts w:ascii="Arial" w:hAnsi="Arial"/>
          <w:sz w:val="22"/>
        </w:rPr>
        <w:t xml:space="preserve">consumption </w:t>
      </w:r>
      <w:r w:rsidR="00C329EB">
        <w:rPr>
          <w:rFonts w:ascii="Arial" w:hAnsi="Arial"/>
          <w:sz w:val="22"/>
        </w:rPr>
        <w:t xml:space="preserve">under </w:t>
      </w:r>
      <w:r w:rsidR="00B37F51" w:rsidRPr="00B37F51">
        <w:rPr>
          <w:rFonts w:ascii="Arial" w:hAnsi="Arial"/>
          <w:sz w:val="22"/>
        </w:rPr>
        <w:t>35,000 Therms.</w:t>
      </w:r>
    </w:p>
    <w:p w14:paraId="2F765CDC" w14:textId="77777777" w:rsidR="00280681" w:rsidRDefault="00280681" w:rsidP="00280681"/>
    <w:p w14:paraId="6273C96A" w14:textId="6AD52555" w:rsidR="006B12C7" w:rsidRPr="006B12C7" w:rsidRDefault="006B12C7" w:rsidP="006B12C7">
      <w:pPr>
        <w:pStyle w:val="GHBodytext"/>
      </w:pPr>
    </w:p>
    <w:p w14:paraId="1FABABFD" w14:textId="77777777" w:rsidR="00250A50" w:rsidRPr="00F20206" w:rsidRDefault="00250A50" w:rsidP="00934E0C">
      <w:pPr>
        <w:pStyle w:val="Heading4"/>
        <w:sectPr w:rsidR="00250A50" w:rsidRPr="00F20206" w:rsidSect="00EF2FBC">
          <w:footerReference w:type="default" r:id="rId19"/>
          <w:pgSz w:w="12240" w:h="15840" w:code="1"/>
          <w:pgMar w:top="1440" w:right="1440" w:bottom="1440" w:left="1440" w:header="720" w:footer="720" w:gutter="0"/>
          <w:pgNumType w:start="1" w:chapStyle="5"/>
          <w:cols w:space="720"/>
          <w:docGrid w:linePitch="360"/>
        </w:sectPr>
      </w:pPr>
      <w:bookmarkStart w:id="64" w:name="_Toc507870205"/>
      <w:bookmarkStart w:id="65" w:name="_Toc512873036"/>
      <w:bookmarkEnd w:id="63"/>
    </w:p>
    <w:p w14:paraId="17F1BC9D" w14:textId="04C2F6E8" w:rsidR="00250A50" w:rsidRDefault="00250A50" w:rsidP="007D7225">
      <w:pPr>
        <w:pStyle w:val="Heading5"/>
        <w:ind w:left="0"/>
      </w:pPr>
      <w:bookmarkStart w:id="66" w:name="_Toc195788193"/>
      <w:bookmarkEnd w:id="64"/>
      <w:bookmarkEnd w:id="65"/>
      <w:r>
        <w:lastRenderedPageBreak/>
        <w:t>Program Specific Inputs for the Illinois TRC</w:t>
      </w:r>
      <w:bookmarkEnd w:id="66"/>
    </w:p>
    <w:p w14:paraId="6266CB46" w14:textId="176AB2A9" w:rsidR="00250A50" w:rsidRPr="00D12853" w:rsidRDefault="005D4FA6">
      <w:r>
        <w:fldChar w:fldCharType="begin"/>
      </w:r>
      <w:r>
        <w:instrText xml:space="preserve"> REF _Ref195775017 \h </w:instrText>
      </w:r>
      <w:r>
        <w:fldChar w:fldCharType="separate"/>
      </w:r>
      <w:r>
        <w:t>Table B</w:t>
      </w:r>
      <w:r>
        <w:noBreakHyphen/>
      </w:r>
      <w:r>
        <w:rPr>
          <w:noProof/>
        </w:rPr>
        <w:t>1</w:t>
      </w:r>
      <w:r>
        <w:fldChar w:fldCharType="end"/>
      </w:r>
      <w:r w:rsidR="00250A50" w:rsidRPr="00D12853">
        <w:t xml:space="preserve"> shows the Total Resource Cost (TRC) cost-effectiveness analysis inputs available at the time of </w:t>
      </w:r>
      <w:r w:rsidR="00250A50">
        <w:t xml:space="preserve">producing </w:t>
      </w:r>
      <w:r w:rsidR="00250A50" w:rsidRPr="00D12853">
        <w:t>this impact evaluation report. Additional required cost data (e.g., measure costs, program level incentive and non-incentive costs) are not included in this table and will be provided to the evaluation team later.</w:t>
      </w:r>
      <w:r w:rsidR="00250A50">
        <w:t xml:space="preserve"> Guidehouse will include annual and lifetime water savings and greenhouse gas reductions in the end of year summary report.</w:t>
      </w:r>
    </w:p>
    <w:p w14:paraId="1C913225" w14:textId="77777777" w:rsidR="00250A50" w:rsidRPr="008675E0" w:rsidRDefault="00250A50" w:rsidP="0028377C">
      <w:pPr>
        <w:rPr>
          <w:bCs/>
        </w:rPr>
        <w:sectPr w:rsidR="00250A50" w:rsidRPr="008675E0" w:rsidSect="0073050D">
          <w:headerReference w:type="default" r:id="rId20"/>
          <w:pgSz w:w="12240" w:h="15840" w:code="1"/>
          <w:pgMar w:top="1440" w:right="1440" w:bottom="1440" w:left="1440" w:header="720" w:footer="720" w:gutter="0"/>
          <w:pgNumType w:start="1" w:chapStyle="5"/>
          <w:cols w:space="720"/>
          <w:docGrid w:linePitch="360"/>
        </w:sectPr>
      </w:pPr>
      <w:bookmarkStart w:id="67" w:name="_Ref66787029"/>
      <w:bookmarkStart w:id="68" w:name="_Ref63952142"/>
      <w:bookmarkStart w:id="69" w:name="_Toc367307499"/>
      <w:bookmarkStart w:id="70" w:name="_Toc398541812"/>
      <w:bookmarkStart w:id="71" w:name="_Toc398541925"/>
      <w:bookmarkStart w:id="72" w:name="_Toc398546657"/>
      <w:bookmarkStart w:id="73" w:name="_Toc423009519"/>
      <w:bookmarkStart w:id="74" w:name="_Toc426278637"/>
      <w:bookmarkStart w:id="75" w:name="_Toc63321485"/>
      <w:bookmarkStart w:id="76" w:name="_Toc63961488"/>
      <w:bookmarkStart w:id="77" w:name="_Toc61360851"/>
    </w:p>
    <w:p w14:paraId="093D76A2" w14:textId="77777777" w:rsidR="00250A50" w:rsidRDefault="00250A50">
      <w:pPr>
        <w:pStyle w:val="Caption"/>
      </w:pPr>
      <w:bookmarkStart w:id="78" w:name="_Ref195775017"/>
      <w:bookmarkStart w:id="79" w:name="_Toc195788204"/>
      <w:r>
        <w:lastRenderedPageBreak/>
        <w:t>Table B</w:t>
      </w:r>
      <w:r>
        <w:noBreakHyphen/>
      </w:r>
      <w:r>
        <w:fldChar w:fldCharType="begin"/>
      </w:r>
      <w:r>
        <w:instrText xml:space="preserve"> SEQ Table_Apx \* ARABIC \s 5 </w:instrText>
      </w:r>
      <w:r>
        <w:fldChar w:fldCharType="separate"/>
      </w:r>
      <w:r>
        <w:rPr>
          <w:noProof/>
        </w:rPr>
        <w:t>1</w:t>
      </w:r>
      <w:r>
        <w:rPr>
          <w:noProof/>
        </w:rPr>
        <w:fldChar w:fldCharType="end"/>
      </w:r>
      <w:bookmarkEnd w:id="67"/>
      <w:bookmarkEnd w:id="78"/>
      <w:r>
        <w:t>.</w:t>
      </w:r>
      <w:r w:rsidDel="00146395">
        <w:t xml:space="preserve"> </w:t>
      </w:r>
      <w:bookmarkEnd w:id="68"/>
      <w:bookmarkEnd w:id="69"/>
      <w:bookmarkEnd w:id="70"/>
      <w:bookmarkEnd w:id="71"/>
      <w:bookmarkEnd w:id="72"/>
      <w:bookmarkEnd w:id="73"/>
      <w:bookmarkEnd w:id="74"/>
      <w:bookmarkEnd w:id="75"/>
      <w:bookmarkEnd w:id="76"/>
      <w:r>
        <w:t>Verified Cost Effectiveness Inputs</w:t>
      </w:r>
      <w:bookmarkStart w:id="80" w:name="Table_B_1"/>
      <w:bookmarkEnd w:id="77"/>
      <w:bookmarkEnd w:id="79"/>
      <w:bookmarkEnd w:id="80"/>
    </w:p>
    <w:tbl>
      <w:tblPr>
        <w:tblW w:w="0" w:type="auto"/>
        <w:jc w:val="center"/>
        <w:tblLayout w:type="fixed"/>
        <w:tblLook w:val="0420" w:firstRow="1" w:lastRow="0" w:firstColumn="0" w:lastColumn="0" w:noHBand="0" w:noVBand="1"/>
      </w:tblPr>
      <w:tblGrid>
        <w:gridCol w:w="990"/>
        <w:gridCol w:w="2970"/>
        <w:gridCol w:w="3420"/>
        <w:gridCol w:w="900"/>
        <w:gridCol w:w="810"/>
        <w:gridCol w:w="630"/>
        <w:gridCol w:w="810"/>
        <w:gridCol w:w="990"/>
        <w:gridCol w:w="1440"/>
        <w:gridCol w:w="1440"/>
        <w:gridCol w:w="1440"/>
        <w:gridCol w:w="1440"/>
      </w:tblGrid>
      <w:tr w:rsidR="00671B73" w14:paraId="3391766B" w14:textId="77777777" w:rsidTr="002C46A4">
        <w:trPr>
          <w:tblHeader/>
          <w:jc w:val="center"/>
        </w:trPr>
        <w:tc>
          <w:tcPr>
            <w:tcW w:w="99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5FCD96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29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2C1E6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342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796354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90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887781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81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167E7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63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9FD93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81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00EEA9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99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74B4D3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EDE426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A7045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55E9F6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A1505F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671B73" w14:paraId="2014F1B8" w14:textId="77777777" w:rsidTr="002C46A4">
        <w:trPr>
          <w:jc w:val="center"/>
        </w:trPr>
        <w:tc>
          <w:tcPr>
            <w:tcW w:w="99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8C37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0330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187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90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3A6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867F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9C0F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380</w:t>
            </w:r>
          </w:p>
        </w:tc>
        <w:tc>
          <w:tcPr>
            <w:tcW w:w="81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D2AE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307E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20C2B" w14:textId="7B918BD8" w:rsidR="00671B73" w:rsidRDefault="003F2AF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F2AFB">
              <w:rPr>
                <w:rFonts w:ascii="Arial Narrow" w:eastAsia="DejaVu Sans" w:hAnsi="DejaVu Sans" w:cs="DejaVu Sans"/>
                <w:color w:val="000000"/>
                <w:sz w:val="20"/>
                <w:szCs w:val="20"/>
              </w:rPr>
              <w:t>669,149</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9A7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2,944</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65AB0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2,944</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5ECE1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2,532</w:t>
            </w:r>
          </w:p>
        </w:tc>
      </w:tr>
      <w:tr w:rsidR="00671B73" w14:paraId="17EA5972"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9DD8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3B0D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5436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707C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23CD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45B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B604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8AE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1EF81" w14:textId="19AEE371" w:rsidR="00671B73" w:rsidRDefault="003F2AF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F2AFB">
              <w:rPr>
                <w:rFonts w:ascii="Arial Narrow" w:eastAsia="DejaVu Sans" w:hAnsi="DejaVu Sans" w:cs="DejaVu Sans"/>
                <w:color w:val="000000"/>
                <w:sz w:val="20"/>
                <w:szCs w:val="20"/>
              </w:rPr>
              <w:t>30,694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DD46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916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9875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w:t>
            </w:r>
          </w:p>
        </w:tc>
      </w:tr>
      <w:tr w:rsidR="00671B73" w14:paraId="6CE294FE"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6246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F9A4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D556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Kitchen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132B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2A2F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1CE1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C40B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A95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FAA9A2" w14:textId="65583732" w:rsidR="00671B73" w:rsidRDefault="003F2AF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F2AFB">
              <w:rPr>
                <w:rFonts w:ascii="Arial Narrow" w:eastAsia="DejaVu Sans" w:hAnsi="DejaVu Sans" w:cs="DejaVu Sans"/>
                <w:color w:val="000000"/>
                <w:sz w:val="20"/>
                <w:szCs w:val="20"/>
              </w:rPr>
              <w:t>1,246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A791B" w14:textId="4388BE43" w:rsidR="00671B73"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4BEB2" w14:textId="20211859" w:rsidR="00671B73"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4B437" w14:textId="4E25B300" w:rsidR="00671B73"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r>
      <w:tr w:rsidR="00671B73" w14:paraId="65B8694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ACD9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DA9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E449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A493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7C68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90D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81CD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7DC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86CC0" w14:textId="044A6E81" w:rsidR="00671B73" w:rsidRDefault="003F2AF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F2AFB">
              <w:rPr>
                <w:rFonts w:ascii="Arial Narrow" w:eastAsia="DejaVu Sans" w:hAnsi="DejaVu Sans" w:cs="DejaVu Sans"/>
                <w:color w:val="000000"/>
                <w:sz w:val="20"/>
                <w:szCs w:val="20"/>
              </w:rPr>
              <w:t>54,288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0CE2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278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6C670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340</w:t>
            </w:r>
          </w:p>
        </w:tc>
      </w:tr>
      <w:tr w:rsidR="00671B73" w14:paraId="102C5A66"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AABE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E3B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A383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Showerheads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C30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76FF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E7F3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347</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334D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E66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7AE80" w14:textId="367E0F93" w:rsidR="00671B73" w:rsidRDefault="00624BD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624BD6">
              <w:rPr>
                <w:rFonts w:ascii="Arial Narrow" w:eastAsia="DejaVu Sans" w:hAnsi="DejaVu Sans" w:cs="DejaVu Sans"/>
                <w:color w:val="000000"/>
                <w:sz w:val="20"/>
                <w:szCs w:val="20"/>
              </w:rPr>
              <w:t>590,728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8E61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E849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2B8E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3,201</w:t>
            </w:r>
          </w:p>
        </w:tc>
      </w:tr>
      <w:tr w:rsidR="00671B73" w14:paraId="44EE4840"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94C4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E22A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4D72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Showerheads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0FF0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89606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3E7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7EB4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A706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7F564" w14:textId="1D284389" w:rsidR="00671B73" w:rsidRDefault="00624BD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624BD6">
              <w:rPr>
                <w:rFonts w:ascii="Arial Narrow" w:eastAsia="DejaVu Sans" w:hAnsi="DejaVu Sans" w:cs="DejaVu Sans"/>
                <w:color w:val="000000"/>
                <w:sz w:val="20"/>
                <w:szCs w:val="20"/>
              </w:rPr>
              <w:t>158,322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DD7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FDDC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BE43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997</w:t>
            </w:r>
          </w:p>
        </w:tc>
      </w:tr>
      <w:tr w:rsidR="00671B73" w14:paraId="079E4F67"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6A34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2C77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9FC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BOC</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7CCA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71F5A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A1E9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3C0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1CB2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058865" w14:textId="35649B56"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4E5D9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8331C" w14:textId="3D29EA90" w:rsidR="00671B73" w:rsidRDefault="000A3D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15,298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D6BD4" w14:textId="0C186C8F" w:rsidR="00671B73" w:rsidRDefault="000A3D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15,298</w:t>
            </w:r>
          </w:p>
        </w:tc>
      </w:tr>
      <w:tr w:rsidR="00671B73" w14:paraId="00A763CB"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8E7E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5D4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009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619E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D5AA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BDC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73D69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CE2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97149" w14:textId="20B439AE"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BC6E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169,317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952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169,317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0902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155,772</w:t>
            </w:r>
          </w:p>
        </w:tc>
      </w:tr>
      <w:tr w:rsidR="00671B73" w14:paraId="2314B8ED"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AC0FA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E065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CB9C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5EDD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347E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AB01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1C17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7AFB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E1118" w14:textId="0F0BD375"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2B6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42,382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09DB6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58,551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205C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58,551</w:t>
            </w:r>
          </w:p>
        </w:tc>
      </w:tr>
      <w:tr w:rsidR="00671B73" w14:paraId="0F139C6E"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072B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8FB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E3F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095D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FBE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42C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9CF3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EBC6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9DC1D0" w14:textId="0E44F460"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1039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4303D" w14:textId="2CB39D09" w:rsidR="00671B73" w:rsidRDefault="00624BD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624BD6">
              <w:rPr>
                <w:rFonts w:ascii="Arial Narrow" w:eastAsia="DejaVu Sans" w:hAnsi="DejaVu Sans" w:cs="DejaVu Sans"/>
                <w:color w:val="000000"/>
                <w:sz w:val="20"/>
                <w:szCs w:val="20"/>
              </w:rPr>
              <w:t>1,045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B99AF" w14:textId="019C39F1" w:rsidR="00671B73" w:rsidRDefault="00A46C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A46C15">
              <w:rPr>
                <w:rFonts w:ascii="Arial Narrow" w:eastAsia="DejaVu Sans" w:hAnsi="DejaVu Sans" w:cs="DejaVu Sans"/>
                <w:color w:val="000000"/>
                <w:sz w:val="20"/>
                <w:szCs w:val="20"/>
              </w:rPr>
              <w:t>961</w:t>
            </w:r>
          </w:p>
        </w:tc>
      </w:tr>
      <w:tr w:rsidR="00671B73" w14:paraId="648E8877"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4D0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DDB9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CE35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DFB82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82F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13BF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6C7F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299B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FB781" w14:textId="61677398" w:rsidR="00671B73" w:rsidRDefault="00A46C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A46C15">
              <w:rPr>
                <w:rFonts w:ascii="Arial Narrow" w:eastAsia="DejaVu Sans" w:hAnsi="DejaVu Sans" w:cs="DejaVu Sans"/>
                <w:color w:val="000000"/>
                <w:sz w:val="20"/>
                <w:szCs w:val="20"/>
              </w:rPr>
              <w:t>1,784,880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FA85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212,577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A726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214,846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33D2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197,659</w:t>
            </w:r>
          </w:p>
        </w:tc>
      </w:tr>
      <w:tr w:rsidR="00671B73" w14:paraId="5213E8DB"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6220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238C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B580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D7C8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0364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EB1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E97F8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F3EA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38560" w14:textId="58CA6C07" w:rsidR="00671B73" w:rsidRDefault="00A46C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A46C15">
              <w:rPr>
                <w:rFonts w:ascii="Arial Narrow" w:eastAsia="DejaVu Sans" w:hAnsi="DejaVu Sans" w:cs="DejaVu Sans"/>
                <w:color w:val="000000"/>
                <w:sz w:val="20"/>
                <w:szCs w:val="20"/>
              </w:rPr>
              <w:t>674,880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0A59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80,377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E6DE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81,235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ADFA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81,235</w:t>
            </w:r>
          </w:p>
        </w:tc>
      </w:tr>
      <w:tr w:rsidR="00671B73" w14:paraId="134744E0"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900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00EA9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34006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FC0E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7B3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D9E30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7E4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501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801C3" w14:textId="689F3DBB" w:rsidR="00671B73" w:rsidRDefault="00613D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613D31">
              <w:rPr>
                <w:rFonts w:ascii="Arial Narrow" w:eastAsia="DejaVu Sans" w:hAnsi="DejaVu Sans" w:cs="DejaVu Sans"/>
                <w:color w:val="000000"/>
                <w:sz w:val="20"/>
                <w:szCs w:val="20"/>
              </w:rPr>
              <w:t>6,807,314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E85C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816,818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2019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822,923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89532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757,089</w:t>
            </w:r>
          </w:p>
        </w:tc>
      </w:tr>
      <w:tr w:rsidR="00671B73" w14:paraId="18AA4982"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2A13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AA79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CA7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D0ED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DEA1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F2E8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E2B9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B486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3462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46,078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BDD58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5,507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B4FA6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5,557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705E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5,557</w:t>
            </w:r>
          </w:p>
        </w:tc>
      </w:tr>
      <w:tr w:rsidR="00671B73" w14:paraId="4CCCFB22"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2CA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D0A1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9596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82CC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4A65A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2B44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257</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8C48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9306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30829" w14:textId="40100C12" w:rsidR="00671B73" w:rsidRDefault="00613D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613D31">
              <w:rPr>
                <w:rFonts w:ascii="Arial Narrow" w:eastAsia="DejaVu Sans" w:hAnsi="DejaVu Sans" w:cs="DejaVu Sans"/>
                <w:color w:val="000000"/>
                <w:sz w:val="20"/>
                <w:szCs w:val="20"/>
              </w:rPr>
              <w:t>2,991,073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CC27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345,882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D4A9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354,701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24F6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326,325</w:t>
            </w:r>
          </w:p>
        </w:tc>
      </w:tr>
      <w:tr w:rsidR="00671B73" w14:paraId="3E2FC018"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B239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2122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F05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05EF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CF54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EB21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0C6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E570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D7C5C" w14:textId="42ABDFE9" w:rsidR="00671B73" w:rsidRDefault="00613D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613D31">
              <w:rPr>
                <w:rFonts w:ascii="Arial Narrow" w:eastAsia="DejaVu Sans" w:hAnsi="DejaVu Sans" w:cs="DejaVu Sans"/>
                <w:color w:val="000000"/>
                <w:sz w:val="20"/>
                <w:szCs w:val="20"/>
              </w:rPr>
              <w:t>40,997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8D27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4,630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4F724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E0E7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4,812</w:t>
            </w:r>
          </w:p>
        </w:tc>
      </w:tr>
      <w:tr w:rsidR="00671B73" w14:paraId="19B1227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92D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C32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0DD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Garage Door Hinge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3A023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33A9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C7C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169</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E7D4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8956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F8B2B6" w14:textId="14E39E5D"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CDA9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8,305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AB0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8,766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3D2F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7,539</w:t>
            </w:r>
          </w:p>
        </w:tc>
      </w:tr>
      <w:tr w:rsidR="00671B73" w14:paraId="7357F020"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4669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6027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42D8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Garage Door Hinge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4760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FE0E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3BDE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94B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FC90E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064BB" w14:textId="42523611"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540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D2F2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60B2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1,715</w:t>
            </w:r>
          </w:p>
        </w:tc>
      </w:tr>
      <w:tr w:rsidR="00671B73" w14:paraId="313F096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3E49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5AD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6B70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Automatic Conveyor Broiler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B811C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EB69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F9A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C72F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39B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C6C6D" w14:textId="7AB2C37E"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0855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43F4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B65D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4,762</w:t>
            </w:r>
          </w:p>
        </w:tc>
      </w:tr>
      <w:tr w:rsidR="00671B73" w14:paraId="047BEFFE"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796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5F7F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702D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3F36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D8A5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0EF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2EDD5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EDDCD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3F2C6F" w14:textId="460693A9"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8547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EE72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4,853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B0F6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3,883</w:t>
            </w:r>
          </w:p>
        </w:tc>
      </w:tr>
      <w:tr w:rsidR="00671B73" w14:paraId="48157F2F"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B28EA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7A36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E3FD6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Convection Oven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E577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DC59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24A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EB0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ED7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CA103" w14:textId="76AE2DB7"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9AD1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1D2E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58E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547</w:t>
            </w:r>
          </w:p>
        </w:tc>
      </w:tr>
      <w:tr w:rsidR="00671B73" w14:paraId="64F6DC88"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D06F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00F5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1A25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Conveyor Oven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E006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264D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30B0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C03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D848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14360" w14:textId="023B1AB4"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926C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21,198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0088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4218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16,592</w:t>
            </w:r>
          </w:p>
        </w:tc>
      </w:tr>
      <w:tr w:rsidR="00671B73" w14:paraId="6466037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738D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CEF2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014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7B75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1CF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B498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1491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CD6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5A4DB0" w14:textId="1E44B120"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63471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87,916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AAD9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94,065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F55A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75,252</w:t>
            </w:r>
          </w:p>
        </w:tc>
      </w:tr>
      <w:tr w:rsidR="00671B73" w14:paraId="279726D5"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EF8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0841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F92CB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6578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9B6F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7C9CB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4C58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A12C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FFEA5" w14:textId="6F7CF81F"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8ADF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7,851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616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8,589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960E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6,871</w:t>
            </w:r>
          </w:p>
        </w:tc>
      </w:tr>
      <w:tr w:rsidR="00671B73" w14:paraId="0EA348B9"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973B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A535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BC1E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Salamander Broiler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B064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C843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93B9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1367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2C4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C6811" w14:textId="035313DE"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130B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69C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D863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384</w:t>
            </w:r>
          </w:p>
        </w:tc>
      </w:tr>
      <w:tr w:rsidR="00671B73" w14:paraId="7C9DC823"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2999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E087B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47AF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Kitchen Demand Ventilation Controls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D06C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9E5F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8479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F464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88E4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7FEC2" w14:textId="303B8DBE"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529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9,288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06DD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89,629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62B3F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71,703</w:t>
            </w:r>
          </w:p>
        </w:tc>
      </w:tr>
      <w:tr w:rsidR="00671B73" w14:paraId="4BE7CA08"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13F1A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9A4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0407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Pasta Cooker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D6F6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D4FB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85E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E61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3FBB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BFD28" w14:textId="5DE3FAA0"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BA10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C630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A0E11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1,104</w:t>
            </w:r>
          </w:p>
        </w:tc>
      </w:tr>
      <w:tr w:rsidR="00671B73" w14:paraId="4D42C829"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E61D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CFD4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CE5E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Rack Oven - Double Oven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1BA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DBE0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035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D3E8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4DCA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2703A" w14:textId="28D420FA"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82E5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1,986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55E40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2,185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1A552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1,748</w:t>
            </w:r>
          </w:p>
        </w:tc>
      </w:tr>
      <w:tr w:rsidR="00671B73" w14:paraId="44470D08"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5AFC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61C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Midstream CFS</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94F4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Rotisserie Oven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245F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929D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6B4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5CD7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8035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58BA7" w14:textId="5BF8FC9D"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0B7E7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EFA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C58C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659</w:t>
            </w:r>
          </w:p>
        </w:tc>
      </w:tr>
      <w:tr w:rsidR="00671B73" w14:paraId="33805BB9"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BC90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C7C5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C062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5D8F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270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86B1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23D6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B958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35FF6" w14:textId="5A17278F"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5420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46,466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1C77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51,366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E661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44,175</w:t>
            </w:r>
          </w:p>
        </w:tc>
      </w:tr>
      <w:tr w:rsidR="00671B73" w14:paraId="395FC815"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BA5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2F2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7D77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28EC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B72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D4A1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F821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E4EE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C59D48" w14:textId="7962BA69"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F90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50,809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3B4F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50,809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11D5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43,696</w:t>
            </w:r>
          </w:p>
        </w:tc>
      </w:tr>
      <w:tr w:rsidR="00671B73" w14:paraId="04B5D82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8BA4E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42BCA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C91C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Combination Oven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29A0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5CB5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2FC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E115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D054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19087" w14:textId="25249FD5"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242F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2,019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EDE5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53BD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1,673</w:t>
            </w:r>
          </w:p>
        </w:tc>
      </w:tr>
      <w:tr w:rsidR="00671B73" w14:paraId="7F2A6B35"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27F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40ED9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87C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733C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A442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4F3A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4B1C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83E94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9B437" w14:textId="498AB2F6"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3976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48,361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F3C97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48,361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3E66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41,590</w:t>
            </w:r>
          </w:p>
        </w:tc>
      </w:tr>
      <w:tr w:rsidR="00671B73" w14:paraId="3D64DB1C"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FCB2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0D35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B93B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C777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0D60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F4EF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528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76C7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8DA5D" w14:textId="6F3AE740"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DE0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26,722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92A6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30,936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AC05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26,605</w:t>
            </w:r>
          </w:p>
        </w:tc>
      </w:tr>
      <w:tr w:rsidR="00671B73" w14:paraId="1D20C84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3684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73A9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E62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39DD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AAE7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342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B4D1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8969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6CE2A" w14:textId="6100AD75"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4005E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3,095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EAD2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4B8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3,435</w:t>
            </w:r>
          </w:p>
        </w:tc>
      </w:tr>
      <w:tr w:rsidR="00671B73" w14:paraId="3C38DEA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0823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169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BFF3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FDC26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70A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8CC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F413F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AF26A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6A9D6C" w14:textId="241B7FB4"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6207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B81B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00FC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34,319</w:t>
            </w:r>
          </w:p>
        </w:tc>
      </w:tr>
      <w:tr w:rsidR="00671B73" w14:paraId="3086FA5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2F6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9FA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0740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Griddle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03A4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7F0A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75DF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6C311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3CB7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28AF2" w14:textId="52F8596C"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94E8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5E7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1,481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2794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1,274</w:t>
            </w:r>
          </w:p>
        </w:tc>
      </w:tr>
      <w:tr w:rsidR="00671B73" w14:paraId="4C96D6D9"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DBDF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AD333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3F08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Boiler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F093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24A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93B5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6C2A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7AF5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AF1298" w14:textId="4EDE1AF1"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6937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89A78" w14:textId="10582696" w:rsidR="00671B73" w:rsidRDefault="009F4232">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9F4232">
              <w:rPr>
                <w:rFonts w:ascii="Arial Narrow" w:eastAsia="DejaVu Sans" w:hAnsi="DejaVu Sans" w:cs="DejaVu Sans"/>
                <w:color w:val="000000"/>
                <w:sz w:val="20"/>
                <w:szCs w:val="20"/>
              </w:rPr>
              <w:t>22,696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ACC28" w14:textId="72F3CA60" w:rsidR="00671B73" w:rsidRDefault="0092796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92796E">
              <w:rPr>
                <w:rFonts w:ascii="Arial Narrow" w:eastAsia="DejaVu Sans" w:hAnsi="DejaVu Sans" w:cs="DejaVu Sans"/>
                <w:color w:val="000000"/>
                <w:sz w:val="20"/>
                <w:szCs w:val="20"/>
              </w:rPr>
              <w:t>19,519</w:t>
            </w:r>
          </w:p>
        </w:tc>
      </w:tr>
      <w:tr w:rsidR="00671B73" w14:paraId="6EC69B86"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D252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46958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E3C99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891D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0FBD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958A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B66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7EFD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85BBF" w14:textId="3DEE3CEA"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4B66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8,998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59B27" w14:textId="0DA7B845" w:rsidR="00671B73" w:rsidRDefault="005C2D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C2DAC">
              <w:rPr>
                <w:rFonts w:ascii="Arial Narrow" w:eastAsia="DejaVu Sans" w:hAnsi="DejaVu Sans" w:cs="DejaVu Sans"/>
                <w:color w:val="000000"/>
                <w:sz w:val="20"/>
                <w:szCs w:val="20"/>
              </w:rPr>
              <w:t>9,212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E00EE" w14:textId="7654D80D" w:rsidR="00671B73" w:rsidRDefault="005C2D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C2DAC">
              <w:rPr>
                <w:rFonts w:ascii="Arial Narrow" w:eastAsia="DejaVu Sans" w:hAnsi="DejaVu Sans" w:cs="DejaVu Sans"/>
                <w:color w:val="000000"/>
                <w:sz w:val="20"/>
                <w:szCs w:val="20"/>
              </w:rPr>
              <w:t>7,922</w:t>
            </w:r>
          </w:p>
        </w:tc>
      </w:tr>
      <w:tr w:rsidR="00671B73" w14:paraId="475839BD"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967A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9606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361B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8D30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528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D4DE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0333F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CA34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3FD460" w14:textId="5E47C02B"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31F9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9FF7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2,689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FAF6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2,689</w:t>
            </w:r>
          </w:p>
        </w:tc>
      </w:tr>
      <w:tr w:rsidR="00671B73" w14:paraId="24D7C724"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BDA2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D09D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F911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Infrared </w:t>
            </w:r>
            <w:proofErr w:type="spellStart"/>
            <w:r>
              <w:rPr>
                <w:rFonts w:ascii="Arial Narrow" w:eastAsia="DejaVu Sans" w:hAnsi="DejaVu Sans" w:cs="DejaVu Sans"/>
                <w:color w:val="000000"/>
                <w:sz w:val="20"/>
                <w:szCs w:val="20"/>
              </w:rPr>
              <w:t>Charbroiler</w:t>
            </w:r>
            <w:proofErr w:type="spellEnd"/>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DEF3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CF760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01BA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627E9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FFA7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79DBD" w14:textId="2A59AE8E"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B29A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A159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BB3A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2,431</w:t>
            </w:r>
          </w:p>
        </w:tc>
      </w:tr>
      <w:tr w:rsidR="00671B73" w14:paraId="54B8DC07"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FF6F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F9B2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A0F9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22E6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BD8C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8013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37A4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7448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2C81C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358,065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B728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18,854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496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18,606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E679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16,001</w:t>
            </w:r>
          </w:p>
        </w:tc>
      </w:tr>
      <w:tr w:rsidR="00671B73" w14:paraId="1C18D42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DE00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7F3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E5DE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5EC6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AB9C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D027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3A3B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C3D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DD20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719,949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E22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37,411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C62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37,411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A0B1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37,411</w:t>
            </w:r>
          </w:p>
        </w:tc>
      </w:tr>
      <w:tr w:rsidR="00671B73" w14:paraId="1F36A7B4"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0226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5B84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AEE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DAB7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8398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5360C1" w14:textId="3996AB96"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r w:rsidR="002C46A4">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175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B3CA3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194B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33089" w14:textId="6B47EE54"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9BB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5B257F" w14:textId="2FF15246" w:rsidR="00671B73" w:rsidRDefault="00C7616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C76168">
              <w:rPr>
                <w:rFonts w:ascii="Arial Narrow" w:eastAsia="DejaVu Sans" w:hAnsi="DejaVu Sans" w:cs="DejaVu Sans"/>
                <w:color w:val="000000"/>
                <w:sz w:val="20"/>
                <w:szCs w:val="20"/>
              </w:rPr>
              <w:t>4,412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A46B0" w14:textId="57EE2277" w:rsidR="00671B73" w:rsidRDefault="00C7616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C76168">
              <w:rPr>
                <w:rFonts w:ascii="Arial Narrow" w:eastAsia="DejaVu Sans" w:hAnsi="DejaVu Sans" w:cs="DejaVu Sans"/>
                <w:color w:val="000000"/>
                <w:sz w:val="20"/>
                <w:szCs w:val="20"/>
              </w:rPr>
              <w:t>3,794</w:t>
            </w:r>
          </w:p>
        </w:tc>
      </w:tr>
      <w:tr w:rsidR="00671B73" w14:paraId="64F5DAFF"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C6F1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EC93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AAA4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381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729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95A8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2AC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C4AC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5D9C5F" w14:textId="65AD23AB" w:rsidR="00671B73" w:rsidRDefault="00C7616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C76168">
              <w:rPr>
                <w:rFonts w:ascii="Arial Narrow" w:eastAsia="DejaVu Sans" w:hAnsi="DejaVu Sans" w:cs="DejaVu Sans"/>
                <w:color w:val="000000"/>
                <w:sz w:val="20"/>
                <w:szCs w:val="20"/>
              </w:rPr>
              <w:t>60,091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4A77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D8EDCC" w14:textId="2009600D"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r w:rsidR="00486CBC">
              <w:rPr>
                <w:rFonts w:ascii="Arial Narrow" w:eastAsia="DejaVu Sans" w:hAnsi="DejaVu Sans" w:cs="DejaVu Sans"/>
                <w:color w:val="000000"/>
                <w:sz w:val="20"/>
                <w:szCs w:val="20"/>
              </w:rPr>
              <w:t>38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79117" w14:textId="22B68BBF" w:rsidR="00671B73" w:rsidRDefault="00486CB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377</w:t>
            </w:r>
          </w:p>
        </w:tc>
      </w:tr>
      <w:tr w:rsidR="00671B73" w14:paraId="3E1A79ED"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DF58F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46D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DE7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74D4D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518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598E0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AAEC1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06C9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30A8B" w14:textId="2D941838"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82B9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E44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FE6FF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373</w:t>
            </w:r>
          </w:p>
        </w:tc>
      </w:tr>
      <w:tr w:rsidR="00671B73" w14:paraId="18ED61D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4444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B2C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5BC8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Commercial</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0F2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5B0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9C38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F036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2A62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D7CF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40C6B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2FA1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105D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w:t>
            </w:r>
          </w:p>
        </w:tc>
      </w:tr>
      <w:tr w:rsidR="00671B73" w14:paraId="28E0640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E5E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7AA1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47F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Commercial</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4BC7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EECEA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A1FE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86</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6AE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0E6AB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0A4A8" w14:textId="3E3E3B4D" w:rsidR="00671B73" w:rsidRDefault="00294302">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294302">
              <w:rPr>
                <w:rFonts w:ascii="Arial Narrow" w:eastAsia="DejaVu Sans" w:hAnsi="DejaVu Sans" w:cs="DejaVu Sans"/>
                <w:color w:val="000000"/>
                <w:sz w:val="20"/>
                <w:szCs w:val="20"/>
              </w:rPr>
              <w:t>155,299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59810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17,249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77B4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18,259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214A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18,259</w:t>
            </w:r>
          </w:p>
        </w:tc>
      </w:tr>
      <w:tr w:rsidR="00671B73" w14:paraId="03A09130"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9397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DEE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C62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74A83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6A2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1CB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9A8A2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B3FC2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C234D" w14:textId="7475CD30" w:rsidR="00671B73" w:rsidRDefault="00294302">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294302">
              <w:rPr>
                <w:rFonts w:ascii="Arial Narrow" w:eastAsia="DejaVu Sans" w:hAnsi="DejaVu Sans" w:cs="DejaVu Sans"/>
                <w:color w:val="000000"/>
                <w:sz w:val="20"/>
                <w:szCs w:val="20"/>
              </w:rPr>
              <w:t>690,171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32C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82,199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910F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83,076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CF49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71,445</w:t>
            </w:r>
          </w:p>
        </w:tc>
      </w:tr>
      <w:tr w:rsidR="00671B73" w14:paraId="7BBDECAF"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EE9EB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C199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D9AE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C77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E70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B93C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1824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EBC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EB54B0" w14:textId="664DB0EF" w:rsidR="00671B73" w:rsidRDefault="00294302">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294302">
              <w:rPr>
                <w:rFonts w:ascii="Arial Narrow" w:eastAsia="DejaVu Sans" w:hAnsi="DejaVu Sans" w:cs="DejaVu Sans"/>
                <w:color w:val="000000"/>
                <w:sz w:val="20"/>
                <w:szCs w:val="20"/>
              </w:rPr>
              <w:t>398,961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C95F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B2F1A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48,023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ECD54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48,023</w:t>
            </w:r>
          </w:p>
        </w:tc>
      </w:tr>
      <w:tr w:rsidR="00671B73" w14:paraId="55ECCA57"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E001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7533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F65E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85265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D704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98AB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A90E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95B74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4CB9B" w14:textId="4D899C76" w:rsidR="00671B73" w:rsidRDefault="00D908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D908A4">
              <w:rPr>
                <w:rFonts w:ascii="Arial Narrow" w:eastAsia="DejaVu Sans" w:hAnsi="DejaVu Sans" w:cs="DejaVu Sans"/>
                <w:color w:val="000000"/>
                <w:sz w:val="20"/>
                <w:szCs w:val="20"/>
              </w:rPr>
              <w:t>3,484,990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239E3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418,189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AD1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421,297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B991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362,315</w:t>
            </w:r>
          </w:p>
        </w:tc>
      </w:tr>
      <w:tr w:rsidR="00671B73" w14:paraId="376C80E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B544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D1E7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723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2AEF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F71D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EB70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00EF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ACC8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55D17" w14:textId="33443A54" w:rsidR="00671B73" w:rsidRDefault="00D908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D908A4">
              <w:rPr>
                <w:rFonts w:ascii="Arial Narrow" w:eastAsia="DejaVu Sans" w:hAnsi="DejaVu Sans" w:cs="DejaVu Sans"/>
                <w:color w:val="000000"/>
                <w:sz w:val="20"/>
                <w:szCs w:val="20"/>
              </w:rPr>
              <w:t>996,362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1137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24D3D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120,346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E97A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120,346</w:t>
            </w:r>
          </w:p>
        </w:tc>
      </w:tr>
      <w:tr w:rsidR="00671B73" w14:paraId="14910649"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9A61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9497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3769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8CF4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B4A39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4DF0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CDD1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ABB9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DA2E9E" w14:textId="5B7E6BBA" w:rsidR="00671B73" w:rsidRDefault="00D908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D908A4">
              <w:rPr>
                <w:rFonts w:ascii="Arial Narrow" w:eastAsia="DejaVu Sans" w:hAnsi="DejaVu Sans" w:cs="DejaVu Sans"/>
                <w:color w:val="000000"/>
                <w:sz w:val="20"/>
                <w:szCs w:val="20"/>
              </w:rPr>
              <w:t>810,779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B632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93,509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579D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96,036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0D7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82,591</w:t>
            </w:r>
          </w:p>
        </w:tc>
      </w:tr>
      <w:tr w:rsidR="00671B73" w14:paraId="19F4BC26"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AD96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3888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8A44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4291A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AA26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9581D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2097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50F7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BDBDC" w14:textId="1BF795CA" w:rsidR="00671B73" w:rsidRDefault="00D908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D908A4">
              <w:rPr>
                <w:rFonts w:ascii="Arial Narrow" w:eastAsia="DejaVu Sans" w:hAnsi="DejaVu Sans" w:cs="DejaVu Sans"/>
                <w:color w:val="000000"/>
                <w:sz w:val="20"/>
                <w:szCs w:val="20"/>
              </w:rPr>
              <w:t>105,295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E392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12,325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24E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12,554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AACD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12,554</w:t>
            </w:r>
          </w:p>
        </w:tc>
      </w:tr>
      <w:tr w:rsidR="00671B73" w14:paraId="09419E4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2C42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8C483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C22D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1E51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F1A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7498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CBB6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D2AF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61E71" w14:textId="126F4008"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6AD7A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FEC3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6164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1,537</w:t>
            </w:r>
          </w:p>
        </w:tc>
      </w:tr>
      <w:tr w:rsidR="00671B73" w14:paraId="01FF109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0CBD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9326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905D5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5968A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0FF82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EC56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8023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902B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A336A" w14:textId="043A2A59" w:rsidR="00671B73" w:rsidRDefault="00E8361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83619">
              <w:rPr>
                <w:rFonts w:ascii="Arial Narrow" w:eastAsia="DejaVu Sans" w:hAnsi="DejaVu Sans" w:cs="DejaVu Sans"/>
                <w:color w:val="000000"/>
                <w:sz w:val="20"/>
                <w:szCs w:val="20"/>
              </w:rPr>
              <w:t>334,088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3273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58F8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F1C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1,264</w:t>
            </w:r>
          </w:p>
        </w:tc>
      </w:tr>
      <w:tr w:rsidR="00671B73" w14:paraId="17F1C41C"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2C9A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2CD6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6CF4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Bath</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B911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B051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E167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1DE4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82E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B76AE" w14:textId="46774224" w:rsidR="00671B73" w:rsidRDefault="00E8361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83619">
              <w:rPr>
                <w:rFonts w:ascii="Arial Narrow" w:eastAsia="DejaVu Sans" w:hAnsi="DejaVu Sans" w:cs="DejaVu Sans"/>
                <w:color w:val="000000"/>
                <w:sz w:val="20"/>
                <w:szCs w:val="20"/>
              </w:rPr>
              <w:t>18,453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4B6D1" w14:textId="70DC5BE1"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66650" w14:textId="14364F61"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FE499" w14:textId="2A6A7483"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81</w:t>
            </w:r>
          </w:p>
        </w:tc>
      </w:tr>
      <w:tr w:rsidR="00671B73" w14:paraId="4B45207C"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D29D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AAB0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C0969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Kitchen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E17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0A0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5795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6DDB0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840C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5A1D10" w14:textId="6831468D" w:rsidR="00671B73" w:rsidRDefault="003B012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B012D">
              <w:rPr>
                <w:rFonts w:ascii="Arial Narrow" w:eastAsia="DejaVu Sans" w:hAnsi="DejaVu Sans" w:cs="DejaVu Sans"/>
                <w:color w:val="000000"/>
                <w:sz w:val="20"/>
                <w:szCs w:val="20"/>
              </w:rPr>
              <w:t>9,996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9B192" w14:textId="46616D6E"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r w:rsidR="002C46A4">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E282B" w14:textId="7FF09068"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r w:rsidR="002C46A4">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7FCAB" w14:textId="7E3F9309"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r w:rsidR="002C46A4">
              <w:rPr>
                <w:rFonts w:ascii="Arial Narrow" w:eastAsia="DejaVu Sans" w:hAnsi="DejaVu Sans" w:cs="DejaVu Sans"/>
                <w:color w:val="000000"/>
                <w:sz w:val="20"/>
                <w:szCs w:val="20"/>
              </w:rPr>
              <w:t>6</w:t>
            </w:r>
          </w:p>
        </w:tc>
      </w:tr>
      <w:tr w:rsidR="00671B73" w14:paraId="16FCB4B7"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C12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58263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BDDB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 - Kitchen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A475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E07DF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E76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2738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685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BBF40A" w14:textId="456C8981" w:rsidR="00671B73" w:rsidRDefault="003B012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B012D">
              <w:rPr>
                <w:rFonts w:ascii="Arial Narrow" w:eastAsia="DejaVu Sans" w:hAnsi="DejaVu Sans" w:cs="DejaVu Sans"/>
                <w:color w:val="000000"/>
                <w:sz w:val="20"/>
                <w:szCs w:val="20"/>
              </w:rPr>
              <w:t>1,538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DDF1F" w14:textId="4DF9799E"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5B101" w14:textId="37BFD03F"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4603C" w14:textId="2FAB832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r>
      <w:tr w:rsidR="00671B73" w14:paraId="295CF184"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D9EE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6F11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4CF2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Pre-Rinse Spray Valves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DC02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F04D5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3C18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B4E18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C4DA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B2108" w14:textId="6FE4047C" w:rsidR="00671B73" w:rsidRDefault="003B012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B012D">
              <w:rPr>
                <w:rFonts w:ascii="Arial Narrow" w:eastAsia="DejaVu Sans" w:hAnsi="DejaVu Sans" w:cs="DejaVu Sans"/>
                <w:color w:val="000000"/>
                <w:sz w:val="20"/>
                <w:szCs w:val="20"/>
              </w:rPr>
              <w:t>65,146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F204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6EF2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0B7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408</w:t>
            </w:r>
          </w:p>
        </w:tc>
      </w:tr>
      <w:tr w:rsidR="00671B73" w14:paraId="2236B894"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A167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2BBD7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Assessment 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0FBA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Showerheads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0CB8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0D2E6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B9BA8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366F6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C23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251BC" w14:textId="198CF519" w:rsidR="00671B73" w:rsidRDefault="003B012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B012D">
              <w:rPr>
                <w:rFonts w:ascii="Arial Narrow" w:eastAsia="DejaVu Sans" w:hAnsi="DejaVu Sans" w:cs="DejaVu Sans"/>
                <w:color w:val="000000"/>
                <w:sz w:val="20"/>
                <w:szCs w:val="20"/>
              </w:rPr>
              <w:t>11,917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67B00" w14:textId="548ED2A6"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F9A9CF" w14:textId="12C03AE0"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438E0" w14:textId="6671C9A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r w:rsidR="002C46A4">
              <w:rPr>
                <w:rFonts w:ascii="Arial Narrow" w:eastAsia="DejaVu Sans" w:hAnsi="DejaVu Sans" w:cs="DejaVu Sans"/>
                <w:color w:val="000000"/>
                <w:sz w:val="20"/>
                <w:szCs w:val="20"/>
              </w:rPr>
              <w:t>5</w:t>
            </w:r>
          </w:p>
        </w:tc>
      </w:tr>
      <w:tr w:rsidR="00671B73" w14:paraId="5308933C"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53B90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DB19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Building Operator Certification</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C286E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BOC</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D593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13F64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C128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C0A8B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15CB0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99A44" w14:textId="3B12A7C5"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FDF5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14,116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7249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12,537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F423A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12,537</w:t>
            </w:r>
          </w:p>
        </w:tc>
      </w:tr>
      <w:tr w:rsidR="00671B73" w14:paraId="0562D6F8"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54F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EE82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DE59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D59C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ACAB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EAB2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8387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A92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AF80D" w14:textId="4FA370DC" w:rsidR="00671B73" w:rsidRDefault="003B012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3B012D">
              <w:rPr>
                <w:rFonts w:ascii="Arial Narrow" w:eastAsia="DejaVu Sans" w:hAnsi="DejaVu Sans" w:cs="DejaVu Sans"/>
                <w:color w:val="000000"/>
                <w:sz w:val="20"/>
                <w:szCs w:val="20"/>
              </w:rPr>
              <w:t>92,155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B03C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DE4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11,114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72CE5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10,225</w:t>
            </w:r>
          </w:p>
        </w:tc>
      </w:tr>
      <w:tr w:rsidR="00671B73" w14:paraId="49E75DDD"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DDA92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E4A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Business Optimization Program</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55A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560A2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D054A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D813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3B5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5417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D44A8" w14:textId="4C2D8B47" w:rsidR="00671B73" w:rsidRDefault="001F31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F311D">
              <w:rPr>
                <w:rFonts w:ascii="Arial Narrow" w:eastAsia="DejaVu Sans" w:hAnsi="DejaVu Sans" w:cs="DejaVu Sans"/>
                <w:color w:val="000000"/>
                <w:sz w:val="20"/>
                <w:szCs w:val="20"/>
              </w:rPr>
              <w:t>54,662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F8D0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6,173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319DD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6,415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0C3E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5,902</w:t>
            </w:r>
          </w:p>
        </w:tc>
      </w:tr>
      <w:tr w:rsidR="00671B73" w14:paraId="7EFCE17C"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8B9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1C6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C1197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Garage Door Hinge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BEDC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DD166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1289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FD5B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5CC3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8C09C" w14:textId="1E5046E7"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E1FDF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87F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8FBB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2,075</w:t>
            </w:r>
          </w:p>
        </w:tc>
      </w:tr>
      <w:tr w:rsidR="00671B73" w14:paraId="3D84308D"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33B9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31A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B56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Chemical Descaling</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FA38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073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36E3C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C0EA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5ABE3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40EC05" w14:textId="373FEB1F"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B6F0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2,982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0540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1,876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33CE7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1,613</w:t>
            </w:r>
          </w:p>
        </w:tc>
      </w:tr>
      <w:tr w:rsidR="00671B73" w14:paraId="3F39487C"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47672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4D9D3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4EA1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6885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A679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43BA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274C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6C5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FBEC01" w14:textId="790D1182"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992C5" w14:textId="17B06495" w:rsidR="00671B73"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05015" w14:textId="1933F586"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r w:rsidR="002C46A4">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CF82B" w14:textId="1DFE8FC6"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w:t>
            </w:r>
          </w:p>
        </w:tc>
      </w:tr>
      <w:tr w:rsidR="00671B73" w14:paraId="723E324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EA61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6D9E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193E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41F3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D9AE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5D672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B93C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0BA6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C6A25" w14:textId="4FDB7922"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70EE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83B3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B3869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3,836</w:t>
            </w:r>
          </w:p>
        </w:tc>
      </w:tr>
      <w:tr w:rsidR="00671B73" w14:paraId="123805B4"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1ACFB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E785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A8C0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B93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2E12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39C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576B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83FA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0F6041" w14:textId="165177C6"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EC955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325,813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A5B5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325,813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FC51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280,200</w:t>
            </w:r>
          </w:p>
        </w:tc>
      </w:tr>
      <w:tr w:rsidR="00671B73" w14:paraId="0FFBB548"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F8CD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0B657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000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8C9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6A4B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AC8D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6D1D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C1B4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0A47B" w14:textId="60065AB3"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2C3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11,928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617E5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11,928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7FD4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11,928</w:t>
            </w:r>
          </w:p>
        </w:tc>
      </w:tr>
      <w:tr w:rsidR="00671B73" w14:paraId="08D52774"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638A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7A8D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63C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Boiler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7F48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D516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A00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0B9D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7049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7DC44" w14:textId="2BFC82D2"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9D43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161,727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F7F67" w14:textId="0A44F717" w:rsidR="00671B73" w:rsidRDefault="001F31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F311D">
              <w:rPr>
                <w:rFonts w:ascii="Arial Narrow" w:eastAsia="DejaVu Sans" w:hAnsi="DejaVu Sans" w:cs="DejaVu Sans"/>
                <w:color w:val="000000"/>
                <w:sz w:val="20"/>
                <w:szCs w:val="20"/>
              </w:rPr>
              <w:t>224,866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74D16" w14:textId="12C7EE19" w:rsidR="00671B73" w:rsidRDefault="0018621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86214">
              <w:rPr>
                <w:rFonts w:ascii="Arial Narrow" w:eastAsia="DejaVu Sans" w:hAnsi="DejaVu Sans" w:cs="DejaVu Sans"/>
                <w:color w:val="000000"/>
                <w:sz w:val="20"/>
                <w:szCs w:val="20"/>
              </w:rPr>
              <w:t>193,385</w:t>
            </w:r>
          </w:p>
        </w:tc>
      </w:tr>
      <w:tr w:rsidR="00671B73" w14:paraId="7AAE3632"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7345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F544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119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Boiler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94D2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27CF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10930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E54D1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AFA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40142" w14:textId="27FF0B3F"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10DB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57,205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78C3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80,382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7B851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80,382</w:t>
            </w:r>
          </w:p>
        </w:tc>
      </w:tr>
      <w:tr w:rsidR="00671B73" w14:paraId="14F511E5"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210C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9936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08C7B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E25D2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D227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04C5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3E152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E47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418CD" w14:textId="65189960"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C827D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D6C39" w14:textId="1B05E62A" w:rsidR="00671B73" w:rsidRDefault="0018621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86214">
              <w:rPr>
                <w:rFonts w:ascii="Arial Narrow" w:eastAsia="DejaVu Sans" w:hAnsi="DejaVu Sans" w:cs="DejaVu Sans"/>
                <w:color w:val="000000"/>
                <w:sz w:val="20"/>
                <w:szCs w:val="20"/>
              </w:rPr>
              <w:t>9,817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DAFFB" w14:textId="4C5B8BC2" w:rsidR="00671B73" w:rsidRDefault="0018621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86214">
              <w:rPr>
                <w:rFonts w:ascii="Arial Narrow" w:eastAsia="DejaVu Sans" w:hAnsi="DejaVu Sans" w:cs="DejaVu Sans"/>
                <w:color w:val="000000"/>
                <w:sz w:val="20"/>
                <w:szCs w:val="20"/>
              </w:rPr>
              <w:t>8,443</w:t>
            </w:r>
          </w:p>
        </w:tc>
      </w:tr>
      <w:tr w:rsidR="00671B73" w14:paraId="25CC170D"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BC2C4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FB481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A030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High Efficiency Furnace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23D5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815B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86B3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FC6D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B62F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0A786" w14:textId="7289BCAE"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479AF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FF2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1,065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8233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1,065</w:t>
            </w:r>
          </w:p>
        </w:tc>
      </w:tr>
      <w:tr w:rsidR="00671B73" w14:paraId="2B51AA6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D234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FB85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0592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9A5D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C973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26FA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78</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821C8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C5B9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2FB82" w14:textId="678D779B"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79EE3" w14:textId="2680C220"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r w:rsidR="002C46A4">
              <w:rPr>
                <w:rFonts w:ascii="Arial Narrow" w:eastAsia="DejaVu Sans" w:hAnsi="DejaVu Sans" w:cs="DejaVu Sans"/>
                <w:color w:val="000000"/>
                <w:sz w:val="20"/>
                <w:szCs w:val="20"/>
              </w:rPr>
              <w:t>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B763A1" w14:textId="60D06CEC"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r w:rsidR="002C46A4">
              <w:rPr>
                <w:rFonts w:ascii="Arial Narrow" w:eastAsia="DejaVu Sans" w:hAnsi="DejaVu Sans" w:cs="DejaVu Sans"/>
                <w:color w:val="000000"/>
                <w:sz w:val="20"/>
                <w:szCs w:val="20"/>
              </w:rPr>
              <w:t>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5BFF3" w14:textId="3BCCE9E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r w:rsidR="002C46A4">
              <w:rPr>
                <w:rFonts w:ascii="Arial Narrow" w:eastAsia="DejaVu Sans" w:hAnsi="DejaVu Sans" w:cs="DejaVu Sans"/>
                <w:color w:val="000000"/>
                <w:sz w:val="20"/>
                <w:szCs w:val="20"/>
              </w:rPr>
              <w:t>2</w:t>
            </w:r>
          </w:p>
        </w:tc>
      </w:tr>
      <w:tr w:rsidR="00671B73" w14:paraId="0232E48B"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375E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CE1C9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2CB82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Commercial</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2B44C"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B9D8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8112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87B4D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2074E"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4F1BB2" w14:textId="6F0D7BA6" w:rsidR="00671B73" w:rsidRDefault="00EA1F4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A1F47">
              <w:rPr>
                <w:rFonts w:ascii="Arial Narrow" w:eastAsia="DejaVu Sans" w:hAnsi="DejaVu Sans" w:cs="DejaVu Sans"/>
                <w:color w:val="000000"/>
                <w:sz w:val="20"/>
                <w:szCs w:val="20"/>
              </w:rPr>
              <w:t>14,342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E645C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1,593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0F62B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1,686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A0F1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1,450</w:t>
            </w:r>
          </w:p>
        </w:tc>
      </w:tr>
      <w:tr w:rsidR="00671B73" w14:paraId="1E3463C1"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6588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EF714"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9A87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High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17E4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6747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86F5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44CA0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08465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E52FC" w14:textId="734D77E7" w:rsidR="00671B73" w:rsidRDefault="00EA1F4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A1F47">
              <w:rPr>
                <w:rFonts w:ascii="Arial Narrow" w:eastAsia="DejaVu Sans" w:hAnsi="DejaVu Sans" w:cs="DejaVu Sans"/>
                <w:color w:val="000000"/>
                <w:sz w:val="20"/>
                <w:szCs w:val="20"/>
              </w:rPr>
              <w:t>631,507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28B5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75,906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8D4A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76,439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23BFF"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65,737</w:t>
            </w:r>
          </w:p>
        </w:tc>
      </w:tr>
      <w:tr w:rsidR="00671B73" w14:paraId="7460C84A"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3ACD7"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AAA1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0D1DF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Industrial Medium Pressure</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4330EB"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89D6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7A95BD"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F450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827CA"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B28BB" w14:textId="7DFDC8A2" w:rsidR="00671B73" w:rsidRDefault="00EA1F4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A1F47">
              <w:rPr>
                <w:rFonts w:ascii="Arial Narrow" w:eastAsia="DejaVu Sans" w:hAnsi="DejaVu Sans" w:cs="DejaVu Sans"/>
                <w:color w:val="000000"/>
                <w:sz w:val="20"/>
                <w:szCs w:val="20"/>
              </w:rPr>
              <w:t>263,222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6583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30,154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C2038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31,086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0D2C13"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26,734</w:t>
            </w:r>
          </w:p>
        </w:tc>
      </w:tr>
      <w:tr w:rsidR="00671B73" w14:paraId="17B713D9" w14:textId="77777777" w:rsidTr="002C46A4">
        <w:trPr>
          <w:jc w:val="center"/>
        </w:trPr>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0B49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D12D9"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D8CA52"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Water Heater</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6B48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8B248"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C24B6"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8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92891"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62355"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3659DB" w14:textId="13AF9983" w:rsidR="00671B73" w:rsidRDefault="006704E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20892" w14:textId="1FB8A738"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AF6CA0" w14:textId="77777777"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7410A" w14:textId="4F3CDEE6" w:rsidR="00671B73" w:rsidRDefault="00250A5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87</w:t>
            </w:r>
          </w:p>
        </w:tc>
      </w:tr>
      <w:tr w:rsidR="002C46A4" w14:paraId="67088840" w14:textId="77777777" w:rsidTr="002C46A4">
        <w:trPr>
          <w:jc w:val="center"/>
        </w:trPr>
        <w:tc>
          <w:tcPr>
            <w:tcW w:w="3960" w:type="dxa"/>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8C8C05" w14:textId="1BF6A959" w:rsidR="002C46A4" w:rsidRDefault="002C46A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Total or Weighted Average</w:t>
            </w:r>
          </w:p>
        </w:tc>
        <w:tc>
          <w:tcPr>
            <w:tcW w:w="342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E46373"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90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C7FF22"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81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937259"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63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96A69D"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81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828630"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7.91</w:t>
            </w:r>
          </w:p>
        </w:tc>
        <w:tc>
          <w:tcPr>
            <w:tcW w:w="99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62BF45"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50A01F" w14:textId="0C06E877" w:rsidR="002C46A4" w:rsidRDefault="00EA1F4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EA1F47">
              <w:rPr>
                <w:rFonts w:ascii="Arial Narrow" w:eastAsia="DejaVu Sans" w:hAnsi="DejaVu Sans" w:cs="DejaVu Sans"/>
                <w:b/>
                <w:color w:val="000000"/>
                <w:sz w:val="20"/>
                <w:szCs w:val="20"/>
              </w:rPr>
              <w:t>23,128,010</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1B87E0" w14:textId="77777777" w:rsidR="002C46A4" w:rsidRDefault="002C46A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3,671,650</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386235" w14:textId="79A7AEEB" w:rsidR="002C46A4" w:rsidRDefault="00553E4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553E40">
              <w:rPr>
                <w:rFonts w:ascii="Arial Narrow" w:eastAsia="DejaVu Sans" w:hAnsi="DejaVu Sans" w:cs="DejaVu Sans"/>
                <w:b/>
                <w:color w:val="000000"/>
                <w:sz w:val="20"/>
                <w:szCs w:val="20"/>
              </w:rPr>
              <w:t>3,908,490</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1C702F" w14:textId="345AFDC5" w:rsidR="002C46A4" w:rsidRDefault="00553E4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553E40">
              <w:rPr>
                <w:rFonts w:ascii="Arial Narrow" w:eastAsia="DejaVu Sans" w:hAnsi="DejaVu Sans" w:cs="DejaVu Sans"/>
                <w:b/>
                <w:color w:val="000000"/>
                <w:sz w:val="20"/>
                <w:szCs w:val="20"/>
              </w:rPr>
              <w:t>3,515,304</w:t>
            </w:r>
          </w:p>
        </w:tc>
      </w:tr>
    </w:tbl>
    <w:p w14:paraId="2053F75A" w14:textId="34180B00" w:rsidR="001E39A4" w:rsidRPr="006A54F3" w:rsidRDefault="001E39A4" w:rsidP="00A56FF3">
      <w:pPr>
        <w:pStyle w:val="TableFigureNote"/>
        <w:rPr>
          <w:rFonts w:ascii="Arial Narrow" w:hAnsi="Arial Narrow"/>
        </w:rPr>
      </w:pPr>
      <w:r w:rsidRPr="006A54F3">
        <w:rPr>
          <w:rFonts w:ascii="Arial Narrow" w:hAnsi="Arial Narrow"/>
        </w:rPr>
        <w:t xml:space="preserve">Note: </w:t>
      </w:r>
      <w:r w:rsidR="00E01359" w:rsidRPr="006A54F3">
        <w:rPr>
          <w:rFonts w:ascii="Arial Narrow" w:hAnsi="Arial Narrow"/>
        </w:rPr>
        <w:t>All savings estimating algorithms presented in the IL TRM v12.0 for t</w:t>
      </w:r>
      <w:r w:rsidRPr="006A54F3">
        <w:rPr>
          <w:rFonts w:ascii="Arial Narrow" w:hAnsi="Arial Narrow"/>
        </w:rPr>
        <w:t xml:space="preserve">he Building Operator Certification measure </w:t>
      </w:r>
      <w:r w:rsidR="00E01359" w:rsidRPr="006A54F3">
        <w:rPr>
          <w:rFonts w:ascii="Arial Narrow" w:hAnsi="Arial Narrow"/>
        </w:rPr>
        <w:t xml:space="preserve">are for net savings. Therefore, this measure does not require </w:t>
      </w:r>
      <w:r w:rsidR="0028377C" w:rsidRPr="006A54F3">
        <w:rPr>
          <w:rFonts w:ascii="Arial Narrow" w:hAnsi="Arial Narrow"/>
        </w:rPr>
        <w:t>an</w:t>
      </w:r>
      <w:r w:rsidR="00E01359" w:rsidRPr="006A54F3">
        <w:rPr>
          <w:rFonts w:ascii="Arial Narrow" w:hAnsi="Arial Narrow"/>
        </w:rPr>
        <w:t xml:space="preserve"> additional application of</w:t>
      </w:r>
      <w:r w:rsidRPr="006A54F3">
        <w:rPr>
          <w:rFonts w:ascii="Arial Narrow" w:hAnsi="Arial Narrow"/>
        </w:rPr>
        <w:t xml:space="preserve"> </w:t>
      </w:r>
      <w:r w:rsidR="0028377C" w:rsidRPr="006A54F3">
        <w:rPr>
          <w:rFonts w:ascii="Arial Narrow" w:hAnsi="Arial Narrow"/>
        </w:rPr>
        <w:t>NTG</w:t>
      </w:r>
      <w:r w:rsidRPr="006A54F3">
        <w:rPr>
          <w:rFonts w:ascii="Arial Narrow" w:hAnsi="Arial Narrow"/>
        </w:rPr>
        <w:t xml:space="preserve"> value.</w:t>
      </w:r>
    </w:p>
    <w:p w14:paraId="7891A883" w14:textId="100349A2" w:rsidR="006A54F3" w:rsidRPr="00A15ECA" w:rsidRDefault="006A54F3" w:rsidP="006A54F3">
      <w:pPr>
        <w:pStyle w:val="GraphFootnote"/>
      </w:pPr>
      <w:r>
        <w:t>Based on SAG policy, participants in d</w:t>
      </w:r>
      <w:r w:rsidRPr="00A15ECA">
        <w:t xml:space="preserve">isadvantaged communities (DAC) based on </w:t>
      </w:r>
      <w:r>
        <w:t xml:space="preserve">their </w:t>
      </w:r>
      <w:r w:rsidRPr="00A15ECA">
        <w:t>census tract</w:t>
      </w:r>
      <w:r>
        <w:t xml:space="preserve"> and with consumption under 35,000 Therms</w:t>
      </w:r>
      <w:r w:rsidRPr="00A15ECA">
        <w:t xml:space="preserve"> </w:t>
      </w:r>
      <w:r>
        <w:t xml:space="preserve">are assigned a </w:t>
      </w:r>
      <w:r w:rsidRPr="00A15ECA">
        <w:t>NTG of 1.00.</w:t>
      </w:r>
    </w:p>
    <w:p w14:paraId="719C5313" w14:textId="244F3A30" w:rsidR="00250A50" w:rsidRDefault="00250A50" w:rsidP="00E01359">
      <w:pPr>
        <w:pStyle w:val="TableFigureSource"/>
        <w:spacing w:before="0" w:after="0"/>
      </w:pPr>
      <w:r w:rsidRPr="00D20A03">
        <w:t>Source: Evaluation team analysis</w:t>
      </w:r>
    </w:p>
    <w:sectPr w:rsidR="00250A50" w:rsidSect="009351F2">
      <w:headerReference w:type="default" r:id="rId21"/>
      <w:footerReference w:type="default" r:id="rId22"/>
      <w:type w:val="continuous"/>
      <w:pgSz w:w="20160" w:h="15840" w:code="1"/>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8E2F" w14:textId="77777777" w:rsidR="004733EA" w:rsidRDefault="004733EA">
      <w:pPr>
        <w:spacing w:before="0" w:after="0"/>
      </w:pPr>
      <w:r>
        <w:separator/>
      </w:r>
    </w:p>
  </w:endnote>
  <w:endnote w:type="continuationSeparator" w:id="0">
    <w:p w14:paraId="4985DB97" w14:textId="77777777" w:rsidR="004733EA" w:rsidRDefault="004733EA">
      <w:pPr>
        <w:spacing w:before="0" w:after="0"/>
      </w:pPr>
      <w:r>
        <w:continuationSeparator/>
      </w:r>
    </w:p>
  </w:endnote>
  <w:endnote w:type="continuationNotice" w:id="1">
    <w:p w14:paraId="2DC93982" w14:textId="77777777" w:rsidR="004733EA" w:rsidRDefault="004733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ADF6" w14:textId="77777777" w:rsidR="00250A50" w:rsidRDefault="00250A5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5C66C5" w14:textId="77777777" w:rsidR="00250A50" w:rsidRDefault="002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794B" w14:textId="77777777" w:rsidR="00250A50" w:rsidRPr="006B38AE" w:rsidRDefault="00250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C23C97" w:rsidRPr="00582062" w14:paraId="7B873C23" w14:textId="77777777">
      <w:trPr>
        <w:trHeight w:val="144"/>
        <w:jc w:val="center"/>
      </w:trPr>
      <w:tc>
        <w:tcPr>
          <w:tcW w:w="7470" w:type="dxa"/>
          <w:tcBorders>
            <w:top w:val="single" w:sz="8" w:space="0" w:color="8C8C8C"/>
            <w:left w:val="nil"/>
            <w:bottom w:val="nil"/>
          </w:tcBorders>
        </w:tcPr>
        <w:p w14:paraId="589A28AE" w14:textId="77777777" w:rsidR="00250A50" w:rsidRPr="00582062" w:rsidRDefault="00250A50">
          <w:pPr>
            <w:pStyle w:val="Footer"/>
            <w:spacing w:before="120"/>
            <w:rPr>
              <w:sz w:val="2"/>
              <w:szCs w:val="2"/>
            </w:rPr>
          </w:pPr>
        </w:p>
      </w:tc>
      <w:tc>
        <w:tcPr>
          <w:tcW w:w="1890" w:type="dxa"/>
          <w:tcBorders>
            <w:top w:val="single" w:sz="8" w:space="0" w:color="8C8C8C"/>
          </w:tcBorders>
        </w:tcPr>
        <w:p w14:paraId="2D178CF4" w14:textId="77777777" w:rsidR="00250A50" w:rsidRPr="00582062" w:rsidRDefault="00250A50">
          <w:pPr>
            <w:pStyle w:val="Footer"/>
            <w:spacing w:before="120"/>
            <w:jc w:val="right"/>
            <w:rPr>
              <w:sz w:val="2"/>
              <w:szCs w:val="2"/>
            </w:rPr>
          </w:pPr>
        </w:p>
      </w:tc>
    </w:tr>
    <w:tr w:rsidR="00C23C97" w:rsidRPr="00EA2FA5" w14:paraId="031F7806" w14:textId="77777777">
      <w:trPr>
        <w:trHeight w:val="195"/>
        <w:jc w:val="center"/>
      </w:trPr>
      <w:tc>
        <w:tcPr>
          <w:tcW w:w="7470" w:type="dxa"/>
          <w:tcBorders>
            <w:top w:val="nil"/>
            <w:left w:val="nil"/>
          </w:tcBorders>
          <w:vAlign w:val="center"/>
        </w:tcPr>
        <w:p w14:paraId="0E1B0035" w14:textId="77777777" w:rsidR="00250A50" w:rsidRPr="0075421C" w:rsidRDefault="00250A50">
          <w:pPr>
            <w:pStyle w:val="Footer"/>
            <w:rPr>
              <w:i/>
              <w:iCs/>
              <w:sz w:val="18"/>
            </w:rPr>
          </w:pPr>
          <w:r w:rsidRPr="007B1C67">
            <w:rPr>
              <w:rFonts w:cs="Arial"/>
              <w:sz w:val="18"/>
              <w:szCs w:val="18"/>
            </w:rPr>
            <w:t>Guidehouse Inc.</w:t>
          </w:r>
        </w:p>
      </w:tc>
      <w:tc>
        <w:tcPr>
          <w:tcW w:w="1890" w:type="dxa"/>
          <w:vAlign w:val="center"/>
        </w:tcPr>
        <w:p w14:paraId="3CE39D89" w14:textId="77777777" w:rsidR="00250A50" w:rsidRPr="0075421C" w:rsidRDefault="00250A50">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694C3D31" w14:textId="77777777" w:rsidR="00250A50" w:rsidRPr="000C64C5" w:rsidRDefault="00250A50">
    <w:pPr>
      <w:pStyle w:val="Footer"/>
      <w:ind w:right="360"/>
      <w:rPr>
        <w:sz w:val="2"/>
        <w:szCs w:val="2"/>
      </w:rPr>
    </w:pPr>
  </w:p>
  <w:p w14:paraId="2CD477CA" w14:textId="77777777" w:rsidR="00250A50" w:rsidRPr="008B6585" w:rsidRDefault="00250A50">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EF2FBC" w:rsidRPr="00582062" w14:paraId="75C60FE8" w14:textId="77777777" w:rsidTr="00934E0C">
      <w:trPr>
        <w:trHeight w:val="144"/>
        <w:jc w:val="center"/>
      </w:trPr>
      <w:tc>
        <w:tcPr>
          <w:tcW w:w="7470" w:type="dxa"/>
          <w:tcBorders>
            <w:top w:val="single" w:sz="8" w:space="0" w:color="8C8C8C"/>
            <w:left w:val="nil"/>
            <w:bottom w:val="nil"/>
          </w:tcBorders>
        </w:tcPr>
        <w:p w14:paraId="0579C92B" w14:textId="77777777" w:rsidR="00EF2FBC" w:rsidRPr="00582062" w:rsidRDefault="00EF2FBC" w:rsidP="00934E0C">
          <w:pPr>
            <w:pStyle w:val="Footer"/>
            <w:spacing w:before="120"/>
            <w:rPr>
              <w:sz w:val="2"/>
              <w:szCs w:val="2"/>
            </w:rPr>
          </w:pPr>
        </w:p>
      </w:tc>
      <w:tc>
        <w:tcPr>
          <w:tcW w:w="1890" w:type="dxa"/>
          <w:tcBorders>
            <w:top w:val="single" w:sz="8" w:space="0" w:color="8C8C8C"/>
          </w:tcBorders>
        </w:tcPr>
        <w:p w14:paraId="2C272BBF" w14:textId="77777777" w:rsidR="00EF2FBC" w:rsidRPr="00582062" w:rsidRDefault="00EF2FBC" w:rsidP="00934E0C">
          <w:pPr>
            <w:pStyle w:val="Footer"/>
            <w:spacing w:before="120"/>
            <w:jc w:val="right"/>
            <w:rPr>
              <w:sz w:val="2"/>
              <w:szCs w:val="2"/>
            </w:rPr>
          </w:pPr>
        </w:p>
      </w:tc>
    </w:tr>
    <w:tr w:rsidR="00EF2FBC" w:rsidRPr="00EA2FA5" w14:paraId="27B31E19" w14:textId="77777777" w:rsidTr="00934E0C">
      <w:trPr>
        <w:trHeight w:val="195"/>
        <w:jc w:val="center"/>
      </w:trPr>
      <w:tc>
        <w:tcPr>
          <w:tcW w:w="7470" w:type="dxa"/>
          <w:tcBorders>
            <w:top w:val="nil"/>
            <w:left w:val="nil"/>
          </w:tcBorders>
          <w:vAlign w:val="center"/>
        </w:tcPr>
        <w:p w14:paraId="4A5D2919" w14:textId="77777777" w:rsidR="00EF2FBC" w:rsidRPr="0075421C" w:rsidRDefault="00EF2FBC" w:rsidP="00934E0C">
          <w:pPr>
            <w:pStyle w:val="Footer"/>
            <w:rPr>
              <w:i/>
              <w:iCs/>
              <w:sz w:val="18"/>
            </w:rPr>
          </w:pPr>
          <w:r w:rsidRPr="007B1C67">
            <w:rPr>
              <w:rFonts w:cs="Arial"/>
              <w:sz w:val="18"/>
              <w:szCs w:val="18"/>
            </w:rPr>
            <w:t>Guidehouse Inc.</w:t>
          </w:r>
        </w:p>
      </w:tc>
      <w:tc>
        <w:tcPr>
          <w:tcW w:w="1890" w:type="dxa"/>
          <w:vAlign w:val="center"/>
        </w:tcPr>
        <w:p w14:paraId="72FE7A9F" w14:textId="77777777" w:rsidR="00EF2FBC" w:rsidRPr="0075421C" w:rsidRDefault="00EF2FBC" w:rsidP="00934E0C">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D967422" w14:textId="77777777" w:rsidR="00EF2FBC" w:rsidRPr="000C64C5" w:rsidRDefault="00EF2FBC" w:rsidP="00934E0C">
    <w:pPr>
      <w:pStyle w:val="Footer"/>
      <w:ind w:right="360"/>
      <w:rPr>
        <w:sz w:val="2"/>
        <w:szCs w:val="2"/>
      </w:rPr>
    </w:pPr>
  </w:p>
  <w:p w14:paraId="2FF20808" w14:textId="77777777" w:rsidR="00A30F2F" w:rsidRDefault="00A30F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3789"/>
      <w:gridCol w:w="3491"/>
    </w:tblGrid>
    <w:tr w:rsidR="00C23C97" w:rsidRPr="00582062" w14:paraId="4F5B5A7F" w14:textId="77777777">
      <w:trPr>
        <w:trHeight w:val="144"/>
        <w:jc w:val="center"/>
      </w:trPr>
      <w:tc>
        <w:tcPr>
          <w:tcW w:w="3990" w:type="pct"/>
          <w:tcBorders>
            <w:top w:val="single" w:sz="8" w:space="0" w:color="8C8C8C"/>
            <w:left w:val="nil"/>
            <w:bottom w:val="nil"/>
          </w:tcBorders>
        </w:tcPr>
        <w:p w14:paraId="5FA35310" w14:textId="77777777" w:rsidR="00250A50" w:rsidRPr="00582062" w:rsidRDefault="00250A50">
          <w:pPr>
            <w:pStyle w:val="Footer"/>
            <w:spacing w:before="120"/>
            <w:rPr>
              <w:sz w:val="2"/>
              <w:szCs w:val="2"/>
            </w:rPr>
          </w:pPr>
        </w:p>
      </w:tc>
      <w:tc>
        <w:tcPr>
          <w:tcW w:w="1010" w:type="pct"/>
          <w:tcBorders>
            <w:top w:val="single" w:sz="8" w:space="0" w:color="8C8C8C"/>
          </w:tcBorders>
        </w:tcPr>
        <w:p w14:paraId="17B6800E" w14:textId="77777777" w:rsidR="00250A50" w:rsidRPr="00582062" w:rsidRDefault="00250A50">
          <w:pPr>
            <w:pStyle w:val="Footer"/>
            <w:spacing w:before="120"/>
            <w:jc w:val="right"/>
            <w:rPr>
              <w:sz w:val="2"/>
              <w:szCs w:val="2"/>
            </w:rPr>
          </w:pPr>
        </w:p>
      </w:tc>
    </w:tr>
    <w:tr w:rsidR="00C23C97" w:rsidRPr="00EA2FA5" w14:paraId="76E88033" w14:textId="77777777">
      <w:trPr>
        <w:trHeight w:val="195"/>
        <w:jc w:val="center"/>
      </w:trPr>
      <w:tc>
        <w:tcPr>
          <w:tcW w:w="3990" w:type="pct"/>
          <w:tcBorders>
            <w:top w:val="nil"/>
            <w:left w:val="nil"/>
          </w:tcBorders>
          <w:vAlign w:val="center"/>
        </w:tcPr>
        <w:p w14:paraId="7EABA9ED" w14:textId="77777777" w:rsidR="00250A50" w:rsidRPr="0075421C" w:rsidRDefault="00250A50">
          <w:pPr>
            <w:pStyle w:val="Footer"/>
            <w:rPr>
              <w:i/>
              <w:iCs/>
              <w:sz w:val="18"/>
            </w:rPr>
          </w:pPr>
          <w:r w:rsidRPr="007B1C67">
            <w:rPr>
              <w:rFonts w:cs="Arial"/>
              <w:sz w:val="18"/>
              <w:szCs w:val="18"/>
            </w:rPr>
            <w:t>Guidehouse Inc.</w:t>
          </w:r>
        </w:p>
      </w:tc>
      <w:tc>
        <w:tcPr>
          <w:tcW w:w="1010" w:type="pct"/>
          <w:vAlign w:val="center"/>
        </w:tcPr>
        <w:p w14:paraId="1AA2E99A" w14:textId="77777777" w:rsidR="00250A50" w:rsidRPr="0075421C" w:rsidRDefault="00250A50">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508B1AC3" w14:textId="77777777" w:rsidR="00250A50" w:rsidRPr="000C64C5" w:rsidRDefault="00250A50">
    <w:pPr>
      <w:pStyle w:val="Footer"/>
      <w:ind w:right="360"/>
      <w:rPr>
        <w:sz w:val="2"/>
        <w:szCs w:val="2"/>
      </w:rPr>
    </w:pPr>
  </w:p>
  <w:p w14:paraId="038E9CF6" w14:textId="77777777" w:rsidR="00250A50" w:rsidRPr="008B6585" w:rsidRDefault="00250A5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3DFB" w14:textId="77777777" w:rsidR="004733EA" w:rsidRDefault="004733EA">
      <w:pPr>
        <w:spacing w:before="0" w:after="0"/>
      </w:pPr>
      <w:r>
        <w:separator/>
      </w:r>
    </w:p>
  </w:footnote>
  <w:footnote w:type="continuationSeparator" w:id="0">
    <w:p w14:paraId="103B5756" w14:textId="77777777" w:rsidR="004733EA" w:rsidRDefault="004733EA">
      <w:pPr>
        <w:spacing w:before="0" w:after="0"/>
      </w:pPr>
      <w:r>
        <w:continuationSeparator/>
      </w:r>
    </w:p>
  </w:footnote>
  <w:footnote w:type="continuationNotice" w:id="1">
    <w:p w14:paraId="39C04C87" w14:textId="77777777" w:rsidR="004733EA" w:rsidRDefault="004733EA">
      <w:pPr>
        <w:spacing w:before="0" w:after="0"/>
      </w:pPr>
    </w:p>
  </w:footnote>
  <w:footnote w:id="2">
    <w:p w14:paraId="31729C09" w14:textId="710B53F5" w:rsidR="00FD4880" w:rsidRDefault="00FD4880">
      <w:pPr>
        <w:pStyle w:val="FootnoteText"/>
      </w:pPr>
      <w:r>
        <w:rPr>
          <w:rStyle w:val="FootnoteReference"/>
        </w:rPr>
        <w:footnoteRef/>
      </w:r>
      <w:r>
        <w:t xml:space="preserve"> </w:t>
      </w:r>
      <w:r w:rsidR="00351A20" w:rsidRPr="00351A20">
        <w:t>Nicor Gas 2024 Interim Impact Review Summary Findings_2024-12-15 Final</w:t>
      </w:r>
    </w:p>
  </w:footnote>
  <w:footnote w:id="3">
    <w:p w14:paraId="1EA90E8D" w14:textId="7C6D1112" w:rsidR="00124370" w:rsidRDefault="00124370">
      <w:pPr>
        <w:pStyle w:val="FootnoteText"/>
      </w:pPr>
      <w:r>
        <w:rPr>
          <w:rStyle w:val="FootnoteReference"/>
        </w:rPr>
        <w:footnoteRef/>
      </w:r>
      <w:r>
        <w:t xml:space="preserve"> Sourced from</w:t>
      </w:r>
      <w:r w:rsidR="00C05022">
        <w:t xml:space="preserve"> </w:t>
      </w:r>
      <w:hyperlink r:id="rId1" w:history="1">
        <w:r w:rsidR="00C05022" w:rsidRPr="00C05022">
          <w:rPr>
            <w:rStyle w:val="Hyperlink"/>
          </w:rPr>
          <w:t>https://www.zipcodestogo.com/Illinois/</w:t>
        </w:r>
      </w:hyperlink>
      <w:r>
        <w:t>.</w:t>
      </w:r>
    </w:p>
  </w:footnote>
  <w:footnote w:id="4">
    <w:p w14:paraId="0E061DAD" w14:textId="2A9BEF79" w:rsidR="00280681" w:rsidRDefault="00280681" w:rsidP="00280681">
      <w:pPr>
        <w:pStyle w:val="FootnoteText"/>
      </w:pPr>
      <w:r>
        <w:rPr>
          <w:rStyle w:val="FootnoteReference"/>
        </w:rPr>
        <w:footnoteRef/>
      </w:r>
      <w:r>
        <w:t xml:space="preserve"> Available on the Illinois Stakeholder Advisory Group website: </w:t>
      </w:r>
      <w:hyperlink r:id="rId2" w:history="1">
        <w:r w:rsidRPr="00280681">
          <w:rPr>
            <w:rStyle w:val="Hyperlink"/>
          </w:rPr>
          <w:t xml:space="preserve">Illinois Statewide Technical Reference Manual Version 12.0 - Illinois Energy Efficiency Stakeholder Advisory </w:t>
        </w:r>
        <w:proofErr w:type="spellStart"/>
        <w:r w:rsidRPr="00280681">
          <w:rPr>
            <w:rStyle w:val="Hyperlink"/>
          </w:rPr>
          <w:t>GroupIllinois</w:t>
        </w:r>
        <w:proofErr w:type="spellEnd"/>
        <w:r w:rsidRPr="00280681">
          <w:rPr>
            <w:rStyle w:val="Hyperlink"/>
          </w:rPr>
          <w:t xml:space="preserve"> Energy Efficiency Stakeholder Advisory Group</w:t>
        </w:r>
      </w:hyperlink>
    </w:p>
  </w:footnote>
  <w:footnote w:id="5">
    <w:p w14:paraId="1BAD29A0" w14:textId="77777777" w:rsidR="00280681" w:rsidRDefault="00280681" w:rsidP="00280681">
      <w:pPr>
        <w:pStyle w:val="FootnoteText"/>
      </w:pPr>
      <w:r>
        <w:rPr>
          <w:rStyle w:val="FootnoteReference"/>
        </w:rPr>
        <w:footnoteRef/>
      </w:r>
      <w:r>
        <w:t xml:space="preserve"> Ibid</w:t>
      </w:r>
    </w:p>
  </w:footnote>
  <w:footnote w:id="6">
    <w:p w14:paraId="5D22A64E" w14:textId="5135C504" w:rsidR="00280681" w:rsidRDefault="00280681" w:rsidP="00280681">
      <w:pPr>
        <w:pStyle w:val="FootnoteText"/>
      </w:pPr>
      <w:r>
        <w:rPr>
          <w:rStyle w:val="FootnoteReference"/>
        </w:rPr>
        <w:footnoteRef/>
      </w:r>
      <w:r>
        <w:t xml:space="preserve"> Obtained from the Implementation Contractor for the 202</w:t>
      </w:r>
      <w:r w:rsidR="00C02EC9">
        <w:t>4</w:t>
      </w:r>
      <w:r>
        <w:t xml:space="preserve"> calendar year: </w:t>
      </w:r>
      <w:hyperlink r:id="rId3" w:history="1">
        <w:r w:rsidRPr="00CC61A1">
          <w:rPr>
            <w:rStyle w:val="Hyperlink"/>
          </w:rPr>
          <w:t>https://www.il-foodservicerebates.com/qualifying-equipment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C23C97" w14:paraId="439620E0" w14:textId="77777777">
      <w:trPr>
        <w:jc w:val="center"/>
      </w:trPr>
      <w:tc>
        <w:tcPr>
          <w:tcW w:w="1980" w:type="dxa"/>
          <w:vAlign w:val="center"/>
        </w:tcPr>
        <w:p w14:paraId="320B7B11" w14:textId="77777777" w:rsidR="00250A50" w:rsidRPr="006A71F6" w:rsidRDefault="00250A50">
          <w:pPr>
            <w:pStyle w:val="Header"/>
          </w:pPr>
          <w:r>
            <w:rPr>
              <w:noProof/>
            </w:rPr>
            <w:drawing>
              <wp:inline distT="0" distB="0" distL="0" distR="0" wp14:anchorId="6F9D44B1" wp14:editId="7F61364E">
                <wp:extent cx="1097282" cy="277522"/>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7D7D1B88" w14:textId="77777777" w:rsidR="00250A50" w:rsidRPr="007B09EC" w:rsidRDefault="00250A50">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7177FD93" w14:textId="77777777" w:rsidR="00250A50" w:rsidRDefault="002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29F4" w14:textId="77777777" w:rsidR="00250A50" w:rsidRDefault="00250A50">
    <w:pPr>
      <w:pStyle w:val="Header"/>
    </w:pPr>
    <w:r>
      <w:rPr>
        <w:noProof/>
      </w:rPr>
      <w:drawing>
        <wp:anchor distT="0" distB="0" distL="114300" distR="114300" simplePos="0" relativeHeight="251658240" behindDoc="0" locked="0" layoutInCell="1" allowOverlap="1" wp14:anchorId="4F6D3FDA" wp14:editId="2D376F3B">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07B3481" w14:textId="77777777" w:rsidR="00250A50" w:rsidRPr="00F2773B" w:rsidRDefault="00250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690"/>
      <w:gridCol w:w="5670"/>
    </w:tblGrid>
    <w:tr w:rsidR="00C23C97" w14:paraId="5138A60F" w14:textId="77777777" w:rsidTr="00AD210E">
      <w:trPr>
        <w:jc w:val="center"/>
      </w:trPr>
      <w:tc>
        <w:tcPr>
          <w:tcW w:w="3690" w:type="dxa"/>
          <w:vAlign w:val="center"/>
        </w:tcPr>
        <w:p w14:paraId="5113DAF5" w14:textId="77777777" w:rsidR="00250A50" w:rsidRPr="006A71F6" w:rsidRDefault="00250A50">
          <w:pPr>
            <w:pStyle w:val="Header"/>
          </w:pPr>
          <w:r>
            <w:rPr>
              <w:noProof/>
            </w:rPr>
            <w:drawing>
              <wp:inline distT="0" distB="0" distL="0" distR="0" wp14:anchorId="42B2E687" wp14:editId="64429671">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670" w:type="dxa"/>
          <w:vAlign w:val="bottom"/>
        </w:tcPr>
        <w:p w14:paraId="01C3D7C1" w14:textId="56B8ED23" w:rsidR="00250A50" w:rsidRPr="007B09EC" w:rsidRDefault="00250A50">
          <w:pPr>
            <w:pStyle w:val="Header"/>
          </w:pPr>
          <w:r>
            <w:rPr>
              <w:bCs/>
              <w:noProof/>
            </w:rPr>
            <w:fldChar w:fldCharType="begin"/>
          </w:r>
          <w:r>
            <w:rPr>
              <w:bCs/>
              <w:noProof/>
            </w:rPr>
            <w:instrText xml:space="preserve"> STYLEREF  Title,Cover_Title  \* MERGEFORMAT </w:instrText>
          </w:r>
          <w:r>
            <w:rPr>
              <w:bCs/>
              <w:noProof/>
            </w:rPr>
            <w:fldChar w:fldCharType="separate"/>
          </w:r>
          <w:r w:rsidR="00720FAE" w:rsidRPr="00720FAE">
            <w:rPr>
              <w:noProof/>
            </w:rPr>
            <w:t>Business Energy Efficiency Rebates Impact Evaluation</w:t>
          </w:r>
          <w:r w:rsidR="00720FAE">
            <w:rPr>
              <w:bCs/>
              <w:noProof/>
            </w:rPr>
            <w:t xml:space="preserve"> Report</w:t>
          </w:r>
          <w:r>
            <w:rPr>
              <w:bCs/>
              <w:noProof/>
            </w:rPr>
            <w:fldChar w:fldCharType="end"/>
          </w:r>
        </w:p>
      </w:tc>
    </w:tr>
  </w:tbl>
  <w:p w14:paraId="054767F8" w14:textId="77777777" w:rsidR="00250A50" w:rsidRPr="00E656A1" w:rsidRDefault="00250A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1981"/>
      <w:gridCol w:w="7379"/>
    </w:tblGrid>
    <w:tr w:rsidR="00C23C97" w14:paraId="37989B40" w14:textId="77777777">
      <w:trPr>
        <w:jc w:val="center"/>
      </w:trPr>
      <w:tc>
        <w:tcPr>
          <w:tcW w:w="1058" w:type="pct"/>
          <w:vAlign w:val="center"/>
        </w:tcPr>
        <w:p w14:paraId="38482B68" w14:textId="77777777" w:rsidR="00250A50" w:rsidRPr="006A71F6" w:rsidRDefault="00250A50">
          <w:pPr>
            <w:pStyle w:val="Header"/>
          </w:pPr>
          <w:r>
            <w:rPr>
              <w:noProof/>
            </w:rPr>
            <w:drawing>
              <wp:inline distT="0" distB="0" distL="0" distR="0" wp14:anchorId="69925F3D" wp14:editId="2F5CA078">
                <wp:extent cx="1097282" cy="277522"/>
                <wp:effectExtent l="0" t="0" r="0" b="0"/>
                <wp:docPr id="7" name="Picture 156989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43B5FC30" w14:textId="5F5BE79A" w:rsidR="00250A50" w:rsidRPr="007B09EC" w:rsidRDefault="00250A50">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720FAE" w:rsidRPr="00720FAE">
            <w:rPr>
              <w:b/>
              <w:noProof/>
            </w:rPr>
            <w:t>Business Energy Efficiency Rebates Impact Evaluation</w:t>
          </w:r>
          <w:r w:rsidR="00720FAE">
            <w:rPr>
              <w:bCs/>
              <w:noProof/>
            </w:rPr>
            <w:t xml:space="preserve"> Report</w:t>
          </w:r>
          <w:r>
            <w:rPr>
              <w:bCs/>
              <w:noProof/>
            </w:rPr>
            <w:fldChar w:fldCharType="end"/>
          </w:r>
        </w:p>
      </w:tc>
    </w:tr>
  </w:tbl>
  <w:p w14:paraId="7488A99C" w14:textId="77777777" w:rsidR="00250A50" w:rsidRPr="00E656A1" w:rsidRDefault="00250A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C23C97" w14:paraId="17B2D390" w14:textId="77777777">
      <w:trPr>
        <w:jc w:val="center"/>
      </w:trPr>
      <w:tc>
        <w:tcPr>
          <w:tcW w:w="1058" w:type="pct"/>
          <w:vAlign w:val="center"/>
        </w:tcPr>
        <w:p w14:paraId="54A942E2" w14:textId="77777777" w:rsidR="00250A50" w:rsidRPr="006A71F6" w:rsidRDefault="00250A50">
          <w:pPr>
            <w:pStyle w:val="Header"/>
          </w:pPr>
          <w:r>
            <w:rPr>
              <w:noProof/>
            </w:rPr>
            <w:drawing>
              <wp:inline distT="0" distB="0" distL="0" distR="0" wp14:anchorId="0F84F85C" wp14:editId="7B388FF3">
                <wp:extent cx="1097282" cy="277522"/>
                <wp:effectExtent l="0" t="0" r="0" b="0"/>
                <wp:docPr id="9" name="Picture 2066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7C77B6F5" w14:textId="75D1A30E" w:rsidR="00250A50" w:rsidRPr="007B09EC" w:rsidRDefault="00250A50">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720FAE" w:rsidRPr="00720FAE">
            <w:rPr>
              <w:b/>
              <w:noProof/>
            </w:rPr>
            <w:t>Business Energy Efficiency Rebates Impact Evaluation</w:t>
          </w:r>
          <w:r w:rsidR="00720FAE">
            <w:rPr>
              <w:bCs/>
              <w:noProof/>
            </w:rPr>
            <w:t xml:space="preserve"> Report</w:t>
          </w:r>
          <w:r>
            <w:rPr>
              <w:bCs/>
              <w:noProof/>
            </w:rPr>
            <w:fldChar w:fldCharType="end"/>
          </w:r>
        </w:p>
      </w:tc>
    </w:tr>
  </w:tbl>
  <w:p w14:paraId="426AE6D9" w14:textId="77777777" w:rsidR="00250A50" w:rsidRPr="00E656A1" w:rsidRDefault="002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7B980FB8"/>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2250" w:firstLine="0"/>
      </w:pPr>
      <w:rPr>
        <w:specVanish w:val="0"/>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965FBA"/>
    <w:multiLevelType w:val="hybridMultilevel"/>
    <w:tmpl w:val="789C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0C51156"/>
    <w:multiLevelType w:val="hybridMultilevel"/>
    <w:tmpl w:val="6EC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AA26C2B"/>
    <w:multiLevelType w:val="hybridMultilevel"/>
    <w:tmpl w:val="F1BA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3"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28109D"/>
    <w:multiLevelType w:val="hybridMultilevel"/>
    <w:tmpl w:val="2134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C7962A3"/>
    <w:multiLevelType w:val="hybridMultilevel"/>
    <w:tmpl w:val="9E4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3" w15:restartNumberingAfterBreak="0">
    <w:nsid w:val="673E7281"/>
    <w:multiLevelType w:val="hybridMultilevel"/>
    <w:tmpl w:val="2E3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7" w15:restartNumberingAfterBreak="0">
    <w:nsid w:val="75CA223B"/>
    <w:multiLevelType w:val="hybridMultilevel"/>
    <w:tmpl w:val="603A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61"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62"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5"/>
  </w:num>
  <w:num w:numId="2" w16cid:durableId="803624762">
    <w:abstractNumId w:val="12"/>
  </w:num>
  <w:num w:numId="3" w16cid:durableId="9726398">
    <w:abstractNumId w:val="16"/>
  </w:num>
  <w:num w:numId="4" w16cid:durableId="646207924">
    <w:abstractNumId w:val="51"/>
  </w:num>
  <w:num w:numId="5" w16cid:durableId="1778678908">
    <w:abstractNumId w:val="47"/>
  </w:num>
  <w:num w:numId="6" w16cid:durableId="129179713">
    <w:abstractNumId w:val="13"/>
  </w:num>
  <w:num w:numId="7" w16cid:durableId="1735278040">
    <w:abstractNumId w:val="42"/>
  </w:num>
  <w:num w:numId="8" w16cid:durableId="391200273">
    <w:abstractNumId w:val="32"/>
  </w:num>
  <w:num w:numId="9" w16cid:durableId="1815029820">
    <w:abstractNumId w:val="58"/>
  </w:num>
  <w:num w:numId="10" w16cid:durableId="1595625335">
    <w:abstractNumId w:val="54"/>
  </w:num>
  <w:num w:numId="11" w16cid:durableId="207108751">
    <w:abstractNumId w:val="61"/>
  </w:num>
  <w:num w:numId="12" w16cid:durableId="1519387041">
    <w:abstractNumId w:val="23"/>
  </w:num>
  <w:num w:numId="13" w16cid:durableId="941915311">
    <w:abstractNumId w:val="41"/>
  </w:num>
  <w:num w:numId="14" w16cid:durableId="2093163222">
    <w:abstractNumId w:val="56"/>
  </w:num>
  <w:num w:numId="15" w16cid:durableId="954873979">
    <w:abstractNumId w:val="52"/>
  </w:num>
  <w:num w:numId="16" w16cid:durableId="366292854">
    <w:abstractNumId w:val="60"/>
  </w:num>
  <w:num w:numId="17" w16cid:durableId="819809129">
    <w:abstractNumId w:val="10"/>
  </w:num>
  <w:num w:numId="18" w16cid:durableId="1235244614">
    <w:abstractNumId w:val="22"/>
  </w:num>
  <w:num w:numId="19" w16cid:durableId="1904296771">
    <w:abstractNumId w:val="62"/>
  </w:num>
  <w:num w:numId="20" w16cid:durableId="590821376">
    <w:abstractNumId w:val="18"/>
  </w:num>
  <w:num w:numId="21" w16cid:durableId="199242883">
    <w:abstractNumId w:val="48"/>
  </w:num>
  <w:num w:numId="22" w16cid:durableId="1032724391">
    <w:abstractNumId w:val="28"/>
  </w:num>
  <w:num w:numId="23" w16cid:durableId="118230274">
    <w:abstractNumId w:val="24"/>
  </w:num>
  <w:num w:numId="24" w16cid:durableId="626737538">
    <w:abstractNumId w:val="40"/>
  </w:num>
  <w:num w:numId="25" w16cid:durableId="1773158570">
    <w:abstractNumId w:val="20"/>
  </w:num>
  <w:num w:numId="26" w16cid:durableId="2068843606">
    <w:abstractNumId w:val="50"/>
  </w:num>
  <w:num w:numId="27" w16cid:durableId="1748187011">
    <w:abstractNumId w:val="29"/>
  </w:num>
  <w:num w:numId="28" w16cid:durableId="1842699578">
    <w:abstractNumId w:val="25"/>
  </w:num>
  <w:num w:numId="29" w16cid:durableId="1222788141">
    <w:abstractNumId w:val="33"/>
  </w:num>
  <w:num w:numId="30" w16cid:durableId="786697576">
    <w:abstractNumId w:val="46"/>
  </w:num>
  <w:num w:numId="31" w16cid:durableId="201064580">
    <w:abstractNumId w:val="38"/>
  </w:num>
  <w:num w:numId="32" w16cid:durableId="1767001644">
    <w:abstractNumId w:val="43"/>
  </w:num>
  <w:num w:numId="33" w16cid:durableId="701176498">
    <w:abstractNumId w:val="59"/>
  </w:num>
  <w:num w:numId="34" w16cid:durableId="1728335976">
    <w:abstractNumId w:val="34"/>
  </w:num>
  <w:num w:numId="35" w16cid:durableId="1518813320">
    <w:abstractNumId w:val="55"/>
  </w:num>
  <w:num w:numId="36" w16cid:durableId="1562211509">
    <w:abstractNumId w:val="30"/>
  </w:num>
  <w:num w:numId="37" w16cid:durableId="660625367">
    <w:abstractNumId w:val="35"/>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7"/>
  </w:num>
  <w:num w:numId="49" w16cid:durableId="1842045997">
    <w:abstractNumId w:val="37"/>
  </w:num>
  <w:num w:numId="50" w16cid:durableId="1822113845">
    <w:abstractNumId w:val="36"/>
  </w:num>
  <w:num w:numId="51" w16cid:durableId="1714428968">
    <w:abstractNumId w:val="14"/>
  </w:num>
  <w:num w:numId="52" w16cid:durableId="1948195692">
    <w:abstractNumId w:val="15"/>
  </w:num>
  <w:num w:numId="53" w16cid:durableId="665671986">
    <w:abstractNumId w:val="31"/>
  </w:num>
  <w:num w:numId="54" w16cid:durableId="231279709">
    <w:abstractNumId w:val="44"/>
  </w:num>
  <w:num w:numId="55" w16cid:durableId="2035227353">
    <w:abstractNumId w:val="26"/>
  </w:num>
  <w:num w:numId="56" w16cid:durableId="815026076">
    <w:abstractNumId w:val="11"/>
  </w:num>
  <w:num w:numId="57" w16cid:durableId="1465924484">
    <w:abstractNumId w:val="57"/>
  </w:num>
  <w:num w:numId="58" w16cid:durableId="68969990">
    <w:abstractNumId w:val="39"/>
  </w:num>
  <w:num w:numId="59" w16cid:durableId="1814133286">
    <w:abstractNumId w:val="49"/>
  </w:num>
  <w:num w:numId="60" w16cid:durableId="55519316">
    <w:abstractNumId w:val="17"/>
  </w:num>
  <w:num w:numId="61" w16cid:durableId="1315794798">
    <w:abstractNumId w:val="19"/>
  </w:num>
  <w:num w:numId="62" w16cid:durableId="1886527272">
    <w:abstractNumId w:val="53"/>
  </w:num>
  <w:num w:numId="63" w16cid:durableId="1842112392">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73"/>
    <w:rsid w:val="000005D7"/>
    <w:rsid w:val="000015D4"/>
    <w:rsid w:val="0000182C"/>
    <w:rsid w:val="000041F0"/>
    <w:rsid w:val="000051E6"/>
    <w:rsid w:val="00021E00"/>
    <w:rsid w:val="000249FD"/>
    <w:rsid w:val="00024E75"/>
    <w:rsid w:val="0002763E"/>
    <w:rsid w:val="000335D8"/>
    <w:rsid w:val="00036A09"/>
    <w:rsid w:val="00036A29"/>
    <w:rsid w:val="00040923"/>
    <w:rsid w:val="000427CF"/>
    <w:rsid w:val="00043A27"/>
    <w:rsid w:val="00047DBB"/>
    <w:rsid w:val="00057ECF"/>
    <w:rsid w:val="00064780"/>
    <w:rsid w:val="00070C08"/>
    <w:rsid w:val="0007428B"/>
    <w:rsid w:val="0007687C"/>
    <w:rsid w:val="00086479"/>
    <w:rsid w:val="000900C0"/>
    <w:rsid w:val="000A0E56"/>
    <w:rsid w:val="000A3D6D"/>
    <w:rsid w:val="000A5B02"/>
    <w:rsid w:val="000A75F1"/>
    <w:rsid w:val="000B3A15"/>
    <w:rsid w:val="000B696E"/>
    <w:rsid w:val="000C2B30"/>
    <w:rsid w:val="000C55E1"/>
    <w:rsid w:val="000C5E5F"/>
    <w:rsid w:val="000D3611"/>
    <w:rsid w:val="000D627F"/>
    <w:rsid w:val="000E1DF5"/>
    <w:rsid w:val="000E446C"/>
    <w:rsid w:val="000E5769"/>
    <w:rsid w:val="000E60ED"/>
    <w:rsid w:val="000F1ED2"/>
    <w:rsid w:val="000F3225"/>
    <w:rsid w:val="000F4A95"/>
    <w:rsid w:val="000F78B5"/>
    <w:rsid w:val="0010550C"/>
    <w:rsid w:val="00105E67"/>
    <w:rsid w:val="00107AFD"/>
    <w:rsid w:val="001111E2"/>
    <w:rsid w:val="00111828"/>
    <w:rsid w:val="001128D5"/>
    <w:rsid w:val="00113013"/>
    <w:rsid w:val="00116638"/>
    <w:rsid w:val="00124370"/>
    <w:rsid w:val="00124A08"/>
    <w:rsid w:val="00125E03"/>
    <w:rsid w:val="00127C68"/>
    <w:rsid w:val="00133F05"/>
    <w:rsid w:val="0013435C"/>
    <w:rsid w:val="001345E5"/>
    <w:rsid w:val="00134F25"/>
    <w:rsid w:val="00137B92"/>
    <w:rsid w:val="00140A07"/>
    <w:rsid w:val="00141975"/>
    <w:rsid w:val="00150CB8"/>
    <w:rsid w:val="00151B34"/>
    <w:rsid w:val="00151E88"/>
    <w:rsid w:val="00166DE0"/>
    <w:rsid w:val="001724A8"/>
    <w:rsid w:val="001763EF"/>
    <w:rsid w:val="00177D9B"/>
    <w:rsid w:val="00182A72"/>
    <w:rsid w:val="00184540"/>
    <w:rsid w:val="00186214"/>
    <w:rsid w:val="00187AA6"/>
    <w:rsid w:val="001927EB"/>
    <w:rsid w:val="001A286D"/>
    <w:rsid w:val="001A45B6"/>
    <w:rsid w:val="001B0D59"/>
    <w:rsid w:val="001B0F38"/>
    <w:rsid w:val="001B59EC"/>
    <w:rsid w:val="001B68F1"/>
    <w:rsid w:val="001C0F12"/>
    <w:rsid w:val="001C312C"/>
    <w:rsid w:val="001D1C58"/>
    <w:rsid w:val="001E39A4"/>
    <w:rsid w:val="001E3FB4"/>
    <w:rsid w:val="001E5DF0"/>
    <w:rsid w:val="001E7AD0"/>
    <w:rsid w:val="001F15DE"/>
    <w:rsid w:val="001F2163"/>
    <w:rsid w:val="001F311D"/>
    <w:rsid w:val="001F4D00"/>
    <w:rsid w:val="001F72AF"/>
    <w:rsid w:val="0020115E"/>
    <w:rsid w:val="00211F38"/>
    <w:rsid w:val="00212118"/>
    <w:rsid w:val="00212B60"/>
    <w:rsid w:val="00216707"/>
    <w:rsid w:val="0021732D"/>
    <w:rsid w:val="00220611"/>
    <w:rsid w:val="00223D0A"/>
    <w:rsid w:val="0023037E"/>
    <w:rsid w:val="00231C55"/>
    <w:rsid w:val="00234A14"/>
    <w:rsid w:val="00236A45"/>
    <w:rsid w:val="00236C78"/>
    <w:rsid w:val="00236DCC"/>
    <w:rsid w:val="00250A50"/>
    <w:rsid w:val="00252C7F"/>
    <w:rsid w:val="0025336B"/>
    <w:rsid w:val="0026516D"/>
    <w:rsid w:val="002664B8"/>
    <w:rsid w:val="002676A0"/>
    <w:rsid w:val="00280681"/>
    <w:rsid w:val="002832A7"/>
    <w:rsid w:val="0028377C"/>
    <w:rsid w:val="00286880"/>
    <w:rsid w:val="0028707B"/>
    <w:rsid w:val="00290146"/>
    <w:rsid w:val="00290285"/>
    <w:rsid w:val="00292E94"/>
    <w:rsid w:val="00294302"/>
    <w:rsid w:val="00297F53"/>
    <w:rsid w:val="002A3A8F"/>
    <w:rsid w:val="002A511B"/>
    <w:rsid w:val="002A5D27"/>
    <w:rsid w:val="002A6A00"/>
    <w:rsid w:val="002C180F"/>
    <w:rsid w:val="002C46A4"/>
    <w:rsid w:val="002C4775"/>
    <w:rsid w:val="002C6AC1"/>
    <w:rsid w:val="002C71AF"/>
    <w:rsid w:val="002D060B"/>
    <w:rsid w:val="002D3559"/>
    <w:rsid w:val="002E23F0"/>
    <w:rsid w:val="002E347E"/>
    <w:rsid w:val="002E5632"/>
    <w:rsid w:val="002E5809"/>
    <w:rsid w:val="002E63B5"/>
    <w:rsid w:val="002F016E"/>
    <w:rsid w:val="002F23FE"/>
    <w:rsid w:val="002F5E02"/>
    <w:rsid w:val="00300CB1"/>
    <w:rsid w:val="00301095"/>
    <w:rsid w:val="00301474"/>
    <w:rsid w:val="00303F69"/>
    <w:rsid w:val="0031420A"/>
    <w:rsid w:val="00314A3D"/>
    <w:rsid w:val="00315C3D"/>
    <w:rsid w:val="00316E5C"/>
    <w:rsid w:val="00316F64"/>
    <w:rsid w:val="00320533"/>
    <w:rsid w:val="00321FAC"/>
    <w:rsid w:val="00324B86"/>
    <w:rsid w:val="00332CC6"/>
    <w:rsid w:val="00332E54"/>
    <w:rsid w:val="00335B2B"/>
    <w:rsid w:val="003377DE"/>
    <w:rsid w:val="00340501"/>
    <w:rsid w:val="00340B89"/>
    <w:rsid w:val="003417E9"/>
    <w:rsid w:val="00351A20"/>
    <w:rsid w:val="00356A26"/>
    <w:rsid w:val="00360058"/>
    <w:rsid w:val="00361BF2"/>
    <w:rsid w:val="003719BB"/>
    <w:rsid w:val="00372103"/>
    <w:rsid w:val="00375042"/>
    <w:rsid w:val="00376C9F"/>
    <w:rsid w:val="00380FA9"/>
    <w:rsid w:val="0038296E"/>
    <w:rsid w:val="00383A8C"/>
    <w:rsid w:val="0038709C"/>
    <w:rsid w:val="00387C7E"/>
    <w:rsid w:val="003A046C"/>
    <w:rsid w:val="003A1298"/>
    <w:rsid w:val="003A74D5"/>
    <w:rsid w:val="003A7B25"/>
    <w:rsid w:val="003B012D"/>
    <w:rsid w:val="003B13E0"/>
    <w:rsid w:val="003B4830"/>
    <w:rsid w:val="003C503D"/>
    <w:rsid w:val="003C56B7"/>
    <w:rsid w:val="003C5844"/>
    <w:rsid w:val="003C6241"/>
    <w:rsid w:val="003C6BD3"/>
    <w:rsid w:val="003D6CEA"/>
    <w:rsid w:val="003D7744"/>
    <w:rsid w:val="003E3E3B"/>
    <w:rsid w:val="003E463A"/>
    <w:rsid w:val="003E655D"/>
    <w:rsid w:val="003E6FF0"/>
    <w:rsid w:val="003F11BC"/>
    <w:rsid w:val="003F2887"/>
    <w:rsid w:val="003F2AFB"/>
    <w:rsid w:val="003F408D"/>
    <w:rsid w:val="00400B60"/>
    <w:rsid w:val="00405C21"/>
    <w:rsid w:val="004178DD"/>
    <w:rsid w:val="004206C7"/>
    <w:rsid w:val="004208EF"/>
    <w:rsid w:val="00420F9A"/>
    <w:rsid w:val="00423173"/>
    <w:rsid w:val="00426593"/>
    <w:rsid w:val="00427C99"/>
    <w:rsid w:val="004322FF"/>
    <w:rsid w:val="00442D98"/>
    <w:rsid w:val="00444DD1"/>
    <w:rsid w:val="004464D6"/>
    <w:rsid w:val="00447BDC"/>
    <w:rsid w:val="00447E23"/>
    <w:rsid w:val="00455437"/>
    <w:rsid w:val="00457E49"/>
    <w:rsid w:val="004600C6"/>
    <w:rsid w:val="00462546"/>
    <w:rsid w:val="00465D05"/>
    <w:rsid w:val="00471863"/>
    <w:rsid w:val="004733EA"/>
    <w:rsid w:val="00473BA0"/>
    <w:rsid w:val="00486814"/>
    <w:rsid w:val="00486CBC"/>
    <w:rsid w:val="00491F4A"/>
    <w:rsid w:val="004925F6"/>
    <w:rsid w:val="00497940"/>
    <w:rsid w:val="004A3C47"/>
    <w:rsid w:val="004A3C4D"/>
    <w:rsid w:val="004A590B"/>
    <w:rsid w:val="004A62B2"/>
    <w:rsid w:val="004A6513"/>
    <w:rsid w:val="004A692B"/>
    <w:rsid w:val="004A6C2A"/>
    <w:rsid w:val="004B1E31"/>
    <w:rsid w:val="004B6FF2"/>
    <w:rsid w:val="004C1D84"/>
    <w:rsid w:val="004C3CC9"/>
    <w:rsid w:val="004C4190"/>
    <w:rsid w:val="004C437B"/>
    <w:rsid w:val="004C5D73"/>
    <w:rsid w:val="004C67B4"/>
    <w:rsid w:val="004D69AE"/>
    <w:rsid w:val="004E097A"/>
    <w:rsid w:val="004E5038"/>
    <w:rsid w:val="004F0666"/>
    <w:rsid w:val="004F1FD9"/>
    <w:rsid w:val="004F649C"/>
    <w:rsid w:val="004F6802"/>
    <w:rsid w:val="00500CA1"/>
    <w:rsid w:val="00505304"/>
    <w:rsid w:val="00505AB3"/>
    <w:rsid w:val="00507337"/>
    <w:rsid w:val="00507343"/>
    <w:rsid w:val="0051176C"/>
    <w:rsid w:val="0051242B"/>
    <w:rsid w:val="00513A58"/>
    <w:rsid w:val="0052127A"/>
    <w:rsid w:val="0052152B"/>
    <w:rsid w:val="00521A79"/>
    <w:rsid w:val="00522790"/>
    <w:rsid w:val="0052586B"/>
    <w:rsid w:val="0052646C"/>
    <w:rsid w:val="00526D7D"/>
    <w:rsid w:val="005312C8"/>
    <w:rsid w:val="00531A1E"/>
    <w:rsid w:val="00532554"/>
    <w:rsid w:val="00532C4E"/>
    <w:rsid w:val="00534952"/>
    <w:rsid w:val="005375F9"/>
    <w:rsid w:val="00537972"/>
    <w:rsid w:val="00540AB7"/>
    <w:rsid w:val="00543D92"/>
    <w:rsid w:val="00547D61"/>
    <w:rsid w:val="00553E40"/>
    <w:rsid w:val="00555E2B"/>
    <w:rsid w:val="00557D0F"/>
    <w:rsid w:val="00560B4B"/>
    <w:rsid w:val="00566DBD"/>
    <w:rsid w:val="00570176"/>
    <w:rsid w:val="005716F7"/>
    <w:rsid w:val="0057203A"/>
    <w:rsid w:val="00572A5A"/>
    <w:rsid w:val="00572DE4"/>
    <w:rsid w:val="005734A9"/>
    <w:rsid w:val="005764B3"/>
    <w:rsid w:val="005806E4"/>
    <w:rsid w:val="0058591F"/>
    <w:rsid w:val="00585F28"/>
    <w:rsid w:val="00592E88"/>
    <w:rsid w:val="005A63F2"/>
    <w:rsid w:val="005A7AF0"/>
    <w:rsid w:val="005B0394"/>
    <w:rsid w:val="005B170C"/>
    <w:rsid w:val="005B2249"/>
    <w:rsid w:val="005B3CE6"/>
    <w:rsid w:val="005B54C7"/>
    <w:rsid w:val="005B7C19"/>
    <w:rsid w:val="005C14AB"/>
    <w:rsid w:val="005C2077"/>
    <w:rsid w:val="005C2DAC"/>
    <w:rsid w:val="005C3CD5"/>
    <w:rsid w:val="005C4CBA"/>
    <w:rsid w:val="005C4F98"/>
    <w:rsid w:val="005C766A"/>
    <w:rsid w:val="005D15E1"/>
    <w:rsid w:val="005D3268"/>
    <w:rsid w:val="005D4FA6"/>
    <w:rsid w:val="005D605F"/>
    <w:rsid w:val="005D7755"/>
    <w:rsid w:val="005E1114"/>
    <w:rsid w:val="005E33E1"/>
    <w:rsid w:val="005E3E42"/>
    <w:rsid w:val="005E4D17"/>
    <w:rsid w:val="005E5AF8"/>
    <w:rsid w:val="005E7D6E"/>
    <w:rsid w:val="005F177C"/>
    <w:rsid w:val="005F3B64"/>
    <w:rsid w:val="005F4DB9"/>
    <w:rsid w:val="00600BE8"/>
    <w:rsid w:val="00600DD8"/>
    <w:rsid w:val="00606819"/>
    <w:rsid w:val="00613D31"/>
    <w:rsid w:val="00614084"/>
    <w:rsid w:val="00616CEB"/>
    <w:rsid w:val="00620A80"/>
    <w:rsid w:val="00624BD6"/>
    <w:rsid w:val="006303D3"/>
    <w:rsid w:val="006309C7"/>
    <w:rsid w:val="0063118E"/>
    <w:rsid w:val="0063309E"/>
    <w:rsid w:val="0063567F"/>
    <w:rsid w:val="0063768F"/>
    <w:rsid w:val="00640990"/>
    <w:rsid w:val="0064261E"/>
    <w:rsid w:val="006525E7"/>
    <w:rsid w:val="00654B58"/>
    <w:rsid w:val="006560AA"/>
    <w:rsid w:val="00657C9D"/>
    <w:rsid w:val="00657DD0"/>
    <w:rsid w:val="006654B1"/>
    <w:rsid w:val="006704EB"/>
    <w:rsid w:val="0067097D"/>
    <w:rsid w:val="00670D35"/>
    <w:rsid w:val="00671B73"/>
    <w:rsid w:val="0067220E"/>
    <w:rsid w:val="00673C26"/>
    <w:rsid w:val="00674B47"/>
    <w:rsid w:val="00680F4E"/>
    <w:rsid w:val="00682F00"/>
    <w:rsid w:val="00684205"/>
    <w:rsid w:val="00693CA4"/>
    <w:rsid w:val="00695341"/>
    <w:rsid w:val="006A515A"/>
    <w:rsid w:val="006A54F3"/>
    <w:rsid w:val="006A5859"/>
    <w:rsid w:val="006B12C7"/>
    <w:rsid w:val="006B2996"/>
    <w:rsid w:val="006B6ADA"/>
    <w:rsid w:val="006C19D9"/>
    <w:rsid w:val="006C5DB8"/>
    <w:rsid w:val="006D2AA3"/>
    <w:rsid w:val="006D4FB8"/>
    <w:rsid w:val="006E1CA7"/>
    <w:rsid w:val="006E2017"/>
    <w:rsid w:val="006E5ED9"/>
    <w:rsid w:val="006E65A3"/>
    <w:rsid w:val="006E7A23"/>
    <w:rsid w:val="006F15D0"/>
    <w:rsid w:val="00700DBA"/>
    <w:rsid w:val="00702F96"/>
    <w:rsid w:val="007113DA"/>
    <w:rsid w:val="007165EF"/>
    <w:rsid w:val="00720CF3"/>
    <w:rsid w:val="00720FAE"/>
    <w:rsid w:val="007236AC"/>
    <w:rsid w:val="0072501A"/>
    <w:rsid w:val="007256A6"/>
    <w:rsid w:val="0073050D"/>
    <w:rsid w:val="00732AF5"/>
    <w:rsid w:val="0073569C"/>
    <w:rsid w:val="00736991"/>
    <w:rsid w:val="00736B4D"/>
    <w:rsid w:val="0074001A"/>
    <w:rsid w:val="007407E3"/>
    <w:rsid w:val="00740B5A"/>
    <w:rsid w:val="007431A3"/>
    <w:rsid w:val="00743C97"/>
    <w:rsid w:val="0074406E"/>
    <w:rsid w:val="00746477"/>
    <w:rsid w:val="007555AD"/>
    <w:rsid w:val="007556E7"/>
    <w:rsid w:val="007605E8"/>
    <w:rsid w:val="00761F97"/>
    <w:rsid w:val="00763584"/>
    <w:rsid w:val="00764650"/>
    <w:rsid w:val="0076763C"/>
    <w:rsid w:val="0077011C"/>
    <w:rsid w:val="00772B08"/>
    <w:rsid w:val="0077318E"/>
    <w:rsid w:val="00773EC0"/>
    <w:rsid w:val="007751A6"/>
    <w:rsid w:val="00776116"/>
    <w:rsid w:val="007872EC"/>
    <w:rsid w:val="00787CC3"/>
    <w:rsid w:val="007906E4"/>
    <w:rsid w:val="00791CC8"/>
    <w:rsid w:val="00795756"/>
    <w:rsid w:val="00797F1F"/>
    <w:rsid w:val="007B1A6F"/>
    <w:rsid w:val="007B409F"/>
    <w:rsid w:val="007B6692"/>
    <w:rsid w:val="007C05BA"/>
    <w:rsid w:val="007C3B24"/>
    <w:rsid w:val="007C5D1B"/>
    <w:rsid w:val="007C7DF9"/>
    <w:rsid w:val="007D002B"/>
    <w:rsid w:val="007D01F9"/>
    <w:rsid w:val="007D03F5"/>
    <w:rsid w:val="007D3CE0"/>
    <w:rsid w:val="007D4232"/>
    <w:rsid w:val="007D7225"/>
    <w:rsid w:val="007E15A1"/>
    <w:rsid w:val="007E2FEA"/>
    <w:rsid w:val="007E6CD9"/>
    <w:rsid w:val="007F13DB"/>
    <w:rsid w:val="007F2155"/>
    <w:rsid w:val="007F387B"/>
    <w:rsid w:val="007F3E3B"/>
    <w:rsid w:val="007F6791"/>
    <w:rsid w:val="007F7488"/>
    <w:rsid w:val="008011C0"/>
    <w:rsid w:val="008042A4"/>
    <w:rsid w:val="008059F8"/>
    <w:rsid w:val="00811EE6"/>
    <w:rsid w:val="00812FB6"/>
    <w:rsid w:val="008137D2"/>
    <w:rsid w:val="00814F75"/>
    <w:rsid w:val="008164F1"/>
    <w:rsid w:val="00817D99"/>
    <w:rsid w:val="00820153"/>
    <w:rsid w:val="00821322"/>
    <w:rsid w:val="0082187A"/>
    <w:rsid w:val="00823153"/>
    <w:rsid w:val="00823490"/>
    <w:rsid w:val="008304B2"/>
    <w:rsid w:val="00833469"/>
    <w:rsid w:val="00833940"/>
    <w:rsid w:val="00836EBA"/>
    <w:rsid w:val="00843003"/>
    <w:rsid w:val="00846F48"/>
    <w:rsid w:val="0085090A"/>
    <w:rsid w:val="00850C8D"/>
    <w:rsid w:val="008539D2"/>
    <w:rsid w:val="0085520A"/>
    <w:rsid w:val="00856207"/>
    <w:rsid w:val="00856276"/>
    <w:rsid w:val="0086042D"/>
    <w:rsid w:val="00860AD5"/>
    <w:rsid w:val="008622AE"/>
    <w:rsid w:val="00866F2C"/>
    <w:rsid w:val="008675E0"/>
    <w:rsid w:val="00870127"/>
    <w:rsid w:val="00874C60"/>
    <w:rsid w:val="00876C46"/>
    <w:rsid w:val="00880F0A"/>
    <w:rsid w:val="00883732"/>
    <w:rsid w:val="00887EB7"/>
    <w:rsid w:val="00890467"/>
    <w:rsid w:val="008908A9"/>
    <w:rsid w:val="00896C8A"/>
    <w:rsid w:val="008A2A37"/>
    <w:rsid w:val="008A2E7E"/>
    <w:rsid w:val="008A573E"/>
    <w:rsid w:val="008B4D8B"/>
    <w:rsid w:val="008B5F2B"/>
    <w:rsid w:val="008B65D8"/>
    <w:rsid w:val="008C0C3C"/>
    <w:rsid w:val="008C160A"/>
    <w:rsid w:val="008C19B1"/>
    <w:rsid w:val="008C46F0"/>
    <w:rsid w:val="008C49A7"/>
    <w:rsid w:val="008C6889"/>
    <w:rsid w:val="008C7B22"/>
    <w:rsid w:val="008D1074"/>
    <w:rsid w:val="008E3E32"/>
    <w:rsid w:val="008E5A4B"/>
    <w:rsid w:val="008E5BB2"/>
    <w:rsid w:val="008E63BE"/>
    <w:rsid w:val="008F1976"/>
    <w:rsid w:val="008F4456"/>
    <w:rsid w:val="008F6122"/>
    <w:rsid w:val="008F6892"/>
    <w:rsid w:val="00902BAA"/>
    <w:rsid w:val="009066F9"/>
    <w:rsid w:val="00911480"/>
    <w:rsid w:val="009118F9"/>
    <w:rsid w:val="00911FB0"/>
    <w:rsid w:val="00923663"/>
    <w:rsid w:val="009246B9"/>
    <w:rsid w:val="009259D0"/>
    <w:rsid w:val="009269C2"/>
    <w:rsid w:val="00926E0E"/>
    <w:rsid w:val="0092796E"/>
    <w:rsid w:val="009341C9"/>
    <w:rsid w:val="00934E0C"/>
    <w:rsid w:val="009351F2"/>
    <w:rsid w:val="009449E1"/>
    <w:rsid w:val="00945326"/>
    <w:rsid w:val="00946611"/>
    <w:rsid w:val="00952231"/>
    <w:rsid w:val="009527A1"/>
    <w:rsid w:val="00954E15"/>
    <w:rsid w:val="009574F3"/>
    <w:rsid w:val="009612C3"/>
    <w:rsid w:val="00963172"/>
    <w:rsid w:val="00970A61"/>
    <w:rsid w:val="00971B6C"/>
    <w:rsid w:val="00976646"/>
    <w:rsid w:val="00981AAF"/>
    <w:rsid w:val="00985A40"/>
    <w:rsid w:val="00986D04"/>
    <w:rsid w:val="00990F76"/>
    <w:rsid w:val="0099144F"/>
    <w:rsid w:val="00992589"/>
    <w:rsid w:val="0099450A"/>
    <w:rsid w:val="00997FD4"/>
    <w:rsid w:val="009A0900"/>
    <w:rsid w:val="009A2C8F"/>
    <w:rsid w:val="009A3BE6"/>
    <w:rsid w:val="009A461E"/>
    <w:rsid w:val="009B04CE"/>
    <w:rsid w:val="009B1284"/>
    <w:rsid w:val="009B2F9F"/>
    <w:rsid w:val="009B6F71"/>
    <w:rsid w:val="009C384D"/>
    <w:rsid w:val="009D1C79"/>
    <w:rsid w:val="009D6F0D"/>
    <w:rsid w:val="009E166E"/>
    <w:rsid w:val="009F0E86"/>
    <w:rsid w:val="009F2A9C"/>
    <w:rsid w:val="009F4232"/>
    <w:rsid w:val="009F4E6E"/>
    <w:rsid w:val="009F5B40"/>
    <w:rsid w:val="00A03059"/>
    <w:rsid w:val="00A03275"/>
    <w:rsid w:val="00A04A49"/>
    <w:rsid w:val="00A14075"/>
    <w:rsid w:val="00A1482A"/>
    <w:rsid w:val="00A16F9D"/>
    <w:rsid w:val="00A212AC"/>
    <w:rsid w:val="00A222F4"/>
    <w:rsid w:val="00A23144"/>
    <w:rsid w:val="00A23289"/>
    <w:rsid w:val="00A300A0"/>
    <w:rsid w:val="00A30414"/>
    <w:rsid w:val="00A30F2F"/>
    <w:rsid w:val="00A31969"/>
    <w:rsid w:val="00A372F0"/>
    <w:rsid w:val="00A40B5A"/>
    <w:rsid w:val="00A43FE5"/>
    <w:rsid w:val="00A44CCC"/>
    <w:rsid w:val="00A456FB"/>
    <w:rsid w:val="00A46C15"/>
    <w:rsid w:val="00A5213A"/>
    <w:rsid w:val="00A55568"/>
    <w:rsid w:val="00A559BA"/>
    <w:rsid w:val="00A56EA1"/>
    <w:rsid w:val="00A56F73"/>
    <w:rsid w:val="00A56FF3"/>
    <w:rsid w:val="00A622FE"/>
    <w:rsid w:val="00A65CAB"/>
    <w:rsid w:val="00A7316E"/>
    <w:rsid w:val="00A7411D"/>
    <w:rsid w:val="00A76892"/>
    <w:rsid w:val="00A76B54"/>
    <w:rsid w:val="00A83BCE"/>
    <w:rsid w:val="00A86DB8"/>
    <w:rsid w:val="00A975B3"/>
    <w:rsid w:val="00AA515C"/>
    <w:rsid w:val="00AB17FF"/>
    <w:rsid w:val="00AB4B42"/>
    <w:rsid w:val="00AC0C09"/>
    <w:rsid w:val="00AC20FE"/>
    <w:rsid w:val="00AC6224"/>
    <w:rsid w:val="00AC7706"/>
    <w:rsid w:val="00AD210E"/>
    <w:rsid w:val="00AE210D"/>
    <w:rsid w:val="00AE2D34"/>
    <w:rsid w:val="00AE3BB7"/>
    <w:rsid w:val="00AE4AAF"/>
    <w:rsid w:val="00AF3875"/>
    <w:rsid w:val="00AF4274"/>
    <w:rsid w:val="00AF4BC0"/>
    <w:rsid w:val="00B00E4D"/>
    <w:rsid w:val="00B01CFC"/>
    <w:rsid w:val="00B06446"/>
    <w:rsid w:val="00B1004F"/>
    <w:rsid w:val="00B13D3F"/>
    <w:rsid w:val="00B13DD9"/>
    <w:rsid w:val="00B153F4"/>
    <w:rsid w:val="00B15423"/>
    <w:rsid w:val="00B2383E"/>
    <w:rsid w:val="00B253CC"/>
    <w:rsid w:val="00B27066"/>
    <w:rsid w:val="00B302C5"/>
    <w:rsid w:val="00B33A73"/>
    <w:rsid w:val="00B34792"/>
    <w:rsid w:val="00B34E74"/>
    <w:rsid w:val="00B37320"/>
    <w:rsid w:val="00B37F51"/>
    <w:rsid w:val="00B46C90"/>
    <w:rsid w:val="00B47161"/>
    <w:rsid w:val="00B47D36"/>
    <w:rsid w:val="00B664C3"/>
    <w:rsid w:val="00B734C5"/>
    <w:rsid w:val="00B73A3A"/>
    <w:rsid w:val="00B7526F"/>
    <w:rsid w:val="00B76C53"/>
    <w:rsid w:val="00B7755E"/>
    <w:rsid w:val="00B776AE"/>
    <w:rsid w:val="00B8075D"/>
    <w:rsid w:val="00B81F63"/>
    <w:rsid w:val="00B830CA"/>
    <w:rsid w:val="00B85C15"/>
    <w:rsid w:val="00B871FA"/>
    <w:rsid w:val="00B8762D"/>
    <w:rsid w:val="00B904A2"/>
    <w:rsid w:val="00B92578"/>
    <w:rsid w:val="00B95FBD"/>
    <w:rsid w:val="00B96253"/>
    <w:rsid w:val="00B9651F"/>
    <w:rsid w:val="00B97798"/>
    <w:rsid w:val="00BA0C05"/>
    <w:rsid w:val="00BA79B4"/>
    <w:rsid w:val="00BB06BF"/>
    <w:rsid w:val="00BB0B73"/>
    <w:rsid w:val="00BB1C6D"/>
    <w:rsid w:val="00BB2411"/>
    <w:rsid w:val="00BB26E8"/>
    <w:rsid w:val="00BB43F7"/>
    <w:rsid w:val="00BB4DEC"/>
    <w:rsid w:val="00BB4EA7"/>
    <w:rsid w:val="00BB7FA0"/>
    <w:rsid w:val="00BC2212"/>
    <w:rsid w:val="00BC2725"/>
    <w:rsid w:val="00BC4CD1"/>
    <w:rsid w:val="00BC4F9C"/>
    <w:rsid w:val="00BC5743"/>
    <w:rsid w:val="00BD055C"/>
    <w:rsid w:val="00BD1721"/>
    <w:rsid w:val="00BD270A"/>
    <w:rsid w:val="00BD5FC7"/>
    <w:rsid w:val="00BD7A56"/>
    <w:rsid w:val="00BE1814"/>
    <w:rsid w:val="00BE198B"/>
    <w:rsid w:val="00BE3EC3"/>
    <w:rsid w:val="00BE623F"/>
    <w:rsid w:val="00BE77A7"/>
    <w:rsid w:val="00BE78AE"/>
    <w:rsid w:val="00C00213"/>
    <w:rsid w:val="00C02282"/>
    <w:rsid w:val="00C02EC9"/>
    <w:rsid w:val="00C05022"/>
    <w:rsid w:val="00C13260"/>
    <w:rsid w:val="00C23C97"/>
    <w:rsid w:val="00C24457"/>
    <w:rsid w:val="00C24712"/>
    <w:rsid w:val="00C25CF0"/>
    <w:rsid w:val="00C2752E"/>
    <w:rsid w:val="00C27FCA"/>
    <w:rsid w:val="00C329EB"/>
    <w:rsid w:val="00C33F92"/>
    <w:rsid w:val="00C3412F"/>
    <w:rsid w:val="00C346BA"/>
    <w:rsid w:val="00C34CED"/>
    <w:rsid w:val="00C36004"/>
    <w:rsid w:val="00C472D1"/>
    <w:rsid w:val="00C5033B"/>
    <w:rsid w:val="00C543B1"/>
    <w:rsid w:val="00C577F4"/>
    <w:rsid w:val="00C60B7C"/>
    <w:rsid w:val="00C62933"/>
    <w:rsid w:val="00C635EC"/>
    <w:rsid w:val="00C63C77"/>
    <w:rsid w:val="00C72BA0"/>
    <w:rsid w:val="00C73EBC"/>
    <w:rsid w:val="00C7449D"/>
    <w:rsid w:val="00C76168"/>
    <w:rsid w:val="00C8460B"/>
    <w:rsid w:val="00C84FC5"/>
    <w:rsid w:val="00C861E7"/>
    <w:rsid w:val="00C86FBD"/>
    <w:rsid w:val="00C91A94"/>
    <w:rsid w:val="00C91D48"/>
    <w:rsid w:val="00CA4DAE"/>
    <w:rsid w:val="00CA5077"/>
    <w:rsid w:val="00CA564A"/>
    <w:rsid w:val="00CA73B8"/>
    <w:rsid w:val="00CB251C"/>
    <w:rsid w:val="00CB34A8"/>
    <w:rsid w:val="00CB4A51"/>
    <w:rsid w:val="00CB5E29"/>
    <w:rsid w:val="00CC3202"/>
    <w:rsid w:val="00CD0D8A"/>
    <w:rsid w:val="00CD1C2A"/>
    <w:rsid w:val="00CE221F"/>
    <w:rsid w:val="00CE6710"/>
    <w:rsid w:val="00CE6E27"/>
    <w:rsid w:val="00CF125B"/>
    <w:rsid w:val="00CF2EE6"/>
    <w:rsid w:val="00D016DC"/>
    <w:rsid w:val="00D01A20"/>
    <w:rsid w:val="00D028E7"/>
    <w:rsid w:val="00D02BF4"/>
    <w:rsid w:val="00D03599"/>
    <w:rsid w:val="00D05D5C"/>
    <w:rsid w:val="00D06721"/>
    <w:rsid w:val="00D12C8A"/>
    <w:rsid w:val="00D13D70"/>
    <w:rsid w:val="00D15B34"/>
    <w:rsid w:val="00D201DD"/>
    <w:rsid w:val="00D20A03"/>
    <w:rsid w:val="00D2771E"/>
    <w:rsid w:val="00D3076E"/>
    <w:rsid w:val="00D3113F"/>
    <w:rsid w:val="00D40E8D"/>
    <w:rsid w:val="00D414B3"/>
    <w:rsid w:val="00D449FC"/>
    <w:rsid w:val="00D46DB3"/>
    <w:rsid w:val="00D56BE6"/>
    <w:rsid w:val="00D604F8"/>
    <w:rsid w:val="00D61CAD"/>
    <w:rsid w:val="00D67BE3"/>
    <w:rsid w:val="00D7159B"/>
    <w:rsid w:val="00D722B1"/>
    <w:rsid w:val="00D818E2"/>
    <w:rsid w:val="00D908A4"/>
    <w:rsid w:val="00D908E3"/>
    <w:rsid w:val="00D91641"/>
    <w:rsid w:val="00D9229E"/>
    <w:rsid w:val="00D945F5"/>
    <w:rsid w:val="00D9761A"/>
    <w:rsid w:val="00DA082A"/>
    <w:rsid w:val="00DA2E02"/>
    <w:rsid w:val="00DA68FF"/>
    <w:rsid w:val="00DA76A2"/>
    <w:rsid w:val="00DB264A"/>
    <w:rsid w:val="00DB41EA"/>
    <w:rsid w:val="00DC265A"/>
    <w:rsid w:val="00DC4030"/>
    <w:rsid w:val="00DC67F7"/>
    <w:rsid w:val="00DC7561"/>
    <w:rsid w:val="00DE1315"/>
    <w:rsid w:val="00DE3852"/>
    <w:rsid w:val="00DF214E"/>
    <w:rsid w:val="00E004FF"/>
    <w:rsid w:val="00E01359"/>
    <w:rsid w:val="00E02777"/>
    <w:rsid w:val="00E03317"/>
    <w:rsid w:val="00E0538F"/>
    <w:rsid w:val="00E07D3D"/>
    <w:rsid w:val="00E07ECF"/>
    <w:rsid w:val="00E10332"/>
    <w:rsid w:val="00E127D5"/>
    <w:rsid w:val="00E129F7"/>
    <w:rsid w:val="00E14699"/>
    <w:rsid w:val="00E1609A"/>
    <w:rsid w:val="00E272A0"/>
    <w:rsid w:val="00E278F8"/>
    <w:rsid w:val="00E31414"/>
    <w:rsid w:val="00E31E7D"/>
    <w:rsid w:val="00E33225"/>
    <w:rsid w:val="00E35783"/>
    <w:rsid w:val="00E360BB"/>
    <w:rsid w:val="00E431AC"/>
    <w:rsid w:val="00E449FF"/>
    <w:rsid w:val="00E44FDA"/>
    <w:rsid w:val="00E47525"/>
    <w:rsid w:val="00E503A1"/>
    <w:rsid w:val="00E52703"/>
    <w:rsid w:val="00E52AD4"/>
    <w:rsid w:val="00E53A63"/>
    <w:rsid w:val="00E54214"/>
    <w:rsid w:val="00E54B23"/>
    <w:rsid w:val="00E62E8E"/>
    <w:rsid w:val="00E62F7C"/>
    <w:rsid w:val="00E650A9"/>
    <w:rsid w:val="00E65FC5"/>
    <w:rsid w:val="00E66954"/>
    <w:rsid w:val="00E73EA5"/>
    <w:rsid w:val="00E74388"/>
    <w:rsid w:val="00E7439E"/>
    <w:rsid w:val="00E77A1C"/>
    <w:rsid w:val="00E77BEB"/>
    <w:rsid w:val="00E808E3"/>
    <w:rsid w:val="00E80B0C"/>
    <w:rsid w:val="00E8142B"/>
    <w:rsid w:val="00E819AA"/>
    <w:rsid w:val="00E82460"/>
    <w:rsid w:val="00E83619"/>
    <w:rsid w:val="00E83E64"/>
    <w:rsid w:val="00E84D18"/>
    <w:rsid w:val="00E9309F"/>
    <w:rsid w:val="00EA093B"/>
    <w:rsid w:val="00EA1F47"/>
    <w:rsid w:val="00EA3335"/>
    <w:rsid w:val="00EA7ABD"/>
    <w:rsid w:val="00EA7F99"/>
    <w:rsid w:val="00EB21C2"/>
    <w:rsid w:val="00EC088C"/>
    <w:rsid w:val="00EC1E83"/>
    <w:rsid w:val="00EC46E6"/>
    <w:rsid w:val="00EC5514"/>
    <w:rsid w:val="00ED1F1F"/>
    <w:rsid w:val="00ED2D20"/>
    <w:rsid w:val="00ED44B5"/>
    <w:rsid w:val="00ED665D"/>
    <w:rsid w:val="00ED68FD"/>
    <w:rsid w:val="00ED6A89"/>
    <w:rsid w:val="00ED73AE"/>
    <w:rsid w:val="00EE5064"/>
    <w:rsid w:val="00EE5AC1"/>
    <w:rsid w:val="00EE7B32"/>
    <w:rsid w:val="00EF15A5"/>
    <w:rsid w:val="00EF2B0C"/>
    <w:rsid w:val="00EF2FBC"/>
    <w:rsid w:val="00EF6B75"/>
    <w:rsid w:val="00EF6E99"/>
    <w:rsid w:val="00EF776B"/>
    <w:rsid w:val="00F01BC6"/>
    <w:rsid w:val="00F032A1"/>
    <w:rsid w:val="00F05087"/>
    <w:rsid w:val="00F126A5"/>
    <w:rsid w:val="00F13421"/>
    <w:rsid w:val="00F13A1A"/>
    <w:rsid w:val="00F24EF3"/>
    <w:rsid w:val="00F25243"/>
    <w:rsid w:val="00F259DF"/>
    <w:rsid w:val="00F3561E"/>
    <w:rsid w:val="00F36A75"/>
    <w:rsid w:val="00F52F29"/>
    <w:rsid w:val="00F56169"/>
    <w:rsid w:val="00F60B45"/>
    <w:rsid w:val="00F6150A"/>
    <w:rsid w:val="00F6189E"/>
    <w:rsid w:val="00F672FE"/>
    <w:rsid w:val="00F70A08"/>
    <w:rsid w:val="00F77862"/>
    <w:rsid w:val="00F800C8"/>
    <w:rsid w:val="00F851CC"/>
    <w:rsid w:val="00F853D2"/>
    <w:rsid w:val="00F86713"/>
    <w:rsid w:val="00F945DD"/>
    <w:rsid w:val="00FA1B14"/>
    <w:rsid w:val="00FA363E"/>
    <w:rsid w:val="00FA431E"/>
    <w:rsid w:val="00FB20D6"/>
    <w:rsid w:val="00FB69C1"/>
    <w:rsid w:val="00FC1A0B"/>
    <w:rsid w:val="00FC226E"/>
    <w:rsid w:val="00FC57A4"/>
    <w:rsid w:val="00FC7BB9"/>
    <w:rsid w:val="00FD245A"/>
    <w:rsid w:val="00FD3011"/>
    <w:rsid w:val="00FD4880"/>
    <w:rsid w:val="00FD54D2"/>
    <w:rsid w:val="00FE02A8"/>
    <w:rsid w:val="00FE1571"/>
    <w:rsid w:val="00FE15B3"/>
    <w:rsid w:val="00FE45ED"/>
    <w:rsid w:val="00FE467A"/>
    <w:rsid w:val="00FE5553"/>
    <w:rsid w:val="00FF2CA7"/>
    <w:rsid w:val="00FF60DA"/>
    <w:rsid w:val="00FF6CE8"/>
    <w:rsid w:val="53F4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F6AE"/>
  <w15:docId w15:val="{8104B550-D576-4810-917B-34101A58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E33225"/>
    <w:pPr>
      <w:keepNext/>
      <w:spacing w:before="120" w:after="120"/>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33225"/>
    <w:pPr>
      <w:outlineLvl w:val="1"/>
    </w:pPr>
    <w:rPr>
      <w:bCs w:val="0"/>
      <w:i/>
      <w:iCs/>
      <w:sz w:val="28"/>
      <w:szCs w:val="28"/>
    </w:rPr>
  </w:style>
  <w:style w:type="paragraph" w:styleId="Heading3">
    <w:name w:val="heading 3"/>
    <w:basedOn w:val="Heading2"/>
    <w:next w:val="GHBodytext"/>
    <w:link w:val="Heading3Char"/>
    <w:unhideWhenUsed/>
    <w:qFormat/>
    <w:rsid w:val="00E9032C"/>
    <w:pPr>
      <w:numPr>
        <w:ilvl w:val="2"/>
        <w:numId w:val="56"/>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33225"/>
    <w:pPr>
      <w:numPr>
        <w:ilvl w:val="0"/>
        <w:numId w:val="0"/>
      </w:numPr>
      <w:outlineLvl w:val="3"/>
    </w:pPr>
    <w:rPr>
      <w:rFonts w:ascii="Arial Bold" w:hAnsi="Arial Bold"/>
      <w:bCs w:val="0"/>
      <w:color w:val="auto"/>
      <w:sz w:val="24"/>
      <w:szCs w:val="28"/>
    </w:rPr>
  </w:style>
  <w:style w:type="paragraph" w:styleId="Heading5">
    <w:name w:val="heading 5"/>
    <w:aliases w:val="Append Level 1"/>
    <w:basedOn w:val="Normal"/>
    <w:next w:val="Normal"/>
    <w:link w:val="Heading5Char"/>
    <w:unhideWhenUsed/>
    <w:qFormat/>
    <w:rsid w:val="006A515A"/>
    <w:pPr>
      <w:keepNext/>
      <w:keepLines/>
      <w:pageBreakBefore/>
      <w:numPr>
        <w:ilvl w:val="4"/>
        <w:numId w:val="56"/>
      </w:numPr>
      <w:suppressAutoHyphens w:val="0"/>
      <w:autoSpaceDN/>
      <w:spacing w:after="240"/>
      <w:outlineLvl w:val="4"/>
    </w:pPr>
    <w:rPr>
      <w:rFonts w:cs="Arial"/>
      <w:b/>
      <w:kern w:val="28"/>
      <w:sz w:val="32"/>
      <w:szCs w:val="28"/>
    </w:rPr>
  </w:style>
  <w:style w:type="paragraph" w:styleId="Heading6">
    <w:name w:val="heading 6"/>
    <w:aliases w:val="Append Level 2"/>
    <w:next w:val="BodyText"/>
    <w:link w:val="Heading6Char"/>
    <w:unhideWhenUsed/>
    <w:qFormat/>
    <w:rsid w:val="0073050D"/>
    <w:pPr>
      <w:keepNext/>
      <w:keepLines/>
      <w:numPr>
        <w:ilvl w:val="5"/>
        <w:numId w:val="56"/>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73050D"/>
    <w:pPr>
      <w:numPr>
        <w:ilvl w:val="6"/>
        <w:numId w:val="56"/>
      </w:numPr>
      <w:spacing w:before="240" w:after="240"/>
      <w:outlineLvl w:val="6"/>
    </w:pPr>
    <w:rPr>
      <w:rFonts w:ascii="Arial" w:hAnsi="Arial"/>
      <w:b/>
      <w:iCs/>
      <w:sz w:val="24"/>
      <w:szCs w:val="26"/>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E9032C"/>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w:hAnsi="Arial" w:cs="Arial"/>
      <w:b/>
      <w:kern w:val="28"/>
      <w:sz w:val="32"/>
      <w:szCs w:val="28"/>
    </w:rPr>
  </w:style>
  <w:style w:type="character" w:customStyle="1" w:styleId="Heading6Char">
    <w:name w:val="Heading 6 Char"/>
    <w:aliases w:val="Append Level 2 Char"/>
    <w:basedOn w:val="DefaultParagraphFont"/>
    <w:link w:val="Heading6"/>
    <w:locked/>
    <w:rsid w:val="00E9032C"/>
    <w:rPr>
      <w:rFonts w:ascii="Arial" w:hAnsi="Arial" w:cs="Arial"/>
      <w:b/>
      <w:iCs/>
      <w:kern w:val="28"/>
      <w:position w:val="6"/>
      <w:sz w:val="28"/>
      <w:szCs w:val="26"/>
    </w:rPr>
  </w:style>
  <w:style w:type="character" w:customStyle="1" w:styleId="Heading7Char">
    <w:name w:val="Heading 7 Char"/>
    <w:aliases w:val="Append Level 3 Char"/>
    <w:basedOn w:val="DefaultParagraphFont"/>
    <w:link w:val="Heading7"/>
    <w:locked/>
    <w:rsid w:val="00E9032C"/>
    <w:rPr>
      <w:rFonts w:ascii="Arial" w:hAnsi="Arial"/>
      <w:b/>
      <w:iCs/>
      <w:sz w:val="24"/>
      <w:szCs w:val="26"/>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A15ECA"/>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A15ECA"/>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after="240"/>
      <w:ind w:left="432" w:hanging="432"/>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0"/>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Text" w:hAnsi="Sitka Text" w:cs="Sitka Text"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Text" w:hAnsi="Sitka Text" w:cs="Sitka Text"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Text" w:hAnsi="Sitka Text"/>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Text" w:hAnsi="Sitka Text"/>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A15ECA"/>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A56FF3"/>
    <w:pPr>
      <w:keepNext/>
      <w:spacing w:before="0" w:after="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 w:type="paragraph" w:customStyle="1" w:styleId="Recommendation">
    <w:name w:val="Recommendation"/>
    <w:basedOn w:val="BodyText"/>
    <w:qFormat/>
    <w:rsid w:val="00290146"/>
    <w:pPr>
      <w:suppressAutoHyphens w:val="0"/>
      <w:spacing w:after="0"/>
      <w:ind w:left="720"/>
    </w:pPr>
    <w:rPr>
      <w:rFonts w:eastAsiaTheme="minorHAnsi" w:cstheme="minorBidi"/>
      <w:b/>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080992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53732345">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il-foodservicerebates.com/qualifying-equipment" TargetMode="External"/><Relationship Id="rId2" Type="http://schemas.openxmlformats.org/officeDocument/2006/relationships/hyperlink" Target="https://www.ilsag.info/illinois-statewide-technical-reference-manual-version-12-0/" TargetMode="External"/><Relationship Id="rId1" Type="http://schemas.openxmlformats.org/officeDocument/2006/relationships/hyperlink" Target="https://www.zipcodestogo.com/Illino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20</Pages>
  <Words>7708</Words>
  <Characters>43939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51544</CharactersWithSpaces>
  <SharedDoc>false</SharedDoc>
  <HLinks>
    <vt:vector size="222" baseType="variant">
      <vt:variant>
        <vt:i4>3801209</vt:i4>
      </vt:variant>
      <vt:variant>
        <vt:i4>126</vt:i4>
      </vt:variant>
      <vt:variant>
        <vt:i4>0</vt:i4>
      </vt:variant>
      <vt:variant>
        <vt:i4>5</vt:i4>
      </vt:variant>
      <vt:variant>
        <vt:lpwstr>https://www.ilsag.info/evaluator-ntg-recommendations-for-2024/</vt:lpwstr>
      </vt:variant>
      <vt:variant>
        <vt:lpwstr/>
      </vt:variant>
      <vt:variant>
        <vt:i4>3801209</vt:i4>
      </vt:variant>
      <vt:variant>
        <vt:i4>120</vt:i4>
      </vt:variant>
      <vt:variant>
        <vt:i4>0</vt:i4>
      </vt:variant>
      <vt:variant>
        <vt:i4>5</vt:i4>
      </vt:variant>
      <vt:variant>
        <vt:lpwstr>https://www.ilsag.info/evaluator-ntg-recommendations-for-2024/</vt:lpwstr>
      </vt:variant>
      <vt:variant>
        <vt:lpwstr/>
      </vt:variant>
      <vt:variant>
        <vt:i4>2031671</vt:i4>
      </vt:variant>
      <vt:variant>
        <vt:i4>98</vt:i4>
      </vt:variant>
      <vt:variant>
        <vt:i4>0</vt:i4>
      </vt:variant>
      <vt:variant>
        <vt:i4>5</vt:i4>
      </vt:variant>
      <vt:variant>
        <vt:lpwstr/>
      </vt:variant>
      <vt:variant>
        <vt:lpwstr>_Toc195712246</vt:lpwstr>
      </vt:variant>
      <vt:variant>
        <vt:i4>2031671</vt:i4>
      </vt:variant>
      <vt:variant>
        <vt:i4>92</vt:i4>
      </vt:variant>
      <vt:variant>
        <vt:i4>0</vt:i4>
      </vt:variant>
      <vt:variant>
        <vt:i4>5</vt:i4>
      </vt:variant>
      <vt:variant>
        <vt:lpwstr/>
      </vt:variant>
      <vt:variant>
        <vt:lpwstr>_Toc195712245</vt:lpwstr>
      </vt:variant>
      <vt:variant>
        <vt:i4>2031671</vt:i4>
      </vt:variant>
      <vt:variant>
        <vt:i4>83</vt:i4>
      </vt:variant>
      <vt:variant>
        <vt:i4>0</vt:i4>
      </vt:variant>
      <vt:variant>
        <vt:i4>5</vt:i4>
      </vt:variant>
      <vt:variant>
        <vt:lpwstr/>
      </vt:variant>
      <vt:variant>
        <vt:lpwstr>_Toc195712244</vt:lpwstr>
      </vt:variant>
      <vt:variant>
        <vt:i4>2031671</vt:i4>
      </vt:variant>
      <vt:variant>
        <vt:i4>77</vt:i4>
      </vt:variant>
      <vt:variant>
        <vt:i4>0</vt:i4>
      </vt:variant>
      <vt:variant>
        <vt:i4>5</vt:i4>
      </vt:variant>
      <vt:variant>
        <vt:lpwstr/>
      </vt:variant>
      <vt:variant>
        <vt:lpwstr>_Toc195712243</vt:lpwstr>
      </vt:variant>
      <vt:variant>
        <vt:i4>2031671</vt:i4>
      </vt:variant>
      <vt:variant>
        <vt:i4>71</vt:i4>
      </vt:variant>
      <vt:variant>
        <vt:i4>0</vt:i4>
      </vt:variant>
      <vt:variant>
        <vt:i4>5</vt:i4>
      </vt:variant>
      <vt:variant>
        <vt:lpwstr/>
      </vt:variant>
      <vt:variant>
        <vt:lpwstr>_Toc195712242</vt:lpwstr>
      </vt:variant>
      <vt:variant>
        <vt:i4>2031671</vt:i4>
      </vt:variant>
      <vt:variant>
        <vt:i4>65</vt:i4>
      </vt:variant>
      <vt:variant>
        <vt:i4>0</vt:i4>
      </vt:variant>
      <vt:variant>
        <vt:i4>5</vt:i4>
      </vt:variant>
      <vt:variant>
        <vt:lpwstr/>
      </vt:variant>
      <vt:variant>
        <vt:lpwstr>_Toc195712241</vt:lpwstr>
      </vt:variant>
      <vt:variant>
        <vt:i4>2031671</vt:i4>
      </vt:variant>
      <vt:variant>
        <vt:i4>59</vt:i4>
      </vt:variant>
      <vt:variant>
        <vt:i4>0</vt:i4>
      </vt:variant>
      <vt:variant>
        <vt:i4>5</vt:i4>
      </vt:variant>
      <vt:variant>
        <vt:lpwstr/>
      </vt:variant>
      <vt:variant>
        <vt:lpwstr>_Toc195712240</vt:lpwstr>
      </vt:variant>
      <vt:variant>
        <vt:i4>1572919</vt:i4>
      </vt:variant>
      <vt:variant>
        <vt:i4>50</vt:i4>
      </vt:variant>
      <vt:variant>
        <vt:i4>0</vt:i4>
      </vt:variant>
      <vt:variant>
        <vt:i4>5</vt:i4>
      </vt:variant>
      <vt:variant>
        <vt:lpwstr/>
      </vt:variant>
      <vt:variant>
        <vt:lpwstr>_Toc195712237</vt:lpwstr>
      </vt:variant>
      <vt:variant>
        <vt:i4>1572919</vt:i4>
      </vt:variant>
      <vt:variant>
        <vt:i4>44</vt:i4>
      </vt:variant>
      <vt:variant>
        <vt:i4>0</vt:i4>
      </vt:variant>
      <vt:variant>
        <vt:i4>5</vt:i4>
      </vt:variant>
      <vt:variant>
        <vt:lpwstr/>
      </vt:variant>
      <vt:variant>
        <vt:lpwstr>_Toc195712236</vt:lpwstr>
      </vt:variant>
      <vt:variant>
        <vt:i4>1572919</vt:i4>
      </vt:variant>
      <vt:variant>
        <vt:i4>38</vt:i4>
      </vt:variant>
      <vt:variant>
        <vt:i4>0</vt:i4>
      </vt:variant>
      <vt:variant>
        <vt:i4>5</vt:i4>
      </vt:variant>
      <vt:variant>
        <vt:lpwstr/>
      </vt:variant>
      <vt:variant>
        <vt:lpwstr>_Toc195712235</vt:lpwstr>
      </vt:variant>
      <vt:variant>
        <vt:i4>1572919</vt:i4>
      </vt:variant>
      <vt:variant>
        <vt:i4>32</vt:i4>
      </vt:variant>
      <vt:variant>
        <vt:i4>0</vt:i4>
      </vt:variant>
      <vt:variant>
        <vt:i4>5</vt:i4>
      </vt:variant>
      <vt:variant>
        <vt:lpwstr/>
      </vt:variant>
      <vt:variant>
        <vt:lpwstr>_Toc195712234</vt:lpwstr>
      </vt:variant>
      <vt:variant>
        <vt:i4>1572919</vt:i4>
      </vt:variant>
      <vt:variant>
        <vt:i4>26</vt:i4>
      </vt:variant>
      <vt:variant>
        <vt:i4>0</vt:i4>
      </vt:variant>
      <vt:variant>
        <vt:i4>5</vt:i4>
      </vt:variant>
      <vt:variant>
        <vt:lpwstr/>
      </vt:variant>
      <vt:variant>
        <vt:lpwstr>_Toc195712233</vt:lpwstr>
      </vt:variant>
      <vt:variant>
        <vt:i4>1572919</vt:i4>
      </vt:variant>
      <vt:variant>
        <vt:i4>20</vt:i4>
      </vt:variant>
      <vt:variant>
        <vt:i4>0</vt:i4>
      </vt:variant>
      <vt:variant>
        <vt:i4>5</vt:i4>
      </vt:variant>
      <vt:variant>
        <vt:lpwstr/>
      </vt:variant>
      <vt:variant>
        <vt:lpwstr>_Toc195712232</vt:lpwstr>
      </vt:variant>
      <vt:variant>
        <vt:i4>1572919</vt:i4>
      </vt:variant>
      <vt:variant>
        <vt:i4>14</vt:i4>
      </vt:variant>
      <vt:variant>
        <vt:i4>0</vt:i4>
      </vt:variant>
      <vt:variant>
        <vt:i4>5</vt:i4>
      </vt:variant>
      <vt:variant>
        <vt:lpwstr/>
      </vt:variant>
      <vt:variant>
        <vt:lpwstr>_Toc195712231</vt:lpwstr>
      </vt:variant>
      <vt:variant>
        <vt:i4>1572919</vt:i4>
      </vt:variant>
      <vt:variant>
        <vt:i4>8</vt:i4>
      </vt:variant>
      <vt:variant>
        <vt:i4>0</vt:i4>
      </vt:variant>
      <vt:variant>
        <vt:i4>5</vt:i4>
      </vt:variant>
      <vt:variant>
        <vt:lpwstr/>
      </vt:variant>
      <vt:variant>
        <vt:lpwstr>_Toc195712230</vt:lpwstr>
      </vt:variant>
      <vt:variant>
        <vt:i4>1638455</vt:i4>
      </vt:variant>
      <vt:variant>
        <vt:i4>2</vt:i4>
      </vt:variant>
      <vt:variant>
        <vt:i4>0</vt:i4>
      </vt:variant>
      <vt:variant>
        <vt:i4>5</vt:i4>
      </vt:variant>
      <vt:variant>
        <vt:lpwstr/>
      </vt:variant>
      <vt:variant>
        <vt:lpwstr>_Toc195712229</vt:lpwstr>
      </vt:variant>
      <vt:variant>
        <vt:i4>3080254</vt:i4>
      </vt:variant>
      <vt:variant>
        <vt:i4>3</vt:i4>
      </vt:variant>
      <vt:variant>
        <vt:i4>0</vt:i4>
      </vt:variant>
      <vt:variant>
        <vt:i4>5</vt:i4>
      </vt:variant>
      <vt:variant>
        <vt:lpwstr>https://www.il-foodservicerebates.com/qualifying-equipment</vt:lpwstr>
      </vt:variant>
      <vt:variant>
        <vt:lpwstr/>
      </vt:variant>
      <vt:variant>
        <vt:i4>3145853</vt:i4>
      </vt:variant>
      <vt:variant>
        <vt:i4>0</vt:i4>
      </vt:variant>
      <vt:variant>
        <vt:i4>0</vt:i4>
      </vt:variant>
      <vt:variant>
        <vt:i4>5</vt:i4>
      </vt:variant>
      <vt:variant>
        <vt:lpwstr>https://www.ilsag.info/illinois-statewide-technical-reference-manual-version-12-0/</vt:lpwstr>
      </vt:variant>
      <vt:variant>
        <vt:lpwstr/>
      </vt:variant>
      <vt:variant>
        <vt:i4>2555976</vt:i4>
      </vt:variant>
      <vt:variant>
        <vt:i4>48</vt:i4>
      </vt:variant>
      <vt:variant>
        <vt:i4>0</vt:i4>
      </vt:variant>
      <vt:variant>
        <vt:i4>5</vt:i4>
      </vt:variant>
      <vt:variant>
        <vt:lpwstr>mailto:charles.ampong@guidehouse.com</vt:lpwstr>
      </vt:variant>
      <vt:variant>
        <vt:lpwstr/>
      </vt:variant>
      <vt:variant>
        <vt:i4>7471110</vt:i4>
      </vt:variant>
      <vt:variant>
        <vt:i4>45</vt:i4>
      </vt:variant>
      <vt:variant>
        <vt:i4>0</vt:i4>
      </vt:variant>
      <vt:variant>
        <vt:i4>5</vt:i4>
      </vt:variant>
      <vt:variant>
        <vt:lpwstr>mailto:mary.thony@guidehouse.com</vt:lpwstr>
      </vt:variant>
      <vt:variant>
        <vt:lpwstr/>
      </vt:variant>
      <vt:variant>
        <vt:i4>3997705</vt:i4>
      </vt:variant>
      <vt:variant>
        <vt:i4>42</vt:i4>
      </vt:variant>
      <vt:variant>
        <vt:i4>0</vt:i4>
      </vt:variant>
      <vt:variant>
        <vt:i4>5</vt:i4>
      </vt:variant>
      <vt:variant>
        <vt:lpwstr>mailto:sberne@guidehouse.com</vt:lpwstr>
      </vt:variant>
      <vt:variant>
        <vt:lpwstr/>
      </vt:variant>
      <vt:variant>
        <vt:i4>2555976</vt:i4>
      </vt:variant>
      <vt:variant>
        <vt:i4>39</vt:i4>
      </vt:variant>
      <vt:variant>
        <vt:i4>0</vt:i4>
      </vt:variant>
      <vt:variant>
        <vt:i4>5</vt:i4>
      </vt:variant>
      <vt:variant>
        <vt:lpwstr>mailto:charles.ampong@guidehouse.com</vt:lpwstr>
      </vt:variant>
      <vt:variant>
        <vt:lpwstr/>
      </vt:variant>
      <vt:variant>
        <vt:i4>3997705</vt:i4>
      </vt:variant>
      <vt:variant>
        <vt:i4>36</vt:i4>
      </vt:variant>
      <vt:variant>
        <vt:i4>0</vt:i4>
      </vt:variant>
      <vt:variant>
        <vt:i4>5</vt:i4>
      </vt:variant>
      <vt:variant>
        <vt:lpwstr>mailto:sberne@guidehouse.com</vt:lpwstr>
      </vt:variant>
      <vt:variant>
        <vt:lpwstr/>
      </vt:variant>
      <vt:variant>
        <vt:i4>3997705</vt:i4>
      </vt:variant>
      <vt:variant>
        <vt:i4>33</vt:i4>
      </vt:variant>
      <vt:variant>
        <vt:i4>0</vt:i4>
      </vt:variant>
      <vt:variant>
        <vt:i4>5</vt:i4>
      </vt:variant>
      <vt:variant>
        <vt:lpwstr>mailto:sberne@guidehouse.com</vt:lpwstr>
      </vt:variant>
      <vt:variant>
        <vt:lpwstr/>
      </vt:variant>
      <vt:variant>
        <vt:i4>2555976</vt:i4>
      </vt:variant>
      <vt:variant>
        <vt:i4>30</vt:i4>
      </vt:variant>
      <vt:variant>
        <vt:i4>0</vt:i4>
      </vt:variant>
      <vt:variant>
        <vt:i4>5</vt:i4>
      </vt:variant>
      <vt:variant>
        <vt:lpwstr>mailto:charles.ampong@guidehouse.com</vt:lpwstr>
      </vt:variant>
      <vt:variant>
        <vt:lpwstr/>
      </vt:variant>
      <vt:variant>
        <vt:i4>3997705</vt:i4>
      </vt:variant>
      <vt:variant>
        <vt:i4>27</vt:i4>
      </vt:variant>
      <vt:variant>
        <vt:i4>0</vt:i4>
      </vt:variant>
      <vt:variant>
        <vt:i4>5</vt:i4>
      </vt:variant>
      <vt:variant>
        <vt:lpwstr>mailto:sberne@guidehouse.com</vt:lpwstr>
      </vt:variant>
      <vt:variant>
        <vt:lpwstr/>
      </vt:variant>
      <vt:variant>
        <vt:i4>7471110</vt:i4>
      </vt:variant>
      <vt:variant>
        <vt:i4>24</vt:i4>
      </vt:variant>
      <vt:variant>
        <vt:i4>0</vt:i4>
      </vt:variant>
      <vt:variant>
        <vt:i4>5</vt:i4>
      </vt:variant>
      <vt:variant>
        <vt:lpwstr>mailto:mary.thony@guidehouse.com</vt:lpwstr>
      </vt:variant>
      <vt:variant>
        <vt:lpwstr/>
      </vt:variant>
      <vt:variant>
        <vt:i4>5832755</vt:i4>
      </vt:variant>
      <vt:variant>
        <vt:i4>21</vt:i4>
      </vt:variant>
      <vt:variant>
        <vt:i4>0</vt:i4>
      </vt:variant>
      <vt:variant>
        <vt:i4>5</vt:i4>
      </vt:variant>
      <vt:variant>
        <vt:lpwstr>mailto:sagar.phalke@guidehouse.com</vt:lpwstr>
      </vt:variant>
      <vt:variant>
        <vt:lpwstr/>
      </vt:variant>
      <vt:variant>
        <vt:i4>3997705</vt:i4>
      </vt:variant>
      <vt:variant>
        <vt:i4>18</vt:i4>
      </vt:variant>
      <vt:variant>
        <vt:i4>0</vt:i4>
      </vt:variant>
      <vt:variant>
        <vt:i4>5</vt:i4>
      </vt:variant>
      <vt:variant>
        <vt:lpwstr>mailto:sberne@guidehouse.com</vt:lpwstr>
      </vt:variant>
      <vt:variant>
        <vt:lpwstr/>
      </vt:variant>
      <vt:variant>
        <vt:i4>2555976</vt:i4>
      </vt:variant>
      <vt:variant>
        <vt:i4>15</vt:i4>
      </vt:variant>
      <vt:variant>
        <vt:i4>0</vt:i4>
      </vt:variant>
      <vt:variant>
        <vt:i4>5</vt:i4>
      </vt:variant>
      <vt:variant>
        <vt:lpwstr>mailto:charles.ampong@guidehouse.com</vt:lpwstr>
      </vt:variant>
      <vt:variant>
        <vt:lpwstr/>
      </vt:variant>
      <vt:variant>
        <vt:i4>3997705</vt:i4>
      </vt:variant>
      <vt:variant>
        <vt:i4>12</vt:i4>
      </vt:variant>
      <vt:variant>
        <vt:i4>0</vt:i4>
      </vt:variant>
      <vt:variant>
        <vt:i4>5</vt:i4>
      </vt:variant>
      <vt:variant>
        <vt:lpwstr>mailto:sberne@guidehouse.com</vt:lpwstr>
      </vt:variant>
      <vt:variant>
        <vt:lpwstr/>
      </vt:variant>
      <vt:variant>
        <vt:i4>2555976</vt:i4>
      </vt:variant>
      <vt:variant>
        <vt:i4>9</vt:i4>
      </vt:variant>
      <vt:variant>
        <vt:i4>0</vt:i4>
      </vt:variant>
      <vt:variant>
        <vt:i4>5</vt:i4>
      </vt:variant>
      <vt:variant>
        <vt:lpwstr>mailto:charles.ampong@guidehouse.com</vt:lpwstr>
      </vt:variant>
      <vt:variant>
        <vt:lpwstr/>
      </vt:variant>
      <vt:variant>
        <vt:i4>7471110</vt:i4>
      </vt:variant>
      <vt:variant>
        <vt:i4>6</vt:i4>
      </vt:variant>
      <vt:variant>
        <vt:i4>0</vt:i4>
      </vt:variant>
      <vt:variant>
        <vt:i4>5</vt:i4>
      </vt:variant>
      <vt:variant>
        <vt:lpwstr>mailto:mary.thony@guidehouse.com</vt:lpwstr>
      </vt:variant>
      <vt:variant>
        <vt:lpwstr/>
      </vt:variant>
      <vt:variant>
        <vt:i4>3997705</vt:i4>
      </vt:variant>
      <vt:variant>
        <vt:i4>3</vt:i4>
      </vt:variant>
      <vt:variant>
        <vt:i4>0</vt:i4>
      </vt:variant>
      <vt:variant>
        <vt:i4>5</vt:i4>
      </vt:variant>
      <vt:variant>
        <vt:lpwstr>mailto:sberne@guidehouse.com</vt:lpwstr>
      </vt:variant>
      <vt:variant>
        <vt:lpwstr/>
      </vt:variant>
      <vt:variant>
        <vt:i4>2555976</vt:i4>
      </vt:variant>
      <vt:variant>
        <vt:i4>0</vt:i4>
      </vt:variant>
      <vt:variant>
        <vt:i4>0</vt:i4>
      </vt:variant>
      <vt:variant>
        <vt:i4>5</vt:i4>
      </vt:variant>
      <vt:variant>
        <vt:lpwstr>mailto:charles.ampong@guidehouse.com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478</cp:revision>
  <cp:lastPrinted>2017-10-03T19:32:00Z</cp:lastPrinted>
  <dcterms:created xsi:type="dcterms:W3CDTF">2025-04-09T19:00:00Z</dcterms:created>
  <dcterms:modified xsi:type="dcterms:W3CDTF">2025-04-18T20:03:00Z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