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17080" w14:textId="77777777" w:rsidR="00444DFF" w:rsidRPr="00B53186" w:rsidRDefault="00444DFF" w:rsidP="00660A59">
      <w:pPr>
        <w:rPr>
          <w:color w:val="6F6754"/>
        </w:rPr>
      </w:pPr>
    </w:p>
    <w:tbl>
      <w:tblPr>
        <w:tblW w:w="9360" w:type="dxa"/>
        <w:jc w:val="center"/>
        <w:tblLayout w:type="fixed"/>
        <w:tblCellMar>
          <w:left w:w="115" w:type="dxa"/>
          <w:right w:w="115" w:type="dxa"/>
        </w:tblCellMar>
        <w:tblLook w:val="01E0" w:firstRow="1" w:lastRow="1" w:firstColumn="1" w:lastColumn="1" w:noHBand="0" w:noVBand="0"/>
      </w:tblPr>
      <w:tblGrid>
        <w:gridCol w:w="3227"/>
        <w:gridCol w:w="3324"/>
        <w:gridCol w:w="158"/>
        <w:gridCol w:w="7"/>
        <w:gridCol w:w="23"/>
        <w:gridCol w:w="1511"/>
        <w:gridCol w:w="359"/>
        <w:gridCol w:w="751"/>
      </w:tblGrid>
      <w:tr w:rsidR="00AB7E51" w:rsidRPr="006C1252" w14:paraId="4F4113D5" w14:textId="77777777" w:rsidTr="005F1B06">
        <w:trPr>
          <w:trHeight w:val="2114"/>
          <w:jc w:val="center"/>
        </w:trPr>
        <w:tc>
          <w:tcPr>
            <w:tcW w:w="9360" w:type="dxa"/>
            <w:gridSpan w:val="8"/>
          </w:tcPr>
          <w:p w14:paraId="3DBE7952" w14:textId="145DE575" w:rsidR="00AB7E51" w:rsidRPr="008F5FB2" w:rsidRDefault="00AB7E51" w:rsidP="005F1B06">
            <w:pPr>
              <w:pStyle w:val="Title"/>
            </w:pPr>
          </w:p>
        </w:tc>
      </w:tr>
      <w:tr w:rsidR="00AB7E51" w:rsidRPr="006C1252" w14:paraId="434F71C5" w14:textId="77777777" w:rsidTr="005F1B06">
        <w:trPr>
          <w:trHeight w:val="2114"/>
          <w:jc w:val="center"/>
        </w:trPr>
        <w:tc>
          <w:tcPr>
            <w:tcW w:w="9360" w:type="dxa"/>
            <w:gridSpan w:val="8"/>
          </w:tcPr>
          <w:p w14:paraId="0EA2B271" w14:textId="16A83C8E" w:rsidR="00AB7E51" w:rsidRDefault="004879D0" w:rsidP="005F1B06">
            <w:pPr>
              <w:pStyle w:val="Title"/>
            </w:pPr>
            <w:r>
              <w:t>Affordable Housing New Construction</w:t>
            </w:r>
            <w:r w:rsidR="00AB7E51">
              <w:t xml:space="preserve"> </w:t>
            </w:r>
            <w:r w:rsidR="00AB7E51" w:rsidRPr="00E656A1">
              <w:t>Impact Evaluation Report</w:t>
            </w:r>
          </w:p>
          <w:p w14:paraId="12A44749" w14:textId="741096F0" w:rsidR="00AB7E51" w:rsidRPr="00E84648" w:rsidRDefault="00AB7E51" w:rsidP="005F1B06">
            <w:pPr>
              <w:pStyle w:val="Subtitle"/>
              <w:rPr>
                <w:b w:val="0"/>
                <w:bCs/>
              </w:rPr>
            </w:pPr>
            <w:r>
              <w:t>Energy Efficiency</w:t>
            </w:r>
            <w:r w:rsidR="00012528">
              <w:t xml:space="preserve"> Plan</w:t>
            </w:r>
            <w:r>
              <w:t>: P</w:t>
            </w:r>
            <w:r w:rsidR="00012528">
              <w:t>rogram</w:t>
            </w:r>
            <w:r>
              <w:t xml:space="preserve"> Year 202</w:t>
            </w:r>
            <w:r w:rsidR="00BB3C1A">
              <w:t>4</w:t>
            </w:r>
            <w:r>
              <w:t xml:space="preserve"> </w:t>
            </w:r>
            <w:r>
              <w:br/>
              <w:t>(1/1/202</w:t>
            </w:r>
            <w:r w:rsidR="00BB3C1A">
              <w:t>4</w:t>
            </w:r>
            <w:r>
              <w:t>-12/31/202</w:t>
            </w:r>
            <w:r w:rsidR="00BB3C1A">
              <w:t>4</w:t>
            </w:r>
            <w:r>
              <w:t>)</w:t>
            </w:r>
          </w:p>
        </w:tc>
      </w:tr>
      <w:tr w:rsidR="00AB7E51" w:rsidRPr="00C324C7" w14:paraId="2A82A69E" w14:textId="77777777" w:rsidTr="005F1B06">
        <w:trPr>
          <w:trHeight w:val="2263"/>
          <w:jc w:val="center"/>
        </w:trPr>
        <w:tc>
          <w:tcPr>
            <w:tcW w:w="9360" w:type="dxa"/>
            <w:gridSpan w:val="8"/>
          </w:tcPr>
          <w:p w14:paraId="59CC5986" w14:textId="77777777" w:rsidR="00AB7E51" w:rsidRDefault="00AB7E51" w:rsidP="005F1B06">
            <w:pPr>
              <w:pStyle w:val="Preparedfor"/>
            </w:pPr>
            <w:r>
              <w:t>Prepared for:</w:t>
            </w:r>
            <w:r w:rsidRPr="009B6AE4">
              <w:rPr>
                <w:color w:val="FF0000"/>
              </w:rPr>
              <w:t xml:space="preserve"> </w:t>
            </w:r>
          </w:p>
          <w:p w14:paraId="0F93440C" w14:textId="77777777" w:rsidR="00AB7E51" w:rsidRDefault="00AB7E51" w:rsidP="005F1B06">
            <w:pPr>
              <w:pStyle w:val="Preparedfor"/>
            </w:pPr>
            <w:r>
              <w:t>Nicor Gas Company</w:t>
            </w:r>
          </w:p>
          <w:p w14:paraId="1FA63616" w14:textId="77777777" w:rsidR="00AB7E51" w:rsidRPr="004F0F97" w:rsidRDefault="00AB7E51" w:rsidP="005F1B06">
            <w:pPr>
              <w:pStyle w:val="CoverClientName0"/>
            </w:pPr>
            <w:r w:rsidRPr="004F0F97">
              <w:t>DRAFT</w:t>
            </w:r>
          </w:p>
          <w:p w14:paraId="4675A689" w14:textId="12E79633" w:rsidR="00AB7E51" w:rsidRPr="00363D18" w:rsidRDefault="004879D0" w:rsidP="005F1B06">
            <w:pPr>
              <w:pStyle w:val="CoverClientName0"/>
              <w:spacing w:after="0"/>
            </w:pPr>
            <w:r>
              <w:t xml:space="preserve">March </w:t>
            </w:r>
            <w:r w:rsidR="0007472F">
              <w:t>10</w:t>
            </w:r>
            <w:r w:rsidR="00AB7E51">
              <w:t>, 202</w:t>
            </w:r>
            <w:r w:rsidR="005C2837">
              <w:t>5</w:t>
            </w:r>
          </w:p>
        </w:tc>
      </w:tr>
      <w:tr w:rsidR="00AB7E51" w:rsidRPr="00A53568" w14:paraId="2FCB5CA6" w14:textId="77777777" w:rsidTr="005F1B06">
        <w:trPr>
          <w:trHeight w:val="419"/>
          <w:jc w:val="center"/>
        </w:trPr>
        <w:tc>
          <w:tcPr>
            <w:tcW w:w="6739" w:type="dxa"/>
            <w:gridSpan w:val="5"/>
          </w:tcPr>
          <w:p w14:paraId="713ED4DC" w14:textId="77777777" w:rsidR="00AB7E51" w:rsidRDefault="00AB7E51" w:rsidP="005F1B06">
            <w:pPr>
              <w:pStyle w:val="BodyTextBold"/>
              <w:rPr>
                <w:rStyle w:val="CoverText"/>
              </w:rPr>
            </w:pPr>
          </w:p>
          <w:p w14:paraId="1278F77B" w14:textId="5833E782" w:rsidR="00AB7E51" w:rsidRDefault="00AB7E51" w:rsidP="005F1B06">
            <w:pPr>
              <w:pStyle w:val="BodyTextBold"/>
              <w:rPr>
                <w:rStyle w:val="CoverText"/>
              </w:rPr>
            </w:pPr>
            <w:r>
              <w:rPr>
                <w:rStyle w:val="CoverText"/>
              </w:rPr>
              <w:t xml:space="preserve">Prepared by: </w:t>
            </w:r>
          </w:p>
        </w:tc>
        <w:tc>
          <w:tcPr>
            <w:tcW w:w="2621" w:type="dxa"/>
            <w:gridSpan w:val="3"/>
          </w:tcPr>
          <w:p w14:paraId="45BAF164" w14:textId="77777777" w:rsidR="00AB7E51" w:rsidRDefault="00AB7E51" w:rsidP="005F1B06">
            <w:pPr>
              <w:pStyle w:val="BodyTextNoSpacingAfter"/>
              <w:rPr>
                <w:rStyle w:val="CoverText"/>
              </w:rPr>
            </w:pPr>
          </w:p>
        </w:tc>
      </w:tr>
      <w:tr w:rsidR="00AB7E51" w:rsidRPr="00957EA9" w14:paraId="0C8C5A03" w14:textId="77777777" w:rsidTr="005F1B06">
        <w:trPr>
          <w:trHeight w:val="900"/>
          <w:jc w:val="center"/>
        </w:trPr>
        <w:tc>
          <w:tcPr>
            <w:tcW w:w="3227" w:type="dxa"/>
          </w:tcPr>
          <w:p w14:paraId="219B9251" w14:textId="77777777" w:rsidR="0007472F" w:rsidRPr="008B387B" w:rsidRDefault="0007472F" w:rsidP="0007472F">
            <w:pPr>
              <w:pStyle w:val="BodyTextNoSpacingAfter"/>
              <w:rPr>
                <w:rStyle w:val="CoverText"/>
                <w:bCs/>
              </w:rPr>
            </w:pPr>
            <w:r>
              <w:rPr>
                <w:rStyle w:val="CoverText"/>
                <w:bCs/>
              </w:rPr>
              <w:t>Ryan Kroll</w:t>
            </w:r>
          </w:p>
          <w:p w14:paraId="5EE32C25" w14:textId="6848E732" w:rsidR="00AB7E51" w:rsidRPr="008B387B" w:rsidRDefault="0007472F" w:rsidP="005F1B06">
            <w:pPr>
              <w:pStyle w:val="PresentedBy"/>
              <w:rPr>
                <w:bCs/>
                <w:color w:val="auto"/>
              </w:rPr>
            </w:pPr>
            <w:r>
              <w:rPr>
                <w:rStyle w:val="CoverText"/>
                <w:bCs/>
              </w:rPr>
              <w:t>Driftless Energy</w:t>
            </w:r>
          </w:p>
        </w:tc>
        <w:tc>
          <w:tcPr>
            <w:tcW w:w="3489" w:type="dxa"/>
            <w:gridSpan w:val="3"/>
          </w:tcPr>
          <w:p w14:paraId="3C7D60B4" w14:textId="38D5AD47" w:rsidR="00AB7E51" w:rsidRPr="008B387B" w:rsidRDefault="00AB7E51" w:rsidP="005F1B06">
            <w:pPr>
              <w:pStyle w:val="BodyTextNoSpacingAfter"/>
              <w:rPr>
                <w:rStyle w:val="CoverText"/>
                <w:bCs/>
              </w:rPr>
            </w:pPr>
          </w:p>
        </w:tc>
        <w:tc>
          <w:tcPr>
            <w:tcW w:w="2644" w:type="dxa"/>
            <w:gridSpan w:val="4"/>
          </w:tcPr>
          <w:p w14:paraId="30F39AF4" w14:textId="77777777" w:rsidR="00AB7E51" w:rsidRPr="00957EA9" w:rsidRDefault="00AB7E51" w:rsidP="005F1B06">
            <w:pPr>
              <w:pStyle w:val="PresentedBy"/>
              <w:rPr>
                <w:rStyle w:val="CoverText"/>
                <w:bCs/>
                <w:iCs/>
              </w:rPr>
            </w:pPr>
          </w:p>
        </w:tc>
      </w:tr>
      <w:tr w:rsidR="00AB7E51" w14:paraId="524588F1" w14:textId="77777777" w:rsidTr="005F1B06">
        <w:trPr>
          <w:jc w:val="center"/>
        </w:trPr>
        <w:tc>
          <w:tcPr>
            <w:tcW w:w="3227" w:type="dxa"/>
            <w:vAlign w:val="center"/>
          </w:tcPr>
          <w:p w14:paraId="7F65D09F" w14:textId="77777777" w:rsidR="00AB7E51" w:rsidRPr="00957EA9" w:rsidRDefault="00AB7E51" w:rsidP="005F1B06">
            <w:pPr>
              <w:pStyle w:val="PresentedBy"/>
              <w:jc w:val="center"/>
              <w:rPr>
                <w:b/>
                <w:color w:val="auto"/>
              </w:rPr>
            </w:pPr>
          </w:p>
        </w:tc>
        <w:tc>
          <w:tcPr>
            <w:tcW w:w="3489" w:type="dxa"/>
            <w:gridSpan w:val="3"/>
            <w:vAlign w:val="center"/>
          </w:tcPr>
          <w:p w14:paraId="0001520F" w14:textId="77777777" w:rsidR="00AB7E51" w:rsidRPr="6BF7E7CA" w:rsidRDefault="00AB7E51" w:rsidP="005F1B06">
            <w:pPr>
              <w:pStyle w:val="PresentedBy"/>
              <w:jc w:val="center"/>
              <w:rPr>
                <w:b/>
                <w:bCs/>
                <w:color w:val="auto"/>
              </w:rPr>
            </w:pPr>
          </w:p>
        </w:tc>
        <w:tc>
          <w:tcPr>
            <w:tcW w:w="2644" w:type="dxa"/>
            <w:gridSpan w:val="4"/>
          </w:tcPr>
          <w:p w14:paraId="4DB5CB50" w14:textId="77777777" w:rsidR="00AB7E51" w:rsidRDefault="00AB7E51" w:rsidP="005F1B06">
            <w:pPr>
              <w:pStyle w:val="PresentedBy"/>
              <w:rPr>
                <w:b/>
                <w:color w:val="auto"/>
              </w:rPr>
            </w:pPr>
          </w:p>
        </w:tc>
      </w:tr>
      <w:tr w:rsidR="00AB7E51" w:rsidRPr="00D8064B" w14:paraId="08FFCC50" w14:textId="77777777" w:rsidTr="005F1B06">
        <w:trPr>
          <w:trHeight w:val="1135"/>
          <w:jc w:val="center"/>
        </w:trPr>
        <w:tc>
          <w:tcPr>
            <w:tcW w:w="3227" w:type="dxa"/>
            <w:vAlign w:val="center"/>
          </w:tcPr>
          <w:p w14:paraId="50A354D3" w14:textId="77777777" w:rsidR="00AB7E51" w:rsidRPr="00D8064B" w:rsidRDefault="00AB7E51" w:rsidP="005F1B06">
            <w:pPr>
              <w:pStyle w:val="TitlepageRestriction"/>
              <w:jc w:val="center"/>
              <w:rPr>
                <w:sz w:val="18"/>
                <w:szCs w:val="18"/>
              </w:rPr>
            </w:pPr>
          </w:p>
        </w:tc>
        <w:tc>
          <w:tcPr>
            <w:tcW w:w="3324" w:type="dxa"/>
            <w:vAlign w:val="center"/>
          </w:tcPr>
          <w:p w14:paraId="24FA033D" w14:textId="77777777" w:rsidR="00AB7E51" w:rsidRPr="00D8064B" w:rsidRDefault="00AB7E51" w:rsidP="005F1B06">
            <w:pPr>
              <w:pStyle w:val="TitlepageRestriction"/>
              <w:jc w:val="center"/>
              <w:rPr>
                <w:sz w:val="18"/>
                <w:szCs w:val="18"/>
              </w:rPr>
            </w:pPr>
          </w:p>
        </w:tc>
        <w:tc>
          <w:tcPr>
            <w:tcW w:w="2058" w:type="dxa"/>
            <w:gridSpan w:val="5"/>
            <w:vAlign w:val="center"/>
          </w:tcPr>
          <w:p w14:paraId="265AF3CF" w14:textId="77777777" w:rsidR="00AB7E51" w:rsidRPr="00D8064B" w:rsidRDefault="00AB7E51" w:rsidP="005F1B06">
            <w:pPr>
              <w:pStyle w:val="TitlepageRestriction"/>
              <w:jc w:val="center"/>
              <w:rPr>
                <w:sz w:val="18"/>
                <w:szCs w:val="18"/>
              </w:rPr>
            </w:pPr>
          </w:p>
        </w:tc>
        <w:tc>
          <w:tcPr>
            <w:tcW w:w="751" w:type="dxa"/>
          </w:tcPr>
          <w:p w14:paraId="0A480BF8" w14:textId="77777777" w:rsidR="00AB7E51" w:rsidRPr="00D8064B" w:rsidRDefault="00AB7E51" w:rsidP="005F1B06">
            <w:pPr>
              <w:pStyle w:val="TitlepageRestriction"/>
              <w:rPr>
                <w:sz w:val="18"/>
                <w:szCs w:val="18"/>
              </w:rPr>
            </w:pPr>
          </w:p>
        </w:tc>
      </w:tr>
      <w:tr w:rsidR="00AB7E51" w:rsidRPr="005D53EC" w14:paraId="36C3A979" w14:textId="77777777" w:rsidTr="005F1B06">
        <w:trPr>
          <w:trHeight w:val="495"/>
          <w:jc w:val="center"/>
        </w:trPr>
        <w:tc>
          <w:tcPr>
            <w:tcW w:w="3227" w:type="dxa"/>
            <w:vAlign w:val="center"/>
          </w:tcPr>
          <w:p w14:paraId="584DDAC6" w14:textId="77777777" w:rsidR="00AB7E51" w:rsidRPr="00D8064B" w:rsidRDefault="00AB7E51" w:rsidP="005F1B06">
            <w:pPr>
              <w:pStyle w:val="TitlepageRestriction"/>
              <w:rPr>
                <w:sz w:val="18"/>
                <w:szCs w:val="18"/>
              </w:rPr>
            </w:pPr>
            <w:r w:rsidRPr="00D8064B">
              <w:rPr>
                <w:b/>
                <w:sz w:val="18"/>
                <w:szCs w:val="18"/>
              </w:rPr>
              <w:t>guidehouse.com</w:t>
            </w:r>
          </w:p>
        </w:tc>
        <w:tc>
          <w:tcPr>
            <w:tcW w:w="3482" w:type="dxa"/>
            <w:gridSpan w:val="2"/>
          </w:tcPr>
          <w:p w14:paraId="3DCEC33C" w14:textId="77777777" w:rsidR="00AB7E51" w:rsidRPr="00D8064B" w:rsidRDefault="00AB7E51" w:rsidP="005F1B06">
            <w:pPr>
              <w:pStyle w:val="TitlepageRestriction"/>
              <w:rPr>
                <w:sz w:val="18"/>
                <w:szCs w:val="18"/>
              </w:rPr>
            </w:pPr>
          </w:p>
        </w:tc>
        <w:tc>
          <w:tcPr>
            <w:tcW w:w="1541" w:type="dxa"/>
            <w:gridSpan w:val="3"/>
            <w:vAlign w:val="center"/>
          </w:tcPr>
          <w:p w14:paraId="40249E74" w14:textId="77777777" w:rsidR="00AB7E51" w:rsidRPr="00D8064B" w:rsidRDefault="00AB7E51" w:rsidP="005F1B06">
            <w:pPr>
              <w:pStyle w:val="TitlepageRestriction"/>
              <w:rPr>
                <w:sz w:val="18"/>
                <w:szCs w:val="18"/>
              </w:rPr>
            </w:pPr>
          </w:p>
        </w:tc>
        <w:tc>
          <w:tcPr>
            <w:tcW w:w="1110" w:type="dxa"/>
            <w:gridSpan w:val="2"/>
          </w:tcPr>
          <w:p w14:paraId="57DF90D2" w14:textId="77777777" w:rsidR="00AB7E51" w:rsidRPr="00D8064B" w:rsidRDefault="00AB7E51" w:rsidP="005F1B06">
            <w:pPr>
              <w:pStyle w:val="TitlepageRestriction"/>
              <w:rPr>
                <w:sz w:val="18"/>
                <w:szCs w:val="18"/>
              </w:rPr>
            </w:pPr>
          </w:p>
        </w:tc>
      </w:tr>
    </w:tbl>
    <w:p w14:paraId="44DB259E" w14:textId="77777777" w:rsidR="003C1C68" w:rsidRPr="004B7712" w:rsidRDefault="003C1C68" w:rsidP="003C1C68">
      <w:pPr>
        <w:sectPr w:rsidR="003C1C68" w:rsidRPr="004B7712" w:rsidSect="00E656A1">
          <w:headerReference w:type="default" r:id="rId11"/>
          <w:footerReference w:type="even" r:id="rId12"/>
          <w:headerReference w:type="first" r:id="rId13"/>
          <w:pgSz w:w="12240" w:h="15840" w:code="1"/>
          <w:pgMar w:top="432" w:right="1008" w:bottom="432" w:left="1008" w:header="720" w:footer="720" w:gutter="0"/>
          <w:cols w:space="720"/>
          <w:titlePg/>
          <w:docGrid w:linePitch="360"/>
        </w:sectPr>
      </w:pPr>
    </w:p>
    <w:p w14:paraId="263EFB03" w14:textId="77777777" w:rsidR="00AF6479" w:rsidRPr="00CE09F1" w:rsidRDefault="00AF6479" w:rsidP="009A0F87">
      <w:pPr>
        <w:pStyle w:val="Contactinfo"/>
      </w:pPr>
    </w:p>
    <w:p w14:paraId="5930690C" w14:textId="77777777" w:rsidR="00AF6479" w:rsidRPr="00CE09F1" w:rsidRDefault="00AF6479" w:rsidP="009A0F87">
      <w:pPr>
        <w:pStyle w:val="Contactinfo"/>
      </w:pPr>
    </w:p>
    <w:p w14:paraId="313ACBB9" w14:textId="77777777" w:rsidR="00AF6479" w:rsidRPr="00CE09F1" w:rsidRDefault="00AF6479" w:rsidP="009A0F87">
      <w:pPr>
        <w:pStyle w:val="Contactinfo"/>
      </w:pPr>
    </w:p>
    <w:p w14:paraId="37A6544B" w14:textId="77777777" w:rsidR="00AF6479" w:rsidRPr="00CE09F1" w:rsidRDefault="00AF6479" w:rsidP="009A0F87">
      <w:pPr>
        <w:pStyle w:val="Contactinfo"/>
      </w:pPr>
    </w:p>
    <w:p w14:paraId="02FCA428" w14:textId="77777777" w:rsidR="00AF6479" w:rsidRPr="00CE09F1" w:rsidRDefault="00AF6479" w:rsidP="009A0F87">
      <w:pPr>
        <w:pStyle w:val="Contactinfo"/>
      </w:pPr>
    </w:p>
    <w:p w14:paraId="31323D04" w14:textId="77777777" w:rsidR="00AF6479" w:rsidRPr="005621C7" w:rsidRDefault="00AF6479" w:rsidP="009A0F87">
      <w:pPr>
        <w:pStyle w:val="Contactinfo"/>
        <w:rPr>
          <w:b/>
        </w:rPr>
      </w:pPr>
    </w:p>
    <w:p w14:paraId="6F5B9BEB" w14:textId="77777777" w:rsidR="00AF6479" w:rsidRPr="005621C7" w:rsidRDefault="00AF6479" w:rsidP="009A0F87">
      <w:pPr>
        <w:pStyle w:val="Contactinfo"/>
        <w:rPr>
          <w:b/>
        </w:rPr>
      </w:pPr>
      <w:r w:rsidRPr="005621C7">
        <w:rPr>
          <w:b/>
        </w:rPr>
        <w:t>Submitted to:</w:t>
      </w:r>
    </w:p>
    <w:p w14:paraId="28797292" w14:textId="77777777" w:rsidR="00AF6479" w:rsidRPr="005621C7" w:rsidRDefault="00AF6479" w:rsidP="009A0F87">
      <w:pPr>
        <w:pStyle w:val="Contactinfo"/>
      </w:pPr>
    </w:p>
    <w:p w14:paraId="774F5380" w14:textId="77777777" w:rsidR="004F0F97" w:rsidRPr="000E3526" w:rsidRDefault="004F0F97" w:rsidP="004F0F97">
      <w:pPr>
        <w:pStyle w:val="Contactinfo"/>
      </w:pPr>
      <w:r>
        <w:t>Nicor Gas Company</w:t>
      </w:r>
    </w:p>
    <w:p w14:paraId="39433EDA" w14:textId="77777777" w:rsidR="004F0F97" w:rsidRPr="000E3526" w:rsidRDefault="004F0F97" w:rsidP="004F0F97">
      <w:pPr>
        <w:pStyle w:val="Contactinfo"/>
      </w:pPr>
      <w:r>
        <w:t>1844 Ferry Road</w:t>
      </w:r>
    </w:p>
    <w:p w14:paraId="63CEF3A8" w14:textId="77777777" w:rsidR="004F0F97" w:rsidRPr="000E3526" w:rsidRDefault="004F0F97" w:rsidP="004F0F97">
      <w:pPr>
        <w:pStyle w:val="Contactinfo"/>
      </w:pPr>
      <w:r>
        <w:t>Naperville, IL 60563</w:t>
      </w:r>
    </w:p>
    <w:p w14:paraId="0ACFB231" w14:textId="77777777" w:rsidR="00AF6479" w:rsidRPr="005621C7" w:rsidRDefault="00AF6479" w:rsidP="009A0F87">
      <w:pPr>
        <w:pStyle w:val="Contactinfo"/>
      </w:pPr>
    </w:p>
    <w:p w14:paraId="5CF3B713" w14:textId="77777777" w:rsidR="0019032F" w:rsidRPr="005621C7" w:rsidRDefault="0019032F" w:rsidP="009A0F87">
      <w:pPr>
        <w:pStyle w:val="Contactinfo"/>
      </w:pPr>
    </w:p>
    <w:p w14:paraId="0CC3335D" w14:textId="77777777" w:rsidR="00AF6479" w:rsidRPr="005621C7" w:rsidRDefault="00AF6479" w:rsidP="009A0F87">
      <w:pPr>
        <w:pStyle w:val="Contactinfo"/>
        <w:rPr>
          <w:b/>
        </w:rPr>
      </w:pPr>
      <w:r w:rsidRPr="005621C7">
        <w:rPr>
          <w:b/>
        </w:rPr>
        <w:t>Submitted by:</w:t>
      </w:r>
    </w:p>
    <w:p w14:paraId="379639FF" w14:textId="77777777" w:rsidR="00AF6479" w:rsidRPr="005621C7" w:rsidRDefault="00AF6479" w:rsidP="009A0F87">
      <w:pPr>
        <w:pStyle w:val="Contactinfo"/>
      </w:pPr>
    </w:p>
    <w:p w14:paraId="193BC2DB" w14:textId="77777777" w:rsidR="00AF6479" w:rsidRPr="005621C7" w:rsidRDefault="004B7712" w:rsidP="009A0F87">
      <w:pPr>
        <w:pStyle w:val="Contactinfo"/>
      </w:pPr>
      <w:r>
        <w:t>Guidehouse</w:t>
      </w:r>
    </w:p>
    <w:p w14:paraId="24AF0F85" w14:textId="77777777" w:rsidR="00AF6479" w:rsidRPr="005621C7" w:rsidRDefault="004B6DD0" w:rsidP="009A0F87">
      <w:pPr>
        <w:pStyle w:val="Contactinfo"/>
      </w:pPr>
      <w:r>
        <w:t>150 N. Riverside Plaza, Suite 2100</w:t>
      </w:r>
    </w:p>
    <w:p w14:paraId="6AF3317D" w14:textId="77777777" w:rsidR="00AF6479" w:rsidRPr="005621C7" w:rsidRDefault="00AF6479" w:rsidP="009A0F87">
      <w:pPr>
        <w:pStyle w:val="Contactinfo"/>
      </w:pPr>
      <w:r w:rsidRPr="005621C7">
        <w:t>Chicago, IL 60606</w:t>
      </w:r>
    </w:p>
    <w:p w14:paraId="0EBE6FE4" w14:textId="77777777" w:rsidR="00AF6479" w:rsidRPr="005621C7" w:rsidRDefault="00AF6479" w:rsidP="009A0F87">
      <w:pPr>
        <w:pStyle w:val="Contactinfo"/>
      </w:pPr>
    </w:p>
    <w:p w14:paraId="3AD72B76" w14:textId="77777777" w:rsidR="0019032F" w:rsidRPr="005621C7" w:rsidRDefault="0019032F" w:rsidP="009A0F87">
      <w:pPr>
        <w:pStyle w:val="Contactinfo"/>
      </w:pPr>
    </w:p>
    <w:p w14:paraId="6BAB1918" w14:textId="77777777" w:rsidR="00AF6479" w:rsidRPr="005621C7" w:rsidRDefault="003C1C68" w:rsidP="009A0F87">
      <w:pPr>
        <w:pStyle w:val="Contactinfo"/>
      </w:pPr>
      <w:r w:rsidRPr="005621C7">
        <w:rPr>
          <w:b/>
        </w:rPr>
        <w:t>Contact</w:t>
      </w:r>
      <w:r w:rsidR="00AF6479" w:rsidRPr="005621C7">
        <w:rPr>
          <w:b/>
        </w:rPr>
        <w:t>:</w:t>
      </w:r>
    </w:p>
    <w:p w14:paraId="1DEE95A6" w14:textId="77777777" w:rsidR="00AF6479" w:rsidRPr="005621C7" w:rsidRDefault="00AF6479" w:rsidP="009A0F87">
      <w:pPr>
        <w:pStyle w:val="Contactinfo"/>
      </w:pPr>
    </w:p>
    <w:tbl>
      <w:tblPr>
        <w:tblW w:w="10057" w:type="dxa"/>
        <w:tblInd w:w="-90" w:type="dxa"/>
        <w:tblLook w:val="00A0" w:firstRow="1" w:lastRow="0" w:firstColumn="1" w:lastColumn="0" w:noHBand="0" w:noVBand="0"/>
      </w:tblPr>
      <w:tblGrid>
        <w:gridCol w:w="3534"/>
        <w:gridCol w:w="3179"/>
        <w:gridCol w:w="3701"/>
      </w:tblGrid>
      <w:tr w:rsidR="004F0F97" w:rsidRPr="007B32D7" w14:paraId="66D466B5" w14:textId="77777777" w:rsidTr="004F0F97">
        <w:tc>
          <w:tcPr>
            <w:tcW w:w="3330" w:type="dxa"/>
          </w:tcPr>
          <w:p w14:paraId="777C4B13" w14:textId="23CE7D16" w:rsidR="004F0F97" w:rsidRDefault="00CF0BE6" w:rsidP="004F0F97">
            <w:pPr>
              <w:pStyle w:val="paragraph"/>
              <w:spacing w:before="0" w:beforeAutospacing="0" w:after="0" w:afterAutospacing="0"/>
              <w:textAlignment w:val="baseline"/>
              <w:rPr>
                <w:rFonts w:ascii="Arial" w:eastAsiaTheme="minorHAnsi" w:hAnsi="Arial" w:cstheme="minorBidi"/>
                <w:sz w:val="20"/>
                <w:szCs w:val="20"/>
              </w:rPr>
            </w:pPr>
            <w:r>
              <w:rPr>
                <w:rFonts w:ascii="Arial" w:eastAsiaTheme="minorHAnsi" w:hAnsi="Arial" w:cstheme="minorBidi"/>
                <w:sz w:val="20"/>
                <w:szCs w:val="20"/>
              </w:rPr>
              <w:t>Ted W</w:t>
            </w:r>
            <w:r w:rsidR="00FB693F">
              <w:rPr>
                <w:rFonts w:ascii="Arial" w:eastAsiaTheme="minorHAnsi" w:hAnsi="Arial" w:cstheme="minorBidi"/>
                <w:sz w:val="20"/>
                <w:szCs w:val="20"/>
              </w:rPr>
              <w:t>alker</w:t>
            </w:r>
            <w:r w:rsidR="004F0F97" w:rsidRPr="00657529">
              <w:rPr>
                <w:rFonts w:ascii="Arial" w:eastAsiaTheme="minorHAnsi" w:hAnsi="Arial" w:cstheme="minorBidi"/>
                <w:sz w:val="20"/>
                <w:szCs w:val="20"/>
              </w:rPr>
              <w:t xml:space="preserve"> </w:t>
            </w:r>
          </w:p>
          <w:p w14:paraId="76590658" w14:textId="77777777" w:rsidR="004F0F97" w:rsidRPr="00657529" w:rsidRDefault="004F0F97" w:rsidP="004F0F97">
            <w:pPr>
              <w:pStyle w:val="paragraph"/>
              <w:spacing w:before="0" w:beforeAutospacing="0" w:after="0" w:afterAutospacing="0"/>
              <w:textAlignment w:val="baseline"/>
              <w:rPr>
                <w:rFonts w:ascii="Arial" w:eastAsiaTheme="minorHAnsi" w:hAnsi="Arial" w:cstheme="minorBidi"/>
                <w:sz w:val="20"/>
                <w:szCs w:val="20"/>
              </w:rPr>
            </w:pPr>
            <w:r w:rsidRPr="00657529">
              <w:rPr>
                <w:rFonts w:ascii="Arial" w:eastAsiaTheme="minorHAnsi" w:hAnsi="Arial" w:cstheme="minorBidi"/>
                <w:sz w:val="20"/>
                <w:szCs w:val="20"/>
              </w:rPr>
              <w:t>Partner </w:t>
            </w:r>
          </w:p>
          <w:p w14:paraId="50555448" w14:textId="527194EE" w:rsidR="004F0F97" w:rsidRPr="00657529" w:rsidRDefault="009B329E" w:rsidP="004F0F97">
            <w:pPr>
              <w:pStyle w:val="paragraph"/>
              <w:spacing w:before="0" w:beforeAutospacing="0" w:after="0" w:afterAutospacing="0"/>
              <w:textAlignment w:val="baseline"/>
              <w:rPr>
                <w:rFonts w:ascii="Arial" w:eastAsiaTheme="minorHAnsi" w:hAnsi="Arial" w:cstheme="minorBidi"/>
                <w:sz w:val="20"/>
                <w:szCs w:val="20"/>
              </w:rPr>
            </w:pPr>
            <w:r w:rsidRPr="009B329E">
              <w:rPr>
                <w:rFonts w:ascii="Arial" w:eastAsiaTheme="minorHAnsi" w:hAnsi="Arial" w:cstheme="minorBidi"/>
                <w:sz w:val="20"/>
                <w:szCs w:val="20"/>
              </w:rPr>
              <w:t>404</w:t>
            </w:r>
            <w:r>
              <w:rPr>
                <w:rFonts w:ascii="Arial" w:eastAsiaTheme="minorHAnsi" w:hAnsi="Arial" w:cstheme="minorBidi"/>
                <w:sz w:val="20"/>
                <w:szCs w:val="20"/>
              </w:rPr>
              <w:t>.</w:t>
            </w:r>
            <w:r w:rsidRPr="009B329E">
              <w:rPr>
                <w:rFonts w:ascii="Arial" w:eastAsiaTheme="minorHAnsi" w:hAnsi="Arial" w:cstheme="minorBidi"/>
                <w:sz w:val="20"/>
                <w:szCs w:val="20"/>
              </w:rPr>
              <w:t>602</w:t>
            </w:r>
            <w:r>
              <w:rPr>
                <w:rFonts w:ascii="Arial" w:eastAsiaTheme="minorHAnsi" w:hAnsi="Arial" w:cstheme="minorBidi"/>
                <w:sz w:val="20"/>
                <w:szCs w:val="20"/>
              </w:rPr>
              <w:t>.</w:t>
            </w:r>
            <w:r w:rsidRPr="009B329E">
              <w:rPr>
                <w:rFonts w:ascii="Arial" w:eastAsiaTheme="minorHAnsi" w:hAnsi="Arial" w:cstheme="minorBidi"/>
                <w:sz w:val="20"/>
                <w:szCs w:val="20"/>
              </w:rPr>
              <w:t>3463</w:t>
            </w:r>
            <w:r w:rsidR="004F0F97" w:rsidRPr="00657529">
              <w:rPr>
                <w:rFonts w:ascii="Arial" w:eastAsiaTheme="minorHAnsi" w:hAnsi="Arial" w:cstheme="minorBidi"/>
                <w:sz w:val="20"/>
                <w:szCs w:val="20"/>
              </w:rPr>
              <w:t>  </w:t>
            </w:r>
          </w:p>
          <w:p w14:paraId="748F20CD" w14:textId="7B1F4C30" w:rsidR="004F0F97" w:rsidRPr="00012528" w:rsidRDefault="00CF0BE6" w:rsidP="004F0F97">
            <w:pPr>
              <w:pStyle w:val="paragraph"/>
              <w:spacing w:before="0" w:beforeAutospacing="0" w:after="0" w:afterAutospacing="0"/>
              <w:textAlignment w:val="baseline"/>
              <w:rPr>
                <w:rFonts w:ascii="Arial" w:eastAsiaTheme="minorHAnsi" w:hAnsi="Arial" w:cstheme="minorBidi"/>
                <w:b/>
                <w:bCs/>
                <w:sz w:val="20"/>
                <w:szCs w:val="20"/>
              </w:rPr>
            </w:pPr>
            <w:r w:rsidRPr="00CF0BE6">
              <w:rPr>
                <w:rFonts w:ascii="Arial" w:eastAsiaTheme="minorHAnsi" w:hAnsi="Arial" w:cstheme="minorBidi"/>
                <w:b/>
                <w:bCs/>
                <w:sz w:val="20"/>
                <w:szCs w:val="20"/>
              </w:rPr>
              <w:t>ted.walker@guidehouse.com</w:t>
            </w:r>
            <w:r w:rsidR="003B017A" w:rsidRPr="00012528">
              <w:rPr>
                <w:rFonts w:ascii="Arial" w:eastAsiaTheme="minorHAnsi" w:hAnsi="Arial" w:cstheme="minorBidi"/>
                <w:b/>
                <w:bCs/>
                <w:sz w:val="20"/>
                <w:szCs w:val="20"/>
              </w:rPr>
              <w:t xml:space="preserve">  </w:t>
            </w:r>
          </w:p>
          <w:p w14:paraId="733B3E45" w14:textId="77777777" w:rsidR="004F0F97" w:rsidRDefault="004F0F97" w:rsidP="00940598">
            <w:pPr>
              <w:pStyle w:val="paragraph"/>
              <w:spacing w:before="0" w:beforeAutospacing="0" w:after="0" w:afterAutospacing="0"/>
              <w:textAlignment w:val="baseline"/>
            </w:pPr>
          </w:p>
          <w:p w14:paraId="4FE21524" w14:textId="2547E86B" w:rsidR="002C171A" w:rsidRPr="00AE0841" w:rsidRDefault="002C171A" w:rsidP="002C171A">
            <w:pPr>
              <w:pStyle w:val="Contactinfo"/>
              <w:rPr>
                <w:sz w:val="20"/>
              </w:rPr>
            </w:pPr>
            <w:r>
              <w:rPr>
                <w:sz w:val="20"/>
              </w:rPr>
              <w:t>Charles Ampong</w:t>
            </w:r>
            <w:r w:rsidRPr="00AE0841">
              <w:rPr>
                <w:sz w:val="20"/>
              </w:rPr>
              <w:br/>
              <w:t>Associate Director</w:t>
            </w:r>
          </w:p>
          <w:p w14:paraId="2F51E1F1" w14:textId="074E9620" w:rsidR="002C171A" w:rsidRPr="00AE0841" w:rsidRDefault="002C171A" w:rsidP="002C171A">
            <w:pPr>
              <w:pStyle w:val="Contactinfo"/>
              <w:rPr>
                <w:sz w:val="20"/>
              </w:rPr>
            </w:pPr>
            <w:r w:rsidRPr="00AE0841">
              <w:rPr>
                <w:sz w:val="20"/>
              </w:rPr>
              <w:t>608.</w:t>
            </w:r>
            <w:r>
              <w:rPr>
                <w:sz w:val="20"/>
              </w:rPr>
              <w:t>446.3172</w:t>
            </w:r>
          </w:p>
          <w:p w14:paraId="7355A88C" w14:textId="156946BF" w:rsidR="002C171A" w:rsidRPr="00012528" w:rsidRDefault="002C171A" w:rsidP="002C171A">
            <w:pPr>
              <w:pStyle w:val="Contactinfo"/>
              <w:rPr>
                <w:sz w:val="20"/>
              </w:rPr>
            </w:pPr>
            <w:r w:rsidRPr="00012528">
              <w:rPr>
                <w:b/>
                <w:sz w:val="20"/>
                <w:u w:color="93D500" w:themeColor="accent1"/>
              </w:rPr>
              <w:t>charles.ampong@guidehouse.com</w:t>
            </w:r>
          </w:p>
          <w:p w14:paraId="4884406D" w14:textId="77777777" w:rsidR="002C171A" w:rsidRDefault="002C171A" w:rsidP="002C171A">
            <w:pPr>
              <w:pStyle w:val="Contactinfo"/>
              <w:rPr>
                <w:sz w:val="20"/>
              </w:rPr>
            </w:pPr>
          </w:p>
          <w:p w14:paraId="31EA3FBA" w14:textId="68E6A455" w:rsidR="002C171A" w:rsidRPr="007B32D7" w:rsidRDefault="002C171A" w:rsidP="004F0F97">
            <w:pPr>
              <w:pStyle w:val="Contactinfo"/>
            </w:pPr>
          </w:p>
        </w:tc>
        <w:tc>
          <w:tcPr>
            <w:tcW w:w="3420" w:type="dxa"/>
          </w:tcPr>
          <w:p w14:paraId="029B81BD" w14:textId="7A110351" w:rsidR="004F0F97" w:rsidRPr="00657529" w:rsidRDefault="005C2837" w:rsidP="004F0F97">
            <w:pPr>
              <w:pStyle w:val="paragraph"/>
              <w:spacing w:before="0" w:beforeAutospacing="0" w:after="0" w:afterAutospacing="0"/>
              <w:textAlignment w:val="baseline"/>
              <w:rPr>
                <w:rFonts w:ascii="Arial" w:eastAsiaTheme="minorHAnsi" w:hAnsi="Arial" w:cstheme="minorBidi"/>
                <w:sz w:val="20"/>
                <w:szCs w:val="20"/>
              </w:rPr>
            </w:pPr>
            <w:r>
              <w:rPr>
                <w:rFonts w:ascii="Arial" w:eastAsiaTheme="minorHAnsi" w:hAnsi="Arial" w:cstheme="minorBidi"/>
                <w:sz w:val="20"/>
                <w:szCs w:val="20"/>
              </w:rPr>
              <w:t>Jeff Erickson</w:t>
            </w:r>
            <w:r w:rsidR="004F0F97" w:rsidRPr="00657529">
              <w:rPr>
                <w:rFonts w:ascii="Arial" w:eastAsiaTheme="minorHAnsi" w:hAnsi="Arial" w:cstheme="minorBidi"/>
                <w:sz w:val="20"/>
                <w:szCs w:val="20"/>
              </w:rPr>
              <w:t xml:space="preserve"> </w:t>
            </w:r>
          </w:p>
          <w:p w14:paraId="22CCE7DC" w14:textId="77777777" w:rsidR="004F0F97" w:rsidRPr="00657529" w:rsidRDefault="004F0F97" w:rsidP="004F0F97">
            <w:pPr>
              <w:pStyle w:val="paragraph"/>
              <w:spacing w:before="0" w:beforeAutospacing="0" w:after="0" w:afterAutospacing="0"/>
              <w:textAlignment w:val="baseline"/>
              <w:rPr>
                <w:rFonts w:ascii="Arial" w:eastAsiaTheme="minorHAnsi" w:hAnsi="Arial" w:cstheme="minorBidi"/>
                <w:sz w:val="20"/>
                <w:szCs w:val="20"/>
              </w:rPr>
            </w:pPr>
            <w:r w:rsidRPr="00657529">
              <w:rPr>
                <w:rFonts w:ascii="Arial" w:eastAsiaTheme="minorHAnsi" w:hAnsi="Arial" w:cstheme="minorBidi"/>
                <w:sz w:val="20"/>
                <w:szCs w:val="20"/>
              </w:rPr>
              <w:t>Director </w:t>
            </w:r>
          </w:p>
          <w:p w14:paraId="29E79F3E" w14:textId="1276D9F8" w:rsidR="004F0F97" w:rsidRPr="00657529" w:rsidRDefault="005C2837" w:rsidP="004F0F97">
            <w:pPr>
              <w:pStyle w:val="paragraph"/>
              <w:spacing w:before="0" w:beforeAutospacing="0" w:after="0" w:afterAutospacing="0"/>
              <w:textAlignment w:val="baseline"/>
              <w:rPr>
                <w:rFonts w:ascii="Arial" w:eastAsiaTheme="minorHAnsi" w:hAnsi="Arial" w:cstheme="minorBidi"/>
                <w:sz w:val="20"/>
                <w:szCs w:val="20"/>
              </w:rPr>
            </w:pPr>
            <w:r>
              <w:rPr>
                <w:rFonts w:ascii="Arial" w:eastAsiaTheme="minorHAnsi" w:hAnsi="Arial" w:cstheme="minorBidi"/>
                <w:sz w:val="20"/>
                <w:szCs w:val="20"/>
              </w:rPr>
              <w:t>608.616.4962</w:t>
            </w:r>
            <w:r w:rsidR="004F0F97" w:rsidRPr="00657529">
              <w:rPr>
                <w:rFonts w:ascii="Arial" w:eastAsiaTheme="minorHAnsi" w:hAnsi="Arial" w:cstheme="minorBidi"/>
                <w:sz w:val="20"/>
                <w:szCs w:val="20"/>
              </w:rPr>
              <w:t> </w:t>
            </w:r>
          </w:p>
          <w:p w14:paraId="35D4E078" w14:textId="68A0B21D" w:rsidR="004F0F97" w:rsidRPr="00012528" w:rsidRDefault="005C2837" w:rsidP="004F0F97">
            <w:pPr>
              <w:pStyle w:val="paragraph"/>
              <w:spacing w:before="0" w:beforeAutospacing="0" w:after="0" w:afterAutospacing="0"/>
              <w:textAlignment w:val="baseline"/>
              <w:rPr>
                <w:rStyle w:val="Hyperlink"/>
                <w:rFonts w:eastAsiaTheme="minorHAnsi" w:cstheme="minorBidi"/>
                <w:sz w:val="20"/>
                <w:szCs w:val="20"/>
              </w:rPr>
            </w:pPr>
            <w:r>
              <w:rPr>
                <w:rFonts w:ascii="Arial" w:eastAsiaTheme="minorHAnsi" w:hAnsi="Arial" w:cstheme="minorBidi"/>
                <w:b/>
                <w:sz w:val="20"/>
                <w:szCs w:val="20"/>
                <w:u w:color="93D500" w:themeColor="accent1"/>
              </w:rPr>
              <w:t>jeff.erickson</w:t>
            </w:r>
            <w:r w:rsidR="002C171A" w:rsidRPr="00012528">
              <w:rPr>
                <w:rFonts w:ascii="Arial" w:eastAsiaTheme="minorHAnsi" w:hAnsi="Arial" w:cstheme="minorBidi"/>
                <w:b/>
                <w:sz w:val="20"/>
                <w:szCs w:val="20"/>
                <w:u w:color="93D500" w:themeColor="accent1"/>
              </w:rPr>
              <w:t>@guidehouse.com</w:t>
            </w:r>
          </w:p>
          <w:p w14:paraId="72BB80D1" w14:textId="77777777" w:rsidR="00917C40" w:rsidRPr="00657529" w:rsidRDefault="00917C40" w:rsidP="004F0F97">
            <w:pPr>
              <w:pStyle w:val="paragraph"/>
              <w:spacing w:before="0" w:beforeAutospacing="0" w:after="0" w:afterAutospacing="0"/>
              <w:textAlignment w:val="baseline"/>
              <w:rPr>
                <w:rFonts w:ascii="Arial" w:eastAsiaTheme="minorHAnsi" w:hAnsi="Arial" w:cstheme="minorBidi"/>
                <w:sz w:val="20"/>
                <w:szCs w:val="20"/>
              </w:rPr>
            </w:pPr>
          </w:p>
          <w:p w14:paraId="42B4385B" w14:textId="77777777" w:rsidR="004F0F97" w:rsidRPr="007B32D7" w:rsidRDefault="004F0F97" w:rsidP="004F0F97">
            <w:pPr>
              <w:pStyle w:val="Contactinfo"/>
            </w:pPr>
          </w:p>
        </w:tc>
        <w:tc>
          <w:tcPr>
            <w:tcW w:w="3307" w:type="dxa"/>
          </w:tcPr>
          <w:p w14:paraId="16E2CFF5" w14:textId="564A0F43" w:rsidR="004F0F97" w:rsidRPr="00AE0841" w:rsidRDefault="002C171A" w:rsidP="004F0F97">
            <w:pPr>
              <w:pStyle w:val="Contactinfo"/>
              <w:rPr>
                <w:sz w:val="20"/>
              </w:rPr>
            </w:pPr>
            <w:r>
              <w:rPr>
                <w:sz w:val="20"/>
              </w:rPr>
              <w:t>Laura Agapay-Read</w:t>
            </w:r>
            <w:r w:rsidR="004F0F97" w:rsidRPr="00AE0841">
              <w:rPr>
                <w:sz w:val="20"/>
              </w:rPr>
              <w:br/>
              <w:t>Associate Director</w:t>
            </w:r>
          </w:p>
          <w:p w14:paraId="165095C4" w14:textId="126AA650" w:rsidR="004F0F97" w:rsidRDefault="002C171A" w:rsidP="004F0F97">
            <w:pPr>
              <w:pStyle w:val="Contactinfo"/>
              <w:rPr>
                <w:sz w:val="20"/>
              </w:rPr>
            </w:pPr>
            <w:r>
              <w:rPr>
                <w:sz w:val="20"/>
              </w:rPr>
              <w:t>312</w:t>
            </w:r>
            <w:r w:rsidR="004F0F97" w:rsidRPr="00AE0841">
              <w:rPr>
                <w:sz w:val="20"/>
              </w:rPr>
              <w:t>.</w:t>
            </w:r>
            <w:r>
              <w:rPr>
                <w:sz w:val="20"/>
              </w:rPr>
              <w:t>583</w:t>
            </w:r>
            <w:r w:rsidR="004F0F97" w:rsidRPr="00AE0841">
              <w:rPr>
                <w:sz w:val="20"/>
              </w:rPr>
              <w:t>.</w:t>
            </w:r>
            <w:r>
              <w:rPr>
                <w:sz w:val="20"/>
              </w:rPr>
              <w:t>4178</w:t>
            </w:r>
          </w:p>
          <w:p w14:paraId="207AF480" w14:textId="5E015BC6" w:rsidR="002C171A" w:rsidRPr="00012528" w:rsidRDefault="003B017A" w:rsidP="004F0F97">
            <w:pPr>
              <w:pStyle w:val="Contactinfo"/>
              <w:rPr>
                <w:sz w:val="20"/>
              </w:rPr>
            </w:pPr>
            <w:r w:rsidRPr="00012528">
              <w:rPr>
                <w:b/>
                <w:sz w:val="20"/>
                <w:u w:color="93D500" w:themeColor="accent1"/>
              </w:rPr>
              <w:t>la</w:t>
            </w:r>
            <w:r w:rsidR="002C171A" w:rsidRPr="00012528">
              <w:rPr>
                <w:b/>
                <w:sz w:val="20"/>
                <w:u w:color="93D500" w:themeColor="accent1"/>
              </w:rPr>
              <w:t>ura.agapay.read@guidehouse.com</w:t>
            </w:r>
          </w:p>
          <w:p w14:paraId="048EF2F9" w14:textId="77777777" w:rsidR="002C171A" w:rsidRPr="000D0C1E" w:rsidRDefault="002C171A" w:rsidP="004F0F97">
            <w:pPr>
              <w:pStyle w:val="Contactinfo"/>
              <w:rPr>
                <w:color w:val="0070C0"/>
                <w:sz w:val="20"/>
              </w:rPr>
            </w:pPr>
          </w:p>
          <w:p w14:paraId="2C8E36AD" w14:textId="4EFF32B0" w:rsidR="002C171A" w:rsidRPr="007B32D7" w:rsidRDefault="002C171A" w:rsidP="00917C40">
            <w:pPr>
              <w:pStyle w:val="Contactinfo"/>
            </w:pPr>
          </w:p>
        </w:tc>
      </w:tr>
    </w:tbl>
    <w:p w14:paraId="13894654" w14:textId="77777777" w:rsidR="004F0F97" w:rsidRPr="005621C7" w:rsidRDefault="004F0F97" w:rsidP="004F0F97">
      <w:r w:rsidRPr="005621C7">
        <w:t>Disclaimer: This report was prepared</w:t>
      </w:r>
      <w:r>
        <w:t xml:space="preserve"> by</w:t>
      </w:r>
      <w:r w:rsidRPr="005621C7">
        <w:t xml:space="preserve"> </w:t>
      </w:r>
      <w:r>
        <w:t xml:space="preserve">Guidehouse </w:t>
      </w:r>
      <w:r w:rsidRPr="005621C7">
        <w:t>for</w:t>
      </w:r>
      <w:r>
        <w:t xml:space="preserve"> Nicor Gas </w:t>
      </w:r>
      <w:r w:rsidRPr="005621C7">
        <w:t xml:space="preserve">based upon information provided by </w:t>
      </w:r>
      <w:r>
        <w:t>Nicor Gas</w:t>
      </w:r>
      <w:r w:rsidRPr="005621C7">
        <w:t xml:space="preserve"> and from other sources. Use of this report by any other party for whatever purpose should not, and does not, absolve such party from using due diligence in verifying the report’s contents. Neither </w:t>
      </w:r>
      <w:r>
        <w:t>Guidehouse</w:t>
      </w:r>
      <w:r w:rsidRPr="005621C7">
        <w:t xml:space="preserve"> nor any of its subsidiaries or affiliates assumes any liability or duty of care to such parties, and hereby disclaims any such liability.</w:t>
      </w:r>
    </w:p>
    <w:p w14:paraId="453B7777" w14:textId="77777777" w:rsidR="00415C54" w:rsidRPr="005621C7" w:rsidRDefault="00415C54" w:rsidP="009A59F0">
      <w:pPr>
        <w:pStyle w:val="Contactinfo"/>
        <w:sectPr w:rsidR="00415C54" w:rsidRPr="005621C7" w:rsidSect="007D70E2">
          <w:headerReference w:type="default" r:id="rId14"/>
          <w:footerReference w:type="default" r:id="rId15"/>
          <w:pgSz w:w="12240" w:h="15840" w:code="1"/>
          <w:pgMar w:top="1440" w:right="1440" w:bottom="1440" w:left="1440" w:header="720" w:footer="720" w:gutter="0"/>
          <w:pgNumType w:fmt="lowerRoman" w:start="1"/>
          <w:cols w:space="720"/>
          <w:docGrid w:linePitch="360"/>
        </w:sectPr>
      </w:pPr>
    </w:p>
    <w:p w14:paraId="1562E846" w14:textId="77777777" w:rsidR="00AF6479" w:rsidRPr="00141312" w:rsidRDefault="00AF6479" w:rsidP="00141312">
      <w:pPr>
        <w:pStyle w:val="TOCHeading"/>
      </w:pPr>
      <w:r w:rsidRPr="00141312">
        <w:lastRenderedPageBreak/>
        <w:t>Table of Contents</w:t>
      </w:r>
    </w:p>
    <w:p w14:paraId="7F07A083" w14:textId="6ABB0BA2" w:rsidR="00AE7242" w:rsidRDefault="00B856F2">
      <w:pPr>
        <w:pStyle w:val="TOC1"/>
        <w:rPr>
          <w:rFonts w:asciiTheme="minorHAnsi" w:eastAsiaTheme="minorEastAsia" w:hAnsiTheme="minorHAnsi" w:cstheme="minorBidi"/>
          <w:b w:val="0"/>
          <w:noProof/>
          <w:kern w:val="2"/>
          <w:szCs w:val="22"/>
          <w14:ligatures w14:val="standardContextual"/>
        </w:rPr>
      </w:pPr>
      <w:r>
        <w:rPr>
          <w:noProof/>
          <w:sz w:val="20"/>
        </w:rPr>
        <w:fldChar w:fldCharType="begin"/>
      </w:r>
      <w:r>
        <w:rPr>
          <w:noProof/>
          <w:sz w:val="20"/>
        </w:rPr>
        <w:instrText xml:space="preserve"> TOC \o "1-2" \h \z \u \t "Heading 5,1,Heading 6,2" </w:instrText>
      </w:r>
      <w:r>
        <w:rPr>
          <w:noProof/>
          <w:sz w:val="20"/>
        </w:rPr>
        <w:fldChar w:fldCharType="separate"/>
      </w:r>
      <w:hyperlink w:anchor="_Toc189833643" w:history="1">
        <w:r w:rsidR="00AE7242" w:rsidRPr="009031B6">
          <w:rPr>
            <w:rStyle w:val="Hyperlink"/>
            <w:noProof/>
          </w:rPr>
          <w:t>Introduction</w:t>
        </w:r>
        <w:r w:rsidR="00AE7242">
          <w:rPr>
            <w:noProof/>
            <w:webHidden/>
          </w:rPr>
          <w:tab/>
        </w:r>
        <w:r w:rsidR="00AE7242">
          <w:rPr>
            <w:noProof/>
            <w:webHidden/>
          </w:rPr>
          <w:fldChar w:fldCharType="begin"/>
        </w:r>
        <w:r w:rsidR="00AE7242">
          <w:rPr>
            <w:noProof/>
            <w:webHidden/>
          </w:rPr>
          <w:instrText xml:space="preserve"> PAGEREF _Toc189833643 \h </w:instrText>
        </w:r>
        <w:r w:rsidR="00AE7242">
          <w:rPr>
            <w:noProof/>
            <w:webHidden/>
          </w:rPr>
        </w:r>
        <w:r w:rsidR="00AE7242">
          <w:rPr>
            <w:noProof/>
            <w:webHidden/>
          </w:rPr>
          <w:fldChar w:fldCharType="separate"/>
        </w:r>
        <w:r w:rsidR="00AE7242">
          <w:rPr>
            <w:noProof/>
            <w:webHidden/>
          </w:rPr>
          <w:t>2</w:t>
        </w:r>
        <w:r w:rsidR="00AE7242">
          <w:rPr>
            <w:noProof/>
            <w:webHidden/>
          </w:rPr>
          <w:fldChar w:fldCharType="end"/>
        </w:r>
      </w:hyperlink>
    </w:p>
    <w:p w14:paraId="62A5C071" w14:textId="704070C5" w:rsidR="00AE7242" w:rsidRDefault="00975872">
      <w:pPr>
        <w:pStyle w:val="TOC1"/>
        <w:rPr>
          <w:rFonts w:asciiTheme="minorHAnsi" w:eastAsiaTheme="minorEastAsia" w:hAnsiTheme="minorHAnsi" w:cstheme="minorBidi"/>
          <w:b w:val="0"/>
          <w:noProof/>
          <w:kern w:val="2"/>
          <w:szCs w:val="22"/>
          <w14:ligatures w14:val="standardContextual"/>
        </w:rPr>
      </w:pPr>
      <w:hyperlink w:anchor="_Toc189833644" w:history="1">
        <w:r w:rsidR="00AE7242" w:rsidRPr="009031B6">
          <w:rPr>
            <w:rStyle w:val="Hyperlink"/>
            <w:noProof/>
          </w:rPr>
          <w:t>Program Description</w:t>
        </w:r>
        <w:r w:rsidR="00AE7242">
          <w:rPr>
            <w:noProof/>
            <w:webHidden/>
          </w:rPr>
          <w:tab/>
        </w:r>
        <w:r w:rsidR="00AE7242">
          <w:rPr>
            <w:noProof/>
            <w:webHidden/>
          </w:rPr>
          <w:fldChar w:fldCharType="begin"/>
        </w:r>
        <w:r w:rsidR="00AE7242">
          <w:rPr>
            <w:noProof/>
            <w:webHidden/>
          </w:rPr>
          <w:instrText xml:space="preserve"> PAGEREF _Toc189833644 \h </w:instrText>
        </w:r>
        <w:r w:rsidR="00AE7242">
          <w:rPr>
            <w:noProof/>
            <w:webHidden/>
          </w:rPr>
        </w:r>
        <w:r w:rsidR="00AE7242">
          <w:rPr>
            <w:noProof/>
            <w:webHidden/>
          </w:rPr>
          <w:fldChar w:fldCharType="separate"/>
        </w:r>
        <w:r w:rsidR="00AE7242">
          <w:rPr>
            <w:noProof/>
            <w:webHidden/>
          </w:rPr>
          <w:t>2</w:t>
        </w:r>
        <w:r w:rsidR="00AE7242">
          <w:rPr>
            <w:noProof/>
            <w:webHidden/>
          </w:rPr>
          <w:fldChar w:fldCharType="end"/>
        </w:r>
      </w:hyperlink>
    </w:p>
    <w:p w14:paraId="0BD49CD3" w14:textId="0169D90D" w:rsidR="00AE7242" w:rsidRDefault="00975872">
      <w:pPr>
        <w:pStyle w:val="TOC1"/>
        <w:rPr>
          <w:rFonts w:asciiTheme="minorHAnsi" w:eastAsiaTheme="minorEastAsia" w:hAnsiTheme="minorHAnsi" w:cstheme="minorBidi"/>
          <w:b w:val="0"/>
          <w:noProof/>
          <w:kern w:val="2"/>
          <w:szCs w:val="22"/>
          <w14:ligatures w14:val="standardContextual"/>
        </w:rPr>
      </w:pPr>
      <w:hyperlink w:anchor="_Toc189833645" w:history="1">
        <w:r w:rsidR="00AE7242" w:rsidRPr="009031B6">
          <w:rPr>
            <w:rStyle w:val="Hyperlink"/>
            <w:noProof/>
          </w:rPr>
          <w:t>Program Savings Detail</w:t>
        </w:r>
        <w:r w:rsidR="00AE7242">
          <w:rPr>
            <w:noProof/>
            <w:webHidden/>
          </w:rPr>
          <w:tab/>
        </w:r>
        <w:r w:rsidR="00AE7242">
          <w:rPr>
            <w:noProof/>
            <w:webHidden/>
          </w:rPr>
          <w:fldChar w:fldCharType="begin"/>
        </w:r>
        <w:r w:rsidR="00AE7242">
          <w:rPr>
            <w:noProof/>
            <w:webHidden/>
          </w:rPr>
          <w:instrText xml:space="preserve"> PAGEREF _Toc189833645 \h </w:instrText>
        </w:r>
        <w:r w:rsidR="00AE7242">
          <w:rPr>
            <w:noProof/>
            <w:webHidden/>
          </w:rPr>
        </w:r>
        <w:r w:rsidR="00AE7242">
          <w:rPr>
            <w:noProof/>
            <w:webHidden/>
          </w:rPr>
          <w:fldChar w:fldCharType="separate"/>
        </w:r>
        <w:r w:rsidR="00AE7242">
          <w:rPr>
            <w:noProof/>
            <w:webHidden/>
          </w:rPr>
          <w:t>3</w:t>
        </w:r>
        <w:r w:rsidR="00AE7242">
          <w:rPr>
            <w:noProof/>
            <w:webHidden/>
          </w:rPr>
          <w:fldChar w:fldCharType="end"/>
        </w:r>
      </w:hyperlink>
    </w:p>
    <w:p w14:paraId="76910219" w14:textId="756ABEFE" w:rsidR="00AE7242" w:rsidRDefault="00975872">
      <w:pPr>
        <w:pStyle w:val="TOC1"/>
        <w:rPr>
          <w:rFonts w:asciiTheme="minorHAnsi" w:eastAsiaTheme="minorEastAsia" w:hAnsiTheme="minorHAnsi" w:cstheme="minorBidi"/>
          <w:b w:val="0"/>
          <w:noProof/>
          <w:kern w:val="2"/>
          <w:szCs w:val="22"/>
          <w14:ligatures w14:val="standardContextual"/>
        </w:rPr>
      </w:pPr>
      <w:hyperlink w:anchor="_Toc189833646" w:history="1">
        <w:r w:rsidR="00AE7242" w:rsidRPr="009031B6">
          <w:rPr>
            <w:rStyle w:val="Hyperlink"/>
            <w:noProof/>
          </w:rPr>
          <w:t>Program Savings by Measure</w:t>
        </w:r>
        <w:r w:rsidR="00AE7242">
          <w:rPr>
            <w:noProof/>
            <w:webHidden/>
          </w:rPr>
          <w:tab/>
        </w:r>
        <w:r w:rsidR="00AE7242">
          <w:rPr>
            <w:noProof/>
            <w:webHidden/>
          </w:rPr>
          <w:fldChar w:fldCharType="begin"/>
        </w:r>
        <w:r w:rsidR="00AE7242">
          <w:rPr>
            <w:noProof/>
            <w:webHidden/>
          </w:rPr>
          <w:instrText xml:space="preserve"> PAGEREF _Toc189833646 \h </w:instrText>
        </w:r>
        <w:r w:rsidR="00AE7242">
          <w:rPr>
            <w:noProof/>
            <w:webHidden/>
          </w:rPr>
        </w:r>
        <w:r w:rsidR="00AE7242">
          <w:rPr>
            <w:noProof/>
            <w:webHidden/>
          </w:rPr>
          <w:fldChar w:fldCharType="separate"/>
        </w:r>
        <w:r w:rsidR="00AE7242">
          <w:rPr>
            <w:noProof/>
            <w:webHidden/>
          </w:rPr>
          <w:t>4</w:t>
        </w:r>
        <w:r w:rsidR="00AE7242">
          <w:rPr>
            <w:noProof/>
            <w:webHidden/>
          </w:rPr>
          <w:fldChar w:fldCharType="end"/>
        </w:r>
      </w:hyperlink>
    </w:p>
    <w:p w14:paraId="340A62CF" w14:textId="6668F45D" w:rsidR="00AE7242" w:rsidRDefault="00975872">
      <w:pPr>
        <w:pStyle w:val="TOC1"/>
        <w:rPr>
          <w:rFonts w:asciiTheme="minorHAnsi" w:eastAsiaTheme="minorEastAsia" w:hAnsiTheme="minorHAnsi" w:cstheme="minorBidi"/>
          <w:b w:val="0"/>
          <w:noProof/>
          <w:kern w:val="2"/>
          <w:szCs w:val="22"/>
          <w14:ligatures w14:val="standardContextual"/>
        </w:rPr>
      </w:pPr>
      <w:hyperlink w:anchor="_Toc189833647" w:history="1">
        <w:r w:rsidR="00AE7242" w:rsidRPr="009031B6">
          <w:rPr>
            <w:rStyle w:val="Hyperlink"/>
            <w:noProof/>
          </w:rPr>
          <w:t>Impact Analysis Findings and Recommendations</w:t>
        </w:r>
        <w:r w:rsidR="00AE7242">
          <w:rPr>
            <w:noProof/>
            <w:webHidden/>
          </w:rPr>
          <w:tab/>
        </w:r>
        <w:r w:rsidR="00AE7242">
          <w:rPr>
            <w:noProof/>
            <w:webHidden/>
          </w:rPr>
          <w:fldChar w:fldCharType="begin"/>
        </w:r>
        <w:r w:rsidR="00AE7242">
          <w:rPr>
            <w:noProof/>
            <w:webHidden/>
          </w:rPr>
          <w:instrText xml:space="preserve"> PAGEREF _Toc189833647 \h </w:instrText>
        </w:r>
        <w:r w:rsidR="00AE7242">
          <w:rPr>
            <w:noProof/>
            <w:webHidden/>
          </w:rPr>
        </w:r>
        <w:r w:rsidR="00AE7242">
          <w:rPr>
            <w:noProof/>
            <w:webHidden/>
          </w:rPr>
          <w:fldChar w:fldCharType="separate"/>
        </w:r>
        <w:r w:rsidR="00AE7242">
          <w:rPr>
            <w:noProof/>
            <w:webHidden/>
          </w:rPr>
          <w:t>5</w:t>
        </w:r>
        <w:r w:rsidR="00AE7242">
          <w:rPr>
            <w:noProof/>
            <w:webHidden/>
          </w:rPr>
          <w:fldChar w:fldCharType="end"/>
        </w:r>
      </w:hyperlink>
    </w:p>
    <w:p w14:paraId="0D7D5E11" w14:textId="10D7D8FD" w:rsidR="00AE7242" w:rsidRDefault="00975872">
      <w:pPr>
        <w:pStyle w:val="TOC2"/>
        <w:rPr>
          <w:rFonts w:asciiTheme="minorHAnsi" w:eastAsiaTheme="minorEastAsia" w:hAnsiTheme="minorHAnsi" w:cstheme="minorBidi"/>
          <w:noProof/>
          <w:kern w:val="2"/>
          <w:szCs w:val="22"/>
          <w14:ligatures w14:val="standardContextual"/>
        </w:rPr>
      </w:pPr>
      <w:hyperlink w:anchor="_Toc189833648" w:history="1">
        <w:r w:rsidR="00AE7242" w:rsidRPr="009031B6">
          <w:rPr>
            <w:rStyle w:val="Hyperlink"/>
            <w:noProof/>
          </w:rPr>
          <w:t>Impact Parameter Estimates</w:t>
        </w:r>
        <w:r w:rsidR="00AE7242">
          <w:rPr>
            <w:noProof/>
            <w:webHidden/>
          </w:rPr>
          <w:tab/>
        </w:r>
        <w:r w:rsidR="00AE7242">
          <w:rPr>
            <w:noProof/>
            <w:webHidden/>
          </w:rPr>
          <w:fldChar w:fldCharType="begin"/>
        </w:r>
        <w:r w:rsidR="00AE7242">
          <w:rPr>
            <w:noProof/>
            <w:webHidden/>
          </w:rPr>
          <w:instrText xml:space="preserve"> PAGEREF _Toc189833648 \h </w:instrText>
        </w:r>
        <w:r w:rsidR="00AE7242">
          <w:rPr>
            <w:noProof/>
            <w:webHidden/>
          </w:rPr>
        </w:r>
        <w:r w:rsidR="00AE7242">
          <w:rPr>
            <w:noProof/>
            <w:webHidden/>
          </w:rPr>
          <w:fldChar w:fldCharType="separate"/>
        </w:r>
        <w:r w:rsidR="00AE7242">
          <w:rPr>
            <w:noProof/>
            <w:webHidden/>
          </w:rPr>
          <w:t>6</w:t>
        </w:r>
        <w:r w:rsidR="00AE7242">
          <w:rPr>
            <w:noProof/>
            <w:webHidden/>
          </w:rPr>
          <w:fldChar w:fldCharType="end"/>
        </w:r>
      </w:hyperlink>
    </w:p>
    <w:p w14:paraId="1D8E74DD" w14:textId="7F06B0E7" w:rsidR="00AE7242" w:rsidRDefault="00975872">
      <w:pPr>
        <w:pStyle w:val="TOC2"/>
        <w:rPr>
          <w:rFonts w:asciiTheme="minorHAnsi" w:eastAsiaTheme="minorEastAsia" w:hAnsiTheme="minorHAnsi" w:cstheme="minorBidi"/>
          <w:noProof/>
          <w:kern w:val="2"/>
          <w:szCs w:val="22"/>
          <w14:ligatures w14:val="standardContextual"/>
        </w:rPr>
      </w:pPr>
      <w:hyperlink w:anchor="_Toc189833649" w:history="1">
        <w:r w:rsidR="00AE7242" w:rsidRPr="009031B6">
          <w:rPr>
            <w:rStyle w:val="Hyperlink"/>
            <w:noProof/>
          </w:rPr>
          <w:t>Findings and Recommendations</w:t>
        </w:r>
        <w:r w:rsidR="00AE7242">
          <w:rPr>
            <w:noProof/>
            <w:webHidden/>
          </w:rPr>
          <w:tab/>
        </w:r>
        <w:r w:rsidR="00AE7242">
          <w:rPr>
            <w:noProof/>
            <w:webHidden/>
          </w:rPr>
          <w:fldChar w:fldCharType="begin"/>
        </w:r>
        <w:r w:rsidR="00AE7242">
          <w:rPr>
            <w:noProof/>
            <w:webHidden/>
          </w:rPr>
          <w:instrText xml:space="preserve"> PAGEREF _Toc189833649 \h </w:instrText>
        </w:r>
        <w:r w:rsidR="00AE7242">
          <w:rPr>
            <w:noProof/>
            <w:webHidden/>
          </w:rPr>
        </w:r>
        <w:r w:rsidR="00AE7242">
          <w:rPr>
            <w:noProof/>
            <w:webHidden/>
          </w:rPr>
          <w:fldChar w:fldCharType="separate"/>
        </w:r>
        <w:r w:rsidR="00AE7242">
          <w:rPr>
            <w:noProof/>
            <w:webHidden/>
          </w:rPr>
          <w:t>7</w:t>
        </w:r>
        <w:r w:rsidR="00AE7242">
          <w:rPr>
            <w:noProof/>
            <w:webHidden/>
          </w:rPr>
          <w:fldChar w:fldCharType="end"/>
        </w:r>
      </w:hyperlink>
    </w:p>
    <w:p w14:paraId="7D260F15" w14:textId="526B4C84" w:rsidR="00AE7242" w:rsidRDefault="00975872">
      <w:pPr>
        <w:pStyle w:val="TOC1"/>
        <w:rPr>
          <w:rFonts w:asciiTheme="minorHAnsi" w:eastAsiaTheme="minorEastAsia" w:hAnsiTheme="minorHAnsi" w:cstheme="minorBidi"/>
          <w:b w:val="0"/>
          <w:noProof/>
          <w:kern w:val="2"/>
          <w:szCs w:val="22"/>
          <w14:ligatures w14:val="standardContextual"/>
        </w:rPr>
      </w:pPr>
      <w:hyperlink w:anchor="_Toc189833650" w:history="1">
        <w:r w:rsidR="00AE7242" w:rsidRPr="009031B6">
          <w:rPr>
            <w:rStyle w:val="Hyperlink"/>
            <w:noProof/>
          </w:rPr>
          <w:t>Appendix A. Impact Analysis Methodology</w:t>
        </w:r>
        <w:r w:rsidR="00AE7242">
          <w:rPr>
            <w:noProof/>
            <w:webHidden/>
          </w:rPr>
          <w:tab/>
        </w:r>
        <w:r w:rsidR="00AE7242">
          <w:rPr>
            <w:noProof/>
            <w:webHidden/>
          </w:rPr>
          <w:fldChar w:fldCharType="begin"/>
        </w:r>
        <w:r w:rsidR="00AE7242">
          <w:rPr>
            <w:noProof/>
            <w:webHidden/>
          </w:rPr>
          <w:instrText xml:space="preserve"> PAGEREF _Toc189833650 \h </w:instrText>
        </w:r>
        <w:r w:rsidR="00AE7242">
          <w:rPr>
            <w:noProof/>
            <w:webHidden/>
          </w:rPr>
        </w:r>
        <w:r w:rsidR="00AE7242">
          <w:rPr>
            <w:noProof/>
            <w:webHidden/>
          </w:rPr>
          <w:fldChar w:fldCharType="separate"/>
        </w:r>
        <w:r w:rsidR="00AE7242">
          <w:rPr>
            <w:noProof/>
            <w:webHidden/>
          </w:rPr>
          <w:t>8</w:t>
        </w:r>
        <w:r w:rsidR="00AE7242">
          <w:rPr>
            <w:noProof/>
            <w:webHidden/>
          </w:rPr>
          <w:fldChar w:fldCharType="end"/>
        </w:r>
      </w:hyperlink>
    </w:p>
    <w:p w14:paraId="381D9FCD" w14:textId="512FA36C" w:rsidR="00AE7242" w:rsidRDefault="00975872">
      <w:pPr>
        <w:pStyle w:val="TOC1"/>
        <w:rPr>
          <w:rFonts w:asciiTheme="minorHAnsi" w:eastAsiaTheme="minorEastAsia" w:hAnsiTheme="minorHAnsi" w:cstheme="minorBidi"/>
          <w:b w:val="0"/>
          <w:noProof/>
          <w:kern w:val="2"/>
          <w:szCs w:val="22"/>
          <w14:ligatures w14:val="standardContextual"/>
        </w:rPr>
      </w:pPr>
      <w:hyperlink w:anchor="_Toc189833651" w:history="1">
        <w:r w:rsidR="00AE7242" w:rsidRPr="009031B6">
          <w:rPr>
            <w:rStyle w:val="Hyperlink"/>
            <w:noProof/>
          </w:rPr>
          <w:t>Appendix B. Program Specific Inputs for the Illinois TRC</w:t>
        </w:r>
        <w:r w:rsidR="00AE7242">
          <w:rPr>
            <w:noProof/>
            <w:webHidden/>
          </w:rPr>
          <w:tab/>
        </w:r>
        <w:r w:rsidR="00AE7242">
          <w:rPr>
            <w:noProof/>
            <w:webHidden/>
          </w:rPr>
          <w:fldChar w:fldCharType="begin"/>
        </w:r>
        <w:r w:rsidR="00AE7242">
          <w:rPr>
            <w:noProof/>
            <w:webHidden/>
          </w:rPr>
          <w:instrText xml:space="preserve"> PAGEREF _Toc189833651 \h </w:instrText>
        </w:r>
        <w:r w:rsidR="00AE7242">
          <w:rPr>
            <w:noProof/>
            <w:webHidden/>
          </w:rPr>
        </w:r>
        <w:r w:rsidR="00AE7242">
          <w:rPr>
            <w:noProof/>
            <w:webHidden/>
          </w:rPr>
          <w:fldChar w:fldCharType="separate"/>
        </w:r>
        <w:r w:rsidR="00AE7242">
          <w:rPr>
            <w:noProof/>
            <w:webHidden/>
          </w:rPr>
          <w:t>10</w:t>
        </w:r>
        <w:r w:rsidR="00AE7242">
          <w:rPr>
            <w:noProof/>
            <w:webHidden/>
          </w:rPr>
          <w:fldChar w:fldCharType="end"/>
        </w:r>
      </w:hyperlink>
    </w:p>
    <w:p w14:paraId="34CB025D" w14:textId="63884906" w:rsidR="00EA399C" w:rsidRDefault="00B856F2" w:rsidP="001636C7">
      <w:pPr>
        <w:pStyle w:val="TableofFigures"/>
      </w:pPr>
      <w:r>
        <w:rPr>
          <w:rFonts w:eastAsia="Calibri"/>
          <w:noProof/>
          <w:sz w:val="20"/>
          <w:szCs w:val="22"/>
        </w:rPr>
        <w:fldChar w:fldCharType="end"/>
      </w:r>
    </w:p>
    <w:p w14:paraId="6B26747D" w14:textId="3A117282" w:rsidR="00E33D80" w:rsidRPr="005621C7" w:rsidRDefault="00E33D80" w:rsidP="00141312">
      <w:pPr>
        <w:pStyle w:val="TOCHeading"/>
      </w:pPr>
      <w:r w:rsidRPr="005621C7">
        <w:t>List of Tables</w:t>
      </w:r>
      <w:r w:rsidR="00763C7D">
        <w:t>,</w:t>
      </w:r>
      <w:r w:rsidRPr="005621C7">
        <w:t xml:space="preserve"> Figures</w:t>
      </w:r>
      <w:r w:rsidR="00763C7D">
        <w:t>, and Equations</w:t>
      </w:r>
    </w:p>
    <w:p w14:paraId="0B69098E" w14:textId="2EB24F50" w:rsidR="00517FC0" w:rsidRDefault="005F6937">
      <w:pPr>
        <w:pStyle w:val="TableofFigures"/>
        <w:rPr>
          <w:rFonts w:asciiTheme="minorHAnsi" w:eastAsiaTheme="minorEastAsia" w:hAnsiTheme="minorHAnsi" w:cstheme="minorBidi"/>
          <w:noProof/>
          <w:kern w:val="2"/>
          <w:szCs w:val="22"/>
          <w14:ligatures w14:val="standardContextual"/>
        </w:rPr>
      </w:pPr>
      <w:r>
        <w:fldChar w:fldCharType="begin"/>
      </w:r>
      <w:r>
        <w:instrText xml:space="preserve"> TOC \h \z \c "Table" </w:instrText>
      </w:r>
      <w:r>
        <w:fldChar w:fldCharType="separate"/>
      </w:r>
      <w:hyperlink w:anchor="_Toc192508411" w:history="1">
        <w:r w:rsidR="00517FC0" w:rsidRPr="00733C07">
          <w:rPr>
            <w:rStyle w:val="Hyperlink"/>
            <w:noProof/>
          </w:rPr>
          <w:t>Table 1. 2024 Volumetric Findings Detail</w:t>
        </w:r>
        <w:r w:rsidR="00517FC0">
          <w:rPr>
            <w:noProof/>
            <w:webHidden/>
          </w:rPr>
          <w:tab/>
        </w:r>
        <w:r w:rsidR="00517FC0">
          <w:rPr>
            <w:noProof/>
            <w:webHidden/>
          </w:rPr>
          <w:fldChar w:fldCharType="begin"/>
        </w:r>
        <w:r w:rsidR="00517FC0">
          <w:rPr>
            <w:noProof/>
            <w:webHidden/>
          </w:rPr>
          <w:instrText xml:space="preserve"> PAGEREF _Toc192508411 \h </w:instrText>
        </w:r>
        <w:r w:rsidR="00517FC0">
          <w:rPr>
            <w:noProof/>
            <w:webHidden/>
          </w:rPr>
        </w:r>
        <w:r w:rsidR="00517FC0">
          <w:rPr>
            <w:noProof/>
            <w:webHidden/>
          </w:rPr>
          <w:fldChar w:fldCharType="separate"/>
        </w:r>
        <w:r w:rsidR="00517FC0">
          <w:rPr>
            <w:noProof/>
            <w:webHidden/>
          </w:rPr>
          <w:t>2</w:t>
        </w:r>
        <w:r w:rsidR="00517FC0">
          <w:rPr>
            <w:noProof/>
            <w:webHidden/>
          </w:rPr>
          <w:fldChar w:fldCharType="end"/>
        </w:r>
      </w:hyperlink>
    </w:p>
    <w:p w14:paraId="57A043E2" w14:textId="14A49170" w:rsidR="00517FC0" w:rsidRDefault="00975872">
      <w:pPr>
        <w:pStyle w:val="TableofFigures"/>
        <w:rPr>
          <w:rFonts w:asciiTheme="minorHAnsi" w:eastAsiaTheme="minorEastAsia" w:hAnsiTheme="minorHAnsi" w:cstheme="minorBidi"/>
          <w:noProof/>
          <w:kern w:val="2"/>
          <w:szCs w:val="22"/>
          <w14:ligatures w14:val="standardContextual"/>
        </w:rPr>
      </w:pPr>
      <w:hyperlink w:anchor="_Toc192508412" w:history="1">
        <w:r w:rsidR="00517FC0" w:rsidRPr="00733C07">
          <w:rPr>
            <w:rStyle w:val="Hyperlink"/>
            <w:noProof/>
          </w:rPr>
          <w:t>Table 2. 2024 Installed Measure Quantities</w:t>
        </w:r>
        <w:r w:rsidR="00517FC0">
          <w:rPr>
            <w:noProof/>
            <w:webHidden/>
          </w:rPr>
          <w:tab/>
        </w:r>
        <w:r w:rsidR="00517FC0">
          <w:rPr>
            <w:noProof/>
            <w:webHidden/>
          </w:rPr>
          <w:fldChar w:fldCharType="begin"/>
        </w:r>
        <w:r w:rsidR="00517FC0">
          <w:rPr>
            <w:noProof/>
            <w:webHidden/>
          </w:rPr>
          <w:instrText xml:space="preserve"> PAGEREF _Toc192508412 \h </w:instrText>
        </w:r>
        <w:r w:rsidR="00517FC0">
          <w:rPr>
            <w:noProof/>
            <w:webHidden/>
          </w:rPr>
        </w:r>
        <w:r w:rsidR="00517FC0">
          <w:rPr>
            <w:noProof/>
            <w:webHidden/>
          </w:rPr>
          <w:fldChar w:fldCharType="separate"/>
        </w:r>
        <w:r w:rsidR="00517FC0">
          <w:rPr>
            <w:noProof/>
            <w:webHidden/>
          </w:rPr>
          <w:t>3</w:t>
        </w:r>
        <w:r w:rsidR="00517FC0">
          <w:rPr>
            <w:noProof/>
            <w:webHidden/>
          </w:rPr>
          <w:fldChar w:fldCharType="end"/>
        </w:r>
      </w:hyperlink>
    </w:p>
    <w:p w14:paraId="3A5910E4" w14:textId="555BC3BE" w:rsidR="00517FC0" w:rsidRDefault="00975872">
      <w:pPr>
        <w:pStyle w:val="TableofFigures"/>
        <w:rPr>
          <w:rFonts w:asciiTheme="minorHAnsi" w:eastAsiaTheme="minorEastAsia" w:hAnsiTheme="minorHAnsi" w:cstheme="minorBidi"/>
          <w:noProof/>
          <w:kern w:val="2"/>
          <w:szCs w:val="22"/>
          <w14:ligatures w14:val="standardContextual"/>
        </w:rPr>
      </w:pPr>
      <w:hyperlink w:anchor="_Toc192508413" w:history="1">
        <w:r w:rsidR="00517FC0" w:rsidRPr="00733C07">
          <w:rPr>
            <w:rStyle w:val="Hyperlink"/>
            <w:noProof/>
          </w:rPr>
          <w:t>Table 3. 2024 Annual Energy Savings Summary</w:t>
        </w:r>
        <w:r w:rsidR="00517FC0">
          <w:rPr>
            <w:noProof/>
            <w:webHidden/>
          </w:rPr>
          <w:tab/>
        </w:r>
        <w:r w:rsidR="00517FC0">
          <w:rPr>
            <w:noProof/>
            <w:webHidden/>
          </w:rPr>
          <w:fldChar w:fldCharType="begin"/>
        </w:r>
        <w:r w:rsidR="00517FC0">
          <w:rPr>
            <w:noProof/>
            <w:webHidden/>
          </w:rPr>
          <w:instrText xml:space="preserve"> PAGEREF _Toc192508413 \h </w:instrText>
        </w:r>
        <w:r w:rsidR="00517FC0">
          <w:rPr>
            <w:noProof/>
            <w:webHidden/>
          </w:rPr>
        </w:r>
        <w:r w:rsidR="00517FC0">
          <w:rPr>
            <w:noProof/>
            <w:webHidden/>
          </w:rPr>
          <w:fldChar w:fldCharType="separate"/>
        </w:r>
        <w:r w:rsidR="00517FC0">
          <w:rPr>
            <w:noProof/>
            <w:webHidden/>
          </w:rPr>
          <w:t>3</w:t>
        </w:r>
        <w:r w:rsidR="00517FC0">
          <w:rPr>
            <w:noProof/>
            <w:webHidden/>
          </w:rPr>
          <w:fldChar w:fldCharType="end"/>
        </w:r>
      </w:hyperlink>
    </w:p>
    <w:p w14:paraId="05E9C1DD" w14:textId="1E3BE5CF" w:rsidR="00517FC0" w:rsidRDefault="00975872">
      <w:pPr>
        <w:pStyle w:val="TableofFigures"/>
        <w:rPr>
          <w:rFonts w:asciiTheme="minorHAnsi" w:eastAsiaTheme="minorEastAsia" w:hAnsiTheme="minorHAnsi" w:cstheme="minorBidi"/>
          <w:noProof/>
          <w:kern w:val="2"/>
          <w:szCs w:val="22"/>
          <w14:ligatures w14:val="standardContextual"/>
        </w:rPr>
      </w:pPr>
      <w:hyperlink w:anchor="_Toc192508414" w:history="1">
        <w:r w:rsidR="00517FC0" w:rsidRPr="00733C07">
          <w:rPr>
            <w:rStyle w:val="Hyperlink"/>
            <w:noProof/>
          </w:rPr>
          <w:t>Table 4. 2024 Annual Energy Savings by Measure</w:t>
        </w:r>
        <w:r w:rsidR="00517FC0">
          <w:rPr>
            <w:noProof/>
            <w:webHidden/>
          </w:rPr>
          <w:tab/>
        </w:r>
        <w:r w:rsidR="00517FC0">
          <w:rPr>
            <w:noProof/>
            <w:webHidden/>
          </w:rPr>
          <w:fldChar w:fldCharType="begin"/>
        </w:r>
        <w:r w:rsidR="00517FC0">
          <w:rPr>
            <w:noProof/>
            <w:webHidden/>
          </w:rPr>
          <w:instrText xml:space="preserve"> PAGEREF _Toc192508414 \h </w:instrText>
        </w:r>
        <w:r w:rsidR="00517FC0">
          <w:rPr>
            <w:noProof/>
            <w:webHidden/>
          </w:rPr>
        </w:r>
        <w:r w:rsidR="00517FC0">
          <w:rPr>
            <w:noProof/>
            <w:webHidden/>
          </w:rPr>
          <w:fldChar w:fldCharType="separate"/>
        </w:r>
        <w:r w:rsidR="00517FC0">
          <w:rPr>
            <w:noProof/>
            <w:webHidden/>
          </w:rPr>
          <w:t>4</w:t>
        </w:r>
        <w:r w:rsidR="00517FC0">
          <w:rPr>
            <w:noProof/>
            <w:webHidden/>
          </w:rPr>
          <w:fldChar w:fldCharType="end"/>
        </w:r>
      </w:hyperlink>
    </w:p>
    <w:p w14:paraId="73BEF640" w14:textId="11FC70C6" w:rsidR="00517FC0" w:rsidRDefault="00975872">
      <w:pPr>
        <w:pStyle w:val="TableofFigures"/>
        <w:rPr>
          <w:rFonts w:asciiTheme="minorHAnsi" w:eastAsiaTheme="minorEastAsia" w:hAnsiTheme="minorHAnsi" w:cstheme="minorBidi"/>
          <w:noProof/>
          <w:kern w:val="2"/>
          <w:szCs w:val="22"/>
          <w14:ligatures w14:val="standardContextual"/>
        </w:rPr>
      </w:pPr>
      <w:hyperlink w:anchor="_Toc192508415" w:history="1">
        <w:r w:rsidR="00517FC0" w:rsidRPr="00733C07">
          <w:rPr>
            <w:rStyle w:val="Hyperlink"/>
            <w:noProof/>
          </w:rPr>
          <w:t>Table 5. Verified Gross Savings Parameters</w:t>
        </w:r>
        <w:r w:rsidR="00517FC0">
          <w:rPr>
            <w:noProof/>
            <w:webHidden/>
          </w:rPr>
          <w:tab/>
        </w:r>
        <w:r w:rsidR="00517FC0">
          <w:rPr>
            <w:noProof/>
            <w:webHidden/>
          </w:rPr>
          <w:fldChar w:fldCharType="begin"/>
        </w:r>
        <w:r w:rsidR="00517FC0">
          <w:rPr>
            <w:noProof/>
            <w:webHidden/>
          </w:rPr>
          <w:instrText xml:space="preserve"> PAGEREF _Toc192508415 \h </w:instrText>
        </w:r>
        <w:r w:rsidR="00517FC0">
          <w:rPr>
            <w:noProof/>
            <w:webHidden/>
          </w:rPr>
        </w:r>
        <w:r w:rsidR="00517FC0">
          <w:rPr>
            <w:noProof/>
            <w:webHidden/>
          </w:rPr>
          <w:fldChar w:fldCharType="separate"/>
        </w:r>
        <w:r w:rsidR="00517FC0">
          <w:rPr>
            <w:noProof/>
            <w:webHidden/>
          </w:rPr>
          <w:t>6</w:t>
        </w:r>
        <w:r w:rsidR="00517FC0">
          <w:rPr>
            <w:noProof/>
            <w:webHidden/>
          </w:rPr>
          <w:fldChar w:fldCharType="end"/>
        </w:r>
      </w:hyperlink>
    </w:p>
    <w:p w14:paraId="7E3F4475" w14:textId="7FF9F393" w:rsidR="005618B1" w:rsidRDefault="005F6937" w:rsidP="005618B1">
      <w:pPr>
        <w:pStyle w:val="TableofFigures"/>
      </w:pPr>
      <w:r>
        <w:fldChar w:fldCharType="end"/>
      </w:r>
    </w:p>
    <w:p w14:paraId="2F39A013" w14:textId="28654D46" w:rsidR="007D5E6F" w:rsidRDefault="005618B1">
      <w:pPr>
        <w:pStyle w:val="TableofFigures"/>
        <w:rPr>
          <w:rFonts w:asciiTheme="minorHAnsi" w:eastAsiaTheme="minorEastAsia" w:hAnsiTheme="minorHAnsi" w:cstheme="minorBidi"/>
          <w:noProof/>
          <w:kern w:val="2"/>
          <w:sz w:val="24"/>
          <w14:ligatures w14:val="standardContextual"/>
        </w:rPr>
      </w:pPr>
      <w:r>
        <w:fldChar w:fldCharType="begin"/>
      </w:r>
      <w:r>
        <w:instrText xml:space="preserve"> TOC \h \z \c "Table APX" </w:instrText>
      </w:r>
      <w:r>
        <w:fldChar w:fldCharType="separate"/>
      </w:r>
      <w:hyperlink w:anchor="_Toc192510628" w:history="1">
        <w:r w:rsidR="007D5E6F" w:rsidRPr="00B753A0">
          <w:rPr>
            <w:rStyle w:val="Hyperlink"/>
            <w:noProof/>
          </w:rPr>
          <w:t>Table A</w:t>
        </w:r>
        <w:r w:rsidR="007D5E6F" w:rsidRPr="00B753A0">
          <w:rPr>
            <w:rStyle w:val="Hyperlink"/>
            <w:noProof/>
          </w:rPr>
          <w:noBreakHyphen/>
          <w:t>1. Equipment by Savings Category</w:t>
        </w:r>
        <w:r w:rsidR="007D5E6F">
          <w:rPr>
            <w:noProof/>
            <w:webHidden/>
          </w:rPr>
          <w:tab/>
        </w:r>
        <w:r w:rsidR="007D5E6F">
          <w:rPr>
            <w:noProof/>
            <w:webHidden/>
          </w:rPr>
          <w:fldChar w:fldCharType="begin"/>
        </w:r>
        <w:r w:rsidR="007D5E6F">
          <w:rPr>
            <w:noProof/>
            <w:webHidden/>
          </w:rPr>
          <w:instrText xml:space="preserve"> PAGEREF _Toc192510628 \h </w:instrText>
        </w:r>
        <w:r w:rsidR="007D5E6F">
          <w:rPr>
            <w:noProof/>
            <w:webHidden/>
          </w:rPr>
        </w:r>
        <w:r w:rsidR="007D5E6F">
          <w:rPr>
            <w:noProof/>
            <w:webHidden/>
          </w:rPr>
          <w:fldChar w:fldCharType="separate"/>
        </w:r>
        <w:r w:rsidR="007D5E6F">
          <w:rPr>
            <w:noProof/>
            <w:webHidden/>
          </w:rPr>
          <w:t>10</w:t>
        </w:r>
        <w:r w:rsidR="007D5E6F">
          <w:rPr>
            <w:noProof/>
            <w:webHidden/>
          </w:rPr>
          <w:fldChar w:fldCharType="end"/>
        </w:r>
      </w:hyperlink>
    </w:p>
    <w:p w14:paraId="50BEC8C6" w14:textId="3B70A703" w:rsidR="007D5E6F" w:rsidRDefault="00975872">
      <w:pPr>
        <w:pStyle w:val="TableofFigures"/>
        <w:rPr>
          <w:rFonts w:asciiTheme="minorHAnsi" w:eastAsiaTheme="minorEastAsia" w:hAnsiTheme="minorHAnsi" w:cstheme="minorBidi"/>
          <w:noProof/>
          <w:kern w:val="2"/>
          <w:sz w:val="24"/>
          <w14:ligatures w14:val="standardContextual"/>
        </w:rPr>
      </w:pPr>
      <w:hyperlink w:anchor="_Toc192510629" w:history="1">
        <w:r w:rsidR="007D5E6F" w:rsidRPr="00B753A0">
          <w:rPr>
            <w:rStyle w:val="Hyperlink"/>
            <w:noProof/>
          </w:rPr>
          <w:t>Table B</w:t>
        </w:r>
        <w:r w:rsidR="007D5E6F" w:rsidRPr="00B753A0">
          <w:rPr>
            <w:rStyle w:val="Hyperlink"/>
            <w:noProof/>
          </w:rPr>
          <w:noBreakHyphen/>
          <w:t>1. Verified Cost-Effectiveness Inputs</w:t>
        </w:r>
        <w:r w:rsidR="007D5E6F">
          <w:rPr>
            <w:noProof/>
            <w:webHidden/>
          </w:rPr>
          <w:tab/>
        </w:r>
        <w:r w:rsidR="007D5E6F">
          <w:rPr>
            <w:noProof/>
            <w:webHidden/>
          </w:rPr>
          <w:fldChar w:fldCharType="begin"/>
        </w:r>
        <w:r w:rsidR="007D5E6F">
          <w:rPr>
            <w:noProof/>
            <w:webHidden/>
          </w:rPr>
          <w:instrText xml:space="preserve"> PAGEREF _Toc192510629 \h </w:instrText>
        </w:r>
        <w:r w:rsidR="007D5E6F">
          <w:rPr>
            <w:noProof/>
            <w:webHidden/>
          </w:rPr>
        </w:r>
        <w:r w:rsidR="007D5E6F">
          <w:rPr>
            <w:noProof/>
            <w:webHidden/>
          </w:rPr>
          <w:fldChar w:fldCharType="separate"/>
        </w:r>
        <w:r w:rsidR="007D5E6F">
          <w:rPr>
            <w:noProof/>
            <w:webHidden/>
          </w:rPr>
          <w:t>11</w:t>
        </w:r>
        <w:r w:rsidR="007D5E6F">
          <w:rPr>
            <w:noProof/>
            <w:webHidden/>
          </w:rPr>
          <w:fldChar w:fldCharType="end"/>
        </w:r>
      </w:hyperlink>
    </w:p>
    <w:p w14:paraId="0598D06D" w14:textId="422945E5" w:rsidR="005618B1" w:rsidRPr="005618B1" w:rsidRDefault="005618B1" w:rsidP="005618B1">
      <w:pPr>
        <w:sectPr w:rsidR="005618B1" w:rsidRPr="005618B1" w:rsidSect="006B38AE">
          <w:footerReference w:type="default" r:id="rId16"/>
          <w:pgSz w:w="12240" w:h="15840" w:code="1"/>
          <w:pgMar w:top="1440" w:right="1440" w:bottom="1440" w:left="1440" w:header="720" w:footer="720" w:gutter="0"/>
          <w:pgNumType w:fmt="lowerRoman" w:start="1"/>
          <w:cols w:space="720"/>
          <w:docGrid w:linePitch="360"/>
        </w:sectPr>
      </w:pPr>
      <w:r>
        <w:fldChar w:fldCharType="end"/>
      </w:r>
    </w:p>
    <w:p w14:paraId="528097A6" w14:textId="2AB2B632" w:rsidR="006E72EA" w:rsidRPr="00975872" w:rsidRDefault="00E42F86" w:rsidP="00975872">
      <w:pPr>
        <w:pStyle w:val="Heading10"/>
        <w:numPr>
          <w:ilvl w:val="0"/>
          <w:numId w:val="0"/>
        </w:numPr>
        <w:rPr>
          <w:sz w:val="40"/>
          <w:szCs w:val="40"/>
        </w:rPr>
      </w:pPr>
      <w:bookmarkStart w:id="0" w:name="_Toc189833643"/>
      <w:r w:rsidRPr="00975872">
        <w:rPr>
          <w:sz w:val="40"/>
          <w:szCs w:val="40"/>
        </w:rPr>
        <w:lastRenderedPageBreak/>
        <w:t>Introduction</w:t>
      </w:r>
      <w:bookmarkEnd w:id="0"/>
    </w:p>
    <w:p w14:paraId="10B18663" w14:textId="40D224C0" w:rsidR="00A324A4" w:rsidRDefault="004879D0" w:rsidP="00A324A4">
      <w:pPr>
        <w:pStyle w:val="GHBodytext"/>
      </w:pPr>
      <w:r w:rsidRPr="004879D0">
        <w:t>This report presents the results of the impact evaluation of the Nicor Gas 202</w:t>
      </w:r>
      <w:r>
        <w:t>4</w:t>
      </w:r>
      <w:r w:rsidRPr="004879D0">
        <w:t xml:space="preserve"> Affordable Housing New Construction (AHNC) Program. It summarizes the total gas savings impacts and broken out by relevant measures. The appendices provide the impact analysis methodology and details of the total resource cost (TRC) analysis inputs. Program year 202</w:t>
      </w:r>
      <w:r>
        <w:t>4</w:t>
      </w:r>
      <w:r w:rsidRPr="004879D0">
        <w:t xml:space="preserve"> covers January 1, 202</w:t>
      </w:r>
      <w:r>
        <w:t>4</w:t>
      </w:r>
      <w:r w:rsidRPr="004879D0">
        <w:t xml:space="preserve"> through December 31, 202</w:t>
      </w:r>
      <w:r>
        <w:t>4</w:t>
      </w:r>
      <w:r w:rsidRPr="004879D0">
        <w:t>. </w:t>
      </w:r>
    </w:p>
    <w:p w14:paraId="0DF3B226" w14:textId="77777777" w:rsidR="004879D0" w:rsidRPr="00A324A4" w:rsidRDefault="004879D0" w:rsidP="00A324A4">
      <w:pPr>
        <w:pStyle w:val="GHBodytext"/>
      </w:pPr>
    </w:p>
    <w:p w14:paraId="2ED7F046" w14:textId="77777777" w:rsidR="00C00025" w:rsidRPr="00975872" w:rsidRDefault="00C00025" w:rsidP="00141312">
      <w:pPr>
        <w:pStyle w:val="Heading10"/>
        <w:numPr>
          <w:ilvl w:val="0"/>
          <w:numId w:val="0"/>
        </w:numPr>
        <w:rPr>
          <w:sz w:val="40"/>
          <w:szCs w:val="40"/>
        </w:rPr>
      </w:pPr>
      <w:bookmarkStart w:id="1" w:name="_Toc189833644"/>
      <w:bookmarkStart w:id="2" w:name="_Toc241481251"/>
      <w:bookmarkStart w:id="3" w:name="_Toc255776003"/>
      <w:r w:rsidRPr="00975872">
        <w:rPr>
          <w:sz w:val="40"/>
          <w:szCs w:val="40"/>
        </w:rPr>
        <w:t>Program Description</w:t>
      </w:r>
      <w:bookmarkEnd w:id="1"/>
    </w:p>
    <w:p w14:paraId="55B1AB0F" w14:textId="77777777" w:rsidR="004879D0" w:rsidRPr="004879D0" w:rsidRDefault="004879D0" w:rsidP="004879D0">
      <w:bookmarkStart w:id="4" w:name="_Ref38883149"/>
      <w:bookmarkStart w:id="5" w:name="_Toc38883092"/>
      <w:r w:rsidRPr="004879D0">
        <w:t>The AHNC Program provides technical assistance and incentives for energy efficient construction and major renovation of affordable multifamily housing. The program targets developers and owners constructing housing for households with incomes at or below 80% of the area median income. The program also aims to educate developers on cost-effective energy efficient building practices. The program has two participation levels: (1) major renovation and (2) new multifamily. The AHNC Program is offered jointly to affordable housing developers and owners served by ComEd and Nicor Gas, where their service territories overlap. Slipstream implemented the program. </w:t>
      </w:r>
    </w:p>
    <w:p w14:paraId="39D99496" w14:textId="4BD9B0E4" w:rsidR="004879D0" w:rsidRPr="004879D0" w:rsidRDefault="004879D0" w:rsidP="004879D0">
      <w:r w:rsidRPr="004879D0">
        <w:t xml:space="preserve"> In 2024, the AHNC Program had 21 total projects with 1,235 total units and 1,198 income eligible residential units, as </w:t>
      </w:r>
      <w:r w:rsidRPr="004879D0">
        <w:fldChar w:fldCharType="begin"/>
      </w:r>
      <w:r w:rsidRPr="004879D0">
        <w:instrText xml:space="preserve"> REF _Ref191908460 \h  \* MERGEFORMAT </w:instrText>
      </w:r>
      <w:r w:rsidRPr="004879D0">
        <w:fldChar w:fldCharType="separate"/>
      </w:r>
      <w:r w:rsidRPr="004879D0">
        <w:t xml:space="preserve">Table </w:t>
      </w:r>
      <w:r w:rsidRPr="004879D0">
        <w:rPr>
          <w:noProof/>
        </w:rPr>
        <w:t>1</w:t>
      </w:r>
      <w:r w:rsidRPr="004879D0">
        <w:fldChar w:fldCharType="end"/>
      </w:r>
      <w:r w:rsidRPr="004879D0">
        <w:t xml:space="preserve"> shows. Nicor Gas served eight of these projects, including 364 total and income-eligible units. </w:t>
      </w:r>
    </w:p>
    <w:p w14:paraId="02FA9ECC" w14:textId="77777777" w:rsidR="00332AF6" w:rsidRPr="004879D0" w:rsidRDefault="00332AF6" w:rsidP="004879D0"/>
    <w:p w14:paraId="77F10D76" w14:textId="3B931674" w:rsidR="0030598E" w:rsidRDefault="008B6764" w:rsidP="008B6764">
      <w:pPr>
        <w:pStyle w:val="Caption"/>
      </w:pPr>
      <w:bookmarkStart w:id="6" w:name="_Ref191908460"/>
      <w:bookmarkStart w:id="7" w:name="_Toc192508411"/>
      <w:bookmarkEnd w:id="4"/>
      <w:r>
        <w:t xml:space="preserve">Table </w:t>
      </w:r>
      <w:r>
        <w:fldChar w:fldCharType="begin"/>
      </w:r>
      <w:r>
        <w:instrText xml:space="preserve"> SEQ Table \* ARABIC </w:instrText>
      </w:r>
      <w:r>
        <w:fldChar w:fldCharType="separate"/>
      </w:r>
      <w:r>
        <w:rPr>
          <w:noProof/>
        </w:rPr>
        <w:t>1</w:t>
      </w:r>
      <w:r>
        <w:rPr>
          <w:noProof/>
        </w:rPr>
        <w:fldChar w:fldCharType="end"/>
      </w:r>
      <w:bookmarkEnd w:id="6"/>
      <w:r w:rsidR="00EB3CDE" w:rsidRPr="00F7087A">
        <w:t>.</w:t>
      </w:r>
      <w:r w:rsidR="0030598E">
        <w:t xml:space="preserve"> </w:t>
      </w:r>
      <w:r w:rsidR="00E27342">
        <w:t>202</w:t>
      </w:r>
      <w:r w:rsidR="00BB3C1A">
        <w:t>4</w:t>
      </w:r>
      <w:r w:rsidR="0030598E">
        <w:t xml:space="preserve"> </w:t>
      </w:r>
      <w:r w:rsidR="0030598E" w:rsidRPr="005C2837">
        <w:t>Volumetric</w:t>
      </w:r>
      <w:r w:rsidR="0030598E">
        <w:t xml:space="preserve"> Findings Detail</w:t>
      </w:r>
      <w:bookmarkEnd w:id="5"/>
      <w:bookmarkEnd w:id="7"/>
    </w:p>
    <w:tbl>
      <w:tblPr>
        <w:tblStyle w:val="EnergyTable"/>
        <w:tblW w:w="4916" w:type="pct"/>
        <w:tblLook w:val="04A0" w:firstRow="1" w:lastRow="0" w:firstColumn="1" w:lastColumn="0" w:noHBand="0" w:noVBand="1"/>
      </w:tblPr>
      <w:tblGrid>
        <w:gridCol w:w="3061"/>
        <w:gridCol w:w="1349"/>
        <w:gridCol w:w="2339"/>
        <w:gridCol w:w="2454"/>
      </w:tblGrid>
      <w:tr w:rsidR="004879D0" w:rsidRPr="00A90B62" w14:paraId="21D74950" w14:textId="2CBFA327" w:rsidTr="00905197">
        <w:trPr>
          <w:cnfStyle w:val="100000000000" w:firstRow="1" w:lastRow="0" w:firstColumn="0" w:lastColumn="0" w:oddVBand="0" w:evenVBand="0" w:oddHBand="0"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1663" w:type="pct"/>
            <w:hideMark/>
          </w:tcPr>
          <w:p w14:paraId="1C5C02CD" w14:textId="77777777" w:rsidR="004879D0" w:rsidRPr="002E5EE9" w:rsidRDefault="004879D0" w:rsidP="004F0F97">
            <w:pPr>
              <w:keepNext/>
              <w:keepLines/>
              <w:jc w:val="left"/>
              <w:rPr>
                <w:rFonts w:ascii="Arial Narrow" w:eastAsia="Calibri" w:hAnsi="Arial Narrow"/>
                <w:b w:val="0"/>
                <w:bCs/>
              </w:rPr>
            </w:pPr>
            <w:r w:rsidRPr="002E5EE9">
              <w:rPr>
                <w:rFonts w:ascii="Arial Narrow" w:hAnsi="Arial Narrow"/>
                <w:b w:val="0"/>
                <w:bCs/>
              </w:rPr>
              <w:t>Participation</w:t>
            </w:r>
          </w:p>
        </w:tc>
        <w:tc>
          <w:tcPr>
            <w:tcW w:w="733" w:type="pct"/>
            <w:hideMark/>
          </w:tcPr>
          <w:p w14:paraId="10E43AA2" w14:textId="00B8ABE5" w:rsidR="004879D0" w:rsidRPr="002E5EE9" w:rsidRDefault="004879D0" w:rsidP="004F0F97">
            <w:pPr>
              <w:keepNext/>
              <w:keepLines/>
              <w:jc w:val="right"/>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bCs/>
              </w:rPr>
            </w:pPr>
            <w:r>
              <w:rPr>
                <w:rFonts w:ascii="Arial Narrow" w:hAnsi="Arial Narrow"/>
                <w:b w:val="0"/>
                <w:bCs/>
              </w:rPr>
              <w:t>Quantity Total (ComEd &amp; Nicor Gas)</w:t>
            </w:r>
          </w:p>
        </w:tc>
        <w:tc>
          <w:tcPr>
            <w:tcW w:w="1271" w:type="pct"/>
          </w:tcPr>
          <w:p w14:paraId="1EAA0942" w14:textId="5B8326BC" w:rsidR="004879D0" w:rsidRDefault="004879D0" w:rsidP="004F0F97">
            <w:pPr>
              <w:keepNext/>
              <w:keepLines/>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bCs/>
              </w:rPr>
            </w:pPr>
            <w:r>
              <w:rPr>
                <w:rFonts w:ascii="Arial Narrow" w:hAnsi="Arial Narrow"/>
                <w:b w:val="0"/>
                <w:bCs/>
              </w:rPr>
              <w:t>Quantity (Nicor Gas)</w:t>
            </w:r>
          </w:p>
        </w:tc>
        <w:tc>
          <w:tcPr>
            <w:tcW w:w="1333" w:type="pct"/>
          </w:tcPr>
          <w:p w14:paraId="4EE2CD48" w14:textId="6EFA5A5D" w:rsidR="004879D0" w:rsidRDefault="004879D0" w:rsidP="004F0F97">
            <w:pPr>
              <w:keepNext/>
              <w:keepLines/>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bCs/>
              </w:rPr>
            </w:pPr>
            <w:r>
              <w:rPr>
                <w:rFonts w:ascii="Arial Narrow" w:hAnsi="Arial Narrow"/>
                <w:b w:val="0"/>
                <w:bCs/>
              </w:rPr>
              <w:t>Units</w:t>
            </w:r>
          </w:p>
        </w:tc>
      </w:tr>
      <w:tr w:rsidR="004879D0" w:rsidRPr="00A90B62" w14:paraId="702E6A72" w14:textId="6DEA333F" w:rsidTr="00905197">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663" w:type="pct"/>
            <w:noWrap/>
          </w:tcPr>
          <w:p w14:paraId="5B2440ED" w14:textId="77777777" w:rsidR="004879D0" w:rsidRPr="002E5EE9" w:rsidRDefault="004879D0" w:rsidP="004F0F97">
            <w:pPr>
              <w:keepNext/>
              <w:keepLines/>
              <w:jc w:val="left"/>
              <w:rPr>
                <w:rFonts w:ascii="Arial Narrow" w:eastAsia="Calibri" w:hAnsi="Arial Narrow"/>
                <w:color w:val="000000"/>
              </w:rPr>
            </w:pPr>
            <w:r w:rsidRPr="002E5EE9">
              <w:rPr>
                <w:rFonts w:ascii="Arial Narrow" w:eastAsia="Calibri" w:hAnsi="Arial Narrow"/>
                <w:color w:val="000000"/>
              </w:rPr>
              <w:t>Participants</w:t>
            </w:r>
            <w:r>
              <w:rPr>
                <w:rFonts w:ascii="Arial Narrow" w:eastAsia="Calibri" w:hAnsi="Arial Narrow"/>
                <w:color w:val="000000"/>
              </w:rPr>
              <w:t xml:space="preserve"> </w:t>
            </w:r>
            <w:r>
              <w:rPr>
                <w:rFonts w:ascii="Arial Narrow" w:hAnsi="Arial Narrow"/>
              </w:rPr>
              <w:t>*</w:t>
            </w:r>
          </w:p>
        </w:tc>
        <w:tc>
          <w:tcPr>
            <w:tcW w:w="733" w:type="pct"/>
            <w:noWrap/>
          </w:tcPr>
          <w:p w14:paraId="18DBAD26" w14:textId="7AEB004B" w:rsidR="004879D0" w:rsidRPr="002E5EE9" w:rsidRDefault="004879D0" w:rsidP="004F0F97">
            <w:pPr>
              <w:keepNext/>
              <w:keepLines/>
              <w:jc w:val="right"/>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000000"/>
              </w:rPr>
            </w:pPr>
            <w:r>
              <w:rPr>
                <w:rFonts w:ascii="Arial Narrow" w:eastAsia="Calibri" w:hAnsi="Arial Narrow"/>
                <w:color w:val="000000"/>
              </w:rPr>
              <w:t>21</w:t>
            </w:r>
          </w:p>
        </w:tc>
        <w:tc>
          <w:tcPr>
            <w:tcW w:w="1271" w:type="pct"/>
          </w:tcPr>
          <w:p w14:paraId="3E8E579B" w14:textId="0DF752D7" w:rsidR="004879D0" w:rsidRPr="002E5EE9" w:rsidRDefault="004879D0" w:rsidP="004F0F97">
            <w:pPr>
              <w:keepNext/>
              <w:keepLines/>
              <w:jc w:val="right"/>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000000"/>
              </w:rPr>
            </w:pPr>
            <w:r>
              <w:rPr>
                <w:rFonts w:ascii="Arial Narrow" w:eastAsia="Calibri" w:hAnsi="Arial Narrow"/>
                <w:color w:val="000000"/>
              </w:rPr>
              <w:t>8</w:t>
            </w:r>
          </w:p>
        </w:tc>
        <w:tc>
          <w:tcPr>
            <w:tcW w:w="1333" w:type="pct"/>
          </w:tcPr>
          <w:p w14:paraId="4CBCEDE6" w14:textId="69FE2D66" w:rsidR="004879D0" w:rsidRDefault="004879D0" w:rsidP="004F0F97">
            <w:pPr>
              <w:keepNext/>
              <w:keepLines/>
              <w:jc w:val="right"/>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000000"/>
              </w:rPr>
            </w:pPr>
            <w:r>
              <w:rPr>
                <w:rFonts w:ascii="Arial Narrow" w:eastAsia="Calibri" w:hAnsi="Arial Narrow"/>
                <w:color w:val="000000"/>
              </w:rPr>
              <w:t>Projects</w:t>
            </w:r>
          </w:p>
        </w:tc>
      </w:tr>
      <w:tr w:rsidR="004879D0" w:rsidRPr="00A90B62" w14:paraId="0A7E7789" w14:textId="06FF6DB2" w:rsidTr="00905197">
        <w:trPr>
          <w:cnfStyle w:val="000000010000" w:firstRow="0" w:lastRow="0" w:firstColumn="0" w:lastColumn="0" w:oddVBand="0" w:evenVBand="0" w:oddHBand="0" w:evenHBand="1"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663" w:type="pct"/>
            <w:noWrap/>
          </w:tcPr>
          <w:p w14:paraId="1E45830E" w14:textId="4E1EF6AE" w:rsidR="004879D0" w:rsidRPr="004879D0" w:rsidRDefault="004879D0" w:rsidP="004879D0">
            <w:pPr>
              <w:keepNext/>
              <w:keepLines/>
              <w:jc w:val="left"/>
              <w:rPr>
                <w:rFonts w:ascii="Arial Narrow" w:eastAsia="Calibri" w:hAnsi="Arial Narrow"/>
                <w:bCs/>
                <w:color w:val="000000"/>
              </w:rPr>
            </w:pPr>
            <w:r>
              <w:rPr>
                <w:rFonts w:ascii="Arial Narrow" w:eastAsia="Calibri" w:hAnsi="Arial Narrow"/>
                <w:bCs/>
                <w:color w:val="000000"/>
              </w:rPr>
              <w:t>Number of Affordable Units</w:t>
            </w:r>
            <w:r w:rsidRPr="001212A2">
              <w:rPr>
                <w:rFonts w:ascii="Arial Narrow" w:eastAsia="Calibri" w:hAnsi="Arial Narrow"/>
                <w:bCs/>
                <w:color w:val="000000"/>
              </w:rPr>
              <w:t xml:space="preserve"> </w:t>
            </w:r>
            <w:r w:rsidRPr="004879D0">
              <w:rPr>
                <w:rFonts w:ascii="Arial Narrow" w:eastAsia="Calibri" w:hAnsi="Arial Narrow"/>
                <w:bCs/>
                <w:color w:val="000000"/>
              </w:rPr>
              <w:t>†</w:t>
            </w:r>
          </w:p>
        </w:tc>
        <w:tc>
          <w:tcPr>
            <w:tcW w:w="733" w:type="pct"/>
            <w:noWrap/>
          </w:tcPr>
          <w:p w14:paraId="6BC16B6D" w14:textId="14EA43B6" w:rsidR="004879D0" w:rsidRDefault="004879D0" w:rsidP="004879D0">
            <w:pPr>
              <w:keepNext/>
              <w:keepLines/>
              <w:jc w:val="right"/>
              <w:cnfStyle w:val="000000010000" w:firstRow="0" w:lastRow="0" w:firstColumn="0" w:lastColumn="0" w:oddVBand="0" w:evenVBand="0" w:oddHBand="0" w:evenHBand="1" w:firstRowFirstColumn="0" w:firstRowLastColumn="0" w:lastRowFirstColumn="0" w:lastRowLastColumn="0"/>
              <w:rPr>
                <w:rFonts w:ascii="Arial Narrow" w:eastAsia="Calibri" w:hAnsi="Arial Narrow"/>
                <w:color w:val="000000"/>
              </w:rPr>
            </w:pPr>
            <w:r>
              <w:rPr>
                <w:rFonts w:ascii="Arial Narrow" w:hAnsi="Arial Narrow" w:cs="Calibri"/>
                <w:color w:val="000000"/>
              </w:rPr>
              <w:t>1,198</w:t>
            </w:r>
          </w:p>
        </w:tc>
        <w:tc>
          <w:tcPr>
            <w:tcW w:w="1271" w:type="pct"/>
          </w:tcPr>
          <w:p w14:paraId="76432F67" w14:textId="7A345011" w:rsidR="004879D0" w:rsidRDefault="004879D0" w:rsidP="004879D0">
            <w:pPr>
              <w:keepNext/>
              <w:keepLines/>
              <w:jc w:val="right"/>
              <w:cnfStyle w:val="000000010000" w:firstRow="0" w:lastRow="0" w:firstColumn="0" w:lastColumn="0" w:oddVBand="0" w:evenVBand="0" w:oddHBand="0" w:evenHBand="1" w:firstRowFirstColumn="0" w:firstRowLastColumn="0" w:lastRowFirstColumn="0" w:lastRowLastColumn="0"/>
              <w:rPr>
                <w:rFonts w:ascii="Arial Narrow" w:eastAsia="Calibri" w:hAnsi="Arial Narrow"/>
                <w:color w:val="000000"/>
              </w:rPr>
            </w:pPr>
            <w:r>
              <w:rPr>
                <w:rFonts w:ascii="Arial Narrow" w:hAnsi="Arial Narrow" w:cs="Calibri"/>
                <w:color w:val="000000"/>
              </w:rPr>
              <w:t>364</w:t>
            </w:r>
          </w:p>
        </w:tc>
        <w:tc>
          <w:tcPr>
            <w:tcW w:w="1333" w:type="pct"/>
          </w:tcPr>
          <w:p w14:paraId="101FF0AD" w14:textId="2C7E1E2B" w:rsidR="004879D0" w:rsidRDefault="004879D0" w:rsidP="004879D0">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rPr>
            </w:pPr>
            <w:r>
              <w:rPr>
                <w:rFonts w:ascii="Arial Narrow" w:hAnsi="Arial Narrow" w:cs="Calibri"/>
                <w:color w:val="000000"/>
              </w:rPr>
              <w:t>Residential Dwelling Units</w:t>
            </w:r>
          </w:p>
        </w:tc>
      </w:tr>
      <w:tr w:rsidR="004879D0" w:rsidRPr="00A90B62" w14:paraId="3172F8E5" w14:textId="3460DA5D" w:rsidTr="0090519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63" w:type="pct"/>
            <w:noWrap/>
          </w:tcPr>
          <w:p w14:paraId="3FB6979E" w14:textId="2D76F34C" w:rsidR="004879D0" w:rsidRPr="002E5EE9" w:rsidRDefault="004879D0" w:rsidP="004F0F97">
            <w:pPr>
              <w:keepNext/>
              <w:keepLines/>
              <w:jc w:val="left"/>
              <w:rPr>
                <w:rFonts w:ascii="Arial Narrow" w:eastAsia="Calibri" w:hAnsi="Arial Narrow"/>
                <w:bCs/>
                <w:color w:val="000000"/>
              </w:rPr>
            </w:pPr>
            <w:r>
              <w:rPr>
                <w:rFonts w:ascii="Arial Narrow" w:eastAsia="Calibri" w:hAnsi="Arial Narrow"/>
                <w:bCs/>
                <w:color w:val="000000"/>
              </w:rPr>
              <w:t>Number of Total Units</w:t>
            </w:r>
            <w:r w:rsidRPr="001212A2">
              <w:rPr>
                <w:rFonts w:ascii="Arial Narrow" w:eastAsia="Calibri" w:hAnsi="Arial Narrow"/>
                <w:bCs/>
                <w:color w:val="000000"/>
              </w:rPr>
              <w:t xml:space="preserve"> </w:t>
            </w:r>
            <w:r w:rsidRPr="004879D0">
              <w:rPr>
                <w:rFonts w:ascii="Arial Narrow" w:eastAsia="Calibri" w:hAnsi="Arial Narrow"/>
                <w:color w:val="000000"/>
              </w:rPr>
              <w:t>‡</w:t>
            </w:r>
          </w:p>
        </w:tc>
        <w:tc>
          <w:tcPr>
            <w:tcW w:w="733" w:type="pct"/>
            <w:noWrap/>
          </w:tcPr>
          <w:p w14:paraId="5AE35A25" w14:textId="68334230" w:rsidR="004879D0" w:rsidRPr="002E5EE9" w:rsidRDefault="004879D0" w:rsidP="004F0F97">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Pr>
                <w:rFonts w:ascii="Arial Narrow" w:hAnsi="Arial Narrow" w:cs="Calibri"/>
                <w:color w:val="000000"/>
              </w:rPr>
              <w:t>1,235</w:t>
            </w:r>
          </w:p>
        </w:tc>
        <w:tc>
          <w:tcPr>
            <w:tcW w:w="1271" w:type="pct"/>
          </w:tcPr>
          <w:p w14:paraId="5F061DCC" w14:textId="4B860EB3" w:rsidR="004879D0" w:rsidRPr="002E5EE9" w:rsidRDefault="004879D0" w:rsidP="004F0F97">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Pr>
                <w:rFonts w:ascii="Arial Narrow" w:hAnsi="Arial Narrow" w:cs="Calibri"/>
                <w:color w:val="000000"/>
              </w:rPr>
              <w:t>364</w:t>
            </w:r>
          </w:p>
        </w:tc>
        <w:tc>
          <w:tcPr>
            <w:tcW w:w="1333" w:type="pct"/>
          </w:tcPr>
          <w:p w14:paraId="02A60080" w14:textId="7EBCC83B" w:rsidR="004879D0" w:rsidRDefault="004879D0" w:rsidP="004F0F97">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Pr>
                <w:rFonts w:ascii="Arial Narrow" w:hAnsi="Arial Narrow" w:cs="Calibri"/>
                <w:color w:val="000000"/>
              </w:rPr>
              <w:t>Residential Dwelling Units</w:t>
            </w:r>
          </w:p>
        </w:tc>
      </w:tr>
      <w:tr w:rsidR="004879D0" w:rsidRPr="00A90B62" w14:paraId="75AFEB2D" w14:textId="356DD264" w:rsidTr="00905197">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63" w:type="pct"/>
            <w:noWrap/>
          </w:tcPr>
          <w:p w14:paraId="6C1E411D" w14:textId="41853FAE" w:rsidR="004879D0" w:rsidRPr="002E5EE9" w:rsidRDefault="004879D0" w:rsidP="004879D0">
            <w:pPr>
              <w:keepNext/>
              <w:keepLines/>
              <w:jc w:val="left"/>
              <w:rPr>
                <w:rFonts w:ascii="Arial Narrow" w:hAnsi="Arial Narrow"/>
                <w:color w:val="000000"/>
              </w:rPr>
            </w:pPr>
            <w:r>
              <w:rPr>
                <w:rFonts w:ascii="Arial Narrow" w:hAnsi="Arial Narrow"/>
                <w:color w:val="000000"/>
              </w:rPr>
              <w:t>Building Area</w:t>
            </w:r>
          </w:p>
        </w:tc>
        <w:tc>
          <w:tcPr>
            <w:tcW w:w="733" w:type="pct"/>
            <w:noWrap/>
          </w:tcPr>
          <w:p w14:paraId="5FB4F031" w14:textId="1A52D859" w:rsidR="004879D0" w:rsidRPr="002E5EE9" w:rsidRDefault="004879D0" w:rsidP="004879D0">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rPr>
            </w:pPr>
            <w:r>
              <w:rPr>
                <w:rFonts w:ascii="Arial Narrow" w:hAnsi="Arial Narrow" w:cs="Calibri"/>
                <w:color w:val="000000"/>
              </w:rPr>
              <w:t>1,205,041</w:t>
            </w:r>
          </w:p>
        </w:tc>
        <w:tc>
          <w:tcPr>
            <w:tcW w:w="1271" w:type="pct"/>
          </w:tcPr>
          <w:p w14:paraId="3B6F6EFA" w14:textId="77A49584" w:rsidR="004879D0" w:rsidRPr="002E5EE9" w:rsidRDefault="004879D0" w:rsidP="004879D0">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rPr>
            </w:pPr>
            <w:r>
              <w:rPr>
                <w:rFonts w:ascii="Arial Narrow" w:hAnsi="Arial Narrow" w:cs="Calibri"/>
                <w:color w:val="000000"/>
              </w:rPr>
              <w:t>461,800</w:t>
            </w:r>
          </w:p>
        </w:tc>
        <w:tc>
          <w:tcPr>
            <w:tcW w:w="1333" w:type="pct"/>
          </w:tcPr>
          <w:p w14:paraId="512D2065" w14:textId="2B191222" w:rsidR="004879D0" w:rsidRDefault="004879D0" w:rsidP="004879D0">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rPr>
            </w:pPr>
            <w:r>
              <w:rPr>
                <w:rFonts w:ascii="Arial Narrow" w:hAnsi="Arial Narrow" w:cs="Calibri"/>
                <w:color w:val="000000"/>
              </w:rPr>
              <w:t>Square Feet</w:t>
            </w:r>
          </w:p>
        </w:tc>
      </w:tr>
    </w:tbl>
    <w:p w14:paraId="030B6B7B" w14:textId="460DDFED" w:rsidR="004F0F97" w:rsidRPr="00752E20" w:rsidRDefault="004F0F97" w:rsidP="003F123E">
      <w:pPr>
        <w:pStyle w:val="GraphFootnote"/>
        <w:spacing w:before="0" w:after="0"/>
      </w:pPr>
      <w:r w:rsidRPr="00752E20">
        <w:t xml:space="preserve">* Participants are defined as </w:t>
      </w:r>
      <w:r w:rsidR="004879D0">
        <w:t>completed projects.</w:t>
      </w:r>
    </w:p>
    <w:p w14:paraId="682701FB" w14:textId="5FF3A20E" w:rsidR="004F0F97" w:rsidRDefault="004F0F97" w:rsidP="003F123E">
      <w:pPr>
        <w:pStyle w:val="GraphFootnote"/>
        <w:spacing w:before="0" w:after="0"/>
      </w:pPr>
      <w:r w:rsidRPr="00752E20">
        <w:t xml:space="preserve">† </w:t>
      </w:r>
      <w:r w:rsidR="004879D0">
        <w:t>Affordable units are defined as income-eligible dwelling units.</w:t>
      </w:r>
    </w:p>
    <w:p w14:paraId="71B10593" w14:textId="77777777" w:rsidR="003F123E" w:rsidRDefault="004879D0" w:rsidP="003F123E">
      <w:pPr>
        <w:pStyle w:val="GraphFootnote"/>
        <w:spacing w:before="0" w:after="0"/>
      </w:pPr>
      <w:r w:rsidRPr="004879D0">
        <w:rPr>
          <w:rFonts w:eastAsia="Calibri"/>
          <w:color w:val="000000"/>
        </w:rPr>
        <w:t>‡</w:t>
      </w:r>
      <w:r w:rsidRPr="00752E20">
        <w:t xml:space="preserve"> </w:t>
      </w:r>
      <w:r>
        <w:t>Total units are defined as total of income-eligible and market rate dwelling units.</w:t>
      </w:r>
    </w:p>
    <w:p w14:paraId="3B83F226" w14:textId="15657E75" w:rsidR="004F0F97" w:rsidRDefault="004F0F97" w:rsidP="003F123E">
      <w:pPr>
        <w:pStyle w:val="GraphFootnote"/>
        <w:spacing w:before="0" w:after="0"/>
      </w:pPr>
      <w:r w:rsidRPr="00E47345">
        <w:t xml:space="preserve">Source: </w:t>
      </w:r>
      <w:r w:rsidR="00EB7F41">
        <w:t xml:space="preserve">Nicor Gas tracking data and evaluation team </w:t>
      </w:r>
      <w:r w:rsidR="00EB7F41" w:rsidRPr="00651E3A">
        <w:t>analysis</w:t>
      </w:r>
      <w:r w:rsidRPr="00E47345">
        <w:t>.</w:t>
      </w:r>
    </w:p>
    <w:p w14:paraId="2BF1EFC8" w14:textId="77777777" w:rsidR="003F123E" w:rsidRDefault="003F123E" w:rsidP="004F0F97"/>
    <w:p w14:paraId="3219322F" w14:textId="1E9DEF4C" w:rsidR="004F0F97" w:rsidRDefault="004879D0" w:rsidP="004F0F97">
      <w:r w:rsidRPr="004879D0">
        <w:t xml:space="preserve">Natural gas savings for these projects were due to improvements to HVAC, shell, appliances, and hot water end use types. </w:t>
      </w:r>
      <w:r w:rsidR="009F5054">
        <w:fldChar w:fldCharType="begin"/>
      </w:r>
      <w:r w:rsidR="009F5054">
        <w:instrText xml:space="preserve"> REF _Ref189735540 \h </w:instrText>
      </w:r>
      <w:r w:rsidR="009F5054">
        <w:fldChar w:fldCharType="separate"/>
      </w:r>
      <w:r w:rsidR="009F5054">
        <w:t xml:space="preserve">Table </w:t>
      </w:r>
      <w:r w:rsidR="009F5054">
        <w:rPr>
          <w:noProof/>
        </w:rPr>
        <w:t>2</w:t>
      </w:r>
      <w:r w:rsidR="009F5054">
        <w:fldChar w:fldCharType="end"/>
      </w:r>
      <w:r w:rsidR="004F0F97">
        <w:t xml:space="preserve"> </w:t>
      </w:r>
      <w:r w:rsidR="004F0F97" w:rsidRPr="00A90B62">
        <w:t>summarize</w:t>
      </w:r>
      <w:r w:rsidR="004F0F97">
        <w:t>s</w:t>
      </w:r>
      <w:r w:rsidR="004F0F97" w:rsidRPr="00A90B62">
        <w:t xml:space="preserve"> the</w:t>
      </w:r>
      <w:r w:rsidR="004F0F97">
        <w:t xml:space="preserve"> installed measure quantities that are the basis for verified energy savings.</w:t>
      </w:r>
    </w:p>
    <w:p w14:paraId="204D9734" w14:textId="3329FD8A" w:rsidR="004F0F97" w:rsidRDefault="008B6764" w:rsidP="008B6764">
      <w:pPr>
        <w:pStyle w:val="Caption"/>
      </w:pPr>
      <w:bookmarkStart w:id="8" w:name="_Ref189735540"/>
      <w:bookmarkStart w:id="9" w:name="_Toc61360846"/>
      <w:bookmarkStart w:id="10" w:name="_Toc192508412"/>
      <w:r>
        <w:lastRenderedPageBreak/>
        <w:t xml:space="preserve">Table </w:t>
      </w:r>
      <w:r>
        <w:fldChar w:fldCharType="begin"/>
      </w:r>
      <w:r>
        <w:instrText xml:space="preserve"> SEQ Table \* ARABIC </w:instrText>
      </w:r>
      <w:r>
        <w:fldChar w:fldCharType="separate"/>
      </w:r>
      <w:r>
        <w:rPr>
          <w:noProof/>
        </w:rPr>
        <w:t>2</w:t>
      </w:r>
      <w:r>
        <w:rPr>
          <w:noProof/>
        </w:rPr>
        <w:fldChar w:fldCharType="end"/>
      </w:r>
      <w:bookmarkEnd w:id="8"/>
      <w:r w:rsidRPr="00F7087A">
        <w:t>.</w:t>
      </w:r>
      <w:r w:rsidR="004F0F97">
        <w:t xml:space="preserve"> </w:t>
      </w:r>
      <w:r w:rsidR="00E27342">
        <w:t>202</w:t>
      </w:r>
      <w:r w:rsidR="00BB3C1A">
        <w:t>4</w:t>
      </w:r>
      <w:r w:rsidR="004F0F97">
        <w:t xml:space="preserve"> Installed </w:t>
      </w:r>
      <w:r w:rsidR="004F0F97" w:rsidRPr="0084176E">
        <w:t>Measure</w:t>
      </w:r>
      <w:r w:rsidR="004F0F97">
        <w:t xml:space="preserve"> Quantities</w:t>
      </w:r>
      <w:bookmarkEnd w:id="9"/>
      <w:bookmarkEnd w:id="10"/>
    </w:p>
    <w:tbl>
      <w:tblPr>
        <w:tblStyle w:val="EnergyTable"/>
        <w:tblW w:w="3707" w:type="pct"/>
        <w:tblLook w:val="04A0" w:firstRow="1" w:lastRow="0" w:firstColumn="1" w:lastColumn="0" w:noHBand="0" w:noVBand="1"/>
      </w:tblPr>
      <w:tblGrid>
        <w:gridCol w:w="1619"/>
        <w:gridCol w:w="2861"/>
        <w:gridCol w:w="1431"/>
        <w:gridCol w:w="1029"/>
      </w:tblGrid>
      <w:tr w:rsidR="004879D0" w:rsidRPr="00CF33FA" w14:paraId="18CB3E41" w14:textId="77777777" w:rsidTr="004879D0">
        <w:trPr>
          <w:cnfStyle w:val="100000000000" w:firstRow="1" w:lastRow="0" w:firstColumn="0" w:lastColumn="0" w:oddVBand="0" w:evenVBand="0" w:oddHBand="0"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1297" w:type="pct"/>
          </w:tcPr>
          <w:p w14:paraId="5BAE6667" w14:textId="4D78BC60" w:rsidR="004879D0" w:rsidRDefault="004879D0" w:rsidP="004879D0">
            <w:pPr>
              <w:keepNext/>
              <w:keepLines/>
              <w:jc w:val="left"/>
              <w:rPr>
                <w:rFonts w:ascii="Arial Narrow" w:hAnsi="Arial Narrow" w:cs="Arial"/>
                <w:b w:val="0"/>
                <w:bCs/>
                <w:color w:val="FFFFFF"/>
              </w:rPr>
            </w:pPr>
            <w:r>
              <w:rPr>
                <w:rFonts w:ascii="Arial Narrow" w:hAnsi="Arial Narrow" w:cs="Arial"/>
                <w:b w:val="0"/>
                <w:bCs/>
                <w:color w:val="FFFFFF"/>
              </w:rPr>
              <w:t>Program Category</w:t>
            </w:r>
          </w:p>
        </w:tc>
        <w:tc>
          <w:tcPr>
            <w:tcW w:w="2191" w:type="pct"/>
            <w:hideMark/>
          </w:tcPr>
          <w:p w14:paraId="00B116A8" w14:textId="3EF1377B" w:rsidR="004879D0" w:rsidRPr="0084176E" w:rsidRDefault="004879D0" w:rsidP="004879D0">
            <w:pPr>
              <w:keepNext/>
              <w:keepLines/>
              <w:jc w:val="left"/>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color w:val="FFFFFF"/>
              </w:rPr>
            </w:pPr>
            <w:r>
              <w:rPr>
                <w:rFonts w:ascii="Arial Narrow" w:hAnsi="Arial Narrow" w:cs="Arial"/>
                <w:b w:val="0"/>
                <w:bCs/>
                <w:color w:val="FFFFFF"/>
              </w:rPr>
              <w:t>Measure</w:t>
            </w:r>
          </w:p>
        </w:tc>
        <w:tc>
          <w:tcPr>
            <w:tcW w:w="641" w:type="pct"/>
          </w:tcPr>
          <w:p w14:paraId="24BEEDB8" w14:textId="77777777" w:rsidR="004879D0" w:rsidRPr="0084176E" w:rsidRDefault="004879D0" w:rsidP="004879D0">
            <w:pPr>
              <w:keepNext/>
              <w:keepLines/>
              <w:jc w:val="left"/>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color w:val="FFFFFF"/>
              </w:rPr>
            </w:pPr>
            <w:r>
              <w:rPr>
                <w:rFonts w:ascii="Arial Narrow" w:hAnsi="Arial Narrow"/>
                <w:b w:val="0"/>
              </w:rPr>
              <w:t>Quantity Unit</w:t>
            </w:r>
          </w:p>
        </w:tc>
        <w:tc>
          <w:tcPr>
            <w:tcW w:w="871" w:type="pct"/>
          </w:tcPr>
          <w:p w14:paraId="4BB278A5" w14:textId="77777777" w:rsidR="004879D0" w:rsidRPr="0084176E" w:rsidRDefault="004879D0" w:rsidP="004879D0">
            <w:pPr>
              <w:keepNext/>
              <w:keepLines/>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color w:val="FFFFFF"/>
              </w:rPr>
            </w:pPr>
            <w:r>
              <w:rPr>
                <w:rFonts w:ascii="Arial Narrow" w:hAnsi="Arial Narrow"/>
                <w:b w:val="0"/>
              </w:rPr>
              <w:t>Installed Quantity</w:t>
            </w:r>
          </w:p>
        </w:tc>
      </w:tr>
      <w:tr w:rsidR="004879D0" w:rsidRPr="00071D60" w14:paraId="296CB366" w14:textId="77777777" w:rsidTr="004879D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97" w:type="pct"/>
          </w:tcPr>
          <w:p w14:paraId="481FF969" w14:textId="695CF830" w:rsidR="004879D0" w:rsidRDefault="004879D0" w:rsidP="004879D0">
            <w:pPr>
              <w:keepNext/>
              <w:keepLines/>
              <w:jc w:val="left"/>
              <w:rPr>
                <w:rFonts w:ascii="Arial Narrow" w:hAnsi="Arial Narrow"/>
                <w:color w:val="000000"/>
              </w:rPr>
            </w:pPr>
            <w:r>
              <w:rPr>
                <w:rFonts w:ascii="Arial Narrow" w:hAnsi="Arial Narrow"/>
                <w:color w:val="000000"/>
              </w:rPr>
              <w:t>Shell</w:t>
            </w:r>
          </w:p>
        </w:tc>
        <w:tc>
          <w:tcPr>
            <w:tcW w:w="2191" w:type="pct"/>
          </w:tcPr>
          <w:p w14:paraId="38095B8B" w14:textId="523F27E8" w:rsidR="004879D0" w:rsidRPr="00071D60" w:rsidRDefault="004879D0" w:rsidP="004879D0">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Pr>
                <w:rFonts w:ascii="Arial Narrow" w:hAnsi="Arial Narrow"/>
                <w:color w:val="000000"/>
              </w:rPr>
              <w:t>Higher Performance Windows</w:t>
            </w:r>
          </w:p>
        </w:tc>
        <w:tc>
          <w:tcPr>
            <w:tcW w:w="641" w:type="pct"/>
            <w:noWrap/>
          </w:tcPr>
          <w:p w14:paraId="5A09BD55" w14:textId="7C3436C3" w:rsidR="004879D0" w:rsidRPr="00071D60" w:rsidRDefault="004879D0" w:rsidP="004879D0">
            <w:pPr>
              <w:keepNext/>
              <w:keepLines/>
              <w:spacing w:before="0" w:after="0"/>
              <w:ind w:right="72"/>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Pr>
                <w:rFonts w:ascii="Arial Narrow" w:hAnsi="Arial Narrow"/>
                <w:color w:val="000000"/>
              </w:rPr>
              <w:t>SF</w:t>
            </w:r>
          </w:p>
        </w:tc>
        <w:tc>
          <w:tcPr>
            <w:tcW w:w="871" w:type="pct"/>
            <w:noWrap/>
          </w:tcPr>
          <w:p w14:paraId="42B15DEA" w14:textId="3D9C9B5B" w:rsidR="004879D0" w:rsidRPr="00071D60" w:rsidRDefault="004879D0" w:rsidP="004879D0">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Pr>
                <w:rFonts w:ascii="Arial Narrow" w:hAnsi="Arial Narrow"/>
                <w:color w:val="000000"/>
              </w:rPr>
              <w:t>37,116</w:t>
            </w:r>
          </w:p>
        </w:tc>
      </w:tr>
      <w:tr w:rsidR="004879D0" w:rsidRPr="00071D60" w14:paraId="5F5E3B4A" w14:textId="77777777" w:rsidTr="004879D0">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97" w:type="pct"/>
          </w:tcPr>
          <w:p w14:paraId="4A2B1E48" w14:textId="40FA8864" w:rsidR="004879D0" w:rsidRDefault="004879D0" w:rsidP="004879D0">
            <w:pPr>
              <w:keepNext/>
              <w:keepLines/>
              <w:jc w:val="left"/>
              <w:rPr>
                <w:rFonts w:ascii="Arial Narrow" w:hAnsi="Arial Narrow"/>
                <w:color w:val="000000"/>
              </w:rPr>
            </w:pPr>
            <w:r>
              <w:rPr>
                <w:rFonts w:ascii="Arial Narrow" w:hAnsi="Arial Narrow"/>
                <w:color w:val="000000"/>
              </w:rPr>
              <w:t>Shell</w:t>
            </w:r>
          </w:p>
        </w:tc>
        <w:tc>
          <w:tcPr>
            <w:tcW w:w="2191" w:type="pct"/>
          </w:tcPr>
          <w:p w14:paraId="65DF659F" w14:textId="1FA86599" w:rsidR="004879D0" w:rsidRDefault="004879D0" w:rsidP="004879D0">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rPr>
            </w:pPr>
            <w:r>
              <w:rPr>
                <w:rFonts w:ascii="Arial Narrow" w:hAnsi="Arial Narrow"/>
                <w:color w:val="000000"/>
              </w:rPr>
              <w:t>Reduced Infiltration</w:t>
            </w:r>
          </w:p>
        </w:tc>
        <w:tc>
          <w:tcPr>
            <w:tcW w:w="641" w:type="pct"/>
            <w:noWrap/>
          </w:tcPr>
          <w:p w14:paraId="464A65CB" w14:textId="03230858" w:rsidR="004879D0" w:rsidRPr="00D44080" w:rsidRDefault="004879D0" w:rsidP="004879D0">
            <w:pPr>
              <w:keepNext/>
              <w:keepLines/>
              <w:spacing w:before="0" w:after="0"/>
              <w:ind w:right="72"/>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rPr>
            </w:pPr>
            <w:r>
              <w:rPr>
                <w:rFonts w:ascii="Arial Narrow" w:hAnsi="Arial Narrow"/>
                <w:color w:val="000000"/>
              </w:rPr>
              <w:t>CFM50</w:t>
            </w:r>
          </w:p>
        </w:tc>
        <w:tc>
          <w:tcPr>
            <w:tcW w:w="871" w:type="pct"/>
            <w:noWrap/>
          </w:tcPr>
          <w:p w14:paraId="2F2FFF34" w14:textId="1D7510B9" w:rsidR="004879D0" w:rsidRDefault="004879D0" w:rsidP="004879D0">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rPr>
            </w:pPr>
            <w:r>
              <w:rPr>
                <w:rFonts w:ascii="Arial Narrow" w:hAnsi="Arial Narrow"/>
                <w:color w:val="000000"/>
              </w:rPr>
              <w:t>135,347</w:t>
            </w:r>
          </w:p>
        </w:tc>
      </w:tr>
      <w:tr w:rsidR="004879D0" w:rsidRPr="00071D60" w14:paraId="6B8F33CC" w14:textId="77777777" w:rsidTr="004879D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97" w:type="pct"/>
          </w:tcPr>
          <w:p w14:paraId="3D157813" w14:textId="6EDEC17D" w:rsidR="004879D0" w:rsidRPr="0050251D" w:rsidRDefault="004879D0" w:rsidP="004879D0">
            <w:pPr>
              <w:keepNext/>
              <w:keepLines/>
              <w:jc w:val="left"/>
              <w:rPr>
                <w:rFonts w:ascii="Arial Narrow" w:hAnsi="Arial Narrow"/>
                <w:color w:val="000000"/>
              </w:rPr>
            </w:pPr>
            <w:r>
              <w:rPr>
                <w:rFonts w:ascii="Arial Narrow" w:hAnsi="Arial Narrow"/>
                <w:color w:val="000000"/>
              </w:rPr>
              <w:t>Shell</w:t>
            </w:r>
          </w:p>
        </w:tc>
        <w:tc>
          <w:tcPr>
            <w:tcW w:w="2191" w:type="pct"/>
          </w:tcPr>
          <w:p w14:paraId="1AB3B899" w14:textId="7CA583F8" w:rsidR="004879D0" w:rsidRDefault="004879D0" w:rsidP="004879D0">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Pr>
                <w:rFonts w:ascii="Arial Narrow" w:hAnsi="Arial Narrow"/>
                <w:color w:val="000000"/>
              </w:rPr>
              <w:t>Reduced Thermal Bridging</w:t>
            </w:r>
          </w:p>
        </w:tc>
        <w:tc>
          <w:tcPr>
            <w:tcW w:w="641" w:type="pct"/>
            <w:noWrap/>
          </w:tcPr>
          <w:p w14:paraId="7BBD7442" w14:textId="5FAA82E1" w:rsidR="004879D0" w:rsidRPr="00D44080" w:rsidRDefault="004879D0" w:rsidP="004879D0">
            <w:pPr>
              <w:keepNext/>
              <w:keepLines/>
              <w:spacing w:before="0" w:after="0"/>
              <w:ind w:right="72"/>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Pr>
                <w:rFonts w:ascii="Arial Narrow" w:hAnsi="Arial Narrow"/>
                <w:color w:val="000000"/>
              </w:rPr>
              <w:t>SF</w:t>
            </w:r>
          </w:p>
        </w:tc>
        <w:tc>
          <w:tcPr>
            <w:tcW w:w="871" w:type="pct"/>
            <w:noWrap/>
          </w:tcPr>
          <w:p w14:paraId="2E220E66" w14:textId="20612771" w:rsidR="004879D0" w:rsidRDefault="004879D0" w:rsidP="004879D0">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Pr>
                <w:rFonts w:ascii="Arial Narrow" w:hAnsi="Arial Narrow"/>
                <w:color w:val="000000"/>
              </w:rPr>
              <w:t>158,325</w:t>
            </w:r>
          </w:p>
        </w:tc>
      </w:tr>
      <w:tr w:rsidR="004879D0" w:rsidRPr="00071D60" w14:paraId="750D9B0B" w14:textId="77777777" w:rsidTr="004879D0">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97" w:type="pct"/>
          </w:tcPr>
          <w:p w14:paraId="6FC303A8" w14:textId="13F64240" w:rsidR="004879D0" w:rsidRPr="00071D60" w:rsidRDefault="004879D0" w:rsidP="004879D0">
            <w:pPr>
              <w:keepNext/>
              <w:keepLines/>
              <w:jc w:val="left"/>
              <w:rPr>
                <w:rFonts w:ascii="Arial Narrow" w:hAnsi="Arial Narrow"/>
                <w:color w:val="000000"/>
              </w:rPr>
            </w:pPr>
            <w:r>
              <w:rPr>
                <w:rFonts w:ascii="Arial Narrow" w:hAnsi="Arial Narrow"/>
                <w:color w:val="000000"/>
              </w:rPr>
              <w:t>HVAC</w:t>
            </w:r>
          </w:p>
        </w:tc>
        <w:tc>
          <w:tcPr>
            <w:tcW w:w="2191" w:type="pct"/>
          </w:tcPr>
          <w:p w14:paraId="14EBB21B" w14:textId="69448D11" w:rsidR="004879D0" w:rsidRPr="00071D60" w:rsidRDefault="004879D0" w:rsidP="004879D0">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rPr>
            </w:pPr>
            <w:r>
              <w:rPr>
                <w:rFonts w:ascii="Arial Narrow" w:hAnsi="Arial Narrow"/>
                <w:color w:val="000000"/>
              </w:rPr>
              <w:t>High-Performance HVAC Equipment</w:t>
            </w:r>
          </w:p>
        </w:tc>
        <w:tc>
          <w:tcPr>
            <w:tcW w:w="641" w:type="pct"/>
            <w:noWrap/>
          </w:tcPr>
          <w:p w14:paraId="311C6337" w14:textId="2153B87A" w:rsidR="004879D0" w:rsidRPr="00071D60" w:rsidRDefault="004879D0" w:rsidP="004879D0">
            <w:pPr>
              <w:keepNext/>
              <w:keepLines/>
              <w:spacing w:before="0" w:after="0"/>
              <w:ind w:right="72"/>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rPr>
            </w:pPr>
            <w:r>
              <w:rPr>
                <w:rFonts w:ascii="Arial Narrow" w:hAnsi="Arial Narrow"/>
                <w:color w:val="000000"/>
              </w:rPr>
              <w:t>Units</w:t>
            </w:r>
          </w:p>
        </w:tc>
        <w:tc>
          <w:tcPr>
            <w:tcW w:w="871" w:type="pct"/>
            <w:noWrap/>
          </w:tcPr>
          <w:p w14:paraId="291711AB" w14:textId="38B9D672" w:rsidR="004879D0" w:rsidRPr="00071D60" w:rsidRDefault="004879D0" w:rsidP="004879D0">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rPr>
            </w:pPr>
            <w:r>
              <w:rPr>
                <w:rFonts w:ascii="Arial Narrow" w:hAnsi="Arial Narrow"/>
                <w:color w:val="000000"/>
              </w:rPr>
              <w:t>200</w:t>
            </w:r>
          </w:p>
        </w:tc>
      </w:tr>
      <w:tr w:rsidR="004879D0" w:rsidRPr="006453C0" w14:paraId="0C5BB515" w14:textId="77777777" w:rsidTr="004879D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97" w:type="pct"/>
          </w:tcPr>
          <w:p w14:paraId="2601F19B" w14:textId="0EB3C916" w:rsidR="004879D0" w:rsidRPr="007F5B3F" w:rsidRDefault="004879D0" w:rsidP="004879D0">
            <w:pPr>
              <w:keepNext/>
              <w:keepLines/>
              <w:jc w:val="left"/>
              <w:rPr>
                <w:rFonts w:ascii="Arial Narrow" w:hAnsi="Arial Narrow"/>
                <w:color w:val="000000"/>
              </w:rPr>
            </w:pPr>
            <w:r>
              <w:rPr>
                <w:rFonts w:ascii="Arial Narrow" w:hAnsi="Arial Narrow"/>
                <w:color w:val="000000"/>
              </w:rPr>
              <w:t>HVAC</w:t>
            </w:r>
          </w:p>
        </w:tc>
        <w:tc>
          <w:tcPr>
            <w:tcW w:w="2191" w:type="pct"/>
          </w:tcPr>
          <w:p w14:paraId="6240BE09" w14:textId="39857D2D" w:rsidR="004879D0" w:rsidRPr="007F5B3F" w:rsidRDefault="004879D0" w:rsidP="004879D0">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Pr>
                <w:rFonts w:ascii="Arial Narrow" w:hAnsi="Arial Narrow"/>
                <w:color w:val="000000"/>
              </w:rPr>
              <w:t>Efficient Ventilation</w:t>
            </w:r>
          </w:p>
        </w:tc>
        <w:tc>
          <w:tcPr>
            <w:tcW w:w="641" w:type="pct"/>
            <w:noWrap/>
          </w:tcPr>
          <w:p w14:paraId="68C73DC0" w14:textId="0BC27BD6" w:rsidR="004879D0" w:rsidRPr="007F5B3F" w:rsidRDefault="004879D0" w:rsidP="004879D0">
            <w:pPr>
              <w:keepNext/>
              <w:keepLines/>
              <w:spacing w:before="0" w:after="0"/>
              <w:ind w:right="72"/>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Pr>
                <w:rFonts w:ascii="Arial Narrow" w:hAnsi="Arial Narrow"/>
                <w:color w:val="000000"/>
              </w:rPr>
              <w:t>Units</w:t>
            </w:r>
          </w:p>
        </w:tc>
        <w:tc>
          <w:tcPr>
            <w:tcW w:w="871" w:type="pct"/>
            <w:noWrap/>
          </w:tcPr>
          <w:p w14:paraId="3E98F0D3" w14:textId="63BC548B" w:rsidR="004879D0" w:rsidRPr="007F5B3F" w:rsidRDefault="004879D0" w:rsidP="004879D0">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Pr>
                <w:rFonts w:ascii="Arial Narrow" w:hAnsi="Arial Narrow"/>
                <w:color w:val="000000"/>
              </w:rPr>
              <w:t>8</w:t>
            </w:r>
          </w:p>
        </w:tc>
      </w:tr>
      <w:tr w:rsidR="004879D0" w:rsidRPr="007416B8" w14:paraId="10C0F681" w14:textId="77777777" w:rsidTr="004879D0">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97" w:type="pct"/>
          </w:tcPr>
          <w:p w14:paraId="353EA5B8" w14:textId="5CA51FD3" w:rsidR="004879D0" w:rsidRPr="007416B8" w:rsidRDefault="004879D0" w:rsidP="004879D0">
            <w:pPr>
              <w:keepNext/>
              <w:keepLines/>
              <w:jc w:val="left"/>
              <w:rPr>
                <w:rFonts w:ascii="Arial Narrow" w:hAnsi="Arial Narrow"/>
                <w:color w:val="000000"/>
              </w:rPr>
            </w:pPr>
            <w:r>
              <w:rPr>
                <w:rFonts w:ascii="Arial Narrow" w:hAnsi="Arial Narrow"/>
                <w:color w:val="000000"/>
              </w:rPr>
              <w:t>HVAC</w:t>
            </w:r>
          </w:p>
        </w:tc>
        <w:tc>
          <w:tcPr>
            <w:tcW w:w="2191" w:type="pct"/>
          </w:tcPr>
          <w:p w14:paraId="21889821" w14:textId="0AB6D6AB" w:rsidR="004879D0" w:rsidRPr="007416B8" w:rsidRDefault="004879D0" w:rsidP="004879D0">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rPr>
            </w:pPr>
            <w:r>
              <w:rPr>
                <w:rFonts w:ascii="Arial Narrow" w:hAnsi="Arial Narrow"/>
                <w:color w:val="000000"/>
              </w:rPr>
              <w:t>Advanced HVAC Controls</w:t>
            </w:r>
          </w:p>
        </w:tc>
        <w:tc>
          <w:tcPr>
            <w:tcW w:w="641" w:type="pct"/>
            <w:noWrap/>
          </w:tcPr>
          <w:p w14:paraId="1040E58F" w14:textId="78BFA808" w:rsidR="004879D0" w:rsidRPr="007416B8" w:rsidRDefault="004879D0" w:rsidP="004879D0">
            <w:pPr>
              <w:keepNext/>
              <w:keepLines/>
              <w:spacing w:before="0" w:after="0"/>
              <w:ind w:right="72"/>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rPr>
            </w:pPr>
            <w:r>
              <w:rPr>
                <w:rFonts w:ascii="Arial Narrow" w:hAnsi="Arial Narrow"/>
                <w:color w:val="000000"/>
              </w:rPr>
              <w:t>Dwelling Units</w:t>
            </w:r>
          </w:p>
        </w:tc>
        <w:tc>
          <w:tcPr>
            <w:tcW w:w="871" w:type="pct"/>
            <w:noWrap/>
          </w:tcPr>
          <w:p w14:paraId="24B361F0" w14:textId="7E4F5882" w:rsidR="004879D0" w:rsidRPr="007416B8" w:rsidRDefault="004879D0" w:rsidP="004879D0">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rPr>
            </w:pPr>
            <w:r>
              <w:rPr>
                <w:rFonts w:ascii="Arial Narrow" w:hAnsi="Arial Narrow"/>
                <w:color w:val="000000"/>
              </w:rPr>
              <w:t>127</w:t>
            </w:r>
          </w:p>
        </w:tc>
      </w:tr>
      <w:tr w:rsidR="004879D0" w:rsidRPr="007416B8" w14:paraId="39ACA6F6" w14:textId="77777777" w:rsidTr="004879D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97" w:type="pct"/>
          </w:tcPr>
          <w:p w14:paraId="0CFE2C05" w14:textId="3CF012C1" w:rsidR="004879D0" w:rsidRDefault="004879D0" w:rsidP="004879D0">
            <w:pPr>
              <w:keepNext/>
              <w:keepLines/>
              <w:jc w:val="left"/>
              <w:rPr>
                <w:rFonts w:ascii="Arial Narrow" w:hAnsi="Arial Narrow"/>
                <w:color w:val="000000"/>
              </w:rPr>
            </w:pPr>
            <w:r>
              <w:rPr>
                <w:rFonts w:ascii="Arial Narrow" w:hAnsi="Arial Narrow"/>
                <w:color w:val="000000"/>
              </w:rPr>
              <w:t>Hot Water</w:t>
            </w:r>
          </w:p>
        </w:tc>
        <w:tc>
          <w:tcPr>
            <w:tcW w:w="2191" w:type="pct"/>
          </w:tcPr>
          <w:p w14:paraId="0DEB71D8" w14:textId="67105A89" w:rsidR="004879D0" w:rsidRDefault="004879D0" w:rsidP="004879D0">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Pr>
                <w:rFonts w:ascii="Arial Narrow" w:hAnsi="Arial Narrow"/>
                <w:color w:val="000000"/>
              </w:rPr>
              <w:t>High-Performance Water Heating Equipment</w:t>
            </w:r>
          </w:p>
        </w:tc>
        <w:tc>
          <w:tcPr>
            <w:tcW w:w="641" w:type="pct"/>
            <w:noWrap/>
          </w:tcPr>
          <w:p w14:paraId="1C7B1D86" w14:textId="5FD1CE8E" w:rsidR="004879D0" w:rsidRDefault="004879D0" w:rsidP="004879D0">
            <w:pPr>
              <w:keepNext/>
              <w:keepLines/>
              <w:spacing w:before="0" w:after="0"/>
              <w:ind w:right="72"/>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Pr>
                <w:rFonts w:ascii="Arial Narrow" w:hAnsi="Arial Narrow"/>
                <w:color w:val="000000"/>
              </w:rPr>
              <w:t>Units</w:t>
            </w:r>
          </w:p>
        </w:tc>
        <w:tc>
          <w:tcPr>
            <w:tcW w:w="871" w:type="pct"/>
            <w:noWrap/>
          </w:tcPr>
          <w:p w14:paraId="3A285E0B" w14:textId="42141585" w:rsidR="004879D0" w:rsidRDefault="004879D0" w:rsidP="004879D0">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Pr>
                <w:rFonts w:ascii="Arial Narrow" w:hAnsi="Arial Narrow"/>
                <w:color w:val="000000"/>
              </w:rPr>
              <w:t>56</w:t>
            </w:r>
          </w:p>
        </w:tc>
      </w:tr>
      <w:tr w:rsidR="004879D0" w:rsidRPr="007416B8" w14:paraId="7E84E195" w14:textId="77777777" w:rsidTr="004879D0">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97" w:type="pct"/>
          </w:tcPr>
          <w:p w14:paraId="6A1D32B1" w14:textId="5FB24CEF" w:rsidR="004879D0" w:rsidRDefault="004879D0" w:rsidP="004879D0">
            <w:pPr>
              <w:keepNext/>
              <w:keepLines/>
              <w:jc w:val="left"/>
              <w:rPr>
                <w:rFonts w:ascii="Arial Narrow" w:hAnsi="Arial Narrow"/>
                <w:color w:val="000000"/>
              </w:rPr>
            </w:pPr>
            <w:r>
              <w:rPr>
                <w:rFonts w:ascii="Arial Narrow" w:hAnsi="Arial Narrow"/>
                <w:color w:val="000000"/>
              </w:rPr>
              <w:t>Hot Water</w:t>
            </w:r>
          </w:p>
        </w:tc>
        <w:tc>
          <w:tcPr>
            <w:tcW w:w="2191" w:type="pct"/>
          </w:tcPr>
          <w:p w14:paraId="7D2EA902" w14:textId="40E36366" w:rsidR="004879D0" w:rsidRDefault="004879D0" w:rsidP="004879D0">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rPr>
            </w:pPr>
            <w:r>
              <w:rPr>
                <w:rFonts w:ascii="Arial Narrow" w:hAnsi="Arial Narrow"/>
                <w:color w:val="000000"/>
              </w:rPr>
              <w:t>Hot Water Conservation</w:t>
            </w:r>
          </w:p>
        </w:tc>
        <w:tc>
          <w:tcPr>
            <w:tcW w:w="641" w:type="pct"/>
            <w:noWrap/>
          </w:tcPr>
          <w:p w14:paraId="0216A379" w14:textId="1C326F6B" w:rsidR="004879D0" w:rsidRDefault="004879D0" w:rsidP="004879D0">
            <w:pPr>
              <w:keepNext/>
              <w:keepLines/>
              <w:spacing w:before="0" w:after="0"/>
              <w:ind w:right="72"/>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rPr>
            </w:pPr>
            <w:r>
              <w:rPr>
                <w:rFonts w:ascii="Arial Narrow" w:hAnsi="Arial Narrow"/>
                <w:color w:val="000000"/>
              </w:rPr>
              <w:t>Units</w:t>
            </w:r>
          </w:p>
        </w:tc>
        <w:tc>
          <w:tcPr>
            <w:tcW w:w="871" w:type="pct"/>
            <w:noWrap/>
          </w:tcPr>
          <w:p w14:paraId="398A023E" w14:textId="7A7E924D" w:rsidR="004879D0" w:rsidRDefault="004879D0" w:rsidP="004879D0">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rPr>
            </w:pPr>
            <w:r>
              <w:rPr>
                <w:rFonts w:ascii="Arial Narrow" w:hAnsi="Arial Narrow"/>
                <w:color w:val="000000"/>
              </w:rPr>
              <w:t>1,608</w:t>
            </w:r>
          </w:p>
        </w:tc>
      </w:tr>
      <w:tr w:rsidR="004879D0" w:rsidRPr="007416B8" w14:paraId="2BA5FCD2" w14:textId="77777777" w:rsidTr="004879D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97" w:type="pct"/>
          </w:tcPr>
          <w:p w14:paraId="4B0DA87C" w14:textId="6130EF3A" w:rsidR="004879D0" w:rsidRDefault="004879D0" w:rsidP="004879D0">
            <w:pPr>
              <w:keepNext/>
              <w:keepLines/>
              <w:jc w:val="left"/>
              <w:rPr>
                <w:rFonts w:ascii="Arial Narrow" w:hAnsi="Arial Narrow"/>
                <w:color w:val="000000"/>
              </w:rPr>
            </w:pPr>
            <w:r>
              <w:rPr>
                <w:rFonts w:ascii="Arial Narrow" w:hAnsi="Arial Narrow"/>
                <w:color w:val="000000"/>
              </w:rPr>
              <w:t>Appliances</w:t>
            </w:r>
          </w:p>
        </w:tc>
        <w:tc>
          <w:tcPr>
            <w:tcW w:w="2191" w:type="pct"/>
          </w:tcPr>
          <w:p w14:paraId="66057F47" w14:textId="20D6340C" w:rsidR="004879D0" w:rsidRDefault="004879D0" w:rsidP="004879D0">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Pr>
                <w:rFonts w:ascii="Arial Narrow" w:hAnsi="Arial Narrow"/>
                <w:color w:val="000000"/>
              </w:rPr>
              <w:t>Efficient Appliances</w:t>
            </w:r>
          </w:p>
        </w:tc>
        <w:tc>
          <w:tcPr>
            <w:tcW w:w="641" w:type="pct"/>
            <w:noWrap/>
          </w:tcPr>
          <w:p w14:paraId="7BF0A5A6" w14:textId="4A719167" w:rsidR="004879D0" w:rsidRDefault="004879D0" w:rsidP="004879D0">
            <w:pPr>
              <w:keepNext/>
              <w:keepLines/>
              <w:spacing w:before="0" w:after="0"/>
              <w:ind w:right="72"/>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Pr>
                <w:rFonts w:ascii="Arial Narrow" w:hAnsi="Arial Narrow"/>
                <w:color w:val="000000"/>
              </w:rPr>
              <w:t>Units</w:t>
            </w:r>
          </w:p>
        </w:tc>
        <w:tc>
          <w:tcPr>
            <w:tcW w:w="871" w:type="pct"/>
            <w:noWrap/>
          </w:tcPr>
          <w:p w14:paraId="5A0FCFDB" w14:textId="5AF7BB15" w:rsidR="004879D0" w:rsidRDefault="004879D0" w:rsidP="004879D0">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Pr>
                <w:rFonts w:ascii="Arial Narrow" w:hAnsi="Arial Narrow"/>
                <w:color w:val="000000"/>
              </w:rPr>
              <w:t>567</w:t>
            </w:r>
          </w:p>
        </w:tc>
      </w:tr>
    </w:tbl>
    <w:p w14:paraId="55BD5CD2" w14:textId="134AC1C5" w:rsidR="004F0F97" w:rsidRDefault="004F0F97" w:rsidP="00905197">
      <w:pPr>
        <w:pStyle w:val="Source"/>
        <w:keepNext/>
        <w:keepLines/>
        <w:spacing w:before="0"/>
        <w:ind w:firstLine="1170"/>
      </w:pPr>
      <w:r w:rsidRPr="00651E3A">
        <w:t xml:space="preserve">Source: </w:t>
      </w:r>
      <w:bookmarkStart w:id="11" w:name="_Hlk186754865"/>
      <w:r w:rsidR="00EB7F41">
        <w:t>Nicor Gas tracking data and e</w:t>
      </w:r>
      <w:r>
        <w:t xml:space="preserve">valuation team </w:t>
      </w:r>
      <w:r w:rsidRPr="00651E3A">
        <w:t>analysis</w:t>
      </w:r>
      <w:bookmarkEnd w:id="11"/>
      <w:r w:rsidRPr="00651E3A">
        <w:t>.</w:t>
      </w:r>
    </w:p>
    <w:p w14:paraId="79EA2CA5" w14:textId="77777777" w:rsidR="00905197" w:rsidRPr="00FD4BC8" w:rsidRDefault="00905197" w:rsidP="00FD4BC8">
      <w:bookmarkStart w:id="12" w:name="_Toc189833645"/>
    </w:p>
    <w:p w14:paraId="3B40370A" w14:textId="2FF58B35" w:rsidR="004F0F97" w:rsidRPr="00975872" w:rsidRDefault="000F321A" w:rsidP="00141312">
      <w:pPr>
        <w:pStyle w:val="Heading10"/>
        <w:numPr>
          <w:ilvl w:val="0"/>
          <w:numId w:val="0"/>
        </w:numPr>
        <w:rPr>
          <w:sz w:val="40"/>
          <w:szCs w:val="40"/>
        </w:rPr>
      </w:pPr>
      <w:r w:rsidRPr="00975872">
        <w:rPr>
          <w:sz w:val="40"/>
          <w:szCs w:val="40"/>
        </w:rPr>
        <w:t>Program Savings Detail</w:t>
      </w:r>
      <w:bookmarkEnd w:id="12"/>
    </w:p>
    <w:p w14:paraId="6C761442" w14:textId="26E59BB8" w:rsidR="004F0F97" w:rsidRDefault="009F5054" w:rsidP="004F0F97">
      <w:r>
        <w:fldChar w:fldCharType="begin"/>
      </w:r>
      <w:r>
        <w:instrText xml:space="preserve"> REF _Ref500500894 \h </w:instrText>
      </w:r>
      <w:r>
        <w:fldChar w:fldCharType="separate"/>
      </w:r>
      <w:r>
        <w:t xml:space="preserve">Table </w:t>
      </w:r>
      <w:r>
        <w:rPr>
          <w:noProof/>
        </w:rPr>
        <w:t>3</w:t>
      </w:r>
      <w:r>
        <w:fldChar w:fldCharType="end"/>
      </w:r>
      <w:r w:rsidR="004F0F97">
        <w:t xml:space="preserve"> </w:t>
      </w:r>
      <w:r w:rsidR="004F0F97" w:rsidRPr="00A90B62">
        <w:t>summarize</w:t>
      </w:r>
      <w:r w:rsidR="004F0F97">
        <w:t>s</w:t>
      </w:r>
      <w:r w:rsidR="004879D0" w:rsidRPr="00A90B62">
        <w:t xml:space="preserve"> the</w:t>
      </w:r>
      <w:r w:rsidR="004879D0">
        <w:t xml:space="preserve"> energy savings the Nicor Gas AHNC Program achieved in 202</w:t>
      </w:r>
      <w:r w:rsidR="00905197">
        <w:t>4</w:t>
      </w:r>
      <w:r w:rsidR="004879D0">
        <w:t>. The program completed three projects in 202</w:t>
      </w:r>
      <w:r w:rsidR="00F86B33">
        <w:t>4</w:t>
      </w:r>
      <w:r w:rsidR="004879D0">
        <w:t>, with project realization rates (RR) ranging from 9</w:t>
      </w:r>
      <w:r w:rsidR="00BF6A44">
        <w:t>6</w:t>
      </w:r>
      <w:r w:rsidR="004879D0">
        <w:t>% to 10</w:t>
      </w:r>
      <w:r w:rsidR="00D54D2E">
        <w:t>9</w:t>
      </w:r>
      <w:r w:rsidR="004879D0">
        <w:t>%. The overall 202</w:t>
      </w:r>
      <w:r w:rsidR="00F86B33">
        <w:t>4</w:t>
      </w:r>
      <w:r w:rsidR="004879D0">
        <w:t xml:space="preserve"> program RR for Nicor Gas AHNC Program was 10</w:t>
      </w:r>
      <w:r w:rsidR="00D54D2E">
        <w:t>2</w:t>
      </w:r>
      <w:r w:rsidR="004879D0">
        <w:t>%.</w:t>
      </w:r>
      <w:r w:rsidR="004F0F97" w:rsidRPr="00A90B62">
        <w:t xml:space="preserve"> </w:t>
      </w:r>
    </w:p>
    <w:p w14:paraId="738D9072" w14:textId="77777777" w:rsidR="00332AF6" w:rsidRDefault="00332AF6" w:rsidP="004F0F97"/>
    <w:p w14:paraId="1501D493" w14:textId="639DB4F5" w:rsidR="004F0F97" w:rsidRDefault="004F0F97" w:rsidP="004F0F97">
      <w:pPr>
        <w:pStyle w:val="Caption"/>
        <w:keepLines/>
      </w:pPr>
      <w:bookmarkStart w:id="13" w:name="_Ref500500894"/>
      <w:bookmarkStart w:id="14" w:name="_Toc397011684"/>
      <w:bookmarkStart w:id="15" w:name="_Toc397011694"/>
      <w:bookmarkStart w:id="16" w:name="_Toc398541809"/>
      <w:bookmarkStart w:id="17" w:name="_Toc398541922"/>
      <w:bookmarkStart w:id="18" w:name="_Toc398546654"/>
      <w:bookmarkStart w:id="19" w:name="_Toc423009516"/>
      <w:bookmarkStart w:id="20" w:name="_Toc426278634"/>
      <w:bookmarkStart w:id="21" w:name="_Toc61360847"/>
      <w:bookmarkStart w:id="22" w:name="_Toc192508413"/>
      <w:r>
        <w:t xml:space="preserve">Table </w:t>
      </w:r>
      <w:r w:rsidR="008B6764">
        <w:fldChar w:fldCharType="begin"/>
      </w:r>
      <w:r w:rsidR="008B6764">
        <w:instrText xml:space="preserve"> SEQ Table \* ARABIC </w:instrText>
      </w:r>
      <w:r w:rsidR="008B6764">
        <w:fldChar w:fldCharType="separate"/>
      </w:r>
      <w:r w:rsidR="008B6764">
        <w:rPr>
          <w:noProof/>
        </w:rPr>
        <w:t>3</w:t>
      </w:r>
      <w:r w:rsidR="008B6764">
        <w:rPr>
          <w:noProof/>
        </w:rPr>
        <w:fldChar w:fldCharType="end"/>
      </w:r>
      <w:bookmarkEnd w:id="13"/>
      <w:r>
        <w:t xml:space="preserve">. </w:t>
      </w:r>
      <w:r w:rsidR="00E27342">
        <w:t>202</w:t>
      </w:r>
      <w:r w:rsidR="00BB3C1A">
        <w:t>4</w:t>
      </w:r>
      <w:r>
        <w:t xml:space="preserve"> Annual Energy Savings Summary</w:t>
      </w:r>
      <w:bookmarkEnd w:id="14"/>
      <w:bookmarkEnd w:id="15"/>
      <w:bookmarkEnd w:id="16"/>
      <w:bookmarkEnd w:id="17"/>
      <w:bookmarkEnd w:id="18"/>
      <w:bookmarkEnd w:id="19"/>
      <w:bookmarkEnd w:id="20"/>
      <w:bookmarkEnd w:id="21"/>
      <w:bookmarkEnd w:id="22"/>
      <w:r>
        <w:t xml:space="preserve"> </w:t>
      </w:r>
    </w:p>
    <w:tbl>
      <w:tblPr>
        <w:tblW w:w="5000" w:type="pct"/>
        <w:tblLook w:val="06A0" w:firstRow="1" w:lastRow="0" w:firstColumn="1" w:lastColumn="0" w:noHBand="1" w:noVBand="1"/>
      </w:tblPr>
      <w:tblGrid>
        <w:gridCol w:w="2193"/>
        <w:gridCol w:w="21"/>
        <w:gridCol w:w="1177"/>
        <w:gridCol w:w="1397"/>
        <w:gridCol w:w="1496"/>
        <w:gridCol w:w="797"/>
        <w:gridCol w:w="897"/>
        <w:gridCol w:w="1382"/>
      </w:tblGrid>
      <w:tr w:rsidR="004879D0" w14:paraId="0CBC9E15" w14:textId="77777777" w:rsidTr="00975872">
        <w:trPr>
          <w:trHeight w:val="780"/>
          <w:tblHeader/>
        </w:trPr>
        <w:tc>
          <w:tcPr>
            <w:tcW w:w="1183" w:type="pct"/>
            <w:gridSpan w:val="2"/>
            <w:tcBorders>
              <w:top w:val="nil"/>
              <w:bottom w:val="single" w:sz="12" w:space="0" w:color="95D600"/>
            </w:tcBorders>
            <w:shd w:val="clear" w:color="auto" w:fill="036479" w:themeFill="accent3"/>
            <w:tcMar>
              <w:top w:w="15" w:type="dxa"/>
              <w:left w:w="15" w:type="dxa"/>
              <w:right w:w="15" w:type="dxa"/>
            </w:tcMar>
            <w:vAlign w:val="center"/>
          </w:tcPr>
          <w:p w14:paraId="310F21D3" w14:textId="7456451A" w:rsidR="004879D0" w:rsidRDefault="004879D0" w:rsidP="1B6EEEC9">
            <w:r>
              <w:rPr>
                <w:rFonts w:ascii="Arial Narrow" w:eastAsia="Arial Narrow" w:hAnsi="Arial Narrow" w:cs="Arial Narrow"/>
                <w:color w:val="FFFFFF" w:themeColor="background1"/>
                <w:sz w:val="20"/>
                <w:szCs w:val="20"/>
              </w:rPr>
              <w:t>Project</w:t>
            </w:r>
          </w:p>
        </w:tc>
        <w:tc>
          <w:tcPr>
            <w:tcW w:w="629" w:type="pct"/>
            <w:tcBorders>
              <w:top w:val="nil"/>
              <w:bottom w:val="single" w:sz="12" w:space="0" w:color="95D600"/>
            </w:tcBorders>
            <w:shd w:val="clear" w:color="auto" w:fill="036479" w:themeFill="accent3"/>
            <w:tcMar>
              <w:top w:w="15" w:type="dxa"/>
              <w:left w:w="15" w:type="dxa"/>
              <w:right w:w="15" w:type="dxa"/>
            </w:tcMar>
            <w:vAlign w:val="center"/>
          </w:tcPr>
          <w:p w14:paraId="669AD640" w14:textId="68DBACF8" w:rsidR="004879D0" w:rsidRPr="00000EB6" w:rsidRDefault="004879D0" w:rsidP="1B6EEEC9">
            <w:pPr>
              <w:jc w:val="right"/>
              <w:rPr>
                <w:rFonts w:ascii="Arial Narrow" w:eastAsia="Arial Narrow" w:hAnsi="Arial Narrow" w:cs="Arial Narrow"/>
                <w:color w:val="FFFFFF" w:themeColor="background1"/>
                <w:sz w:val="20"/>
                <w:szCs w:val="20"/>
              </w:rPr>
            </w:pPr>
            <w:r w:rsidRPr="1B6EEEC9">
              <w:rPr>
                <w:rFonts w:ascii="Arial Narrow" w:eastAsia="Arial Narrow" w:hAnsi="Arial Narrow" w:cs="Arial Narrow"/>
                <w:color w:val="FFFFFF" w:themeColor="background1"/>
                <w:sz w:val="20"/>
                <w:szCs w:val="20"/>
              </w:rPr>
              <w:t>Ex Ante Gross Savings (Therms)</w:t>
            </w:r>
            <w:r w:rsidR="00000EB6" w:rsidRPr="00000EB6">
              <w:rPr>
                <w:rFonts w:ascii="Arial Narrow" w:eastAsia="Arial Narrow" w:hAnsi="Arial Narrow" w:cs="Arial Narrow"/>
                <w:color w:val="FFFFFF" w:themeColor="background1"/>
                <w:sz w:val="20"/>
                <w:szCs w:val="20"/>
              </w:rPr>
              <w:t xml:space="preserve"> §</w:t>
            </w:r>
          </w:p>
        </w:tc>
        <w:tc>
          <w:tcPr>
            <w:tcW w:w="746" w:type="pct"/>
            <w:tcBorders>
              <w:top w:val="nil"/>
              <w:bottom w:val="single" w:sz="12" w:space="0" w:color="95D600"/>
            </w:tcBorders>
            <w:shd w:val="clear" w:color="auto" w:fill="036479" w:themeFill="accent3"/>
            <w:tcMar>
              <w:top w:w="15" w:type="dxa"/>
              <w:left w:w="15" w:type="dxa"/>
              <w:right w:w="15" w:type="dxa"/>
            </w:tcMar>
            <w:vAlign w:val="center"/>
          </w:tcPr>
          <w:p w14:paraId="7451A597" w14:textId="3D9E9EA2" w:rsidR="004879D0" w:rsidRPr="00000EB6" w:rsidRDefault="004879D0" w:rsidP="1B6EEEC9">
            <w:pPr>
              <w:jc w:val="right"/>
              <w:rPr>
                <w:rFonts w:ascii="Arial Narrow" w:eastAsia="Arial Narrow" w:hAnsi="Arial Narrow" w:cs="Arial Narrow"/>
                <w:color w:val="FFFFFF" w:themeColor="background1"/>
                <w:sz w:val="20"/>
                <w:szCs w:val="20"/>
              </w:rPr>
            </w:pPr>
            <w:r w:rsidRPr="1B6EEEC9">
              <w:rPr>
                <w:rFonts w:ascii="Arial Narrow" w:eastAsia="Arial Narrow" w:hAnsi="Arial Narrow" w:cs="Arial Narrow"/>
                <w:color w:val="FFFFFF" w:themeColor="background1"/>
                <w:sz w:val="20"/>
                <w:szCs w:val="20"/>
              </w:rPr>
              <w:t>Verified Gross RR*</w:t>
            </w:r>
          </w:p>
        </w:tc>
        <w:tc>
          <w:tcPr>
            <w:tcW w:w="799" w:type="pct"/>
            <w:tcBorders>
              <w:top w:val="nil"/>
              <w:bottom w:val="single" w:sz="12" w:space="0" w:color="95D600"/>
            </w:tcBorders>
            <w:shd w:val="clear" w:color="auto" w:fill="036479" w:themeFill="accent3"/>
            <w:tcMar>
              <w:top w:w="15" w:type="dxa"/>
              <w:left w:w="15" w:type="dxa"/>
              <w:right w:w="15" w:type="dxa"/>
            </w:tcMar>
            <w:vAlign w:val="center"/>
          </w:tcPr>
          <w:p w14:paraId="35DC77CB" w14:textId="24643A98" w:rsidR="004879D0" w:rsidRDefault="004879D0" w:rsidP="1B6EEEC9">
            <w:pPr>
              <w:jc w:val="right"/>
            </w:pPr>
            <w:r w:rsidRPr="1B6EEEC9">
              <w:rPr>
                <w:rFonts w:ascii="Arial Narrow" w:eastAsia="Arial Narrow" w:hAnsi="Arial Narrow" w:cs="Arial Narrow"/>
                <w:color w:val="FFFFFF" w:themeColor="background1"/>
                <w:sz w:val="20"/>
                <w:szCs w:val="20"/>
              </w:rPr>
              <w:t>Verified Gross Savings (Therms</w:t>
            </w:r>
          </w:p>
        </w:tc>
        <w:tc>
          <w:tcPr>
            <w:tcW w:w="426" w:type="pct"/>
            <w:tcBorders>
              <w:top w:val="nil"/>
              <w:bottom w:val="single" w:sz="12" w:space="0" w:color="95D600"/>
            </w:tcBorders>
            <w:shd w:val="clear" w:color="auto" w:fill="036479" w:themeFill="accent3"/>
            <w:tcMar>
              <w:top w:w="15" w:type="dxa"/>
              <w:left w:w="15" w:type="dxa"/>
              <w:right w:w="15" w:type="dxa"/>
            </w:tcMar>
            <w:vAlign w:val="center"/>
          </w:tcPr>
          <w:p w14:paraId="4A3982CE" w14:textId="432E326E" w:rsidR="004879D0" w:rsidRDefault="004879D0" w:rsidP="1B6EEEC9">
            <w:pPr>
              <w:jc w:val="right"/>
            </w:pPr>
            <w:r w:rsidRPr="1B6EEEC9">
              <w:rPr>
                <w:rFonts w:ascii="Arial Narrow" w:eastAsia="Arial Narrow" w:hAnsi="Arial Narrow" w:cs="Arial Narrow"/>
                <w:color w:val="FFFFFF" w:themeColor="background1"/>
                <w:sz w:val="20"/>
                <w:szCs w:val="20"/>
              </w:rPr>
              <w:t>NTG</w:t>
            </w:r>
            <w:r w:rsidRPr="1B6EEEC9">
              <w:rPr>
                <w:rFonts w:ascii="Calibri" w:eastAsia="Calibri" w:hAnsi="Calibri" w:cs="Calibri"/>
                <w:color w:val="FFFFFF" w:themeColor="background1"/>
                <w:sz w:val="20"/>
                <w:szCs w:val="20"/>
              </w:rPr>
              <w:t>†</w:t>
            </w:r>
          </w:p>
        </w:tc>
        <w:tc>
          <w:tcPr>
            <w:tcW w:w="479" w:type="pct"/>
            <w:tcBorders>
              <w:top w:val="nil"/>
              <w:bottom w:val="single" w:sz="12" w:space="0" w:color="95D600"/>
            </w:tcBorders>
            <w:shd w:val="clear" w:color="auto" w:fill="036479" w:themeFill="accent3"/>
            <w:tcMar>
              <w:top w:w="15" w:type="dxa"/>
              <w:left w:w="15" w:type="dxa"/>
              <w:right w:w="15" w:type="dxa"/>
            </w:tcMar>
            <w:vAlign w:val="center"/>
          </w:tcPr>
          <w:p w14:paraId="7850EA09" w14:textId="26AB98B2" w:rsidR="004879D0" w:rsidRDefault="004879D0" w:rsidP="1B6EEEC9">
            <w:pPr>
              <w:jc w:val="right"/>
            </w:pPr>
            <w:r w:rsidRPr="1B6EEEC9">
              <w:rPr>
                <w:rFonts w:ascii="Arial Narrow" w:eastAsia="Arial Narrow" w:hAnsi="Arial Narrow" w:cs="Arial Narrow"/>
                <w:color w:val="FFFFFF" w:themeColor="background1"/>
                <w:sz w:val="20"/>
                <w:szCs w:val="20"/>
              </w:rPr>
              <w:t>NSPO‡</w:t>
            </w:r>
          </w:p>
        </w:tc>
        <w:tc>
          <w:tcPr>
            <w:tcW w:w="738" w:type="pct"/>
            <w:tcBorders>
              <w:top w:val="nil"/>
              <w:bottom w:val="single" w:sz="12" w:space="0" w:color="95D600"/>
            </w:tcBorders>
            <w:shd w:val="clear" w:color="auto" w:fill="036479" w:themeFill="accent3"/>
            <w:tcMar>
              <w:top w:w="15" w:type="dxa"/>
              <w:left w:w="15" w:type="dxa"/>
              <w:right w:w="15" w:type="dxa"/>
            </w:tcMar>
            <w:vAlign w:val="center"/>
          </w:tcPr>
          <w:p w14:paraId="278FA940" w14:textId="0B134FB0" w:rsidR="004879D0" w:rsidRDefault="004879D0" w:rsidP="1B6EEEC9">
            <w:pPr>
              <w:jc w:val="right"/>
            </w:pPr>
            <w:r w:rsidRPr="1B6EEEC9">
              <w:rPr>
                <w:rFonts w:ascii="Arial Narrow" w:eastAsia="Arial Narrow" w:hAnsi="Arial Narrow" w:cs="Arial Narrow"/>
                <w:color w:val="FFFFFF" w:themeColor="background1"/>
                <w:sz w:val="20"/>
                <w:szCs w:val="20"/>
              </w:rPr>
              <w:t>Verified Net Savings (Therms)</w:t>
            </w:r>
          </w:p>
        </w:tc>
      </w:tr>
      <w:tr w:rsidR="00345B52" w14:paraId="620AE03D" w14:textId="77777777" w:rsidTr="00975872">
        <w:trPr>
          <w:trHeight w:val="540"/>
        </w:trPr>
        <w:tc>
          <w:tcPr>
            <w:tcW w:w="1183" w:type="pct"/>
            <w:gridSpan w:val="2"/>
            <w:tcBorders>
              <w:top w:val="single" w:sz="12" w:space="0" w:color="95D600"/>
              <w:bottom w:val="single" w:sz="8" w:space="0" w:color="B3EFFD" w:themeColor="accent3" w:themeTint="33"/>
            </w:tcBorders>
            <w:tcMar>
              <w:top w:w="15" w:type="dxa"/>
              <w:left w:w="15" w:type="dxa"/>
              <w:right w:w="15" w:type="dxa"/>
            </w:tcMar>
            <w:vAlign w:val="center"/>
          </w:tcPr>
          <w:p w14:paraId="74DE2592" w14:textId="7F8C5DAE" w:rsidR="00345B52" w:rsidRDefault="00345B52" w:rsidP="00345B52">
            <w:r>
              <w:rPr>
                <w:rFonts w:ascii="Arial Narrow" w:eastAsia="Arial Narrow" w:hAnsi="Arial Narrow" w:cs="Arial Narrow"/>
                <w:color w:val="000000" w:themeColor="text1"/>
                <w:sz w:val="20"/>
                <w:szCs w:val="20"/>
              </w:rPr>
              <w:t>AH0095</w:t>
            </w:r>
          </w:p>
        </w:tc>
        <w:tc>
          <w:tcPr>
            <w:tcW w:w="629" w:type="pct"/>
            <w:tcBorders>
              <w:top w:val="single" w:sz="12" w:space="0" w:color="95D600"/>
              <w:bottom w:val="single" w:sz="8" w:space="0" w:color="B3EFFD" w:themeColor="accent3" w:themeTint="33"/>
            </w:tcBorders>
            <w:tcMar>
              <w:top w:w="15" w:type="dxa"/>
              <w:left w:w="15" w:type="dxa"/>
              <w:right w:w="15" w:type="dxa"/>
            </w:tcMar>
            <w:vAlign w:val="center"/>
          </w:tcPr>
          <w:p w14:paraId="08AD79B7" w14:textId="75D03078" w:rsidR="00345B52" w:rsidRDefault="00345B52" w:rsidP="00345B52">
            <w:pPr>
              <w:jc w:val="right"/>
            </w:pPr>
            <w:r>
              <w:rPr>
                <w:rFonts w:ascii="Arial Narrow" w:eastAsia="Arial Narrow" w:hAnsi="Arial Narrow" w:cs="Arial Narrow"/>
                <w:color w:val="000000" w:themeColor="text1"/>
                <w:sz w:val="20"/>
                <w:szCs w:val="20"/>
              </w:rPr>
              <w:t>1,399</w:t>
            </w:r>
          </w:p>
        </w:tc>
        <w:tc>
          <w:tcPr>
            <w:tcW w:w="746" w:type="pct"/>
            <w:tcBorders>
              <w:top w:val="single" w:sz="12" w:space="0" w:color="95D600"/>
              <w:bottom w:val="single" w:sz="8" w:space="0" w:color="B3EFFD" w:themeColor="accent3" w:themeTint="33"/>
            </w:tcBorders>
            <w:tcMar>
              <w:top w:w="15" w:type="dxa"/>
              <w:left w:w="15" w:type="dxa"/>
              <w:right w:w="15" w:type="dxa"/>
            </w:tcMar>
            <w:vAlign w:val="center"/>
          </w:tcPr>
          <w:p w14:paraId="1F8B6C1D" w14:textId="348D4BE7" w:rsidR="00345B52" w:rsidRDefault="00345B52" w:rsidP="00345B52">
            <w:pPr>
              <w:jc w:val="right"/>
            </w:pPr>
            <w:r>
              <w:rPr>
                <w:rFonts w:ascii="Arial Narrow" w:eastAsia="Arial Narrow" w:hAnsi="Arial Narrow" w:cs="Arial Narrow"/>
                <w:color w:val="000000" w:themeColor="text1"/>
                <w:sz w:val="20"/>
                <w:szCs w:val="20"/>
              </w:rPr>
              <w:t>108%</w:t>
            </w:r>
          </w:p>
        </w:tc>
        <w:tc>
          <w:tcPr>
            <w:tcW w:w="799" w:type="pct"/>
            <w:tcBorders>
              <w:top w:val="single" w:sz="12" w:space="0" w:color="95D600"/>
              <w:bottom w:val="single" w:sz="8" w:space="0" w:color="B3EFFD" w:themeColor="accent3" w:themeTint="33"/>
            </w:tcBorders>
            <w:tcMar>
              <w:top w:w="15" w:type="dxa"/>
              <w:left w:w="15" w:type="dxa"/>
              <w:right w:w="15" w:type="dxa"/>
            </w:tcMar>
            <w:vAlign w:val="center"/>
          </w:tcPr>
          <w:p w14:paraId="49A04945" w14:textId="0AF84E9E" w:rsidR="00345B52" w:rsidRDefault="00345B52" w:rsidP="00345B52">
            <w:pPr>
              <w:jc w:val="right"/>
            </w:pPr>
            <w:r>
              <w:rPr>
                <w:rFonts w:ascii="Arial Narrow" w:eastAsia="Arial Narrow" w:hAnsi="Arial Narrow" w:cs="Arial Narrow"/>
                <w:color w:val="000000" w:themeColor="text1"/>
                <w:sz w:val="20"/>
                <w:szCs w:val="20"/>
              </w:rPr>
              <w:t>1,506</w:t>
            </w:r>
          </w:p>
        </w:tc>
        <w:tc>
          <w:tcPr>
            <w:tcW w:w="426" w:type="pct"/>
            <w:tcBorders>
              <w:top w:val="single" w:sz="12" w:space="0" w:color="95D600"/>
              <w:bottom w:val="single" w:sz="8" w:space="0" w:color="B3EFFD" w:themeColor="accent3" w:themeTint="33"/>
            </w:tcBorders>
            <w:tcMar>
              <w:top w:w="15" w:type="dxa"/>
              <w:left w:w="15" w:type="dxa"/>
              <w:right w:w="15" w:type="dxa"/>
            </w:tcMar>
            <w:vAlign w:val="center"/>
          </w:tcPr>
          <w:p w14:paraId="4806D0CF" w14:textId="666786AA" w:rsidR="00345B52" w:rsidRDefault="00345B52" w:rsidP="00345B52">
            <w:pPr>
              <w:jc w:val="right"/>
            </w:pPr>
            <w:r>
              <w:rPr>
                <w:rFonts w:ascii="Arial Narrow" w:eastAsia="Arial Narrow" w:hAnsi="Arial Narrow" w:cs="Arial Narrow"/>
                <w:color w:val="000000" w:themeColor="text1"/>
                <w:sz w:val="20"/>
                <w:szCs w:val="20"/>
              </w:rPr>
              <w:t>1.00</w:t>
            </w:r>
          </w:p>
        </w:tc>
        <w:tc>
          <w:tcPr>
            <w:tcW w:w="479" w:type="pct"/>
            <w:tcBorders>
              <w:top w:val="single" w:sz="12" w:space="0" w:color="95D600"/>
              <w:bottom w:val="single" w:sz="8" w:space="0" w:color="B3EFFD" w:themeColor="accent3" w:themeTint="33"/>
            </w:tcBorders>
            <w:tcMar>
              <w:top w:w="15" w:type="dxa"/>
              <w:left w:w="15" w:type="dxa"/>
              <w:right w:w="15" w:type="dxa"/>
            </w:tcMar>
            <w:vAlign w:val="center"/>
          </w:tcPr>
          <w:p w14:paraId="6DBF8417" w14:textId="162EFFB6" w:rsidR="00345B52" w:rsidRDefault="00F94845" w:rsidP="00345B52">
            <w:pPr>
              <w:jc w:val="right"/>
            </w:pPr>
            <w:r>
              <w:rPr>
                <w:rFonts w:ascii="Arial Narrow" w:eastAsia="Arial Narrow" w:hAnsi="Arial Narrow" w:cs="Arial Narrow"/>
                <w:color w:val="000000" w:themeColor="text1"/>
                <w:sz w:val="20"/>
                <w:szCs w:val="20"/>
              </w:rPr>
              <w:t>N/A</w:t>
            </w:r>
            <w:r w:rsidR="00345B52" w:rsidRPr="1B6EEEC9">
              <w:rPr>
                <w:rFonts w:ascii="Arial Narrow" w:eastAsia="Arial Narrow" w:hAnsi="Arial Narrow" w:cs="Arial Narrow"/>
                <w:color w:val="000000" w:themeColor="text1"/>
                <w:sz w:val="20"/>
                <w:szCs w:val="20"/>
              </w:rPr>
              <w:t xml:space="preserve"> </w:t>
            </w:r>
          </w:p>
        </w:tc>
        <w:tc>
          <w:tcPr>
            <w:tcW w:w="738" w:type="pct"/>
            <w:tcBorders>
              <w:top w:val="single" w:sz="12" w:space="0" w:color="95D600"/>
              <w:bottom w:val="single" w:sz="8" w:space="0" w:color="B3EFFD" w:themeColor="accent3" w:themeTint="33"/>
            </w:tcBorders>
            <w:tcMar>
              <w:top w:w="15" w:type="dxa"/>
              <w:left w:w="15" w:type="dxa"/>
              <w:right w:w="15" w:type="dxa"/>
            </w:tcMar>
            <w:vAlign w:val="center"/>
          </w:tcPr>
          <w:p w14:paraId="1E285288" w14:textId="4F1B07A9" w:rsidR="00345B52" w:rsidRDefault="00345B52" w:rsidP="00345B52">
            <w:pPr>
              <w:jc w:val="right"/>
            </w:pPr>
            <w:r>
              <w:rPr>
                <w:rFonts w:ascii="Arial Narrow" w:eastAsia="Arial Narrow" w:hAnsi="Arial Narrow" w:cs="Arial Narrow"/>
                <w:color w:val="000000" w:themeColor="text1"/>
                <w:sz w:val="20"/>
                <w:szCs w:val="20"/>
              </w:rPr>
              <w:t>1,506</w:t>
            </w:r>
          </w:p>
        </w:tc>
      </w:tr>
      <w:tr w:rsidR="00345B52" w14:paraId="563A2C61" w14:textId="77777777" w:rsidTr="00975872">
        <w:trPr>
          <w:trHeight w:val="300"/>
        </w:trPr>
        <w:tc>
          <w:tcPr>
            <w:tcW w:w="1183" w:type="pct"/>
            <w:gridSpan w:val="2"/>
            <w:tcBorders>
              <w:top w:val="single" w:sz="8" w:space="0" w:color="B3EFFD" w:themeColor="accent3" w:themeTint="33"/>
              <w:bottom w:val="single" w:sz="8" w:space="0" w:color="B3EFFD" w:themeColor="accent3" w:themeTint="33"/>
            </w:tcBorders>
            <w:shd w:val="clear" w:color="auto" w:fill="FFFFFF" w:themeFill="background1"/>
            <w:tcMar>
              <w:top w:w="15" w:type="dxa"/>
              <w:left w:w="15" w:type="dxa"/>
              <w:right w:w="15" w:type="dxa"/>
            </w:tcMar>
            <w:vAlign w:val="center"/>
          </w:tcPr>
          <w:p w14:paraId="26DB84BD" w14:textId="77777777" w:rsidR="00345B52" w:rsidRPr="004879D0" w:rsidRDefault="00345B52" w:rsidP="00345B52">
            <w:pPr>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AH0108</w:t>
            </w:r>
          </w:p>
        </w:tc>
        <w:tc>
          <w:tcPr>
            <w:tcW w:w="629" w:type="pct"/>
            <w:tcBorders>
              <w:top w:val="single" w:sz="8" w:space="0" w:color="B3EFFD" w:themeColor="accent3" w:themeTint="33"/>
              <w:bottom w:val="single" w:sz="8" w:space="0" w:color="B3EFFD" w:themeColor="accent3" w:themeTint="33"/>
            </w:tcBorders>
            <w:shd w:val="clear" w:color="auto" w:fill="FFFFFF" w:themeFill="background1"/>
            <w:tcMar>
              <w:top w:w="15" w:type="dxa"/>
              <w:left w:w="15" w:type="dxa"/>
              <w:right w:w="15" w:type="dxa"/>
            </w:tcMar>
            <w:vAlign w:val="center"/>
          </w:tcPr>
          <w:p w14:paraId="4E7FFD5B" w14:textId="30E1E060" w:rsidR="00345B52" w:rsidRPr="004879D0" w:rsidRDefault="00345B52" w:rsidP="00345B52">
            <w:pPr>
              <w:jc w:val="right"/>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13,199</w:t>
            </w:r>
            <w:r w:rsidR="00866C3C" w:rsidRPr="00E52E6E">
              <w:rPr>
                <w:rFonts w:ascii="Arial Narrow" w:hAnsi="Arial Narrow"/>
                <w:sz w:val="18"/>
                <w:szCs w:val="18"/>
              </w:rPr>
              <w:t>§</w:t>
            </w:r>
          </w:p>
        </w:tc>
        <w:tc>
          <w:tcPr>
            <w:tcW w:w="746" w:type="pct"/>
            <w:tcBorders>
              <w:top w:val="single" w:sz="8" w:space="0" w:color="B3EFFD" w:themeColor="accent3" w:themeTint="33"/>
              <w:bottom w:val="single" w:sz="8" w:space="0" w:color="B3EFFD" w:themeColor="accent3" w:themeTint="33"/>
            </w:tcBorders>
            <w:shd w:val="clear" w:color="auto" w:fill="FFFFFF" w:themeFill="background1"/>
            <w:tcMar>
              <w:top w:w="15" w:type="dxa"/>
              <w:left w:w="15" w:type="dxa"/>
              <w:right w:w="15" w:type="dxa"/>
            </w:tcMar>
            <w:vAlign w:val="center"/>
          </w:tcPr>
          <w:p w14:paraId="1F277CD4" w14:textId="77777777" w:rsidR="00345B52" w:rsidRPr="004879D0" w:rsidRDefault="00345B52" w:rsidP="00345B52">
            <w:pPr>
              <w:jc w:val="right"/>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100%</w:t>
            </w:r>
          </w:p>
        </w:tc>
        <w:tc>
          <w:tcPr>
            <w:tcW w:w="799" w:type="pct"/>
            <w:tcBorders>
              <w:top w:val="single" w:sz="8" w:space="0" w:color="B3EFFD" w:themeColor="accent3" w:themeTint="33"/>
              <w:bottom w:val="single" w:sz="8" w:space="0" w:color="B3EFFD" w:themeColor="accent3" w:themeTint="33"/>
            </w:tcBorders>
            <w:shd w:val="clear" w:color="auto" w:fill="FFFFFF" w:themeFill="background1"/>
            <w:tcMar>
              <w:top w:w="15" w:type="dxa"/>
              <w:left w:w="15" w:type="dxa"/>
              <w:right w:w="15" w:type="dxa"/>
            </w:tcMar>
            <w:vAlign w:val="center"/>
          </w:tcPr>
          <w:p w14:paraId="48EC92A7" w14:textId="77777777" w:rsidR="00345B52" w:rsidRPr="004879D0" w:rsidRDefault="00345B52" w:rsidP="00345B52">
            <w:pPr>
              <w:jc w:val="right"/>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13,240</w:t>
            </w:r>
          </w:p>
        </w:tc>
        <w:tc>
          <w:tcPr>
            <w:tcW w:w="426" w:type="pct"/>
            <w:tcBorders>
              <w:top w:val="single" w:sz="8" w:space="0" w:color="B3EFFD" w:themeColor="accent3" w:themeTint="33"/>
              <w:bottom w:val="single" w:sz="8" w:space="0" w:color="B3EFFD" w:themeColor="accent3" w:themeTint="33"/>
            </w:tcBorders>
            <w:shd w:val="clear" w:color="auto" w:fill="FFFFFF" w:themeFill="background1"/>
            <w:tcMar>
              <w:top w:w="15" w:type="dxa"/>
              <w:left w:w="15" w:type="dxa"/>
              <w:right w:w="15" w:type="dxa"/>
            </w:tcMar>
            <w:vAlign w:val="center"/>
          </w:tcPr>
          <w:p w14:paraId="36C2EF01" w14:textId="77777777" w:rsidR="00345B52" w:rsidRPr="004879D0" w:rsidRDefault="00345B52" w:rsidP="00345B52">
            <w:pPr>
              <w:jc w:val="right"/>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1.00</w:t>
            </w:r>
          </w:p>
        </w:tc>
        <w:tc>
          <w:tcPr>
            <w:tcW w:w="479" w:type="pct"/>
            <w:tcBorders>
              <w:top w:val="single" w:sz="8" w:space="0" w:color="B3EFFD" w:themeColor="accent3" w:themeTint="33"/>
              <w:bottom w:val="single" w:sz="8" w:space="0" w:color="B3EFFD" w:themeColor="accent3" w:themeTint="33"/>
            </w:tcBorders>
            <w:shd w:val="clear" w:color="auto" w:fill="FFFFFF" w:themeFill="background1"/>
            <w:tcMar>
              <w:top w:w="15" w:type="dxa"/>
              <w:left w:w="15" w:type="dxa"/>
              <w:right w:w="15" w:type="dxa"/>
            </w:tcMar>
          </w:tcPr>
          <w:p w14:paraId="6F57C723" w14:textId="1F2C9500" w:rsidR="00345B52" w:rsidRPr="004879D0" w:rsidRDefault="00F94845" w:rsidP="00345B52">
            <w:pPr>
              <w:jc w:val="right"/>
              <w:rPr>
                <w:rFonts w:ascii="Arial Narrow" w:eastAsia="Arial Narrow" w:hAnsi="Arial Narrow" w:cs="Arial Narrow"/>
                <w:color w:val="000000" w:themeColor="text1"/>
                <w:sz w:val="20"/>
                <w:szCs w:val="20"/>
              </w:rPr>
            </w:pPr>
            <w:r w:rsidRPr="0068138D">
              <w:rPr>
                <w:rFonts w:ascii="Arial Narrow" w:eastAsia="Arial Narrow" w:hAnsi="Arial Narrow" w:cs="Arial Narrow"/>
                <w:color w:val="000000" w:themeColor="text1"/>
                <w:sz w:val="20"/>
                <w:szCs w:val="20"/>
              </w:rPr>
              <w:t xml:space="preserve">N/A </w:t>
            </w:r>
          </w:p>
        </w:tc>
        <w:tc>
          <w:tcPr>
            <w:tcW w:w="738" w:type="pct"/>
            <w:tcBorders>
              <w:top w:val="single" w:sz="8" w:space="0" w:color="B3EFFD" w:themeColor="accent3" w:themeTint="33"/>
              <w:bottom w:val="single" w:sz="8" w:space="0" w:color="B3EFFD" w:themeColor="accent3" w:themeTint="33"/>
            </w:tcBorders>
            <w:shd w:val="clear" w:color="auto" w:fill="FFFFFF" w:themeFill="background1"/>
            <w:tcMar>
              <w:top w:w="15" w:type="dxa"/>
              <w:left w:w="15" w:type="dxa"/>
              <w:right w:w="15" w:type="dxa"/>
            </w:tcMar>
            <w:vAlign w:val="center"/>
          </w:tcPr>
          <w:p w14:paraId="157F7863" w14:textId="6DCEB2E7" w:rsidR="00345B52" w:rsidRPr="004879D0" w:rsidRDefault="00345B52" w:rsidP="00345B52">
            <w:pPr>
              <w:jc w:val="right"/>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13,240</w:t>
            </w:r>
          </w:p>
        </w:tc>
      </w:tr>
      <w:tr w:rsidR="00345B52" w14:paraId="02827C5A" w14:textId="77777777" w:rsidTr="00975872">
        <w:trPr>
          <w:trHeight w:val="300"/>
        </w:trPr>
        <w:tc>
          <w:tcPr>
            <w:tcW w:w="1183" w:type="pct"/>
            <w:gridSpan w:val="2"/>
            <w:tcBorders>
              <w:top w:val="single" w:sz="8" w:space="0" w:color="B3EFFD" w:themeColor="accent3" w:themeTint="33"/>
              <w:bottom w:val="single" w:sz="8" w:space="0" w:color="B3EFFD" w:themeColor="accent3" w:themeTint="33"/>
            </w:tcBorders>
            <w:shd w:val="clear" w:color="auto" w:fill="FFFFFF" w:themeFill="background1"/>
            <w:tcMar>
              <w:top w:w="15" w:type="dxa"/>
              <w:left w:w="15" w:type="dxa"/>
              <w:right w:w="15" w:type="dxa"/>
            </w:tcMar>
            <w:vAlign w:val="center"/>
          </w:tcPr>
          <w:p w14:paraId="5FB5568F" w14:textId="77777777" w:rsidR="00345B52" w:rsidRPr="004879D0" w:rsidRDefault="00345B52" w:rsidP="00345B52">
            <w:pPr>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AH0166</w:t>
            </w:r>
          </w:p>
        </w:tc>
        <w:tc>
          <w:tcPr>
            <w:tcW w:w="629" w:type="pct"/>
            <w:tcBorders>
              <w:top w:val="single" w:sz="8" w:space="0" w:color="B3EFFD" w:themeColor="accent3" w:themeTint="33"/>
              <w:bottom w:val="single" w:sz="8" w:space="0" w:color="B3EFFD" w:themeColor="accent3" w:themeTint="33"/>
            </w:tcBorders>
            <w:shd w:val="clear" w:color="auto" w:fill="FFFFFF" w:themeFill="background1"/>
            <w:tcMar>
              <w:top w:w="15" w:type="dxa"/>
              <w:left w:w="15" w:type="dxa"/>
              <w:right w:w="15" w:type="dxa"/>
            </w:tcMar>
            <w:vAlign w:val="center"/>
          </w:tcPr>
          <w:p w14:paraId="4AC69227" w14:textId="088743C7" w:rsidR="00345B52" w:rsidRPr="004879D0" w:rsidRDefault="00345B52" w:rsidP="00345B52">
            <w:pPr>
              <w:jc w:val="right"/>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9,274</w:t>
            </w:r>
          </w:p>
        </w:tc>
        <w:tc>
          <w:tcPr>
            <w:tcW w:w="746" w:type="pct"/>
            <w:tcBorders>
              <w:top w:val="single" w:sz="8" w:space="0" w:color="B3EFFD" w:themeColor="accent3" w:themeTint="33"/>
              <w:bottom w:val="single" w:sz="8" w:space="0" w:color="B3EFFD" w:themeColor="accent3" w:themeTint="33"/>
            </w:tcBorders>
            <w:shd w:val="clear" w:color="auto" w:fill="FFFFFF" w:themeFill="background1"/>
            <w:tcMar>
              <w:top w:w="15" w:type="dxa"/>
              <w:left w:w="15" w:type="dxa"/>
              <w:right w:w="15" w:type="dxa"/>
            </w:tcMar>
            <w:vAlign w:val="center"/>
          </w:tcPr>
          <w:p w14:paraId="3EE1B2B7" w14:textId="77777777" w:rsidR="00345B52" w:rsidRPr="004879D0" w:rsidRDefault="00345B52" w:rsidP="00345B52">
            <w:pPr>
              <w:jc w:val="right"/>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96%</w:t>
            </w:r>
          </w:p>
        </w:tc>
        <w:tc>
          <w:tcPr>
            <w:tcW w:w="799" w:type="pct"/>
            <w:tcBorders>
              <w:top w:val="single" w:sz="8" w:space="0" w:color="B3EFFD" w:themeColor="accent3" w:themeTint="33"/>
              <w:bottom w:val="single" w:sz="8" w:space="0" w:color="B3EFFD" w:themeColor="accent3" w:themeTint="33"/>
            </w:tcBorders>
            <w:shd w:val="clear" w:color="auto" w:fill="FFFFFF" w:themeFill="background1"/>
            <w:tcMar>
              <w:top w:w="15" w:type="dxa"/>
              <w:left w:w="15" w:type="dxa"/>
              <w:right w:w="15" w:type="dxa"/>
            </w:tcMar>
            <w:vAlign w:val="center"/>
          </w:tcPr>
          <w:p w14:paraId="7391FA6F" w14:textId="074F5869" w:rsidR="00345B52" w:rsidRPr="004879D0" w:rsidRDefault="00345B52" w:rsidP="00345B52">
            <w:pPr>
              <w:jc w:val="right"/>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9,047</w:t>
            </w:r>
          </w:p>
        </w:tc>
        <w:tc>
          <w:tcPr>
            <w:tcW w:w="426" w:type="pct"/>
            <w:tcBorders>
              <w:top w:val="single" w:sz="8" w:space="0" w:color="B3EFFD" w:themeColor="accent3" w:themeTint="33"/>
              <w:bottom w:val="single" w:sz="8" w:space="0" w:color="B3EFFD" w:themeColor="accent3" w:themeTint="33"/>
            </w:tcBorders>
            <w:shd w:val="clear" w:color="auto" w:fill="FFFFFF" w:themeFill="background1"/>
            <w:tcMar>
              <w:top w:w="15" w:type="dxa"/>
              <w:left w:w="15" w:type="dxa"/>
              <w:right w:w="15" w:type="dxa"/>
            </w:tcMar>
            <w:vAlign w:val="center"/>
          </w:tcPr>
          <w:p w14:paraId="42415A01" w14:textId="77777777" w:rsidR="00345B52" w:rsidRPr="004879D0" w:rsidRDefault="00345B52" w:rsidP="00345B52">
            <w:pPr>
              <w:jc w:val="right"/>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1.00</w:t>
            </w:r>
          </w:p>
        </w:tc>
        <w:tc>
          <w:tcPr>
            <w:tcW w:w="479" w:type="pct"/>
            <w:tcBorders>
              <w:top w:val="single" w:sz="8" w:space="0" w:color="B3EFFD" w:themeColor="accent3" w:themeTint="33"/>
              <w:bottom w:val="single" w:sz="8" w:space="0" w:color="B3EFFD" w:themeColor="accent3" w:themeTint="33"/>
            </w:tcBorders>
            <w:shd w:val="clear" w:color="auto" w:fill="FFFFFF" w:themeFill="background1"/>
            <w:tcMar>
              <w:top w:w="15" w:type="dxa"/>
              <w:left w:w="15" w:type="dxa"/>
              <w:right w:w="15" w:type="dxa"/>
            </w:tcMar>
          </w:tcPr>
          <w:p w14:paraId="60269E92" w14:textId="650767AC" w:rsidR="00345B52" w:rsidRPr="004879D0" w:rsidRDefault="00F94845" w:rsidP="00345B52">
            <w:pPr>
              <w:jc w:val="right"/>
              <w:rPr>
                <w:rFonts w:ascii="Arial Narrow" w:eastAsia="Arial Narrow" w:hAnsi="Arial Narrow" w:cs="Arial Narrow"/>
                <w:color w:val="000000" w:themeColor="text1"/>
                <w:sz w:val="20"/>
                <w:szCs w:val="20"/>
              </w:rPr>
            </w:pPr>
            <w:r w:rsidRPr="0068138D">
              <w:rPr>
                <w:rFonts w:ascii="Arial Narrow" w:eastAsia="Arial Narrow" w:hAnsi="Arial Narrow" w:cs="Arial Narrow"/>
                <w:color w:val="000000" w:themeColor="text1"/>
                <w:sz w:val="20"/>
                <w:szCs w:val="20"/>
              </w:rPr>
              <w:t xml:space="preserve">N/A </w:t>
            </w:r>
          </w:p>
        </w:tc>
        <w:tc>
          <w:tcPr>
            <w:tcW w:w="738" w:type="pct"/>
            <w:tcBorders>
              <w:top w:val="single" w:sz="8" w:space="0" w:color="B3EFFD" w:themeColor="accent3" w:themeTint="33"/>
              <w:bottom w:val="single" w:sz="8" w:space="0" w:color="B3EFFD" w:themeColor="accent3" w:themeTint="33"/>
            </w:tcBorders>
            <w:shd w:val="clear" w:color="auto" w:fill="FFFFFF" w:themeFill="background1"/>
            <w:tcMar>
              <w:top w:w="15" w:type="dxa"/>
              <w:left w:w="15" w:type="dxa"/>
              <w:right w:w="15" w:type="dxa"/>
            </w:tcMar>
            <w:vAlign w:val="center"/>
          </w:tcPr>
          <w:p w14:paraId="449E2872" w14:textId="2AFE8503" w:rsidR="00345B52" w:rsidRPr="004879D0" w:rsidRDefault="00345B52" w:rsidP="00345B52">
            <w:pPr>
              <w:jc w:val="right"/>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9,047</w:t>
            </w:r>
          </w:p>
        </w:tc>
      </w:tr>
      <w:tr w:rsidR="00345B52" w14:paraId="616FB07C" w14:textId="77777777" w:rsidTr="00975872">
        <w:trPr>
          <w:trHeight w:val="300"/>
        </w:trPr>
        <w:tc>
          <w:tcPr>
            <w:tcW w:w="1183" w:type="pct"/>
            <w:gridSpan w:val="2"/>
            <w:tcBorders>
              <w:top w:val="single" w:sz="8" w:space="0" w:color="B3EFFD" w:themeColor="accent3" w:themeTint="33"/>
              <w:bottom w:val="single" w:sz="8" w:space="0" w:color="B3EFFD" w:themeColor="accent3" w:themeTint="33"/>
            </w:tcBorders>
            <w:shd w:val="clear" w:color="auto" w:fill="FFFFFF" w:themeFill="background1"/>
            <w:tcMar>
              <w:top w:w="15" w:type="dxa"/>
              <w:left w:w="15" w:type="dxa"/>
              <w:right w:w="15" w:type="dxa"/>
            </w:tcMar>
            <w:vAlign w:val="center"/>
          </w:tcPr>
          <w:p w14:paraId="0A6D9543" w14:textId="77777777" w:rsidR="00345B52" w:rsidRPr="004879D0" w:rsidRDefault="00345B52" w:rsidP="00345B52">
            <w:pPr>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AH0167</w:t>
            </w:r>
          </w:p>
        </w:tc>
        <w:tc>
          <w:tcPr>
            <w:tcW w:w="629" w:type="pct"/>
            <w:tcBorders>
              <w:top w:val="single" w:sz="8" w:space="0" w:color="B3EFFD" w:themeColor="accent3" w:themeTint="33"/>
              <w:bottom w:val="single" w:sz="8" w:space="0" w:color="B3EFFD" w:themeColor="accent3" w:themeTint="33"/>
            </w:tcBorders>
            <w:shd w:val="clear" w:color="auto" w:fill="FFFFFF" w:themeFill="background1"/>
            <w:tcMar>
              <w:top w:w="15" w:type="dxa"/>
              <w:left w:w="15" w:type="dxa"/>
              <w:right w:w="15" w:type="dxa"/>
            </w:tcMar>
            <w:vAlign w:val="center"/>
          </w:tcPr>
          <w:p w14:paraId="2903E988" w14:textId="63EE2B6E" w:rsidR="00345B52" w:rsidRPr="004879D0" w:rsidRDefault="00345B52" w:rsidP="00345B52">
            <w:pPr>
              <w:jc w:val="right"/>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9,858</w:t>
            </w:r>
          </w:p>
        </w:tc>
        <w:tc>
          <w:tcPr>
            <w:tcW w:w="746" w:type="pct"/>
            <w:tcBorders>
              <w:top w:val="single" w:sz="8" w:space="0" w:color="B3EFFD" w:themeColor="accent3" w:themeTint="33"/>
              <w:bottom w:val="single" w:sz="8" w:space="0" w:color="B3EFFD" w:themeColor="accent3" w:themeTint="33"/>
            </w:tcBorders>
            <w:shd w:val="clear" w:color="auto" w:fill="FFFFFF" w:themeFill="background1"/>
            <w:tcMar>
              <w:top w:w="15" w:type="dxa"/>
              <w:left w:w="15" w:type="dxa"/>
              <w:right w:w="15" w:type="dxa"/>
            </w:tcMar>
            <w:vAlign w:val="center"/>
          </w:tcPr>
          <w:p w14:paraId="1622D71B" w14:textId="77777777" w:rsidR="00345B52" w:rsidRPr="004879D0" w:rsidRDefault="00345B52" w:rsidP="00345B52">
            <w:pPr>
              <w:jc w:val="right"/>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100%</w:t>
            </w:r>
          </w:p>
        </w:tc>
        <w:tc>
          <w:tcPr>
            <w:tcW w:w="799" w:type="pct"/>
            <w:tcBorders>
              <w:top w:val="single" w:sz="8" w:space="0" w:color="B3EFFD" w:themeColor="accent3" w:themeTint="33"/>
              <w:bottom w:val="single" w:sz="8" w:space="0" w:color="B3EFFD" w:themeColor="accent3" w:themeTint="33"/>
            </w:tcBorders>
            <w:shd w:val="clear" w:color="auto" w:fill="FFFFFF" w:themeFill="background1"/>
            <w:tcMar>
              <w:top w:w="15" w:type="dxa"/>
              <w:left w:w="15" w:type="dxa"/>
              <w:right w:w="15" w:type="dxa"/>
            </w:tcMar>
            <w:vAlign w:val="center"/>
          </w:tcPr>
          <w:p w14:paraId="51A2F256" w14:textId="31B15E4F" w:rsidR="00345B52" w:rsidRPr="004879D0" w:rsidRDefault="00345B52" w:rsidP="00345B52">
            <w:pPr>
              <w:jc w:val="right"/>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9,858</w:t>
            </w:r>
          </w:p>
        </w:tc>
        <w:tc>
          <w:tcPr>
            <w:tcW w:w="426" w:type="pct"/>
            <w:tcBorders>
              <w:top w:val="single" w:sz="8" w:space="0" w:color="B3EFFD" w:themeColor="accent3" w:themeTint="33"/>
              <w:bottom w:val="single" w:sz="8" w:space="0" w:color="B3EFFD" w:themeColor="accent3" w:themeTint="33"/>
            </w:tcBorders>
            <w:shd w:val="clear" w:color="auto" w:fill="FFFFFF" w:themeFill="background1"/>
            <w:tcMar>
              <w:top w:w="15" w:type="dxa"/>
              <w:left w:w="15" w:type="dxa"/>
              <w:right w:w="15" w:type="dxa"/>
            </w:tcMar>
            <w:vAlign w:val="center"/>
          </w:tcPr>
          <w:p w14:paraId="7337AAAD" w14:textId="77777777" w:rsidR="00345B52" w:rsidRPr="004879D0" w:rsidRDefault="00345B52" w:rsidP="00345B52">
            <w:pPr>
              <w:jc w:val="right"/>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1.00</w:t>
            </w:r>
          </w:p>
        </w:tc>
        <w:tc>
          <w:tcPr>
            <w:tcW w:w="479" w:type="pct"/>
            <w:tcBorders>
              <w:top w:val="single" w:sz="8" w:space="0" w:color="B3EFFD" w:themeColor="accent3" w:themeTint="33"/>
              <w:bottom w:val="single" w:sz="8" w:space="0" w:color="B3EFFD" w:themeColor="accent3" w:themeTint="33"/>
            </w:tcBorders>
            <w:shd w:val="clear" w:color="auto" w:fill="FFFFFF" w:themeFill="background1"/>
            <w:tcMar>
              <w:top w:w="15" w:type="dxa"/>
              <w:left w:w="15" w:type="dxa"/>
              <w:right w:w="15" w:type="dxa"/>
            </w:tcMar>
          </w:tcPr>
          <w:p w14:paraId="399B9C18" w14:textId="5BBE4725" w:rsidR="00345B52" w:rsidRPr="004879D0" w:rsidRDefault="00F94845" w:rsidP="00345B52">
            <w:pPr>
              <w:jc w:val="right"/>
              <w:rPr>
                <w:rFonts w:ascii="Arial Narrow" w:eastAsia="Arial Narrow" w:hAnsi="Arial Narrow" w:cs="Arial Narrow"/>
                <w:color w:val="000000" w:themeColor="text1"/>
                <w:sz w:val="20"/>
                <w:szCs w:val="20"/>
              </w:rPr>
            </w:pPr>
            <w:r w:rsidRPr="0068138D">
              <w:rPr>
                <w:rFonts w:ascii="Arial Narrow" w:eastAsia="Arial Narrow" w:hAnsi="Arial Narrow" w:cs="Arial Narrow"/>
                <w:color w:val="000000" w:themeColor="text1"/>
                <w:sz w:val="20"/>
                <w:szCs w:val="20"/>
              </w:rPr>
              <w:t xml:space="preserve">N/A </w:t>
            </w:r>
          </w:p>
        </w:tc>
        <w:tc>
          <w:tcPr>
            <w:tcW w:w="738" w:type="pct"/>
            <w:tcBorders>
              <w:top w:val="single" w:sz="8" w:space="0" w:color="B3EFFD" w:themeColor="accent3" w:themeTint="33"/>
              <w:bottom w:val="single" w:sz="8" w:space="0" w:color="B3EFFD" w:themeColor="accent3" w:themeTint="33"/>
            </w:tcBorders>
            <w:shd w:val="clear" w:color="auto" w:fill="FFFFFF" w:themeFill="background1"/>
            <w:tcMar>
              <w:top w:w="15" w:type="dxa"/>
              <w:left w:w="15" w:type="dxa"/>
              <w:right w:w="15" w:type="dxa"/>
            </w:tcMar>
            <w:vAlign w:val="center"/>
          </w:tcPr>
          <w:p w14:paraId="21C01844" w14:textId="4D8B22AD" w:rsidR="00345B52" w:rsidRPr="004879D0" w:rsidRDefault="00345B52" w:rsidP="00345B52">
            <w:pPr>
              <w:jc w:val="right"/>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9,858</w:t>
            </w:r>
          </w:p>
        </w:tc>
      </w:tr>
      <w:tr w:rsidR="00345B52" w14:paraId="5871B7C1" w14:textId="77777777" w:rsidTr="00975872">
        <w:trPr>
          <w:trHeight w:val="300"/>
        </w:trPr>
        <w:tc>
          <w:tcPr>
            <w:tcW w:w="1183" w:type="pct"/>
            <w:gridSpan w:val="2"/>
            <w:tcBorders>
              <w:top w:val="single" w:sz="8" w:space="0" w:color="B3EFFD" w:themeColor="accent3" w:themeTint="33"/>
              <w:bottom w:val="single" w:sz="8" w:space="0" w:color="B3EFFD" w:themeColor="accent3" w:themeTint="33"/>
            </w:tcBorders>
            <w:shd w:val="clear" w:color="auto" w:fill="FFFFFF" w:themeFill="background1"/>
            <w:tcMar>
              <w:top w:w="15" w:type="dxa"/>
              <w:left w:w="15" w:type="dxa"/>
              <w:right w:w="15" w:type="dxa"/>
            </w:tcMar>
            <w:vAlign w:val="center"/>
          </w:tcPr>
          <w:p w14:paraId="6E329579" w14:textId="77777777" w:rsidR="00345B52" w:rsidRPr="004879D0" w:rsidRDefault="00345B52" w:rsidP="00345B52">
            <w:pPr>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AH0172</w:t>
            </w:r>
          </w:p>
        </w:tc>
        <w:tc>
          <w:tcPr>
            <w:tcW w:w="629" w:type="pct"/>
            <w:tcBorders>
              <w:top w:val="single" w:sz="8" w:space="0" w:color="B3EFFD" w:themeColor="accent3" w:themeTint="33"/>
              <w:bottom w:val="single" w:sz="8" w:space="0" w:color="B3EFFD" w:themeColor="accent3" w:themeTint="33"/>
            </w:tcBorders>
            <w:shd w:val="clear" w:color="auto" w:fill="FFFFFF" w:themeFill="background1"/>
            <w:tcMar>
              <w:top w:w="15" w:type="dxa"/>
              <w:left w:w="15" w:type="dxa"/>
              <w:right w:w="15" w:type="dxa"/>
            </w:tcMar>
            <w:vAlign w:val="center"/>
          </w:tcPr>
          <w:p w14:paraId="259D42C9" w14:textId="1F58DF13" w:rsidR="00345B52" w:rsidRPr="004879D0" w:rsidRDefault="00345B52" w:rsidP="00345B52">
            <w:pPr>
              <w:jc w:val="right"/>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18,653</w:t>
            </w:r>
          </w:p>
        </w:tc>
        <w:tc>
          <w:tcPr>
            <w:tcW w:w="746" w:type="pct"/>
            <w:tcBorders>
              <w:top w:val="single" w:sz="8" w:space="0" w:color="B3EFFD" w:themeColor="accent3" w:themeTint="33"/>
              <w:bottom w:val="single" w:sz="8" w:space="0" w:color="B3EFFD" w:themeColor="accent3" w:themeTint="33"/>
            </w:tcBorders>
            <w:shd w:val="clear" w:color="auto" w:fill="FFFFFF" w:themeFill="background1"/>
            <w:tcMar>
              <w:top w:w="15" w:type="dxa"/>
              <w:left w:w="15" w:type="dxa"/>
              <w:right w:w="15" w:type="dxa"/>
            </w:tcMar>
            <w:vAlign w:val="center"/>
          </w:tcPr>
          <w:p w14:paraId="1D17EE5E" w14:textId="77777777" w:rsidR="00345B52" w:rsidRPr="004879D0" w:rsidRDefault="00345B52" w:rsidP="00345B52">
            <w:pPr>
              <w:jc w:val="right"/>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99%</w:t>
            </w:r>
          </w:p>
        </w:tc>
        <w:tc>
          <w:tcPr>
            <w:tcW w:w="799" w:type="pct"/>
            <w:tcBorders>
              <w:top w:val="single" w:sz="8" w:space="0" w:color="B3EFFD" w:themeColor="accent3" w:themeTint="33"/>
              <w:bottom w:val="single" w:sz="8" w:space="0" w:color="B3EFFD" w:themeColor="accent3" w:themeTint="33"/>
            </w:tcBorders>
            <w:shd w:val="clear" w:color="auto" w:fill="FFFFFF" w:themeFill="background1"/>
            <w:tcMar>
              <w:top w:w="15" w:type="dxa"/>
              <w:left w:w="15" w:type="dxa"/>
              <w:right w:w="15" w:type="dxa"/>
            </w:tcMar>
            <w:vAlign w:val="center"/>
          </w:tcPr>
          <w:p w14:paraId="3A203B5B" w14:textId="77777777" w:rsidR="00345B52" w:rsidRPr="004879D0" w:rsidRDefault="00345B52" w:rsidP="00345B52">
            <w:pPr>
              <w:jc w:val="right"/>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18,454</w:t>
            </w:r>
          </w:p>
        </w:tc>
        <w:tc>
          <w:tcPr>
            <w:tcW w:w="426" w:type="pct"/>
            <w:tcBorders>
              <w:top w:val="single" w:sz="8" w:space="0" w:color="B3EFFD" w:themeColor="accent3" w:themeTint="33"/>
              <w:bottom w:val="single" w:sz="8" w:space="0" w:color="B3EFFD" w:themeColor="accent3" w:themeTint="33"/>
            </w:tcBorders>
            <w:shd w:val="clear" w:color="auto" w:fill="FFFFFF" w:themeFill="background1"/>
            <w:tcMar>
              <w:top w:w="15" w:type="dxa"/>
              <w:left w:w="15" w:type="dxa"/>
              <w:right w:w="15" w:type="dxa"/>
            </w:tcMar>
            <w:vAlign w:val="center"/>
          </w:tcPr>
          <w:p w14:paraId="0191D62C" w14:textId="77777777" w:rsidR="00345B52" w:rsidRPr="004879D0" w:rsidRDefault="00345B52" w:rsidP="00345B52">
            <w:pPr>
              <w:jc w:val="right"/>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1.00</w:t>
            </w:r>
          </w:p>
        </w:tc>
        <w:tc>
          <w:tcPr>
            <w:tcW w:w="479" w:type="pct"/>
            <w:tcBorders>
              <w:top w:val="single" w:sz="8" w:space="0" w:color="B3EFFD" w:themeColor="accent3" w:themeTint="33"/>
              <w:bottom w:val="single" w:sz="8" w:space="0" w:color="B3EFFD" w:themeColor="accent3" w:themeTint="33"/>
            </w:tcBorders>
            <w:shd w:val="clear" w:color="auto" w:fill="FFFFFF" w:themeFill="background1"/>
            <w:tcMar>
              <w:top w:w="15" w:type="dxa"/>
              <w:left w:w="15" w:type="dxa"/>
              <w:right w:w="15" w:type="dxa"/>
            </w:tcMar>
          </w:tcPr>
          <w:p w14:paraId="52D20DBB" w14:textId="280806A8" w:rsidR="00345B52" w:rsidRPr="004879D0" w:rsidRDefault="00F94845" w:rsidP="00345B52">
            <w:pPr>
              <w:jc w:val="right"/>
              <w:rPr>
                <w:rFonts w:ascii="Arial Narrow" w:eastAsia="Arial Narrow" w:hAnsi="Arial Narrow" w:cs="Arial Narrow"/>
                <w:color w:val="000000" w:themeColor="text1"/>
                <w:sz w:val="20"/>
                <w:szCs w:val="20"/>
              </w:rPr>
            </w:pPr>
            <w:r w:rsidRPr="0068138D">
              <w:rPr>
                <w:rFonts w:ascii="Arial Narrow" w:eastAsia="Arial Narrow" w:hAnsi="Arial Narrow" w:cs="Arial Narrow"/>
                <w:color w:val="000000" w:themeColor="text1"/>
                <w:sz w:val="20"/>
                <w:szCs w:val="20"/>
              </w:rPr>
              <w:t xml:space="preserve">N/A </w:t>
            </w:r>
          </w:p>
        </w:tc>
        <w:tc>
          <w:tcPr>
            <w:tcW w:w="738" w:type="pct"/>
            <w:tcBorders>
              <w:top w:val="single" w:sz="8" w:space="0" w:color="B3EFFD" w:themeColor="accent3" w:themeTint="33"/>
              <w:bottom w:val="single" w:sz="8" w:space="0" w:color="B3EFFD" w:themeColor="accent3" w:themeTint="33"/>
            </w:tcBorders>
            <w:shd w:val="clear" w:color="auto" w:fill="FFFFFF" w:themeFill="background1"/>
            <w:tcMar>
              <w:top w:w="15" w:type="dxa"/>
              <w:left w:w="15" w:type="dxa"/>
              <w:right w:w="15" w:type="dxa"/>
            </w:tcMar>
            <w:vAlign w:val="center"/>
          </w:tcPr>
          <w:p w14:paraId="5F659E2B" w14:textId="31AB4091" w:rsidR="00345B52" w:rsidRPr="004879D0" w:rsidRDefault="00345B52" w:rsidP="00345B52">
            <w:pPr>
              <w:jc w:val="right"/>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18,454</w:t>
            </w:r>
          </w:p>
        </w:tc>
      </w:tr>
      <w:tr w:rsidR="00345B52" w14:paraId="75B2DFB3" w14:textId="77777777" w:rsidTr="00975872">
        <w:trPr>
          <w:trHeight w:val="300"/>
        </w:trPr>
        <w:tc>
          <w:tcPr>
            <w:tcW w:w="1183" w:type="pct"/>
            <w:gridSpan w:val="2"/>
            <w:tcBorders>
              <w:top w:val="single" w:sz="8" w:space="0" w:color="B3EFFD" w:themeColor="accent3" w:themeTint="33"/>
              <w:bottom w:val="single" w:sz="8" w:space="0" w:color="B3EFFD" w:themeColor="accent3" w:themeTint="33"/>
            </w:tcBorders>
            <w:shd w:val="clear" w:color="auto" w:fill="FFFFFF" w:themeFill="background1"/>
            <w:tcMar>
              <w:top w:w="15" w:type="dxa"/>
              <w:left w:w="15" w:type="dxa"/>
              <w:right w:w="15" w:type="dxa"/>
            </w:tcMar>
            <w:vAlign w:val="center"/>
          </w:tcPr>
          <w:p w14:paraId="24807BA4" w14:textId="77777777" w:rsidR="00345B52" w:rsidRPr="004879D0" w:rsidRDefault="00345B52" w:rsidP="00345B52">
            <w:pPr>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AH0191</w:t>
            </w:r>
          </w:p>
        </w:tc>
        <w:tc>
          <w:tcPr>
            <w:tcW w:w="629" w:type="pct"/>
            <w:tcBorders>
              <w:top w:val="single" w:sz="8" w:space="0" w:color="B3EFFD" w:themeColor="accent3" w:themeTint="33"/>
              <w:bottom w:val="single" w:sz="8" w:space="0" w:color="B3EFFD" w:themeColor="accent3" w:themeTint="33"/>
            </w:tcBorders>
            <w:shd w:val="clear" w:color="auto" w:fill="FFFFFF" w:themeFill="background1"/>
            <w:tcMar>
              <w:top w:w="15" w:type="dxa"/>
              <w:left w:w="15" w:type="dxa"/>
              <w:right w:w="15" w:type="dxa"/>
            </w:tcMar>
            <w:vAlign w:val="center"/>
          </w:tcPr>
          <w:p w14:paraId="701412A2" w14:textId="6FDA32ED" w:rsidR="00345B52" w:rsidRPr="004879D0" w:rsidRDefault="00345B52" w:rsidP="00345B52">
            <w:pPr>
              <w:jc w:val="right"/>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1,931</w:t>
            </w:r>
          </w:p>
        </w:tc>
        <w:tc>
          <w:tcPr>
            <w:tcW w:w="746" w:type="pct"/>
            <w:tcBorders>
              <w:top w:val="single" w:sz="8" w:space="0" w:color="B3EFFD" w:themeColor="accent3" w:themeTint="33"/>
              <w:bottom w:val="single" w:sz="8" w:space="0" w:color="B3EFFD" w:themeColor="accent3" w:themeTint="33"/>
            </w:tcBorders>
            <w:shd w:val="clear" w:color="auto" w:fill="FFFFFF" w:themeFill="background1"/>
            <w:tcMar>
              <w:top w:w="15" w:type="dxa"/>
              <w:left w:w="15" w:type="dxa"/>
              <w:right w:w="15" w:type="dxa"/>
            </w:tcMar>
            <w:vAlign w:val="center"/>
          </w:tcPr>
          <w:p w14:paraId="4D1BD06B" w14:textId="77777777" w:rsidR="00345B52" w:rsidRPr="004879D0" w:rsidRDefault="00345B52" w:rsidP="00345B52">
            <w:pPr>
              <w:jc w:val="right"/>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100%</w:t>
            </w:r>
          </w:p>
        </w:tc>
        <w:tc>
          <w:tcPr>
            <w:tcW w:w="799" w:type="pct"/>
            <w:tcBorders>
              <w:top w:val="single" w:sz="8" w:space="0" w:color="B3EFFD" w:themeColor="accent3" w:themeTint="33"/>
              <w:bottom w:val="single" w:sz="8" w:space="0" w:color="B3EFFD" w:themeColor="accent3" w:themeTint="33"/>
            </w:tcBorders>
            <w:shd w:val="clear" w:color="auto" w:fill="FFFFFF" w:themeFill="background1"/>
            <w:tcMar>
              <w:top w:w="15" w:type="dxa"/>
              <w:left w:w="15" w:type="dxa"/>
              <w:right w:w="15" w:type="dxa"/>
            </w:tcMar>
            <w:vAlign w:val="center"/>
          </w:tcPr>
          <w:p w14:paraId="3F1768F8" w14:textId="65D57288" w:rsidR="00345B52" w:rsidRPr="004879D0" w:rsidRDefault="00345B52" w:rsidP="00345B52">
            <w:pPr>
              <w:jc w:val="right"/>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1,929</w:t>
            </w:r>
          </w:p>
        </w:tc>
        <w:tc>
          <w:tcPr>
            <w:tcW w:w="426" w:type="pct"/>
            <w:tcBorders>
              <w:top w:val="single" w:sz="8" w:space="0" w:color="B3EFFD" w:themeColor="accent3" w:themeTint="33"/>
              <w:bottom w:val="single" w:sz="8" w:space="0" w:color="B3EFFD" w:themeColor="accent3" w:themeTint="33"/>
            </w:tcBorders>
            <w:shd w:val="clear" w:color="auto" w:fill="FFFFFF" w:themeFill="background1"/>
            <w:tcMar>
              <w:top w:w="15" w:type="dxa"/>
              <w:left w:w="15" w:type="dxa"/>
              <w:right w:w="15" w:type="dxa"/>
            </w:tcMar>
            <w:vAlign w:val="center"/>
          </w:tcPr>
          <w:p w14:paraId="0022D29B" w14:textId="77777777" w:rsidR="00345B52" w:rsidRPr="004879D0" w:rsidRDefault="00345B52" w:rsidP="00345B52">
            <w:pPr>
              <w:jc w:val="right"/>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1.00</w:t>
            </w:r>
          </w:p>
        </w:tc>
        <w:tc>
          <w:tcPr>
            <w:tcW w:w="479" w:type="pct"/>
            <w:tcBorders>
              <w:top w:val="single" w:sz="8" w:space="0" w:color="B3EFFD" w:themeColor="accent3" w:themeTint="33"/>
              <w:bottom w:val="single" w:sz="8" w:space="0" w:color="B3EFFD" w:themeColor="accent3" w:themeTint="33"/>
            </w:tcBorders>
            <w:shd w:val="clear" w:color="auto" w:fill="FFFFFF" w:themeFill="background1"/>
            <w:tcMar>
              <w:top w:w="15" w:type="dxa"/>
              <w:left w:w="15" w:type="dxa"/>
              <w:right w:w="15" w:type="dxa"/>
            </w:tcMar>
          </w:tcPr>
          <w:p w14:paraId="52F635FC" w14:textId="6FD6F51D" w:rsidR="00345B52" w:rsidRPr="004879D0" w:rsidRDefault="00F94845" w:rsidP="00345B52">
            <w:pPr>
              <w:jc w:val="right"/>
              <w:rPr>
                <w:rFonts w:ascii="Arial Narrow" w:eastAsia="Arial Narrow" w:hAnsi="Arial Narrow" w:cs="Arial Narrow"/>
                <w:color w:val="000000" w:themeColor="text1"/>
                <w:sz w:val="20"/>
                <w:szCs w:val="20"/>
              </w:rPr>
            </w:pPr>
            <w:r w:rsidRPr="0068138D">
              <w:rPr>
                <w:rFonts w:ascii="Arial Narrow" w:eastAsia="Arial Narrow" w:hAnsi="Arial Narrow" w:cs="Arial Narrow"/>
                <w:color w:val="000000" w:themeColor="text1"/>
                <w:sz w:val="20"/>
                <w:szCs w:val="20"/>
              </w:rPr>
              <w:t xml:space="preserve">N/A </w:t>
            </w:r>
          </w:p>
        </w:tc>
        <w:tc>
          <w:tcPr>
            <w:tcW w:w="738" w:type="pct"/>
            <w:tcBorders>
              <w:top w:val="single" w:sz="8" w:space="0" w:color="B3EFFD" w:themeColor="accent3" w:themeTint="33"/>
              <w:bottom w:val="single" w:sz="8" w:space="0" w:color="B3EFFD" w:themeColor="accent3" w:themeTint="33"/>
            </w:tcBorders>
            <w:shd w:val="clear" w:color="auto" w:fill="FFFFFF" w:themeFill="background1"/>
            <w:tcMar>
              <w:top w:w="15" w:type="dxa"/>
              <w:left w:w="15" w:type="dxa"/>
              <w:right w:w="15" w:type="dxa"/>
            </w:tcMar>
            <w:vAlign w:val="center"/>
          </w:tcPr>
          <w:p w14:paraId="4A81EECC" w14:textId="448632D6" w:rsidR="00345B52" w:rsidRPr="004879D0" w:rsidRDefault="00345B52" w:rsidP="00345B52">
            <w:pPr>
              <w:jc w:val="right"/>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1,929</w:t>
            </w:r>
          </w:p>
        </w:tc>
      </w:tr>
      <w:tr w:rsidR="00345B52" w14:paraId="2F7D6E10" w14:textId="77777777" w:rsidTr="00975872">
        <w:trPr>
          <w:trHeight w:val="300"/>
        </w:trPr>
        <w:tc>
          <w:tcPr>
            <w:tcW w:w="1183" w:type="pct"/>
            <w:gridSpan w:val="2"/>
            <w:tcBorders>
              <w:top w:val="single" w:sz="8" w:space="0" w:color="B3EFFD" w:themeColor="accent3" w:themeTint="33"/>
              <w:bottom w:val="single" w:sz="8" w:space="0" w:color="B3EFFD" w:themeColor="accent3" w:themeTint="33"/>
            </w:tcBorders>
            <w:shd w:val="clear" w:color="auto" w:fill="FFFFFF" w:themeFill="background1"/>
            <w:tcMar>
              <w:top w:w="15" w:type="dxa"/>
              <w:left w:w="15" w:type="dxa"/>
              <w:right w:w="15" w:type="dxa"/>
            </w:tcMar>
            <w:vAlign w:val="center"/>
          </w:tcPr>
          <w:p w14:paraId="4D2DF282" w14:textId="77777777" w:rsidR="00345B52" w:rsidRPr="004879D0" w:rsidRDefault="00345B52" w:rsidP="00345B52">
            <w:pPr>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lastRenderedPageBreak/>
              <w:t>AH0194</w:t>
            </w:r>
          </w:p>
        </w:tc>
        <w:tc>
          <w:tcPr>
            <w:tcW w:w="629" w:type="pct"/>
            <w:tcBorders>
              <w:top w:val="single" w:sz="8" w:space="0" w:color="B3EFFD" w:themeColor="accent3" w:themeTint="33"/>
              <w:bottom w:val="single" w:sz="8" w:space="0" w:color="B3EFFD" w:themeColor="accent3" w:themeTint="33"/>
            </w:tcBorders>
            <w:shd w:val="clear" w:color="auto" w:fill="FFFFFF" w:themeFill="background1"/>
            <w:tcMar>
              <w:top w:w="15" w:type="dxa"/>
              <w:left w:w="15" w:type="dxa"/>
              <w:right w:w="15" w:type="dxa"/>
            </w:tcMar>
            <w:vAlign w:val="center"/>
          </w:tcPr>
          <w:p w14:paraId="76BD35EC" w14:textId="4F6E062D" w:rsidR="00345B52" w:rsidRPr="004879D0" w:rsidRDefault="00345B52" w:rsidP="00345B52">
            <w:pPr>
              <w:jc w:val="right"/>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25,277</w:t>
            </w:r>
          </w:p>
        </w:tc>
        <w:tc>
          <w:tcPr>
            <w:tcW w:w="746" w:type="pct"/>
            <w:tcBorders>
              <w:top w:val="single" w:sz="8" w:space="0" w:color="B3EFFD" w:themeColor="accent3" w:themeTint="33"/>
              <w:bottom w:val="single" w:sz="8" w:space="0" w:color="B3EFFD" w:themeColor="accent3" w:themeTint="33"/>
            </w:tcBorders>
            <w:shd w:val="clear" w:color="auto" w:fill="FFFFFF" w:themeFill="background1"/>
            <w:tcMar>
              <w:top w:w="15" w:type="dxa"/>
              <w:left w:w="15" w:type="dxa"/>
              <w:right w:w="15" w:type="dxa"/>
            </w:tcMar>
            <w:vAlign w:val="center"/>
          </w:tcPr>
          <w:p w14:paraId="53CA90A0" w14:textId="77777777" w:rsidR="00345B52" w:rsidRPr="004879D0" w:rsidRDefault="00345B52" w:rsidP="00345B52">
            <w:pPr>
              <w:jc w:val="right"/>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109%</w:t>
            </w:r>
          </w:p>
        </w:tc>
        <w:tc>
          <w:tcPr>
            <w:tcW w:w="799" w:type="pct"/>
            <w:tcBorders>
              <w:top w:val="single" w:sz="8" w:space="0" w:color="B3EFFD" w:themeColor="accent3" w:themeTint="33"/>
              <w:bottom w:val="single" w:sz="8" w:space="0" w:color="B3EFFD" w:themeColor="accent3" w:themeTint="33"/>
            </w:tcBorders>
            <w:shd w:val="clear" w:color="auto" w:fill="FFFFFF" w:themeFill="background1"/>
            <w:tcMar>
              <w:top w:w="15" w:type="dxa"/>
              <w:left w:w="15" w:type="dxa"/>
              <w:right w:w="15" w:type="dxa"/>
            </w:tcMar>
            <w:vAlign w:val="center"/>
          </w:tcPr>
          <w:p w14:paraId="1D1B2790" w14:textId="05B6B922" w:rsidR="00345B52" w:rsidRPr="004879D0" w:rsidRDefault="00345B52" w:rsidP="00345B52">
            <w:pPr>
              <w:jc w:val="right"/>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27,121</w:t>
            </w:r>
          </w:p>
        </w:tc>
        <w:tc>
          <w:tcPr>
            <w:tcW w:w="426" w:type="pct"/>
            <w:tcBorders>
              <w:top w:val="single" w:sz="8" w:space="0" w:color="B3EFFD" w:themeColor="accent3" w:themeTint="33"/>
              <w:bottom w:val="single" w:sz="8" w:space="0" w:color="B3EFFD" w:themeColor="accent3" w:themeTint="33"/>
            </w:tcBorders>
            <w:shd w:val="clear" w:color="auto" w:fill="FFFFFF" w:themeFill="background1"/>
            <w:tcMar>
              <w:top w:w="15" w:type="dxa"/>
              <w:left w:w="15" w:type="dxa"/>
              <w:right w:w="15" w:type="dxa"/>
            </w:tcMar>
            <w:vAlign w:val="center"/>
          </w:tcPr>
          <w:p w14:paraId="35C98632" w14:textId="77777777" w:rsidR="00345B52" w:rsidRPr="004879D0" w:rsidRDefault="00345B52" w:rsidP="00345B52">
            <w:pPr>
              <w:jc w:val="right"/>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1.00</w:t>
            </w:r>
          </w:p>
        </w:tc>
        <w:tc>
          <w:tcPr>
            <w:tcW w:w="479" w:type="pct"/>
            <w:tcBorders>
              <w:top w:val="single" w:sz="8" w:space="0" w:color="B3EFFD" w:themeColor="accent3" w:themeTint="33"/>
              <w:bottom w:val="single" w:sz="8" w:space="0" w:color="B3EFFD" w:themeColor="accent3" w:themeTint="33"/>
            </w:tcBorders>
            <w:shd w:val="clear" w:color="auto" w:fill="FFFFFF" w:themeFill="background1"/>
            <w:tcMar>
              <w:top w:w="15" w:type="dxa"/>
              <w:left w:w="15" w:type="dxa"/>
              <w:right w:w="15" w:type="dxa"/>
            </w:tcMar>
          </w:tcPr>
          <w:p w14:paraId="0F2DFF90" w14:textId="50F3FBFE" w:rsidR="00345B52" w:rsidRPr="004879D0" w:rsidRDefault="00F94845" w:rsidP="00345B52">
            <w:pPr>
              <w:jc w:val="right"/>
              <w:rPr>
                <w:rFonts w:ascii="Arial Narrow" w:eastAsia="Arial Narrow" w:hAnsi="Arial Narrow" w:cs="Arial Narrow"/>
                <w:color w:val="000000" w:themeColor="text1"/>
                <w:sz w:val="20"/>
                <w:szCs w:val="20"/>
              </w:rPr>
            </w:pPr>
            <w:r w:rsidRPr="0068138D">
              <w:rPr>
                <w:rFonts w:ascii="Arial Narrow" w:eastAsia="Arial Narrow" w:hAnsi="Arial Narrow" w:cs="Arial Narrow"/>
                <w:color w:val="000000" w:themeColor="text1"/>
                <w:sz w:val="20"/>
                <w:szCs w:val="20"/>
              </w:rPr>
              <w:t xml:space="preserve">N/A </w:t>
            </w:r>
          </w:p>
        </w:tc>
        <w:tc>
          <w:tcPr>
            <w:tcW w:w="738" w:type="pct"/>
            <w:tcBorders>
              <w:top w:val="single" w:sz="8" w:space="0" w:color="B3EFFD" w:themeColor="accent3" w:themeTint="33"/>
              <w:bottom w:val="single" w:sz="8" w:space="0" w:color="B3EFFD" w:themeColor="accent3" w:themeTint="33"/>
            </w:tcBorders>
            <w:shd w:val="clear" w:color="auto" w:fill="FFFFFF" w:themeFill="background1"/>
            <w:tcMar>
              <w:top w:w="15" w:type="dxa"/>
              <w:left w:w="15" w:type="dxa"/>
              <w:right w:w="15" w:type="dxa"/>
            </w:tcMar>
            <w:vAlign w:val="center"/>
          </w:tcPr>
          <w:p w14:paraId="72B1F128" w14:textId="515920ED" w:rsidR="00345B52" w:rsidRPr="004879D0" w:rsidRDefault="00345B52" w:rsidP="00345B52">
            <w:pPr>
              <w:jc w:val="right"/>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27,121</w:t>
            </w:r>
          </w:p>
        </w:tc>
      </w:tr>
      <w:tr w:rsidR="00345B52" w14:paraId="5F0B1F3A" w14:textId="77777777" w:rsidTr="00975872">
        <w:trPr>
          <w:trHeight w:val="300"/>
        </w:trPr>
        <w:tc>
          <w:tcPr>
            <w:tcW w:w="1183" w:type="pct"/>
            <w:gridSpan w:val="2"/>
            <w:tcBorders>
              <w:top w:val="single" w:sz="8" w:space="0" w:color="B3EFFD" w:themeColor="accent3" w:themeTint="33"/>
              <w:bottom w:val="single" w:sz="8" w:space="0" w:color="B3EFFD" w:themeColor="accent3" w:themeTint="33"/>
            </w:tcBorders>
            <w:shd w:val="clear" w:color="auto" w:fill="FFFFFF" w:themeFill="background1"/>
            <w:tcMar>
              <w:top w:w="15" w:type="dxa"/>
              <w:left w:w="15" w:type="dxa"/>
              <w:right w:w="15" w:type="dxa"/>
            </w:tcMar>
            <w:vAlign w:val="center"/>
          </w:tcPr>
          <w:p w14:paraId="049990F3" w14:textId="77777777" w:rsidR="00345B52" w:rsidRPr="004879D0" w:rsidRDefault="00345B52" w:rsidP="00345B52">
            <w:pPr>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AH0250</w:t>
            </w:r>
          </w:p>
        </w:tc>
        <w:tc>
          <w:tcPr>
            <w:tcW w:w="629" w:type="pct"/>
            <w:tcBorders>
              <w:top w:val="single" w:sz="8" w:space="0" w:color="B3EFFD" w:themeColor="accent3" w:themeTint="33"/>
              <w:bottom w:val="single" w:sz="8" w:space="0" w:color="B3EFFD" w:themeColor="accent3" w:themeTint="33"/>
            </w:tcBorders>
            <w:shd w:val="clear" w:color="auto" w:fill="FFFFFF" w:themeFill="background1"/>
            <w:tcMar>
              <w:top w:w="15" w:type="dxa"/>
              <w:left w:w="15" w:type="dxa"/>
              <w:right w:w="15" w:type="dxa"/>
            </w:tcMar>
            <w:vAlign w:val="center"/>
          </w:tcPr>
          <w:p w14:paraId="125A7519" w14:textId="77777777" w:rsidR="00345B52" w:rsidRPr="004879D0" w:rsidRDefault="00345B52" w:rsidP="00345B52">
            <w:pPr>
              <w:jc w:val="right"/>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553</w:t>
            </w:r>
          </w:p>
        </w:tc>
        <w:tc>
          <w:tcPr>
            <w:tcW w:w="746" w:type="pct"/>
            <w:tcBorders>
              <w:top w:val="single" w:sz="8" w:space="0" w:color="B3EFFD" w:themeColor="accent3" w:themeTint="33"/>
              <w:bottom w:val="single" w:sz="8" w:space="0" w:color="B3EFFD" w:themeColor="accent3" w:themeTint="33"/>
            </w:tcBorders>
            <w:shd w:val="clear" w:color="auto" w:fill="FFFFFF" w:themeFill="background1"/>
            <w:tcMar>
              <w:top w:w="15" w:type="dxa"/>
              <w:left w:w="15" w:type="dxa"/>
              <w:right w:w="15" w:type="dxa"/>
            </w:tcMar>
            <w:vAlign w:val="center"/>
          </w:tcPr>
          <w:p w14:paraId="334B0A1D" w14:textId="77777777" w:rsidR="00345B52" w:rsidRPr="004879D0" w:rsidRDefault="00345B52" w:rsidP="00345B52">
            <w:pPr>
              <w:jc w:val="right"/>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101%</w:t>
            </w:r>
          </w:p>
        </w:tc>
        <w:tc>
          <w:tcPr>
            <w:tcW w:w="799" w:type="pct"/>
            <w:tcBorders>
              <w:top w:val="single" w:sz="8" w:space="0" w:color="B3EFFD" w:themeColor="accent3" w:themeTint="33"/>
              <w:bottom w:val="single" w:sz="8" w:space="0" w:color="B3EFFD" w:themeColor="accent3" w:themeTint="33"/>
            </w:tcBorders>
            <w:shd w:val="clear" w:color="auto" w:fill="FFFFFF" w:themeFill="background1"/>
            <w:tcMar>
              <w:top w:w="15" w:type="dxa"/>
              <w:left w:w="15" w:type="dxa"/>
              <w:right w:w="15" w:type="dxa"/>
            </w:tcMar>
            <w:vAlign w:val="center"/>
          </w:tcPr>
          <w:p w14:paraId="60CFBFB1" w14:textId="77777777" w:rsidR="00345B52" w:rsidRPr="004879D0" w:rsidRDefault="00345B52" w:rsidP="00345B52">
            <w:pPr>
              <w:jc w:val="right"/>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557</w:t>
            </w:r>
          </w:p>
        </w:tc>
        <w:tc>
          <w:tcPr>
            <w:tcW w:w="426" w:type="pct"/>
            <w:tcBorders>
              <w:top w:val="single" w:sz="8" w:space="0" w:color="B3EFFD" w:themeColor="accent3" w:themeTint="33"/>
              <w:bottom w:val="single" w:sz="8" w:space="0" w:color="B3EFFD" w:themeColor="accent3" w:themeTint="33"/>
            </w:tcBorders>
            <w:shd w:val="clear" w:color="auto" w:fill="FFFFFF" w:themeFill="background1"/>
            <w:tcMar>
              <w:top w:w="15" w:type="dxa"/>
              <w:left w:w="15" w:type="dxa"/>
              <w:right w:w="15" w:type="dxa"/>
            </w:tcMar>
            <w:vAlign w:val="center"/>
          </w:tcPr>
          <w:p w14:paraId="1CF9DC3E" w14:textId="77777777" w:rsidR="00345B52" w:rsidRPr="004879D0" w:rsidRDefault="00345B52" w:rsidP="00345B52">
            <w:pPr>
              <w:jc w:val="right"/>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1.00</w:t>
            </w:r>
          </w:p>
        </w:tc>
        <w:tc>
          <w:tcPr>
            <w:tcW w:w="479" w:type="pct"/>
            <w:tcBorders>
              <w:top w:val="single" w:sz="8" w:space="0" w:color="B3EFFD" w:themeColor="accent3" w:themeTint="33"/>
              <w:bottom w:val="single" w:sz="8" w:space="0" w:color="B3EFFD" w:themeColor="accent3" w:themeTint="33"/>
            </w:tcBorders>
            <w:shd w:val="clear" w:color="auto" w:fill="FFFFFF" w:themeFill="background1"/>
            <w:tcMar>
              <w:top w:w="15" w:type="dxa"/>
              <w:left w:w="15" w:type="dxa"/>
              <w:right w:w="15" w:type="dxa"/>
            </w:tcMar>
          </w:tcPr>
          <w:p w14:paraId="3883026D" w14:textId="01FFCA22" w:rsidR="00345B52" w:rsidRPr="004879D0" w:rsidRDefault="00F94845" w:rsidP="00345B52">
            <w:pPr>
              <w:jc w:val="right"/>
              <w:rPr>
                <w:rFonts w:ascii="Arial Narrow" w:eastAsia="Arial Narrow" w:hAnsi="Arial Narrow" w:cs="Arial Narrow"/>
                <w:color w:val="000000" w:themeColor="text1"/>
                <w:sz w:val="20"/>
                <w:szCs w:val="20"/>
              </w:rPr>
            </w:pPr>
            <w:r w:rsidRPr="0068138D">
              <w:rPr>
                <w:rFonts w:ascii="Arial Narrow" w:eastAsia="Arial Narrow" w:hAnsi="Arial Narrow" w:cs="Arial Narrow"/>
                <w:color w:val="000000" w:themeColor="text1"/>
                <w:sz w:val="20"/>
                <w:szCs w:val="20"/>
              </w:rPr>
              <w:t xml:space="preserve">N/A </w:t>
            </w:r>
          </w:p>
        </w:tc>
        <w:tc>
          <w:tcPr>
            <w:tcW w:w="738" w:type="pct"/>
            <w:tcBorders>
              <w:top w:val="single" w:sz="8" w:space="0" w:color="B3EFFD" w:themeColor="accent3" w:themeTint="33"/>
              <w:bottom w:val="single" w:sz="8" w:space="0" w:color="B3EFFD" w:themeColor="accent3" w:themeTint="33"/>
            </w:tcBorders>
            <w:shd w:val="clear" w:color="auto" w:fill="FFFFFF" w:themeFill="background1"/>
            <w:tcMar>
              <w:top w:w="15" w:type="dxa"/>
              <w:left w:w="15" w:type="dxa"/>
              <w:right w:w="15" w:type="dxa"/>
            </w:tcMar>
            <w:vAlign w:val="center"/>
          </w:tcPr>
          <w:p w14:paraId="1500E984" w14:textId="335EC68D" w:rsidR="00345B52" w:rsidRPr="004879D0" w:rsidRDefault="00345B52" w:rsidP="00345B52">
            <w:pPr>
              <w:jc w:val="right"/>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557</w:t>
            </w:r>
          </w:p>
        </w:tc>
      </w:tr>
      <w:tr w:rsidR="00345B52" w14:paraId="557625B1" w14:textId="77777777" w:rsidTr="00975872">
        <w:trPr>
          <w:trHeight w:val="300"/>
        </w:trPr>
        <w:tc>
          <w:tcPr>
            <w:tcW w:w="1172" w:type="pct"/>
            <w:tcBorders>
              <w:top w:val="single" w:sz="8" w:space="0" w:color="B3EFFD" w:themeColor="accent3" w:themeTint="33"/>
              <w:bottom w:val="single" w:sz="8" w:space="0" w:color="036479" w:themeColor="accent3"/>
            </w:tcBorders>
            <w:tcMar>
              <w:top w:w="15" w:type="dxa"/>
              <w:left w:w="15" w:type="dxa"/>
              <w:right w:w="15" w:type="dxa"/>
            </w:tcMar>
          </w:tcPr>
          <w:p w14:paraId="7ED12493" w14:textId="771CF9DA" w:rsidR="00345B52" w:rsidRPr="005E318D" w:rsidRDefault="00345B52" w:rsidP="00345B52">
            <w:pPr>
              <w:rPr>
                <w:rFonts w:ascii="Arial Narrow" w:eastAsia="Arial Narrow" w:hAnsi="Arial Narrow" w:cs="Arial Narrow"/>
                <w:b/>
                <w:bCs/>
                <w:color w:val="000000" w:themeColor="text1"/>
                <w:sz w:val="20"/>
                <w:szCs w:val="20"/>
              </w:rPr>
            </w:pPr>
            <w:r w:rsidRPr="005E318D">
              <w:rPr>
                <w:rFonts w:ascii="Arial Narrow" w:eastAsia="Arial Narrow" w:hAnsi="Arial Narrow" w:cs="Arial Narrow"/>
                <w:b/>
                <w:bCs/>
                <w:color w:val="000000" w:themeColor="text1"/>
                <w:sz w:val="20"/>
                <w:szCs w:val="20"/>
              </w:rPr>
              <w:t>Total or Weighted Average</w:t>
            </w:r>
          </w:p>
        </w:tc>
        <w:tc>
          <w:tcPr>
            <w:tcW w:w="640" w:type="pct"/>
            <w:gridSpan w:val="2"/>
            <w:tcBorders>
              <w:top w:val="single" w:sz="8" w:space="0" w:color="B3EFFD" w:themeColor="accent3" w:themeTint="33"/>
              <w:bottom w:val="single" w:sz="8" w:space="0" w:color="036479" w:themeColor="accent3"/>
            </w:tcBorders>
            <w:tcMar>
              <w:top w:w="15" w:type="dxa"/>
              <w:left w:w="15" w:type="dxa"/>
              <w:right w:w="15" w:type="dxa"/>
            </w:tcMar>
          </w:tcPr>
          <w:p w14:paraId="3F4E165D" w14:textId="15B26F82" w:rsidR="00345B52" w:rsidRPr="005E318D" w:rsidRDefault="00345B52" w:rsidP="00345B52">
            <w:pPr>
              <w:jc w:val="right"/>
              <w:rPr>
                <w:rFonts w:ascii="Arial Narrow" w:eastAsia="Arial Narrow" w:hAnsi="Arial Narrow" w:cs="Arial Narrow"/>
                <w:b/>
                <w:bCs/>
                <w:color w:val="000000" w:themeColor="text1"/>
                <w:sz w:val="20"/>
                <w:szCs w:val="20"/>
              </w:rPr>
            </w:pPr>
            <w:r>
              <w:rPr>
                <w:rFonts w:ascii="Arial Narrow" w:eastAsia="Arial Narrow" w:hAnsi="Arial Narrow" w:cs="Arial Narrow"/>
                <w:b/>
                <w:bCs/>
                <w:color w:val="000000" w:themeColor="text1"/>
                <w:sz w:val="20"/>
                <w:szCs w:val="20"/>
              </w:rPr>
              <w:t>80,144</w:t>
            </w:r>
          </w:p>
        </w:tc>
        <w:tc>
          <w:tcPr>
            <w:tcW w:w="746" w:type="pct"/>
            <w:tcBorders>
              <w:top w:val="single" w:sz="8" w:space="0" w:color="B3EFFD" w:themeColor="accent3" w:themeTint="33"/>
              <w:bottom w:val="single" w:sz="8" w:space="0" w:color="036479" w:themeColor="accent3"/>
            </w:tcBorders>
          </w:tcPr>
          <w:p w14:paraId="34E4F024" w14:textId="7DF525E6" w:rsidR="00345B52" w:rsidRPr="005E318D" w:rsidRDefault="00345B52" w:rsidP="00345B52">
            <w:pPr>
              <w:jc w:val="right"/>
              <w:rPr>
                <w:rFonts w:ascii="Arial Narrow" w:eastAsia="Arial Narrow" w:hAnsi="Arial Narrow" w:cs="Arial Narrow"/>
                <w:b/>
                <w:bCs/>
                <w:color w:val="000000" w:themeColor="text1"/>
                <w:sz w:val="20"/>
                <w:szCs w:val="20"/>
              </w:rPr>
            </w:pPr>
            <w:r w:rsidRPr="005E318D">
              <w:rPr>
                <w:rFonts w:ascii="Arial Narrow" w:eastAsia="Arial Narrow" w:hAnsi="Arial Narrow" w:cs="Arial Narrow"/>
                <w:b/>
                <w:bCs/>
                <w:color w:val="000000" w:themeColor="text1"/>
                <w:sz w:val="20"/>
                <w:szCs w:val="20"/>
              </w:rPr>
              <w:t>10</w:t>
            </w:r>
            <w:r>
              <w:rPr>
                <w:rFonts w:ascii="Arial Narrow" w:eastAsia="Arial Narrow" w:hAnsi="Arial Narrow" w:cs="Arial Narrow"/>
                <w:b/>
                <w:bCs/>
                <w:color w:val="000000" w:themeColor="text1"/>
                <w:sz w:val="20"/>
                <w:szCs w:val="20"/>
              </w:rPr>
              <w:t>2</w:t>
            </w:r>
            <w:r w:rsidRPr="005E318D">
              <w:rPr>
                <w:rFonts w:ascii="Arial Narrow" w:eastAsia="Arial Narrow" w:hAnsi="Arial Narrow" w:cs="Arial Narrow"/>
                <w:b/>
                <w:bCs/>
                <w:color w:val="000000" w:themeColor="text1"/>
                <w:sz w:val="20"/>
                <w:szCs w:val="20"/>
              </w:rPr>
              <w:t>%</w:t>
            </w:r>
          </w:p>
        </w:tc>
        <w:tc>
          <w:tcPr>
            <w:tcW w:w="799" w:type="pct"/>
            <w:tcBorders>
              <w:top w:val="single" w:sz="8" w:space="0" w:color="B3EFFD" w:themeColor="accent3" w:themeTint="33"/>
              <w:bottom w:val="single" w:sz="8" w:space="0" w:color="036479" w:themeColor="accent3"/>
            </w:tcBorders>
            <w:tcMar>
              <w:top w:w="15" w:type="dxa"/>
              <w:left w:w="15" w:type="dxa"/>
              <w:right w:w="15" w:type="dxa"/>
            </w:tcMar>
          </w:tcPr>
          <w:p w14:paraId="18ED0134" w14:textId="41AFA8F0" w:rsidR="00345B52" w:rsidRPr="005E318D" w:rsidRDefault="00345B52" w:rsidP="00345B52">
            <w:pPr>
              <w:jc w:val="right"/>
              <w:rPr>
                <w:rFonts w:ascii="Arial Narrow" w:eastAsia="Arial Narrow" w:hAnsi="Arial Narrow" w:cs="Arial Narrow"/>
                <w:b/>
                <w:bCs/>
                <w:color w:val="000000" w:themeColor="text1"/>
                <w:sz w:val="20"/>
                <w:szCs w:val="20"/>
              </w:rPr>
            </w:pPr>
            <w:r>
              <w:rPr>
                <w:rFonts w:ascii="Arial Narrow" w:eastAsia="Arial Narrow" w:hAnsi="Arial Narrow" w:cs="Arial Narrow"/>
                <w:b/>
                <w:bCs/>
                <w:color w:val="000000" w:themeColor="text1"/>
                <w:sz w:val="20"/>
                <w:szCs w:val="20"/>
              </w:rPr>
              <w:t>81,712</w:t>
            </w:r>
          </w:p>
        </w:tc>
        <w:tc>
          <w:tcPr>
            <w:tcW w:w="426" w:type="pct"/>
            <w:tcBorders>
              <w:top w:val="single" w:sz="8" w:space="0" w:color="B3EFFD" w:themeColor="accent3" w:themeTint="33"/>
              <w:bottom w:val="single" w:sz="8" w:space="0" w:color="036479" w:themeColor="accent3"/>
            </w:tcBorders>
            <w:tcMar>
              <w:top w:w="15" w:type="dxa"/>
              <w:left w:w="15" w:type="dxa"/>
              <w:right w:w="15" w:type="dxa"/>
            </w:tcMar>
          </w:tcPr>
          <w:p w14:paraId="08990ACD" w14:textId="1FA09C9B" w:rsidR="00345B52" w:rsidRPr="005E318D" w:rsidRDefault="00345B52" w:rsidP="00345B52">
            <w:pPr>
              <w:jc w:val="right"/>
              <w:rPr>
                <w:rFonts w:ascii="Arial Narrow" w:eastAsia="Arial Narrow" w:hAnsi="Arial Narrow" w:cs="Arial Narrow"/>
                <w:b/>
                <w:bCs/>
                <w:color w:val="000000" w:themeColor="text1"/>
                <w:sz w:val="20"/>
                <w:szCs w:val="20"/>
              </w:rPr>
            </w:pPr>
            <w:r w:rsidRPr="005E318D">
              <w:rPr>
                <w:rFonts w:ascii="Arial Narrow" w:eastAsia="Arial Narrow" w:hAnsi="Arial Narrow" w:cs="Arial Narrow"/>
                <w:b/>
                <w:bCs/>
                <w:color w:val="000000" w:themeColor="text1"/>
                <w:sz w:val="20"/>
                <w:szCs w:val="20"/>
              </w:rPr>
              <w:t>1.00</w:t>
            </w:r>
          </w:p>
        </w:tc>
        <w:tc>
          <w:tcPr>
            <w:tcW w:w="479" w:type="pct"/>
            <w:tcBorders>
              <w:top w:val="single" w:sz="8" w:space="0" w:color="B3EFFD" w:themeColor="accent3" w:themeTint="33"/>
              <w:bottom w:val="single" w:sz="8" w:space="0" w:color="036479" w:themeColor="accent3"/>
            </w:tcBorders>
            <w:tcMar>
              <w:top w:w="15" w:type="dxa"/>
              <w:left w:w="15" w:type="dxa"/>
              <w:right w:w="15" w:type="dxa"/>
            </w:tcMar>
          </w:tcPr>
          <w:p w14:paraId="7C2E6D91" w14:textId="31BD7239" w:rsidR="00345B52" w:rsidRPr="005E318D" w:rsidRDefault="00F94845" w:rsidP="00345B52">
            <w:pPr>
              <w:jc w:val="right"/>
              <w:rPr>
                <w:rFonts w:ascii="Arial Narrow" w:eastAsia="Arial Narrow" w:hAnsi="Arial Narrow" w:cs="Arial Narrow"/>
                <w:b/>
                <w:bCs/>
                <w:color w:val="000000" w:themeColor="text1"/>
                <w:sz w:val="20"/>
                <w:szCs w:val="20"/>
              </w:rPr>
            </w:pPr>
            <w:r w:rsidRPr="00C13F22">
              <w:rPr>
                <w:rFonts w:ascii="Arial Narrow" w:eastAsia="Arial Narrow" w:hAnsi="Arial Narrow" w:cs="Arial Narrow"/>
                <w:b/>
                <w:bCs/>
                <w:color w:val="000000" w:themeColor="text1"/>
                <w:sz w:val="20"/>
                <w:szCs w:val="20"/>
              </w:rPr>
              <w:t xml:space="preserve">N/A </w:t>
            </w:r>
          </w:p>
        </w:tc>
        <w:tc>
          <w:tcPr>
            <w:tcW w:w="738" w:type="pct"/>
            <w:tcBorders>
              <w:top w:val="single" w:sz="8" w:space="0" w:color="B3EFFD" w:themeColor="accent3" w:themeTint="33"/>
              <w:bottom w:val="single" w:sz="8" w:space="0" w:color="036479" w:themeColor="accent3"/>
            </w:tcBorders>
            <w:tcMar>
              <w:top w:w="15" w:type="dxa"/>
              <w:left w:w="15" w:type="dxa"/>
              <w:right w:w="15" w:type="dxa"/>
            </w:tcMar>
          </w:tcPr>
          <w:p w14:paraId="09667049" w14:textId="0A4390D9" w:rsidR="00345B52" w:rsidRPr="005E318D" w:rsidRDefault="00345B52" w:rsidP="00345B52">
            <w:pPr>
              <w:jc w:val="right"/>
              <w:rPr>
                <w:rFonts w:ascii="Arial Narrow" w:eastAsia="Arial Narrow" w:hAnsi="Arial Narrow" w:cs="Arial Narrow"/>
                <w:b/>
                <w:bCs/>
                <w:color w:val="000000" w:themeColor="text1"/>
                <w:sz w:val="20"/>
                <w:szCs w:val="20"/>
              </w:rPr>
            </w:pPr>
            <w:r>
              <w:rPr>
                <w:rFonts w:ascii="Arial Narrow" w:eastAsia="Arial Narrow" w:hAnsi="Arial Narrow" w:cs="Arial Narrow"/>
                <w:b/>
                <w:bCs/>
                <w:color w:val="000000" w:themeColor="text1"/>
                <w:sz w:val="20"/>
                <w:szCs w:val="20"/>
              </w:rPr>
              <w:t>81,712</w:t>
            </w:r>
          </w:p>
        </w:tc>
      </w:tr>
    </w:tbl>
    <w:p w14:paraId="6512E590" w14:textId="0A55F81F" w:rsidR="004F0F97" w:rsidRDefault="004F0F97" w:rsidP="00F664BF">
      <w:pPr>
        <w:pStyle w:val="GraphFootnote"/>
        <w:keepLines/>
        <w:spacing w:before="0" w:after="0"/>
      </w:pPr>
      <w:bookmarkStart w:id="23" w:name="_Hlk500574807"/>
      <w:r>
        <w:t>* Realization Rate (RR) is the ratio of verified gross savings to ex ante gross savings, based on evaluation research findings.</w:t>
      </w:r>
    </w:p>
    <w:bookmarkEnd w:id="23"/>
    <w:p w14:paraId="09E68609" w14:textId="0156013B" w:rsidR="48756899" w:rsidRDefault="48756899" w:rsidP="00F664BF">
      <w:pPr>
        <w:spacing w:before="0" w:after="0"/>
        <w:rPr>
          <w:rFonts w:ascii="Arial Narrow" w:hAnsi="Arial Narrow"/>
          <w:sz w:val="18"/>
          <w:szCs w:val="18"/>
        </w:rPr>
      </w:pPr>
      <w:r w:rsidRPr="1B6EEEC9">
        <w:rPr>
          <w:rFonts w:ascii="Arial Narrow" w:hAnsi="Arial Narrow"/>
          <w:sz w:val="18"/>
          <w:szCs w:val="18"/>
        </w:rPr>
        <w:t xml:space="preserve">† NTG, Net to Gross is the deemed value available on the SAG website: </w:t>
      </w:r>
      <w:hyperlink r:id="rId17" w:history="1">
        <w:r w:rsidR="00D96F1B" w:rsidRPr="00450681">
          <w:rPr>
            <w:rStyle w:val="Hyperlink"/>
            <w:rFonts w:ascii="Arial Narrow" w:hAnsi="Arial Narrow"/>
            <w:sz w:val="18"/>
            <w:szCs w:val="18"/>
          </w:rPr>
          <w:t>https://www.ilsag.info/evaluator-ntg-recommendations-for-2024/</w:t>
        </w:r>
      </w:hyperlink>
      <w:r w:rsidRPr="1B6EEEC9">
        <w:rPr>
          <w:rFonts w:ascii="Arial Narrow" w:hAnsi="Arial Narrow"/>
          <w:sz w:val="18"/>
          <w:szCs w:val="18"/>
        </w:rPr>
        <w:t xml:space="preserve">. </w:t>
      </w:r>
    </w:p>
    <w:p w14:paraId="3A3AE9CB" w14:textId="18DDC621" w:rsidR="48756899" w:rsidRDefault="48756899" w:rsidP="00F664BF">
      <w:pPr>
        <w:spacing w:before="0" w:after="0"/>
        <w:rPr>
          <w:rFonts w:ascii="Arial Narrow" w:hAnsi="Arial Narrow"/>
          <w:sz w:val="18"/>
          <w:szCs w:val="18"/>
        </w:rPr>
      </w:pPr>
      <w:r w:rsidRPr="1B6EEEC9">
        <w:rPr>
          <w:rFonts w:ascii="Arial Narrow" w:hAnsi="Arial Narrow"/>
          <w:sz w:val="18"/>
          <w:szCs w:val="18"/>
        </w:rPr>
        <w:t xml:space="preserve">‡ </w:t>
      </w:r>
      <w:r w:rsidR="16787215" w:rsidRPr="1B6EEEC9">
        <w:rPr>
          <w:rFonts w:ascii="Arial Narrow" w:hAnsi="Arial Narrow"/>
          <w:sz w:val="18"/>
          <w:szCs w:val="18"/>
        </w:rPr>
        <w:t>T</w:t>
      </w:r>
      <w:r w:rsidRPr="1B6EEEC9">
        <w:rPr>
          <w:rFonts w:ascii="Arial Narrow" w:hAnsi="Arial Narrow"/>
          <w:sz w:val="18"/>
          <w:szCs w:val="18"/>
        </w:rPr>
        <w:t xml:space="preserve">he market rate </w:t>
      </w:r>
      <w:r w:rsidR="3A3DD9E4" w:rsidRPr="1B6EEEC9">
        <w:rPr>
          <w:rFonts w:ascii="Arial Narrow" w:hAnsi="Arial Narrow"/>
          <w:sz w:val="18"/>
          <w:szCs w:val="18"/>
        </w:rPr>
        <w:t xml:space="preserve">non-participant spillover (NPSO) </w:t>
      </w:r>
      <w:r w:rsidRPr="1B6EEEC9">
        <w:rPr>
          <w:rFonts w:ascii="Arial Narrow" w:hAnsi="Arial Narrow"/>
          <w:sz w:val="18"/>
          <w:szCs w:val="18"/>
        </w:rPr>
        <w:t xml:space="preserve">factor of 1.048 </w:t>
      </w:r>
      <w:r w:rsidR="00CB2C78">
        <w:rPr>
          <w:rFonts w:ascii="Arial Narrow" w:hAnsi="Arial Narrow"/>
          <w:sz w:val="18"/>
          <w:szCs w:val="18"/>
        </w:rPr>
        <w:t xml:space="preserve">do </w:t>
      </w:r>
      <w:r w:rsidRPr="1B6EEEC9">
        <w:rPr>
          <w:rFonts w:ascii="Arial Narrow" w:hAnsi="Arial Narrow"/>
          <w:sz w:val="18"/>
          <w:szCs w:val="18"/>
        </w:rPr>
        <w:t xml:space="preserve">not </w:t>
      </w:r>
      <w:r w:rsidR="00CB2C78">
        <w:rPr>
          <w:rFonts w:ascii="Arial Narrow" w:hAnsi="Arial Narrow"/>
          <w:sz w:val="18"/>
          <w:szCs w:val="18"/>
        </w:rPr>
        <w:t>apply</w:t>
      </w:r>
      <w:r w:rsidRPr="1B6EEEC9">
        <w:rPr>
          <w:rFonts w:ascii="Arial Narrow" w:hAnsi="Arial Narrow"/>
          <w:sz w:val="18"/>
          <w:szCs w:val="18"/>
        </w:rPr>
        <w:t xml:space="preserve"> to </w:t>
      </w:r>
      <w:r w:rsidR="00CB2C78">
        <w:rPr>
          <w:rFonts w:ascii="Arial Narrow" w:hAnsi="Arial Narrow"/>
          <w:sz w:val="18"/>
          <w:szCs w:val="18"/>
        </w:rPr>
        <w:t>this program</w:t>
      </w:r>
      <w:r w:rsidR="5A52B006" w:rsidRPr="1B6EEEC9">
        <w:rPr>
          <w:rFonts w:ascii="Arial Narrow" w:hAnsi="Arial Narrow"/>
          <w:sz w:val="18"/>
          <w:szCs w:val="18"/>
        </w:rPr>
        <w:t>.</w:t>
      </w:r>
    </w:p>
    <w:p w14:paraId="2147CB4D" w14:textId="2B24AD71" w:rsidR="00E52E6E" w:rsidRDefault="00E52E6E" w:rsidP="00F664BF">
      <w:pPr>
        <w:spacing w:before="0" w:after="0"/>
        <w:rPr>
          <w:rFonts w:ascii="Arial Narrow" w:hAnsi="Arial Narrow"/>
          <w:sz w:val="18"/>
          <w:szCs w:val="18"/>
        </w:rPr>
      </w:pPr>
      <w:r w:rsidRPr="00E52E6E">
        <w:rPr>
          <w:rFonts w:ascii="Arial Narrow" w:hAnsi="Arial Narrow"/>
          <w:sz w:val="18"/>
          <w:szCs w:val="18"/>
        </w:rPr>
        <w:t>§</w:t>
      </w:r>
      <w:r w:rsidR="00F27EB2">
        <w:rPr>
          <w:rFonts w:ascii="Arial Narrow" w:hAnsi="Arial Narrow"/>
          <w:sz w:val="18"/>
          <w:szCs w:val="18"/>
        </w:rPr>
        <w:t xml:space="preserve">Ex ante gross savings value is from implementer project files. Nicor </w:t>
      </w:r>
      <w:r w:rsidR="00A20CA4">
        <w:rPr>
          <w:rFonts w:ascii="Arial Narrow" w:hAnsi="Arial Narrow"/>
          <w:sz w:val="18"/>
          <w:szCs w:val="18"/>
        </w:rPr>
        <w:t>G</w:t>
      </w:r>
      <w:r w:rsidR="00F27EB2">
        <w:rPr>
          <w:rFonts w:ascii="Arial Narrow" w:hAnsi="Arial Narrow"/>
          <w:sz w:val="18"/>
          <w:szCs w:val="18"/>
        </w:rPr>
        <w:t xml:space="preserve">as tracking system data </w:t>
      </w:r>
      <w:r w:rsidR="000B056C">
        <w:rPr>
          <w:rFonts w:ascii="Arial Narrow" w:hAnsi="Arial Narrow"/>
          <w:sz w:val="18"/>
          <w:szCs w:val="18"/>
        </w:rPr>
        <w:t xml:space="preserve">for project AH0108 </w:t>
      </w:r>
      <w:r w:rsidR="00A20CA4">
        <w:rPr>
          <w:rFonts w:ascii="Arial Narrow" w:hAnsi="Arial Narrow"/>
          <w:sz w:val="18"/>
          <w:szCs w:val="18"/>
        </w:rPr>
        <w:t xml:space="preserve">differed from implementer projects files and </w:t>
      </w:r>
      <w:r w:rsidR="000B056C">
        <w:rPr>
          <w:rFonts w:ascii="Arial Narrow" w:hAnsi="Arial Narrow"/>
          <w:sz w:val="18"/>
          <w:szCs w:val="18"/>
        </w:rPr>
        <w:t>was 13,33</w:t>
      </w:r>
      <w:r w:rsidR="00A45091">
        <w:rPr>
          <w:rFonts w:ascii="Arial Narrow" w:hAnsi="Arial Narrow"/>
          <w:sz w:val="18"/>
          <w:szCs w:val="18"/>
        </w:rPr>
        <w:t>0</w:t>
      </w:r>
      <w:r w:rsidR="000B056C">
        <w:rPr>
          <w:rFonts w:ascii="Arial Narrow" w:hAnsi="Arial Narrow"/>
          <w:sz w:val="18"/>
          <w:szCs w:val="18"/>
        </w:rPr>
        <w:t xml:space="preserve"> therms</w:t>
      </w:r>
      <w:r w:rsidR="00A20CA4">
        <w:rPr>
          <w:rFonts w:ascii="Arial Narrow" w:hAnsi="Arial Narrow"/>
          <w:sz w:val="18"/>
          <w:szCs w:val="18"/>
        </w:rPr>
        <w:t xml:space="preserve">. This resulted </w:t>
      </w:r>
      <w:r w:rsidR="000B056C">
        <w:rPr>
          <w:rFonts w:ascii="Arial Narrow" w:hAnsi="Arial Narrow"/>
          <w:sz w:val="18"/>
          <w:szCs w:val="18"/>
        </w:rPr>
        <w:t xml:space="preserve">in a total program savings of </w:t>
      </w:r>
      <w:r w:rsidR="00A20CA4">
        <w:rPr>
          <w:rFonts w:ascii="Arial Narrow" w:hAnsi="Arial Narrow"/>
          <w:sz w:val="18"/>
          <w:szCs w:val="18"/>
        </w:rPr>
        <w:t xml:space="preserve">80,275 therms. </w:t>
      </w:r>
    </w:p>
    <w:p w14:paraId="7F970A5E" w14:textId="478BC478" w:rsidR="6811AEFD" w:rsidRDefault="6811AEFD" w:rsidP="00F664BF">
      <w:pPr>
        <w:pStyle w:val="Source"/>
        <w:spacing w:before="0" w:after="0"/>
      </w:pPr>
      <w:r>
        <w:t>Source: Evaluation team analysis.</w:t>
      </w:r>
    </w:p>
    <w:p w14:paraId="5AFC657A" w14:textId="77777777" w:rsidR="00F664BF" w:rsidRDefault="00F664BF" w:rsidP="00F664BF">
      <w:pPr>
        <w:pStyle w:val="Source"/>
        <w:spacing w:before="0" w:after="0"/>
      </w:pPr>
    </w:p>
    <w:p w14:paraId="61C740B2" w14:textId="7C7AABDA" w:rsidR="001B2B93" w:rsidRPr="00975872" w:rsidRDefault="00F20206" w:rsidP="00141312">
      <w:pPr>
        <w:pStyle w:val="Heading10"/>
        <w:numPr>
          <w:ilvl w:val="0"/>
          <w:numId w:val="0"/>
        </w:numPr>
        <w:rPr>
          <w:sz w:val="40"/>
          <w:szCs w:val="40"/>
        </w:rPr>
      </w:pPr>
      <w:bookmarkStart w:id="24" w:name="_Toc189833646"/>
      <w:r w:rsidRPr="00975872">
        <w:rPr>
          <w:sz w:val="40"/>
          <w:szCs w:val="40"/>
        </w:rPr>
        <w:t>Program Savings by Measure</w:t>
      </w:r>
      <w:bookmarkEnd w:id="24"/>
    </w:p>
    <w:bookmarkEnd w:id="2"/>
    <w:bookmarkEnd w:id="3"/>
    <w:p w14:paraId="2F2164A1" w14:textId="4A58C90B" w:rsidR="004879D0" w:rsidRPr="003E0BA5" w:rsidRDefault="004879D0" w:rsidP="004879D0">
      <w:r w:rsidRPr="003E0BA5">
        <w:t xml:space="preserve">The 2024 projects completed in the Nicor Gas AHNC Program include measures in </w:t>
      </w:r>
      <w:r w:rsidR="009410DB" w:rsidRPr="003E0BA5">
        <w:t xml:space="preserve">nine </w:t>
      </w:r>
      <w:r w:rsidRPr="003E0BA5">
        <w:t xml:space="preserve">research categories with natural gas savings as </w:t>
      </w:r>
      <w:r w:rsidR="00CB4B64">
        <w:fldChar w:fldCharType="begin"/>
      </w:r>
      <w:r w:rsidR="00CB4B64">
        <w:instrText xml:space="preserve"> REF _Ref191934891 \h </w:instrText>
      </w:r>
      <w:r w:rsidR="00CB4B64">
        <w:fldChar w:fldCharType="separate"/>
      </w:r>
      <w:r w:rsidR="00CB4B64">
        <w:t xml:space="preserve">Table </w:t>
      </w:r>
      <w:r w:rsidR="00CB4B64">
        <w:rPr>
          <w:noProof/>
        </w:rPr>
        <w:t>4</w:t>
      </w:r>
      <w:r w:rsidR="00CB4B64">
        <w:fldChar w:fldCharType="end"/>
      </w:r>
      <w:r w:rsidR="00C13F22">
        <w:t xml:space="preserve"> </w:t>
      </w:r>
      <w:r w:rsidRPr="003E0BA5">
        <w:t>shows. High-</w:t>
      </w:r>
      <w:r w:rsidR="00F84477" w:rsidRPr="003E0BA5">
        <w:t>p</w:t>
      </w:r>
      <w:r w:rsidRPr="003E0BA5">
        <w:t xml:space="preserve">erformance </w:t>
      </w:r>
      <w:r w:rsidR="009410DB" w:rsidRPr="003E0BA5">
        <w:t>HVAC Equipment</w:t>
      </w:r>
      <w:r w:rsidR="004358B6" w:rsidRPr="003E0BA5">
        <w:t xml:space="preserve"> </w:t>
      </w:r>
      <w:r w:rsidRPr="003E0BA5">
        <w:t xml:space="preserve">contributed the most savings, at </w:t>
      </w:r>
      <w:r w:rsidR="004D5213">
        <w:t>42</w:t>
      </w:r>
      <w:r w:rsidRPr="003E0BA5">
        <w:t xml:space="preserve">% of the program natural gas savings. </w:t>
      </w:r>
      <w:r w:rsidR="00F84477" w:rsidRPr="003E0BA5">
        <w:t xml:space="preserve">High performance water heating equipment </w:t>
      </w:r>
      <w:r w:rsidR="00EC3846" w:rsidRPr="003E0BA5">
        <w:t xml:space="preserve">is the next largest category, at </w:t>
      </w:r>
      <w:r w:rsidR="004D5213">
        <w:t>19</w:t>
      </w:r>
      <w:r w:rsidR="00EC3846" w:rsidRPr="003E0BA5">
        <w:t>% of the program natural gas savings.</w:t>
      </w:r>
    </w:p>
    <w:p w14:paraId="7400A018" w14:textId="39D7FFE0" w:rsidR="00F20206" w:rsidRDefault="00F20206" w:rsidP="00F20206">
      <w:pPr>
        <w:pStyle w:val="Caption"/>
        <w:keepLines/>
      </w:pPr>
      <w:bookmarkStart w:id="25" w:name="_Ref191934891"/>
      <w:bookmarkStart w:id="26" w:name="_Toc398546655"/>
      <w:bookmarkStart w:id="27" w:name="_Toc423009517"/>
      <w:bookmarkStart w:id="28" w:name="_Toc426278635"/>
      <w:bookmarkStart w:id="29" w:name="_Toc61360848"/>
      <w:bookmarkStart w:id="30" w:name="_Toc192508414"/>
      <w:bookmarkStart w:id="31" w:name="_Hlk29910940"/>
      <w:r>
        <w:t xml:space="preserve">Table </w:t>
      </w:r>
      <w:r w:rsidR="008B6764">
        <w:fldChar w:fldCharType="begin"/>
      </w:r>
      <w:r w:rsidR="008B6764">
        <w:instrText xml:space="preserve"> SEQ Table \* ARABIC </w:instrText>
      </w:r>
      <w:r w:rsidR="008B6764">
        <w:fldChar w:fldCharType="separate"/>
      </w:r>
      <w:r w:rsidR="008B6764">
        <w:rPr>
          <w:noProof/>
        </w:rPr>
        <w:t>4</w:t>
      </w:r>
      <w:r w:rsidR="008B6764">
        <w:rPr>
          <w:noProof/>
        </w:rPr>
        <w:fldChar w:fldCharType="end"/>
      </w:r>
      <w:bookmarkEnd w:id="25"/>
      <w:r>
        <w:t xml:space="preserve">. </w:t>
      </w:r>
      <w:r w:rsidR="00E27342">
        <w:t>202</w:t>
      </w:r>
      <w:r w:rsidR="00BB3C1A">
        <w:t>4</w:t>
      </w:r>
      <w:r w:rsidRPr="00A90B62">
        <w:t xml:space="preserve"> </w:t>
      </w:r>
      <w:r>
        <w:t>Annual Energy Savings by Measure</w:t>
      </w:r>
      <w:bookmarkEnd w:id="26"/>
      <w:bookmarkEnd w:id="27"/>
      <w:bookmarkEnd w:id="28"/>
      <w:bookmarkEnd w:id="29"/>
      <w:bookmarkEnd w:id="30"/>
    </w:p>
    <w:tbl>
      <w:tblPr>
        <w:tblW w:w="5000" w:type="pct"/>
        <w:tblLook w:val="06A0" w:firstRow="1" w:lastRow="0" w:firstColumn="1" w:lastColumn="0" w:noHBand="1" w:noVBand="1"/>
      </w:tblPr>
      <w:tblGrid>
        <w:gridCol w:w="2168"/>
        <w:gridCol w:w="21"/>
        <w:gridCol w:w="1164"/>
        <w:gridCol w:w="1380"/>
        <w:gridCol w:w="1477"/>
        <w:gridCol w:w="788"/>
        <w:gridCol w:w="887"/>
        <w:gridCol w:w="1475"/>
      </w:tblGrid>
      <w:tr w:rsidR="005E318D" w14:paraId="41E89C3E" w14:textId="77777777" w:rsidTr="00975872">
        <w:trPr>
          <w:trHeight w:val="780"/>
          <w:tblHeader/>
        </w:trPr>
        <w:tc>
          <w:tcPr>
            <w:tcW w:w="1169" w:type="pct"/>
            <w:gridSpan w:val="2"/>
            <w:tcBorders>
              <w:top w:val="nil"/>
              <w:bottom w:val="single" w:sz="12" w:space="0" w:color="95D600"/>
            </w:tcBorders>
            <w:shd w:val="clear" w:color="auto" w:fill="036479" w:themeFill="accent3"/>
            <w:tcMar>
              <w:top w:w="15" w:type="dxa"/>
              <w:left w:w="15" w:type="dxa"/>
              <w:right w:w="15" w:type="dxa"/>
            </w:tcMar>
            <w:vAlign w:val="center"/>
          </w:tcPr>
          <w:p w14:paraId="419B29D1" w14:textId="6A8F61C4" w:rsidR="005E318D" w:rsidRDefault="00975872" w:rsidP="009C7715">
            <w:r>
              <w:rPr>
                <w:rFonts w:ascii="Arial Narrow" w:eastAsia="Arial Narrow" w:hAnsi="Arial Narrow" w:cs="Arial Narrow"/>
                <w:color w:val="FFFFFF" w:themeColor="background1"/>
                <w:sz w:val="20"/>
                <w:szCs w:val="20"/>
              </w:rPr>
              <w:t>Savings Category</w:t>
            </w:r>
          </w:p>
        </w:tc>
        <w:tc>
          <w:tcPr>
            <w:tcW w:w="622" w:type="pct"/>
            <w:tcBorders>
              <w:top w:val="nil"/>
              <w:bottom w:val="single" w:sz="12" w:space="0" w:color="95D600"/>
            </w:tcBorders>
            <w:shd w:val="clear" w:color="auto" w:fill="036479" w:themeFill="accent3"/>
            <w:tcMar>
              <w:top w:w="15" w:type="dxa"/>
              <w:left w:w="15" w:type="dxa"/>
              <w:right w:w="15" w:type="dxa"/>
            </w:tcMar>
            <w:vAlign w:val="center"/>
          </w:tcPr>
          <w:p w14:paraId="78A01D20" w14:textId="77777777" w:rsidR="005E318D" w:rsidRDefault="005E318D" w:rsidP="009C7715">
            <w:pPr>
              <w:jc w:val="right"/>
            </w:pPr>
            <w:r w:rsidRPr="1B6EEEC9">
              <w:rPr>
                <w:rFonts w:ascii="Arial Narrow" w:eastAsia="Arial Narrow" w:hAnsi="Arial Narrow" w:cs="Arial Narrow"/>
                <w:color w:val="FFFFFF" w:themeColor="background1"/>
                <w:sz w:val="20"/>
                <w:szCs w:val="20"/>
              </w:rPr>
              <w:t>Ex Ante Gross Savings (Therms)</w:t>
            </w:r>
          </w:p>
        </w:tc>
        <w:tc>
          <w:tcPr>
            <w:tcW w:w="737" w:type="pct"/>
            <w:tcBorders>
              <w:top w:val="nil"/>
              <w:bottom w:val="single" w:sz="12" w:space="0" w:color="95D600"/>
            </w:tcBorders>
            <w:shd w:val="clear" w:color="auto" w:fill="036479" w:themeFill="accent3"/>
            <w:tcMar>
              <w:top w:w="15" w:type="dxa"/>
              <w:left w:w="15" w:type="dxa"/>
              <w:right w:w="15" w:type="dxa"/>
            </w:tcMar>
            <w:vAlign w:val="center"/>
          </w:tcPr>
          <w:p w14:paraId="318A4B8A" w14:textId="77777777" w:rsidR="005E318D" w:rsidRDefault="005E318D" w:rsidP="009C7715">
            <w:pPr>
              <w:jc w:val="right"/>
            </w:pPr>
            <w:r w:rsidRPr="1B6EEEC9">
              <w:rPr>
                <w:rFonts w:ascii="Arial Narrow" w:eastAsia="Arial Narrow" w:hAnsi="Arial Narrow" w:cs="Arial Narrow"/>
                <w:color w:val="FFFFFF" w:themeColor="background1"/>
                <w:sz w:val="20"/>
                <w:szCs w:val="20"/>
              </w:rPr>
              <w:t>Verified Gross RR*</w:t>
            </w:r>
          </w:p>
        </w:tc>
        <w:tc>
          <w:tcPr>
            <w:tcW w:w="789" w:type="pct"/>
            <w:tcBorders>
              <w:top w:val="nil"/>
              <w:bottom w:val="single" w:sz="12" w:space="0" w:color="95D600"/>
            </w:tcBorders>
            <w:shd w:val="clear" w:color="auto" w:fill="036479" w:themeFill="accent3"/>
            <w:tcMar>
              <w:top w:w="15" w:type="dxa"/>
              <w:left w:w="15" w:type="dxa"/>
              <w:right w:w="15" w:type="dxa"/>
            </w:tcMar>
            <w:vAlign w:val="center"/>
          </w:tcPr>
          <w:p w14:paraId="2180AACD" w14:textId="77777777" w:rsidR="005E318D" w:rsidRDefault="005E318D" w:rsidP="009C7715">
            <w:pPr>
              <w:jc w:val="right"/>
            </w:pPr>
            <w:r w:rsidRPr="1B6EEEC9">
              <w:rPr>
                <w:rFonts w:ascii="Arial Narrow" w:eastAsia="Arial Narrow" w:hAnsi="Arial Narrow" w:cs="Arial Narrow"/>
                <w:color w:val="FFFFFF" w:themeColor="background1"/>
                <w:sz w:val="20"/>
                <w:szCs w:val="20"/>
              </w:rPr>
              <w:t>Verified Gross Savings (Therms</w:t>
            </w:r>
          </w:p>
        </w:tc>
        <w:tc>
          <w:tcPr>
            <w:tcW w:w="421" w:type="pct"/>
            <w:tcBorders>
              <w:top w:val="nil"/>
              <w:bottom w:val="single" w:sz="12" w:space="0" w:color="95D600"/>
            </w:tcBorders>
            <w:shd w:val="clear" w:color="auto" w:fill="036479" w:themeFill="accent3"/>
            <w:tcMar>
              <w:top w:w="15" w:type="dxa"/>
              <w:left w:w="15" w:type="dxa"/>
              <w:right w:w="15" w:type="dxa"/>
            </w:tcMar>
            <w:vAlign w:val="center"/>
          </w:tcPr>
          <w:p w14:paraId="602540C1" w14:textId="77777777" w:rsidR="005E318D" w:rsidRDefault="005E318D" w:rsidP="009C7715">
            <w:pPr>
              <w:jc w:val="right"/>
            </w:pPr>
            <w:r w:rsidRPr="1B6EEEC9">
              <w:rPr>
                <w:rFonts w:ascii="Arial Narrow" w:eastAsia="Arial Narrow" w:hAnsi="Arial Narrow" w:cs="Arial Narrow"/>
                <w:color w:val="FFFFFF" w:themeColor="background1"/>
                <w:sz w:val="20"/>
                <w:szCs w:val="20"/>
              </w:rPr>
              <w:t>NTG</w:t>
            </w:r>
            <w:r w:rsidRPr="1B6EEEC9">
              <w:rPr>
                <w:rFonts w:ascii="Calibri" w:eastAsia="Calibri" w:hAnsi="Calibri" w:cs="Calibri"/>
                <w:color w:val="FFFFFF" w:themeColor="background1"/>
                <w:sz w:val="20"/>
                <w:szCs w:val="20"/>
              </w:rPr>
              <w:t>†</w:t>
            </w:r>
          </w:p>
        </w:tc>
        <w:tc>
          <w:tcPr>
            <w:tcW w:w="474" w:type="pct"/>
            <w:tcBorders>
              <w:top w:val="nil"/>
              <w:bottom w:val="single" w:sz="12" w:space="0" w:color="95D600"/>
            </w:tcBorders>
            <w:shd w:val="clear" w:color="auto" w:fill="036479" w:themeFill="accent3"/>
            <w:tcMar>
              <w:top w:w="15" w:type="dxa"/>
              <w:left w:w="15" w:type="dxa"/>
              <w:right w:w="15" w:type="dxa"/>
            </w:tcMar>
            <w:vAlign w:val="center"/>
          </w:tcPr>
          <w:p w14:paraId="1032147E" w14:textId="77777777" w:rsidR="005E318D" w:rsidRDefault="005E318D" w:rsidP="009C7715">
            <w:pPr>
              <w:jc w:val="right"/>
            </w:pPr>
            <w:r w:rsidRPr="1B6EEEC9">
              <w:rPr>
                <w:rFonts w:ascii="Arial Narrow" w:eastAsia="Arial Narrow" w:hAnsi="Arial Narrow" w:cs="Arial Narrow"/>
                <w:color w:val="FFFFFF" w:themeColor="background1"/>
                <w:sz w:val="20"/>
                <w:szCs w:val="20"/>
              </w:rPr>
              <w:t>NSPO‡</w:t>
            </w:r>
          </w:p>
        </w:tc>
        <w:tc>
          <w:tcPr>
            <w:tcW w:w="788" w:type="pct"/>
            <w:tcBorders>
              <w:top w:val="nil"/>
              <w:bottom w:val="single" w:sz="12" w:space="0" w:color="95D600"/>
            </w:tcBorders>
            <w:shd w:val="clear" w:color="auto" w:fill="036479" w:themeFill="accent3"/>
            <w:tcMar>
              <w:top w:w="15" w:type="dxa"/>
              <w:left w:w="15" w:type="dxa"/>
              <w:right w:w="15" w:type="dxa"/>
            </w:tcMar>
            <w:vAlign w:val="center"/>
          </w:tcPr>
          <w:p w14:paraId="6C48DA39" w14:textId="77777777" w:rsidR="005E318D" w:rsidRDefault="005E318D" w:rsidP="009C7715">
            <w:pPr>
              <w:jc w:val="right"/>
            </w:pPr>
            <w:r w:rsidRPr="1B6EEEC9">
              <w:rPr>
                <w:rFonts w:ascii="Arial Narrow" w:eastAsia="Arial Narrow" w:hAnsi="Arial Narrow" w:cs="Arial Narrow"/>
                <w:color w:val="FFFFFF" w:themeColor="background1"/>
                <w:sz w:val="20"/>
                <w:szCs w:val="20"/>
              </w:rPr>
              <w:t>Verified Net Savings (Therms)</w:t>
            </w:r>
          </w:p>
        </w:tc>
      </w:tr>
      <w:tr w:rsidR="00C21DF2" w:rsidRPr="00C21DF2" w14:paraId="71A77807" w14:textId="77777777" w:rsidTr="00975872">
        <w:trPr>
          <w:trHeight w:val="540"/>
        </w:trPr>
        <w:tc>
          <w:tcPr>
            <w:tcW w:w="1169" w:type="pct"/>
            <w:gridSpan w:val="2"/>
            <w:tcBorders>
              <w:top w:val="single" w:sz="12" w:space="0" w:color="95D600"/>
              <w:bottom w:val="single" w:sz="8" w:space="0" w:color="B3EFFD" w:themeColor="accent3" w:themeTint="33"/>
            </w:tcBorders>
            <w:tcMar>
              <w:top w:w="15" w:type="dxa"/>
              <w:left w:w="15" w:type="dxa"/>
              <w:right w:w="15" w:type="dxa"/>
            </w:tcMar>
          </w:tcPr>
          <w:p w14:paraId="13BEC0C8" w14:textId="5265DA8A" w:rsidR="00C21DF2" w:rsidRPr="005E318D" w:rsidRDefault="00C21DF2" w:rsidP="00C21DF2">
            <w:pPr>
              <w:rPr>
                <w:rFonts w:ascii="Arial Narrow" w:eastAsia="Arial Narrow" w:hAnsi="Arial Narrow" w:cs="Arial Narrow"/>
                <w:color w:val="000000" w:themeColor="text1"/>
                <w:sz w:val="20"/>
                <w:szCs w:val="20"/>
              </w:rPr>
            </w:pPr>
            <w:r w:rsidRPr="005E318D">
              <w:rPr>
                <w:rFonts w:ascii="Arial Narrow" w:eastAsia="Arial Narrow" w:hAnsi="Arial Narrow" w:cs="Arial Narrow"/>
                <w:color w:val="000000" w:themeColor="text1"/>
                <w:sz w:val="20"/>
                <w:szCs w:val="20"/>
              </w:rPr>
              <w:t>High-Performance Windows</w:t>
            </w:r>
          </w:p>
        </w:tc>
        <w:tc>
          <w:tcPr>
            <w:tcW w:w="622" w:type="pct"/>
            <w:tcBorders>
              <w:top w:val="single" w:sz="12" w:space="0" w:color="95D600"/>
              <w:bottom w:val="single" w:sz="8" w:space="0" w:color="B3EFFD" w:themeColor="accent3" w:themeTint="33"/>
            </w:tcBorders>
            <w:tcMar>
              <w:top w:w="15" w:type="dxa"/>
              <w:left w:w="15" w:type="dxa"/>
              <w:right w:w="15" w:type="dxa"/>
            </w:tcMar>
          </w:tcPr>
          <w:p w14:paraId="17F66C5C" w14:textId="74758AFD" w:rsidR="00C21DF2" w:rsidRPr="005E318D" w:rsidRDefault="00C21DF2" w:rsidP="00C21DF2">
            <w:pPr>
              <w:jc w:val="right"/>
              <w:rPr>
                <w:rFonts w:ascii="Arial Narrow" w:eastAsia="Arial Narrow" w:hAnsi="Arial Narrow" w:cs="Arial Narrow"/>
                <w:color w:val="000000" w:themeColor="text1"/>
                <w:sz w:val="20"/>
                <w:szCs w:val="20"/>
              </w:rPr>
            </w:pPr>
            <w:r w:rsidRPr="005E318D">
              <w:rPr>
                <w:rFonts w:ascii="Arial Narrow" w:eastAsia="Arial Narrow" w:hAnsi="Arial Narrow" w:cs="Arial Narrow"/>
                <w:color w:val="000000" w:themeColor="text1"/>
                <w:sz w:val="20"/>
                <w:szCs w:val="20"/>
              </w:rPr>
              <w:t xml:space="preserve"> </w:t>
            </w:r>
            <w:r>
              <w:rPr>
                <w:rFonts w:ascii="Arial Narrow" w:eastAsia="Arial Narrow" w:hAnsi="Arial Narrow" w:cs="Arial Narrow"/>
                <w:color w:val="000000" w:themeColor="text1"/>
                <w:sz w:val="20"/>
                <w:szCs w:val="20"/>
              </w:rPr>
              <w:t>1,158</w:t>
            </w:r>
            <w:r w:rsidRPr="005E318D">
              <w:rPr>
                <w:rFonts w:ascii="Arial Narrow" w:eastAsia="Arial Narrow" w:hAnsi="Arial Narrow" w:cs="Arial Narrow"/>
                <w:color w:val="000000" w:themeColor="text1"/>
                <w:sz w:val="20"/>
                <w:szCs w:val="20"/>
              </w:rPr>
              <w:t xml:space="preserve"> </w:t>
            </w:r>
          </w:p>
        </w:tc>
        <w:tc>
          <w:tcPr>
            <w:tcW w:w="737" w:type="pct"/>
            <w:tcBorders>
              <w:top w:val="single" w:sz="12" w:space="0" w:color="95D600"/>
              <w:bottom w:val="single" w:sz="8" w:space="0" w:color="B3EFFD" w:themeColor="accent3" w:themeTint="33"/>
            </w:tcBorders>
            <w:tcMar>
              <w:top w:w="15" w:type="dxa"/>
              <w:left w:w="15" w:type="dxa"/>
              <w:right w:w="15" w:type="dxa"/>
            </w:tcMar>
          </w:tcPr>
          <w:p w14:paraId="63A7C5A2" w14:textId="3670FC36" w:rsidR="00C21DF2" w:rsidRPr="005E318D" w:rsidRDefault="00C21DF2" w:rsidP="00C21DF2">
            <w:pPr>
              <w:jc w:val="right"/>
              <w:rPr>
                <w:rFonts w:ascii="Arial Narrow" w:eastAsia="Arial Narrow" w:hAnsi="Arial Narrow" w:cs="Arial Narrow"/>
                <w:color w:val="000000" w:themeColor="text1"/>
                <w:sz w:val="20"/>
                <w:szCs w:val="20"/>
              </w:rPr>
            </w:pPr>
            <w:r w:rsidRPr="005E318D">
              <w:rPr>
                <w:rFonts w:ascii="Arial Narrow" w:eastAsia="Arial Narrow" w:hAnsi="Arial Narrow" w:cs="Arial Narrow"/>
                <w:color w:val="000000" w:themeColor="text1"/>
                <w:sz w:val="20"/>
                <w:szCs w:val="20"/>
              </w:rPr>
              <w:t>100%</w:t>
            </w:r>
          </w:p>
        </w:tc>
        <w:tc>
          <w:tcPr>
            <w:tcW w:w="789" w:type="pct"/>
            <w:tcBorders>
              <w:top w:val="single" w:sz="12" w:space="0" w:color="95D600"/>
              <w:bottom w:val="single" w:sz="8" w:space="0" w:color="B3EFFD" w:themeColor="accent3" w:themeTint="33"/>
            </w:tcBorders>
            <w:tcMar>
              <w:top w:w="15" w:type="dxa"/>
              <w:left w:w="15" w:type="dxa"/>
              <w:right w:w="15" w:type="dxa"/>
            </w:tcMar>
          </w:tcPr>
          <w:p w14:paraId="3655CB3E" w14:textId="69A6F7D0" w:rsidR="00C21DF2" w:rsidRPr="005E318D" w:rsidRDefault="00C21DF2" w:rsidP="00C21DF2">
            <w:pPr>
              <w:jc w:val="right"/>
              <w:rPr>
                <w:rFonts w:ascii="Arial Narrow" w:eastAsia="Arial Narrow" w:hAnsi="Arial Narrow" w:cs="Arial Narrow"/>
                <w:color w:val="000000" w:themeColor="text1"/>
                <w:sz w:val="20"/>
                <w:szCs w:val="20"/>
              </w:rPr>
            </w:pPr>
            <w:r w:rsidRPr="005E318D">
              <w:rPr>
                <w:rFonts w:ascii="Arial Narrow" w:eastAsia="Arial Narrow" w:hAnsi="Arial Narrow" w:cs="Arial Narrow"/>
                <w:color w:val="000000" w:themeColor="text1"/>
                <w:sz w:val="20"/>
                <w:szCs w:val="20"/>
              </w:rPr>
              <w:t xml:space="preserve"> </w:t>
            </w:r>
            <w:r>
              <w:rPr>
                <w:rFonts w:ascii="Arial Narrow" w:eastAsia="Arial Narrow" w:hAnsi="Arial Narrow" w:cs="Arial Narrow"/>
                <w:color w:val="000000" w:themeColor="text1"/>
                <w:sz w:val="20"/>
                <w:szCs w:val="20"/>
              </w:rPr>
              <w:t>1,157</w:t>
            </w:r>
            <w:r w:rsidRPr="005E318D">
              <w:rPr>
                <w:rFonts w:ascii="Arial Narrow" w:eastAsia="Arial Narrow" w:hAnsi="Arial Narrow" w:cs="Arial Narrow"/>
                <w:color w:val="000000" w:themeColor="text1"/>
                <w:sz w:val="20"/>
                <w:szCs w:val="20"/>
              </w:rPr>
              <w:t xml:space="preserve"> </w:t>
            </w:r>
          </w:p>
        </w:tc>
        <w:tc>
          <w:tcPr>
            <w:tcW w:w="421" w:type="pct"/>
            <w:tcBorders>
              <w:top w:val="single" w:sz="12" w:space="0" w:color="95D600"/>
              <w:bottom w:val="single" w:sz="8" w:space="0" w:color="B3EFFD" w:themeColor="accent3" w:themeTint="33"/>
            </w:tcBorders>
            <w:tcMar>
              <w:top w:w="15" w:type="dxa"/>
              <w:left w:w="15" w:type="dxa"/>
              <w:right w:w="15" w:type="dxa"/>
            </w:tcMar>
          </w:tcPr>
          <w:p w14:paraId="1462D8E0" w14:textId="5FF40ABC" w:rsidR="00C21DF2" w:rsidRPr="005E318D" w:rsidRDefault="00C21DF2" w:rsidP="00C21DF2">
            <w:pPr>
              <w:jc w:val="right"/>
              <w:rPr>
                <w:rFonts w:ascii="Arial Narrow" w:eastAsia="Arial Narrow" w:hAnsi="Arial Narrow" w:cs="Arial Narrow"/>
                <w:color w:val="000000" w:themeColor="text1"/>
                <w:sz w:val="20"/>
                <w:szCs w:val="20"/>
              </w:rPr>
            </w:pPr>
            <w:r w:rsidRPr="005E318D">
              <w:rPr>
                <w:rFonts w:ascii="Arial Narrow" w:eastAsia="Arial Narrow" w:hAnsi="Arial Narrow" w:cs="Arial Narrow"/>
                <w:color w:val="000000" w:themeColor="text1"/>
                <w:sz w:val="20"/>
                <w:szCs w:val="20"/>
              </w:rPr>
              <w:t xml:space="preserve"> 1.00 </w:t>
            </w:r>
          </w:p>
        </w:tc>
        <w:tc>
          <w:tcPr>
            <w:tcW w:w="474" w:type="pct"/>
            <w:tcBorders>
              <w:top w:val="single" w:sz="12" w:space="0" w:color="95D600"/>
              <w:bottom w:val="single" w:sz="8" w:space="0" w:color="B3EFFD" w:themeColor="accent3" w:themeTint="33"/>
            </w:tcBorders>
            <w:tcMar>
              <w:top w:w="15" w:type="dxa"/>
              <w:left w:w="15" w:type="dxa"/>
              <w:right w:w="15" w:type="dxa"/>
            </w:tcMar>
          </w:tcPr>
          <w:p w14:paraId="2F26CA90" w14:textId="50AB5588" w:rsidR="00C21DF2" w:rsidRPr="005E318D" w:rsidRDefault="00C13F22" w:rsidP="00C21DF2">
            <w:pPr>
              <w:jc w:val="right"/>
              <w:rPr>
                <w:rFonts w:ascii="Arial Narrow" w:eastAsia="Arial Narrow" w:hAnsi="Arial Narrow" w:cs="Arial Narrow"/>
                <w:color w:val="000000" w:themeColor="text1"/>
                <w:sz w:val="20"/>
                <w:szCs w:val="20"/>
              </w:rPr>
            </w:pPr>
            <w:r w:rsidRPr="00F325BD">
              <w:rPr>
                <w:rFonts w:ascii="Arial Narrow" w:eastAsia="Arial Narrow" w:hAnsi="Arial Narrow" w:cs="Arial Narrow"/>
                <w:color w:val="000000" w:themeColor="text1"/>
                <w:sz w:val="20"/>
                <w:szCs w:val="20"/>
              </w:rPr>
              <w:t xml:space="preserve">N/A </w:t>
            </w:r>
          </w:p>
        </w:tc>
        <w:tc>
          <w:tcPr>
            <w:tcW w:w="788" w:type="pct"/>
            <w:tcBorders>
              <w:top w:val="single" w:sz="12" w:space="0" w:color="95D600"/>
              <w:bottom w:val="single" w:sz="8" w:space="0" w:color="B3EFFD" w:themeColor="accent3" w:themeTint="33"/>
            </w:tcBorders>
            <w:tcMar>
              <w:top w:w="15" w:type="dxa"/>
              <w:left w:w="15" w:type="dxa"/>
              <w:right w:w="15" w:type="dxa"/>
            </w:tcMar>
          </w:tcPr>
          <w:p w14:paraId="7E35D132" w14:textId="3A450BA3" w:rsidR="00C21DF2" w:rsidRPr="005E318D" w:rsidRDefault="00C21DF2" w:rsidP="00C21DF2">
            <w:pPr>
              <w:jc w:val="right"/>
              <w:rPr>
                <w:rFonts w:ascii="Arial Narrow" w:eastAsia="Arial Narrow" w:hAnsi="Arial Narrow" w:cs="Arial Narrow"/>
                <w:color w:val="000000" w:themeColor="text1"/>
                <w:sz w:val="20"/>
                <w:szCs w:val="20"/>
              </w:rPr>
            </w:pPr>
            <w:r w:rsidRPr="00C21DF2">
              <w:rPr>
                <w:rFonts w:ascii="Arial Narrow" w:eastAsia="Arial Narrow" w:hAnsi="Arial Narrow" w:cs="Arial Narrow"/>
                <w:color w:val="000000" w:themeColor="text1"/>
                <w:sz w:val="20"/>
                <w:szCs w:val="20"/>
              </w:rPr>
              <w:t xml:space="preserve"> 1,157 </w:t>
            </w:r>
          </w:p>
        </w:tc>
      </w:tr>
      <w:tr w:rsidR="00C21DF2" w:rsidRPr="00C21DF2" w14:paraId="6295C89F" w14:textId="77777777" w:rsidTr="00975872">
        <w:trPr>
          <w:trHeight w:val="300"/>
        </w:trPr>
        <w:tc>
          <w:tcPr>
            <w:tcW w:w="1169" w:type="pct"/>
            <w:gridSpan w:val="2"/>
            <w:tcBorders>
              <w:top w:val="single" w:sz="8" w:space="0" w:color="B3EFFD" w:themeColor="accent3" w:themeTint="33"/>
              <w:bottom w:val="single" w:sz="8" w:space="0" w:color="B3EFFD" w:themeColor="accent3" w:themeTint="33"/>
            </w:tcBorders>
            <w:shd w:val="clear" w:color="auto" w:fill="FFFFFF" w:themeFill="background1"/>
            <w:tcMar>
              <w:top w:w="15" w:type="dxa"/>
              <w:left w:w="15" w:type="dxa"/>
              <w:right w:w="15" w:type="dxa"/>
            </w:tcMar>
          </w:tcPr>
          <w:p w14:paraId="40B490F7" w14:textId="385B1BB5" w:rsidR="00C21DF2" w:rsidRPr="004879D0" w:rsidRDefault="00C21DF2" w:rsidP="00C21DF2">
            <w:pPr>
              <w:rPr>
                <w:rFonts w:ascii="Arial Narrow" w:eastAsia="Arial Narrow" w:hAnsi="Arial Narrow" w:cs="Arial Narrow"/>
                <w:color w:val="000000" w:themeColor="text1"/>
                <w:sz w:val="20"/>
                <w:szCs w:val="20"/>
              </w:rPr>
            </w:pPr>
            <w:r w:rsidRPr="005E318D">
              <w:rPr>
                <w:rFonts w:ascii="Arial Narrow" w:eastAsia="Arial Narrow" w:hAnsi="Arial Narrow" w:cs="Arial Narrow"/>
                <w:color w:val="000000" w:themeColor="text1"/>
                <w:sz w:val="20"/>
                <w:szCs w:val="20"/>
              </w:rPr>
              <w:t>Reduced Infiltration</w:t>
            </w:r>
          </w:p>
        </w:tc>
        <w:tc>
          <w:tcPr>
            <w:tcW w:w="622" w:type="pct"/>
            <w:tcBorders>
              <w:top w:val="single" w:sz="8" w:space="0" w:color="B3EFFD" w:themeColor="accent3" w:themeTint="33"/>
              <w:bottom w:val="single" w:sz="8" w:space="0" w:color="B3EFFD" w:themeColor="accent3" w:themeTint="33"/>
            </w:tcBorders>
            <w:shd w:val="clear" w:color="auto" w:fill="FFFFFF" w:themeFill="background1"/>
            <w:tcMar>
              <w:top w:w="15" w:type="dxa"/>
              <w:left w:w="15" w:type="dxa"/>
              <w:right w:w="15" w:type="dxa"/>
            </w:tcMar>
          </w:tcPr>
          <w:p w14:paraId="6A2A2746" w14:textId="3A272880" w:rsidR="00C21DF2" w:rsidRPr="004879D0" w:rsidRDefault="00C21DF2" w:rsidP="00C21DF2">
            <w:pPr>
              <w:jc w:val="right"/>
              <w:rPr>
                <w:rFonts w:ascii="Arial Narrow" w:eastAsia="Arial Narrow" w:hAnsi="Arial Narrow" w:cs="Arial Narrow"/>
                <w:color w:val="000000" w:themeColor="text1"/>
                <w:sz w:val="20"/>
                <w:szCs w:val="20"/>
              </w:rPr>
            </w:pPr>
            <w:r w:rsidRPr="005E318D">
              <w:rPr>
                <w:rFonts w:ascii="Arial Narrow" w:eastAsia="Arial Narrow" w:hAnsi="Arial Narrow" w:cs="Arial Narrow"/>
                <w:color w:val="000000" w:themeColor="text1"/>
                <w:sz w:val="20"/>
                <w:szCs w:val="20"/>
              </w:rPr>
              <w:t xml:space="preserve"> </w:t>
            </w:r>
            <w:r>
              <w:rPr>
                <w:rFonts w:ascii="Arial Narrow" w:eastAsia="Arial Narrow" w:hAnsi="Arial Narrow" w:cs="Arial Narrow"/>
                <w:color w:val="000000" w:themeColor="text1"/>
                <w:sz w:val="20"/>
                <w:szCs w:val="20"/>
              </w:rPr>
              <w:t>5,506</w:t>
            </w:r>
            <w:r w:rsidRPr="005E318D">
              <w:rPr>
                <w:rFonts w:ascii="Arial Narrow" w:eastAsia="Arial Narrow" w:hAnsi="Arial Narrow" w:cs="Arial Narrow"/>
                <w:color w:val="000000" w:themeColor="text1"/>
                <w:sz w:val="20"/>
                <w:szCs w:val="20"/>
              </w:rPr>
              <w:t xml:space="preserve"> </w:t>
            </w:r>
          </w:p>
        </w:tc>
        <w:tc>
          <w:tcPr>
            <w:tcW w:w="737" w:type="pct"/>
            <w:tcBorders>
              <w:top w:val="single" w:sz="8" w:space="0" w:color="B3EFFD" w:themeColor="accent3" w:themeTint="33"/>
              <w:bottom w:val="single" w:sz="8" w:space="0" w:color="B3EFFD" w:themeColor="accent3" w:themeTint="33"/>
            </w:tcBorders>
            <w:shd w:val="clear" w:color="auto" w:fill="FFFFFF" w:themeFill="background1"/>
            <w:tcMar>
              <w:top w:w="15" w:type="dxa"/>
              <w:left w:w="15" w:type="dxa"/>
              <w:right w:w="15" w:type="dxa"/>
            </w:tcMar>
          </w:tcPr>
          <w:p w14:paraId="6E319692" w14:textId="6A30E4FB" w:rsidR="00C21DF2" w:rsidRPr="004879D0" w:rsidRDefault="00C21DF2" w:rsidP="00C21DF2">
            <w:pPr>
              <w:jc w:val="right"/>
              <w:rPr>
                <w:rFonts w:ascii="Arial Narrow" w:eastAsia="Arial Narrow" w:hAnsi="Arial Narrow" w:cs="Arial Narrow"/>
                <w:color w:val="000000" w:themeColor="text1"/>
                <w:sz w:val="20"/>
                <w:szCs w:val="20"/>
              </w:rPr>
            </w:pPr>
            <w:r w:rsidRPr="005E318D">
              <w:rPr>
                <w:rFonts w:ascii="Arial Narrow" w:eastAsia="Arial Narrow" w:hAnsi="Arial Narrow" w:cs="Arial Narrow"/>
                <w:color w:val="000000" w:themeColor="text1"/>
                <w:sz w:val="20"/>
                <w:szCs w:val="20"/>
              </w:rPr>
              <w:t>102%</w:t>
            </w:r>
          </w:p>
        </w:tc>
        <w:tc>
          <w:tcPr>
            <w:tcW w:w="789" w:type="pct"/>
            <w:tcBorders>
              <w:top w:val="single" w:sz="8" w:space="0" w:color="B3EFFD" w:themeColor="accent3" w:themeTint="33"/>
              <w:bottom w:val="single" w:sz="8" w:space="0" w:color="B3EFFD" w:themeColor="accent3" w:themeTint="33"/>
            </w:tcBorders>
            <w:shd w:val="clear" w:color="auto" w:fill="FFFFFF" w:themeFill="background1"/>
            <w:tcMar>
              <w:top w:w="15" w:type="dxa"/>
              <w:left w:w="15" w:type="dxa"/>
              <w:right w:w="15" w:type="dxa"/>
            </w:tcMar>
          </w:tcPr>
          <w:p w14:paraId="7F6A5FB0" w14:textId="3881ACB7" w:rsidR="00C21DF2" w:rsidRPr="004879D0" w:rsidRDefault="00C21DF2" w:rsidP="00C21DF2">
            <w:pPr>
              <w:jc w:val="right"/>
              <w:rPr>
                <w:rFonts w:ascii="Arial Narrow" w:eastAsia="Arial Narrow" w:hAnsi="Arial Narrow" w:cs="Arial Narrow"/>
                <w:color w:val="000000" w:themeColor="text1"/>
                <w:sz w:val="20"/>
                <w:szCs w:val="20"/>
              </w:rPr>
            </w:pPr>
            <w:r w:rsidRPr="005E318D">
              <w:rPr>
                <w:rFonts w:ascii="Arial Narrow" w:eastAsia="Arial Narrow" w:hAnsi="Arial Narrow" w:cs="Arial Narrow"/>
                <w:color w:val="000000" w:themeColor="text1"/>
                <w:sz w:val="20"/>
                <w:szCs w:val="20"/>
              </w:rPr>
              <w:t xml:space="preserve"> </w:t>
            </w:r>
            <w:r>
              <w:rPr>
                <w:rFonts w:ascii="Arial Narrow" w:eastAsia="Arial Narrow" w:hAnsi="Arial Narrow" w:cs="Arial Narrow"/>
                <w:color w:val="000000" w:themeColor="text1"/>
                <w:sz w:val="20"/>
                <w:szCs w:val="20"/>
              </w:rPr>
              <w:t>5,628</w:t>
            </w:r>
            <w:r w:rsidRPr="005E318D">
              <w:rPr>
                <w:rFonts w:ascii="Arial Narrow" w:eastAsia="Arial Narrow" w:hAnsi="Arial Narrow" w:cs="Arial Narrow"/>
                <w:color w:val="000000" w:themeColor="text1"/>
                <w:sz w:val="20"/>
                <w:szCs w:val="20"/>
              </w:rPr>
              <w:t xml:space="preserve"> </w:t>
            </w:r>
          </w:p>
        </w:tc>
        <w:tc>
          <w:tcPr>
            <w:tcW w:w="421" w:type="pct"/>
            <w:tcBorders>
              <w:top w:val="single" w:sz="8" w:space="0" w:color="B3EFFD" w:themeColor="accent3" w:themeTint="33"/>
              <w:bottom w:val="single" w:sz="8" w:space="0" w:color="B3EFFD" w:themeColor="accent3" w:themeTint="33"/>
            </w:tcBorders>
            <w:shd w:val="clear" w:color="auto" w:fill="FFFFFF" w:themeFill="background1"/>
            <w:tcMar>
              <w:top w:w="15" w:type="dxa"/>
              <w:left w:w="15" w:type="dxa"/>
              <w:right w:w="15" w:type="dxa"/>
            </w:tcMar>
          </w:tcPr>
          <w:p w14:paraId="2EE5DE7F" w14:textId="2499057C" w:rsidR="00C21DF2" w:rsidRPr="004879D0" w:rsidRDefault="00C21DF2" w:rsidP="00C21DF2">
            <w:pPr>
              <w:jc w:val="right"/>
              <w:rPr>
                <w:rFonts w:ascii="Arial Narrow" w:eastAsia="Arial Narrow" w:hAnsi="Arial Narrow" w:cs="Arial Narrow"/>
                <w:color w:val="000000" w:themeColor="text1"/>
                <w:sz w:val="20"/>
                <w:szCs w:val="20"/>
              </w:rPr>
            </w:pPr>
            <w:r w:rsidRPr="005E318D">
              <w:rPr>
                <w:rFonts w:ascii="Arial Narrow" w:eastAsia="Arial Narrow" w:hAnsi="Arial Narrow" w:cs="Arial Narrow"/>
                <w:color w:val="000000" w:themeColor="text1"/>
                <w:sz w:val="20"/>
                <w:szCs w:val="20"/>
              </w:rPr>
              <w:t xml:space="preserve"> 1.00 </w:t>
            </w:r>
          </w:p>
        </w:tc>
        <w:tc>
          <w:tcPr>
            <w:tcW w:w="474" w:type="pct"/>
            <w:tcBorders>
              <w:top w:val="single" w:sz="8" w:space="0" w:color="B3EFFD" w:themeColor="accent3" w:themeTint="33"/>
              <w:bottom w:val="single" w:sz="8" w:space="0" w:color="B3EFFD" w:themeColor="accent3" w:themeTint="33"/>
            </w:tcBorders>
            <w:shd w:val="clear" w:color="auto" w:fill="FFFFFF" w:themeFill="background1"/>
            <w:tcMar>
              <w:top w:w="15" w:type="dxa"/>
              <w:left w:w="15" w:type="dxa"/>
              <w:right w:w="15" w:type="dxa"/>
            </w:tcMar>
          </w:tcPr>
          <w:p w14:paraId="439575D8" w14:textId="25736013" w:rsidR="00C21DF2" w:rsidRPr="004879D0" w:rsidRDefault="00C13F22" w:rsidP="00C21DF2">
            <w:pPr>
              <w:jc w:val="right"/>
              <w:rPr>
                <w:rFonts w:ascii="Arial Narrow" w:eastAsia="Arial Narrow" w:hAnsi="Arial Narrow" w:cs="Arial Narrow"/>
                <w:color w:val="000000" w:themeColor="text1"/>
                <w:sz w:val="20"/>
                <w:szCs w:val="20"/>
              </w:rPr>
            </w:pPr>
            <w:r w:rsidRPr="00F325BD">
              <w:rPr>
                <w:rFonts w:ascii="Arial Narrow" w:eastAsia="Arial Narrow" w:hAnsi="Arial Narrow" w:cs="Arial Narrow"/>
                <w:color w:val="000000" w:themeColor="text1"/>
                <w:sz w:val="20"/>
                <w:szCs w:val="20"/>
              </w:rPr>
              <w:t xml:space="preserve">N/A </w:t>
            </w:r>
          </w:p>
        </w:tc>
        <w:tc>
          <w:tcPr>
            <w:tcW w:w="788" w:type="pct"/>
            <w:tcBorders>
              <w:top w:val="single" w:sz="8" w:space="0" w:color="B3EFFD" w:themeColor="accent3" w:themeTint="33"/>
              <w:bottom w:val="single" w:sz="8" w:space="0" w:color="B3EFFD" w:themeColor="accent3" w:themeTint="33"/>
            </w:tcBorders>
            <w:shd w:val="clear" w:color="auto" w:fill="FFFFFF" w:themeFill="background1"/>
            <w:tcMar>
              <w:top w:w="15" w:type="dxa"/>
              <w:left w:w="15" w:type="dxa"/>
              <w:right w:w="15" w:type="dxa"/>
            </w:tcMar>
          </w:tcPr>
          <w:p w14:paraId="57D6B2CA" w14:textId="6C02D514" w:rsidR="00C21DF2" w:rsidRPr="004879D0" w:rsidRDefault="00C21DF2" w:rsidP="00C21DF2">
            <w:pPr>
              <w:jc w:val="right"/>
              <w:rPr>
                <w:rFonts w:ascii="Arial Narrow" w:eastAsia="Arial Narrow" w:hAnsi="Arial Narrow" w:cs="Arial Narrow"/>
                <w:color w:val="000000" w:themeColor="text1"/>
                <w:sz w:val="20"/>
                <w:szCs w:val="20"/>
              </w:rPr>
            </w:pPr>
            <w:r w:rsidRPr="00C21DF2">
              <w:rPr>
                <w:rFonts w:ascii="Arial Narrow" w:eastAsia="Arial Narrow" w:hAnsi="Arial Narrow" w:cs="Arial Narrow"/>
                <w:color w:val="000000" w:themeColor="text1"/>
                <w:sz w:val="20"/>
                <w:szCs w:val="20"/>
              </w:rPr>
              <w:t xml:space="preserve"> 5,628 </w:t>
            </w:r>
          </w:p>
        </w:tc>
      </w:tr>
      <w:tr w:rsidR="00C21DF2" w:rsidRPr="00C21DF2" w14:paraId="68F03AE3" w14:textId="77777777" w:rsidTr="00975872">
        <w:trPr>
          <w:trHeight w:val="300"/>
        </w:trPr>
        <w:tc>
          <w:tcPr>
            <w:tcW w:w="1169" w:type="pct"/>
            <w:gridSpan w:val="2"/>
            <w:tcBorders>
              <w:top w:val="single" w:sz="8" w:space="0" w:color="B3EFFD" w:themeColor="accent3" w:themeTint="33"/>
              <w:bottom w:val="single" w:sz="8" w:space="0" w:color="B3EFFD" w:themeColor="accent3" w:themeTint="33"/>
            </w:tcBorders>
            <w:shd w:val="clear" w:color="auto" w:fill="FFFFFF" w:themeFill="background1"/>
            <w:tcMar>
              <w:top w:w="15" w:type="dxa"/>
              <w:left w:w="15" w:type="dxa"/>
              <w:right w:w="15" w:type="dxa"/>
            </w:tcMar>
          </w:tcPr>
          <w:p w14:paraId="273E626A" w14:textId="3EBD94BA" w:rsidR="00C21DF2" w:rsidRPr="004879D0" w:rsidRDefault="00C21DF2" w:rsidP="00C21DF2">
            <w:pPr>
              <w:rPr>
                <w:rFonts w:ascii="Arial Narrow" w:eastAsia="Arial Narrow" w:hAnsi="Arial Narrow" w:cs="Arial Narrow"/>
                <w:color w:val="000000" w:themeColor="text1"/>
                <w:sz w:val="20"/>
                <w:szCs w:val="20"/>
              </w:rPr>
            </w:pPr>
            <w:r w:rsidRPr="005E318D">
              <w:rPr>
                <w:rFonts w:ascii="Arial Narrow" w:eastAsia="Arial Narrow" w:hAnsi="Arial Narrow" w:cs="Arial Narrow"/>
                <w:color w:val="000000" w:themeColor="text1"/>
                <w:sz w:val="20"/>
                <w:szCs w:val="20"/>
              </w:rPr>
              <w:t>Reduced Thermal Bridging</w:t>
            </w:r>
          </w:p>
        </w:tc>
        <w:tc>
          <w:tcPr>
            <w:tcW w:w="622" w:type="pct"/>
            <w:tcBorders>
              <w:top w:val="single" w:sz="8" w:space="0" w:color="B3EFFD" w:themeColor="accent3" w:themeTint="33"/>
              <w:bottom w:val="single" w:sz="8" w:space="0" w:color="B3EFFD" w:themeColor="accent3" w:themeTint="33"/>
            </w:tcBorders>
            <w:shd w:val="clear" w:color="auto" w:fill="FFFFFF" w:themeFill="background1"/>
            <w:tcMar>
              <w:top w:w="15" w:type="dxa"/>
              <w:left w:w="15" w:type="dxa"/>
              <w:right w:w="15" w:type="dxa"/>
            </w:tcMar>
          </w:tcPr>
          <w:p w14:paraId="1F525081" w14:textId="37EB52F0" w:rsidR="00C21DF2" w:rsidRPr="004879D0" w:rsidRDefault="00C21DF2" w:rsidP="00C21DF2">
            <w:pPr>
              <w:jc w:val="right"/>
              <w:rPr>
                <w:rFonts w:ascii="Arial Narrow" w:eastAsia="Arial Narrow" w:hAnsi="Arial Narrow" w:cs="Arial Narrow"/>
                <w:color w:val="000000" w:themeColor="text1"/>
                <w:sz w:val="20"/>
                <w:szCs w:val="20"/>
              </w:rPr>
            </w:pPr>
            <w:r w:rsidRPr="005E318D">
              <w:rPr>
                <w:rFonts w:ascii="Arial Narrow" w:eastAsia="Arial Narrow" w:hAnsi="Arial Narrow" w:cs="Arial Narrow"/>
                <w:color w:val="000000" w:themeColor="text1"/>
                <w:sz w:val="20"/>
                <w:szCs w:val="20"/>
              </w:rPr>
              <w:t xml:space="preserve"> </w:t>
            </w:r>
            <w:r>
              <w:rPr>
                <w:rFonts w:ascii="Arial Narrow" w:eastAsia="Arial Narrow" w:hAnsi="Arial Narrow" w:cs="Arial Narrow"/>
                <w:color w:val="000000" w:themeColor="text1"/>
                <w:sz w:val="20"/>
                <w:szCs w:val="20"/>
              </w:rPr>
              <w:t>2,323</w:t>
            </w:r>
            <w:r w:rsidRPr="005E318D">
              <w:rPr>
                <w:rFonts w:ascii="Arial Narrow" w:eastAsia="Arial Narrow" w:hAnsi="Arial Narrow" w:cs="Arial Narrow"/>
                <w:color w:val="000000" w:themeColor="text1"/>
                <w:sz w:val="20"/>
                <w:szCs w:val="20"/>
              </w:rPr>
              <w:t xml:space="preserve"> </w:t>
            </w:r>
          </w:p>
        </w:tc>
        <w:tc>
          <w:tcPr>
            <w:tcW w:w="737" w:type="pct"/>
            <w:tcBorders>
              <w:top w:val="single" w:sz="8" w:space="0" w:color="B3EFFD" w:themeColor="accent3" w:themeTint="33"/>
              <w:bottom w:val="single" w:sz="8" w:space="0" w:color="B3EFFD" w:themeColor="accent3" w:themeTint="33"/>
            </w:tcBorders>
            <w:shd w:val="clear" w:color="auto" w:fill="FFFFFF" w:themeFill="background1"/>
            <w:tcMar>
              <w:top w:w="15" w:type="dxa"/>
              <w:left w:w="15" w:type="dxa"/>
              <w:right w:w="15" w:type="dxa"/>
            </w:tcMar>
          </w:tcPr>
          <w:p w14:paraId="33E73018" w14:textId="01FA7781" w:rsidR="00C21DF2" w:rsidRPr="004879D0" w:rsidRDefault="00C21DF2" w:rsidP="00C21DF2">
            <w:pPr>
              <w:jc w:val="right"/>
              <w:rPr>
                <w:rFonts w:ascii="Arial Narrow" w:eastAsia="Arial Narrow" w:hAnsi="Arial Narrow" w:cs="Arial Narrow"/>
                <w:color w:val="000000" w:themeColor="text1"/>
                <w:sz w:val="20"/>
                <w:szCs w:val="20"/>
              </w:rPr>
            </w:pPr>
            <w:r w:rsidRPr="005E318D">
              <w:rPr>
                <w:rFonts w:ascii="Arial Narrow" w:eastAsia="Arial Narrow" w:hAnsi="Arial Narrow" w:cs="Arial Narrow"/>
                <w:color w:val="000000" w:themeColor="text1"/>
                <w:sz w:val="20"/>
                <w:szCs w:val="20"/>
              </w:rPr>
              <w:t>100%</w:t>
            </w:r>
          </w:p>
        </w:tc>
        <w:tc>
          <w:tcPr>
            <w:tcW w:w="789" w:type="pct"/>
            <w:tcBorders>
              <w:top w:val="single" w:sz="8" w:space="0" w:color="B3EFFD" w:themeColor="accent3" w:themeTint="33"/>
              <w:bottom w:val="single" w:sz="8" w:space="0" w:color="B3EFFD" w:themeColor="accent3" w:themeTint="33"/>
            </w:tcBorders>
            <w:shd w:val="clear" w:color="auto" w:fill="FFFFFF" w:themeFill="background1"/>
            <w:tcMar>
              <w:top w:w="15" w:type="dxa"/>
              <w:left w:w="15" w:type="dxa"/>
              <w:right w:w="15" w:type="dxa"/>
            </w:tcMar>
          </w:tcPr>
          <w:p w14:paraId="472CCA48" w14:textId="4F2976A5" w:rsidR="00C21DF2" w:rsidRPr="004879D0" w:rsidRDefault="00C21DF2" w:rsidP="00C21DF2">
            <w:pPr>
              <w:jc w:val="right"/>
              <w:rPr>
                <w:rFonts w:ascii="Arial Narrow" w:eastAsia="Arial Narrow" w:hAnsi="Arial Narrow" w:cs="Arial Narrow"/>
                <w:color w:val="000000" w:themeColor="text1"/>
                <w:sz w:val="20"/>
                <w:szCs w:val="20"/>
              </w:rPr>
            </w:pPr>
            <w:r w:rsidRPr="005E318D">
              <w:rPr>
                <w:rFonts w:ascii="Arial Narrow" w:eastAsia="Arial Narrow" w:hAnsi="Arial Narrow" w:cs="Arial Narrow"/>
                <w:color w:val="000000" w:themeColor="text1"/>
                <w:sz w:val="20"/>
                <w:szCs w:val="20"/>
              </w:rPr>
              <w:t xml:space="preserve"> </w:t>
            </w:r>
            <w:r>
              <w:rPr>
                <w:rFonts w:ascii="Arial Narrow" w:eastAsia="Arial Narrow" w:hAnsi="Arial Narrow" w:cs="Arial Narrow"/>
                <w:color w:val="000000" w:themeColor="text1"/>
                <w:sz w:val="20"/>
                <w:szCs w:val="20"/>
              </w:rPr>
              <w:t>2,318</w:t>
            </w:r>
            <w:r w:rsidRPr="005E318D">
              <w:rPr>
                <w:rFonts w:ascii="Arial Narrow" w:eastAsia="Arial Narrow" w:hAnsi="Arial Narrow" w:cs="Arial Narrow"/>
                <w:color w:val="000000" w:themeColor="text1"/>
                <w:sz w:val="20"/>
                <w:szCs w:val="20"/>
              </w:rPr>
              <w:t xml:space="preserve"> </w:t>
            </w:r>
          </w:p>
        </w:tc>
        <w:tc>
          <w:tcPr>
            <w:tcW w:w="421" w:type="pct"/>
            <w:tcBorders>
              <w:top w:val="single" w:sz="8" w:space="0" w:color="B3EFFD" w:themeColor="accent3" w:themeTint="33"/>
              <w:bottom w:val="single" w:sz="8" w:space="0" w:color="B3EFFD" w:themeColor="accent3" w:themeTint="33"/>
            </w:tcBorders>
            <w:shd w:val="clear" w:color="auto" w:fill="FFFFFF" w:themeFill="background1"/>
            <w:tcMar>
              <w:top w:w="15" w:type="dxa"/>
              <w:left w:w="15" w:type="dxa"/>
              <w:right w:w="15" w:type="dxa"/>
            </w:tcMar>
          </w:tcPr>
          <w:p w14:paraId="1C590386" w14:textId="0C768A78" w:rsidR="00C21DF2" w:rsidRPr="004879D0" w:rsidRDefault="00C21DF2" w:rsidP="00C21DF2">
            <w:pPr>
              <w:jc w:val="right"/>
              <w:rPr>
                <w:rFonts w:ascii="Arial Narrow" w:eastAsia="Arial Narrow" w:hAnsi="Arial Narrow" w:cs="Arial Narrow"/>
                <w:color w:val="000000" w:themeColor="text1"/>
                <w:sz w:val="20"/>
                <w:szCs w:val="20"/>
              </w:rPr>
            </w:pPr>
            <w:r w:rsidRPr="005E318D">
              <w:rPr>
                <w:rFonts w:ascii="Arial Narrow" w:eastAsia="Arial Narrow" w:hAnsi="Arial Narrow" w:cs="Arial Narrow"/>
                <w:color w:val="000000" w:themeColor="text1"/>
                <w:sz w:val="20"/>
                <w:szCs w:val="20"/>
              </w:rPr>
              <w:t xml:space="preserve"> 1.00 </w:t>
            </w:r>
          </w:p>
        </w:tc>
        <w:tc>
          <w:tcPr>
            <w:tcW w:w="474" w:type="pct"/>
            <w:tcBorders>
              <w:top w:val="single" w:sz="8" w:space="0" w:color="B3EFFD" w:themeColor="accent3" w:themeTint="33"/>
              <w:bottom w:val="single" w:sz="8" w:space="0" w:color="B3EFFD" w:themeColor="accent3" w:themeTint="33"/>
            </w:tcBorders>
            <w:shd w:val="clear" w:color="auto" w:fill="FFFFFF" w:themeFill="background1"/>
            <w:tcMar>
              <w:top w:w="15" w:type="dxa"/>
              <w:left w:w="15" w:type="dxa"/>
              <w:right w:w="15" w:type="dxa"/>
            </w:tcMar>
          </w:tcPr>
          <w:p w14:paraId="1DE8FD94" w14:textId="7980178A" w:rsidR="00C21DF2" w:rsidRPr="004879D0" w:rsidRDefault="00C13F22" w:rsidP="00C21DF2">
            <w:pPr>
              <w:jc w:val="right"/>
              <w:rPr>
                <w:rFonts w:ascii="Arial Narrow" w:eastAsia="Arial Narrow" w:hAnsi="Arial Narrow" w:cs="Arial Narrow"/>
                <w:color w:val="000000" w:themeColor="text1"/>
                <w:sz w:val="20"/>
                <w:szCs w:val="20"/>
              </w:rPr>
            </w:pPr>
            <w:r w:rsidRPr="00F325BD">
              <w:rPr>
                <w:rFonts w:ascii="Arial Narrow" w:eastAsia="Arial Narrow" w:hAnsi="Arial Narrow" w:cs="Arial Narrow"/>
                <w:color w:val="000000" w:themeColor="text1"/>
                <w:sz w:val="20"/>
                <w:szCs w:val="20"/>
              </w:rPr>
              <w:t xml:space="preserve">N/A </w:t>
            </w:r>
          </w:p>
        </w:tc>
        <w:tc>
          <w:tcPr>
            <w:tcW w:w="788" w:type="pct"/>
            <w:tcBorders>
              <w:top w:val="single" w:sz="8" w:space="0" w:color="B3EFFD" w:themeColor="accent3" w:themeTint="33"/>
              <w:bottom w:val="single" w:sz="8" w:space="0" w:color="B3EFFD" w:themeColor="accent3" w:themeTint="33"/>
            </w:tcBorders>
            <w:shd w:val="clear" w:color="auto" w:fill="FFFFFF" w:themeFill="background1"/>
            <w:tcMar>
              <w:top w:w="15" w:type="dxa"/>
              <w:left w:w="15" w:type="dxa"/>
              <w:right w:w="15" w:type="dxa"/>
            </w:tcMar>
          </w:tcPr>
          <w:p w14:paraId="0E54DEB3" w14:textId="1D76ED9F" w:rsidR="00C21DF2" w:rsidRPr="004879D0" w:rsidRDefault="00C21DF2" w:rsidP="00C21DF2">
            <w:pPr>
              <w:jc w:val="right"/>
              <w:rPr>
                <w:rFonts w:ascii="Arial Narrow" w:eastAsia="Arial Narrow" w:hAnsi="Arial Narrow" w:cs="Arial Narrow"/>
                <w:color w:val="000000" w:themeColor="text1"/>
                <w:sz w:val="20"/>
                <w:szCs w:val="20"/>
              </w:rPr>
            </w:pPr>
            <w:r w:rsidRPr="00C21DF2">
              <w:rPr>
                <w:rFonts w:ascii="Arial Narrow" w:eastAsia="Arial Narrow" w:hAnsi="Arial Narrow" w:cs="Arial Narrow"/>
                <w:color w:val="000000" w:themeColor="text1"/>
                <w:sz w:val="20"/>
                <w:szCs w:val="20"/>
              </w:rPr>
              <w:t xml:space="preserve"> 2,318 </w:t>
            </w:r>
          </w:p>
        </w:tc>
      </w:tr>
      <w:tr w:rsidR="00C21DF2" w:rsidRPr="00C21DF2" w14:paraId="7028F2BC" w14:textId="77777777" w:rsidTr="00975872">
        <w:trPr>
          <w:trHeight w:val="300"/>
        </w:trPr>
        <w:tc>
          <w:tcPr>
            <w:tcW w:w="1169" w:type="pct"/>
            <w:gridSpan w:val="2"/>
            <w:tcBorders>
              <w:top w:val="single" w:sz="8" w:space="0" w:color="B3EFFD" w:themeColor="accent3" w:themeTint="33"/>
              <w:bottom w:val="single" w:sz="8" w:space="0" w:color="B3EFFD" w:themeColor="accent3" w:themeTint="33"/>
            </w:tcBorders>
            <w:shd w:val="clear" w:color="auto" w:fill="FFFFFF" w:themeFill="background1"/>
            <w:tcMar>
              <w:top w:w="15" w:type="dxa"/>
              <w:left w:w="15" w:type="dxa"/>
              <w:right w:w="15" w:type="dxa"/>
            </w:tcMar>
          </w:tcPr>
          <w:p w14:paraId="631009B4" w14:textId="11BF1825" w:rsidR="00C21DF2" w:rsidRPr="004879D0" w:rsidRDefault="00C21DF2" w:rsidP="00C21DF2">
            <w:pPr>
              <w:rPr>
                <w:rFonts w:ascii="Arial Narrow" w:eastAsia="Arial Narrow" w:hAnsi="Arial Narrow" w:cs="Arial Narrow"/>
                <w:color w:val="000000" w:themeColor="text1"/>
                <w:sz w:val="20"/>
                <w:szCs w:val="20"/>
              </w:rPr>
            </w:pPr>
            <w:r w:rsidRPr="005E318D">
              <w:rPr>
                <w:rFonts w:ascii="Arial Narrow" w:eastAsia="Arial Narrow" w:hAnsi="Arial Narrow" w:cs="Arial Narrow"/>
                <w:color w:val="000000" w:themeColor="text1"/>
                <w:sz w:val="20"/>
                <w:szCs w:val="20"/>
              </w:rPr>
              <w:t>High-Performance HVAC Equipment</w:t>
            </w:r>
          </w:p>
        </w:tc>
        <w:tc>
          <w:tcPr>
            <w:tcW w:w="622" w:type="pct"/>
            <w:tcBorders>
              <w:top w:val="single" w:sz="8" w:space="0" w:color="B3EFFD" w:themeColor="accent3" w:themeTint="33"/>
              <w:bottom w:val="single" w:sz="8" w:space="0" w:color="B3EFFD" w:themeColor="accent3" w:themeTint="33"/>
            </w:tcBorders>
            <w:shd w:val="clear" w:color="auto" w:fill="FFFFFF" w:themeFill="background1"/>
            <w:tcMar>
              <w:top w:w="15" w:type="dxa"/>
              <w:left w:w="15" w:type="dxa"/>
              <w:right w:w="15" w:type="dxa"/>
            </w:tcMar>
          </w:tcPr>
          <w:p w14:paraId="7951262A" w14:textId="0DCD688F" w:rsidR="00C21DF2" w:rsidRPr="004879D0" w:rsidRDefault="00C21DF2" w:rsidP="00C21DF2">
            <w:pPr>
              <w:jc w:val="right"/>
              <w:rPr>
                <w:rFonts w:ascii="Arial Narrow" w:eastAsia="Arial Narrow" w:hAnsi="Arial Narrow" w:cs="Arial Narrow"/>
                <w:color w:val="000000" w:themeColor="text1"/>
                <w:sz w:val="20"/>
                <w:szCs w:val="20"/>
              </w:rPr>
            </w:pPr>
            <w:r w:rsidRPr="005E318D">
              <w:rPr>
                <w:rFonts w:ascii="Arial Narrow" w:eastAsia="Arial Narrow" w:hAnsi="Arial Narrow" w:cs="Arial Narrow"/>
                <w:color w:val="000000" w:themeColor="text1"/>
                <w:sz w:val="20"/>
                <w:szCs w:val="20"/>
              </w:rPr>
              <w:t xml:space="preserve"> </w:t>
            </w:r>
            <w:r>
              <w:rPr>
                <w:rFonts w:ascii="Arial Narrow" w:eastAsia="Arial Narrow" w:hAnsi="Arial Narrow" w:cs="Arial Narrow"/>
                <w:color w:val="000000" w:themeColor="text1"/>
                <w:sz w:val="20"/>
                <w:szCs w:val="20"/>
              </w:rPr>
              <w:t>34,040</w:t>
            </w:r>
            <w:r w:rsidRPr="005E318D">
              <w:rPr>
                <w:rFonts w:ascii="Arial Narrow" w:eastAsia="Arial Narrow" w:hAnsi="Arial Narrow" w:cs="Arial Narrow"/>
                <w:color w:val="000000" w:themeColor="text1"/>
                <w:sz w:val="20"/>
                <w:szCs w:val="20"/>
              </w:rPr>
              <w:t xml:space="preserve"> </w:t>
            </w:r>
          </w:p>
        </w:tc>
        <w:tc>
          <w:tcPr>
            <w:tcW w:w="737" w:type="pct"/>
            <w:tcBorders>
              <w:top w:val="single" w:sz="8" w:space="0" w:color="B3EFFD" w:themeColor="accent3" w:themeTint="33"/>
              <w:bottom w:val="single" w:sz="8" w:space="0" w:color="B3EFFD" w:themeColor="accent3" w:themeTint="33"/>
            </w:tcBorders>
            <w:shd w:val="clear" w:color="auto" w:fill="FFFFFF" w:themeFill="background1"/>
            <w:tcMar>
              <w:top w:w="15" w:type="dxa"/>
              <w:left w:w="15" w:type="dxa"/>
              <w:right w:w="15" w:type="dxa"/>
            </w:tcMar>
          </w:tcPr>
          <w:p w14:paraId="3932090D" w14:textId="5F4C1601" w:rsidR="00C21DF2" w:rsidRPr="004879D0" w:rsidRDefault="00C21DF2" w:rsidP="00C21DF2">
            <w:pPr>
              <w:jc w:val="right"/>
              <w:rPr>
                <w:rFonts w:ascii="Arial Narrow" w:eastAsia="Arial Narrow" w:hAnsi="Arial Narrow" w:cs="Arial Narrow"/>
                <w:color w:val="000000" w:themeColor="text1"/>
                <w:sz w:val="20"/>
                <w:szCs w:val="20"/>
              </w:rPr>
            </w:pPr>
            <w:r w:rsidRPr="005E318D">
              <w:rPr>
                <w:rFonts w:ascii="Arial Narrow" w:eastAsia="Arial Narrow" w:hAnsi="Arial Narrow" w:cs="Arial Narrow"/>
                <w:color w:val="000000" w:themeColor="text1"/>
                <w:sz w:val="20"/>
                <w:szCs w:val="20"/>
              </w:rPr>
              <w:t>99%</w:t>
            </w:r>
          </w:p>
        </w:tc>
        <w:tc>
          <w:tcPr>
            <w:tcW w:w="789" w:type="pct"/>
            <w:tcBorders>
              <w:top w:val="single" w:sz="8" w:space="0" w:color="B3EFFD" w:themeColor="accent3" w:themeTint="33"/>
              <w:bottom w:val="single" w:sz="8" w:space="0" w:color="B3EFFD" w:themeColor="accent3" w:themeTint="33"/>
            </w:tcBorders>
            <w:shd w:val="clear" w:color="auto" w:fill="FFFFFF" w:themeFill="background1"/>
            <w:tcMar>
              <w:top w:w="15" w:type="dxa"/>
              <w:left w:w="15" w:type="dxa"/>
              <w:right w:w="15" w:type="dxa"/>
            </w:tcMar>
          </w:tcPr>
          <w:p w14:paraId="4F9211DC" w14:textId="0CFE430E" w:rsidR="00C21DF2" w:rsidRPr="004879D0" w:rsidRDefault="00C21DF2" w:rsidP="00C21DF2">
            <w:pPr>
              <w:jc w:val="right"/>
              <w:rPr>
                <w:rFonts w:ascii="Arial Narrow" w:eastAsia="Arial Narrow" w:hAnsi="Arial Narrow" w:cs="Arial Narrow"/>
                <w:color w:val="000000" w:themeColor="text1"/>
                <w:sz w:val="20"/>
                <w:szCs w:val="20"/>
              </w:rPr>
            </w:pPr>
            <w:r w:rsidRPr="005E318D">
              <w:rPr>
                <w:rFonts w:ascii="Arial Narrow" w:eastAsia="Arial Narrow" w:hAnsi="Arial Narrow" w:cs="Arial Narrow"/>
                <w:color w:val="000000" w:themeColor="text1"/>
                <w:sz w:val="20"/>
                <w:szCs w:val="20"/>
              </w:rPr>
              <w:t xml:space="preserve"> </w:t>
            </w:r>
            <w:r>
              <w:rPr>
                <w:rFonts w:ascii="Arial Narrow" w:eastAsia="Arial Narrow" w:hAnsi="Arial Narrow" w:cs="Arial Narrow"/>
                <w:color w:val="000000" w:themeColor="text1"/>
                <w:sz w:val="20"/>
                <w:szCs w:val="20"/>
              </w:rPr>
              <w:t>33,882</w:t>
            </w:r>
            <w:r w:rsidRPr="005E318D">
              <w:rPr>
                <w:rFonts w:ascii="Arial Narrow" w:eastAsia="Arial Narrow" w:hAnsi="Arial Narrow" w:cs="Arial Narrow"/>
                <w:color w:val="000000" w:themeColor="text1"/>
                <w:sz w:val="20"/>
                <w:szCs w:val="20"/>
              </w:rPr>
              <w:t xml:space="preserve"> </w:t>
            </w:r>
          </w:p>
        </w:tc>
        <w:tc>
          <w:tcPr>
            <w:tcW w:w="421" w:type="pct"/>
            <w:tcBorders>
              <w:top w:val="single" w:sz="8" w:space="0" w:color="B3EFFD" w:themeColor="accent3" w:themeTint="33"/>
              <w:bottom w:val="single" w:sz="8" w:space="0" w:color="B3EFFD" w:themeColor="accent3" w:themeTint="33"/>
            </w:tcBorders>
            <w:shd w:val="clear" w:color="auto" w:fill="FFFFFF" w:themeFill="background1"/>
            <w:tcMar>
              <w:top w:w="15" w:type="dxa"/>
              <w:left w:w="15" w:type="dxa"/>
              <w:right w:w="15" w:type="dxa"/>
            </w:tcMar>
          </w:tcPr>
          <w:p w14:paraId="31C41278" w14:textId="688EA3AF" w:rsidR="00C21DF2" w:rsidRPr="004879D0" w:rsidRDefault="00C21DF2" w:rsidP="00C21DF2">
            <w:pPr>
              <w:jc w:val="right"/>
              <w:rPr>
                <w:rFonts w:ascii="Arial Narrow" w:eastAsia="Arial Narrow" w:hAnsi="Arial Narrow" w:cs="Arial Narrow"/>
                <w:color w:val="000000" w:themeColor="text1"/>
                <w:sz w:val="20"/>
                <w:szCs w:val="20"/>
              </w:rPr>
            </w:pPr>
            <w:r w:rsidRPr="005E318D">
              <w:rPr>
                <w:rFonts w:ascii="Arial Narrow" w:eastAsia="Arial Narrow" w:hAnsi="Arial Narrow" w:cs="Arial Narrow"/>
                <w:color w:val="000000" w:themeColor="text1"/>
                <w:sz w:val="20"/>
                <w:szCs w:val="20"/>
              </w:rPr>
              <w:t xml:space="preserve"> 1.00 </w:t>
            </w:r>
          </w:p>
        </w:tc>
        <w:tc>
          <w:tcPr>
            <w:tcW w:w="474" w:type="pct"/>
            <w:tcBorders>
              <w:top w:val="single" w:sz="8" w:space="0" w:color="B3EFFD" w:themeColor="accent3" w:themeTint="33"/>
              <w:bottom w:val="single" w:sz="8" w:space="0" w:color="B3EFFD" w:themeColor="accent3" w:themeTint="33"/>
            </w:tcBorders>
            <w:shd w:val="clear" w:color="auto" w:fill="FFFFFF" w:themeFill="background1"/>
            <w:tcMar>
              <w:top w:w="15" w:type="dxa"/>
              <w:left w:w="15" w:type="dxa"/>
              <w:right w:w="15" w:type="dxa"/>
            </w:tcMar>
          </w:tcPr>
          <w:p w14:paraId="4A054E80" w14:textId="11FCA4EE" w:rsidR="00C21DF2" w:rsidRPr="004879D0" w:rsidRDefault="00C13F22" w:rsidP="00C21DF2">
            <w:pPr>
              <w:jc w:val="right"/>
              <w:rPr>
                <w:rFonts w:ascii="Arial Narrow" w:eastAsia="Arial Narrow" w:hAnsi="Arial Narrow" w:cs="Arial Narrow"/>
                <w:color w:val="000000" w:themeColor="text1"/>
                <w:sz w:val="20"/>
                <w:szCs w:val="20"/>
              </w:rPr>
            </w:pPr>
            <w:r w:rsidRPr="00F325BD">
              <w:rPr>
                <w:rFonts w:ascii="Arial Narrow" w:eastAsia="Arial Narrow" w:hAnsi="Arial Narrow" w:cs="Arial Narrow"/>
                <w:color w:val="000000" w:themeColor="text1"/>
                <w:sz w:val="20"/>
                <w:szCs w:val="20"/>
              </w:rPr>
              <w:t xml:space="preserve">N/A </w:t>
            </w:r>
          </w:p>
        </w:tc>
        <w:tc>
          <w:tcPr>
            <w:tcW w:w="788" w:type="pct"/>
            <w:tcBorders>
              <w:top w:val="single" w:sz="8" w:space="0" w:color="B3EFFD" w:themeColor="accent3" w:themeTint="33"/>
              <w:bottom w:val="single" w:sz="8" w:space="0" w:color="B3EFFD" w:themeColor="accent3" w:themeTint="33"/>
            </w:tcBorders>
            <w:shd w:val="clear" w:color="auto" w:fill="FFFFFF" w:themeFill="background1"/>
            <w:tcMar>
              <w:top w:w="15" w:type="dxa"/>
              <w:left w:w="15" w:type="dxa"/>
              <w:right w:w="15" w:type="dxa"/>
            </w:tcMar>
          </w:tcPr>
          <w:p w14:paraId="48A15439" w14:textId="2650AF3D" w:rsidR="00C21DF2" w:rsidRPr="004879D0" w:rsidRDefault="00C21DF2" w:rsidP="00C21DF2">
            <w:pPr>
              <w:jc w:val="right"/>
              <w:rPr>
                <w:rFonts w:ascii="Arial Narrow" w:eastAsia="Arial Narrow" w:hAnsi="Arial Narrow" w:cs="Arial Narrow"/>
                <w:color w:val="000000" w:themeColor="text1"/>
                <w:sz w:val="20"/>
                <w:szCs w:val="20"/>
              </w:rPr>
            </w:pPr>
            <w:r w:rsidRPr="00C21DF2">
              <w:rPr>
                <w:rFonts w:ascii="Arial Narrow" w:eastAsia="Arial Narrow" w:hAnsi="Arial Narrow" w:cs="Arial Narrow"/>
                <w:color w:val="000000" w:themeColor="text1"/>
                <w:sz w:val="20"/>
                <w:szCs w:val="20"/>
              </w:rPr>
              <w:t xml:space="preserve"> 33,882 </w:t>
            </w:r>
          </w:p>
        </w:tc>
      </w:tr>
      <w:tr w:rsidR="00C21DF2" w:rsidRPr="00C21DF2" w14:paraId="0435EFFB" w14:textId="77777777" w:rsidTr="00975872">
        <w:trPr>
          <w:trHeight w:val="300"/>
        </w:trPr>
        <w:tc>
          <w:tcPr>
            <w:tcW w:w="1169" w:type="pct"/>
            <w:gridSpan w:val="2"/>
            <w:tcBorders>
              <w:top w:val="single" w:sz="8" w:space="0" w:color="B3EFFD" w:themeColor="accent3" w:themeTint="33"/>
              <w:bottom w:val="single" w:sz="8" w:space="0" w:color="B3EFFD" w:themeColor="accent3" w:themeTint="33"/>
            </w:tcBorders>
            <w:shd w:val="clear" w:color="auto" w:fill="FFFFFF" w:themeFill="background1"/>
            <w:tcMar>
              <w:top w:w="15" w:type="dxa"/>
              <w:left w:w="15" w:type="dxa"/>
              <w:right w:w="15" w:type="dxa"/>
            </w:tcMar>
          </w:tcPr>
          <w:p w14:paraId="6DF502F1" w14:textId="1DB09F1E" w:rsidR="00C21DF2" w:rsidRPr="004879D0" w:rsidRDefault="00C21DF2" w:rsidP="00C21DF2">
            <w:pPr>
              <w:rPr>
                <w:rFonts w:ascii="Arial Narrow" w:eastAsia="Arial Narrow" w:hAnsi="Arial Narrow" w:cs="Arial Narrow"/>
                <w:color w:val="000000" w:themeColor="text1"/>
                <w:sz w:val="20"/>
                <w:szCs w:val="20"/>
              </w:rPr>
            </w:pPr>
            <w:r w:rsidRPr="005E318D">
              <w:rPr>
                <w:rFonts w:ascii="Arial Narrow" w:eastAsia="Arial Narrow" w:hAnsi="Arial Narrow" w:cs="Arial Narrow"/>
                <w:color w:val="000000" w:themeColor="text1"/>
                <w:sz w:val="20"/>
                <w:szCs w:val="20"/>
              </w:rPr>
              <w:t>Efficient Ventilation</w:t>
            </w:r>
          </w:p>
        </w:tc>
        <w:tc>
          <w:tcPr>
            <w:tcW w:w="622" w:type="pct"/>
            <w:tcBorders>
              <w:top w:val="single" w:sz="8" w:space="0" w:color="B3EFFD" w:themeColor="accent3" w:themeTint="33"/>
              <w:bottom w:val="single" w:sz="8" w:space="0" w:color="B3EFFD" w:themeColor="accent3" w:themeTint="33"/>
            </w:tcBorders>
            <w:shd w:val="clear" w:color="auto" w:fill="FFFFFF" w:themeFill="background1"/>
            <w:tcMar>
              <w:top w:w="15" w:type="dxa"/>
              <w:left w:w="15" w:type="dxa"/>
              <w:right w:w="15" w:type="dxa"/>
            </w:tcMar>
          </w:tcPr>
          <w:p w14:paraId="6B7EC013" w14:textId="57798BA5" w:rsidR="00C21DF2" w:rsidRPr="004879D0" w:rsidRDefault="00C21DF2" w:rsidP="00C21DF2">
            <w:pPr>
              <w:jc w:val="right"/>
              <w:rPr>
                <w:rFonts w:ascii="Arial Narrow" w:eastAsia="Arial Narrow" w:hAnsi="Arial Narrow" w:cs="Arial Narrow"/>
                <w:color w:val="000000" w:themeColor="text1"/>
                <w:sz w:val="20"/>
                <w:szCs w:val="20"/>
              </w:rPr>
            </w:pPr>
            <w:r w:rsidRPr="005E318D">
              <w:rPr>
                <w:rFonts w:ascii="Arial Narrow" w:eastAsia="Arial Narrow" w:hAnsi="Arial Narrow" w:cs="Arial Narrow"/>
                <w:color w:val="000000" w:themeColor="text1"/>
                <w:sz w:val="20"/>
                <w:szCs w:val="20"/>
              </w:rPr>
              <w:t xml:space="preserve"> 6,601 </w:t>
            </w:r>
          </w:p>
        </w:tc>
        <w:tc>
          <w:tcPr>
            <w:tcW w:w="737" w:type="pct"/>
            <w:tcBorders>
              <w:top w:val="single" w:sz="8" w:space="0" w:color="B3EFFD" w:themeColor="accent3" w:themeTint="33"/>
              <w:bottom w:val="single" w:sz="8" w:space="0" w:color="B3EFFD" w:themeColor="accent3" w:themeTint="33"/>
            </w:tcBorders>
            <w:shd w:val="clear" w:color="auto" w:fill="FFFFFF" w:themeFill="background1"/>
            <w:tcMar>
              <w:top w:w="15" w:type="dxa"/>
              <w:left w:w="15" w:type="dxa"/>
              <w:right w:w="15" w:type="dxa"/>
            </w:tcMar>
          </w:tcPr>
          <w:p w14:paraId="789B81B9" w14:textId="2BBE882C" w:rsidR="00C21DF2" w:rsidRPr="004879D0" w:rsidRDefault="00C21DF2" w:rsidP="00C21DF2">
            <w:pPr>
              <w:jc w:val="right"/>
              <w:rPr>
                <w:rFonts w:ascii="Arial Narrow" w:eastAsia="Arial Narrow" w:hAnsi="Arial Narrow" w:cs="Arial Narrow"/>
                <w:color w:val="000000" w:themeColor="text1"/>
                <w:sz w:val="20"/>
                <w:szCs w:val="20"/>
              </w:rPr>
            </w:pPr>
            <w:r w:rsidRPr="005E318D">
              <w:rPr>
                <w:rFonts w:ascii="Arial Narrow" w:eastAsia="Arial Narrow" w:hAnsi="Arial Narrow" w:cs="Arial Narrow"/>
                <w:color w:val="000000" w:themeColor="text1"/>
                <w:sz w:val="20"/>
                <w:szCs w:val="20"/>
              </w:rPr>
              <w:t>100%</w:t>
            </w:r>
          </w:p>
        </w:tc>
        <w:tc>
          <w:tcPr>
            <w:tcW w:w="789" w:type="pct"/>
            <w:tcBorders>
              <w:top w:val="single" w:sz="8" w:space="0" w:color="B3EFFD" w:themeColor="accent3" w:themeTint="33"/>
              <w:bottom w:val="single" w:sz="8" w:space="0" w:color="B3EFFD" w:themeColor="accent3" w:themeTint="33"/>
            </w:tcBorders>
            <w:shd w:val="clear" w:color="auto" w:fill="FFFFFF" w:themeFill="background1"/>
            <w:tcMar>
              <w:top w:w="15" w:type="dxa"/>
              <w:left w:w="15" w:type="dxa"/>
              <w:right w:w="15" w:type="dxa"/>
            </w:tcMar>
          </w:tcPr>
          <w:p w14:paraId="00CC9AE9" w14:textId="2B6F7D52" w:rsidR="00C21DF2" w:rsidRPr="004879D0" w:rsidRDefault="00C21DF2" w:rsidP="00C21DF2">
            <w:pPr>
              <w:jc w:val="right"/>
              <w:rPr>
                <w:rFonts w:ascii="Arial Narrow" w:eastAsia="Arial Narrow" w:hAnsi="Arial Narrow" w:cs="Arial Narrow"/>
                <w:color w:val="000000" w:themeColor="text1"/>
                <w:sz w:val="20"/>
                <w:szCs w:val="20"/>
              </w:rPr>
            </w:pPr>
            <w:r w:rsidRPr="005E318D">
              <w:rPr>
                <w:rFonts w:ascii="Arial Narrow" w:eastAsia="Arial Narrow" w:hAnsi="Arial Narrow" w:cs="Arial Narrow"/>
                <w:color w:val="000000" w:themeColor="text1"/>
                <w:sz w:val="20"/>
                <w:szCs w:val="20"/>
              </w:rPr>
              <w:t xml:space="preserve"> 6,6</w:t>
            </w:r>
            <w:r>
              <w:rPr>
                <w:rFonts w:ascii="Arial Narrow" w:eastAsia="Arial Narrow" w:hAnsi="Arial Narrow" w:cs="Arial Narrow"/>
                <w:color w:val="000000" w:themeColor="text1"/>
                <w:sz w:val="20"/>
                <w:szCs w:val="20"/>
              </w:rPr>
              <w:t>01</w:t>
            </w:r>
            <w:r w:rsidRPr="005E318D">
              <w:rPr>
                <w:rFonts w:ascii="Arial Narrow" w:eastAsia="Arial Narrow" w:hAnsi="Arial Narrow" w:cs="Arial Narrow"/>
                <w:color w:val="000000" w:themeColor="text1"/>
                <w:sz w:val="20"/>
                <w:szCs w:val="20"/>
              </w:rPr>
              <w:t xml:space="preserve"> </w:t>
            </w:r>
          </w:p>
        </w:tc>
        <w:tc>
          <w:tcPr>
            <w:tcW w:w="421" w:type="pct"/>
            <w:tcBorders>
              <w:top w:val="single" w:sz="8" w:space="0" w:color="B3EFFD" w:themeColor="accent3" w:themeTint="33"/>
              <w:bottom w:val="single" w:sz="8" w:space="0" w:color="B3EFFD" w:themeColor="accent3" w:themeTint="33"/>
            </w:tcBorders>
            <w:shd w:val="clear" w:color="auto" w:fill="FFFFFF" w:themeFill="background1"/>
            <w:tcMar>
              <w:top w:w="15" w:type="dxa"/>
              <w:left w:w="15" w:type="dxa"/>
              <w:right w:w="15" w:type="dxa"/>
            </w:tcMar>
          </w:tcPr>
          <w:p w14:paraId="445F8422" w14:textId="69F7C95D" w:rsidR="00C21DF2" w:rsidRPr="004879D0" w:rsidRDefault="00C21DF2" w:rsidP="00C21DF2">
            <w:pPr>
              <w:jc w:val="right"/>
              <w:rPr>
                <w:rFonts w:ascii="Arial Narrow" w:eastAsia="Arial Narrow" w:hAnsi="Arial Narrow" w:cs="Arial Narrow"/>
                <w:color w:val="000000" w:themeColor="text1"/>
                <w:sz w:val="20"/>
                <w:szCs w:val="20"/>
              </w:rPr>
            </w:pPr>
            <w:r w:rsidRPr="005E318D">
              <w:rPr>
                <w:rFonts w:ascii="Arial Narrow" w:eastAsia="Arial Narrow" w:hAnsi="Arial Narrow" w:cs="Arial Narrow"/>
                <w:color w:val="000000" w:themeColor="text1"/>
                <w:sz w:val="20"/>
                <w:szCs w:val="20"/>
              </w:rPr>
              <w:t xml:space="preserve"> 1.00 </w:t>
            </w:r>
          </w:p>
        </w:tc>
        <w:tc>
          <w:tcPr>
            <w:tcW w:w="474" w:type="pct"/>
            <w:tcBorders>
              <w:top w:val="single" w:sz="8" w:space="0" w:color="B3EFFD" w:themeColor="accent3" w:themeTint="33"/>
              <w:bottom w:val="single" w:sz="8" w:space="0" w:color="B3EFFD" w:themeColor="accent3" w:themeTint="33"/>
            </w:tcBorders>
            <w:shd w:val="clear" w:color="auto" w:fill="FFFFFF" w:themeFill="background1"/>
            <w:tcMar>
              <w:top w:w="15" w:type="dxa"/>
              <w:left w:w="15" w:type="dxa"/>
              <w:right w:w="15" w:type="dxa"/>
            </w:tcMar>
          </w:tcPr>
          <w:p w14:paraId="1F5CDBA1" w14:textId="290D00DB" w:rsidR="00C21DF2" w:rsidRPr="004879D0" w:rsidRDefault="00C13F22" w:rsidP="00C21DF2">
            <w:pPr>
              <w:jc w:val="right"/>
              <w:rPr>
                <w:rFonts w:ascii="Arial Narrow" w:eastAsia="Arial Narrow" w:hAnsi="Arial Narrow" w:cs="Arial Narrow"/>
                <w:color w:val="000000" w:themeColor="text1"/>
                <w:sz w:val="20"/>
                <w:szCs w:val="20"/>
              </w:rPr>
            </w:pPr>
            <w:r w:rsidRPr="00F325BD">
              <w:rPr>
                <w:rFonts w:ascii="Arial Narrow" w:eastAsia="Arial Narrow" w:hAnsi="Arial Narrow" w:cs="Arial Narrow"/>
                <w:color w:val="000000" w:themeColor="text1"/>
                <w:sz w:val="20"/>
                <w:szCs w:val="20"/>
              </w:rPr>
              <w:t xml:space="preserve">N/A </w:t>
            </w:r>
          </w:p>
        </w:tc>
        <w:tc>
          <w:tcPr>
            <w:tcW w:w="788" w:type="pct"/>
            <w:tcBorders>
              <w:top w:val="single" w:sz="8" w:space="0" w:color="B3EFFD" w:themeColor="accent3" w:themeTint="33"/>
              <w:bottom w:val="single" w:sz="8" w:space="0" w:color="B3EFFD" w:themeColor="accent3" w:themeTint="33"/>
            </w:tcBorders>
            <w:shd w:val="clear" w:color="auto" w:fill="FFFFFF" w:themeFill="background1"/>
            <w:tcMar>
              <w:top w:w="15" w:type="dxa"/>
              <w:left w:w="15" w:type="dxa"/>
              <w:right w:w="15" w:type="dxa"/>
            </w:tcMar>
          </w:tcPr>
          <w:p w14:paraId="4862752C" w14:textId="6A7BDF00" w:rsidR="00C21DF2" w:rsidRPr="004879D0" w:rsidRDefault="00C21DF2" w:rsidP="00C21DF2">
            <w:pPr>
              <w:jc w:val="right"/>
              <w:rPr>
                <w:rFonts w:ascii="Arial Narrow" w:eastAsia="Arial Narrow" w:hAnsi="Arial Narrow" w:cs="Arial Narrow"/>
                <w:color w:val="000000" w:themeColor="text1"/>
                <w:sz w:val="20"/>
                <w:szCs w:val="20"/>
              </w:rPr>
            </w:pPr>
            <w:r w:rsidRPr="00C21DF2">
              <w:rPr>
                <w:rFonts w:ascii="Arial Narrow" w:eastAsia="Arial Narrow" w:hAnsi="Arial Narrow" w:cs="Arial Narrow"/>
                <w:color w:val="000000" w:themeColor="text1"/>
                <w:sz w:val="20"/>
                <w:szCs w:val="20"/>
              </w:rPr>
              <w:t xml:space="preserve"> 6,601 </w:t>
            </w:r>
          </w:p>
        </w:tc>
      </w:tr>
      <w:tr w:rsidR="00C21DF2" w:rsidRPr="00C21DF2" w14:paraId="736B66F4" w14:textId="77777777" w:rsidTr="00975872">
        <w:trPr>
          <w:trHeight w:val="300"/>
        </w:trPr>
        <w:tc>
          <w:tcPr>
            <w:tcW w:w="1169" w:type="pct"/>
            <w:gridSpan w:val="2"/>
            <w:tcBorders>
              <w:top w:val="single" w:sz="8" w:space="0" w:color="B3EFFD" w:themeColor="accent3" w:themeTint="33"/>
              <w:bottom w:val="single" w:sz="8" w:space="0" w:color="B3EFFD" w:themeColor="accent3" w:themeTint="33"/>
            </w:tcBorders>
            <w:shd w:val="clear" w:color="auto" w:fill="FFFFFF" w:themeFill="background1"/>
            <w:tcMar>
              <w:top w:w="15" w:type="dxa"/>
              <w:left w:w="15" w:type="dxa"/>
              <w:right w:w="15" w:type="dxa"/>
            </w:tcMar>
          </w:tcPr>
          <w:p w14:paraId="24441F3E" w14:textId="63AC3E14" w:rsidR="00C21DF2" w:rsidRPr="004879D0" w:rsidRDefault="00C21DF2" w:rsidP="00C21DF2">
            <w:pPr>
              <w:rPr>
                <w:rFonts w:ascii="Arial Narrow" w:eastAsia="Arial Narrow" w:hAnsi="Arial Narrow" w:cs="Arial Narrow"/>
                <w:color w:val="000000" w:themeColor="text1"/>
                <w:sz w:val="20"/>
                <w:szCs w:val="20"/>
              </w:rPr>
            </w:pPr>
            <w:r w:rsidRPr="005E318D">
              <w:rPr>
                <w:rFonts w:ascii="Arial Narrow" w:eastAsia="Arial Narrow" w:hAnsi="Arial Narrow" w:cs="Arial Narrow"/>
                <w:color w:val="000000" w:themeColor="text1"/>
                <w:sz w:val="20"/>
                <w:szCs w:val="20"/>
              </w:rPr>
              <w:t>Advanced HVAC Controls</w:t>
            </w:r>
          </w:p>
        </w:tc>
        <w:tc>
          <w:tcPr>
            <w:tcW w:w="622" w:type="pct"/>
            <w:tcBorders>
              <w:top w:val="single" w:sz="8" w:space="0" w:color="B3EFFD" w:themeColor="accent3" w:themeTint="33"/>
              <w:bottom w:val="single" w:sz="8" w:space="0" w:color="B3EFFD" w:themeColor="accent3" w:themeTint="33"/>
            </w:tcBorders>
            <w:shd w:val="clear" w:color="auto" w:fill="FFFFFF" w:themeFill="background1"/>
            <w:tcMar>
              <w:top w:w="15" w:type="dxa"/>
              <w:left w:w="15" w:type="dxa"/>
              <w:right w:w="15" w:type="dxa"/>
            </w:tcMar>
          </w:tcPr>
          <w:p w14:paraId="646F43B2" w14:textId="3C53C234" w:rsidR="00C21DF2" w:rsidRPr="004879D0" w:rsidRDefault="00C21DF2" w:rsidP="00C21DF2">
            <w:pPr>
              <w:jc w:val="right"/>
              <w:rPr>
                <w:rFonts w:ascii="Arial Narrow" w:eastAsia="Arial Narrow" w:hAnsi="Arial Narrow" w:cs="Arial Narrow"/>
                <w:color w:val="000000" w:themeColor="text1"/>
                <w:sz w:val="20"/>
                <w:szCs w:val="20"/>
              </w:rPr>
            </w:pPr>
            <w:r w:rsidRPr="005E318D">
              <w:rPr>
                <w:rFonts w:ascii="Arial Narrow" w:eastAsia="Arial Narrow" w:hAnsi="Arial Narrow" w:cs="Arial Narrow"/>
                <w:color w:val="000000" w:themeColor="text1"/>
                <w:sz w:val="20"/>
                <w:szCs w:val="20"/>
              </w:rPr>
              <w:t xml:space="preserve"> </w:t>
            </w:r>
            <w:r>
              <w:rPr>
                <w:rFonts w:ascii="Arial Narrow" w:eastAsia="Arial Narrow" w:hAnsi="Arial Narrow" w:cs="Arial Narrow"/>
                <w:color w:val="000000" w:themeColor="text1"/>
                <w:sz w:val="20"/>
                <w:szCs w:val="20"/>
              </w:rPr>
              <w:t>5,479</w:t>
            </w:r>
            <w:r w:rsidRPr="005E318D">
              <w:rPr>
                <w:rFonts w:ascii="Arial Narrow" w:eastAsia="Arial Narrow" w:hAnsi="Arial Narrow" w:cs="Arial Narrow"/>
                <w:color w:val="000000" w:themeColor="text1"/>
                <w:sz w:val="20"/>
                <w:szCs w:val="20"/>
              </w:rPr>
              <w:t xml:space="preserve"> </w:t>
            </w:r>
          </w:p>
        </w:tc>
        <w:tc>
          <w:tcPr>
            <w:tcW w:w="737" w:type="pct"/>
            <w:tcBorders>
              <w:top w:val="single" w:sz="8" w:space="0" w:color="B3EFFD" w:themeColor="accent3" w:themeTint="33"/>
              <w:bottom w:val="single" w:sz="8" w:space="0" w:color="B3EFFD" w:themeColor="accent3" w:themeTint="33"/>
            </w:tcBorders>
            <w:shd w:val="clear" w:color="auto" w:fill="FFFFFF" w:themeFill="background1"/>
            <w:tcMar>
              <w:top w:w="15" w:type="dxa"/>
              <w:left w:w="15" w:type="dxa"/>
              <w:right w:w="15" w:type="dxa"/>
            </w:tcMar>
          </w:tcPr>
          <w:p w14:paraId="1B84EA05" w14:textId="54CF258B" w:rsidR="00C21DF2" w:rsidRPr="004879D0" w:rsidRDefault="00C21DF2" w:rsidP="00C21DF2">
            <w:pPr>
              <w:jc w:val="right"/>
              <w:rPr>
                <w:rFonts w:ascii="Arial Narrow" w:eastAsia="Arial Narrow" w:hAnsi="Arial Narrow" w:cs="Arial Narrow"/>
                <w:color w:val="000000" w:themeColor="text1"/>
                <w:sz w:val="20"/>
                <w:szCs w:val="20"/>
              </w:rPr>
            </w:pPr>
            <w:r w:rsidRPr="005E318D">
              <w:rPr>
                <w:rFonts w:ascii="Arial Narrow" w:eastAsia="Arial Narrow" w:hAnsi="Arial Narrow" w:cs="Arial Narrow"/>
                <w:color w:val="000000" w:themeColor="text1"/>
                <w:sz w:val="20"/>
                <w:szCs w:val="20"/>
              </w:rPr>
              <w:t>99%</w:t>
            </w:r>
          </w:p>
        </w:tc>
        <w:tc>
          <w:tcPr>
            <w:tcW w:w="789" w:type="pct"/>
            <w:tcBorders>
              <w:top w:val="single" w:sz="8" w:space="0" w:color="B3EFFD" w:themeColor="accent3" w:themeTint="33"/>
              <w:bottom w:val="single" w:sz="8" w:space="0" w:color="B3EFFD" w:themeColor="accent3" w:themeTint="33"/>
            </w:tcBorders>
            <w:shd w:val="clear" w:color="auto" w:fill="FFFFFF" w:themeFill="background1"/>
            <w:tcMar>
              <w:top w:w="15" w:type="dxa"/>
              <w:left w:w="15" w:type="dxa"/>
              <w:right w:w="15" w:type="dxa"/>
            </w:tcMar>
          </w:tcPr>
          <w:p w14:paraId="551279F0" w14:textId="7CA9487A" w:rsidR="00C21DF2" w:rsidRPr="004879D0" w:rsidRDefault="00C21DF2" w:rsidP="00C21DF2">
            <w:pPr>
              <w:jc w:val="right"/>
              <w:rPr>
                <w:rFonts w:ascii="Arial Narrow" w:eastAsia="Arial Narrow" w:hAnsi="Arial Narrow" w:cs="Arial Narrow"/>
                <w:color w:val="000000" w:themeColor="text1"/>
                <w:sz w:val="20"/>
                <w:szCs w:val="20"/>
              </w:rPr>
            </w:pPr>
            <w:r w:rsidRPr="005E318D">
              <w:rPr>
                <w:rFonts w:ascii="Arial Narrow" w:eastAsia="Arial Narrow" w:hAnsi="Arial Narrow" w:cs="Arial Narrow"/>
                <w:color w:val="000000" w:themeColor="text1"/>
                <w:sz w:val="20"/>
                <w:szCs w:val="20"/>
              </w:rPr>
              <w:t xml:space="preserve"> </w:t>
            </w:r>
            <w:r>
              <w:rPr>
                <w:rFonts w:ascii="Arial Narrow" w:eastAsia="Arial Narrow" w:hAnsi="Arial Narrow" w:cs="Arial Narrow"/>
                <w:color w:val="000000" w:themeColor="text1"/>
                <w:sz w:val="20"/>
                <w:szCs w:val="20"/>
              </w:rPr>
              <w:t>5,421</w:t>
            </w:r>
            <w:r w:rsidRPr="005E318D">
              <w:rPr>
                <w:rFonts w:ascii="Arial Narrow" w:eastAsia="Arial Narrow" w:hAnsi="Arial Narrow" w:cs="Arial Narrow"/>
                <w:color w:val="000000" w:themeColor="text1"/>
                <w:sz w:val="20"/>
                <w:szCs w:val="20"/>
              </w:rPr>
              <w:t xml:space="preserve"> </w:t>
            </w:r>
          </w:p>
        </w:tc>
        <w:tc>
          <w:tcPr>
            <w:tcW w:w="421" w:type="pct"/>
            <w:tcBorders>
              <w:top w:val="single" w:sz="8" w:space="0" w:color="B3EFFD" w:themeColor="accent3" w:themeTint="33"/>
              <w:bottom w:val="single" w:sz="8" w:space="0" w:color="B3EFFD" w:themeColor="accent3" w:themeTint="33"/>
            </w:tcBorders>
            <w:shd w:val="clear" w:color="auto" w:fill="FFFFFF" w:themeFill="background1"/>
            <w:tcMar>
              <w:top w:w="15" w:type="dxa"/>
              <w:left w:w="15" w:type="dxa"/>
              <w:right w:w="15" w:type="dxa"/>
            </w:tcMar>
          </w:tcPr>
          <w:p w14:paraId="40DCC7E6" w14:textId="03692E63" w:rsidR="00C21DF2" w:rsidRPr="004879D0" w:rsidRDefault="00C21DF2" w:rsidP="00C21DF2">
            <w:pPr>
              <w:jc w:val="right"/>
              <w:rPr>
                <w:rFonts w:ascii="Arial Narrow" w:eastAsia="Arial Narrow" w:hAnsi="Arial Narrow" w:cs="Arial Narrow"/>
                <w:color w:val="000000" w:themeColor="text1"/>
                <w:sz w:val="20"/>
                <w:szCs w:val="20"/>
              </w:rPr>
            </w:pPr>
            <w:r w:rsidRPr="005E318D">
              <w:rPr>
                <w:rFonts w:ascii="Arial Narrow" w:eastAsia="Arial Narrow" w:hAnsi="Arial Narrow" w:cs="Arial Narrow"/>
                <w:color w:val="000000" w:themeColor="text1"/>
                <w:sz w:val="20"/>
                <w:szCs w:val="20"/>
              </w:rPr>
              <w:t xml:space="preserve"> 1.00 </w:t>
            </w:r>
          </w:p>
        </w:tc>
        <w:tc>
          <w:tcPr>
            <w:tcW w:w="474" w:type="pct"/>
            <w:tcBorders>
              <w:top w:val="single" w:sz="8" w:space="0" w:color="B3EFFD" w:themeColor="accent3" w:themeTint="33"/>
              <w:bottom w:val="single" w:sz="8" w:space="0" w:color="B3EFFD" w:themeColor="accent3" w:themeTint="33"/>
            </w:tcBorders>
            <w:shd w:val="clear" w:color="auto" w:fill="FFFFFF" w:themeFill="background1"/>
            <w:tcMar>
              <w:top w:w="15" w:type="dxa"/>
              <w:left w:w="15" w:type="dxa"/>
              <w:right w:w="15" w:type="dxa"/>
            </w:tcMar>
          </w:tcPr>
          <w:p w14:paraId="70EDA8FB" w14:textId="1139D40E" w:rsidR="00C21DF2" w:rsidRPr="004879D0" w:rsidRDefault="00C13F22" w:rsidP="00C21DF2">
            <w:pPr>
              <w:jc w:val="right"/>
              <w:rPr>
                <w:rFonts w:ascii="Arial Narrow" w:eastAsia="Arial Narrow" w:hAnsi="Arial Narrow" w:cs="Arial Narrow"/>
                <w:color w:val="000000" w:themeColor="text1"/>
                <w:sz w:val="20"/>
                <w:szCs w:val="20"/>
              </w:rPr>
            </w:pPr>
            <w:r w:rsidRPr="00F325BD">
              <w:rPr>
                <w:rFonts w:ascii="Arial Narrow" w:eastAsia="Arial Narrow" w:hAnsi="Arial Narrow" w:cs="Arial Narrow"/>
                <w:color w:val="000000" w:themeColor="text1"/>
                <w:sz w:val="20"/>
                <w:szCs w:val="20"/>
              </w:rPr>
              <w:t xml:space="preserve">N/A </w:t>
            </w:r>
          </w:p>
        </w:tc>
        <w:tc>
          <w:tcPr>
            <w:tcW w:w="788" w:type="pct"/>
            <w:tcBorders>
              <w:top w:val="single" w:sz="8" w:space="0" w:color="B3EFFD" w:themeColor="accent3" w:themeTint="33"/>
              <w:bottom w:val="single" w:sz="8" w:space="0" w:color="B3EFFD" w:themeColor="accent3" w:themeTint="33"/>
            </w:tcBorders>
            <w:shd w:val="clear" w:color="auto" w:fill="FFFFFF" w:themeFill="background1"/>
            <w:tcMar>
              <w:top w:w="15" w:type="dxa"/>
              <w:left w:w="15" w:type="dxa"/>
              <w:right w:w="15" w:type="dxa"/>
            </w:tcMar>
          </w:tcPr>
          <w:p w14:paraId="68788AA2" w14:textId="4BCCCC4B" w:rsidR="00C21DF2" w:rsidRPr="004879D0" w:rsidRDefault="00C21DF2" w:rsidP="00C21DF2">
            <w:pPr>
              <w:jc w:val="right"/>
              <w:rPr>
                <w:rFonts w:ascii="Arial Narrow" w:eastAsia="Arial Narrow" w:hAnsi="Arial Narrow" w:cs="Arial Narrow"/>
                <w:color w:val="000000" w:themeColor="text1"/>
                <w:sz w:val="20"/>
                <w:szCs w:val="20"/>
              </w:rPr>
            </w:pPr>
            <w:r w:rsidRPr="00C21DF2">
              <w:rPr>
                <w:rFonts w:ascii="Arial Narrow" w:eastAsia="Arial Narrow" w:hAnsi="Arial Narrow" w:cs="Arial Narrow"/>
                <w:color w:val="000000" w:themeColor="text1"/>
                <w:sz w:val="20"/>
                <w:szCs w:val="20"/>
              </w:rPr>
              <w:t xml:space="preserve"> 5,421 </w:t>
            </w:r>
          </w:p>
        </w:tc>
      </w:tr>
      <w:tr w:rsidR="00C21DF2" w:rsidRPr="00C21DF2" w14:paraId="7180471A" w14:textId="77777777" w:rsidTr="00975872">
        <w:trPr>
          <w:trHeight w:val="300"/>
        </w:trPr>
        <w:tc>
          <w:tcPr>
            <w:tcW w:w="1169" w:type="pct"/>
            <w:gridSpan w:val="2"/>
            <w:tcBorders>
              <w:top w:val="single" w:sz="8" w:space="0" w:color="B3EFFD" w:themeColor="accent3" w:themeTint="33"/>
              <w:bottom w:val="single" w:sz="8" w:space="0" w:color="B3EFFD" w:themeColor="accent3" w:themeTint="33"/>
            </w:tcBorders>
            <w:shd w:val="clear" w:color="auto" w:fill="FFFFFF" w:themeFill="background1"/>
            <w:tcMar>
              <w:top w:w="15" w:type="dxa"/>
              <w:left w:w="15" w:type="dxa"/>
              <w:right w:w="15" w:type="dxa"/>
            </w:tcMar>
          </w:tcPr>
          <w:p w14:paraId="7A599360" w14:textId="7A3D11B0" w:rsidR="00C21DF2" w:rsidRPr="004879D0" w:rsidRDefault="00C21DF2" w:rsidP="00C21DF2">
            <w:pPr>
              <w:rPr>
                <w:rFonts w:ascii="Arial Narrow" w:eastAsia="Arial Narrow" w:hAnsi="Arial Narrow" w:cs="Arial Narrow"/>
                <w:color w:val="000000" w:themeColor="text1"/>
                <w:sz w:val="20"/>
                <w:szCs w:val="20"/>
              </w:rPr>
            </w:pPr>
            <w:r w:rsidRPr="005E318D">
              <w:rPr>
                <w:rFonts w:ascii="Arial Narrow" w:eastAsia="Arial Narrow" w:hAnsi="Arial Narrow" w:cs="Arial Narrow"/>
                <w:color w:val="000000" w:themeColor="text1"/>
                <w:sz w:val="20"/>
                <w:szCs w:val="20"/>
              </w:rPr>
              <w:t>High-Performance Water Heating Equipment</w:t>
            </w:r>
          </w:p>
        </w:tc>
        <w:tc>
          <w:tcPr>
            <w:tcW w:w="622" w:type="pct"/>
            <w:tcBorders>
              <w:top w:val="single" w:sz="8" w:space="0" w:color="B3EFFD" w:themeColor="accent3" w:themeTint="33"/>
              <w:bottom w:val="single" w:sz="8" w:space="0" w:color="B3EFFD" w:themeColor="accent3" w:themeTint="33"/>
            </w:tcBorders>
            <w:shd w:val="clear" w:color="auto" w:fill="FFFFFF" w:themeFill="background1"/>
            <w:tcMar>
              <w:top w:w="15" w:type="dxa"/>
              <w:left w:w="15" w:type="dxa"/>
              <w:right w:w="15" w:type="dxa"/>
            </w:tcMar>
          </w:tcPr>
          <w:p w14:paraId="5977CA13" w14:textId="52055710" w:rsidR="00C21DF2" w:rsidRPr="004879D0" w:rsidRDefault="00C21DF2" w:rsidP="00C21DF2">
            <w:pPr>
              <w:jc w:val="right"/>
              <w:rPr>
                <w:rFonts w:ascii="Arial Narrow" w:eastAsia="Arial Narrow" w:hAnsi="Arial Narrow" w:cs="Arial Narrow"/>
                <w:color w:val="000000" w:themeColor="text1"/>
                <w:sz w:val="20"/>
                <w:szCs w:val="20"/>
              </w:rPr>
            </w:pPr>
            <w:r w:rsidRPr="005E318D">
              <w:rPr>
                <w:rFonts w:ascii="Arial Narrow" w:eastAsia="Arial Narrow" w:hAnsi="Arial Narrow" w:cs="Arial Narrow"/>
                <w:color w:val="000000" w:themeColor="text1"/>
                <w:sz w:val="20"/>
                <w:szCs w:val="20"/>
              </w:rPr>
              <w:t xml:space="preserve"> 1</w:t>
            </w:r>
            <w:r>
              <w:rPr>
                <w:rFonts w:ascii="Arial Narrow" w:eastAsia="Arial Narrow" w:hAnsi="Arial Narrow" w:cs="Arial Narrow"/>
                <w:color w:val="000000" w:themeColor="text1"/>
                <w:sz w:val="20"/>
                <w:szCs w:val="20"/>
              </w:rPr>
              <w:t>5,601</w:t>
            </w:r>
            <w:r w:rsidRPr="005E318D">
              <w:rPr>
                <w:rFonts w:ascii="Arial Narrow" w:eastAsia="Arial Narrow" w:hAnsi="Arial Narrow" w:cs="Arial Narrow"/>
                <w:color w:val="000000" w:themeColor="text1"/>
                <w:sz w:val="20"/>
                <w:szCs w:val="20"/>
              </w:rPr>
              <w:t xml:space="preserve"> </w:t>
            </w:r>
          </w:p>
        </w:tc>
        <w:tc>
          <w:tcPr>
            <w:tcW w:w="737" w:type="pct"/>
            <w:tcBorders>
              <w:top w:val="single" w:sz="8" w:space="0" w:color="B3EFFD" w:themeColor="accent3" w:themeTint="33"/>
              <w:bottom w:val="single" w:sz="8" w:space="0" w:color="B3EFFD" w:themeColor="accent3" w:themeTint="33"/>
            </w:tcBorders>
            <w:shd w:val="clear" w:color="auto" w:fill="FFFFFF" w:themeFill="background1"/>
            <w:tcMar>
              <w:top w:w="15" w:type="dxa"/>
              <w:left w:w="15" w:type="dxa"/>
              <w:right w:w="15" w:type="dxa"/>
            </w:tcMar>
          </w:tcPr>
          <w:p w14:paraId="63903303" w14:textId="400F0504" w:rsidR="00C21DF2" w:rsidRPr="004879D0" w:rsidRDefault="00C21DF2" w:rsidP="00C21DF2">
            <w:pPr>
              <w:jc w:val="right"/>
              <w:rPr>
                <w:rFonts w:ascii="Arial Narrow" w:eastAsia="Arial Narrow" w:hAnsi="Arial Narrow" w:cs="Arial Narrow"/>
                <w:color w:val="000000" w:themeColor="text1"/>
                <w:sz w:val="20"/>
                <w:szCs w:val="20"/>
              </w:rPr>
            </w:pPr>
            <w:r w:rsidRPr="005E318D">
              <w:rPr>
                <w:rFonts w:ascii="Arial Narrow" w:eastAsia="Arial Narrow" w:hAnsi="Arial Narrow" w:cs="Arial Narrow"/>
                <w:color w:val="000000" w:themeColor="text1"/>
                <w:sz w:val="20"/>
                <w:szCs w:val="20"/>
              </w:rPr>
              <w:t>1</w:t>
            </w:r>
            <w:r>
              <w:rPr>
                <w:rFonts w:ascii="Arial Narrow" w:eastAsia="Arial Narrow" w:hAnsi="Arial Narrow" w:cs="Arial Narrow"/>
                <w:color w:val="000000" w:themeColor="text1"/>
                <w:sz w:val="20"/>
                <w:szCs w:val="20"/>
              </w:rPr>
              <w:t>17</w:t>
            </w:r>
            <w:r w:rsidRPr="005E318D">
              <w:rPr>
                <w:rFonts w:ascii="Arial Narrow" w:eastAsia="Arial Narrow" w:hAnsi="Arial Narrow" w:cs="Arial Narrow"/>
                <w:color w:val="000000" w:themeColor="text1"/>
                <w:sz w:val="20"/>
                <w:szCs w:val="20"/>
              </w:rPr>
              <w:t>%</w:t>
            </w:r>
          </w:p>
        </w:tc>
        <w:tc>
          <w:tcPr>
            <w:tcW w:w="789" w:type="pct"/>
            <w:tcBorders>
              <w:top w:val="single" w:sz="8" w:space="0" w:color="B3EFFD" w:themeColor="accent3" w:themeTint="33"/>
              <w:bottom w:val="single" w:sz="8" w:space="0" w:color="B3EFFD" w:themeColor="accent3" w:themeTint="33"/>
            </w:tcBorders>
            <w:shd w:val="clear" w:color="auto" w:fill="FFFFFF" w:themeFill="background1"/>
            <w:tcMar>
              <w:top w:w="15" w:type="dxa"/>
              <w:left w:w="15" w:type="dxa"/>
              <w:right w:w="15" w:type="dxa"/>
            </w:tcMar>
          </w:tcPr>
          <w:p w14:paraId="2E01DA73" w14:textId="37BE5334" w:rsidR="00C21DF2" w:rsidRPr="004879D0" w:rsidRDefault="00C21DF2" w:rsidP="00C21DF2">
            <w:pPr>
              <w:jc w:val="right"/>
              <w:rPr>
                <w:rFonts w:ascii="Arial Narrow" w:eastAsia="Arial Narrow" w:hAnsi="Arial Narrow" w:cs="Arial Narrow"/>
                <w:color w:val="000000" w:themeColor="text1"/>
                <w:sz w:val="20"/>
                <w:szCs w:val="20"/>
              </w:rPr>
            </w:pPr>
            <w:r w:rsidRPr="005E318D">
              <w:rPr>
                <w:rFonts w:ascii="Arial Narrow" w:eastAsia="Arial Narrow" w:hAnsi="Arial Narrow" w:cs="Arial Narrow"/>
                <w:color w:val="000000" w:themeColor="text1"/>
                <w:sz w:val="20"/>
                <w:szCs w:val="20"/>
              </w:rPr>
              <w:t xml:space="preserve"> 1</w:t>
            </w:r>
            <w:r>
              <w:rPr>
                <w:rFonts w:ascii="Arial Narrow" w:eastAsia="Arial Narrow" w:hAnsi="Arial Narrow" w:cs="Arial Narrow"/>
                <w:color w:val="000000" w:themeColor="text1"/>
                <w:sz w:val="20"/>
                <w:szCs w:val="20"/>
              </w:rPr>
              <w:t>8,249</w:t>
            </w:r>
            <w:r w:rsidRPr="005E318D">
              <w:rPr>
                <w:rFonts w:ascii="Arial Narrow" w:eastAsia="Arial Narrow" w:hAnsi="Arial Narrow" w:cs="Arial Narrow"/>
                <w:color w:val="000000" w:themeColor="text1"/>
                <w:sz w:val="20"/>
                <w:szCs w:val="20"/>
              </w:rPr>
              <w:t xml:space="preserve"> </w:t>
            </w:r>
          </w:p>
        </w:tc>
        <w:tc>
          <w:tcPr>
            <w:tcW w:w="421" w:type="pct"/>
            <w:tcBorders>
              <w:top w:val="single" w:sz="8" w:space="0" w:color="B3EFFD" w:themeColor="accent3" w:themeTint="33"/>
              <w:bottom w:val="single" w:sz="8" w:space="0" w:color="B3EFFD" w:themeColor="accent3" w:themeTint="33"/>
            </w:tcBorders>
            <w:shd w:val="clear" w:color="auto" w:fill="FFFFFF" w:themeFill="background1"/>
            <w:tcMar>
              <w:top w:w="15" w:type="dxa"/>
              <w:left w:w="15" w:type="dxa"/>
              <w:right w:w="15" w:type="dxa"/>
            </w:tcMar>
          </w:tcPr>
          <w:p w14:paraId="182637E2" w14:textId="2C518EBE" w:rsidR="00C21DF2" w:rsidRPr="004879D0" w:rsidRDefault="00C21DF2" w:rsidP="00C21DF2">
            <w:pPr>
              <w:jc w:val="right"/>
              <w:rPr>
                <w:rFonts w:ascii="Arial Narrow" w:eastAsia="Arial Narrow" w:hAnsi="Arial Narrow" w:cs="Arial Narrow"/>
                <w:color w:val="000000" w:themeColor="text1"/>
                <w:sz w:val="20"/>
                <w:szCs w:val="20"/>
              </w:rPr>
            </w:pPr>
            <w:r w:rsidRPr="005E318D">
              <w:rPr>
                <w:rFonts w:ascii="Arial Narrow" w:eastAsia="Arial Narrow" w:hAnsi="Arial Narrow" w:cs="Arial Narrow"/>
                <w:color w:val="000000" w:themeColor="text1"/>
                <w:sz w:val="20"/>
                <w:szCs w:val="20"/>
              </w:rPr>
              <w:t xml:space="preserve"> 1.00 </w:t>
            </w:r>
          </w:p>
        </w:tc>
        <w:tc>
          <w:tcPr>
            <w:tcW w:w="474" w:type="pct"/>
            <w:tcBorders>
              <w:top w:val="single" w:sz="8" w:space="0" w:color="B3EFFD" w:themeColor="accent3" w:themeTint="33"/>
              <w:bottom w:val="single" w:sz="8" w:space="0" w:color="B3EFFD" w:themeColor="accent3" w:themeTint="33"/>
            </w:tcBorders>
            <w:shd w:val="clear" w:color="auto" w:fill="FFFFFF" w:themeFill="background1"/>
            <w:tcMar>
              <w:top w:w="15" w:type="dxa"/>
              <w:left w:w="15" w:type="dxa"/>
              <w:right w:w="15" w:type="dxa"/>
            </w:tcMar>
          </w:tcPr>
          <w:p w14:paraId="0D3AA53B" w14:textId="0839D905" w:rsidR="00C21DF2" w:rsidRPr="004879D0" w:rsidRDefault="00C13F22" w:rsidP="00C21DF2">
            <w:pPr>
              <w:jc w:val="right"/>
              <w:rPr>
                <w:rFonts w:ascii="Arial Narrow" w:eastAsia="Arial Narrow" w:hAnsi="Arial Narrow" w:cs="Arial Narrow"/>
                <w:color w:val="000000" w:themeColor="text1"/>
                <w:sz w:val="20"/>
                <w:szCs w:val="20"/>
              </w:rPr>
            </w:pPr>
            <w:r w:rsidRPr="00F325BD">
              <w:rPr>
                <w:rFonts w:ascii="Arial Narrow" w:eastAsia="Arial Narrow" w:hAnsi="Arial Narrow" w:cs="Arial Narrow"/>
                <w:color w:val="000000" w:themeColor="text1"/>
                <w:sz w:val="20"/>
                <w:szCs w:val="20"/>
              </w:rPr>
              <w:t xml:space="preserve">N/A </w:t>
            </w:r>
          </w:p>
        </w:tc>
        <w:tc>
          <w:tcPr>
            <w:tcW w:w="788" w:type="pct"/>
            <w:tcBorders>
              <w:top w:val="single" w:sz="8" w:space="0" w:color="B3EFFD" w:themeColor="accent3" w:themeTint="33"/>
              <w:bottom w:val="single" w:sz="8" w:space="0" w:color="B3EFFD" w:themeColor="accent3" w:themeTint="33"/>
            </w:tcBorders>
            <w:shd w:val="clear" w:color="auto" w:fill="FFFFFF" w:themeFill="background1"/>
            <w:tcMar>
              <w:top w:w="15" w:type="dxa"/>
              <w:left w:w="15" w:type="dxa"/>
              <w:right w:w="15" w:type="dxa"/>
            </w:tcMar>
          </w:tcPr>
          <w:p w14:paraId="1DE190E4" w14:textId="73434666" w:rsidR="00C21DF2" w:rsidRPr="004879D0" w:rsidRDefault="00C21DF2" w:rsidP="00C21DF2">
            <w:pPr>
              <w:jc w:val="right"/>
              <w:rPr>
                <w:rFonts w:ascii="Arial Narrow" w:eastAsia="Arial Narrow" w:hAnsi="Arial Narrow" w:cs="Arial Narrow"/>
                <w:color w:val="000000" w:themeColor="text1"/>
                <w:sz w:val="20"/>
                <w:szCs w:val="20"/>
              </w:rPr>
            </w:pPr>
            <w:r w:rsidRPr="00C21DF2">
              <w:rPr>
                <w:rFonts w:ascii="Arial Narrow" w:eastAsia="Arial Narrow" w:hAnsi="Arial Narrow" w:cs="Arial Narrow"/>
                <w:color w:val="000000" w:themeColor="text1"/>
                <w:sz w:val="20"/>
                <w:szCs w:val="20"/>
              </w:rPr>
              <w:t xml:space="preserve"> 18,249 </w:t>
            </w:r>
          </w:p>
        </w:tc>
      </w:tr>
      <w:tr w:rsidR="00C21DF2" w:rsidRPr="00C21DF2" w14:paraId="67DC1357" w14:textId="77777777" w:rsidTr="00975872">
        <w:trPr>
          <w:trHeight w:val="300"/>
        </w:trPr>
        <w:tc>
          <w:tcPr>
            <w:tcW w:w="1169" w:type="pct"/>
            <w:gridSpan w:val="2"/>
            <w:tcBorders>
              <w:top w:val="single" w:sz="8" w:space="0" w:color="B3EFFD" w:themeColor="accent3" w:themeTint="33"/>
              <w:bottom w:val="single" w:sz="8" w:space="0" w:color="B3EFFD" w:themeColor="accent3" w:themeTint="33"/>
            </w:tcBorders>
            <w:shd w:val="clear" w:color="auto" w:fill="FFFFFF" w:themeFill="background1"/>
            <w:tcMar>
              <w:top w:w="15" w:type="dxa"/>
              <w:left w:w="15" w:type="dxa"/>
              <w:right w:w="15" w:type="dxa"/>
            </w:tcMar>
          </w:tcPr>
          <w:p w14:paraId="50506774" w14:textId="5BEDEFEE" w:rsidR="00C21DF2" w:rsidRDefault="00C21DF2" w:rsidP="00C21DF2">
            <w:pPr>
              <w:rPr>
                <w:rFonts w:ascii="Arial Narrow" w:eastAsia="Arial Narrow" w:hAnsi="Arial Narrow" w:cs="Arial Narrow"/>
                <w:color w:val="000000" w:themeColor="text1"/>
                <w:sz w:val="20"/>
                <w:szCs w:val="20"/>
              </w:rPr>
            </w:pPr>
            <w:r w:rsidRPr="005E318D">
              <w:rPr>
                <w:rFonts w:ascii="Arial Narrow" w:eastAsia="Arial Narrow" w:hAnsi="Arial Narrow" w:cs="Arial Narrow"/>
                <w:color w:val="000000" w:themeColor="text1"/>
                <w:sz w:val="20"/>
                <w:szCs w:val="20"/>
              </w:rPr>
              <w:t>Hot Water Conservation</w:t>
            </w:r>
          </w:p>
        </w:tc>
        <w:tc>
          <w:tcPr>
            <w:tcW w:w="622" w:type="pct"/>
            <w:tcBorders>
              <w:top w:val="single" w:sz="8" w:space="0" w:color="B3EFFD" w:themeColor="accent3" w:themeTint="33"/>
              <w:bottom w:val="single" w:sz="8" w:space="0" w:color="B3EFFD" w:themeColor="accent3" w:themeTint="33"/>
            </w:tcBorders>
            <w:shd w:val="clear" w:color="auto" w:fill="FFFFFF" w:themeFill="background1"/>
            <w:tcMar>
              <w:top w:w="15" w:type="dxa"/>
              <w:left w:w="15" w:type="dxa"/>
              <w:right w:w="15" w:type="dxa"/>
            </w:tcMar>
          </w:tcPr>
          <w:p w14:paraId="379DAD0D" w14:textId="65344FC4" w:rsidR="00C21DF2" w:rsidRDefault="00C21DF2" w:rsidP="00C21DF2">
            <w:pPr>
              <w:jc w:val="right"/>
              <w:rPr>
                <w:rFonts w:ascii="Arial Narrow" w:eastAsia="Arial Narrow" w:hAnsi="Arial Narrow" w:cs="Arial Narrow"/>
                <w:color w:val="000000" w:themeColor="text1"/>
                <w:sz w:val="20"/>
                <w:szCs w:val="20"/>
              </w:rPr>
            </w:pPr>
            <w:r w:rsidRPr="005E318D">
              <w:rPr>
                <w:rFonts w:ascii="Arial Narrow" w:eastAsia="Arial Narrow" w:hAnsi="Arial Narrow" w:cs="Arial Narrow"/>
                <w:color w:val="000000" w:themeColor="text1"/>
                <w:sz w:val="20"/>
                <w:szCs w:val="20"/>
              </w:rPr>
              <w:t xml:space="preserve"> </w:t>
            </w:r>
            <w:r>
              <w:rPr>
                <w:rFonts w:ascii="Arial Narrow" w:eastAsia="Arial Narrow" w:hAnsi="Arial Narrow" w:cs="Arial Narrow"/>
                <w:color w:val="000000" w:themeColor="text1"/>
                <w:sz w:val="20"/>
                <w:szCs w:val="20"/>
              </w:rPr>
              <w:t>8,110</w:t>
            </w:r>
            <w:r w:rsidRPr="005E318D">
              <w:rPr>
                <w:rFonts w:ascii="Arial Narrow" w:eastAsia="Arial Narrow" w:hAnsi="Arial Narrow" w:cs="Arial Narrow"/>
                <w:color w:val="000000" w:themeColor="text1"/>
                <w:sz w:val="20"/>
                <w:szCs w:val="20"/>
              </w:rPr>
              <w:t xml:space="preserve"> </w:t>
            </w:r>
          </w:p>
        </w:tc>
        <w:tc>
          <w:tcPr>
            <w:tcW w:w="737" w:type="pct"/>
            <w:tcBorders>
              <w:top w:val="single" w:sz="8" w:space="0" w:color="B3EFFD" w:themeColor="accent3" w:themeTint="33"/>
              <w:bottom w:val="single" w:sz="8" w:space="0" w:color="B3EFFD" w:themeColor="accent3" w:themeTint="33"/>
            </w:tcBorders>
            <w:shd w:val="clear" w:color="auto" w:fill="FFFFFF" w:themeFill="background1"/>
            <w:tcMar>
              <w:top w:w="15" w:type="dxa"/>
              <w:left w:w="15" w:type="dxa"/>
              <w:right w:w="15" w:type="dxa"/>
            </w:tcMar>
          </w:tcPr>
          <w:p w14:paraId="37049262" w14:textId="032FEA08" w:rsidR="00C21DF2" w:rsidRDefault="00C21DF2" w:rsidP="00C21DF2">
            <w:pPr>
              <w:jc w:val="right"/>
              <w:rPr>
                <w:rFonts w:ascii="Arial Narrow" w:eastAsia="Arial Narrow" w:hAnsi="Arial Narrow" w:cs="Arial Narrow"/>
                <w:color w:val="000000" w:themeColor="text1"/>
                <w:sz w:val="20"/>
                <w:szCs w:val="20"/>
              </w:rPr>
            </w:pPr>
            <w:r w:rsidRPr="005E318D">
              <w:rPr>
                <w:rFonts w:ascii="Arial Narrow" w:eastAsia="Arial Narrow" w:hAnsi="Arial Narrow" w:cs="Arial Narrow"/>
                <w:color w:val="000000" w:themeColor="text1"/>
                <w:sz w:val="20"/>
                <w:szCs w:val="20"/>
              </w:rPr>
              <w:t>9</w:t>
            </w:r>
            <w:r>
              <w:rPr>
                <w:rFonts w:ascii="Arial Narrow" w:eastAsia="Arial Narrow" w:hAnsi="Arial Narrow" w:cs="Arial Narrow"/>
                <w:color w:val="000000" w:themeColor="text1"/>
                <w:sz w:val="20"/>
                <w:szCs w:val="20"/>
              </w:rPr>
              <w:t>6</w:t>
            </w:r>
            <w:r w:rsidRPr="005E318D">
              <w:rPr>
                <w:rFonts w:ascii="Arial Narrow" w:eastAsia="Arial Narrow" w:hAnsi="Arial Narrow" w:cs="Arial Narrow"/>
                <w:color w:val="000000" w:themeColor="text1"/>
                <w:sz w:val="20"/>
                <w:szCs w:val="20"/>
              </w:rPr>
              <w:t>%</w:t>
            </w:r>
          </w:p>
        </w:tc>
        <w:tc>
          <w:tcPr>
            <w:tcW w:w="789" w:type="pct"/>
            <w:tcBorders>
              <w:top w:val="single" w:sz="8" w:space="0" w:color="B3EFFD" w:themeColor="accent3" w:themeTint="33"/>
              <w:bottom w:val="single" w:sz="8" w:space="0" w:color="B3EFFD" w:themeColor="accent3" w:themeTint="33"/>
            </w:tcBorders>
            <w:shd w:val="clear" w:color="auto" w:fill="FFFFFF" w:themeFill="background1"/>
            <w:tcMar>
              <w:top w:w="15" w:type="dxa"/>
              <w:left w:w="15" w:type="dxa"/>
              <w:right w:w="15" w:type="dxa"/>
            </w:tcMar>
          </w:tcPr>
          <w:p w14:paraId="45707817" w14:textId="560CF013" w:rsidR="00C21DF2" w:rsidRDefault="00C21DF2" w:rsidP="00C21DF2">
            <w:pPr>
              <w:jc w:val="right"/>
              <w:rPr>
                <w:rFonts w:ascii="Arial Narrow" w:eastAsia="Arial Narrow" w:hAnsi="Arial Narrow" w:cs="Arial Narrow"/>
                <w:color w:val="000000" w:themeColor="text1"/>
                <w:sz w:val="20"/>
                <w:szCs w:val="20"/>
              </w:rPr>
            </w:pPr>
            <w:r w:rsidRPr="005E318D">
              <w:rPr>
                <w:rFonts w:ascii="Arial Narrow" w:eastAsia="Arial Narrow" w:hAnsi="Arial Narrow" w:cs="Arial Narrow"/>
                <w:color w:val="000000" w:themeColor="text1"/>
                <w:sz w:val="20"/>
                <w:szCs w:val="20"/>
              </w:rPr>
              <w:t xml:space="preserve"> </w:t>
            </w:r>
            <w:r>
              <w:rPr>
                <w:rFonts w:ascii="Arial Narrow" w:eastAsia="Arial Narrow" w:hAnsi="Arial Narrow" w:cs="Arial Narrow"/>
                <w:color w:val="000000" w:themeColor="text1"/>
                <w:sz w:val="20"/>
                <w:szCs w:val="20"/>
              </w:rPr>
              <w:t>7,766</w:t>
            </w:r>
            <w:r w:rsidRPr="005E318D">
              <w:rPr>
                <w:rFonts w:ascii="Arial Narrow" w:eastAsia="Arial Narrow" w:hAnsi="Arial Narrow" w:cs="Arial Narrow"/>
                <w:color w:val="000000" w:themeColor="text1"/>
                <w:sz w:val="20"/>
                <w:szCs w:val="20"/>
              </w:rPr>
              <w:t xml:space="preserve"> </w:t>
            </w:r>
          </w:p>
        </w:tc>
        <w:tc>
          <w:tcPr>
            <w:tcW w:w="421" w:type="pct"/>
            <w:tcBorders>
              <w:top w:val="single" w:sz="8" w:space="0" w:color="B3EFFD" w:themeColor="accent3" w:themeTint="33"/>
              <w:bottom w:val="single" w:sz="8" w:space="0" w:color="B3EFFD" w:themeColor="accent3" w:themeTint="33"/>
            </w:tcBorders>
            <w:shd w:val="clear" w:color="auto" w:fill="FFFFFF" w:themeFill="background1"/>
            <w:tcMar>
              <w:top w:w="15" w:type="dxa"/>
              <w:left w:w="15" w:type="dxa"/>
              <w:right w:w="15" w:type="dxa"/>
            </w:tcMar>
          </w:tcPr>
          <w:p w14:paraId="06BBF6EE" w14:textId="5CAA8CBF" w:rsidR="00C21DF2" w:rsidRDefault="00C21DF2" w:rsidP="00C21DF2">
            <w:pPr>
              <w:jc w:val="right"/>
              <w:rPr>
                <w:rFonts w:ascii="Arial Narrow" w:eastAsia="Arial Narrow" w:hAnsi="Arial Narrow" w:cs="Arial Narrow"/>
                <w:color w:val="000000" w:themeColor="text1"/>
                <w:sz w:val="20"/>
                <w:szCs w:val="20"/>
              </w:rPr>
            </w:pPr>
            <w:r w:rsidRPr="005E318D">
              <w:rPr>
                <w:rFonts w:ascii="Arial Narrow" w:eastAsia="Arial Narrow" w:hAnsi="Arial Narrow" w:cs="Arial Narrow"/>
                <w:color w:val="000000" w:themeColor="text1"/>
                <w:sz w:val="20"/>
                <w:szCs w:val="20"/>
              </w:rPr>
              <w:t xml:space="preserve"> 1.00 </w:t>
            </w:r>
          </w:p>
        </w:tc>
        <w:tc>
          <w:tcPr>
            <w:tcW w:w="474" w:type="pct"/>
            <w:tcBorders>
              <w:top w:val="single" w:sz="8" w:space="0" w:color="B3EFFD" w:themeColor="accent3" w:themeTint="33"/>
              <w:bottom w:val="single" w:sz="8" w:space="0" w:color="B3EFFD" w:themeColor="accent3" w:themeTint="33"/>
            </w:tcBorders>
            <w:shd w:val="clear" w:color="auto" w:fill="FFFFFF" w:themeFill="background1"/>
            <w:tcMar>
              <w:top w:w="15" w:type="dxa"/>
              <w:left w:w="15" w:type="dxa"/>
              <w:right w:w="15" w:type="dxa"/>
            </w:tcMar>
          </w:tcPr>
          <w:p w14:paraId="73FCC380" w14:textId="7F45BB92" w:rsidR="00C21DF2" w:rsidRPr="1B6EEEC9" w:rsidRDefault="00C13F22" w:rsidP="00C21DF2">
            <w:pPr>
              <w:jc w:val="right"/>
              <w:rPr>
                <w:rFonts w:ascii="Arial Narrow" w:eastAsia="Arial Narrow" w:hAnsi="Arial Narrow" w:cs="Arial Narrow"/>
                <w:color w:val="000000" w:themeColor="text1"/>
                <w:sz w:val="20"/>
                <w:szCs w:val="20"/>
              </w:rPr>
            </w:pPr>
            <w:r w:rsidRPr="00F325BD">
              <w:rPr>
                <w:rFonts w:ascii="Arial Narrow" w:eastAsia="Arial Narrow" w:hAnsi="Arial Narrow" w:cs="Arial Narrow"/>
                <w:color w:val="000000" w:themeColor="text1"/>
                <w:sz w:val="20"/>
                <w:szCs w:val="20"/>
              </w:rPr>
              <w:t xml:space="preserve">N/A </w:t>
            </w:r>
          </w:p>
        </w:tc>
        <w:tc>
          <w:tcPr>
            <w:tcW w:w="788" w:type="pct"/>
            <w:tcBorders>
              <w:top w:val="single" w:sz="8" w:space="0" w:color="B3EFFD" w:themeColor="accent3" w:themeTint="33"/>
              <w:bottom w:val="single" w:sz="8" w:space="0" w:color="B3EFFD" w:themeColor="accent3" w:themeTint="33"/>
            </w:tcBorders>
            <w:shd w:val="clear" w:color="auto" w:fill="FFFFFF" w:themeFill="background1"/>
            <w:tcMar>
              <w:top w:w="15" w:type="dxa"/>
              <w:left w:w="15" w:type="dxa"/>
              <w:right w:w="15" w:type="dxa"/>
            </w:tcMar>
          </w:tcPr>
          <w:p w14:paraId="42E50ACC" w14:textId="0AD8BA8E" w:rsidR="00C21DF2" w:rsidRDefault="00C21DF2" w:rsidP="00C21DF2">
            <w:pPr>
              <w:jc w:val="right"/>
              <w:rPr>
                <w:rFonts w:ascii="Arial Narrow" w:eastAsia="Arial Narrow" w:hAnsi="Arial Narrow" w:cs="Arial Narrow"/>
                <w:color w:val="000000" w:themeColor="text1"/>
                <w:sz w:val="20"/>
                <w:szCs w:val="20"/>
              </w:rPr>
            </w:pPr>
            <w:r w:rsidRPr="00C21DF2">
              <w:rPr>
                <w:rFonts w:ascii="Arial Narrow" w:eastAsia="Arial Narrow" w:hAnsi="Arial Narrow" w:cs="Arial Narrow"/>
                <w:color w:val="000000" w:themeColor="text1"/>
                <w:sz w:val="20"/>
                <w:szCs w:val="20"/>
              </w:rPr>
              <w:t xml:space="preserve"> 7,766 </w:t>
            </w:r>
          </w:p>
        </w:tc>
      </w:tr>
      <w:tr w:rsidR="00C21DF2" w:rsidRPr="00C21DF2" w14:paraId="7D0C7295" w14:textId="77777777" w:rsidTr="00975872">
        <w:trPr>
          <w:trHeight w:val="300"/>
        </w:trPr>
        <w:tc>
          <w:tcPr>
            <w:tcW w:w="1169" w:type="pct"/>
            <w:gridSpan w:val="2"/>
            <w:tcBorders>
              <w:top w:val="single" w:sz="8" w:space="0" w:color="B3EFFD" w:themeColor="accent3" w:themeTint="33"/>
              <w:bottom w:val="single" w:sz="8" w:space="0" w:color="B3EFFD" w:themeColor="accent3" w:themeTint="33"/>
            </w:tcBorders>
            <w:shd w:val="clear" w:color="auto" w:fill="FFFFFF" w:themeFill="background1"/>
            <w:tcMar>
              <w:top w:w="15" w:type="dxa"/>
              <w:left w:w="15" w:type="dxa"/>
              <w:right w:w="15" w:type="dxa"/>
            </w:tcMar>
          </w:tcPr>
          <w:p w14:paraId="6134AD33" w14:textId="471C4607" w:rsidR="00C21DF2" w:rsidRPr="004879D0" w:rsidRDefault="00C21DF2" w:rsidP="00C21DF2">
            <w:pPr>
              <w:rPr>
                <w:rFonts w:ascii="Arial Narrow" w:eastAsia="Arial Narrow" w:hAnsi="Arial Narrow" w:cs="Arial Narrow"/>
                <w:color w:val="000000" w:themeColor="text1"/>
                <w:sz w:val="20"/>
                <w:szCs w:val="20"/>
              </w:rPr>
            </w:pPr>
            <w:r w:rsidRPr="005E318D">
              <w:rPr>
                <w:rFonts w:ascii="Arial Narrow" w:eastAsia="Arial Narrow" w:hAnsi="Arial Narrow" w:cs="Arial Narrow"/>
                <w:color w:val="000000" w:themeColor="text1"/>
                <w:sz w:val="20"/>
                <w:szCs w:val="20"/>
              </w:rPr>
              <w:t>Efficient Appliances</w:t>
            </w:r>
          </w:p>
        </w:tc>
        <w:tc>
          <w:tcPr>
            <w:tcW w:w="622" w:type="pct"/>
            <w:tcBorders>
              <w:top w:val="single" w:sz="8" w:space="0" w:color="B3EFFD" w:themeColor="accent3" w:themeTint="33"/>
              <w:bottom w:val="single" w:sz="8" w:space="0" w:color="B3EFFD" w:themeColor="accent3" w:themeTint="33"/>
            </w:tcBorders>
            <w:shd w:val="clear" w:color="auto" w:fill="FFFFFF" w:themeFill="background1"/>
            <w:tcMar>
              <w:top w:w="15" w:type="dxa"/>
              <w:left w:w="15" w:type="dxa"/>
              <w:right w:w="15" w:type="dxa"/>
            </w:tcMar>
          </w:tcPr>
          <w:p w14:paraId="3CE56800" w14:textId="39582898" w:rsidR="00C21DF2" w:rsidRPr="004879D0" w:rsidRDefault="00C21DF2" w:rsidP="00C21DF2">
            <w:pPr>
              <w:jc w:val="right"/>
              <w:rPr>
                <w:rFonts w:ascii="Arial Narrow" w:eastAsia="Arial Narrow" w:hAnsi="Arial Narrow" w:cs="Arial Narrow"/>
                <w:color w:val="000000" w:themeColor="text1"/>
                <w:sz w:val="20"/>
                <w:szCs w:val="20"/>
              </w:rPr>
            </w:pPr>
            <w:r w:rsidRPr="005E318D">
              <w:rPr>
                <w:rFonts w:ascii="Arial Narrow" w:eastAsia="Arial Narrow" w:hAnsi="Arial Narrow" w:cs="Arial Narrow"/>
                <w:color w:val="000000" w:themeColor="text1"/>
                <w:sz w:val="20"/>
                <w:szCs w:val="20"/>
              </w:rPr>
              <w:t xml:space="preserve"> </w:t>
            </w:r>
            <w:r>
              <w:rPr>
                <w:rFonts w:ascii="Arial Narrow" w:eastAsia="Arial Narrow" w:hAnsi="Arial Narrow" w:cs="Arial Narrow"/>
                <w:color w:val="000000" w:themeColor="text1"/>
                <w:sz w:val="20"/>
                <w:szCs w:val="20"/>
              </w:rPr>
              <w:t>1,325</w:t>
            </w:r>
            <w:r w:rsidRPr="005E318D">
              <w:rPr>
                <w:rFonts w:ascii="Arial Narrow" w:eastAsia="Arial Narrow" w:hAnsi="Arial Narrow" w:cs="Arial Narrow"/>
                <w:color w:val="000000" w:themeColor="text1"/>
                <w:sz w:val="20"/>
                <w:szCs w:val="20"/>
              </w:rPr>
              <w:t xml:space="preserve"> </w:t>
            </w:r>
          </w:p>
        </w:tc>
        <w:tc>
          <w:tcPr>
            <w:tcW w:w="737" w:type="pct"/>
            <w:tcBorders>
              <w:top w:val="single" w:sz="8" w:space="0" w:color="B3EFFD" w:themeColor="accent3" w:themeTint="33"/>
              <w:bottom w:val="single" w:sz="8" w:space="0" w:color="B3EFFD" w:themeColor="accent3" w:themeTint="33"/>
            </w:tcBorders>
            <w:shd w:val="clear" w:color="auto" w:fill="FFFFFF" w:themeFill="background1"/>
            <w:tcMar>
              <w:top w:w="15" w:type="dxa"/>
              <w:left w:w="15" w:type="dxa"/>
              <w:right w:w="15" w:type="dxa"/>
            </w:tcMar>
          </w:tcPr>
          <w:p w14:paraId="47D3A61C" w14:textId="48DE75E0" w:rsidR="00C21DF2" w:rsidRPr="004879D0" w:rsidRDefault="00C21DF2" w:rsidP="00C21DF2">
            <w:pPr>
              <w:jc w:val="right"/>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52</w:t>
            </w:r>
            <w:r w:rsidRPr="005E318D">
              <w:rPr>
                <w:rFonts w:ascii="Arial Narrow" w:eastAsia="Arial Narrow" w:hAnsi="Arial Narrow" w:cs="Arial Narrow"/>
                <w:color w:val="000000" w:themeColor="text1"/>
                <w:sz w:val="20"/>
                <w:szCs w:val="20"/>
              </w:rPr>
              <w:t>%</w:t>
            </w:r>
          </w:p>
        </w:tc>
        <w:tc>
          <w:tcPr>
            <w:tcW w:w="789" w:type="pct"/>
            <w:tcBorders>
              <w:top w:val="single" w:sz="8" w:space="0" w:color="B3EFFD" w:themeColor="accent3" w:themeTint="33"/>
              <w:bottom w:val="single" w:sz="8" w:space="0" w:color="B3EFFD" w:themeColor="accent3" w:themeTint="33"/>
            </w:tcBorders>
            <w:shd w:val="clear" w:color="auto" w:fill="FFFFFF" w:themeFill="background1"/>
            <w:tcMar>
              <w:top w:w="15" w:type="dxa"/>
              <w:left w:w="15" w:type="dxa"/>
              <w:right w:w="15" w:type="dxa"/>
            </w:tcMar>
          </w:tcPr>
          <w:p w14:paraId="1D985F68" w14:textId="760F2072" w:rsidR="00C21DF2" w:rsidRPr="004879D0" w:rsidRDefault="00C21DF2" w:rsidP="00C21DF2">
            <w:pPr>
              <w:jc w:val="right"/>
              <w:rPr>
                <w:rFonts w:ascii="Arial Narrow" w:eastAsia="Arial Narrow" w:hAnsi="Arial Narrow" w:cs="Arial Narrow"/>
                <w:color w:val="000000" w:themeColor="text1"/>
                <w:sz w:val="20"/>
                <w:szCs w:val="20"/>
              </w:rPr>
            </w:pPr>
            <w:r w:rsidRPr="005E318D">
              <w:rPr>
                <w:rFonts w:ascii="Arial Narrow" w:eastAsia="Arial Narrow" w:hAnsi="Arial Narrow" w:cs="Arial Narrow"/>
                <w:color w:val="000000" w:themeColor="text1"/>
                <w:sz w:val="20"/>
                <w:szCs w:val="20"/>
              </w:rPr>
              <w:t xml:space="preserve"> </w:t>
            </w:r>
            <w:r>
              <w:rPr>
                <w:rFonts w:ascii="Arial Narrow" w:eastAsia="Arial Narrow" w:hAnsi="Arial Narrow" w:cs="Arial Narrow"/>
                <w:color w:val="000000" w:themeColor="text1"/>
                <w:sz w:val="20"/>
                <w:szCs w:val="20"/>
              </w:rPr>
              <w:t>691</w:t>
            </w:r>
            <w:r w:rsidRPr="005E318D">
              <w:rPr>
                <w:rFonts w:ascii="Arial Narrow" w:eastAsia="Arial Narrow" w:hAnsi="Arial Narrow" w:cs="Arial Narrow"/>
                <w:color w:val="000000" w:themeColor="text1"/>
                <w:sz w:val="20"/>
                <w:szCs w:val="20"/>
              </w:rPr>
              <w:t xml:space="preserve"> </w:t>
            </w:r>
          </w:p>
        </w:tc>
        <w:tc>
          <w:tcPr>
            <w:tcW w:w="421" w:type="pct"/>
            <w:tcBorders>
              <w:top w:val="single" w:sz="8" w:space="0" w:color="B3EFFD" w:themeColor="accent3" w:themeTint="33"/>
              <w:bottom w:val="single" w:sz="8" w:space="0" w:color="B3EFFD" w:themeColor="accent3" w:themeTint="33"/>
            </w:tcBorders>
            <w:shd w:val="clear" w:color="auto" w:fill="FFFFFF" w:themeFill="background1"/>
            <w:tcMar>
              <w:top w:w="15" w:type="dxa"/>
              <w:left w:w="15" w:type="dxa"/>
              <w:right w:w="15" w:type="dxa"/>
            </w:tcMar>
          </w:tcPr>
          <w:p w14:paraId="7990ED72" w14:textId="687673BD" w:rsidR="00C21DF2" w:rsidRPr="004879D0" w:rsidRDefault="00C21DF2" w:rsidP="00C21DF2">
            <w:pPr>
              <w:jc w:val="right"/>
              <w:rPr>
                <w:rFonts w:ascii="Arial Narrow" w:eastAsia="Arial Narrow" w:hAnsi="Arial Narrow" w:cs="Arial Narrow"/>
                <w:color w:val="000000" w:themeColor="text1"/>
                <w:sz w:val="20"/>
                <w:szCs w:val="20"/>
              </w:rPr>
            </w:pPr>
            <w:r w:rsidRPr="005E318D">
              <w:rPr>
                <w:rFonts w:ascii="Arial Narrow" w:eastAsia="Arial Narrow" w:hAnsi="Arial Narrow" w:cs="Arial Narrow"/>
                <w:color w:val="000000" w:themeColor="text1"/>
                <w:sz w:val="20"/>
                <w:szCs w:val="20"/>
              </w:rPr>
              <w:t xml:space="preserve"> 1.00 </w:t>
            </w:r>
          </w:p>
        </w:tc>
        <w:tc>
          <w:tcPr>
            <w:tcW w:w="474" w:type="pct"/>
            <w:tcBorders>
              <w:top w:val="single" w:sz="8" w:space="0" w:color="B3EFFD" w:themeColor="accent3" w:themeTint="33"/>
              <w:bottom w:val="single" w:sz="8" w:space="0" w:color="B3EFFD" w:themeColor="accent3" w:themeTint="33"/>
            </w:tcBorders>
            <w:shd w:val="clear" w:color="auto" w:fill="FFFFFF" w:themeFill="background1"/>
            <w:tcMar>
              <w:top w:w="15" w:type="dxa"/>
              <w:left w:w="15" w:type="dxa"/>
              <w:right w:w="15" w:type="dxa"/>
            </w:tcMar>
          </w:tcPr>
          <w:p w14:paraId="47F2385B" w14:textId="1121F5D8" w:rsidR="00C21DF2" w:rsidRPr="004879D0" w:rsidRDefault="00C13F22" w:rsidP="00C21DF2">
            <w:pPr>
              <w:jc w:val="right"/>
              <w:rPr>
                <w:rFonts w:ascii="Arial Narrow" w:eastAsia="Arial Narrow" w:hAnsi="Arial Narrow" w:cs="Arial Narrow"/>
                <w:color w:val="000000" w:themeColor="text1"/>
                <w:sz w:val="20"/>
                <w:szCs w:val="20"/>
              </w:rPr>
            </w:pPr>
            <w:r w:rsidRPr="00F325BD">
              <w:rPr>
                <w:rFonts w:ascii="Arial Narrow" w:eastAsia="Arial Narrow" w:hAnsi="Arial Narrow" w:cs="Arial Narrow"/>
                <w:color w:val="000000" w:themeColor="text1"/>
                <w:sz w:val="20"/>
                <w:szCs w:val="20"/>
              </w:rPr>
              <w:t xml:space="preserve">N/A </w:t>
            </w:r>
          </w:p>
        </w:tc>
        <w:tc>
          <w:tcPr>
            <w:tcW w:w="788" w:type="pct"/>
            <w:tcBorders>
              <w:top w:val="single" w:sz="8" w:space="0" w:color="B3EFFD" w:themeColor="accent3" w:themeTint="33"/>
              <w:bottom w:val="single" w:sz="8" w:space="0" w:color="B3EFFD" w:themeColor="accent3" w:themeTint="33"/>
            </w:tcBorders>
            <w:shd w:val="clear" w:color="auto" w:fill="FFFFFF" w:themeFill="background1"/>
            <w:tcMar>
              <w:top w:w="15" w:type="dxa"/>
              <w:left w:w="15" w:type="dxa"/>
              <w:right w:w="15" w:type="dxa"/>
            </w:tcMar>
          </w:tcPr>
          <w:p w14:paraId="3268E456" w14:textId="4F13DA3D" w:rsidR="00C21DF2" w:rsidRPr="004879D0" w:rsidRDefault="00C21DF2" w:rsidP="00C21DF2">
            <w:pPr>
              <w:jc w:val="right"/>
              <w:rPr>
                <w:rFonts w:ascii="Arial Narrow" w:eastAsia="Arial Narrow" w:hAnsi="Arial Narrow" w:cs="Arial Narrow"/>
                <w:color w:val="000000" w:themeColor="text1"/>
                <w:sz w:val="20"/>
                <w:szCs w:val="20"/>
              </w:rPr>
            </w:pPr>
            <w:r w:rsidRPr="00C21DF2">
              <w:rPr>
                <w:rFonts w:ascii="Arial Narrow" w:eastAsia="Arial Narrow" w:hAnsi="Arial Narrow" w:cs="Arial Narrow"/>
                <w:color w:val="000000" w:themeColor="text1"/>
                <w:sz w:val="20"/>
                <w:szCs w:val="20"/>
              </w:rPr>
              <w:t xml:space="preserve"> 691 </w:t>
            </w:r>
          </w:p>
        </w:tc>
      </w:tr>
      <w:tr w:rsidR="00C21DF2" w:rsidRPr="00C21DF2" w14:paraId="680C2311" w14:textId="77777777" w:rsidTr="00975872">
        <w:trPr>
          <w:trHeight w:val="300"/>
        </w:trPr>
        <w:tc>
          <w:tcPr>
            <w:tcW w:w="1158" w:type="pct"/>
            <w:tcBorders>
              <w:top w:val="single" w:sz="8" w:space="0" w:color="B3EFFD" w:themeColor="accent3" w:themeTint="33"/>
              <w:bottom w:val="single" w:sz="8" w:space="0" w:color="036479" w:themeColor="accent3"/>
            </w:tcBorders>
            <w:tcMar>
              <w:top w:w="15" w:type="dxa"/>
              <w:left w:w="15" w:type="dxa"/>
              <w:right w:w="15" w:type="dxa"/>
            </w:tcMar>
          </w:tcPr>
          <w:p w14:paraId="6194B8EF" w14:textId="77777777" w:rsidR="00C21DF2" w:rsidRPr="005E318D" w:rsidRDefault="00C21DF2" w:rsidP="00C21DF2">
            <w:pPr>
              <w:rPr>
                <w:rFonts w:ascii="Arial Narrow" w:eastAsia="Arial Narrow" w:hAnsi="Arial Narrow" w:cs="Arial Narrow"/>
                <w:b/>
                <w:bCs/>
                <w:color w:val="000000" w:themeColor="text1"/>
                <w:sz w:val="20"/>
                <w:szCs w:val="20"/>
              </w:rPr>
            </w:pPr>
            <w:r w:rsidRPr="005E318D">
              <w:rPr>
                <w:rFonts w:ascii="Arial Narrow" w:eastAsia="Arial Narrow" w:hAnsi="Arial Narrow" w:cs="Arial Narrow"/>
                <w:b/>
                <w:bCs/>
                <w:color w:val="000000" w:themeColor="text1"/>
                <w:sz w:val="20"/>
                <w:szCs w:val="20"/>
              </w:rPr>
              <w:t>Total or Weighted Average</w:t>
            </w:r>
          </w:p>
        </w:tc>
        <w:tc>
          <w:tcPr>
            <w:tcW w:w="633" w:type="pct"/>
            <w:gridSpan w:val="2"/>
            <w:tcBorders>
              <w:top w:val="single" w:sz="8" w:space="0" w:color="B3EFFD" w:themeColor="accent3" w:themeTint="33"/>
              <w:bottom w:val="single" w:sz="8" w:space="0" w:color="036479" w:themeColor="accent3"/>
            </w:tcBorders>
            <w:tcMar>
              <w:top w:w="15" w:type="dxa"/>
              <w:left w:w="15" w:type="dxa"/>
              <w:right w:w="15" w:type="dxa"/>
            </w:tcMar>
          </w:tcPr>
          <w:p w14:paraId="21879DF0" w14:textId="2A25B359" w:rsidR="00C21DF2" w:rsidRPr="005E318D" w:rsidRDefault="00C21DF2" w:rsidP="00C21DF2">
            <w:pPr>
              <w:jc w:val="right"/>
              <w:rPr>
                <w:rFonts w:ascii="Arial Narrow" w:eastAsia="Arial Narrow" w:hAnsi="Arial Narrow" w:cs="Arial Narrow"/>
                <w:b/>
                <w:bCs/>
                <w:color w:val="000000" w:themeColor="text1"/>
                <w:sz w:val="20"/>
                <w:szCs w:val="20"/>
              </w:rPr>
            </w:pPr>
            <w:r>
              <w:rPr>
                <w:rFonts w:ascii="Arial Narrow" w:eastAsia="Arial Narrow" w:hAnsi="Arial Narrow" w:cs="Arial Narrow"/>
                <w:b/>
                <w:bCs/>
                <w:color w:val="000000" w:themeColor="text1"/>
                <w:sz w:val="20"/>
                <w:szCs w:val="20"/>
              </w:rPr>
              <w:t>80,144</w:t>
            </w:r>
          </w:p>
        </w:tc>
        <w:tc>
          <w:tcPr>
            <w:tcW w:w="737" w:type="pct"/>
            <w:tcBorders>
              <w:top w:val="single" w:sz="8" w:space="0" w:color="B3EFFD" w:themeColor="accent3" w:themeTint="33"/>
              <w:bottom w:val="single" w:sz="8" w:space="0" w:color="036479" w:themeColor="accent3"/>
            </w:tcBorders>
          </w:tcPr>
          <w:p w14:paraId="6AC2D65A" w14:textId="017E8973" w:rsidR="00C21DF2" w:rsidRPr="005E318D" w:rsidRDefault="00C21DF2" w:rsidP="00C21DF2">
            <w:pPr>
              <w:jc w:val="right"/>
              <w:rPr>
                <w:rFonts w:ascii="Arial Narrow" w:eastAsia="Arial Narrow" w:hAnsi="Arial Narrow" w:cs="Arial Narrow"/>
                <w:b/>
                <w:bCs/>
                <w:color w:val="000000" w:themeColor="text1"/>
                <w:sz w:val="20"/>
                <w:szCs w:val="20"/>
              </w:rPr>
            </w:pPr>
            <w:r w:rsidRPr="005E318D">
              <w:rPr>
                <w:rFonts w:ascii="Arial Narrow" w:eastAsia="Arial Narrow" w:hAnsi="Arial Narrow" w:cs="Arial Narrow"/>
                <w:b/>
                <w:bCs/>
                <w:color w:val="000000" w:themeColor="text1"/>
                <w:sz w:val="20"/>
                <w:szCs w:val="20"/>
              </w:rPr>
              <w:t>10</w:t>
            </w:r>
            <w:r>
              <w:rPr>
                <w:rFonts w:ascii="Arial Narrow" w:eastAsia="Arial Narrow" w:hAnsi="Arial Narrow" w:cs="Arial Narrow"/>
                <w:b/>
                <w:bCs/>
                <w:color w:val="000000" w:themeColor="text1"/>
                <w:sz w:val="20"/>
                <w:szCs w:val="20"/>
              </w:rPr>
              <w:t>2</w:t>
            </w:r>
            <w:r w:rsidRPr="005E318D">
              <w:rPr>
                <w:rFonts w:ascii="Arial Narrow" w:eastAsia="Arial Narrow" w:hAnsi="Arial Narrow" w:cs="Arial Narrow"/>
                <w:b/>
                <w:bCs/>
                <w:color w:val="000000" w:themeColor="text1"/>
                <w:sz w:val="20"/>
                <w:szCs w:val="20"/>
              </w:rPr>
              <w:t>%</w:t>
            </w:r>
          </w:p>
        </w:tc>
        <w:tc>
          <w:tcPr>
            <w:tcW w:w="789" w:type="pct"/>
            <w:tcBorders>
              <w:top w:val="single" w:sz="8" w:space="0" w:color="B3EFFD" w:themeColor="accent3" w:themeTint="33"/>
              <w:bottom w:val="single" w:sz="8" w:space="0" w:color="036479" w:themeColor="accent3"/>
            </w:tcBorders>
            <w:tcMar>
              <w:top w:w="15" w:type="dxa"/>
              <w:left w:w="15" w:type="dxa"/>
              <w:right w:w="15" w:type="dxa"/>
            </w:tcMar>
          </w:tcPr>
          <w:p w14:paraId="4FA6368D" w14:textId="33FD4E2B" w:rsidR="00C21DF2" w:rsidRPr="005E318D" w:rsidRDefault="00C21DF2" w:rsidP="00C21DF2">
            <w:pPr>
              <w:jc w:val="right"/>
              <w:rPr>
                <w:rFonts w:ascii="Arial Narrow" w:eastAsia="Arial Narrow" w:hAnsi="Arial Narrow" w:cs="Arial Narrow"/>
                <w:b/>
                <w:bCs/>
                <w:color w:val="000000" w:themeColor="text1"/>
                <w:sz w:val="20"/>
                <w:szCs w:val="20"/>
              </w:rPr>
            </w:pPr>
            <w:r>
              <w:rPr>
                <w:rFonts w:ascii="Arial Narrow" w:eastAsia="Arial Narrow" w:hAnsi="Arial Narrow" w:cs="Arial Narrow"/>
                <w:b/>
                <w:bCs/>
                <w:color w:val="000000" w:themeColor="text1"/>
                <w:sz w:val="20"/>
                <w:szCs w:val="20"/>
              </w:rPr>
              <w:t>81,712</w:t>
            </w:r>
          </w:p>
        </w:tc>
        <w:tc>
          <w:tcPr>
            <w:tcW w:w="421" w:type="pct"/>
            <w:tcBorders>
              <w:top w:val="single" w:sz="8" w:space="0" w:color="B3EFFD" w:themeColor="accent3" w:themeTint="33"/>
              <w:bottom w:val="single" w:sz="8" w:space="0" w:color="036479" w:themeColor="accent3"/>
            </w:tcBorders>
            <w:tcMar>
              <w:top w:w="15" w:type="dxa"/>
              <w:left w:w="15" w:type="dxa"/>
              <w:right w:w="15" w:type="dxa"/>
            </w:tcMar>
          </w:tcPr>
          <w:p w14:paraId="3687A2BA" w14:textId="77777777" w:rsidR="00C21DF2" w:rsidRPr="005E318D" w:rsidRDefault="00C21DF2" w:rsidP="00C21DF2">
            <w:pPr>
              <w:jc w:val="right"/>
              <w:rPr>
                <w:rFonts w:ascii="Arial Narrow" w:eastAsia="Arial Narrow" w:hAnsi="Arial Narrow" w:cs="Arial Narrow"/>
                <w:b/>
                <w:bCs/>
                <w:color w:val="000000" w:themeColor="text1"/>
                <w:sz w:val="20"/>
                <w:szCs w:val="20"/>
              </w:rPr>
            </w:pPr>
            <w:r w:rsidRPr="005E318D">
              <w:rPr>
                <w:rFonts w:ascii="Arial Narrow" w:eastAsia="Arial Narrow" w:hAnsi="Arial Narrow" w:cs="Arial Narrow"/>
                <w:b/>
                <w:bCs/>
                <w:color w:val="000000" w:themeColor="text1"/>
                <w:sz w:val="20"/>
                <w:szCs w:val="20"/>
              </w:rPr>
              <w:t>1.00</w:t>
            </w:r>
          </w:p>
        </w:tc>
        <w:tc>
          <w:tcPr>
            <w:tcW w:w="474" w:type="pct"/>
            <w:tcBorders>
              <w:top w:val="single" w:sz="8" w:space="0" w:color="B3EFFD" w:themeColor="accent3" w:themeTint="33"/>
              <w:bottom w:val="single" w:sz="8" w:space="0" w:color="036479" w:themeColor="accent3"/>
            </w:tcBorders>
            <w:tcMar>
              <w:top w:w="15" w:type="dxa"/>
              <w:left w:w="15" w:type="dxa"/>
              <w:right w:w="15" w:type="dxa"/>
            </w:tcMar>
          </w:tcPr>
          <w:p w14:paraId="0C7A9BCE" w14:textId="7C4FF7B2" w:rsidR="00C21DF2" w:rsidRPr="005E318D" w:rsidRDefault="00C13F22" w:rsidP="00C21DF2">
            <w:pPr>
              <w:jc w:val="right"/>
              <w:rPr>
                <w:rFonts w:ascii="Arial Narrow" w:eastAsia="Arial Narrow" w:hAnsi="Arial Narrow" w:cs="Arial Narrow"/>
                <w:b/>
                <w:bCs/>
                <w:color w:val="000000" w:themeColor="text1"/>
                <w:sz w:val="20"/>
                <w:szCs w:val="20"/>
              </w:rPr>
            </w:pPr>
            <w:r w:rsidRPr="00C13F22">
              <w:rPr>
                <w:rFonts w:ascii="Arial Narrow" w:eastAsia="Arial Narrow" w:hAnsi="Arial Narrow" w:cs="Arial Narrow"/>
                <w:b/>
                <w:bCs/>
                <w:color w:val="000000" w:themeColor="text1"/>
                <w:sz w:val="20"/>
                <w:szCs w:val="20"/>
              </w:rPr>
              <w:t xml:space="preserve">N/A </w:t>
            </w:r>
          </w:p>
        </w:tc>
        <w:tc>
          <w:tcPr>
            <w:tcW w:w="788" w:type="pct"/>
            <w:tcBorders>
              <w:top w:val="single" w:sz="8" w:space="0" w:color="B3EFFD" w:themeColor="accent3" w:themeTint="33"/>
              <w:bottom w:val="single" w:sz="8" w:space="0" w:color="036479" w:themeColor="accent3"/>
            </w:tcBorders>
            <w:tcMar>
              <w:top w:w="15" w:type="dxa"/>
              <w:left w:w="15" w:type="dxa"/>
              <w:right w:w="15" w:type="dxa"/>
            </w:tcMar>
          </w:tcPr>
          <w:p w14:paraId="56B7E655" w14:textId="1D375FCA" w:rsidR="00C21DF2" w:rsidRPr="00C21DF2" w:rsidRDefault="00C21DF2" w:rsidP="00C21DF2">
            <w:pPr>
              <w:jc w:val="right"/>
              <w:rPr>
                <w:rFonts w:ascii="Arial Narrow" w:eastAsia="Arial Narrow" w:hAnsi="Arial Narrow" w:cs="Arial Narrow"/>
                <w:b/>
                <w:bCs/>
                <w:color w:val="000000" w:themeColor="text1"/>
                <w:sz w:val="20"/>
                <w:szCs w:val="20"/>
              </w:rPr>
            </w:pPr>
            <w:r w:rsidRPr="00C21DF2">
              <w:rPr>
                <w:rFonts w:ascii="Arial Narrow" w:eastAsia="Arial Narrow" w:hAnsi="Arial Narrow" w:cs="Arial Narrow"/>
                <w:b/>
                <w:bCs/>
                <w:color w:val="000000" w:themeColor="text1"/>
                <w:sz w:val="20"/>
                <w:szCs w:val="20"/>
              </w:rPr>
              <w:t>81,712</w:t>
            </w:r>
          </w:p>
        </w:tc>
      </w:tr>
    </w:tbl>
    <w:p w14:paraId="79813FDB" w14:textId="77777777" w:rsidR="00D96F1B" w:rsidRDefault="00D96F1B" w:rsidP="008C4BF0">
      <w:pPr>
        <w:pStyle w:val="GraphFootnote"/>
        <w:keepLines/>
        <w:spacing w:before="0" w:after="0"/>
      </w:pPr>
      <w:r>
        <w:lastRenderedPageBreak/>
        <w:t>* Realization Rate (RR) is the ratio of verified gross savings to ex ante gross savings, based on evaluation research findings.</w:t>
      </w:r>
    </w:p>
    <w:p w14:paraId="6E7BA0E7" w14:textId="4E90989B" w:rsidR="00D96F1B" w:rsidRDefault="00D96F1B" w:rsidP="008C4BF0">
      <w:pPr>
        <w:spacing w:before="0" w:after="0"/>
        <w:rPr>
          <w:rFonts w:ascii="Arial Narrow" w:hAnsi="Arial Narrow"/>
          <w:sz w:val="18"/>
          <w:szCs w:val="18"/>
        </w:rPr>
      </w:pPr>
      <w:r w:rsidRPr="1B6EEEC9">
        <w:rPr>
          <w:rFonts w:ascii="Arial Narrow" w:hAnsi="Arial Narrow"/>
          <w:sz w:val="18"/>
          <w:szCs w:val="18"/>
        </w:rPr>
        <w:t xml:space="preserve">† NTG, Net to Gross is the deemed value available on the SAG website: </w:t>
      </w:r>
      <w:hyperlink r:id="rId18" w:history="1">
        <w:r w:rsidRPr="00450681">
          <w:rPr>
            <w:rStyle w:val="Hyperlink"/>
            <w:rFonts w:ascii="Arial Narrow" w:hAnsi="Arial Narrow"/>
            <w:sz w:val="18"/>
            <w:szCs w:val="18"/>
          </w:rPr>
          <w:t>https://www.ilsag.info/evaluator-ntg-recommendations-for-2024/</w:t>
        </w:r>
      </w:hyperlink>
      <w:r w:rsidRPr="1B6EEEC9">
        <w:rPr>
          <w:rFonts w:ascii="Arial Narrow" w:hAnsi="Arial Narrow"/>
          <w:sz w:val="18"/>
          <w:szCs w:val="18"/>
        </w:rPr>
        <w:t xml:space="preserve">. </w:t>
      </w:r>
    </w:p>
    <w:p w14:paraId="17D8B0F0" w14:textId="4FF10217" w:rsidR="00D96F1B" w:rsidRDefault="00D96F1B" w:rsidP="008C4BF0">
      <w:pPr>
        <w:spacing w:before="0" w:after="0"/>
        <w:rPr>
          <w:rFonts w:ascii="Arial Narrow" w:hAnsi="Arial Narrow"/>
          <w:sz w:val="18"/>
          <w:szCs w:val="18"/>
        </w:rPr>
      </w:pPr>
      <w:r w:rsidRPr="1B6EEEC9">
        <w:rPr>
          <w:rFonts w:ascii="Arial Narrow" w:hAnsi="Arial Narrow"/>
          <w:sz w:val="18"/>
          <w:szCs w:val="18"/>
        </w:rPr>
        <w:t xml:space="preserve">‡ The market rate </w:t>
      </w:r>
      <w:r w:rsidR="00975872">
        <w:rPr>
          <w:rFonts w:ascii="Arial Narrow" w:hAnsi="Arial Narrow"/>
          <w:sz w:val="18"/>
          <w:szCs w:val="18"/>
        </w:rPr>
        <w:t xml:space="preserve">residential </w:t>
      </w:r>
      <w:r w:rsidRPr="1B6EEEC9">
        <w:rPr>
          <w:rFonts w:ascii="Arial Narrow" w:hAnsi="Arial Narrow"/>
          <w:sz w:val="18"/>
          <w:szCs w:val="18"/>
        </w:rPr>
        <w:t xml:space="preserve">non-participant spillover (NPSO) factor of 1.048 </w:t>
      </w:r>
      <w:r w:rsidR="00546D21">
        <w:rPr>
          <w:rFonts w:ascii="Arial Narrow" w:hAnsi="Arial Narrow"/>
          <w:sz w:val="18"/>
          <w:szCs w:val="18"/>
        </w:rPr>
        <w:t xml:space="preserve">do </w:t>
      </w:r>
      <w:r w:rsidRPr="1B6EEEC9">
        <w:rPr>
          <w:rFonts w:ascii="Arial Narrow" w:hAnsi="Arial Narrow"/>
          <w:sz w:val="18"/>
          <w:szCs w:val="18"/>
        </w:rPr>
        <w:t xml:space="preserve">not </w:t>
      </w:r>
      <w:r w:rsidR="00546D21">
        <w:rPr>
          <w:rFonts w:ascii="Arial Narrow" w:hAnsi="Arial Narrow"/>
          <w:sz w:val="18"/>
          <w:szCs w:val="18"/>
        </w:rPr>
        <w:t>apply</w:t>
      </w:r>
      <w:r w:rsidRPr="1B6EEEC9">
        <w:rPr>
          <w:rFonts w:ascii="Arial Narrow" w:hAnsi="Arial Narrow"/>
          <w:sz w:val="18"/>
          <w:szCs w:val="18"/>
        </w:rPr>
        <w:t xml:space="preserve"> to </w:t>
      </w:r>
      <w:r w:rsidR="00546D21">
        <w:rPr>
          <w:rFonts w:ascii="Arial Narrow" w:hAnsi="Arial Narrow"/>
          <w:sz w:val="18"/>
          <w:szCs w:val="18"/>
        </w:rPr>
        <w:t>this program</w:t>
      </w:r>
      <w:r w:rsidRPr="1B6EEEC9">
        <w:rPr>
          <w:rFonts w:ascii="Arial Narrow" w:hAnsi="Arial Narrow"/>
          <w:sz w:val="18"/>
          <w:szCs w:val="18"/>
        </w:rPr>
        <w:t>.</w:t>
      </w:r>
    </w:p>
    <w:p w14:paraId="6F0893C4" w14:textId="7F3F109D" w:rsidR="00D96F1B" w:rsidRDefault="00D96F1B" w:rsidP="008C4BF0">
      <w:pPr>
        <w:spacing w:before="0" w:after="0"/>
        <w:rPr>
          <w:rFonts w:ascii="Arial Narrow" w:hAnsi="Arial Narrow"/>
          <w:sz w:val="18"/>
          <w:szCs w:val="18"/>
        </w:rPr>
      </w:pPr>
      <w:r w:rsidRPr="00E52E6E">
        <w:rPr>
          <w:rFonts w:ascii="Arial Narrow" w:hAnsi="Arial Narrow"/>
          <w:sz w:val="18"/>
          <w:szCs w:val="18"/>
        </w:rPr>
        <w:t>§</w:t>
      </w:r>
      <w:r>
        <w:rPr>
          <w:rFonts w:ascii="Arial Narrow" w:hAnsi="Arial Narrow"/>
          <w:sz w:val="18"/>
          <w:szCs w:val="18"/>
        </w:rPr>
        <w:t>Ex ante gross savings value is from implementer project files. Nicor Gas tracking system data for project AH0108 differed from implementer projects files and was 13,33</w:t>
      </w:r>
      <w:r w:rsidR="00A45091">
        <w:rPr>
          <w:rFonts w:ascii="Arial Narrow" w:hAnsi="Arial Narrow"/>
          <w:sz w:val="18"/>
          <w:szCs w:val="18"/>
        </w:rPr>
        <w:t>0</w:t>
      </w:r>
      <w:r>
        <w:rPr>
          <w:rFonts w:ascii="Arial Narrow" w:hAnsi="Arial Narrow"/>
          <w:sz w:val="18"/>
          <w:szCs w:val="18"/>
        </w:rPr>
        <w:t xml:space="preserve"> therms. This resulted in a total program savings of 80,275 therms. </w:t>
      </w:r>
    </w:p>
    <w:p w14:paraId="544AECCC" w14:textId="23083E7B" w:rsidR="37564677" w:rsidRDefault="00D96F1B" w:rsidP="00546D21">
      <w:pPr>
        <w:pStyle w:val="Source"/>
        <w:spacing w:before="0"/>
      </w:pPr>
      <w:r>
        <w:t>Source: Evaluation team analysis.</w:t>
      </w:r>
    </w:p>
    <w:p w14:paraId="34023639" w14:textId="77777777" w:rsidR="00546D21" w:rsidRDefault="00546D21" w:rsidP="00546D21">
      <w:pPr>
        <w:pStyle w:val="Source"/>
        <w:spacing w:before="0"/>
      </w:pPr>
    </w:p>
    <w:p w14:paraId="2D33C468" w14:textId="77777777" w:rsidR="00F20206" w:rsidRPr="00141312" w:rsidRDefault="00F20206" w:rsidP="00141312">
      <w:pPr>
        <w:pStyle w:val="Heading10"/>
        <w:numPr>
          <w:ilvl w:val="0"/>
          <w:numId w:val="0"/>
        </w:numPr>
        <w:ind w:left="360" w:hanging="360"/>
        <w:rPr>
          <w:sz w:val="40"/>
          <w:szCs w:val="40"/>
        </w:rPr>
      </w:pPr>
      <w:bookmarkStart w:id="32" w:name="_Toc398546640"/>
      <w:bookmarkStart w:id="33" w:name="_Toc423009489"/>
      <w:bookmarkStart w:id="34" w:name="_Toc459627231"/>
      <w:bookmarkStart w:id="35" w:name="_Toc61360800"/>
      <w:bookmarkStart w:id="36" w:name="_Toc189833647"/>
      <w:bookmarkEnd w:id="31"/>
      <w:r w:rsidRPr="00141312">
        <w:rPr>
          <w:sz w:val="40"/>
          <w:szCs w:val="40"/>
        </w:rPr>
        <w:t>Impact Analysis Findings and Recommendations</w:t>
      </w:r>
      <w:bookmarkEnd w:id="32"/>
      <w:bookmarkEnd w:id="33"/>
      <w:bookmarkEnd w:id="34"/>
      <w:bookmarkEnd w:id="35"/>
      <w:bookmarkEnd w:id="36"/>
    </w:p>
    <w:p w14:paraId="03C03105" w14:textId="77777777" w:rsidR="00F20206" w:rsidRPr="00162769" w:rsidRDefault="00F20206" w:rsidP="00975872">
      <w:pPr>
        <w:pStyle w:val="Heading2"/>
        <w:numPr>
          <w:ilvl w:val="0"/>
          <w:numId w:val="0"/>
        </w:numPr>
        <w:ind w:left="720" w:hanging="720"/>
      </w:pPr>
      <w:bookmarkStart w:id="37" w:name="_Toc501649913"/>
      <w:bookmarkStart w:id="38" w:name="_Toc61360801"/>
      <w:bookmarkStart w:id="39" w:name="_Toc189833648"/>
      <w:r w:rsidRPr="00162769">
        <w:t>Impact Parameter Estimates</w:t>
      </w:r>
      <w:bookmarkEnd w:id="37"/>
      <w:bookmarkEnd w:id="38"/>
      <w:bookmarkEnd w:id="39"/>
    </w:p>
    <w:bookmarkStart w:id="40" w:name="_Toc381633053"/>
    <w:p w14:paraId="489C4F5E" w14:textId="3FE3F208" w:rsidR="00F20206" w:rsidRDefault="005E318D" w:rsidP="00F20206">
      <w:pPr>
        <w:keepNext/>
        <w:keepLines/>
      </w:pPr>
      <w:r>
        <w:fldChar w:fldCharType="begin"/>
      </w:r>
      <w:r>
        <w:instrText xml:space="preserve"> REF _Ref503449693 \h </w:instrText>
      </w:r>
      <w:r>
        <w:fldChar w:fldCharType="separate"/>
      </w:r>
      <w:r>
        <w:t xml:space="preserve">Table </w:t>
      </w:r>
      <w:r>
        <w:rPr>
          <w:noProof/>
        </w:rPr>
        <w:t>5</w:t>
      </w:r>
      <w:r>
        <w:fldChar w:fldCharType="end"/>
      </w:r>
      <w:r>
        <w:t xml:space="preserve"> shows the data sources used for each measure type</w:t>
      </w:r>
      <w:r w:rsidRPr="007367D2">
        <w:t xml:space="preserve">. </w:t>
      </w:r>
      <w:r w:rsidR="00F20206">
        <w:t>Following the table, we provide findings and recommendations, including discussion of all measures with realization rates above or below 100%</w:t>
      </w:r>
      <w:r w:rsidR="00F20206" w:rsidRPr="007367D2">
        <w:t>.</w:t>
      </w:r>
      <w:r w:rsidR="00F20206">
        <w:t xml:space="preserve"> </w:t>
      </w:r>
      <w:r w:rsidR="00F20206" w:rsidRPr="00F30437">
        <w:t xml:space="preserve">Appendix </w:t>
      </w:r>
      <w:r w:rsidR="00807BAB">
        <w:t>A</w:t>
      </w:r>
      <w:r w:rsidR="00F20206" w:rsidRPr="00F30437">
        <w:t xml:space="preserve"> pr</w:t>
      </w:r>
      <w:r w:rsidR="00F20206">
        <w:t>ovides a description of the i</w:t>
      </w:r>
      <w:r w:rsidR="00F20206" w:rsidRPr="000475D3">
        <w:t xml:space="preserve">mpact </w:t>
      </w:r>
      <w:r w:rsidR="00F20206">
        <w:t>a</w:t>
      </w:r>
      <w:r w:rsidR="00F20206" w:rsidRPr="000475D3">
        <w:t xml:space="preserve">nalysis </w:t>
      </w:r>
      <w:r w:rsidR="00F20206">
        <w:t>m</w:t>
      </w:r>
      <w:r w:rsidR="00F20206" w:rsidRPr="000475D3">
        <w:t>ethodology</w:t>
      </w:r>
      <w:r w:rsidR="00F20206">
        <w:t>.</w:t>
      </w:r>
    </w:p>
    <w:p w14:paraId="2F9DA0F7" w14:textId="77777777" w:rsidR="00F20206" w:rsidRDefault="00F20206" w:rsidP="00F20206"/>
    <w:p w14:paraId="45119D11" w14:textId="4C8E9637" w:rsidR="00F20206" w:rsidRPr="00E8651B" w:rsidRDefault="00F20206" w:rsidP="00F20206">
      <w:pPr>
        <w:pStyle w:val="Caption"/>
        <w:keepLines/>
      </w:pPr>
      <w:bookmarkStart w:id="41" w:name="_Ref503449693"/>
      <w:bookmarkStart w:id="42" w:name="_Toc61360849"/>
      <w:bookmarkStart w:id="43" w:name="_Toc192508415"/>
      <w:bookmarkEnd w:id="40"/>
      <w:r>
        <w:lastRenderedPageBreak/>
        <w:t xml:space="preserve">Table </w:t>
      </w:r>
      <w:r w:rsidR="008B6764">
        <w:fldChar w:fldCharType="begin"/>
      </w:r>
      <w:r w:rsidR="008B6764">
        <w:instrText xml:space="preserve"> SEQ Table \* ARABIC </w:instrText>
      </w:r>
      <w:r w:rsidR="008B6764">
        <w:fldChar w:fldCharType="separate"/>
      </w:r>
      <w:r w:rsidR="008B6764">
        <w:rPr>
          <w:noProof/>
        </w:rPr>
        <w:t>5</w:t>
      </w:r>
      <w:r w:rsidR="008B6764">
        <w:rPr>
          <w:noProof/>
        </w:rPr>
        <w:fldChar w:fldCharType="end"/>
      </w:r>
      <w:bookmarkEnd w:id="41"/>
      <w:r>
        <w:t xml:space="preserve">. </w:t>
      </w:r>
      <w:r w:rsidRPr="00E8651B">
        <w:t>Verified Gross Savings Parameters</w:t>
      </w:r>
      <w:bookmarkEnd w:id="42"/>
      <w:bookmarkEnd w:id="43"/>
    </w:p>
    <w:tbl>
      <w:tblPr>
        <w:tblStyle w:val="EnergyTable"/>
        <w:tblW w:w="5000" w:type="pct"/>
        <w:tblLook w:val="04A0" w:firstRow="1" w:lastRow="0" w:firstColumn="1" w:lastColumn="0" w:noHBand="0" w:noVBand="1"/>
      </w:tblPr>
      <w:tblGrid>
        <w:gridCol w:w="2205"/>
        <w:gridCol w:w="5270"/>
        <w:gridCol w:w="1885"/>
      </w:tblGrid>
      <w:tr w:rsidR="005E318D" w:rsidRPr="00E8651B" w14:paraId="04CEF645" w14:textId="77777777" w:rsidTr="00546D21">
        <w:trPr>
          <w:cnfStyle w:val="100000000000" w:firstRow="1" w:lastRow="0" w:firstColumn="0" w:lastColumn="0" w:oddVBand="0" w:evenVBand="0" w:oddHBand="0" w:evenHBand="0" w:firstRowFirstColumn="0" w:firstRowLastColumn="0" w:lastRowFirstColumn="0" w:lastRowLastColumn="0"/>
          <w:trHeight w:val="783"/>
        </w:trPr>
        <w:tc>
          <w:tcPr>
            <w:cnfStyle w:val="001000000000" w:firstRow="0" w:lastRow="0" w:firstColumn="1" w:lastColumn="0" w:oddVBand="0" w:evenVBand="0" w:oddHBand="0" w:evenHBand="0" w:firstRowFirstColumn="0" w:firstRowLastColumn="0" w:lastRowFirstColumn="0" w:lastRowLastColumn="0"/>
            <w:tcW w:w="1178" w:type="pct"/>
          </w:tcPr>
          <w:p w14:paraId="4FC37349" w14:textId="77777777" w:rsidR="005E318D" w:rsidRPr="00F653F6" w:rsidRDefault="005E318D" w:rsidP="00C94C6E">
            <w:pPr>
              <w:keepNext/>
              <w:keepLines/>
              <w:spacing w:before="60" w:after="60"/>
              <w:jc w:val="left"/>
              <w:rPr>
                <w:rFonts w:ascii="Arial Narrow" w:hAnsi="Arial Narrow"/>
                <w:b w:val="0"/>
                <w:bCs/>
                <w:color w:val="FFFFFF"/>
                <w:sz w:val="20"/>
                <w:szCs w:val="20"/>
              </w:rPr>
            </w:pPr>
            <w:r w:rsidRPr="00F653F6">
              <w:rPr>
                <w:rFonts w:ascii="Arial Narrow" w:hAnsi="Arial Narrow"/>
                <w:b w:val="0"/>
                <w:bCs/>
                <w:color w:val="FFFFFF"/>
                <w:sz w:val="20"/>
                <w:szCs w:val="20"/>
              </w:rPr>
              <w:t>Measure</w:t>
            </w:r>
          </w:p>
        </w:tc>
        <w:tc>
          <w:tcPr>
            <w:tcW w:w="2815" w:type="pct"/>
          </w:tcPr>
          <w:p w14:paraId="182A96C2" w14:textId="77777777" w:rsidR="005E318D" w:rsidRPr="00F653F6" w:rsidRDefault="005E318D" w:rsidP="00C94C6E">
            <w:pPr>
              <w:keepNext/>
              <w:keepLines/>
              <w:spacing w:before="60" w:after="60"/>
              <w:cnfStyle w:val="100000000000" w:firstRow="1" w:lastRow="0" w:firstColumn="0" w:lastColumn="0" w:oddVBand="0" w:evenVBand="0" w:oddHBand="0" w:evenHBand="0" w:firstRowFirstColumn="0" w:firstRowLastColumn="0" w:lastRowFirstColumn="0" w:lastRowLastColumn="0"/>
              <w:rPr>
                <w:rFonts w:ascii="Arial Narrow" w:hAnsi="Arial Narrow"/>
                <w:b w:val="0"/>
                <w:bCs/>
                <w:color w:val="FFFFFF"/>
                <w:sz w:val="20"/>
                <w:szCs w:val="20"/>
              </w:rPr>
            </w:pPr>
            <w:r w:rsidRPr="00F653F6">
              <w:rPr>
                <w:rFonts w:ascii="Arial Narrow" w:hAnsi="Arial Narrow"/>
                <w:b w:val="0"/>
                <w:bCs/>
                <w:color w:val="FFFFFF"/>
                <w:sz w:val="20"/>
                <w:szCs w:val="20"/>
              </w:rPr>
              <w:t>Unit Basis</w:t>
            </w:r>
          </w:p>
        </w:tc>
        <w:tc>
          <w:tcPr>
            <w:tcW w:w="1007" w:type="pct"/>
          </w:tcPr>
          <w:p w14:paraId="524D9160" w14:textId="77777777" w:rsidR="005E318D" w:rsidRPr="00F653F6" w:rsidRDefault="005E318D" w:rsidP="00C94C6E">
            <w:pPr>
              <w:keepNext/>
              <w:keepLines/>
              <w:spacing w:before="60" w:after="60"/>
              <w:jc w:val="left"/>
              <w:cnfStyle w:val="100000000000" w:firstRow="1" w:lastRow="0" w:firstColumn="0" w:lastColumn="0" w:oddVBand="0" w:evenVBand="0" w:oddHBand="0" w:evenHBand="0" w:firstRowFirstColumn="0" w:firstRowLastColumn="0" w:lastRowFirstColumn="0" w:lastRowLastColumn="0"/>
              <w:rPr>
                <w:rFonts w:ascii="Arial Narrow" w:hAnsi="Arial Narrow"/>
                <w:b w:val="0"/>
                <w:bCs/>
                <w:color w:val="FFFFFF"/>
                <w:sz w:val="20"/>
                <w:szCs w:val="20"/>
              </w:rPr>
            </w:pPr>
            <w:r w:rsidRPr="00F653F6">
              <w:rPr>
                <w:rFonts w:ascii="Arial Narrow" w:hAnsi="Arial Narrow"/>
                <w:b w:val="0"/>
                <w:bCs/>
                <w:color w:val="FFFFFF"/>
                <w:sz w:val="20"/>
                <w:szCs w:val="20"/>
              </w:rPr>
              <w:t>Data Source(s)</w:t>
            </w:r>
          </w:p>
        </w:tc>
      </w:tr>
      <w:tr w:rsidR="005E318D" w:rsidRPr="00E66083" w14:paraId="646D7798" w14:textId="77777777" w:rsidTr="00546D2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78" w:type="pct"/>
          </w:tcPr>
          <w:p w14:paraId="12CA5D88" w14:textId="672F20C6" w:rsidR="005E318D" w:rsidRPr="00F653F6" w:rsidRDefault="005E318D" w:rsidP="00F653F6">
            <w:pPr>
              <w:keepNext/>
              <w:keepLines/>
              <w:jc w:val="left"/>
              <w:rPr>
                <w:rFonts w:ascii="Arial Narrow" w:hAnsi="Arial Narrow"/>
                <w:sz w:val="20"/>
                <w:szCs w:val="20"/>
              </w:rPr>
            </w:pPr>
            <w:r w:rsidRPr="00F653F6">
              <w:rPr>
                <w:rFonts w:ascii="Arial Narrow" w:hAnsi="Arial Narrow"/>
                <w:sz w:val="20"/>
                <w:szCs w:val="20"/>
              </w:rPr>
              <w:t>Advanced HVAC Controls (Smart Thermostats)</w:t>
            </w:r>
          </w:p>
        </w:tc>
        <w:tc>
          <w:tcPr>
            <w:tcW w:w="2815" w:type="pct"/>
          </w:tcPr>
          <w:p w14:paraId="7872E12D" w14:textId="795C5854" w:rsidR="005E318D" w:rsidRPr="00F653F6" w:rsidRDefault="005E318D" w:rsidP="00546D21">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653F6">
              <w:rPr>
                <w:rFonts w:ascii="Arial Narrow" w:hAnsi="Arial Narrow"/>
                <w:sz w:val="20"/>
                <w:szCs w:val="20"/>
              </w:rPr>
              <w:t xml:space="preserve">%Elec heat, </w:t>
            </w:r>
            <w:proofErr w:type="spellStart"/>
            <w:r w:rsidRPr="00F653F6">
              <w:rPr>
                <w:rFonts w:ascii="Arial Narrow" w:hAnsi="Arial Narrow"/>
                <w:sz w:val="20"/>
                <w:szCs w:val="20"/>
              </w:rPr>
              <w:t>CF_pjm</w:t>
            </w:r>
            <w:proofErr w:type="spellEnd"/>
            <w:r w:rsidRPr="00F653F6">
              <w:rPr>
                <w:rFonts w:ascii="Arial Narrow" w:hAnsi="Arial Narrow"/>
                <w:sz w:val="20"/>
                <w:szCs w:val="20"/>
              </w:rPr>
              <w:t xml:space="preserve">, Fe, </w:t>
            </w:r>
            <w:proofErr w:type="spellStart"/>
            <w:r w:rsidRPr="00F653F6">
              <w:rPr>
                <w:rFonts w:ascii="Arial Narrow" w:hAnsi="Arial Narrow"/>
                <w:sz w:val="20"/>
                <w:szCs w:val="20"/>
              </w:rPr>
              <w:t>Heating_reduction</w:t>
            </w:r>
            <w:proofErr w:type="spellEnd"/>
            <w:r w:rsidRPr="00F653F6">
              <w:rPr>
                <w:rFonts w:ascii="Arial Narrow" w:hAnsi="Arial Narrow"/>
                <w:sz w:val="20"/>
                <w:szCs w:val="20"/>
              </w:rPr>
              <w:t xml:space="preserve">, Household factor, </w:t>
            </w:r>
            <w:proofErr w:type="spellStart"/>
            <w:r w:rsidRPr="00F653F6">
              <w:rPr>
                <w:rFonts w:ascii="Arial Narrow" w:hAnsi="Arial Narrow"/>
                <w:sz w:val="20"/>
                <w:szCs w:val="20"/>
              </w:rPr>
              <w:t>Eff_ISR_heat</w:t>
            </w:r>
            <w:proofErr w:type="spellEnd"/>
            <w:r w:rsidRPr="00F653F6">
              <w:rPr>
                <w:rFonts w:ascii="Arial Narrow" w:hAnsi="Arial Narrow"/>
                <w:sz w:val="20"/>
                <w:szCs w:val="20"/>
              </w:rPr>
              <w:t xml:space="preserve">, FLH, </w:t>
            </w:r>
            <w:proofErr w:type="spellStart"/>
            <w:r w:rsidRPr="00F653F6">
              <w:rPr>
                <w:rFonts w:ascii="Arial Narrow" w:hAnsi="Arial Narrow"/>
                <w:sz w:val="20"/>
                <w:szCs w:val="20"/>
              </w:rPr>
              <w:t>Cooling_reduction</w:t>
            </w:r>
            <w:proofErr w:type="spellEnd"/>
            <w:r w:rsidRPr="00F653F6">
              <w:rPr>
                <w:rFonts w:ascii="Arial Narrow" w:hAnsi="Arial Narrow"/>
                <w:sz w:val="20"/>
                <w:szCs w:val="20"/>
              </w:rPr>
              <w:t xml:space="preserve">, </w:t>
            </w:r>
            <w:proofErr w:type="spellStart"/>
            <w:r w:rsidRPr="00F653F6">
              <w:rPr>
                <w:rFonts w:ascii="Arial Narrow" w:hAnsi="Arial Narrow"/>
                <w:sz w:val="20"/>
                <w:szCs w:val="20"/>
              </w:rPr>
              <w:t>Eff_IST_cool</w:t>
            </w:r>
            <w:proofErr w:type="spellEnd"/>
            <w:r w:rsidRPr="00F653F6">
              <w:rPr>
                <w:rFonts w:ascii="Arial Narrow" w:hAnsi="Arial Narrow"/>
                <w:sz w:val="20"/>
                <w:szCs w:val="20"/>
              </w:rPr>
              <w:t xml:space="preserve">, </w:t>
            </w:r>
            <w:proofErr w:type="spellStart"/>
            <w:r w:rsidRPr="00F653F6">
              <w:rPr>
                <w:rFonts w:ascii="Arial Narrow" w:hAnsi="Arial Narrow"/>
                <w:sz w:val="20"/>
                <w:szCs w:val="20"/>
              </w:rPr>
              <w:t>Cooling_DemandReduction</w:t>
            </w:r>
            <w:proofErr w:type="spellEnd"/>
          </w:p>
        </w:tc>
        <w:tc>
          <w:tcPr>
            <w:tcW w:w="1007" w:type="pct"/>
          </w:tcPr>
          <w:p w14:paraId="0AD33A3A" w14:textId="5CE66963" w:rsidR="005E318D" w:rsidRPr="00F653F6" w:rsidRDefault="005E318D" w:rsidP="00546D21">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F653F6">
              <w:rPr>
                <w:rFonts w:ascii="Arial Narrow" w:hAnsi="Arial Narrow"/>
                <w:sz w:val="20"/>
                <w:szCs w:val="20"/>
              </w:rPr>
              <w:t>IL-TRM† – Section 5.3.16, Project Documentation</w:t>
            </w:r>
          </w:p>
        </w:tc>
      </w:tr>
      <w:tr w:rsidR="005E318D" w:rsidRPr="00E66083" w14:paraId="2B5B8FD1" w14:textId="77777777" w:rsidTr="00546D21">
        <w:trPr>
          <w:cnfStyle w:val="000000010000" w:firstRow="0" w:lastRow="0" w:firstColumn="0" w:lastColumn="0" w:oddVBand="0" w:evenVBand="0" w:oddHBand="0" w:evenHBand="1"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178" w:type="pct"/>
          </w:tcPr>
          <w:p w14:paraId="5691E8B8" w14:textId="7598BDDF" w:rsidR="005E318D" w:rsidRPr="00F653F6" w:rsidRDefault="005E318D" w:rsidP="00F653F6">
            <w:pPr>
              <w:keepNext/>
              <w:keepLines/>
              <w:jc w:val="left"/>
              <w:rPr>
                <w:rFonts w:ascii="Arial Narrow" w:hAnsi="Arial Narrow"/>
                <w:color w:val="000000"/>
                <w:sz w:val="20"/>
                <w:szCs w:val="20"/>
              </w:rPr>
            </w:pPr>
            <w:r w:rsidRPr="00F653F6">
              <w:rPr>
                <w:rFonts w:ascii="Arial Narrow" w:hAnsi="Arial Narrow"/>
                <w:sz w:val="20"/>
                <w:szCs w:val="20"/>
              </w:rPr>
              <w:t>Air Sealing - Infiltration</w:t>
            </w:r>
          </w:p>
        </w:tc>
        <w:tc>
          <w:tcPr>
            <w:tcW w:w="2815" w:type="pct"/>
          </w:tcPr>
          <w:p w14:paraId="3699C744" w14:textId="7B60271B" w:rsidR="005E318D" w:rsidRPr="00F653F6" w:rsidRDefault="005E318D" w:rsidP="00546D21">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proofErr w:type="spellStart"/>
            <w:r w:rsidRPr="00F653F6">
              <w:rPr>
                <w:rFonts w:ascii="Arial Narrow" w:hAnsi="Arial Narrow"/>
                <w:sz w:val="20"/>
                <w:szCs w:val="20"/>
              </w:rPr>
              <w:t>N_heat</w:t>
            </w:r>
            <w:proofErr w:type="spellEnd"/>
            <w:r w:rsidRPr="00F653F6">
              <w:rPr>
                <w:rFonts w:ascii="Arial Narrow" w:hAnsi="Arial Narrow"/>
                <w:sz w:val="20"/>
                <w:szCs w:val="20"/>
              </w:rPr>
              <w:t xml:space="preserve">, </w:t>
            </w:r>
            <w:proofErr w:type="spellStart"/>
            <w:r w:rsidRPr="00F653F6">
              <w:rPr>
                <w:rFonts w:ascii="Arial Narrow" w:hAnsi="Arial Narrow"/>
                <w:sz w:val="20"/>
                <w:szCs w:val="20"/>
              </w:rPr>
              <w:t>N_cool</w:t>
            </w:r>
            <w:proofErr w:type="spellEnd"/>
            <w:r w:rsidRPr="00F653F6">
              <w:rPr>
                <w:rFonts w:ascii="Arial Narrow" w:hAnsi="Arial Narrow"/>
                <w:sz w:val="20"/>
                <w:szCs w:val="20"/>
              </w:rPr>
              <w:t xml:space="preserve">, HDD, </w:t>
            </w:r>
            <w:proofErr w:type="spellStart"/>
            <w:r w:rsidRPr="00F653F6">
              <w:rPr>
                <w:rFonts w:ascii="Arial Narrow" w:hAnsi="Arial Narrow"/>
                <w:sz w:val="20"/>
                <w:szCs w:val="20"/>
              </w:rPr>
              <w:t>CDD,FLH_cooling</w:t>
            </w:r>
            <w:proofErr w:type="spellEnd"/>
            <w:r w:rsidRPr="00F653F6">
              <w:rPr>
                <w:rFonts w:ascii="Arial Narrow" w:hAnsi="Arial Narrow"/>
                <w:sz w:val="20"/>
                <w:szCs w:val="20"/>
              </w:rPr>
              <w:t xml:space="preserve">, LM, </w:t>
            </w:r>
            <w:proofErr w:type="spellStart"/>
            <w:r w:rsidRPr="00F653F6">
              <w:rPr>
                <w:rFonts w:ascii="Arial Narrow" w:hAnsi="Arial Narrow"/>
                <w:sz w:val="20"/>
                <w:szCs w:val="20"/>
              </w:rPr>
              <w:t>ADJ_AirSealingCooling</w:t>
            </w:r>
            <w:proofErr w:type="spellEnd"/>
            <w:r w:rsidRPr="00F653F6">
              <w:rPr>
                <w:rFonts w:ascii="Arial Narrow" w:hAnsi="Arial Narrow"/>
                <w:sz w:val="20"/>
                <w:szCs w:val="20"/>
              </w:rPr>
              <w:t xml:space="preserve">, </w:t>
            </w:r>
            <w:proofErr w:type="spellStart"/>
            <w:r w:rsidRPr="00F653F6">
              <w:rPr>
                <w:rFonts w:ascii="Arial Narrow" w:hAnsi="Arial Narrow"/>
                <w:sz w:val="20"/>
                <w:szCs w:val="20"/>
              </w:rPr>
              <w:t>ADJ_AirSealingHeatFan</w:t>
            </w:r>
            <w:proofErr w:type="spellEnd"/>
            <w:r w:rsidRPr="00F653F6">
              <w:rPr>
                <w:rFonts w:ascii="Arial Narrow" w:hAnsi="Arial Narrow"/>
                <w:sz w:val="20"/>
                <w:szCs w:val="20"/>
              </w:rPr>
              <w:t xml:space="preserve">, </w:t>
            </w:r>
            <w:proofErr w:type="spellStart"/>
            <w:r w:rsidRPr="00F653F6">
              <w:rPr>
                <w:rFonts w:ascii="Arial Narrow" w:hAnsi="Arial Narrow"/>
                <w:sz w:val="20"/>
                <w:szCs w:val="20"/>
              </w:rPr>
              <w:t>IE_NetCorrection</w:t>
            </w:r>
            <w:proofErr w:type="spellEnd"/>
          </w:p>
        </w:tc>
        <w:tc>
          <w:tcPr>
            <w:tcW w:w="1007" w:type="pct"/>
          </w:tcPr>
          <w:p w14:paraId="4CB3DE14" w14:textId="69D7DC49" w:rsidR="005E318D" w:rsidRPr="00F653F6" w:rsidRDefault="005E318D" w:rsidP="00546D21">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F653F6">
              <w:rPr>
                <w:rFonts w:ascii="Arial Narrow" w:hAnsi="Arial Narrow"/>
                <w:sz w:val="20"/>
                <w:szCs w:val="20"/>
              </w:rPr>
              <w:t>IL-TRM† – Section 5.6.1 Project Documentation</w:t>
            </w:r>
          </w:p>
        </w:tc>
      </w:tr>
      <w:tr w:rsidR="005E318D" w:rsidRPr="00E66083" w14:paraId="67D29179" w14:textId="77777777" w:rsidTr="00546D21">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178" w:type="pct"/>
          </w:tcPr>
          <w:p w14:paraId="72A903A3" w14:textId="192AD528" w:rsidR="005E318D" w:rsidRPr="00F653F6" w:rsidRDefault="005E318D" w:rsidP="00F653F6">
            <w:pPr>
              <w:keepNext/>
              <w:keepLines/>
              <w:jc w:val="left"/>
              <w:rPr>
                <w:rFonts w:ascii="Arial Narrow" w:hAnsi="Arial Narrow"/>
                <w:color w:val="000000"/>
                <w:sz w:val="20"/>
                <w:szCs w:val="20"/>
              </w:rPr>
            </w:pPr>
            <w:r w:rsidRPr="00F653F6">
              <w:rPr>
                <w:rFonts w:ascii="Arial Narrow" w:hAnsi="Arial Narrow"/>
                <w:sz w:val="20"/>
                <w:szCs w:val="20"/>
              </w:rPr>
              <w:t>Bathroom Aerators</w:t>
            </w:r>
          </w:p>
        </w:tc>
        <w:tc>
          <w:tcPr>
            <w:tcW w:w="2815" w:type="pct"/>
          </w:tcPr>
          <w:p w14:paraId="58FD85B1" w14:textId="1B4023F1" w:rsidR="005E318D" w:rsidRPr="00F653F6" w:rsidRDefault="005E318D" w:rsidP="00546D21">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proofErr w:type="spellStart"/>
            <w:r w:rsidRPr="00F653F6">
              <w:rPr>
                <w:rFonts w:ascii="Arial Narrow" w:hAnsi="Arial Narrow"/>
                <w:sz w:val="20"/>
                <w:szCs w:val="20"/>
              </w:rPr>
              <w:t>GPM_base</w:t>
            </w:r>
            <w:proofErr w:type="spellEnd"/>
            <w:r w:rsidRPr="00F653F6">
              <w:rPr>
                <w:rFonts w:ascii="Arial Narrow" w:hAnsi="Arial Narrow"/>
                <w:sz w:val="20"/>
                <w:szCs w:val="20"/>
              </w:rPr>
              <w:t xml:space="preserve">, </w:t>
            </w:r>
            <w:proofErr w:type="spellStart"/>
            <w:r w:rsidRPr="00F653F6">
              <w:rPr>
                <w:rFonts w:ascii="Arial Narrow" w:hAnsi="Arial Narrow"/>
                <w:sz w:val="20"/>
                <w:szCs w:val="20"/>
              </w:rPr>
              <w:t>L_base</w:t>
            </w:r>
            <w:proofErr w:type="spellEnd"/>
            <w:r w:rsidRPr="00F653F6">
              <w:rPr>
                <w:rFonts w:ascii="Arial Narrow" w:hAnsi="Arial Narrow"/>
                <w:sz w:val="20"/>
                <w:szCs w:val="20"/>
              </w:rPr>
              <w:t xml:space="preserve">, </w:t>
            </w:r>
            <w:proofErr w:type="spellStart"/>
            <w:r w:rsidRPr="00F653F6">
              <w:rPr>
                <w:rFonts w:ascii="Arial Narrow" w:hAnsi="Arial Narrow"/>
                <w:sz w:val="20"/>
                <w:szCs w:val="20"/>
              </w:rPr>
              <w:t>L_low</w:t>
            </w:r>
            <w:proofErr w:type="spellEnd"/>
            <w:r w:rsidRPr="00F653F6">
              <w:rPr>
                <w:rFonts w:ascii="Arial Narrow" w:hAnsi="Arial Narrow"/>
                <w:sz w:val="20"/>
                <w:szCs w:val="20"/>
              </w:rPr>
              <w:t xml:space="preserve">, faucets per household (FPH), drain factor (DF), </w:t>
            </w:r>
            <w:proofErr w:type="spellStart"/>
            <w:r w:rsidRPr="00F653F6">
              <w:rPr>
                <w:rFonts w:ascii="Arial Narrow" w:hAnsi="Arial Narrow"/>
                <w:sz w:val="20"/>
                <w:szCs w:val="20"/>
              </w:rPr>
              <w:t>EPG_electric</w:t>
            </w:r>
            <w:proofErr w:type="spellEnd"/>
            <w:r w:rsidRPr="00F653F6">
              <w:rPr>
                <w:rFonts w:ascii="Arial Narrow" w:hAnsi="Arial Narrow"/>
                <w:sz w:val="20"/>
                <w:szCs w:val="20"/>
              </w:rPr>
              <w:t>, CF, NTG†, %DHW, Household, ISR, Hours, gallons per hour (GPH), throttling factor, Supply temperature</w:t>
            </w:r>
          </w:p>
        </w:tc>
        <w:tc>
          <w:tcPr>
            <w:tcW w:w="1007" w:type="pct"/>
          </w:tcPr>
          <w:p w14:paraId="0322C455" w14:textId="1BD36EBD" w:rsidR="005E318D" w:rsidRPr="00F653F6" w:rsidRDefault="005E318D" w:rsidP="00546D21">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F653F6">
              <w:rPr>
                <w:rFonts w:ascii="Arial Narrow" w:hAnsi="Arial Narrow"/>
                <w:sz w:val="20"/>
                <w:szCs w:val="20"/>
              </w:rPr>
              <w:t>IL-TRM† – Section 5.4.4 Project Documentation</w:t>
            </w:r>
          </w:p>
        </w:tc>
      </w:tr>
      <w:tr w:rsidR="005E318D" w:rsidRPr="00E66083" w14:paraId="309F7C1D" w14:textId="77777777" w:rsidTr="00546D21">
        <w:trPr>
          <w:cnfStyle w:val="000000010000" w:firstRow="0" w:lastRow="0" w:firstColumn="0" w:lastColumn="0" w:oddVBand="0" w:evenVBand="0" w:oddHBand="0" w:evenHBand="1"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1178" w:type="pct"/>
          </w:tcPr>
          <w:p w14:paraId="1423C052" w14:textId="194BF878" w:rsidR="005E318D" w:rsidRPr="00F653F6" w:rsidRDefault="005E318D" w:rsidP="00F653F6">
            <w:pPr>
              <w:keepNext/>
              <w:keepLines/>
              <w:jc w:val="left"/>
              <w:rPr>
                <w:rFonts w:ascii="Arial Narrow" w:hAnsi="Arial Narrow"/>
                <w:sz w:val="20"/>
                <w:szCs w:val="20"/>
              </w:rPr>
            </w:pPr>
            <w:r w:rsidRPr="00F653F6">
              <w:rPr>
                <w:rFonts w:ascii="Arial Narrow" w:hAnsi="Arial Narrow"/>
                <w:sz w:val="20"/>
                <w:szCs w:val="20"/>
              </w:rPr>
              <w:t>Kitchen Aerators</w:t>
            </w:r>
          </w:p>
        </w:tc>
        <w:tc>
          <w:tcPr>
            <w:tcW w:w="2815" w:type="pct"/>
          </w:tcPr>
          <w:p w14:paraId="3A95D52B" w14:textId="1287C2BA" w:rsidR="005E318D" w:rsidRPr="00F653F6" w:rsidRDefault="005E318D" w:rsidP="00546D21">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roofErr w:type="spellStart"/>
            <w:r w:rsidRPr="00F653F6">
              <w:rPr>
                <w:rFonts w:ascii="Arial Narrow" w:hAnsi="Arial Narrow"/>
                <w:sz w:val="20"/>
                <w:szCs w:val="20"/>
              </w:rPr>
              <w:t>GPM_base</w:t>
            </w:r>
            <w:proofErr w:type="spellEnd"/>
            <w:r w:rsidRPr="00F653F6">
              <w:rPr>
                <w:rFonts w:ascii="Arial Narrow" w:hAnsi="Arial Narrow"/>
                <w:sz w:val="20"/>
                <w:szCs w:val="20"/>
              </w:rPr>
              <w:t xml:space="preserve">, </w:t>
            </w:r>
            <w:proofErr w:type="spellStart"/>
            <w:r w:rsidRPr="00F653F6">
              <w:rPr>
                <w:rFonts w:ascii="Arial Narrow" w:hAnsi="Arial Narrow"/>
                <w:sz w:val="20"/>
                <w:szCs w:val="20"/>
              </w:rPr>
              <w:t>L_base</w:t>
            </w:r>
            <w:proofErr w:type="spellEnd"/>
            <w:r w:rsidRPr="00F653F6">
              <w:rPr>
                <w:rFonts w:ascii="Arial Narrow" w:hAnsi="Arial Narrow"/>
                <w:sz w:val="20"/>
                <w:szCs w:val="20"/>
              </w:rPr>
              <w:t xml:space="preserve">, </w:t>
            </w:r>
            <w:proofErr w:type="spellStart"/>
            <w:r w:rsidRPr="00F653F6">
              <w:rPr>
                <w:rFonts w:ascii="Arial Narrow" w:hAnsi="Arial Narrow"/>
                <w:sz w:val="20"/>
                <w:szCs w:val="20"/>
              </w:rPr>
              <w:t>L_low</w:t>
            </w:r>
            <w:proofErr w:type="spellEnd"/>
            <w:r w:rsidRPr="00F653F6">
              <w:rPr>
                <w:rFonts w:ascii="Arial Narrow" w:hAnsi="Arial Narrow"/>
                <w:sz w:val="20"/>
                <w:szCs w:val="20"/>
              </w:rPr>
              <w:t xml:space="preserve">, faucets per household (FPH), drain factor (DF), </w:t>
            </w:r>
            <w:proofErr w:type="spellStart"/>
            <w:r w:rsidRPr="00F653F6">
              <w:rPr>
                <w:rFonts w:ascii="Arial Narrow" w:hAnsi="Arial Narrow"/>
                <w:sz w:val="20"/>
                <w:szCs w:val="20"/>
              </w:rPr>
              <w:t>EPG_electric</w:t>
            </w:r>
            <w:proofErr w:type="spellEnd"/>
            <w:r w:rsidRPr="00F653F6">
              <w:rPr>
                <w:rFonts w:ascii="Arial Narrow" w:hAnsi="Arial Narrow"/>
                <w:sz w:val="20"/>
                <w:szCs w:val="20"/>
              </w:rPr>
              <w:t>, CF, NTG†, %DHW, Household, ISR, Hours, gallons per hour(GPH), throttling factor, supply temperature</w:t>
            </w:r>
          </w:p>
        </w:tc>
        <w:tc>
          <w:tcPr>
            <w:tcW w:w="1007" w:type="pct"/>
          </w:tcPr>
          <w:p w14:paraId="20A68DED" w14:textId="04E2265A" w:rsidR="005E318D" w:rsidRPr="00F653F6" w:rsidRDefault="005E318D" w:rsidP="00546D21">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F653F6">
              <w:rPr>
                <w:rFonts w:ascii="Arial Narrow" w:hAnsi="Arial Narrow"/>
                <w:sz w:val="20"/>
                <w:szCs w:val="20"/>
              </w:rPr>
              <w:t>IL-TRM† – Section 5.4.4 Project Documentation</w:t>
            </w:r>
          </w:p>
        </w:tc>
      </w:tr>
      <w:tr w:rsidR="005E318D" w:rsidRPr="00E66083" w14:paraId="140F6C7E" w14:textId="77777777" w:rsidTr="00546D21">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178" w:type="pct"/>
          </w:tcPr>
          <w:p w14:paraId="71693528" w14:textId="72E60343" w:rsidR="005E318D" w:rsidRPr="00F653F6" w:rsidRDefault="005E318D" w:rsidP="00F653F6">
            <w:pPr>
              <w:keepNext/>
              <w:keepLines/>
              <w:jc w:val="left"/>
              <w:rPr>
                <w:rFonts w:ascii="Arial Narrow" w:hAnsi="Arial Narrow"/>
                <w:sz w:val="20"/>
                <w:szCs w:val="20"/>
              </w:rPr>
            </w:pPr>
            <w:r w:rsidRPr="00F653F6">
              <w:rPr>
                <w:rFonts w:ascii="Arial Narrow" w:hAnsi="Arial Narrow"/>
                <w:sz w:val="20"/>
                <w:szCs w:val="20"/>
              </w:rPr>
              <w:t>Clothes Dryers</w:t>
            </w:r>
          </w:p>
        </w:tc>
        <w:tc>
          <w:tcPr>
            <w:tcW w:w="2815" w:type="pct"/>
          </w:tcPr>
          <w:p w14:paraId="6C292A74" w14:textId="7D1826DC" w:rsidR="005E318D" w:rsidRPr="00F653F6" w:rsidRDefault="005E318D" w:rsidP="00546D21">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653F6">
              <w:rPr>
                <w:rFonts w:ascii="Arial Narrow" w:hAnsi="Arial Narrow"/>
                <w:sz w:val="20"/>
                <w:szCs w:val="20"/>
              </w:rPr>
              <w:t xml:space="preserve">Load, </w:t>
            </w:r>
            <w:proofErr w:type="spellStart"/>
            <w:r w:rsidRPr="00F653F6">
              <w:rPr>
                <w:rFonts w:ascii="Arial Narrow" w:hAnsi="Arial Narrow"/>
                <w:sz w:val="20"/>
                <w:szCs w:val="20"/>
              </w:rPr>
              <w:t>Ncycles</w:t>
            </w:r>
            <w:proofErr w:type="spellEnd"/>
            <w:r w:rsidRPr="00F653F6">
              <w:rPr>
                <w:rFonts w:ascii="Arial Narrow" w:hAnsi="Arial Narrow"/>
                <w:sz w:val="20"/>
                <w:szCs w:val="20"/>
              </w:rPr>
              <w:t xml:space="preserve">, CF, </w:t>
            </w:r>
            <w:proofErr w:type="spellStart"/>
            <w:r w:rsidRPr="00F653F6">
              <w:rPr>
                <w:rFonts w:ascii="Arial Narrow" w:hAnsi="Arial Narrow"/>
                <w:sz w:val="20"/>
                <w:szCs w:val="20"/>
              </w:rPr>
              <w:t>CEF_base</w:t>
            </w:r>
            <w:proofErr w:type="spellEnd"/>
            <w:r w:rsidRPr="00F653F6">
              <w:rPr>
                <w:rFonts w:ascii="Arial Narrow" w:hAnsi="Arial Narrow"/>
                <w:sz w:val="20"/>
                <w:szCs w:val="20"/>
              </w:rPr>
              <w:t>, %Electric</w:t>
            </w:r>
          </w:p>
        </w:tc>
        <w:tc>
          <w:tcPr>
            <w:tcW w:w="1007" w:type="pct"/>
          </w:tcPr>
          <w:p w14:paraId="1349DF7D" w14:textId="2297BA23" w:rsidR="005E318D" w:rsidRPr="00F653F6" w:rsidRDefault="005E318D" w:rsidP="00546D21">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653F6">
              <w:rPr>
                <w:rFonts w:ascii="Arial Narrow" w:hAnsi="Arial Narrow"/>
                <w:sz w:val="20"/>
                <w:szCs w:val="20"/>
              </w:rPr>
              <w:t>IL-TRM† – Section 5.1.10 Project Documentation</w:t>
            </w:r>
          </w:p>
        </w:tc>
      </w:tr>
      <w:tr w:rsidR="005E318D" w:rsidRPr="00E66083" w14:paraId="7370EFA3" w14:textId="77777777" w:rsidTr="00546D21">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78" w:type="pct"/>
          </w:tcPr>
          <w:p w14:paraId="2EC1EC73" w14:textId="31CCA011" w:rsidR="005E318D" w:rsidRPr="00F653F6" w:rsidRDefault="005E318D" w:rsidP="00F653F6">
            <w:pPr>
              <w:keepNext/>
              <w:keepLines/>
              <w:jc w:val="left"/>
              <w:rPr>
                <w:rFonts w:ascii="Arial Narrow" w:hAnsi="Arial Narrow"/>
                <w:sz w:val="20"/>
                <w:szCs w:val="20"/>
              </w:rPr>
            </w:pPr>
            <w:r w:rsidRPr="00F653F6">
              <w:rPr>
                <w:rFonts w:ascii="Arial Narrow" w:hAnsi="Arial Narrow"/>
                <w:sz w:val="20"/>
                <w:szCs w:val="20"/>
              </w:rPr>
              <w:t>Clothes Washer</w:t>
            </w:r>
          </w:p>
        </w:tc>
        <w:tc>
          <w:tcPr>
            <w:tcW w:w="2815" w:type="pct"/>
          </w:tcPr>
          <w:p w14:paraId="6098C6FA" w14:textId="12256D5E" w:rsidR="005E318D" w:rsidRPr="00F653F6" w:rsidRDefault="005E318D" w:rsidP="00546D21">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roofErr w:type="spellStart"/>
            <w:r w:rsidRPr="00F653F6">
              <w:rPr>
                <w:rFonts w:ascii="Arial Narrow" w:hAnsi="Arial Narrow"/>
                <w:sz w:val="20"/>
                <w:szCs w:val="20"/>
              </w:rPr>
              <w:t>Ncycles</w:t>
            </w:r>
            <w:proofErr w:type="spellEnd"/>
            <w:r w:rsidRPr="00F653F6">
              <w:rPr>
                <w:rFonts w:ascii="Arial Narrow" w:hAnsi="Arial Narrow"/>
                <w:sz w:val="20"/>
                <w:szCs w:val="20"/>
              </w:rPr>
              <w:t xml:space="preserve">, </w:t>
            </w:r>
            <w:proofErr w:type="spellStart"/>
            <w:r w:rsidRPr="00F653F6">
              <w:rPr>
                <w:rFonts w:ascii="Arial Narrow" w:hAnsi="Arial Narrow"/>
                <w:sz w:val="20"/>
                <w:szCs w:val="20"/>
              </w:rPr>
              <w:t>IMEF_base</w:t>
            </w:r>
            <w:proofErr w:type="spellEnd"/>
            <w:r w:rsidRPr="00F653F6">
              <w:rPr>
                <w:rFonts w:ascii="Arial Narrow" w:hAnsi="Arial Narrow"/>
                <w:sz w:val="20"/>
                <w:szCs w:val="20"/>
              </w:rPr>
              <w:t xml:space="preserve">, %CW, %DHW, %dryer, Hours, </w:t>
            </w:r>
            <w:proofErr w:type="spellStart"/>
            <w:r w:rsidRPr="00F653F6">
              <w:rPr>
                <w:rFonts w:ascii="Arial Narrow" w:hAnsi="Arial Narrow"/>
                <w:sz w:val="20"/>
                <w:szCs w:val="20"/>
              </w:rPr>
              <w:t>IWF_base</w:t>
            </w:r>
            <w:proofErr w:type="spellEnd"/>
            <w:r w:rsidRPr="00F653F6">
              <w:rPr>
                <w:rFonts w:ascii="Arial Narrow" w:hAnsi="Arial Narrow"/>
                <w:sz w:val="20"/>
                <w:szCs w:val="20"/>
              </w:rPr>
              <w:t>, CF</w:t>
            </w:r>
          </w:p>
        </w:tc>
        <w:tc>
          <w:tcPr>
            <w:tcW w:w="1007" w:type="pct"/>
          </w:tcPr>
          <w:p w14:paraId="1EF68C4C" w14:textId="40E163AC" w:rsidR="005E318D" w:rsidRPr="00F653F6" w:rsidRDefault="005E318D" w:rsidP="00546D21">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F653F6">
              <w:rPr>
                <w:rFonts w:ascii="Arial Narrow" w:hAnsi="Arial Narrow"/>
                <w:sz w:val="20"/>
                <w:szCs w:val="20"/>
              </w:rPr>
              <w:t>IL-TRM† – Section 5.1.2 Project Documentation</w:t>
            </w:r>
          </w:p>
        </w:tc>
      </w:tr>
      <w:tr w:rsidR="005E318D" w:rsidRPr="00E66083" w14:paraId="559B8F7E" w14:textId="77777777" w:rsidTr="00546D2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78" w:type="pct"/>
          </w:tcPr>
          <w:p w14:paraId="698EC5B4" w14:textId="21B9A3FD" w:rsidR="005E318D" w:rsidRPr="00F653F6" w:rsidRDefault="005E318D" w:rsidP="00F653F6">
            <w:pPr>
              <w:keepNext/>
              <w:keepLines/>
              <w:jc w:val="left"/>
              <w:rPr>
                <w:rFonts w:ascii="Arial Narrow" w:hAnsi="Arial Narrow"/>
                <w:sz w:val="20"/>
                <w:szCs w:val="20"/>
              </w:rPr>
            </w:pPr>
            <w:r w:rsidRPr="00F653F6">
              <w:rPr>
                <w:rFonts w:ascii="Arial Narrow" w:hAnsi="Arial Narrow"/>
                <w:sz w:val="20"/>
                <w:szCs w:val="20"/>
              </w:rPr>
              <w:t>Dishwasher</w:t>
            </w:r>
          </w:p>
        </w:tc>
        <w:tc>
          <w:tcPr>
            <w:tcW w:w="2815" w:type="pct"/>
          </w:tcPr>
          <w:p w14:paraId="254386C6" w14:textId="69D4E6F7" w:rsidR="005E318D" w:rsidRPr="00F653F6" w:rsidRDefault="005E318D" w:rsidP="00546D21">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653F6">
              <w:rPr>
                <w:rFonts w:ascii="Arial Narrow" w:hAnsi="Arial Narrow"/>
                <w:sz w:val="20"/>
                <w:szCs w:val="20"/>
              </w:rPr>
              <w:t>Maximum kWh/year, Maximum gallons/cycle, %</w:t>
            </w:r>
            <w:proofErr w:type="spellStart"/>
            <w:r w:rsidRPr="00F653F6">
              <w:rPr>
                <w:rFonts w:ascii="Arial Narrow" w:hAnsi="Arial Narrow"/>
                <w:sz w:val="20"/>
                <w:szCs w:val="20"/>
              </w:rPr>
              <w:t>kWh_op</w:t>
            </w:r>
            <w:proofErr w:type="spellEnd"/>
            <w:r w:rsidRPr="00F653F6">
              <w:rPr>
                <w:rFonts w:ascii="Arial Narrow" w:hAnsi="Arial Narrow"/>
                <w:sz w:val="20"/>
                <w:szCs w:val="20"/>
              </w:rPr>
              <w:t>, %</w:t>
            </w:r>
            <w:proofErr w:type="spellStart"/>
            <w:r w:rsidRPr="00F653F6">
              <w:rPr>
                <w:rFonts w:ascii="Arial Narrow" w:hAnsi="Arial Narrow"/>
                <w:sz w:val="20"/>
                <w:szCs w:val="20"/>
              </w:rPr>
              <w:t>kWh_heat</w:t>
            </w:r>
            <w:proofErr w:type="spellEnd"/>
            <w:r w:rsidRPr="00F653F6">
              <w:rPr>
                <w:rFonts w:ascii="Arial Narrow" w:hAnsi="Arial Narrow"/>
                <w:sz w:val="20"/>
                <w:szCs w:val="20"/>
              </w:rPr>
              <w:t>, Hours, CF,</w:t>
            </w:r>
          </w:p>
        </w:tc>
        <w:tc>
          <w:tcPr>
            <w:tcW w:w="1007" w:type="pct"/>
          </w:tcPr>
          <w:p w14:paraId="4630B4F9" w14:textId="27AD8B91" w:rsidR="005E318D" w:rsidRPr="00F653F6" w:rsidRDefault="005E318D" w:rsidP="00546D21">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653F6">
              <w:rPr>
                <w:rFonts w:ascii="Arial Narrow" w:hAnsi="Arial Narrow"/>
                <w:sz w:val="20"/>
                <w:szCs w:val="20"/>
              </w:rPr>
              <w:t>IL-TRM† – Section 5.1.4 Project Documentation</w:t>
            </w:r>
          </w:p>
        </w:tc>
      </w:tr>
      <w:tr w:rsidR="005E318D" w:rsidRPr="00E66083" w14:paraId="4166D5D3" w14:textId="77777777" w:rsidTr="00546D21">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78" w:type="pct"/>
          </w:tcPr>
          <w:p w14:paraId="4EA62A9D" w14:textId="10C96BD3" w:rsidR="005E318D" w:rsidRPr="00F653F6" w:rsidRDefault="005E318D" w:rsidP="00F653F6">
            <w:pPr>
              <w:keepNext/>
              <w:keepLines/>
              <w:jc w:val="left"/>
              <w:rPr>
                <w:rFonts w:ascii="Arial Narrow" w:hAnsi="Arial Narrow"/>
                <w:sz w:val="20"/>
                <w:szCs w:val="20"/>
              </w:rPr>
            </w:pPr>
            <w:r w:rsidRPr="00F653F6">
              <w:rPr>
                <w:rFonts w:ascii="Arial Narrow" w:hAnsi="Arial Narrow"/>
                <w:sz w:val="20"/>
                <w:szCs w:val="20"/>
              </w:rPr>
              <w:t>High-Performance Water Heating Equipment</w:t>
            </w:r>
          </w:p>
        </w:tc>
        <w:tc>
          <w:tcPr>
            <w:tcW w:w="2815" w:type="pct"/>
          </w:tcPr>
          <w:p w14:paraId="57BDA02D" w14:textId="1A3A2C09" w:rsidR="005E318D" w:rsidRPr="00F653F6" w:rsidRDefault="005E318D" w:rsidP="00546D21">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F653F6">
              <w:rPr>
                <w:rFonts w:ascii="Arial Narrow" w:hAnsi="Arial Narrow"/>
                <w:sz w:val="20"/>
                <w:szCs w:val="20"/>
              </w:rPr>
              <w:t xml:space="preserve">Baseline UEF, gallons per day, Household, </w:t>
            </w:r>
            <w:proofErr w:type="spellStart"/>
            <w:r w:rsidRPr="00F653F6">
              <w:rPr>
                <w:rFonts w:ascii="Arial Narrow" w:hAnsi="Arial Narrow"/>
                <w:sz w:val="20"/>
                <w:szCs w:val="20"/>
              </w:rPr>
              <w:t>T_in</w:t>
            </w:r>
            <w:proofErr w:type="spellEnd"/>
            <w:r w:rsidRPr="00F653F6">
              <w:rPr>
                <w:rFonts w:ascii="Arial Narrow" w:hAnsi="Arial Narrow"/>
                <w:sz w:val="20"/>
                <w:szCs w:val="20"/>
              </w:rPr>
              <w:t xml:space="preserve">, </w:t>
            </w:r>
            <w:proofErr w:type="spellStart"/>
            <w:r w:rsidRPr="00F653F6">
              <w:rPr>
                <w:rFonts w:ascii="Arial Narrow" w:hAnsi="Arial Narrow"/>
                <w:sz w:val="20"/>
                <w:szCs w:val="20"/>
              </w:rPr>
              <w:t>T_out</w:t>
            </w:r>
            <w:proofErr w:type="spellEnd"/>
            <w:r w:rsidRPr="00F653F6">
              <w:rPr>
                <w:rFonts w:ascii="Arial Narrow" w:hAnsi="Arial Narrow"/>
                <w:sz w:val="20"/>
                <w:szCs w:val="20"/>
              </w:rPr>
              <w:t>, Location factor, LM, waste heat portion resulting in cooling savings, waste heat increasing heating load, CF, Hours</w:t>
            </w:r>
          </w:p>
        </w:tc>
        <w:tc>
          <w:tcPr>
            <w:tcW w:w="1007" w:type="pct"/>
          </w:tcPr>
          <w:p w14:paraId="6C101E49" w14:textId="65B55C38" w:rsidR="005E318D" w:rsidRPr="00F653F6" w:rsidRDefault="005E318D" w:rsidP="00546D21">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F653F6">
              <w:rPr>
                <w:rFonts w:ascii="Arial Narrow" w:hAnsi="Arial Narrow"/>
                <w:sz w:val="20"/>
                <w:szCs w:val="20"/>
              </w:rPr>
              <w:t>IL-TRM† – Section 5.4.3 Project Documentation</w:t>
            </w:r>
          </w:p>
        </w:tc>
      </w:tr>
    </w:tbl>
    <w:p w14:paraId="2125CA82" w14:textId="3E94D4C8" w:rsidR="00F20206" w:rsidRDefault="00F20206" w:rsidP="00546D21">
      <w:pPr>
        <w:pStyle w:val="GraphFootnote"/>
        <w:keepNext/>
        <w:keepLines/>
        <w:spacing w:before="0" w:after="0"/>
      </w:pPr>
      <w:r>
        <w:t>* Program Tracking Data (PTD) provided by</w:t>
      </w:r>
      <w:r w:rsidRPr="002D2F94">
        <w:t xml:space="preserve"> </w:t>
      </w:r>
      <w:r>
        <w:t>Nicor Ga</w:t>
      </w:r>
      <w:r w:rsidRPr="002D2F94">
        <w:t>s, extract dated</w:t>
      </w:r>
      <w:r>
        <w:t xml:space="preserve"> January 3</w:t>
      </w:r>
      <w:r w:rsidR="003577ED">
        <w:t>0</w:t>
      </w:r>
      <w:r>
        <w:t>, 202</w:t>
      </w:r>
      <w:r w:rsidR="00BB3C1A">
        <w:t>5</w:t>
      </w:r>
      <w:r>
        <w:t>.</w:t>
      </w:r>
    </w:p>
    <w:p w14:paraId="41D6A250" w14:textId="723D64D2" w:rsidR="00F20206" w:rsidRPr="00F63DEC" w:rsidRDefault="00F20206" w:rsidP="00546D21">
      <w:pPr>
        <w:pStyle w:val="GraphFootnote"/>
        <w:keepNext/>
        <w:keepLines/>
        <w:spacing w:before="0" w:after="0"/>
      </w:pPr>
      <w:r w:rsidRPr="00BA3411">
        <w:t>†</w:t>
      </w:r>
      <w:r>
        <w:t xml:space="preserve"> </w:t>
      </w:r>
      <w:r w:rsidRPr="006F7D77">
        <w:t>State of Illinois Technical Reference Manual</w:t>
      </w:r>
      <w:r>
        <w:t xml:space="preserve"> version </w:t>
      </w:r>
      <w:r w:rsidR="005E318D">
        <w:t>7.0-</w:t>
      </w:r>
      <w:r w:rsidR="002C171A">
        <w:t>1</w:t>
      </w:r>
      <w:r w:rsidR="00BB3C1A">
        <w:t>2</w:t>
      </w:r>
      <w:r>
        <w:t>.0 fr</w:t>
      </w:r>
      <w:r w:rsidRPr="00F63DEC">
        <w:t xml:space="preserve">om </w:t>
      </w:r>
      <w:hyperlink r:id="rId19" w:history="1">
        <w:r w:rsidRPr="00F63DEC">
          <w:rPr>
            <w:rStyle w:val="Hyperlink"/>
          </w:rPr>
          <w:t>http://www.ilsag.info/technical-reference-manual.html</w:t>
        </w:r>
      </w:hyperlink>
      <w:r w:rsidRPr="00F63DEC">
        <w:t>.</w:t>
      </w:r>
    </w:p>
    <w:p w14:paraId="621D9CAB" w14:textId="77777777" w:rsidR="00F20206" w:rsidRDefault="00F20206" w:rsidP="00546D21">
      <w:pPr>
        <w:pStyle w:val="GraphFootnote"/>
        <w:keepNext/>
        <w:keepLines/>
        <w:spacing w:before="0" w:after="0"/>
      </w:pPr>
      <w:r w:rsidRPr="00F63DEC">
        <w:t xml:space="preserve">‡ Project files and monthly billing data provided by </w:t>
      </w:r>
      <w:r>
        <w:t xml:space="preserve">Nicor </w:t>
      </w:r>
      <w:r w:rsidRPr="00F63DEC">
        <w:t xml:space="preserve">Gas. </w:t>
      </w:r>
      <w:r>
        <w:t>Where conducted, o</w:t>
      </w:r>
      <w:r w:rsidRPr="00F63DEC">
        <w:t xml:space="preserve">n-site </w:t>
      </w:r>
      <w:r>
        <w:t xml:space="preserve">or telephone interview </w:t>
      </w:r>
      <w:r w:rsidRPr="00F63DEC">
        <w:t xml:space="preserve">data collected by </w:t>
      </w:r>
      <w:r>
        <w:t>Guidehouse.</w:t>
      </w:r>
    </w:p>
    <w:p w14:paraId="210D9EB3" w14:textId="77777777" w:rsidR="00546D21" w:rsidRPr="00FD4BC8" w:rsidRDefault="00546D21" w:rsidP="00FD4BC8">
      <w:bookmarkStart w:id="44" w:name="_Toc61360802"/>
      <w:bookmarkStart w:id="45" w:name="_Toc189833649"/>
    </w:p>
    <w:p w14:paraId="35E62FEC" w14:textId="063E59F4" w:rsidR="00F20206" w:rsidRDefault="00F20206" w:rsidP="00141312">
      <w:pPr>
        <w:pStyle w:val="Heading2"/>
        <w:numPr>
          <w:ilvl w:val="0"/>
          <w:numId w:val="0"/>
        </w:numPr>
      </w:pPr>
      <w:r>
        <w:t>Findings and Recommendations</w:t>
      </w:r>
      <w:bookmarkEnd w:id="44"/>
      <w:bookmarkEnd w:id="45"/>
    </w:p>
    <w:p w14:paraId="659D88B6" w14:textId="5047E444" w:rsidR="005E318D" w:rsidRDefault="005E318D" w:rsidP="005E318D">
      <w:pPr>
        <w:spacing w:line="264" w:lineRule="auto"/>
        <w:rPr>
          <w:bCs/>
        </w:rPr>
      </w:pPr>
      <w:r w:rsidRPr="00915A79">
        <w:rPr>
          <w:b/>
        </w:rPr>
        <w:t>Finding 1.</w:t>
      </w:r>
      <w:r>
        <w:rPr>
          <w:b/>
        </w:rPr>
        <w:t xml:space="preserve"> </w:t>
      </w:r>
      <w:r w:rsidRPr="005E318D">
        <w:rPr>
          <w:bCs/>
        </w:rPr>
        <w:t>The evaluation team adjusted several projects due to inconsistency in equipment quantities and specifications in the calculations compared with the information in the project documentation. The evaluation team’s adjustments included:</w:t>
      </w:r>
    </w:p>
    <w:p w14:paraId="1F3F039A" w14:textId="3E2399DE" w:rsidR="005E318D" w:rsidRDefault="005E318D" w:rsidP="005E318D">
      <w:pPr>
        <w:pStyle w:val="ListParagraph"/>
        <w:numPr>
          <w:ilvl w:val="0"/>
          <w:numId w:val="58"/>
        </w:numPr>
        <w:spacing w:line="264" w:lineRule="auto"/>
      </w:pPr>
      <w:r w:rsidRPr="00BB4D2A">
        <w:t xml:space="preserve">The evaluation team adjusted </w:t>
      </w:r>
      <w:r>
        <w:t>areas for windows or shell areas for four projects (AH0166, AH0172, AH0191, and AH0194). These adjustments were typically small and resulted in minor adjustments savings. Adjusting the area increased the 6% increase in the window savings for this project, but a negligible change (</w:t>
      </w:r>
      <w:r w:rsidR="00945264">
        <w:t>&lt;</w:t>
      </w:r>
      <w:r>
        <w:t>0.1%) in the overall program natural gas energy savings.</w:t>
      </w:r>
    </w:p>
    <w:p w14:paraId="28D06112" w14:textId="1F331160" w:rsidR="005E318D" w:rsidRDefault="005E318D" w:rsidP="005E318D">
      <w:pPr>
        <w:pStyle w:val="ListParagraph"/>
        <w:numPr>
          <w:ilvl w:val="0"/>
          <w:numId w:val="58"/>
        </w:numPr>
        <w:spacing w:line="264" w:lineRule="auto"/>
      </w:pPr>
      <w:r>
        <w:lastRenderedPageBreak/>
        <w:t>Appliances for two projects (AH0166 and AH0250) were claimed to be ENERGY STAR, but the provided model numbers in the SVR reports were for non-qualifying equipment. This included clothes washers for project AH0166 and dishwashers for project AH0250.</w:t>
      </w:r>
    </w:p>
    <w:p w14:paraId="28B68FBD" w14:textId="5A39AABD" w:rsidR="005E318D" w:rsidRDefault="005E318D" w:rsidP="005E318D">
      <w:pPr>
        <w:pStyle w:val="ListParagraph"/>
        <w:numPr>
          <w:ilvl w:val="0"/>
          <w:numId w:val="58"/>
        </w:numPr>
        <w:spacing w:line="264" w:lineRule="auto"/>
      </w:pPr>
      <w:r>
        <w:t>Project AH0194 included the installation of ENERGY STAR gas clothes dryers. However, based on the model number, the installed clothes dryer was an electric unit.</w:t>
      </w:r>
    </w:p>
    <w:p w14:paraId="46F65475" w14:textId="38CC5CA8" w:rsidR="005E318D" w:rsidRDefault="005E318D" w:rsidP="005E318D">
      <w:pPr>
        <w:pStyle w:val="ListParagraph"/>
        <w:numPr>
          <w:ilvl w:val="0"/>
          <w:numId w:val="58"/>
        </w:numPr>
        <w:spacing w:line="264" w:lineRule="auto"/>
      </w:pPr>
      <w:r>
        <w:t>The water heater efficiency (UEF) for project AH0166 was slightly reduced based on the manufacturer’s specifications.</w:t>
      </w:r>
    </w:p>
    <w:p w14:paraId="70A56806" w14:textId="3913B3E7" w:rsidR="005E318D" w:rsidRDefault="005E318D" w:rsidP="005E318D">
      <w:pPr>
        <w:pStyle w:val="ListParagraph"/>
        <w:numPr>
          <w:ilvl w:val="0"/>
          <w:numId w:val="58"/>
        </w:numPr>
        <w:spacing w:line="264" w:lineRule="auto"/>
      </w:pPr>
      <w:r>
        <w:t>The water heater volume for project AH0172 was slightly reduced based on the manufacturer’s specifications.</w:t>
      </w:r>
    </w:p>
    <w:p w14:paraId="02E95EA0" w14:textId="246FC048" w:rsidR="005E318D" w:rsidRDefault="005E318D" w:rsidP="005E318D">
      <w:pPr>
        <w:pStyle w:val="ListParagraph"/>
        <w:numPr>
          <w:ilvl w:val="0"/>
          <w:numId w:val="58"/>
        </w:numPr>
        <w:spacing w:line="264" w:lineRule="auto"/>
      </w:pPr>
      <w:r>
        <w:t>The water heater efficiency (UEF), volume, and input heating capacity values (BTU/</w:t>
      </w:r>
      <w:proofErr w:type="spellStart"/>
      <w:r>
        <w:t>Hr</w:t>
      </w:r>
      <w:proofErr w:type="spellEnd"/>
      <w:r>
        <w:t>) were significantly adjusted for project AH0194. The cause is unclear but appears to potentially be due to a change in installed equipment.</w:t>
      </w:r>
    </w:p>
    <w:p w14:paraId="6F8487AC" w14:textId="542B64AE" w:rsidR="005E318D" w:rsidRDefault="005E318D" w:rsidP="005E318D">
      <w:pPr>
        <w:tabs>
          <w:tab w:val="left" w:pos="720"/>
        </w:tabs>
        <w:spacing w:line="264" w:lineRule="auto"/>
        <w:ind w:left="900" w:hanging="360"/>
      </w:pPr>
      <w:r w:rsidRPr="00BE1CA5">
        <w:rPr>
          <w:b/>
        </w:rPr>
        <w:t>Recommendation</w:t>
      </w:r>
      <w:r>
        <w:rPr>
          <w:b/>
          <w:bCs/>
        </w:rPr>
        <w:t xml:space="preserve"> 1.  </w:t>
      </w:r>
      <w:r w:rsidRPr="004D39CC">
        <w:rPr>
          <w:rFonts w:eastAsia="Arial" w:cs="Arial"/>
          <w:color w:val="000000" w:themeColor="text1"/>
        </w:rPr>
        <w:t>Consider adding quality control checks to ensure that claimed window areas are correct.</w:t>
      </w:r>
    </w:p>
    <w:p w14:paraId="30422CB9" w14:textId="558CEEEE" w:rsidR="008165D0" w:rsidRPr="00915A79" w:rsidRDefault="008165D0" w:rsidP="008165D0">
      <w:pPr>
        <w:rPr>
          <w:b/>
        </w:rPr>
      </w:pPr>
      <w:r w:rsidRPr="00915A79">
        <w:rPr>
          <w:b/>
        </w:rPr>
        <w:t>Finding 2.</w:t>
      </w:r>
      <w:r w:rsidR="005E318D">
        <w:rPr>
          <w:b/>
        </w:rPr>
        <w:t xml:space="preserve"> </w:t>
      </w:r>
      <w:r w:rsidR="005E318D" w:rsidRPr="00BB4D2A">
        <w:t xml:space="preserve">The evaluation team adjusted </w:t>
      </w:r>
      <w:r w:rsidR="005E318D">
        <w:t>reduced infiltration savings for two projects (AH0108 and AH0250) due to incorrect CFM50 values being used in the analysis. Project AH0108 appeared to use an estimated or placeholder value in the analysis. The placeholder value was not updated when the blower door test results were available. The source of the CFM50 value for AH0250 is unclear but does not match the blower door test results provided with the project. It is possible that the input value is also a placeholder value or was input incorrectly.</w:t>
      </w:r>
    </w:p>
    <w:p w14:paraId="75BA8441" w14:textId="5C6A81C1" w:rsidR="008165D0" w:rsidRDefault="008165D0" w:rsidP="008165D0">
      <w:pPr>
        <w:tabs>
          <w:tab w:val="left" w:pos="720"/>
        </w:tabs>
        <w:spacing w:line="264" w:lineRule="auto"/>
        <w:ind w:left="900" w:hanging="360"/>
      </w:pPr>
      <w:r w:rsidRPr="00BE1CA5">
        <w:rPr>
          <w:b/>
        </w:rPr>
        <w:t>Recommendation</w:t>
      </w:r>
      <w:r>
        <w:rPr>
          <w:b/>
          <w:bCs/>
        </w:rPr>
        <w:t xml:space="preserve"> 2.  </w:t>
      </w:r>
      <w:r w:rsidR="005E318D" w:rsidRPr="004D39CC">
        <w:rPr>
          <w:rFonts w:eastAsia="Arial" w:cs="Arial"/>
          <w:color w:val="000000" w:themeColor="text1"/>
        </w:rPr>
        <w:t>Consider adding quality control checks to ensure that project savings and documentation are updated to reflect as-installed equipment.</w:t>
      </w:r>
    </w:p>
    <w:p w14:paraId="6F432930" w14:textId="3F56868E" w:rsidR="008165D0" w:rsidRPr="00915A79" w:rsidRDefault="008165D0" w:rsidP="008165D0">
      <w:pPr>
        <w:rPr>
          <w:b/>
        </w:rPr>
      </w:pPr>
      <w:r w:rsidRPr="00915A79">
        <w:rPr>
          <w:b/>
        </w:rPr>
        <w:t>Finding 3.</w:t>
      </w:r>
      <w:r w:rsidR="005E318D">
        <w:rPr>
          <w:b/>
        </w:rPr>
        <w:t xml:space="preserve"> </w:t>
      </w:r>
      <w:r w:rsidR="005E318D">
        <w:t>The evaluation team adjusted HVAC savings for two projects (AH0166 and AH0172) due to HVAC units installed to serve commercial spaces being listed as residential units. This change also impacted the advanced HVAC controls savings for project AH0172. These changes reduced the HVAC equipment savings by 0.</w:t>
      </w:r>
      <w:r w:rsidR="005F10AE">
        <w:t>5</w:t>
      </w:r>
      <w:r w:rsidR="005E318D">
        <w:t>%, the advanced HVAC controls savings by 1.</w:t>
      </w:r>
      <w:r w:rsidR="005F10AE">
        <w:t>1</w:t>
      </w:r>
      <w:r w:rsidR="005E318D">
        <w:t>%, and the overall program savings by 0.</w:t>
      </w:r>
      <w:r w:rsidR="009672D9">
        <w:t>3</w:t>
      </w:r>
      <w:r w:rsidR="005E318D">
        <w:t>%.</w:t>
      </w:r>
    </w:p>
    <w:p w14:paraId="7E900960" w14:textId="509DBEF9" w:rsidR="008165D0" w:rsidRPr="005E318D" w:rsidRDefault="008165D0" w:rsidP="008165D0">
      <w:pPr>
        <w:tabs>
          <w:tab w:val="left" w:pos="720"/>
        </w:tabs>
        <w:spacing w:line="264" w:lineRule="auto"/>
        <w:ind w:left="900" w:hanging="360"/>
      </w:pPr>
      <w:r w:rsidRPr="00BE1CA5">
        <w:rPr>
          <w:b/>
        </w:rPr>
        <w:t>Recommendation</w:t>
      </w:r>
      <w:r>
        <w:rPr>
          <w:b/>
          <w:bCs/>
        </w:rPr>
        <w:t xml:space="preserve"> 3.  </w:t>
      </w:r>
      <w:r w:rsidR="005E318D">
        <w:t>Ensure that calculation methodologies for HVAC equipment accurately reflect the space types served, including using correct heating and cooling effective full load hour values from the TRM.</w:t>
      </w:r>
    </w:p>
    <w:p w14:paraId="3B82BB73" w14:textId="127C045D" w:rsidR="005E318D" w:rsidRPr="00915A79" w:rsidRDefault="005E318D" w:rsidP="005E318D">
      <w:pPr>
        <w:rPr>
          <w:b/>
        </w:rPr>
      </w:pPr>
      <w:r w:rsidRPr="00915A79">
        <w:rPr>
          <w:b/>
        </w:rPr>
        <w:t xml:space="preserve">Finding </w:t>
      </w:r>
      <w:r>
        <w:rPr>
          <w:b/>
        </w:rPr>
        <w:t>4</w:t>
      </w:r>
      <w:r w:rsidRPr="00915A79">
        <w:rPr>
          <w:b/>
        </w:rPr>
        <w:t>.</w:t>
      </w:r>
      <w:r>
        <w:rPr>
          <w:b/>
        </w:rPr>
        <w:t xml:space="preserve"> </w:t>
      </w:r>
      <w:r>
        <w:t xml:space="preserve">Ex ante showerhead savings were calculated based on TRM assumptions on the number of showerheads per tenant unit. The project documentation includes sufficient information to use the actual number of showerheads per tenant unit in the calculation rather than using the TRM default assumptions, increasing the accuracy of the savings estimate. The evaluation updated the analysis to reflect the as-installed condition for each project, which decreased the natural gas hot water conservation savings by </w:t>
      </w:r>
      <w:r w:rsidR="009672D9">
        <w:t>4.2</w:t>
      </w:r>
      <w:r>
        <w:t>%.</w:t>
      </w:r>
    </w:p>
    <w:p w14:paraId="215DFFAC" w14:textId="556005C0" w:rsidR="005E318D" w:rsidRDefault="005E318D" w:rsidP="005E318D">
      <w:pPr>
        <w:tabs>
          <w:tab w:val="left" w:pos="720"/>
        </w:tabs>
        <w:spacing w:line="264" w:lineRule="auto"/>
        <w:ind w:left="900" w:hanging="360"/>
      </w:pPr>
      <w:r w:rsidRPr="00BE1CA5">
        <w:rPr>
          <w:b/>
        </w:rPr>
        <w:t>Recommendation</w:t>
      </w:r>
      <w:r>
        <w:rPr>
          <w:b/>
          <w:bCs/>
        </w:rPr>
        <w:t xml:space="preserve"> 4. </w:t>
      </w:r>
      <w:r>
        <w:t xml:space="preserve">The calculation approach should be updated to accurately reflect the number of installed showerheads per tenant unit when that data is available. </w:t>
      </w:r>
      <w:r>
        <w:rPr>
          <w:b/>
          <w:bCs/>
        </w:rPr>
        <w:t xml:space="preserve">  </w:t>
      </w:r>
    </w:p>
    <w:p w14:paraId="43F69484" w14:textId="3C6661C0" w:rsidR="00D96F1B" w:rsidRPr="00915A79" w:rsidRDefault="00D96F1B" w:rsidP="008F45C9">
      <w:pPr>
        <w:rPr>
          <w:b/>
        </w:rPr>
      </w:pPr>
      <w:r w:rsidRPr="00915A79">
        <w:rPr>
          <w:b/>
        </w:rPr>
        <w:t xml:space="preserve">Finding </w:t>
      </w:r>
      <w:r w:rsidR="008F45C9">
        <w:rPr>
          <w:b/>
        </w:rPr>
        <w:t>5</w:t>
      </w:r>
      <w:r w:rsidRPr="00915A79">
        <w:rPr>
          <w:b/>
        </w:rPr>
        <w:t>.</w:t>
      </w:r>
      <w:r>
        <w:rPr>
          <w:b/>
        </w:rPr>
        <w:t xml:space="preserve"> </w:t>
      </w:r>
      <w:r w:rsidR="008F45C9">
        <w:t>The evaluation team adjusted savings for one project due to a tracking error. The savings for project AH0108 in the Nicor Gas tracking system were 13,33</w:t>
      </w:r>
      <w:r w:rsidR="00A45091">
        <w:t>0</w:t>
      </w:r>
      <w:r w:rsidR="008F45C9">
        <w:t xml:space="preserve"> therms. The source of the discrepancy is unknown.</w:t>
      </w:r>
    </w:p>
    <w:p w14:paraId="65AC6D6F" w14:textId="193B8BBA" w:rsidR="00D96F1B" w:rsidRDefault="00D96F1B" w:rsidP="00D96F1B">
      <w:pPr>
        <w:tabs>
          <w:tab w:val="left" w:pos="720"/>
        </w:tabs>
        <w:spacing w:line="264" w:lineRule="auto"/>
        <w:ind w:left="900" w:hanging="360"/>
      </w:pPr>
      <w:r w:rsidRPr="00BE1CA5">
        <w:rPr>
          <w:b/>
        </w:rPr>
        <w:lastRenderedPageBreak/>
        <w:t>Recommendation</w:t>
      </w:r>
      <w:r>
        <w:rPr>
          <w:b/>
          <w:bCs/>
        </w:rPr>
        <w:t xml:space="preserve"> </w:t>
      </w:r>
      <w:r w:rsidR="008F45C9">
        <w:rPr>
          <w:b/>
          <w:bCs/>
        </w:rPr>
        <w:t>5</w:t>
      </w:r>
      <w:r>
        <w:rPr>
          <w:b/>
          <w:bCs/>
        </w:rPr>
        <w:t xml:space="preserve">. </w:t>
      </w:r>
      <w:r w:rsidR="00376468">
        <w:t xml:space="preserve">Ensure consistency in savings between </w:t>
      </w:r>
      <w:r w:rsidR="007B47B7">
        <w:t>implementer calculations and utility tracking system data.</w:t>
      </w:r>
      <w:r>
        <w:t xml:space="preserve"> </w:t>
      </w:r>
      <w:r>
        <w:rPr>
          <w:b/>
          <w:bCs/>
        </w:rPr>
        <w:t xml:space="preserve">  </w:t>
      </w:r>
    </w:p>
    <w:p w14:paraId="37421B56" w14:textId="77777777" w:rsidR="00F20206" w:rsidRDefault="00F20206" w:rsidP="00F20206">
      <w:pPr>
        <w:pStyle w:val="Source"/>
        <w:ind w:firstLine="810"/>
      </w:pPr>
    </w:p>
    <w:p w14:paraId="6564E073" w14:textId="0F438D99" w:rsidR="0030238F" w:rsidRDefault="0030238F" w:rsidP="007C6221">
      <w:pPr>
        <w:pStyle w:val="BodyText"/>
        <w:sectPr w:rsidR="0030238F" w:rsidSect="006905E3">
          <w:pgSz w:w="12240" w:h="15840" w:code="1"/>
          <w:pgMar w:top="1440" w:right="1440" w:bottom="1440" w:left="1440" w:header="720" w:footer="720" w:gutter="0"/>
          <w:cols w:space="720"/>
          <w:docGrid w:linePitch="360"/>
        </w:sectPr>
      </w:pPr>
    </w:p>
    <w:p w14:paraId="755F0277" w14:textId="15608F65" w:rsidR="00E96054" w:rsidRPr="00975872" w:rsidRDefault="00740836" w:rsidP="00141312">
      <w:pPr>
        <w:pStyle w:val="Heading5"/>
        <w:rPr>
          <w:sz w:val="28"/>
          <w:szCs w:val="28"/>
        </w:rPr>
      </w:pPr>
      <w:bookmarkStart w:id="46" w:name="_Ref65052649"/>
      <w:bookmarkStart w:id="47" w:name="_Ref65054436"/>
      <w:bookmarkStart w:id="48" w:name="_Ref65054442"/>
      <w:bookmarkStart w:id="49" w:name="_Toc189833650"/>
      <w:r w:rsidRPr="00975872">
        <w:rPr>
          <w:sz w:val="28"/>
          <w:szCs w:val="28"/>
        </w:rPr>
        <w:lastRenderedPageBreak/>
        <w:t>Impact Analysis Methodology</w:t>
      </w:r>
      <w:bookmarkEnd w:id="46"/>
      <w:bookmarkEnd w:id="47"/>
      <w:bookmarkEnd w:id="48"/>
      <w:bookmarkEnd w:id="49"/>
    </w:p>
    <w:p w14:paraId="2285E090" w14:textId="7317EF1F" w:rsidR="00F20206" w:rsidRDefault="00F20206" w:rsidP="00F20206">
      <w:r>
        <w:t>The evaluation team conducted site-specific research to verify project savings that were not based on measures specified in the TRM. Projects were randomly selected through a stratified sample design at the tracking record level using the population gross therm savings determined from program tracking data. Strata were defined by project size, based on gross energy savings boundaries that placed about one</w:t>
      </w:r>
      <w:r>
        <w:rPr>
          <w:rFonts w:ascii="Cambria Math" w:hAnsi="Cambria Math" w:cs="Cambria Math"/>
        </w:rPr>
        <w:t>‐</w:t>
      </w:r>
      <w:r>
        <w:t>third of program</w:t>
      </w:r>
      <w:r>
        <w:rPr>
          <w:rFonts w:ascii="Cambria Math" w:hAnsi="Cambria Math" w:cs="Cambria Math"/>
        </w:rPr>
        <w:t>‐</w:t>
      </w:r>
      <w:r>
        <w:t xml:space="preserve">level savings into each stratum. </w:t>
      </w:r>
    </w:p>
    <w:p w14:paraId="054425F6" w14:textId="77777777" w:rsidR="00F20206" w:rsidRPr="00975872" w:rsidRDefault="00F20206" w:rsidP="009A4A6A">
      <w:pPr>
        <w:pStyle w:val="BodyTextBold"/>
        <w:rPr>
          <w:sz w:val="24"/>
          <w:szCs w:val="24"/>
        </w:rPr>
      </w:pPr>
      <w:r w:rsidRPr="00975872">
        <w:rPr>
          <w:sz w:val="24"/>
          <w:szCs w:val="24"/>
        </w:rPr>
        <w:t>Engineering Review of Project Files</w:t>
      </w:r>
    </w:p>
    <w:p w14:paraId="6637F7EE" w14:textId="7454AA85" w:rsidR="00F20206" w:rsidRDefault="00F20206" w:rsidP="00F20206">
      <w:r>
        <w:t>For each project, an in-depth application review is performed to assess the engineering methods, parameters and assumptions used to generate all ex ante impact estimates. For each measure in the sampled project, engineers estimated ex post gross savings based on their review of documentation and engineering analysis.</w:t>
      </w:r>
    </w:p>
    <w:p w14:paraId="1674E285" w14:textId="74C203B5" w:rsidR="00221287" w:rsidRPr="00221287" w:rsidRDefault="00F20206" w:rsidP="00221287">
      <w:r w:rsidRPr="006244D1">
        <w:t xml:space="preserve">To support this review, </w:t>
      </w:r>
      <w:r>
        <w:t xml:space="preserve">the implementation contractor </w:t>
      </w:r>
      <w:r w:rsidRPr="006244D1">
        <w:t xml:space="preserve">provided project documentation in electronic format for each sampled project. Documentation included some or all scanned files of hardcopy application forms and supporting documentation from the applicant (invoices, measure specification sheets, and vendor proposals), pre-inspection reports and photos, post inspection reports and photos, and calculation spreadsheets. </w:t>
      </w:r>
      <w:bookmarkStart w:id="50" w:name="_Hlk501714572"/>
      <w:bookmarkStart w:id="51" w:name="_Toc507870205"/>
      <w:bookmarkStart w:id="52" w:name="_Toc512873036"/>
    </w:p>
    <w:bookmarkEnd w:id="50"/>
    <w:p w14:paraId="4F416824" w14:textId="18029336" w:rsidR="00F20206" w:rsidRDefault="007D5E6F" w:rsidP="00F20206">
      <w:r>
        <w:fldChar w:fldCharType="begin"/>
      </w:r>
      <w:r>
        <w:instrText xml:space="preserve"> REF _Ref192510562 \h </w:instrText>
      </w:r>
      <w:r>
        <w:fldChar w:fldCharType="separate"/>
      </w:r>
      <w:r>
        <w:t xml:space="preserve">Table </w:t>
      </w:r>
      <w:r>
        <w:rPr>
          <w:noProof/>
        </w:rPr>
        <w:t>A</w:t>
      </w:r>
      <w:r>
        <w:noBreakHyphen/>
      </w:r>
      <w:r>
        <w:rPr>
          <w:noProof/>
        </w:rPr>
        <w:t>1</w:t>
      </w:r>
      <w:r>
        <w:fldChar w:fldCharType="end"/>
      </w:r>
      <w:r w:rsidR="004879D0">
        <w:t xml:space="preserve"> </w:t>
      </w:r>
      <w:r w:rsidR="004879D0" w:rsidRPr="008306B0">
        <w:t>describes the natural gas savings measures included in each research category.</w:t>
      </w:r>
    </w:p>
    <w:p w14:paraId="0BBFEDF9" w14:textId="77777777" w:rsidR="004879D0" w:rsidRDefault="004879D0" w:rsidP="004879D0">
      <w:r>
        <w:t>The natural gas savings for each measure are calculated by the template based on the specifications for the individual equipment installed and the calculation approach specified in the Illinois TRM for the installed measure.</w:t>
      </w:r>
    </w:p>
    <w:p w14:paraId="2988B6B4" w14:textId="6DE4B652" w:rsidR="004879D0" w:rsidRDefault="004879D0" w:rsidP="004879D0">
      <w:r>
        <w:t xml:space="preserve">The evaluation team applied algorithms outlined in the IL-TRM in use when the project applications were submitted to calculate AHNC program verified gross savings. One project was based on IL-TRM </w:t>
      </w:r>
      <w:r w:rsidR="002719F6">
        <w:t xml:space="preserve">v7.0, </w:t>
      </w:r>
      <w:r w:rsidR="00161DB6">
        <w:t xml:space="preserve">three projects were based on IL-TRM </w:t>
      </w:r>
      <w:r>
        <w:t xml:space="preserve">v8.0, </w:t>
      </w:r>
      <w:r w:rsidR="00161DB6">
        <w:t>three</w:t>
      </w:r>
      <w:r>
        <w:t xml:space="preserve"> project were based on IL-TRM v9.0, and one was based on IL-TRM v1</w:t>
      </w:r>
      <w:r w:rsidR="00161DB6">
        <w:t>1</w:t>
      </w:r>
      <w:r>
        <w:t xml:space="preserve">.0. </w:t>
      </w:r>
    </w:p>
    <w:p w14:paraId="292283E6" w14:textId="55BEDC0B" w:rsidR="004879D0" w:rsidRDefault="004879D0" w:rsidP="004879D0">
      <w:r>
        <w:t xml:space="preserve">The team verified that these algorithms and appropriate deemed input parameters were applied correctly and validated any custom parameters through project documentation and actual equipment specifications. The evaluation team calculated verified net savings by multiplying the verified gross savings by the net-to-gross (NTG) ratio approved through a consensus process managed through the Illinois State Advisory Group (SAG). </w:t>
      </w:r>
      <w:r w:rsidR="007D5E6F">
        <w:fldChar w:fldCharType="begin"/>
      </w:r>
      <w:r w:rsidR="007D5E6F">
        <w:instrText xml:space="preserve"> REF _Ref192510562 \h </w:instrText>
      </w:r>
      <w:r w:rsidR="007D5E6F">
        <w:fldChar w:fldCharType="separate"/>
      </w:r>
      <w:r w:rsidR="007D5E6F">
        <w:t xml:space="preserve">Table </w:t>
      </w:r>
      <w:r w:rsidR="007D5E6F">
        <w:rPr>
          <w:noProof/>
        </w:rPr>
        <w:t>A</w:t>
      </w:r>
      <w:r w:rsidR="007D5E6F">
        <w:noBreakHyphen/>
      </w:r>
      <w:r w:rsidR="007D5E6F">
        <w:rPr>
          <w:noProof/>
        </w:rPr>
        <w:t>1</w:t>
      </w:r>
      <w:r w:rsidR="007D5E6F">
        <w:fldChar w:fldCharType="end"/>
      </w:r>
      <w:r>
        <w:t xml:space="preserve"> presents the parameters used in the verified gross and net savings calculations and indicates which were calculated through evaluation activities and which were deemed.</w:t>
      </w:r>
      <w:r w:rsidRPr="004879D0">
        <w:t xml:space="preserve"> </w:t>
      </w:r>
    </w:p>
    <w:p w14:paraId="3B05A898" w14:textId="442469C6" w:rsidR="00D2502F" w:rsidRDefault="007D5E6F" w:rsidP="007D5E6F">
      <w:pPr>
        <w:pStyle w:val="Caption"/>
      </w:pPr>
      <w:bookmarkStart w:id="53" w:name="_Ref192510562"/>
      <w:bookmarkStart w:id="54" w:name="_Toc192510628"/>
      <w:r>
        <w:lastRenderedPageBreak/>
        <w:t xml:space="preserve">Table </w:t>
      </w:r>
      <w:r>
        <w:fldChar w:fldCharType="begin"/>
      </w:r>
      <w:r>
        <w:instrText xml:space="preserve"> STYLEREF 5 \s </w:instrText>
      </w:r>
      <w:r>
        <w:fldChar w:fldCharType="separate"/>
      </w:r>
      <w:r>
        <w:rPr>
          <w:noProof/>
        </w:rPr>
        <w:t>A</w:t>
      </w:r>
      <w:r>
        <w:fldChar w:fldCharType="end"/>
      </w:r>
      <w:r>
        <w:noBreakHyphen/>
      </w:r>
      <w:r>
        <w:fldChar w:fldCharType="begin"/>
      </w:r>
      <w:r>
        <w:instrText xml:space="preserve"> SEQ Table_APX \* ARABIC \s 5 </w:instrText>
      </w:r>
      <w:r>
        <w:fldChar w:fldCharType="separate"/>
      </w:r>
      <w:r>
        <w:rPr>
          <w:noProof/>
        </w:rPr>
        <w:t>1</w:t>
      </w:r>
      <w:r>
        <w:fldChar w:fldCharType="end"/>
      </w:r>
      <w:bookmarkEnd w:id="53"/>
      <w:r>
        <w:t>. Equipment by Savings Category</w:t>
      </w:r>
      <w:bookmarkEnd w:id="54"/>
    </w:p>
    <w:tbl>
      <w:tblPr>
        <w:tblStyle w:val="EnergyTable"/>
        <w:tblW w:w="5000" w:type="pct"/>
        <w:tblLook w:val="04A0" w:firstRow="1" w:lastRow="0" w:firstColumn="1" w:lastColumn="0" w:noHBand="0" w:noVBand="1"/>
      </w:tblPr>
      <w:tblGrid>
        <w:gridCol w:w="3824"/>
        <w:gridCol w:w="3308"/>
        <w:gridCol w:w="2228"/>
      </w:tblGrid>
      <w:tr w:rsidR="008B0DF5" w14:paraId="1647E903" w14:textId="77777777" w:rsidTr="002D51BA">
        <w:trPr>
          <w:cnfStyle w:val="100000000000" w:firstRow="1" w:lastRow="0" w:firstColumn="0" w:lastColumn="0" w:oddVBand="0" w:evenVBand="0" w:oddHBand="0"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2043" w:type="pct"/>
          </w:tcPr>
          <w:p w14:paraId="58411489" w14:textId="5551989C" w:rsidR="008B0DF5" w:rsidRPr="00BE7EDD" w:rsidRDefault="001B0920" w:rsidP="009C7715">
            <w:pPr>
              <w:keepNext/>
              <w:keepLines/>
              <w:jc w:val="left"/>
              <w:rPr>
                <w:rFonts w:ascii="Arial Narrow" w:hAnsi="Arial Narrow"/>
              </w:rPr>
            </w:pPr>
            <w:r>
              <w:rPr>
                <w:rFonts w:ascii="Arial Narrow" w:hAnsi="Arial Narrow"/>
              </w:rPr>
              <w:t>High-Performance Windows</w:t>
            </w:r>
          </w:p>
        </w:tc>
        <w:tc>
          <w:tcPr>
            <w:tcW w:w="1767" w:type="pct"/>
          </w:tcPr>
          <w:p w14:paraId="53BDBC76" w14:textId="0C4B4BF9" w:rsidR="008B0DF5" w:rsidRDefault="001B0920" w:rsidP="009C7715">
            <w:pPr>
              <w:keepNext/>
              <w:keepLines/>
              <w:jc w:val="left"/>
              <w:cnfStyle w:val="100000000000" w:firstRow="1"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High Performance Windows</w:t>
            </w:r>
          </w:p>
        </w:tc>
        <w:tc>
          <w:tcPr>
            <w:tcW w:w="1190" w:type="pct"/>
          </w:tcPr>
          <w:p w14:paraId="30F3DBE7" w14:textId="58E2F971" w:rsidR="008B0DF5" w:rsidRDefault="008B0DF5" w:rsidP="001B0920">
            <w:pPr>
              <w:keepNext/>
              <w:keepLines/>
              <w:jc w:val="right"/>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31588A">
              <w:rPr>
                <w:rFonts w:ascii="Arial Narrow" w:hAnsi="Arial Narrow"/>
              </w:rPr>
              <w:t>AH0</w:t>
            </w:r>
            <w:r w:rsidR="006E7079">
              <w:rPr>
                <w:rFonts w:ascii="Arial Narrow" w:hAnsi="Arial Narrow"/>
              </w:rPr>
              <w:t>095, AH</w:t>
            </w:r>
            <w:r w:rsidR="000100F8">
              <w:rPr>
                <w:rFonts w:ascii="Arial Narrow" w:hAnsi="Arial Narrow"/>
              </w:rPr>
              <w:t>0166, AH0167, AH0172, AH0191</w:t>
            </w:r>
            <w:r w:rsidR="00343CC4">
              <w:rPr>
                <w:rFonts w:ascii="Arial Narrow" w:hAnsi="Arial Narrow"/>
              </w:rPr>
              <w:t>, AH0194, AH0250</w:t>
            </w:r>
          </w:p>
        </w:tc>
      </w:tr>
      <w:tr w:rsidR="001B0920" w14:paraId="0E29A7E3" w14:textId="77777777" w:rsidTr="002D5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3" w:type="pct"/>
          </w:tcPr>
          <w:p w14:paraId="6D0E3DAF" w14:textId="1905601D" w:rsidR="001B0920" w:rsidRPr="0031588A" w:rsidRDefault="001B0920" w:rsidP="001B0920">
            <w:pPr>
              <w:keepNext/>
              <w:keepLines/>
              <w:jc w:val="left"/>
              <w:rPr>
                <w:rFonts w:ascii="Arial Narrow" w:hAnsi="Arial Narrow"/>
              </w:rPr>
            </w:pPr>
            <w:r>
              <w:rPr>
                <w:rFonts w:ascii="Arial Narrow" w:hAnsi="Arial Narrow"/>
              </w:rPr>
              <w:t>Reduced Infiltration</w:t>
            </w:r>
          </w:p>
        </w:tc>
        <w:tc>
          <w:tcPr>
            <w:tcW w:w="1767" w:type="pct"/>
          </w:tcPr>
          <w:p w14:paraId="56615D75" w14:textId="7E45009D" w:rsidR="001B0920" w:rsidRPr="0031588A" w:rsidRDefault="001B0920" w:rsidP="001B0920">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Air-Sealing</w:t>
            </w:r>
          </w:p>
        </w:tc>
        <w:tc>
          <w:tcPr>
            <w:tcW w:w="1190" w:type="pct"/>
          </w:tcPr>
          <w:p w14:paraId="704B2725" w14:textId="010E70EF" w:rsidR="001B0920" w:rsidRPr="0031588A" w:rsidRDefault="00B074B1" w:rsidP="001B0920">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All</w:t>
            </w:r>
          </w:p>
        </w:tc>
      </w:tr>
      <w:tr w:rsidR="001B0920" w14:paraId="7DCDA94E" w14:textId="77777777" w:rsidTr="002D51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3" w:type="pct"/>
          </w:tcPr>
          <w:p w14:paraId="47434A35" w14:textId="5005BEB8" w:rsidR="001B0920" w:rsidRPr="0031588A" w:rsidRDefault="001B0920" w:rsidP="001B0920">
            <w:pPr>
              <w:keepNext/>
              <w:keepLines/>
              <w:jc w:val="left"/>
              <w:rPr>
                <w:rFonts w:ascii="Arial Narrow" w:hAnsi="Arial Narrow"/>
              </w:rPr>
            </w:pPr>
            <w:r w:rsidRPr="00363798">
              <w:rPr>
                <w:rFonts w:ascii="Arial Narrow" w:hAnsi="Arial Narrow"/>
              </w:rPr>
              <w:t>Reduced Thermal Bridging</w:t>
            </w:r>
          </w:p>
        </w:tc>
        <w:tc>
          <w:tcPr>
            <w:tcW w:w="1767" w:type="pct"/>
          </w:tcPr>
          <w:p w14:paraId="3EF1244F" w14:textId="77777777" w:rsidR="001B0920" w:rsidRDefault="001B0920" w:rsidP="001B0920">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363798">
              <w:rPr>
                <w:rFonts w:ascii="Arial Narrow" w:hAnsi="Arial Narrow"/>
              </w:rPr>
              <w:t>Wall Insulation</w:t>
            </w:r>
          </w:p>
          <w:p w14:paraId="7B82AB5E" w14:textId="1E163C0A" w:rsidR="001B0920" w:rsidRPr="0031588A" w:rsidRDefault="001B0920" w:rsidP="001B0920">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rPr>
              <w:t>Roof/Attic Insulation</w:t>
            </w:r>
          </w:p>
        </w:tc>
        <w:tc>
          <w:tcPr>
            <w:tcW w:w="1190" w:type="pct"/>
          </w:tcPr>
          <w:p w14:paraId="5EF5265D" w14:textId="664FFA6E" w:rsidR="001B0920" w:rsidRPr="0031588A" w:rsidRDefault="00B074B1" w:rsidP="001B0920">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31588A">
              <w:rPr>
                <w:rFonts w:ascii="Arial Narrow" w:hAnsi="Arial Narrow"/>
              </w:rPr>
              <w:t>AH0</w:t>
            </w:r>
            <w:r>
              <w:rPr>
                <w:rFonts w:ascii="Arial Narrow" w:hAnsi="Arial Narrow"/>
              </w:rPr>
              <w:t xml:space="preserve">095, </w:t>
            </w:r>
            <w:r w:rsidR="00771777">
              <w:rPr>
                <w:rFonts w:ascii="Arial Narrow" w:hAnsi="Arial Narrow"/>
              </w:rPr>
              <w:t xml:space="preserve">AH0108, </w:t>
            </w:r>
            <w:r>
              <w:rPr>
                <w:rFonts w:ascii="Arial Narrow" w:hAnsi="Arial Narrow"/>
              </w:rPr>
              <w:t>AH0166, AH0167</w:t>
            </w:r>
          </w:p>
        </w:tc>
      </w:tr>
      <w:tr w:rsidR="001B0920" w14:paraId="5A48D2B5" w14:textId="77777777" w:rsidTr="002D5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3" w:type="pct"/>
          </w:tcPr>
          <w:p w14:paraId="73A24ECA" w14:textId="77777777" w:rsidR="001B0920" w:rsidRPr="00BE7EDD" w:rsidRDefault="001B0920" w:rsidP="001B0920">
            <w:pPr>
              <w:keepNext/>
              <w:keepLines/>
              <w:jc w:val="left"/>
              <w:rPr>
                <w:rFonts w:ascii="Arial Narrow" w:hAnsi="Arial Narrow"/>
              </w:rPr>
            </w:pPr>
            <w:r w:rsidRPr="0031588A">
              <w:rPr>
                <w:rFonts w:ascii="Arial Narrow" w:hAnsi="Arial Narrow"/>
              </w:rPr>
              <w:t>High-Performance HVAC Equipment</w:t>
            </w:r>
          </w:p>
        </w:tc>
        <w:tc>
          <w:tcPr>
            <w:tcW w:w="1767" w:type="pct"/>
          </w:tcPr>
          <w:p w14:paraId="34B5A075" w14:textId="77777777" w:rsidR="001B0920" w:rsidRDefault="001B0920" w:rsidP="001B0920">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High Efficiency Furnaces</w:t>
            </w:r>
          </w:p>
          <w:p w14:paraId="36D972C2" w14:textId="77777777" w:rsidR="001B0920" w:rsidRDefault="001B0920" w:rsidP="001B0920">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High Efficiency Boilers</w:t>
            </w:r>
          </w:p>
        </w:tc>
        <w:tc>
          <w:tcPr>
            <w:tcW w:w="1190" w:type="pct"/>
          </w:tcPr>
          <w:p w14:paraId="4F14568A" w14:textId="17954757" w:rsidR="001B0920" w:rsidRDefault="00974F7C" w:rsidP="001B0920">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AH0166, AH0167, AH0172</w:t>
            </w:r>
            <w:r w:rsidR="00BF2740">
              <w:rPr>
                <w:rFonts w:ascii="Arial Narrow" w:hAnsi="Arial Narrow"/>
              </w:rPr>
              <w:t>, AH0194, AH0250</w:t>
            </w:r>
          </w:p>
        </w:tc>
      </w:tr>
      <w:tr w:rsidR="001B0920" w14:paraId="41440B93" w14:textId="77777777" w:rsidTr="002D51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3" w:type="pct"/>
          </w:tcPr>
          <w:p w14:paraId="38DCE092" w14:textId="773B38BA" w:rsidR="001B0920" w:rsidRPr="0031588A" w:rsidRDefault="001B0920" w:rsidP="001B0920">
            <w:pPr>
              <w:keepNext/>
              <w:keepLines/>
              <w:jc w:val="left"/>
              <w:rPr>
                <w:rFonts w:ascii="Arial Narrow" w:hAnsi="Arial Narrow"/>
              </w:rPr>
            </w:pPr>
            <w:r>
              <w:rPr>
                <w:rFonts w:ascii="Arial Narrow" w:hAnsi="Arial Narrow"/>
              </w:rPr>
              <w:t>Efficient Ventilation</w:t>
            </w:r>
          </w:p>
        </w:tc>
        <w:tc>
          <w:tcPr>
            <w:tcW w:w="1767" w:type="pct"/>
          </w:tcPr>
          <w:p w14:paraId="0CA009B9" w14:textId="1DE1A360" w:rsidR="001B0920" w:rsidRDefault="00BF2740" w:rsidP="001B0920">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rPr>
              <w:t>Energy Recovery Units</w:t>
            </w:r>
          </w:p>
        </w:tc>
        <w:tc>
          <w:tcPr>
            <w:tcW w:w="1190" w:type="pct"/>
          </w:tcPr>
          <w:p w14:paraId="72A1B906" w14:textId="03AF9F83" w:rsidR="001B0920" w:rsidRDefault="00F536B7" w:rsidP="00271AEB">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rPr>
              <w:t>AH0108, AH0167</w:t>
            </w:r>
          </w:p>
        </w:tc>
      </w:tr>
      <w:tr w:rsidR="001B0920" w14:paraId="7779B185" w14:textId="77777777" w:rsidTr="002D5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3" w:type="pct"/>
            <w:vAlign w:val="top"/>
          </w:tcPr>
          <w:p w14:paraId="262523E8" w14:textId="7DDC07CC" w:rsidR="001B0920" w:rsidRPr="0031588A" w:rsidRDefault="001B0920" w:rsidP="001B0920">
            <w:pPr>
              <w:keepNext/>
              <w:keepLines/>
              <w:jc w:val="left"/>
              <w:rPr>
                <w:rFonts w:ascii="Arial Narrow" w:hAnsi="Arial Narrow"/>
              </w:rPr>
            </w:pPr>
            <w:r w:rsidRPr="008F65D7">
              <w:rPr>
                <w:rFonts w:ascii="Arial Narrow" w:hAnsi="Arial Narrow"/>
              </w:rPr>
              <w:t>Advanced HVAC Controls</w:t>
            </w:r>
          </w:p>
        </w:tc>
        <w:tc>
          <w:tcPr>
            <w:tcW w:w="1767" w:type="pct"/>
            <w:vAlign w:val="top"/>
          </w:tcPr>
          <w:p w14:paraId="79DF50D9" w14:textId="7D241C56" w:rsidR="001B0920" w:rsidRDefault="001B0920" w:rsidP="001B0920">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8F65D7">
              <w:rPr>
                <w:rFonts w:ascii="Arial Narrow" w:hAnsi="Arial Narrow"/>
              </w:rPr>
              <w:t>Advanced Thermostats</w:t>
            </w:r>
          </w:p>
        </w:tc>
        <w:tc>
          <w:tcPr>
            <w:tcW w:w="1190" w:type="pct"/>
            <w:vAlign w:val="top"/>
          </w:tcPr>
          <w:p w14:paraId="072D7F4F" w14:textId="3158BB06" w:rsidR="001B0920" w:rsidRDefault="00EB2FAB" w:rsidP="001B0920">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AH0166, AH0172, AH0250</w:t>
            </w:r>
          </w:p>
        </w:tc>
      </w:tr>
      <w:tr w:rsidR="001B0920" w14:paraId="1FF027B1" w14:textId="77777777" w:rsidTr="002D51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3" w:type="pct"/>
          </w:tcPr>
          <w:p w14:paraId="36C85D25" w14:textId="77777777" w:rsidR="001B0920" w:rsidRPr="003342DD" w:rsidRDefault="001B0920" w:rsidP="001B0920">
            <w:pPr>
              <w:keepNext/>
              <w:keepLines/>
              <w:jc w:val="left"/>
              <w:rPr>
                <w:rFonts w:ascii="Arial Narrow" w:hAnsi="Arial Narrow"/>
              </w:rPr>
            </w:pPr>
            <w:r>
              <w:rPr>
                <w:rFonts w:ascii="Arial Narrow" w:hAnsi="Arial Narrow"/>
              </w:rPr>
              <w:t>High-Performance Water Heating Equipment</w:t>
            </w:r>
          </w:p>
        </w:tc>
        <w:tc>
          <w:tcPr>
            <w:tcW w:w="1767" w:type="pct"/>
          </w:tcPr>
          <w:p w14:paraId="3FAA23CA" w14:textId="77777777" w:rsidR="001B0920" w:rsidRDefault="001B0920" w:rsidP="001B0920">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rPr>
              <w:t>In-Unit Gas Storage Water Heater</w:t>
            </w:r>
          </w:p>
          <w:p w14:paraId="7D2BE3EE" w14:textId="77777777" w:rsidR="001B0920" w:rsidRDefault="001B0920" w:rsidP="001B0920">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rPr>
              <w:t>In-Unit Gas Tankless Water Heater</w:t>
            </w:r>
          </w:p>
          <w:p w14:paraId="17D422B7" w14:textId="77777777" w:rsidR="001B0920" w:rsidRDefault="001B0920" w:rsidP="001B0920">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rPr>
              <w:t>Central Gas Water Heater</w:t>
            </w:r>
          </w:p>
        </w:tc>
        <w:tc>
          <w:tcPr>
            <w:tcW w:w="1190" w:type="pct"/>
          </w:tcPr>
          <w:p w14:paraId="404486B2" w14:textId="77777777" w:rsidR="001B0920" w:rsidRDefault="001B0920" w:rsidP="001B0920">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rPr>
              <w:t>All</w:t>
            </w:r>
          </w:p>
        </w:tc>
      </w:tr>
      <w:tr w:rsidR="001B0920" w14:paraId="2C4AD2B3" w14:textId="77777777" w:rsidTr="002D5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3" w:type="pct"/>
          </w:tcPr>
          <w:p w14:paraId="69AA9B6D" w14:textId="77777777" w:rsidR="001B0920" w:rsidRPr="00BE7EDD" w:rsidRDefault="001B0920" w:rsidP="001B0920">
            <w:pPr>
              <w:keepNext/>
              <w:keepLines/>
              <w:jc w:val="left"/>
              <w:rPr>
                <w:rFonts w:ascii="Arial Narrow" w:hAnsi="Arial Narrow"/>
              </w:rPr>
            </w:pPr>
            <w:r>
              <w:rPr>
                <w:rFonts w:ascii="Arial Narrow" w:hAnsi="Arial Narrow"/>
              </w:rPr>
              <w:t>Hot Water Conservation</w:t>
            </w:r>
          </w:p>
        </w:tc>
        <w:tc>
          <w:tcPr>
            <w:tcW w:w="1767" w:type="pct"/>
          </w:tcPr>
          <w:p w14:paraId="51199E6E" w14:textId="77777777" w:rsidR="001B0920" w:rsidRDefault="001B0920" w:rsidP="001B0920">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Low-flow Showerhead</w:t>
            </w:r>
          </w:p>
          <w:p w14:paraId="5EDFC923" w14:textId="77777777" w:rsidR="001B0920" w:rsidRDefault="001B0920" w:rsidP="001B0920">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Bathroom Faucet Aerator</w:t>
            </w:r>
          </w:p>
          <w:p w14:paraId="4A342220" w14:textId="77777777" w:rsidR="001B0920" w:rsidRDefault="001B0920" w:rsidP="001B0920">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Kitchen Faucet Aerator</w:t>
            </w:r>
          </w:p>
        </w:tc>
        <w:tc>
          <w:tcPr>
            <w:tcW w:w="1190" w:type="pct"/>
          </w:tcPr>
          <w:p w14:paraId="4D0DFA5E" w14:textId="77777777" w:rsidR="001B0920" w:rsidRDefault="001B0920" w:rsidP="001B0920">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All</w:t>
            </w:r>
          </w:p>
        </w:tc>
      </w:tr>
      <w:tr w:rsidR="001B0920" w:rsidRPr="001B4B8C" w14:paraId="16E36361" w14:textId="77777777" w:rsidTr="002D51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3" w:type="pct"/>
          </w:tcPr>
          <w:p w14:paraId="6D11A05C" w14:textId="54E76B11" w:rsidR="001B0920" w:rsidRPr="00BE7EDD" w:rsidRDefault="002D51BA" w:rsidP="001B0920">
            <w:pPr>
              <w:keepNext/>
              <w:keepLines/>
              <w:jc w:val="left"/>
              <w:rPr>
                <w:rFonts w:ascii="Arial Narrow" w:hAnsi="Arial Narrow"/>
              </w:rPr>
            </w:pPr>
            <w:r w:rsidRPr="0031588A">
              <w:rPr>
                <w:rFonts w:ascii="Arial Narrow" w:hAnsi="Arial Narrow"/>
              </w:rPr>
              <w:t>Efficient Appliances</w:t>
            </w:r>
          </w:p>
        </w:tc>
        <w:tc>
          <w:tcPr>
            <w:tcW w:w="1767" w:type="pct"/>
          </w:tcPr>
          <w:p w14:paraId="4D034A42" w14:textId="77777777" w:rsidR="002D51BA" w:rsidRDefault="002D51BA" w:rsidP="002D51BA">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31588A">
              <w:rPr>
                <w:rFonts w:ascii="Arial Narrow" w:hAnsi="Arial Narrow"/>
              </w:rPr>
              <w:t>ENERGY STAR Clothes Washer</w:t>
            </w:r>
          </w:p>
          <w:p w14:paraId="1244B313" w14:textId="77777777" w:rsidR="002D51BA" w:rsidRDefault="002D51BA" w:rsidP="002D51BA">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rPr>
              <w:t>ENERGY STAR Clothes Dryer</w:t>
            </w:r>
          </w:p>
          <w:p w14:paraId="7416CC02" w14:textId="7096A55C" w:rsidR="001B0920" w:rsidRPr="0031588A" w:rsidRDefault="002D51BA" w:rsidP="001B0920">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rPr>
              <w:t>ENERGY STAR Dishwasher</w:t>
            </w:r>
          </w:p>
        </w:tc>
        <w:tc>
          <w:tcPr>
            <w:tcW w:w="1190" w:type="pct"/>
          </w:tcPr>
          <w:p w14:paraId="299D6974" w14:textId="5E52A2DF" w:rsidR="001B0920" w:rsidRPr="0031588A" w:rsidRDefault="002D51BA" w:rsidP="001B0920">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31588A">
              <w:rPr>
                <w:rFonts w:ascii="Arial Narrow" w:hAnsi="Arial Narrow"/>
              </w:rPr>
              <w:t>AH0</w:t>
            </w:r>
            <w:r>
              <w:rPr>
                <w:rFonts w:ascii="Arial Narrow" w:hAnsi="Arial Narrow"/>
              </w:rPr>
              <w:t>095, AH0166, AH0167, AH0191, AH0194, AH0250</w:t>
            </w:r>
          </w:p>
        </w:tc>
      </w:tr>
    </w:tbl>
    <w:p w14:paraId="69096C9B" w14:textId="77777777" w:rsidR="004879D0" w:rsidRDefault="004879D0" w:rsidP="002D51BA">
      <w:pPr>
        <w:pStyle w:val="GraphFootnote"/>
        <w:keepNext/>
        <w:keepLines/>
        <w:spacing w:before="0" w:after="0"/>
      </w:pPr>
      <w:r>
        <w:t xml:space="preserve">* IL-TRM is the Illinois Technical Reference Manual from </w:t>
      </w:r>
      <w:hyperlink r:id="rId20" w:history="1">
        <w:r w:rsidRPr="001227E2">
          <w:rPr>
            <w:rStyle w:val="Hyperlink"/>
          </w:rPr>
          <w:t>http://www.ilsag.info/technical-reference-manual.html</w:t>
        </w:r>
      </w:hyperlink>
      <w:r>
        <w:t xml:space="preserve">. Project application date determined the applicable IL-TRM version used. </w:t>
      </w:r>
    </w:p>
    <w:p w14:paraId="299864FB" w14:textId="6E9D91BA" w:rsidR="004879D0" w:rsidRDefault="004879D0" w:rsidP="002D51BA">
      <w:pPr>
        <w:pStyle w:val="GraphFootnote"/>
        <w:keepNext/>
        <w:keepLines/>
        <w:spacing w:before="0" w:after="0"/>
      </w:pPr>
      <w:r w:rsidRPr="00BA3411">
        <w:t>†</w:t>
      </w:r>
      <w:r w:rsidRPr="00651E3A">
        <w:t xml:space="preserve"> </w:t>
      </w:r>
      <w:r w:rsidRPr="00DD2292">
        <w:t xml:space="preserve">A deemed value. </w:t>
      </w:r>
      <w:r>
        <w:t xml:space="preserve">Available </w:t>
      </w:r>
      <w:r w:rsidRPr="00DD2292">
        <w:t xml:space="preserve">on the SAG web site: </w:t>
      </w:r>
      <w:hyperlink r:id="rId21" w:history="1">
        <w:r w:rsidRPr="00450681">
          <w:rPr>
            <w:rStyle w:val="Hyperlink"/>
          </w:rPr>
          <w:t>https://www.ilsag.info/wp-content/uploads/Nicor_Gas_NTG_2024_Values_Final_2023-09-27.xlsx</w:t>
        </w:r>
      </w:hyperlink>
      <w:r>
        <w:t xml:space="preserve"> </w:t>
      </w:r>
    </w:p>
    <w:p w14:paraId="5666AF86" w14:textId="77777777" w:rsidR="004879D0" w:rsidRDefault="004879D0" w:rsidP="002D51BA">
      <w:pPr>
        <w:pStyle w:val="Source"/>
        <w:keepNext/>
        <w:keepLines/>
        <w:spacing w:before="0" w:after="0"/>
      </w:pPr>
      <w:r>
        <w:t>Source: Guidehouse evaluation team analysis.</w:t>
      </w:r>
    </w:p>
    <w:p w14:paraId="7A36ADA1" w14:textId="77777777" w:rsidR="004879D0" w:rsidRDefault="004879D0">
      <w:pPr>
        <w:suppressAutoHyphens w:val="0"/>
        <w:autoSpaceDN/>
        <w:spacing w:before="0" w:after="0"/>
        <w:rPr>
          <w:rFonts w:ascii="Arial Bold" w:hAnsi="Arial Bold" w:cs="Arial"/>
          <w:b/>
          <w:bCs/>
          <w:i/>
          <w:kern w:val="3"/>
          <w:sz w:val="24"/>
          <w:szCs w:val="26"/>
        </w:rPr>
      </w:pPr>
      <w:bookmarkStart w:id="55" w:name="_Toc189833651"/>
      <w:bookmarkEnd w:id="51"/>
      <w:bookmarkEnd w:id="52"/>
      <w:r>
        <w:br w:type="page"/>
      </w:r>
    </w:p>
    <w:p w14:paraId="71AEE7B4" w14:textId="6346A83B" w:rsidR="002859CC" w:rsidRPr="00975872" w:rsidRDefault="00F20206" w:rsidP="00141312">
      <w:pPr>
        <w:pStyle w:val="Heading5"/>
        <w:rPr>
          <w:sz w:val="28"/>
          <w:szCs w:val="28"/>
        </w:rPr>
      </w:pPr>
      <w:r w:rsidRPr="00975872">
        <w:rPr>
          <w:sz w:val="28"/>
          <w:szCs w:val="28"/>
        </w:rPr>
        <w:lastRenderedPageBreak/>
        <w:t>Program</w:t>
      </w:r>
      <w:r w:rsidR="374FA622" w:rsidRPr="00975872">
        <w:rPr>
          <w:sz w:val="28"/>
          <w:szCs w:val="28"/>
        </w:rPr>
        <w:t>-</w:t>
      </w:r>
      <w:r w:rsidRPr="00975872">
        <w:rPr>
          <w:sz w:val="28"/>
          <w:szCs w:val="28"/>
        </w:rPr>
        <w:t>Specific Inputs for the Illinois TRC</w:t>
      </w:r>
      <w:bookmarkEnd w:id="55"/>
    </w:p>
    <w:p w14:paraId="43065447" w14:textId="3F7D8B55" w:rsidR="00F20206" w:rsidRPr="00D12853" w:rsidRDefault="007D5E6F" w:rsidP="00F20206">
      <w:r>
        <w:fldChar w:fldCharType="begin"/>
      </w:r>
      <w:r>
        <w:instrText xml:space="preserve"> REF _Ref192510457 \h </w:instrText>
      </w:r>
      <w:r>
        <w:fldChar w:fldCharType="separate"/>
      </w:r>
      <w:r>
        <w:t xml:space="preserve">Table </w:t>
      </w:r>
      <w:r>
        <w:rPr>
          <w:noProof/>
        </w:rPr>
        <w:t>B</w:t>
      </w:r>
      <w:r>
        <w:noBreakHyphen/>
      </w:r>
      <w:r>
        <w:rPr>
          <w:noProof/>
        </w:rPr>
        <w:t>1</w:t>
      </w:r>
      <w:r>
        <w:fldChar w:fldCharType="end"/>
      </w:r>
      <w:r w:rsidR="00F20206" w:rsidRPr="00D12853">
        <w:t xml:space="preserve"> shows the Total Resource Cost (TRC) cost-effectiveness analysis inputs available at the time of </w:t>
      </w:r>
      <w:r w:rsidR="00F20206">
        <w:t xml:space="preserve">producing </w:t>
      </w:r>
      <w:r w:rsidR="00F20206" w:rsidRPr="00D12853">
        <w:t>this impact evaluation report. Additional required cost data (e.g., measure costs, program level incentive and non-incentive costs) are not included in this table and will be provided to the evaluation team later.</w:t>
      </w:r>
      <w:r w:rsidR="00F20206">
        <w:t xml:space="preserve"> Guidehouse will include annual and lifetime water savings and greenhouse gas reductions in the end of year summary report.</w:t>
      </w:r>
    </w:p>
    <w:p w14:paraId="40D81ECB" w14:textId="7199EA8E" w:rsidR="007D5E6F" w:rsidRPr="00D12853" w:rsidRDefault="007D5E6F" w:rsidP="007D5E6F">
      <w:pPr>
        <w:pStyle w:val="Caption"/>
      </w:pPr>
      <w:bookmarkStart w:id="56" w:name="_Ref192510457"/>
      <w:bookmarkStart w:id="57" w:name="_Toc192510629"/>
      <w:r>
        <w:t xml:space="preserve">Table </w:t>
      </w:r>
      <w:r>
        <w:fldChar w:fldCharType="begin"/>
      </w:r>
      <w:r>
        <w:instrText xml:space="preserve"> STYLEREF 5 \s </w:instrText>
      </w:r>
      <w:r>
        <w:fldChar w:fldCharType="separate"/>
      </w:r>
      <w:r>
        <w:rPr>
          <w:noProof/>
        </w:rPr>
        <w:t>B</w:t>
      </w:r>
      <w:r>
        <w:fldChar w:fldCharType="end"/>
      </w:r>
      <w:r>
        <w:noBreakHyphen/>
      </w:r>
      <w:r>
        <w:fldChar w:fldCharType="begin"/>
      </w:r>
      <w:r>
        <w:instrText xml:space="preserve"> SEQ Table_APX \* ARABIC \s 5 </w:instrText>
      </w:r>
      <w:r>
        <w:fldChar w:fldCharType="separate"/>
      </w:r>
      <w:r>
        <w:rPr>
          <w:noProof/>
        </w:rPr>
        <w:t>1</w:t>
      </w:r>
      <w:r>
        <w:fldChar w:fldCharType="end"/>
      </w:r>
      <w:bookmarkEnd w:id="56"/>
      <w:r>
        <w:t>. Verified Cost-Effectiveness Inputs</w:t>
      </w:r>
      <w:bookmarkEnd w:id="57"/>
    </w:p>
    <w:p w14:paraId="1CBFD295" w14:textId="2FB2FB34" w:rsidR="003B0A40" w:rsidRPr="003B0A40" w:rsidRDefault="001907DD" w:rsidP="000E6E73">
      <w:pPr>
        <w:spacing w:before="0" w:after="0"/>
      </w:pPr>
      <w:r w:rsidRPr="001907DD">
        <w:rPr>
          <w:noProof/>
        </w:rPr>
        <w:drawing>
          <wp:inline distT="0" distB="0" distL="0" distR="0" wp14:anchorId="4E56C7B4" wp14:editId="5638AA13">
            <wp:extent cx="5943600" cy="2399030"/>
            <wp:effectExtent l="0" t="0" r="0" b="1270"/>
            <wp:docPr id="20759595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2399030"/>
                    </a:xfrm>
                    <a:prstGeom prst="rect">
                      <a:avLst/>
                    </a:prstGeom>
                    <a:noFill/>
                    <a:ln>
                      <a:noFill/>
                    </a:ln>
                  </pic:spPr>
                </pic:pic>
              </a:graphicData>
            </a:graphic>
          </wp:inline>
        </w:drawing>
      </w:r>
    </w:p>
    <w:p w14:paraId="50C62E02" w14:textId="38722367" w:rsidR="007B47B7" w:rsidRDefault="007B47B7" w:rsidP="000E6E73">
      <w:pPr>
        <w:spacing w:before="0" w:after="0"/>
        <w:rPr>
          <w:rFonts w:ascii="Arial Narrow" w:hAnsi="Arial Narrow"/>
          <w:sz w:val="18"/>
          <w:szCs w:val="18"/>
        </w:rPr>
      </w:pPr>
      <w:r>
        <w:rPr>
          <w:rFonts w:ascii="Arial Narrow" w:hAnsi="Arial Narrow"/>
          <w:sz w:val="18"/>
          <w:szCs w:val="18"/>
        </w:rPr>
        <w:t>*Ex ante gross savings value is from implementer project files. Nicor Gas tracking system data for project AH0108 differed from implementer projects files and was 13,33</w:t>
      </w:r>
      <w:r w:rsidR="00A45091">
        <w:rPr>
          <w:rFonts w:ascii="Arial Narrow" w:hAnsi="Arial Narrow"/>
          <w:sz w:val="18"/>
          <w:szCs w:val="18"/>
        </w:rPr>
        <w:t>0</w:t>
      </w:r>
      <w:r>
        <w:rPr>
          <w:rFonts w:ascii="Arial Narrow" w:hAnsi="Arial Narrow"/>
          <w:sz w:val="18"/>
          <w:szCs w:val="18"/>
        </w:rPr>
        <w:t xml:space="preserve"> therms. This resulted in a total program savings of 80,275 therms. </w:t>
      </w:r>
    </w:p>
    <w:p w14:paraId="1EDE1C1D" w14:textId="5DC04B3D" w:rsidR="00F20206" w:rsidRPr="00D12853" w:rsidRDefault="00F20206" w:rsidP="000E6E73">
      <w:pPr>
        <w:keepNext/>
        <w:keepLines/>
        <w:spacing w:before="0" w:after="0"/>
        <w:rPr>
          <w:i/>
          <w:color w:val="000000" w:themeColor="text1"/>
          <w:sz w:val="16"/>
        </w:rPr>
      </w:pPr>
      <w:r w:rsidRPr="00D12853">
        <w:rPr>
          <w:i/>
          <w:color w:val="000000" w:themeColor="text1"/>
          <w:sz w:val="16"/>
        </w:rPr>
        <w:t xml:space="preserve">Source: </w:t>
      </w:r>
      <w:r w:rsidR="00151E8F">
        <w:rPr>
          <w:i/>
          <w:color w:val="000000" w:themeColor="text1"/>
          <w:sz w:val="16"/>
        </w:rPr>
        <w:t>E</w:t>
      </w:r>
      <w:r>
        <w:rPr>
          <w:i/>
          <w:color w:val="000000" w:themeColor="text1"/>
          <w:sz w:val="16"/>
        </w:rPr>
        <w:t xml:space="preserve">valuation </w:t>
      </w:r>
      <w:r w:rsidRPr="00D12853">
        <w:rPr>
          <w:i/>
          <w:color w:val="000000" w:themeColor="text1"/>
          <w:sz w:val="16"/>
        </w:rPr>
        <w:t>team analysis.</w:t>
      </w:r>
    </w:p>
    <w:p w14:paraId="21934302" w14:textId="77777777" w:rsidR="006F5A47" w:rsidRDefault="006F5A47" w:rsidP="000E6E73">
      <w:pPr>
        <w:keepNext/>
        <w:keepLines/>
        <w:spacing w:before="0" w:after="0"/>
        <w:rPr>
          <w:i/>
          <w:color w:val="000000" w:themeColor="text1"/>
          <w:sz w:val="16"/>
        </w:rPr>
      </w:pPr>
    </w:p>
    <w:p w14:paraId="35BDAA25" w14:textId="77777777" w:rsidR="006F5A47" w:rsidRDefault="006F5A47" w:rsidP="000E6E73">
      <w:pPr>
        <w:keepNext/>
        <w:keepLines/>
        <w:spacing w:before="0" w:after="0"/>
        <w:rPr>
          <w:i/>
          <w:color w:val="000000" w:themeColor="text1"/>
          <w:sz w:val="16"/>
        </w:rPr>
      </w:pPr>
    </w:p>
    <w:p w14:paraId="065E1B62" w14:textId="77777777" w:rsidR="006F5A47" w:rsidRPr="006F5A47" w:rsidRDefault="006F5A47" w:rsidP="000E6E73">
      <w:pPr>
        <w:keepNext/>
        <w:keepLines/>
        <w:spacing w:before="0" w:after="0"/>
        <w:rPr>
          <w:iCs/>
          <w:color w:val="000000" w:themeColor="text1"/>
          <w:sz w:val="16"/>
        </w:rPr>
      </w:pPr>
    </w:p>
    <w:p w14:paraId="49E93610" w14:textId="77777777" w:rsidR="00F20206" w:rsidRDefault="00F20206" w:rsidP="00F20206"/>
    <w:sectPr w:rsidR="00F20206" w:rsidSect="00D3486A">
      <w:headerReference w:type="default" r:id="rId23"/>
      <w:pgSz w:w="12240" w:h="15840" w:code="1"/>
      <w:pgMar w:top="1440" w:right="1440" w:bottom="1440" w:left="1440" w:header="720" w:footer="720" w:gutter="0"/>
      <w:pgNumType w:chapStyle="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8F1B7" w14:textId="77777777" w:rsidR="00D262F8" w:rsidRDefault="00D262F8" w:rsidP="00183005">
      <w:r>
        <w:separator/>
      </w:r>
    </w:p>
  </w:endnote>
  <w:endnote w:type="continuationSeparator" w:id="0">
    <w:p w14:paraId="79C78FC3" w14:textId="77777777" w:rsidR="00D262F8" w:rsidRDefault="00D262F8" w:rsidP="00183005">
      <w:r>
        <w:continuationSeparator/>
      </w:r>
    </w:p>
  </w:endnote>
  <w:endnote w:type="continuationNotice" w:id="1">
    <w:p w14:paraId="606B3BC2" w14:textId="77777777" w:rsidR="00D262F8" w:rsidRDefault="00D262F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ptos">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5902B" w14:textId="77777777" w:rsidR="004F0F97" w:rsidRDefault="004F0F97" w:rsidP="0018300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DE88E93" w14:textId="77777777" w:rsidR="004F0F97" w:rsidRDefault="004F0F97" w:rsidP="001830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6F0A2" w14:textId="77777777" w:rsidR="004F0F97" w:rsidRPr="006B38AE" w:rsidRDefault="004F0F97" w:rsidP="006B38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jc w:val="center"/>
      <w:tblBorders>
        <w:top w:val="dotted" w:sz="4" w:space="0" w:color="DC6900"/>
        <w:left w:val="dotted" w:sz="4" w:space="0" w:color="DC6900"/>
      </w:tblBorders>
      <w:tblLayout w:type="fixed"/>
      <w:tblCellMar>
        <w:left w:w="58" w:type="dxa"/>
        <w:right w:w="58" w:type="dxa"/>
      </w:tblCellMar>
      <w:tblLook w:val="01E0" w:firstRow="1" w:lastRow="1" w:firstColumn="1" w:lastColumn="1" w:noHBand="0" w:noVBand="0"/>
    </w:tblPr>
    <w:tblGrid>
      <w:gridCol w:w="7470"/>
      <w:gridCol w:w="1890"/>
    </w:tblGrid>
    <w:tr w:rsidR="004F0F97" w:rsidRPr="00582062" w14:paraId="044F9AC4" w14:textId="77777777" w:rsidTr="0022388A">
      <w:trPr>
        <w:trHeight w:val="144"/>
        <w:jc w:val="center"/>
      </w:trPr>
      <w:tc>
        <w:tcPr>
          <w:tcW w:w="7470" w:type="dxa"/>
          <w:tcBorders>
            <w:top w:val="single" w:sz="8" w:space="0" w:color="8C8C8C"/>
            <w:left w:val="nil"/>
            <w:bottom w:val="nil"/>
          </w:tcBorders>
        </w:tcPr>
        <w:p w14:paraId="3C1295CE" w14:textId="77777777" w:rsidR="004F0F97" w:rsidRPr="00582062" w:rsidRDefault="004F0F97" w:rsidP="006B38AE">
          <w:pPr>
            <w:pStyle w:val="Footer"/>
            <w:spacing w:before="120"/>
            <w:rPr>
              <w:sz w:val="2"/>
              <w:szCs w:val="2"/>
            </w:rPr>
          </w:pPr>
        </w:p>
      </w:tc>
      <w:tc>
        <w:tcPr>
          <w:tcW w:w="1890" w:type="dxa"/>
          <w:tcBorders>
            <w:top w:val="single" w:sz="8" w:space="0" w:color="8C8C8C"/>
          </w:tcBorders>
        </w:tcPr>
        <w:p w14:paraId="3009D57B" w14:textId="77777777" w:rsidR="004F0F97" w:rsidRPr="00582062" w:rsidRDefault="004F0F97" w:rsidP="006B38AE">
          <w:pPr>
            <w:pStyle w:val="Footer"/>
            <w:spacing w:before="120"/>
            <w:jc w:val="right"/>
            <w:rPr>
              <w:sz w:val="2"/>
              <w:szCs w:val="2"/>
            </w:rPr>
          </w:pPr>
        </w:p>
      </w:tc>
    </w:tr>
    <w:tr w:rsidR="004F0F97" w:rsidRPr="00EA2FA5" w14:paraId="1FE48346" w14:textId="77777777" w:rsidTr="0022388A">
      <w:trPr>
        <w:trHeight w:val="195"/>
        <w:jc w:val="center"/>
      </w:trPr>
      <w:tc>
        <w:tcPr>
          <w:tcW w:w="7470" w:type="dxa"/>
          <w:tcBorders>
            <w:top w:val="nil"/>
            <w:left w:val="nil"/>
          </w:tcBorders>
          <w:vAlign w:val="center"/>
        </w:tcPr>
        <w:p w14:paraId="7CF104D3" w14:textId="77777777" w:rsidR="004F0F97" w:rsidRPr="0075421C" w:rsidRDefault="004F0F97" w:rsidP="006B38AE">
          <w:pPr>
            <w:pStyle w:val="Footer"/>
            <w:rPr>
              <w:i/>
              <w:iCs/>
              <w:sz w:val="18"/>
            </w:rPr>
          </w:pPr>
          <w:r w:rsidRPr="007B1C67">
            <w:rPr>
              <w:rFonts w:cs="Arial"/>
              <w:sz w:val="18"/>
              <w:szCs w:val="18"/>
            </w:rPr>
            <w:t>Guidehouse Inc.</w:t>
          </w:r>
        </w:p>
      </w:tc>
      <w:tc>
        <w:tcPr>
          <w:tcW w:w="1890" w:type="dxa"/>
          <w:vAlign w:val="center"/>
        </w:tcPr>
        <w:p w14:paraId="455318A0" w14:textId="77777777" w:rsidR="004F0F97" w:rsidRPr="0075421C" w:rsidRDefault="004F0F97" w:rsidP="006B38AE">
          <w:pPr>
            <w:pStyle w:val="Footer"/>
            <w:jc w:val="right"/>
            <w:rPr>
              <w:rStyle w:val="PageNumber"/>
              <w:sz w:val="18"/>
            </w:rPr>
          </w:pPr>
          <w:r w:rsidRPr="0075421C">
            <w:rPr>
              <w:rStyle w:val="PageNumber"/>
              <w:sz w:val="18"/>
            </w:rPr>
            <w:t xml:space="preserve">Page </w:t>
          </w:r>
          <w:r w:rsidRPr="0075421C">
            <w:rPr>
              <w:rStyle w:val="PageNumber"/>
              <w:sz w:val="18"/>
            </w:rPr>
            <w:fldChar w:fldCharType="begin"/>
          </w:r>
          <w:r w:rsidRPr="0075421C">
            <w:rPr>
              <w:rStyle w:val="PageNumber"/>
              <w:sz w:val="18"/>
            </w:rPr>
            <w:instrText xml:space="preserve"> PAGE   \* MERGEFORMAT </w:instrText>
          </w:r>
          <w:r w:rsidRPr="0075421C">
            <w:rPr>
              <w:rStyle w:val="PageNumber"/>
              <w:sz w:val="18"/>
            </w:rPr>
            <w:fldChar w:fldCharType="separate"/>
          </w:r>
          <w:proofErr w:type="spellStart"/>
          <w:r>
            <w:rPr>
              <w:rStyle w:val="PageNumber"/>
              <w:sz w:val="18"/>
            </w:rPr>
            <w:t>i</w:t>
          </w:r>
          <w:proofErr w:type="spellEnd"/>
          <w:r w:rsidRPr="0075421C">
            <w:rPr>
              <w:rStyle w:val="PageNumber"/>
              <w:sz w:val="18"/>
            </w:rPr>
            <w:fldChar w:fldCharType="end"/>
          </w:r>
        </w:p>
      </w:tc>
    </w:tr>
  </w:tbl>
  <w:p w14:paraId="1C8CE368" w14:textId="77777777" w:rsidR="004F0F97" w:rsidRPr="000C64C5" w:rsidRDefault="004F0F97" w:rsidP="006B38AE">
    <w:pPr>
      <w:pStyle w:val="Footer"/>
      <w:ind w:right="360"/>
      <w:rPr>
        <w:sz w:val="2"/>
        <w:szCs w:val="2"/>
      </w:rPr>
    </w:pPr>
  </w:p>
  <w:p w14:paraId="63FCD17D" w14:textId="77777777" w:rsidR="004F0F97" w:rsidRPr="008B6585" w:rsidRDefault="004F0F97" w:rsidP="006B38A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370F8" w14:textId="77777777" w:rsidR="00D262F8" w:rsidRDefault="00D262F8" w:rsidP="00183005">
      <w:r>
        <w:separator/>
      </w:r>
    </w:p>
  </w:footnote>
  <w:footnote w:type="continuationSeparator" w:id="0">
    <w:p w14:paraId="22A7B4C4" w14:textId="77777777" w:rsidR="00D262F8" w:rsidRDefault="00D262F8" w:rsidP="00183005">
      <w:r>
        <w:continuationSeparator/>
      </w:r>
    </w:p>
  </w:footnote>
  <w:footnote w:type="continuationNotice" w:id="1">
    <w:p w14:paraId="0C972143" w14:textId="77777777" w:rsidR="00D262F8" w:rsidRDefault="00D262F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1980"/>
      <w:gridCol w:w="7380"/>
    </w:tblGrid>
    <w:tr w:rsidR="004F0F97" w14:paraId="55D2C233" w14:textId="77777777" w:rsidTr="0022388A">
      <w:trPr>
        <w:jc w:val="center"/>
      </w:trPr>
      <w:tc>
        <w:tcPr>
          <w:tcW w:w="1980" w:type="dxa"/>
          <w:vAlign w:val="center"/>
        </w:tcPr>
        <w:p w14:paraId="0620BCD5" w14:textId="77777777" w:rsidR="004F0F97" w:rsidRPr="006A71F6" w:rsidRDefault="004F0F97" w:rsidP="00E656A1">
          <w:pPr>
            <w:pStyle w:val="Header"/>
          </w:pPr>
          <w:r>
            <w:rPr>
              <w:noProof/>
            </w:rPr>
            <w:drawing>
              <wp:inline distT="0" distB="0" distL="0" distR="0" wp14:anchorId="363FBC75" wp14:editId="462DB5D6">
                <wp:extent cx="1097282" cy="27752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
                          <a:extLst>
                            <a:ext uri="{28A0092B-C50C-407E-A947-70E740481C1C}">
                              <a14:useLocalDpi xmlns:a14="http://schemas.microsoft.com/office/drawing/2010/main" val="0"/>
                            </a:ext>
                          </a:extLst>
                        </a:blip>
                        <a:stretch>
                          <a:fillRect/>
                        </a:stretch>
                      </pic:blipFill>
                      <pic:spPr>
                        <a:xfrm>
                          <a:off x="0" y="0"/>
                          <a:ext cx="1097282" cy="277522"/>
                        </a:xfrm>
                        <a:prstGeom prst="rect">
                          <a:avLst/>
                        </a:prstGeom>
                      </pic:spPr>
                    </pic:pic>
                  </a:graphicData>
                </a:graphic>
              </wp:inline>
            </w:drawing>
          </w:r>
        </w:p>
      </w:tc>
      <w:tc>
        <w:tcPr>
          <w:tcW w:w="7380" w:type="dxa"/>
          <w:vAlign w:val="bottom"/>
        </w:tcPr>
        <w:p w14:paraId="30F8DA12" w14:textId="0C0FED27" w:rsidR="004F0F97" w:rsidRPr="007B09EC" w:rsidRDefault="004F0F97" w:rsidP="00E656A1">
          <w:pPr>
            <w:pStyle w:val="Header"/>
            <w:jc w:val="right"/>
          </w:pPr>
          <w:r>
            <w:rPr>
              <w:bCs/>
              <w:noProof/>
            </w:rPr>
            <w:fldChar w:fldCharType="begin"/>
          </w:r>
          <w:r>
            <w:rPr>
              <w:bCs/>
              <w:noProof/>
            </w:rPr>
            <w:instrText xml:space="preserve"> STYLEREF  Title,Cover_Title  \* MERGEFORMAT </w:instrText>
          </w:r>
          <w:r>
            <w:rPr>
              <w:bCs/>
              <w:noProof/>
            </w:rPr>
            <w:fldChar w:fldCharType="separate"/>
          </w:r>
          <w:r w:rsidR="00AB7E51">
            <w:rPr>
              <w:bCs/>
              <w:noProof/>
            </w:rPr>
            <w:t>Combined Utility Affordable Housing New Construction Program Impact Evaluation Report</w:t>
          </w:r>
          <w:r>
            <w:rPr>
              <w:bCs/>
              <w:noProof/>
            </w:rPr>
            <w:fldChar w:fldCharType="end"/>
          </w:r>
        </w:p>
      </w:tc>
    </w:tr>
  </w:tbl>
  <w:p w14:paraId="46E54D99" w14:textId="77777777" w:rsidR="004F0F97" w:rsidRDefault="004F0F97" w:rsidP="006F52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1C23E" w14:textId="3F23D6E0" w:rsidR="00F2773B" w:rsidRDefault="006D3413" w:rsidP="00F2773B">
    <w:pPr>
      <w:pStyle w:val="Header"/>
    </w:pPr>
    <w:r>
      <w:rPr>
        <w:noProof/>
      </w:rPr>
      <w:drawing>
        <wp:anchor distT="0" distB="0" distL="114300" distR="114300" simplePos="0" relativeHeight="251658240" behindDoc="0" locked="0" layoutInCell="1" allowOverlap="1" wp14:anchorId="3BA58C61" wp14:editId="2269E05C">
          <wp:simplePos x="0" y="0"/>
          <wp:positionH relativeFrom="page">
            <wp:posOffset>-57150</wp:posOffset>
          </wp:positionH>
          <wp:positionV relativeFrom="paragraph">
            <wp:posOffset>-466724</wp:posOffset>
          </wp:positionV>
          <wp:extent cx="7848600" cy="10001250"/>
          <wp:effectExtent l="0" t="0" r="0" b="0"/>
          <wp:wrapNone/>
          <wp:docPr id="1315812777"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849166" cy="10001971"/>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1D104A06" w14:textId="5000860F" w:rsidR="004F0F97" w:rsidRPr="00F2773B" w:rsidRDefault="004F0F97" w:rsidP="00F27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3060"/>
      <w:gridCol w:w="6300"/>
    </w:tblGrid>
    <w:tr w:rsidR="004F0F97" w14:paraId="6FB61DB6" w14:textId="77777777" w:rsidTr="006303AD">
      <w:trPr>
        <w:jc w:val="center"/>
      </w:trPr>
      <w:tc>
        <w:tcPr>
          <w:tcW w:w="3060" w:type="dxa"/>
          <w:vAlign w:val="center"/>
        </w:tcPr>
        <w:p w14:paraId="22EB43DF" w14:textId="0AED10A1" w:rsidR="004F0F97" w:rsidRPr="006A71F6" w:rsidRDefault="00EA072F" w:rsidP="00E656A1">
          <w:pPr>
            <w:pStyle w:val="Header"/>
          </w:pPr>
          <w:r>
            <w:rPr>
              <w:noProof/>
            </w:rPr>
            <w:drawing>
              <wp:inline distT="0" distB="0" distL="0" distR="0" wp14:anchorId="43A3B4D3" wp14:editId="7A5CCF4D">
                <wp:extent cx="1081454" cy="274320"/>
                <wp:effectExtent l="0" t="0" r="4445" b="0"/>
                <wp:docPr id="1422699612" name="Graphic 1422699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81454" cy="274320"/>
                        </a:xfrm>
                        <a:prstGeom prst="rect">
                          <a:avLst/>
                        </a:prstGeom>
                      </pic:spPr>
                    </pic:pic>
                  </a:graphicData>
                </a:graphic>
              </wp:inline>
            </w:drawing>
          </w:r>
        </w:p>
      </w:tc>
      <w:tc>
        <w:tcPr>
          <w:tcW w:w="6300" w:type="dxa"/>
          <w:vAlign w:val="bottom"/>
        </w:tcPr>
        <w:p w14:paraId="36979183" w14:textId="63ABEFD2" w:rsidR="004F0F97" w:rsidRPr="005E318D" w:rsidRDefault="004F0F97" w:rsidP="00917C40">
          <w:pPr>
            <w:pStyle w:val="Header"/>
            <w:rPr>
              <w:b/>
            </w:rPr>
          </w:pPr>
          <w:r w:rsidRPr="005E318D">
            <w:rPr>
              <w:b/>
              <w:noProof/>
            </w:rPr>
            <w:fldChar w:fldCharType="begin"/>
          </w:r>
          <w:r w:rsidRPr="005E318D">
            <w:rPr>
              <w:b/>
              <w:noProof/>
            </w:rPr>
            <w:instrText xml:space="preserve"> STYLEREF  Title,Cover_Title  \* MERGEFORMAT </w:instrText>
          </w:r>
          <w:r w:rsidRPr="005E318D">
            <w:rPr>
              <w:b/>
              <w:noProof/>
            </w:rPr>
            <w:fldChar w:fldCharType="separate"/>
          </w:r>
          <w:r w:rsidR="00975872">
            <w:rPr>
              <w:b/>
              <w:noProof/>
            </w:rPr>
            <w:t>Affordable Housing New Construction Impact Evaluation Report</w:t>
          </w:r>
          <w:r w:rsidRPr="005E318D">
            <w:rPr>
              <w:b/>
              <w:noProof/>
            </w:rPr>
            <w:fldChar w:fldCharType="end"/>
          </w:r>
        </w:p>
      </w:tc>
    </w:tr>
  </w:tbl>
  <w:p w14:paraId="54F9ABAD" w14:textId="77777777" w:rsidR="004F0F97" w:rsidRPr="00E656A1" w:rsidRDefault="004F0F97" w:rsidP="00E656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1980"/>
      <w:gridCol w:w="7380"/>
    </w:tblGrid>
    <w:tr w:rsidR="004F0F97" w14:paraId="3A671BCE" w14:textId="77777777" w:rsidTr="0022388A">
      <w:trPr>
        <w:jc w:val="center"/>
      </w:trPr>
      <w:tc>
        <w:tcPr>
          <w:tcW w:w="1980" w:type="dxa"/>
          <w:vAlign w:val="center"/>
        </w:tcPr>
        <w:p w14:paraId="2F5B4D3C" w14:textId="77777777" w:rsidR="004F0F97" w:rsidRPr="006A71F6" w:rsidRDefault="004F0F97" w:rsidP="00E656A1">
          <w:pPr>
            <w:pStyle w:val="Header"/>
          </w:pPr>
          <w:r>
            <w:rPr>
              <w:noProof/>
            </w:rPr>
            <w:drawing>
              <wp:inline distT="0" distB="0" distL="0" distR="0" wp14:anchorId="12A11309" wp14:editId="486405CE">
                <wp:extent cx="1097282" cy="27752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
                          <a:extLst>
                            <a:ext uri="{28A0092B-C50C-407E-A947-70E740481C1C}">
                              <a14:useLocalDpi xmlns:a14="http://schemas.microsoft.com/office/drawing/2010/main" val="0"/>
                            </a:ext>
                          </a:extLst>
                        </a:blip>
                        <a:stretch>
                          <a:fillRect/>
                        </a:stretch>
                      </pic:blipFill>
                      <pic:spPr>
                        <a:xfrm>
                          <a:off x="0" y="0"/>
                          <a:ext cx="1097282" cy="277522"/>
                        </a:xfrm>
                        <a:prstGeom prst="rect">
                          <a:avLst/>
                        </a:prstGeom>
                      </pic:spPr>
                    </pic:pic>
                  </a:graphicData>
                </a:graphic>
              </wp:inline>
            </w:drawing>
          </w:r>
        </w:p>
      </w:tc>
      <w:tc>
        <w:tcPr>
          <w:tcW w:w="7380" w:type="dxa"/>
          <w:vAlign w:val="bottom"/>
        </w:tcPr>
        <w:p w14:paraId="5CAED67B" w14:textId="4FF7D2C3" w:rsidR="004F0F97" w:rsidRPr="007B09EC" w:rsidRDefault="004F0F97" w:rsidP="00E656A1">
          <w:pPr>
            <w:pStyle w:val="Header"/>
            <w:jc w:val="right"/>
          </w:pPr>
          <w:r>
            <w:rPr>
              <w:bCs/>
              <w:noProof/>
            </w:rPr>
            <w:fldChar w:fldCharType="begin"/>
          </w:r>
          <w:r>
            <w:rPr>
              <w:bCs/>
              <w:noProof/>
            </w:rPr>
            <w:instrText xml:space="preserve"> STYLEREF  Title,Cover_Title  \* MERGEFORMAT </w:instrText>
          </w:r>
          <w:r>
            <w:rPr>
              <w:bCs/>
              <w:noProof/>
            </w:rPr>
            <w:fldChar w:fldCharType="separate"/>
          </w:r>
          <w:r w:rsidR="00975872" w:rsidRPr="00975872">
            <w:rPr>
              <w:b/>
              <w:noProof/>
            </w:rPr>
            <w:t>Affordable Housing New Construction Impact Evaluation</w:t>
          </w:r>
          <w:r w:rsidR="00975872">
            <w:rPr>
              <w:bCs/>
              <w:noProof/>
            </w:rPr>
            <w:t xml:space="preserve"> Report</w:t>
          </w:r>
          <w:r>
            <w:rPr>
              <w:bCs/>
              <w:noProof/>
            </w:rPr>
            <w:fldChar w:fldCharType="end"/>
          </w:r>
        </w:p>
      </w:tc>
    </w:tr>
  </w:tbl>
  <w:p w14:paraId="20A26FA0" w14:textId="77777777" w:rsidR="004F0F97" w:rsidRPr="00E656A1" w:rsidRDefault="004F0F97" w:rsidP="00E656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00B9F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318336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300829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73C7F2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020D4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AB2603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CA019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6C1B7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02804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D16E6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138D1"/>
    <w:multiLevelType w:val="hybridMultilevel"/>
    <w:tmpl w:val="D50CB4FC"/>
    <w:lvl w:ilvl="0" w:tplc="7BF876BA">
      <w:start w:val="1"/>
      <w:numFmt w:val="decimal"/>
      <w:pStyle w:val="Heading1"/>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5179FF"/>
    <w:multiLevelType w:val="multilevel"/>
    <w:tmpl w:val="D9845144"/>
    <w:lvl w:ilvl="0">
      <w:start w:val="1"/>
      <w:numFmt w:val="decimal"/>
      <w:suff w:val="space"/>
      <w:lvlText w:val="%1."/>
      <w:lvlJc w:val="left"/>
      <w:pPr>
        <w:ind w:left="432" w:hanging="432"/>
      </w:pPr>
      <w:rPr>
        <w:rFonts w:ascii="Arial" w:hAnsi="Arial" w:cs="Arial" w:hint="default"/>
        <w:b/>
        <w:i w:val="0"/>
        <w:caps w:val="0"/>
        <w:color w:val="auto"/>
        <w:spacing w:val="0"/>
        <w:sz w:val="32"/>
      </w:rPr>
    </w:lvl>
    <w:lvl w:ilvl="1">
      <w:start w:val="1"/>
      <w:numFmt w:val="decimal"/>
      <w:suff w:val="space"/>
      <w:lvlText w:val="%1.%2"/>
      <w:lvlJc w:val="left"/>
      <w:pPr>
        <w:ind w:left="720" w:hanging="720"/>
      </w:pPr>
      <w:rPr>
        <w:rFonts w:ascii="Arial" w:hAnsi="Arial" w:cs="Arial" w:hint="default"/>
        <w:b/>
        <w:i w:val="0"/>
        <w:caps w:val="0"/>
        <w:vanish w:val="0"/>
        <w:color w:val="auto"/>
        <w:sz w:val="28"/>
      </w:rPr>
    </w:lvl>
    <w:lvl w:ilvl="2">
      <w:start w:val="1"/>
      <w:numFmt w:val="decimal"/>
      <w:suff w:val="space"/>
      <w:lvlText w:val="%1.%2.%3"/>
      <w:lvlJc w:val="left"/>
      <w:pPr>
        <w:ind w:left="720" w:hanging="720"/>
      </w:pPr>
      <w:rPr>
        <w:rFonts w:ascii="Arial" w:hAnsi="Arial" w:cs="Arial" w:hint="default"/>
        <w:b/>
        <w:i w:val="0"/>
        <w:iCs w:val="0"/>
        <w:caps w:val="0"/>
        <w:vanish w:val="0"/>
        <w:color w:val="auto"/>
        <w:sz w:val="24"/>
      </w:rPr>
    </w:lvl>
    <w:lvl w:ilvl="3">
      <w:start w:val="1"/>
      <w:numFmt w:val="decimal"/>
      <w:suff w:val="space"/>
      <w:lvlText w:val="%1.%2.%3.%4"/>
      <w:lvlJc w:val="left"/>
      <w:pPr>
        <w:ind w:left="864" w:hanging="864"/>
      </w:pPr>
      <w:rPr>
        <w:rFonts w:ascii="Arial" w:hAnsi="Arial" w:cs="Arial" w:hint="default"/>
        <w:b/>
        <w:i/>
        <w:caps w:val="0"/>
        <w:vanish w:val="0"/>
        <w:color w:val="auto"/>
        <w:kern w:val="0"/>
        <w:position w:val="0"/>
        <w:sz w:val="22"/>
      </w:rPr>
    </w:lvl>
    <w:lvl w:ilvl="4">
      <w:start w:val="1"/>
      <w:numFmt w:val="upperLetter"/>
      <w:suff w:val="space"/>
      <w:lvlText w:val="Appendix %5."/>
      <w:lvlJc w:val="left"/>
      <w:pPr>
        <w:ind w:left="0" w:firstLine="0"/>
      </w:pPr>
      <w:rPr>
        <w:rFonts w:ascii="Arial" w:hAnsi="Arial" w:cs="Arial" w:hint="default"/>
        <w:b/>
        <w:bCs w:val="0"/>
        <w:i w:val="0"/>
        <w:iCs w:val="0"/>
        <w:caps w:val="0"/>
        <w:smallCaps w:val="0"/>
        <w:strike w:val="0"/>
        <w:dstrike w:val="0"/>
        <w:noProof w:val="0"/>
        <w:vanish w:val="0"/>
        <w:color w:val="auto"/>
        <w:spacing w:val="0"/>
        <w:kern w:val="0"/>
        <w:position w:val="0"/>
        <w:sz w:val="3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5.%6"/>
      <w:lvlJc w:val="left"/>
      <w:pPr>
        <w:ind w:left="720" w:hanging="720"/>
      </w:pPr>
      <w:rPr>
        <w:rFonts w:ascii="Arial" w:hAnsi="Arial" w:cs="Arial" w:hint="default"/>
        <w:b/>
        <w:i w:val="0"/>
        <w:caps w:val="0"/>
        <w:vanish w:val="0"/>
        <w:color w:val="auto"/>
        <w:kern w:val="0"/>
        <w:sz w:val="28"/>
      </w:rPr>
    </w:lvl>
    <w:lvl w:ilvl="6">
      <w:start w:val="1"/>
      <w:numFmt w:val="decimal"/>
      <w:lvlText w:val="%5.%6.%7"/>
      <w:lvlJc w:val="left"/>
      <w:pPr>
        <w:ind w:left="720" w:hanging="720"/>
      </w:pPr>
      <w:rPr>
        <w:rFonts w:ascii="Arial" w:hAnsi="Arial" w:cs="Arial" w:hint="default"/>
        <w:b/>
        <w:i w:val="0"/>
        <w:caps w:val="0"/>
        <w:vanish w:val="0"/>
        <w:color w:val="auto"/>
        <w:sz w:val="24"/>
      </w:rPr>
    </w:lvl>
    <w:lvl w:ilvl="7">
      <w:start w:val="1"/>
      <w:numFmt w:val="none"/>
      <w:lvlText w:val=""/>
      <w:lvlJc w:val="left"/>
      <w:pPr>
        <w:ind w:left="720" w:hanging="720"/>
      </w:pPr>
      <w:rPr>
        <w:rFonts w:ascii="Arial Bold" w:hAnsi="Arial Bold" w:hint="default"/>
        <w:b/>
        <w:i w:val="0"/>
        <w:caps w:val="0"/>
        <w:vanish w:val="0"/>
        <w:color w:val="auto"/>
        <w:sz w:val="32"/>
        <w:u w:color="FFFFFF"/>
      </w:rPr>
    </w:lvl>
    <w:lvl w:ilvl="8">
      <w:start w:val="1"/>
      <w:numFmt w:val="none"/>
      <w:lvlText w:val=""/>
      <w:lvlJc w:val="left"/>
      <w:pPr>
        <w:ind w:left="1584" w:hanging="1584"/>
      </w:pPr>
      <w:rPr>
        <w:rFonts w:ascii="Arial Bold" w:hAnsi="Arial Bold" w:hint="default"/>
        <w:b/>
        <w:i w:val="0"/>
        <w:caps w:val="0"/>
        <w:vanish w:val="0"/>
        <w:color w:val="auto"/>
        <w:sz w:val="28"/>
      </w:rPr>
    </w:lvl>
  </w:abstractNum>
  <w:abstractNum w:abstractNumId="12" w15:restartNumberingAfterBreak="0">
    <w:nsid w:val="08A9629B"/>
    <w:multiLevelType w:val="hybridMultilevel"/>
    <w:tmpl w:val="1DCEC782"/>
    <w:lvl w:ilvl="0" w:tplc="774C3A66">
      <w:start w:val="1"/>
      <w:numFmt w:val="bullet"/>
      <w:pStyle w:val="xResumeInstructionalBulletDONOTUSE"/>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98720FF"/>
    <w:multiLevelType w:val="hybridMultilevel"/>
    <w:tmpl w:val="5678D34E"/>
    <w:lvl w:ilvl="0" w:tplc="65CA6C36">
      <w:start w:val="1"/>
      <w:numFmt w:val="bullet"/>
      <w:pStyle w:val="Bullets-SingleSpace"/>
      <w:lvlText w:val=""/>
      <w:lvlJc w:val="left"/>
      <w:pPr>
        <w:tabs>
          <w:tab w:val="num" w:pos="1080"/>
        </w:tabs>
        <w:ind w:left="1440" w:hanging="720"/>
      </w:pPr>
      <w:rPr>
        <w:rFonts w:ascii="Symbol" w:hAnsi="Symbol" w:hint="default"/>
      </w:rPr>
    </w:lvl>
    <w:lvl w:ilvl="1" w:tplc="D9E0DEE6" w:tentative="1">
      <w:start w:val="1"/>
      <w:numFmt w:val="bullet"/>
      <w:lvlText w:val="o"/>
      <w:lvlJc w:val="left"/>
      <w:pPr>
        <w:tabs>
          <w:tab w:val="num" w:pos="2160"/>
        </w:tabs>
        <w:ind w:left="2160" w:hanging="360"/>
      </w:pPr>
      <w:rPr>
        <w:rFonts w:ascii="Courier New" w:hAnsi="Courier New" w:hint="default"/>
      </w:rPr>
    </w:lvl>
    <w:lvl w:ilvl="2" w:tplc="A2CCFC02" w:tentative="1">
      <w:start w:val="1"/>
      <w:numFmt w:val="bullet"/>
      <w:lvlText w:val=""/>
      <w:lvlJc w:val="left"/>
      <w:pPr>
        <w:tabs>
          <w:tab w:val="num" w:pos="2880"/>
        </w:tabs>
        <w:ind w:left="2880" w:hanging="360"/>
      </w:pPr>
      <w:rPr>
        <w:rFonts w:ascii="Wingdings" w:hAnsi="Wingdings" w:hint="default"/>
      </w:rPr>
    </w:lvl>
    <w:lvl w:ilvl="3" w:tplc="82B4C2F0" w:tentative="1">
      <w:start w:val="1"/>
      <w:numFmt w:val="bullet"/>
      <w:lvlText w:val=""/>
      <w:lvlJc w:val="left"/>
      <w:pPr>
        <w:tabs>
          <w:tab w:val="num" w:pos="3600"/>
        </w:tabs>
        <w:ind w:left="3600" w:hanging="360"/>
      </w:pPr>
      <w:rPr>
        <w:rFonts w:ascii="Symbol" w:hAnsi="Symbol" w:hint="default"/>
      </w:rPr>
    </w:lvl>
    <w:lvl w:ilvl="4" w:tplc="F502F29C" w:tentative="1">
      <w:start w:val="1"/>
      <w:numFmt w:val="bullet"/>
      <w:lvlText w:val="o"/>
      <w:lvlJc w:val="left"/>
      <w:pPr>
        <w:tabs>
          <w:tab w:val="num" w:pos="4320"/>
        </w:tabs>
        <w:ind w:left="4320" w:hanging="360"/>
      </w:pPr>
      <w:rPr>
        <w:rFonts w:ascii="Courier New" w:hAnsi="Courier New" w:hint="default"/>
      </w:rPr>
    </w:lvl>
    <w:lvl w:ilvl="5" w:tplc="D0E2133E" w:tentative="1">
      <w:start w:val="1"/>
      <w:numFmt w:val="bullet"/>
      <w:lvlText w:val=""/>
      <w:lvlJc w:val="left"/>
      <w:pPr>
        <w:tabs>
          <w:tab w:val="num" w:pos="5040"/>
        </w:tabs>
        <w:ind w:left="5040" w:hanging="360"/>
      </w:pPr>
      <w:rPr>
        <w:rFonts w:ascii="Wingdings" w:hAnsi="Wingdings" w:hint="default"/>
      </w:rPr>
    </w:lvl>
    <w:lvl w:ilvl="6" w:tplc="8EB09868" w:tentative="1">
      <w:start w:val="1"/>
      <w:numFmt w:val="bullet"/>
      <w:lvlText w:val=""/>
      <w:lvlJc w:val="left"/>
      <w:pPr>
        <w:tabs>
          <w:tab w:val="num" w:pos="5760"/>
        </w:tabs>
        <w:ind w:left="5760" w:hanging="360"/>
      </w:pPr>
      <w:rPr>
        <w:rFonts w:ascii="Symbol" w:hAnsi="Symbol" w:hint="default"/>
      </w:rPr>
    </w:lvl>
    <w:lvl w:ilvl="7" w:tplc="563C96AA" w:tentative="1">
      <w:start w:val="1"/>
      <w:numFmt w:val="bullet"/>
      <w:lvlText w:val="o"/>
      <w:lvlJc w:val="left"/>
      <w:pPr>
        <w:tabs>
          <w:tab w:val="num" w:pos="6480"/>
        </w:tabs>
        <w:ind w:left="6480" w:hanging="360"/>
      </w:pPr>
      <w:rPr>
        <w:rFonts w:ascii="Courier New" w:hAnsi="Courier New" w:hint="default"/>
      </w:rPr>
    </w:lvl>
    <w:lvl w:ilvl="8" w:tplc="631C8FAC"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C6644E4"/>
    <w:multiLevelType w:val="multilevel"/>
    <w:tmpl w:val="D8304EC2"/>
    <w:styleLink w:val="StyleBulleted9"/>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D262BC8"/>
    <w:multiLevelType w:val="multilevel"/>
    <w:tmpl w:val="51FECC92"/>
    <w:styleLink w:val="StyleNumberedLeft025Hanging025"/>
    <w:lvl w:ilvl="0">
      <w:start w:val="1"/>
      <w:numFmt w:val="decimal"/>
      <w:lvlText w:val="%1."/>
      <w:lvlJc w:val="left"/>
      <w:pPr>
        <w:tabs>
          <w:tab w:val="num" w:pos="936"/>
        </w:tabs>
        <w:ind w:left="936" w:hanging="360"/>
      </w:pPr>
      <w:rPr>
        <w:rFonts w:ascii="Palatino Linotype" w:hAnsi="Palatino Linotype"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0D6F04E1"/>
    <w:multiLevelType w:val="hybridMultilevel"/>
    <w:tmpl w:val="91ACD960"/>
    <w:lvl w:ilvl="0" w:tplc="69545686">
      <w:start w:val="1"/>
      <w:numFmt w:val="bullet"/>
      <w:pStyle w:val="Bullets"/>
      <w:lvlText w:val=""/>
      <w:lvlJc w:val="left"/>
      <w:pPr>
        <w:tabs>
          <w:tab w:val="num" w:pos="0"/>
        </w:tabs>
      </w:pPr>
      <w:rPr>
        <w:rFonts w:ascii="Symbol" w:hAnsi="Symbol" w:hint="default"/>
      </w:rPr>
    </w:lvl>
    <w:lvl w:ilvl="1" w:tplc="C54EE46E" w:tentative="1">
      <w:start w:val="1"/>
      <w:numFmt w:val="bullet"/>
      <w:lvlText w:val="o"/>
      <w:lvlJc w:val="left"/>
      <w:pPr>
        <w:tabs>
          <w:tab w:val="num" w:pos="1080"/>
        </w:tabs>
        <w:ind w:left="1080" w:hanging="360"/>
      </w:pPr>
      <w:rPr>
        <w:rFonts w:ascii="Courier New" w:hAnsi="Courier New" w:hint="default"/>
      </w:rPr>
    </w:lvl>
    <w:lvl w:ilvl="2" w:tplc="DC622CA2" w:tentative="1">
      <w:start w:val="1"/>
      <w:numFmt w:val="bullet"/>
      <w:lvlText w:val=""/>
      <w:lvlJc w:val="left"/>
      <w:pPr>
        <w:tabs>
          <w:tab w:val="num" w:pos="1800"/>
        </w:tabs>
        <w:ind w:left="1800" w:hanging="360"/>
      </w:pPr>
      <w:rPr>
        <w:rFonts w:ascii="Wingdings" w:hAnsi="Wingdings" w:hint="default"/>
      </w:rPr>
    </w:lvl>
    <w:lvl w:ilvl="3" w:tplc="C9240F66" w:tentative="1">
      <w:start w:val="1"/>
      <w:numFmt w:val="bullet"/>
      <w:lvlText w:val=""/>
      <w:lvlJc w:val="left"/>
      <w:pPr>
        <w:tabs>
          <w:tab w:val="num" w:pos="2520"/>
        </w:tabs>
        <w:ind w:left="2520" w:hanging="360"/>
      </w:pPr>
      <w:rPr>
        <w:rFonts w:ascii="Symbol" w:hAnsi="Symbol" w:hint="default"/>
      </w:rPr>
    </w:lvl>
    <w:lvl w:ilvl="4" w:tplc="18220F38" w:tentative="1">
      <w:start w:val="1"/>
      <w:numFmt w:val="bullet"/>
      <w:lvlText w:val="o"/>
      <w:lvlJc w:val="left"/>
      <w:pPr>
        <w:tabs>
          <w:tab w:val="num" w:pos="3240"/>
        </w:tabs>
        <w:ind w:left="3240" w:hanging="360"/>
      </w:pPr>
      <w:rPr>
        <w:rFonts w:ascii="Courier New" w:hAnsi="Courier New" w:hint="default"/>
      </w:rPr>
    </w:lvl>
    <w:lvl w:ilvl="5" w:tplc="154E9A2C" w:tentative="1">
      <w:start w:val="1"/>
      <w:numFmt w:val="bullet"/>
      <w:lvlText w:val=""/>
      <w:lvlJc w:val="left"/>
      <w:pPr>
        <w:tabs>
          <w:tab w:val="num" w:pos="3960"/>
        </w:tabs>
        <w:ind w:left="3960" w:hanging="360"/>
      </w:pPr>
      <w:rPr>
        <w:rFonts w:ascii="Wingdings" w:hAnsi="Wingdings" w:hint="default"/>
      </w:rPr>
    </w:lvl>
    <w:lvl w:ilvl="6" w:tplc="26E45466" w:tentative="1">
      <w:start w:val="1"/>
      <w:numFmt w:val="bullet"/>
      <w:lvlText w:val=""/>
      <w:lvlJc w:val="left"/>
      <w:pPr>
        <w:tabs>
          <w:tab w:val="num" w:pos="4680"/>
        </w:tabs>
        <w:ind w:left="4680" w:hanging="360"/>
      </w:pPr>
      <w:rPr>
        <w:rFonts w:ascii="Symbol" w:hAnsi="Symbol" w:hint="default"/>
      </w:rPr>
    </w:lvl>
    <w:lvl w:ilvl="7" w:tplc="34D651F2" w:tentative="1">
      <w:start w:val="1"/>
      <w:numFmt w:val="bullet"/>
      <w:lvlText w:val="o"/>
      <w:lvlJc w:val="left"/>
      <w:pPr>
        <w:tabs>
          <w:tab w:val="num" w:pos="5400"/>
        </w:tabs>
        <w:ind w:left="5400" w:hanging="360"/>
      </w:pPr>
      <w:rPr>
        <w:rFonts w:ascii="Courier New" w:hAnsi="Courier New" w:hint="default"/>
      </w:rPr>
    </w:lvl>
    <w:lvl w:ilvl="8" w:tplc="3F5AC1A2"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0DB6203B"/>
    <w:multiLevelType w:val="multilevel"/>
    <w:tmpl w:val="3D1A83DA"/>
    <w:styleLink w:val="LFO11"/>
    <w:lvl w:ilvl="0">
      <w:numFmt w:val="bullet"/>
      <w:pStyle w:val="GHTableBullet2"/>
      <w:lvlText w:val="–"/>
      <w:lvlJc w:val="left"/>
      <w:pPr>
        <w:ind w:left="533" w:hanging="360"/>
      </w:pPr>
      <w:rPr>
        <w:rFonts w:ascii="Arial" w:hAnsi="Arial"/>
        <w:color w:val="auto"/>
        <w:sz w:val="20"/>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17CD363C"/>
    <w:multiLevelType w:val="multilevel"/>
    <w:tmpl w:val="3684D5CE"/>
    <w:lvl w:ilvl="0">
      <w:start w:val="1"/>
      <w:numFmt w:val="decimal"/>
      <w:pStyle w:val="Heading10"/>
      <w:lvlText w:val="%1."/>
      <w:lvlJc w:val="left"/>
      <w:pPr>
        <w:ind w:left="360" w:hanging="360"/>
      </w:pPr>
      <w:rPr>
        <w:rFonts w:ascii="Aptos" w:hAnsi="Aptos" w:hint="default"/>
        <w:b/>
        <w:i w:val="0"/>
        <w:caps w:val="0"/>
        <w:color w:val="93D500" w:themeColor="accent1"/>
        <w:spacing w:val="0"/>
        <w:sz w:val="32"/>
      </w:rPr>
    </w:lvl>
    <w:lvl w:ilvl="1">
      <w:start w:val="1"/>
      <w:numFmt w:val="decimal"/>
      <w:pStyle w:val="Heading2"/>
      <w:suff w:val="space"/>
      <w:lvlText w:val="%1.%2"/>
      <w:lvlJc w:val="left"/>
      <w:pPr>
        <w:ind w:left="720" w:hanging="720"/>
      </w:pPr>
      <w:rPr>
        <w:rFonts w:ascii="Aptos" w:hAnsi="Aptos" w:cs="Arial" w:hint="default"/>
        <w:b/>
        <w:i w:val="0"/>
        <w:caps w:val="0"/>
        <w:vanish w:val="0"/>
        <w:color w:val="auto"/>
        <w:sz w:val="28"/>
      </w:rPr>
    </w:lvl>
    <w:lvl w:ilvl="2">
      <w:start w:val="1"/>
      <w:numFmt w:val="decimal"/>
      <w:pStyle w:val="Heading3"/>
      <w:suff w:val="space"/>
      <w:lvlText w:val="%1.%2.%3"/>
      <w:lvlJc w:val="left"/>
      <w:pPr>
        <w:ind w:left="720" w:hanging="720"/>
      </w:pPr>
      <w:rPr>
        <w:rFonts w:ascii="Aptos" w:hAnsi="Aptos" w:cs="Arial" w:hint="default"/>
        <w:b/>
        <w:i w:val="0"/>
        <w:iCs w:val="0"/>
        <w:caps w:val="0"/>
        <w:vanish w:val="0"/>
        <w:color w:val="auto"/>
        <w:sz w:val="24"/>
      </w:rPr>
    </w:lvl>
    <w:lvl w:ilvl="3">
      <w:start w:val="1"/>
      <w:numFmt w:val="decimal"/>
      <w:pStyle w:val="Heading4"/>
      <w:suff w:val="space"/>
      <w:lvlText w:val="%1.%2.%3.%4"/>
      <w:lvlJc w:val="left"/>
      <w:pPr>
        <w:ind w:left="864" w:hanging="864"/>
      </w:pPr>
      <w:rPr>
        <w:rFonts w:ascii="Aptos" w:hAnsi="Aptos" w:cs="Arial" w:hint="default"/>
        <w:b/>
        <w:i/>
        <w:caps w:val="0"/>
        <w:vanish w:val="0"/>
        <w:color w:val="auto"/>
        <w:kern w:val="0"/>
        <w:position w:val="0"/>
        <w:sz w:val="22"/>
      </w:rPr>
    </w:lvl>
    <w:lvl w:ilvl="4">
      <w:start w:val="1"/>
      <w:numFmt w:val="upperLetter"/>
      <w:pStyle w:val="Heading5"/>
      <w:lvlText w:val="Appendix %5."/>
      <w:lvlJc w:val="left"/>
      <w:pPr>
        <w:ind w:left="0" w:firstLine="0"/>
      </w:pPr>
      <w:rPr>
        <w:rFonts w:ascii="Arial" w:hAnsi="Arial" w:cs="Arial" w:hint="default"/>
        <w:b/>
        <w:bCs w:val="0"/>
        <w:i/>
        <w:iCs/>
        <w:caps w:val="0"/>
        <w:smallCaps w:val="0"/>
        <w:strike w:val="0"/>
        <w:dstrike w:val="0"/>
        <w:vanish w:val="0"/>
        <w:color w:val="auto"/>
        <w:spacing w:val="0"/>
        <w:kern w:val="0"/>
        <w:position w:val="0"/>
        <w:sz w:val="28"/>
        <w:szCs w:val="28"/>
        <w:u w:val="none"/>
        <w:effect w:val="none"/>
        <w:vertAlign w:val="baseline"/>
        <w:em w:val="none"/>
      </w:rPr>
    </w:lvl>
    <w:lvl w:ilvl="5">
      <w:start w:val="1"/>
      <w:numFmt w:val="decimal"/>
      <w:pStyle w:val="Heading6"/>
      <w:suff w:val="space"/>
      <w:lvlText w:val="%5.%6"/>
      <w:lvlJc w:val="left"/>
      <w:pPr>
        <w:ind w:left="720" w:hanging="720"/>
      </w:pPr>
      <w:rPr>
        <w:rFonts w:ascii="Arial" w:hAnsi="Arial" w:cs="Arial" w:hint="default"/>
        <w:b/>
        <w:i w:val="0"/>
        <w:caps w:val="0"/>
        <w:vanish w:val="0"/>
        <w:color w:val="auto"/>
        <w:kern w:val="0"/>
        <w:sz w:val="28"/>
      </w:rPr>
    </w:lvl>
    <w:lvl w:ilvl="6">
      <w:start w:val="1"/>
      <w:numFmt w:val="decimal"/>
      <w:pStyle w:val="Heading7"/>
      <w:lvlText w:val="%5.%6.%7"/>
      <w:lvlJc w:val="left"/>
      <w:pPr>
        <w:ind w:left="720" w:hanging="720"/>
      </w:pPr>
      <w:rPr>
        <w:rFonts w:ascii="Arial" w:hAnsi="Arial" w:cs="Arial" w:hint="default"/>
        <w:b/>
        <w:i w:val="0"/>
        <w:caps w:val="0"/>
        <w:vanish w:val="0"/>
        <w:color w:val="auto"/>
        <w:sz w:val="24"/>
      </w:rPr>
    </w:lvl>
    <w:lvl w:ilvl="7">
      <w:start w:val="1"/>
      <w:numFmt w:val="none"/>
      <w:lvlText w:val=""/>
      <w:lvlJc w:val="left"/>
      <w:pPr>
        <w:ind w:left="720" w:hanging="720"/>
      </w:pPr>
      <w:rPr>
        <w:rFonts w:ascii="Arial Bold" w:hAnsi="Arial Bold" w:hint="default"/>
        <w:b/>
        <w:i w:val="0"/>
        <w:caps w:val="0"/>
        <w:vanish w:val="0"/>
        <w:color w:val="auto"/>
        <w:sz w:val="32"/>
        <w:u w:color="FFFFFF"/>
      </w:rPr>
    </w:lvl>
    <w:lvl w:ilvl="8">
      <w:start w:val="1"/>
      <w:numFmt w:val="none"/>
      <w:lvlText w:val=""/>
      <w:lvlJc w:val="left"/>
      <w:pPr>
        <w:ind w:left="1584" w:hanging="1584"/>
      </w:pPr>
      <w:rPr>
        <w:rFonts w:ascii="Arial Bold" w:hAnsi="Arial Bold" w:hint="default"/>
        <w:b/>
        <w:i w:val="0"/>
        <w:caps w:val="0"/>
        <w:vanish w:val="0"/>
        <w:color w:val="auto"/>
        <w:sz w:val="28"/>
      </w:rPr>
    </w:lvl>
  </w:abstractNum>
  <w:abstractNum w:abstractNumId="19" w15:restartNumberingAfterBreak="0">
    <w:nsid w:val="187D33BB"/>
    <w:multiLevelType w:val="multilevel"/>
    <w:tmpl w:val="82321584"/>
    <w:styleLink w:val="LFO16"/>
    <w:lvl w:ilvl="0">
      <w:numFmt w:val="bullet"/>
      <w:pStyle w:val="GHPPandResTableBullet1"/>
      <w:lvlText w:val=""/>
      <w:lvlJc w:val="left"/>
      <w:pPr>
        <w:ind w:left="360" w:hanging="360"/>
      </w:pPr>
      <w:rPr>
        <w:rFonts w:ascii="Symbol" w:hAnsi="Symbol"/>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1D5B5227"/>
    <w:multiLevelType w:val="multilevel"/>
    <w:tmpl w:val="D1E27E64"/>
    <w:styleLink w:val="LFO1"/>
    <w:lvl w:ilvl="0">
      <w:numFmt w:val="bullet"/>
      <w:pStyle w:val="GHBullet1"/>
      <w:lvlText w:val=""/>
      <w:lvlJc w:val="left"/>
      <w:pPr>
        <w:ind w:left="533"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1ECA56EC"/>
    <w:multiLevelType w:val="hybridMultilevel"/>
    <w:tmpl w:val="E21AA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05A42A0"/>
    <w:multiLevelType w:val="hybridMultilevel"/>
    <w:tmpl w:val="F6688E40"/>
    <w:lvl w:ilvl="0" w:tplc="BF0843F6">
      <w:start w:val="1"/>
      <w:numFmt w:val="bullet"/>
      <w:pStyle w:val="Resum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1667DF7"/>
    <w:multiLevelType w:val="multilevel"/>
    <w:tmpl w:val="A554FE14"/>
    <w:styleLink w:val="LFO14"/>
    <w:lvl w:ilvl="0">
      <w:start w:val="1"/>
      <w:numFmt w:val="lowerLetter"/>
      <w:pStyle w:val="GHTable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1697A29"/>
    <w:multiLevelType w:val="multilevel"/>
    <w:tmpl w:val="8EAA89F0"/>
    <w:styleLink w:val="LFO20"/>
    <w:lvl w:ilvl="0">
      <w:numFmt w:val="bullet"/>
      <w:pStyle w:val="GHPPandResTableBullet3"/>
      <w:lvlText w:val=""/>
      <w:lvlJc w:val="left"/>
      <w:pPr>
        <w:ind w:left="878" w:hanging="360"/>
      </w:pPr>
      <w:rPr>
        <w:rFonts w:ascii="Wingdings" w:hAnsi="Wingdings"/>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23954686"/>
    <w:multiLevelType w:val="hybridMultilevel"/>
    <w:tmpl w:val="189C591C"/>
    <w:lvl w:ilvl="0" w:tplc="F878AC9A">
      <w:start w:val="1"/>
      <w:numFmt w:val="decimal"/>
      <w:lvlText w:val="Table %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5D63E1C"/>
    <w:multiLevelType w:val="multilevel"/>
    <w:tmpl w:val="42E6EFA2"/>
    <w:styleLink w:val="StyleBulleted"/>
    <w:lvl w:ilvl="0">
      <w:start w:val="1"/>
      <w:numFmt w:val="bullet"/>
      <w:lvlText w:val="»"/>
      <w:lvlJc w:val="left"/>
      <w:pPr>
        <w:tabs>
          <w:tab w:val="num" w:pos="972"/>
        </w:tabs>
        <w:ind w:left="972" w:hanging="432"/>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6776476"/>
    <w:multiLevelType w:val="multilevel"/>
    <w:tmpl w:val="BF7EB62A"/>
    <w:styleLink w:val="LFO13"/>
    <w:lvl w:ilvl="0">
      <w:start w:val="1"/>
      <w:numFmt w:val="decimal"/>
      <w:pStyle w:val="GHTableNumber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9014F3C"/>
    <w:multiLevelType w:val="multilevel"/>
    <w:tmpl w:val="E2845D60"/>
    <w:styleLink w:val="LFO2"/>
    <w:lvl w:ilvl="0">
      <w:numFmt w:val="bullet"/>
      <w:pStyle w:val="GHBullet2"/>
      <w:lvlText w:val="–"/>
      <w:lvlJc w:val="left"/>
      <w:pPr>
        <w:ind w:left="1080" w:hanging="360"/>
      </w:pPr>
      <w:rPr>
        <w:rFonts w:ascii="Arial" w:hAnsi="Aria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29195BAF"/>
    <w:multiLevelType w:val="multilevel"/>
    <w:tmpl w:val="1DA8FEDE"/>
    <w:styleLink w:val="LFO8"/>
    <w:lvl w:ilvl="0">
      <w:start w:val="1"/>
      <w:numFmt w:val="lowerLetter"/>
      <w:pStyle w:val="GH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99163A5"/>
    <w:multiLevelType w:val="hybridMultilevel"/>
    <w:tmpl w:val="E8EC4206"/>
    <w:lvl w:ilvl="0" w:tplc="442CDF74">
      <w:start w:val="1"/>
      <w:numFmt w:val="bullet"/>
      <w:pStyle w:val="TableBullet"/>
      <w:lvlText w:val=""/>
      <w:lvlJc w:val="left"/>
      <w:pPr>
        <w:ind w:left="720" w:hanging="360"/>
      </w:pPr>
      <w:rPr>
        <w:rFonts w:ascii="Symbol" w:hAnsi="Symbol" w:hint="default"/>
        <w:color w:val="auto"/>
        <w:u w:val="none"/>
      </w:rPr>
    </w:lvl>
    <w:lvl w:ilvl="1" w:tplc="3500AB70">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A5707EA"/>
    <w:multiLevelType w:val="hybridMultilevel"/>
    <w:tmpl w:val="67F0C0C4"/>
    <w:styleLink w:val="CnAListBullets"/>
    <w:lvl w:ilvl="0" w:tplc="3C62F40C">
      <w:start w:val="1"/>
      <w:numFmt w:val="bullet"/>
      <w:lvlText w:val=""/>
      <w:lvlJc w:val="left"/>
      <w:pPr>
        <w:ind w:left="720" w:hanging="432"/>
      </w:pPr>
      <w:rPr>
        <w:rFonts w:ascii="Wingdings" w:hAnsi="Wingdings" w:hint="default"/>
        <w:sz w:val="16"/>
      </w:rPr>
    </w:lvl>
    <w:lvl w:ilvl="1" w:tplc="3A146EDE">
      <w:start w:val="1"/>
      <w:numFmt w:val="bullet"/>
      <w:lvlText w:val="─"/>
      <w:lvlJc w:val="left"/>
      <w:pPr>
        <w:ind w:left="1152" w:hanging="432"/>
      </w:pPr>
      <w:rPr>
        <w:rFonts w:ascii="Times New Roman" w:hAnsi="Times New Roman" w:hint="default"/>
        <w:b/>
        <w:sz w:val="24"/>
      </w:rPr>
    </w:lvl>
    <w:lvl w:ilvl="2" w:tplc="9A680DEE">
      <w:start w:val="1"/>
      <w:numFmt w:val="bullet"/>
      <w:lvlText w:val="-"/>
      <w:lvlJc w:val="left"/>
      <w:pPr>
        <w:ind w:left="1584" w:hanging="432"/>
      </w:pPr>
      <w:rPr>
        <w:rFonts w:ascii="Times New Roman" w:hAnsi="Times New Roman" w:hint="default"/>
        <w:sz w:val="24"/>
      </w:rPr>
    </w:lvl>
    <w:lvl w:ilvl="3" w:tplc="BA8E61F8">
      <w:start w:val="1"/>
      <w:numFmt w:val="bullet"/>
      <w:lvlText w:val=""/>
      <w:lvlJc w:val="left"/>
      <w:pPr>
        <w:ind w:left="2016" w:hanging="432"/>
      </w:pPr>
      <w:rPr>
        <w:rFonts w:ascii="Symbol" w:hAnsi="Symbol" w:hint="default"/>
      </w:rPr>
    </w:lvl>
    <w:lvl w:ilvl="4" w:tplc="FDBE1F02">
      <w:start w:val="1"/>
      <w:numFmt w:val="bullet"/>
      <w:lvlText w:val=""/>
      <w:lvlJc w:val="left"/>
      <w:pPr>
        <w:ind w:left="2448" w:hanging="432"/>
      </w:pPr>
      <w:rPr>
        <w:rFonts w:ascii="Symbol" w:hAnsi="Symbol" w:hint="default"/>
      </w:rPr>
    </w:lvl>
    <w:lvl w:ilvl="5" w:tplc="074E77A8">
      <w:start w:val="1"/>
      <w:numFmt w:val="bullet"/>
      <w:lvlText w:val=""/>
      <w:lvlJc w:val="left"/>
      <w:pPr>
        <w:ind w:left="2880" w:hanging="432"/>
      </w:pPr>
      <w:rPr>
        <w:rFonts w:ascii="Wingdings" w:hAnsi="Wingdings" w:hint="default"/>
      </w:rPr>
    </w:lvl>
    <w:lvl w:ilvl="6" w:tplc="D0780B96">
      <w:start w:val="1"/>
      <w:numFmt w:val="bullet"/>
      <w:lvlText w:val=""/>
      <w:lvlJc w:val="left"/>
      <w:pPr>
        <w:ind w:left="3312" w:hanging="432"/>
      </w:pPr>
      <w:rPr>
        <w:rFonts w:ascii="Wingdings" w:hAnsi="Wingdings" w:hint="default"/>
      </w:rPr>
    </w:lvl>
    <w:lvl w:ilvl="7" w:tplc="F1C6F7FC">
      <w:start w:val="1"/>
      <w:numFmt w:val="bullet"/>
      <w:lvlText w:val=""/>
      <w:lvlJc w:val="left"/>
      <w:pPr>
        <w:ind w:left="3744" w:hanging="432"/>
      </w:pPr>
      <w:rPr>
        <w:rFonts w:ascii="Symbol" w:hAnsi="Symbol" w:hint="default"/>
      </w:rPr>
    </w:lvl>
    <w:lvl w:ilvl="8" w:tplc="448AC2A8">
      <w:start w:val="1"/>
      <w:numFmt w:val="bullet"/>
      <w:lvlText w:val=""/>
      <w:lvlJc w:val="left"/>
      <w:pPr>
        <w:ind w:left="4176" w:hanging="432"/>
      </w:pPr>
      <w:rPr>
        <w:rFonts w:ascii="Symbol" w:hAnsi="Symbol" w:hint="default"/>
      </w:rPr>
    </w:lvl>
  </w:abstractNum>
  <w:abstractNum w:abstractNumId="32" w15:restartNumberingAfterBreak="0">
    <w:nsid w:val="2C4D3FF7"/>
    <w:multiLevelType w:val="multilevel"/>
    <w:tmpl w:val="501E1428"/>
    <w:styleLink w:val="LFO21"/>
    <w:lvl w:ilvl="0">
      <w:start w:val="1"/>
      <w:numFmt w:val="decimal"/>
      <w:pStyle w:val="GHPPandResTableNumber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7737CD8"/>
    <w:multiLevelType w:val="multilevel"/>
    <w:tmpl w:val="897AA204"/>
    <w:styleLink w:val="LFO6"/>
    <w:lvl w:ilvl="0">
      <w:start w:val="1"/>
      <w:numFmt w:val="decimal"/>
      <w:pStyle w:val="GHTableCaption"/>
      <w:lvlText w:val="Table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78A5942"/>
    <w:multiLevelType w:val="multilevel"/>
    <w:tmpl w:val="1F123A46"/>
    <w:styleLink w:val="LFO9"/>
    <w:lvl w:ilvl="0">
      <w:start w:val="1"/>
      <w:numFmt w:val="lowerRoman"/>
      <w:pStyle w:val="GHNumberLevel3"/>
      <w:lvlText w:val="%1."/>
      <w:lvlJc w:val="lef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AC96003"/>
    <w:multiLevelType w:val="multilevel"/>
    <w:tmpl w:val="FA2899C8"/>
    <w:styleLink w:val="StyleBulleted6"/>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CEA2E11"/>
    <w:multiLevelType w:val="multilevel"/>
    <w:tmpl w:val="55669770"/>
    <w:styleLink w:val="StyleBulletedLeft0Hanging03"/>
    <w:lvl w:ilvl="0">
      <w:start w:val="1"/>
      <w:numFmt w:val="bullet"/>
      <w:lvlText w:val="»"/>
      <w:lvlJc w:val="left"/>
      <w:pPr>
        <w:tabs>
          <w:tab w:val="num" w:pos="864"/>
        </w:tabs>
        <w:ind w:left="720" w:hanging="288"/>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E9525FC"/>
    <w:multiLevelType w:val="hybridMultilevel"/>
    <w:tmpl w:val="E0328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EF32D11"/>
    <w:multiLevelType w:val="multilevel"/>
    <w:tmpl w:val="30F204E6"/>
    <w:styleLink w:val="LFO24"/>
    <w:lvl w:ilvl="0">
      <w:start w:val="1"/>
      <w:numFmt w:val="lowerRoman"/>
      <w:pStyle w:val="GHPPandResTableNumberLevel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08F72CB"/>
    <w:multiLevelType w:val="multilevel"/>
    <w:tmpl w:val="393ADCCE"/>
    <w:styleLink w:val="LFO15"/>
    <w:lvl w:ilvl="0">
      <w:start w:val="1"/>
      <w:numFmt w:val="lowerRoman"/>
      <w:pStyle w:val="GHTableNumberLevel3"/>
      <w:lvlText w:val="%1."/>
      <w:lvlJc w:val="left"/>
      <w:pPr>
        <w:ind w:left="792" w:hanging="216"/>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6142A06"/>
    <w:multiLevelType w:val="hybridMultilevel"/>
    <w:tmpl w:val="BFA23D04"/>
    <w:lvl w:ilvl="0" w:tplc="E91A2812">
      <w:start w:val="1"/>
      <w:numFmt w:val="bullet"/>
      <w:pStyle w:val="ResumeBullets"/>
      <w:lvlText w:val=""/>
      <w:lvlJc w:val="left"/>
      <w:pPr>
        <w:tabs>
          <w:tab w:val="num" w:pos="720"/>
        </w:tabs>
        <w:ind w:left="720" w:hanging="360"/>
      </w:pPr>
      <w:rPr>
        <w:rFonts w:ascii="Symbol" w:hAnsi="Symbol" w:hint="default"/>
      </w:rPr>
    </w:lvl>
    <w:lvl w:ilvl="1" w:tplc="8E721D40" w:tentative="1">
      <w:start w:val="1"/>
      <w:numFmt w:val="bullet"/>
      <w:lvlText w:val="o"/>
      <w:lvlJc w:val="left"/>
      <w:pPr>
        <w:tabs>
          <w:tab w:val="num" w:pos="1440"/>
        </w:tabs>
        <w:ind w:left="1440" w:hanging="360"/>
      </w:pPr>
      <w:rPr>
        <w:rFonts w:ascii="Courier New" w:hAnsi="Courier New" w:hint="default"/>
      </w:rPr>
    </w:lvl>
    <w:lvl w:ilvl="2" w:tplc="AA806A78" w:tentative="1">
      <w:start w:val="1"/>
      <w:numFmt w:val="bullet"/>
      <w:lvlText w:val=""/>
      <w:lvlJc w:val="left"/>
      <w:pPr>
        <w:tabs>
          <w:tab w:val="num" w:pos="2160"/>
        </w:tabs>
        <w:ind w:left="2160" w:hanging="360"/>
      </w:pPr>
      <w:rPr>
        <w:rFonts w:ascii="Wingdings" w:hAnsi="Wingdings" w:hint="default"/>
      </w:rPr>
    </w:lvl>
    <w:lvl w:ilvl="3" w:tplc="E4D44E8E" w:tentative="1">
      <w:start w:val="1"/>
      <w:numFmt w:val="bullet"/>
      <w:lvlText w:val=""/>
      <w:lvlJc w:val="left"/>
      <w:pPr>
        <w:tabs>
          <w:tab w:val="num" w:pos="2880"/>
        </w:tabs>
        <w:ind w:left="2880" w:hanging="360"/>
      </w:pPr>
      <w:rPr>
        <w:rFonts w:ascii="Symbol" w:hAnsi="Symbol" w:hint="default"/>
      </w:rPr>
    </w:lvl>
    <w:lvl w:ilvl="4" w:tplc="1D742C3E" w:tentative="1">
      <w:start w:val="1"/>
      <w:numFmt w:val="bullet"/>
      <w:lvlText w:val="o"/>
      <w:lvlJc w:val="left"/>
      <w:pPr>
        <w:tabs>
          <w:tab w:val="num" w:pos="3600"/>
        </w:tabs>
        <w:ind w:left="3600" w:hanging="360"/>
      </w:pPr>
      <w:rPr>
        <w:rFonts w:ascii="Courier New" w:hAnsi="Courier New" w:hint="default"/>
      </w:rPr>
    </w:lvl>
    <w:lvl w:ilvl="5" w:tplc="CAAE33E8" w:tentative="1">
      <w:start w:val="1"/>
      <w:numFmt w:val="bullet"/>
      <w:lvlText w:val=""/>
      <w:lvlJc w:val="left"/>
      <w:pPr>
        <w:tabs>
          <w:tab w:val="num" w:pos="4320"/>
        </w:tabs>
        <w:ind w:left="4320" w:hanging="360"/>
      </w:pPr>
      <w:rPr>
        <w:rFonts w:ascii="Wingdings" w:hAnsi="Wingdings" w:hint="default"/>
      </w:rPr>
    </w:lvl>
    <w:lvl w:ilvl="6" w:tplc="9DD47AB4" w:tentative="1">
      <w:start w:val="1"/>
      <w:numFmt w:val="bullet"/>
      <w:lvlText w:val=""/>
      <w:lvlJc w:val="left"/>
      <w:pPr>
        <w:tabs>
          <w:tab w:val="num" w:pos="5040"/>
        </w:tabs>
        <w:ind w:left="5040" w:hanging="360"/>
      </w:pPr>
      <w:rPr>
        <w:rFonts w:ascii="Symbol" w:hAnsi="Symbol" w:hint="default"/>
      </w:rPr>
    </w:lvl>
    <w:lvl w:ilvl="7" w:tplc="AF3ADFE6" w:tentative="1">
      <w:start w:val="1"/>
      <w:numFmt w:val="bullet"/>
      <w:lvlText w:val="o"/>
      <w:lvlJc w:val="left"/>
      <w:pPr>
        <w:tabs>
          <w:tab w:val="num" w:pos="5760"/>
        </w:tabs>
        <w:ind w:left="5760" w:hanging="360"/>
      </w:pPr>
      <w:rPr>
        <w:rFonts w:ascii="Courier New" w:hAnsi="Courier New" w:hint="default"/>
      </w:rPr>
    </w:lvl>
    <w:lvl w:ilvl="8" w:tplc="04E08126"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61D0F4B"/>
    <w:multiLevelType w:val="hybridMultilevel"/>
    <w:tmpl w:val="3A265280"/>
    <w:lvl w:ilvl="0" w:tplc="04090001">
      <w:start w:val="1"/>
      <w:numFmt w:val="bullet"/>
      <w:pStyle w:val="Bullets-Square"/>
      <w:lvlText w:val=""/>
      <w:lvlJc w:val="left"/>
      <w:pPr>
        <w:tabs>
          <w:tab w:val="num" w:pos="0"/>
        </w:tabs>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BC76844"/>
    <w:multiLevelType w:val="multilevel"/>
    <w:tmpl w:val="821A89D8"/>
    <w:styleLink w:val="LFO3"/>
    <w:lvl w:ilvl="0">
      <w:numFmt w:val="bullet"/>
      <w:pStyle w:val="GHBullet3"/>
      <w:lvlText w:val=""/>
      <w:lvlJc w:val="left"/>
      <w:pPr>
        <w:ind w:left="1440" w:hanging="360"/>
      </w:pPr>
      <w:rPr>
        <w:rFonts w:ascii="Wingdings" w:hAnsi="Wingdings"/>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4D376ADA"/>
    <w:multiLevelType w:val="hybridMultilevel"/>
    <w:tmpl w:val="DF3A6D0E"/>
    <w:lvl w:ilvl="0" w:tplc="6DC4805C">
      <w:start w:val="1"/>
      <w:numFmt w:val="bullet"/>
      <w:pStyle w:val="TableBullet1"/>
      <w:lvlText w:val=""/>
      <w:lvlJc w:val="left"/>
      <w:pPr>
        <w:tabs>
          <w:tab w:val="num" w:pos="360"/>
        </w:tabs>
        <w:ind w:left="360" w:hanging="360"/>
      </w:pPr>
      <w:rPr>
        <w:rFonts w:ascii="Symbol" w:hAnsi="Symbo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22B783B"/>
    <w:multiLevelType w:val="hybridMultilevel"/>
    <w:tmpl w:val="7BC0D184"/>
    <w:lvl w:ilvl="0" w:tplc="ED4E7A48">
      <w:start w:val="1"/>
      <w:numFmt w:val="bullet"/>
      <w:pStyle w:val="TableBullet2"/>
      <w:lvlText w:val="–"/>
      <w:lvlJc w:val="left"/>
      <w:pPr>
        <w:tabs>
          <w:tab w:val="num" w:pos="533"/>
        </w:tabs>
        <w:ind w:left="533" w:hanging="360"/>
      </w:pPr>
      <w:rPr>
        <w:rFonts w:ascii="Arial" w:hAnsi="Arial" w:hint="default"/>
        <w:color w:val="auto"/>
        <w:sz w:val="20"/>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3CD28B4"/>
    <w:multiLevelType w:val="multilevel"/>
    <w:tmpl w:val="94E46454"/>
    <w:styleLink w:val="LFO22"/>
    <w:lvl w:ilvl="0">
      <w:start w:val="1"/>
      <w:numFmt w:val="lowerLetter"/>
      <w:pStyle w:val="GHPPandResTable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7AE02A6"/>
    <w:multiLevelType w:val="hybridMultilevel"/>
    <w:tmpl w:val="6944E714"/>
    <w:lvl w:ilvl="0" w:tplc="00E6C834">
      <w:start w:val="1"/>
      <w:numFmt w:val="bullet"/>
      <w:pStyle w:val="Bullets-Resume"/>
      <w:lvlText w:val=""/>
      <w:lvlJc w:val="left"/>
      <w:pPr>
        <w:tabs>
          <w:tab w:val="num" w:pos="360"/>
        </w:tabs>
        <w:ind w:left="360" w:hanging="360"/>
      </w:pPr>
      <w:rPr>
        <w:rFonts w:ascii="Symbol" w:hAnsi="Symbol" w:hint="default"/>
      </w:rPr>
    </w:lvl>
    <w:lvl w:ilvl="1" w:tplc="FA72A1B8" w:tentative="1">
      <w:start w:val="1"/>
      <w:numFmt w:val="bullet"/>
      <w:lvlText w:val="o"/>
      <w:lvlJc w:val="left"/>
      <w:pPr>
        <w:tabs>
          <w:tab w:val="num" w:pos="1080"/>
        </w:tabs>
        <w:ind w:left="1080" w:hanging="360"/>
      </w:pPr>
      <w:rPr>
        <w:rFonts w:ascii="Courier New" w:hAnsi="Courier New" w:hint="default"/>
      </w:rPr>
    </w:lvl>
    <w:lvl w:ilvl="2" w:tplc="B5AC21DA" w:tentative="1">
      <w:start w:val="1"/>
      <w:numFmt w:val="bullet"/>
      <w:lvlText w:val=""/>
      <w:lvlJc w:val="left"/>
      <w:pPr>
        <w:tabs>
          <w:tab w:val="num" w:pos="1800"/>
        </w:tabs>
        <w:ind w:left="1800" w:hanging="360"/>
      </w:pPr>
      <w:rPr>
        <w:rFonts w:ascii="Wingdings" w:hAnsi="Wingdings" w:hint="default"/>
      </w:rPr>
    </w:lvl>
    <w:lvl w:ilvl="3" w:tplc="233618F2" w:tentative="1">
      <w:start w:val="1"/>
      <w:numFmt w:val="bullet"/>
      <w:lvlText w:val=""/>
      <w:lvlJc w:val="left"/>
      <w:pPr>
        <w:tabs>
          <w:tab w:val="num" w:pos="2520"/>
        </w:tabs>
        <w:ind w:left="2520" w:hanging="360"/>
      </w:pPr>
      <w:rPr>
        <w:rFonts w:ascii="Symbol" w:hAnsi="Symbol" w:hint="default"/>
      </w:rPr>
    </w:lvl>
    <w:lvl w:ilvl="4" w:tplc="774C1430" w:tentative="1">
      <w:start w:val="1"/>
      <w:numFmt w:val="bullet"/>
      <w:lvlText w:val="o"/>
      <w:lvlJc w:val="left"/>
      <w:pPr>
        <w:tabs>
          <w:tab w:val="num" w:pos="3240"/>
        </w:tabs>
        <w:ind w:left="3240" w:hanging="360"/>
      </w:pPr>
      <w:rPr>
        <w:rFonts w:ascii="Courier New" w:hAnsi="Courier New" w:hint="default"/>
      </w:rPr>
    </w:lvl>
    <w:lvl w:ilvl="5" w:tplc="D660A876" w:tentative="1">
      <w:start w:val="1"/>
      <w:numFmt w:val="bullet"/>
      <w:lvlText w:val=""/>
      <w:lvlJc w:val="left"/>
      <w:pPr>
        <w:tabs>
          <w:tab w:val="num" w:pos="3960"/>
        </w:tabs>
        <w:ind w:left="3960" w:hanging="360"/>
      </w:pPr>
      <w:rPr>
        <w:rFonts w:ascii="Wingdings" w:hAnsi="Wingdings" w:hint="default"/>
      </w:rPr>
    </w:lvl>
    <w:lvl w:ilvl="6" w:tplc="582C0E96" w:tentative="1">
      <w:start w:val="1"/>
      <w:numFmt w:val="bullet"/>
      <w:lvlText w:val=""/>
      <w:lvlJc w:val="left"/>
      <w:pPr>
        <w:tabs>
          <w:tab w:val="num" w:pos="4680"/>
        </w:tabs>
        <w:ind w:left="4680" w:hanging="360"/>
      </w:pPr>
      <w:rPr>
        <w:rFonts w:ascii="Symbol" w:hAnsi="Symbol" w:hint="default"/>
      </w:rPr>
    </w:lvl>
    <w:lvl w:ilvl="7" w:tplc="09A8CDEC" w:tentative="1">
      <w:start w:val="1"/>
      <w:numFmt w:val="bullet"/>
      <w:lvlText w:val="o"/>
      <w:lvlJc w:val="left"/>
      <w:pPr>
        <w:tabs>
          <w:tab w:val="num" w:pos="5400"/>
        </w:tabs>
        <w:ind w:left="5400" w:hanging="360"/>
      </w:pPr>
      <w:rPr>
        <w:rFonts w:ascii="Courier New" w:hAnsi="Courier New" w:hint="default"/>
      </w:rPr>
    </w:lvl>
    <w:lvl w:ilvl="8" w:tplc="85323670"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58AB5A42"/>
    <w:multiLevelType w:val="multilevel"/>
    <w:tmpl w:val="C136B0C4"/>
    <w:styleLink w:val="LFO12"/>
    <w:lvl w:ilvl="0">
      <w:numFmt w:val="bullet"/>
      <w:pStyle w:val="GHTableBullet3"/>
      <w:lvlText w:val=""/>
      <w:lvlJc w:val="left"/>
      <w:pPr>
        <w:ind w:left="792" w:hanging="360"/>
      </w:pPr>
      <w:rPr>
        <w:rFonts w:ascii="Wingdings" w:hAnsi="Wingdings"/>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5F7D03A1"/>
    <w:multiLevelType w:val="multilevel"/>
    <w:tmpl w:val="EE96B3BA"/>
    <w:styleLink w:val="LFO18"/>
    <w:lvl w:ilvl="0">
      <w:numFmt w:val="bullet"/>
      <w:pStyle w:val="GHPPandResTableBullet2"/>
      <w:lvlText w:val="–"/>
      <w:lvlJc w:val="left"/>
      <w:pPr>
        <w:ind w:left="533" w:hanging="360"/>
      </w:pPr>
      <w:rPr>
        <w:rFonts w:ascii="Arial" w:hAnsi="Aria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61E146FD"/>
    <w:multiLevelType w:val="hybridMultilevel"/>
    <w:tmpl w:val="A96ABAAA"/>
    <w:lvl w:ilvl="0" w:tplc="9E48C68E">
      <w:start w:val="1"/>
      <w:numFmt w:val="bullet"/>
      <w:pStyle w:val="Bullets-Lo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26917AB"/>
    <w:multiLevelType w:val="multilevel"/>
    <w:tmpl w:val="9B184D2A"/>
    <w:styleLink w:val="Style1"/>
    <w:lvl w:ilvl="0">
      <w:start w:val="1"/>
      <w:numFmt w:val="decimal"/>
      <w:lvlText w:val="Section %1"/>
      <w:lvlJc w:val="left"/>
      <w:pPr>
        <w:tabs>
          <w:tab w:val="num" w:pos="432"/>
        </w:tabs>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51" w15:restartNumberingAfterBreak="0">
    <w:nsid w:val="6ABC0982"/>
    <w:multiLevelType w:val="hybridMultilevel"/>
    <w:tmpl w:val="04090021"/>
    <w:styleLink w:val="Itron"/>
    <w:lvl w:ilvl="0" w:tplc="125CBD86">
      <w:start w:val="1"/>
      <w:numFmt w:val="bullet"/>
      <w:lvlText w:val=""/>
      <w:lvlJc w:val="left"/>
      <w:pPr>
        <w:ind w:left="1080" w:hanging="360"/>
      </w:pPr>
      <w:rPr>
        <w:rFonts w:ascii="Wingdings" w:hAnsi="Wingdings"/>
      </w:rPr>
    </w:lvl>
    <w:lvl w:ilvl="1" w:tplc="536A7820">
      <w:start w:val="1"/>
      <w:numFmt w:val="bullet"/>
      <w:lvlText w:val="─"/>
      <w:lvlJc w:val="left"/>
      <w:pPr>
        <w:ind w:left="1800" w:hanging="360"/>
      </w:pPr>
      <w:rPr>
        <w:rFonts w:ascii="Times New Roman" w:hAnsi="Times New Roman" w:hint="default"/>
        <w:b/>
        <w:sz w:val="24"/>
      </w:rPr>
    </w:lvl>
    <w:lvl w:ilvl="2" w:tplc="C484829C">
      <w:start w:val="1"/>
      <w:numFmt w:val="bullet"/>
      <w:lvlText w:val="-"/>
      <w:lvlJc w:val="left"/>
      <w:pPr>
        <w:ind w:left="2520" w:hanging="360"/>
      </w:pPr>
      <w:rPr>
        <w:rFonts w:ascii="Times New Roman" w:hAnsi="Times New Roman" w:hint="default"/>
        <w:sz w:val="24"/>
      </w:rPr>
    </w:lvl>
    <w:lvl w:ilvl="3" w:tplc="3C20F106">
      <w:start w:val="1"/>
      <w:numFmt w:val="bullet"/>
      <w:lvlText w:val=""/>
      <w:lvlJc w:val="left"/>
      <w:pPr>
        <w:ind w:left="3240" w:hanging="360"/>
      </w:pPr>
      <w:rPr>
        <w:rFonts w:ascii="Symbol" w:hAnsi="Symbol" w:hint="default"/>
      </w:rPr>
    </w:lvl>
    <w:lvl w:ilvl="4" w:tplc="1F9625D0">
      <w:start w:val="1"/>
      <w:numFmt w:val="bullet"/>
      <w:lvlText w:val=""/>
      <w:lvlJc w:val="left"/>
      <w:pPr>
        <w:ind w:left="3960" w:hanging="360"/>
      </w:pPr>
      <w:rPr>
        <w:rFonts w:ascii="Symbol" w:hAnsi="Symbol" w:hint="default"/>
      </w:rPr>
    </w:lvl>
    <w:lvl w:ilvl="5" w:tplc="27E6FED2">
      <w:start w:val="1"/>
      <w:numFmt w:val="bullet"/>
      <w:lvlText w:val=""/>
      <w:lvlJc w:val="left"/>
      <w:pPr>
        <w:ind w:left="4680" w:hanging="360"/>
      </w:pPr>
      <w:rPr>
        <w:rFonts w:ascii="Wingdings" w:hAnsi="Wingdings" w:hint="default"/>
      </w:rPr>
    </w:lvl>
    <w:lvl w:ilvl="6" w:tplc="55D8D05A">
      <w:start w:val="1"/>
      <w:numFmt w:val="bullet"/>
      <w:lvlText w:val=""/>
      <w:lvlJc w:val="left"/>
      <w:pPr>
        <w:ind w:left="5400" w:hanging="360"/>
      </w:pPr>
      <w:rPr>
        <w:rFonts w:ascii="Wingdings" w:hAnsi="Wingdings" w:hint="default"/>
      </w:rPr>
    </w:lvl>
    <w:lvl w:ilvl="7" w:tplc="ACAA8548">
      <w:start w:val="1"/>
      <w:numFmt w:val="bullet"/>
      <w:lvlText w:val=""/>
      <w:lvlJc w:val="left"/>
      <w:pPr>
        <w:ind w:left="6120" w:hanging="360"/>
      </w:pPr>
      <w:rPr>
        <w:rFonts w:ascii="Symbol" w:hAnsi="Symbol" w:hint="default"/>
      </w:rPr>
    </w:lvl>
    <w:lvl w:ilvl="8" w:tplc="B232CCB6">
      <w:start w:val="1"/>
      <w:numFmt w:val="bullet"/>
      <w:lvlText w:val=""/>
      <w:lvlJc w:val="left"/>
      <w:pPr>
        <w:ind w:left="6840" w:hanging="360"/>
      </w:pPr>
      <w:rPr>
        <w:rFonts w:ascii="Symbol" w:hAnsi="Symbol" w:hint="default"/>
      </w:rPr>
    </w:lvl>
  </w:abstractNum>
  <w:abstractNum w:abstractNumId="52" w15:restartNumberingAfterBreak="0">
    <w:nsid w:val="723E1294"/>
    <w:multiLevelType w:val="multilevel"/>
    <w:tmpl w:val="EBD8563A"/>
    <w:styleLink w:val="LFO7"/>
    <w:lvl w:ilvl="0">
      <w:start w:val="1"/>
      <w:numFmt w:val="decimal"/>
      <w:pStyle w:val="GHNumberLevel1"/>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52424A6"/>
    <w:multiLevelType w:val="hybridMultilevel"/>
    <w:tmpl w:val="83747D7A"/>
    <w:styleLink w:val="StyleNumbered"/>
    <w:lvl w:ilvl="0" w:tplc="3A1E118C">
      <w:start w:val="1"/>
      <w:numFmt w:val="decimal"/>
      <w:lvlText w:val="%1."/>
      <w:lvlJc w:val="left"/>
      <w:pPr>
        <w:ind w:left="720" w:hanging="360"/>
      </w:pPr>
      <w:rPr>
        <w:rFonts w:ascii="Times New Roman" w:hAnsi="Times New Roman" w:cs="Times New Roman"/>
        <w:sz w:val="22"/>
      </w:rPr>
    </w:lvl>
    <w:lvl w:ilvl="1" w:tplc="6FC08728">
      <w:start w:val="1"/>
      <w:numFmt w:val="lowerLetter"/>
      <w:lvlText w:val="%2."/>
      <w:lvlJc w:val="left"/>
      <w:pPr>
        <w:ind w:left="1440" w:hanging="360"/>
      </w:pPr>
      <w:rPr>
        <w:rFonts w:cs="Times New Roman"/>
      </w:rPr>
    </w:lvl>
    <w:lvl w:ilvl="2" w:tplc="9FE6AFDE">
      <w:start w:val="1"/>
      <w:numFmt w:val="lowerRoman"/>
      <w:lvlText w:val="%3."/>
      <w:lvlJc w:val="right"/>
      <w:pPr>
        <w:ind w:left="2160" w:hanging="180"/>
      </w:pPr>
      <w:rPr>
        <w:rFonts w:cs="Times New Roman"/>
      </w:rPr>
    </w:lvl>
    <w:lvl w:ilvl="3" w:tplc="6BD8B43E">
      <w:start w:val="1"/>
      <w:numFmt w:val="decimal"/>
      <w:lvlText w:val="%4."/>
      <w:lvlJc w:val="left"/>
      <w:pPr>
        <w:ind w:left="2880" w:hanging="360"/>
      </w:pPr>
      <w:rPr>
        <w:rFonts w:cs="Times New Roman"/>
      </w:rPr>
    </w:lvl>
    <w:lvl w:ilvl="4" w:tplc="1FBA882A">
      <w:start w:val="1"/>
      <w:numFmt w:val="lowerLetter"/>
      <w:lvlText w:val="%5."/>
      <w:lvlJc w:val="left"/>
      <w:pPr>
        <w:ind w:left="3600" w:hanging="360"/>
      </w:pPr>
      <w:rPr>
        <w:rFonts w:cs="Times New Roman"/>
      </w:rPr>
    </w:lvl>
    <w:lvl w:ilvl="5" w:tplc="1A720EB0">
      <w:start w:val="1"/>
      <w:numFmt w:val="lowerRoman"/>
      <w:lvlText w:val="%6."/>
      <w:lvlJc w:val="right"/>
      <w:pPr>
        <w:ind w:left="4320" w:hanging="180"/>
      </w:pPr>
      <w:rPr>
        <w:rFonts w:cs="Times New Roman"/>
      </w:rPr>
    </w:lvl>
    <w:lvl w:ilvl="6" w:tplc="C784BE4C">
      <w:start w:val="1"/>
      <w:numFmt w:val="decimal"/>
      <w:lvlText w:val="%7."/>
      <w:lvlJc w:val="left"/>
      <w:pPr>
        <w:ind w:left="5040" w:hanging="360"/>
      </w:pPr>
      <w:rPr>
        <w:rFonts w:cs="Times New Roman"/>
      </w:rPr>
    </w:lvl>
    <w:lvl w:ilvl="7" w:tplc="0B1A4588">
      <w:start w:val="1"/>
      <w:numFmt w:val="lowerLetter"/>
      <w:lvlText w:val="%8."/>
      <w:lvlJc w:val="left"/>
      <w:pPr>
        <w:ind w:left="5760" w:hanging="360"/>
      </w:pPr>
      <w:rPr>
        <w:rFonts w:cs="Times New Roman"/>
      </w:rPr>
    </w:lvl>
    <w:lvl w:ilvl="8" w:tplc="D7A0AB3E">
      <w:start w:val="1"/>
      <w:numFmt w:val="lowerRoman"/>
      <w:lvlText w:val="%9."/>
      <w:lvlJc w:val="right"/>
      <w:pPr>
        <w:ind w:left="6480" w:hanging="180"/>
      </w:pPr>
      <w:rPr>
        <w:rFonts w:cs="Times New Roman"/>
      </w:rPr>
    </w:lvl>
  </w:abstractNum>
  <w:abstractNum w:abstractNumId="54" w15:restartNumberingAfterBreak="0">
    <w:nsid w:val="75D70FD7"/>
    <w:multiLevelType w:val="multilevel"/>
    <w:tmpl w:val="0C94C876"/>
    <w:lvl w:ilvl="0">
      <w:start w:val="5"/>
      <w:numFmt w:val="upperLetter"/>
      <w:pStyle w:val="ESHeading1"/>
      <w:lvlText w:val="%1"/>
      <w:lvlJc w:val="left"/>
      <w:pPr>
        <w:tabs>
          <w:tab w:val="num" w:pos="0"/>
        </w:tabs>
      </w:pPr>
      <w:rPr>
        <w:rFonts w:ascii="Tahoma" w:hAnsi="Tahoma" w:cs="Times New Roman" w:hint="default"/>
        <w:b/>
        <w:i w:val="0"/>
        <w:caps w:val="0"/>
        <w:smallCaps w:val="0"/>
        <w:strike w:val="0"/>
        <w:dstrike w:val="0"/>
        <w:vanish w:val="0"/>
        <w:color w:val="000000"/>
        <w:spacing w:val="0"/>
        <w:kern w:val="0"/>
        <w:position w:val="0"/>
        <w:sz w:val="56"/>
        <w:szCs w:val="56"/>
        <w:u w:val="none"/>
        <w:vertAlign w:val="baseline"/>
      </w:rPr>
    </w:lvl>
    <w:lvl w:ilvl="1">
      <w:start w:val="1"/>
      <w:numFmt w:val="decimal"/>
      <w:lvlText w:val="%1.%2"/>
      <w:lvlJc w:val="left"/>
      <w:pPr>
        <w:tabs>
          <w:tab w:val="num" w:pos="720"/>
        </w:tabs>
        <w:ind w:left="720" w:hanging="720"/>
      </w:pPr>
      <w:rPr>
        <w:rFonts w:ascii="Arial Bold" w:hAnsi="Arial Bold" w:cs="Times New Roman" w:hint="default"/>
        <w:b/>
        <w:i w:val="0"/>
        <w:sz w:val="28"/>
        <w:szCs w:val="28"/>
      </w:rPr>
    </w:lvl>
    <w:lvl w:ilvl="2">
      <w:start w:val="1"/>
      <w:numFmt w:val="decimal"/>
      <w:lvlText w:val="%1.%2.%3"/>
      <w:lvlJc w:val="left"/>
      <w:pPr>
        <w:tabs>
          <w:tab w:val="num" w:pos="720"/>
        </w:tabs>
        <w:ind w:left="720" w:hanging="720"/>
      </w:pPr>
      <w:rPr>
        <w:rFonts w:ascii="Arial Bold" w:hAnsi="Arial Bold" w:cs="Times New Roman" w:hint="default"/>
        <w:b/>
        <w:i w:val="0"/>
        <w:sz w:val="24"/>
        <w:szCs w:val="24"/>
      </w:rPr>
    </w:lvl>
    <w:lvl w:ilvl="3">
      <w:start w:val="1"/>
      <w:numFmt w:val="decimal"/>
      <w:lvlText w:val="%1.%2.%3.%4"/>
      <w:lvlJc w:val="left"/>
      <w:pPr>
        <w:tabs>
          <w:tab w:val="num" w:pos="864"/>
        </w:tabs>
        <w:ind w:left="864" w:hanging="864"/>
      </w:pPr>
      <w:rPr>
        <w:rFonts w:ascii="Arial" w:hAnsi="Arial" w:cs="Times New Roman" w:hint="default"/>
        <w:b/>
        <w:i w:val="0"/>
        <w:sz w:val="24"/>
        <w:szCs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5" w15:restartNumberingAfterBreak="0">
    <w:nsid w:val="778451B7"/>
    <w:multiLevelType w:val="multilevel"/>
    <w:tmpl w:val="5052C4CA"/>
    <w:styleLink w:val="LFO5"/>
    <w:lvl w:ilvl="0">
      <w:start w:val="1"/>
      <w:numFmt w:val="decimal"/>
      <w:pStyle w:val="GHFigureCaption"/>
      <w:lvlText w:val="Figure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9BB49D8"/>
    <w:multiLevelType w:val="multilevel"/>
    <w:tmpl w:val="EAF0A172"/>
    <w:lvl w:ilvl="0">
      <w:start w:val="1"/>
      <w:numFmt w:val="decimal"/>
      <w:pStyle w:val="AnswerNumbered"/>
      <w:lvlText w:val="%1."/>
      <w:lvlJc w:val="left"/>
      <w:pPr>
        <w:tabs>
          <w:tab w:val="num" w:pos="936"/>
        </w:tabs>
        <w:ind w:left="936" w:hanging="360"/>
      </w:pPr>
      <w:rPr>
        <w:rFonts w:cs="Times New Roman" w:hint="default"/>
      </w:rPr>
    </w:lvl>
    <w:lvl w:ilvl="1">
      <w:start w:val="1"/>
      <w:numFmt w:val="decimal"/>
      <w:lvlText w:val="%1.%2."/>
      <w:lvlJc w:val="left"/>
      <w:pPr>
        <w:tabs>
          <w:tab w:val="num" w:pos="2016"/>
        </w:tabs>
        <w:ind w:left="1368" w:hanging="432"/>
      </w:pPr>
      <w:rPr>
        <w:rFonts w:cs="Times New Roman" w:hint="default"/>
      </w:rPr>
    </w:lvl>
    <w:lvl w:ilvl="2">
      <w:start w:val="1"/>
      <w:numFmt w:val="decimal"/>
      <w:lvlText w:val="%1.%2.%3."/>
      <w:lvlJc w:val="left"/>
      <w:pPr>
        <w:tabs>
          <w:tab w:val="num" w:pos="2736"/>
        </w:tabs>
        <w:ind w:left="1800" w:hanging="504"/>
      </w:pPr>
      <w:rPr>
        <w:rFonts w:cs="Times New Roman" w:hint="default"/>
      </w:rPr>
    </w:lvl>
    <w:lvl w:ilvl="3">
      <w:start w:val="1"/>
      <w:numFmt w:val="decimal"/>
      <w:lvlText w:val="%1.%2.%3.%4."/>
      <w:lvlJc w:val="left"/>
      <w:pPr>
        <w:tabs>
          <w:tab w:val="num" w:pos="3456"/>
        </w:tabs>
        <w:ind w:left="2304" w:hanging="648"/>
      </w:pPr>
      <w:rPr>
        <w:rFonts w:cs="Times New Roman" w:hint="default"/>
      </w:rPr>
    </w:lvl>
    <w:lvl w:ilvl="4">
      <w:start w:val="1"/>
      <w:numFmt w:val="decimal"/>
      <w:lvlText w:val="%1.%2.%3.%4.%5."/>
      <w:lvlJc w:val="left"/>
      <w:pPr>
        <w:tabs>
          <w:tab w:val="num" w:pos="4176"/>
        </w:tabs>
        <w:ind w:left="2808" w:hanging="792"/>
      </w:pPr>
      <w:rPr>
        <w:rFonts w:cs="Times New Roman" w:hint="default"/>
      </w:rPr>
    </w:lvl>
    <w:lvl w:ilvl="5">
      <w:start w:val="1"/>
      <w:numFmt w:val="decimal"/>
      <w:lvlText w:val="%1.%2.%3.%4.%5.%6."/>
      <w:lvlJc w:val="left"/>
      <w:pPr>
        <w:tabs>
          <w:tab w:val="num" w:pos="4896"/>
        </w:tabs>
        <w:ind w:left="3312" w:hanging="936"/>
      </w:pPr>
      <w:rPr>
        <w:rFonts w:cs="Times New Roman" w:hint="default"/>
      </w:rPr>
    </w:lvl>
    <w:lvl w:ilvl="6">
      <w:start w:val="1"/>
      <w:numFmt w:val="decimal"/>
      <w:lvlText w:val="%1.%2.%3.%4.%5.%6.%7."/>
      <w:lvlJc w:val="left"/>
      <w:pPr>
        <w:tabs>
          <w:tab w:val="num" w:pos="5616"/>
        </w:tabs>
        <w:ind w:left="3816" w:hanging="1080"/>
      </w:pPr>
      <w:rPr>
        <w:rFonts w:cs="Times New Roman" w:hint="default"/>
      </w:rPr>
    </w:lvl>
    <w:lvl w:ilvl="7">
      <w:start w:val="1"/>
      <w:numFmt w:val="decimal"/>
      <w:lvlText w:val="%1.%2.%3.%4.%5.%6.%7.%8."/>
      <w:lvlJc w:val="left"/>
      <w:pPr>
        <w:tabs>
          <w:tab w:val="num" w:pos="6336"/>
        </w:tabs>
        <w:ind w:left="4320" w:hanging="1224"/>
      </w:pPr>
      <w:rPr>
        <w:rFonts w:cs="Times New Roman" w:hint="default"/>
      </w:rPr>
    </w:lvl>
    <w:lvl w:ilvl="8">
      <w:start w:val="1"/>
      <w:numFmt w:val="decimal"/>
      <w:lvlText w:val="%1.%2.%3.%4.%5.%6.%7.%8.%9."/>
      <w:lvlJc w:val="left"/>
      <w:pPr>
        <w:tabs>
          <w:tab w:val="num" w:pos="7056"/>
        </w:tabs>
        <w:ind w:left="4896" w:hanging="1440"/>
      </w:pPr>
      <w:rPr>
        <w:rFonts w:cs="Times New Roman" w:hint="default"/>
      </w:rPr>
    </w:lvl>
  </w:abstractNum>
  <w:abstractNum w:abstractNumId="57" w15:restartNumberingAfterBreak="0">
    <w:nsid w:val="7B577937"/>
    <w:multiLevelType w:val="hybridMultilevel"/>
    <w:tmpl w:val="4A843208"/>
    <w:lvl w:ilvl="0" w:tplc="B25ABED0">
      <w:start w:val="1"/>
      <w:numFmt w:val="decimal"/>
      <w:pStyle w:val="Number"/>
      <w:lvlText w:val="%1."/>
      <w:lvlJc w:val="left"/>
      <w:pPr>
        <w:tabs>
          <w:tab w:val="num" w:pos="1080"/>
        </w:tabs>
        <w:ind w:left="1080" w:hanging="360"/>
      </w:pPr>
      <w:rPr>
        <w:rFonts w:cs="Times New Roman" w:hint="default"/>
      </w:rPr>
    </w:lvl>
    <w:lvl w:ilvl="1" w:tplc="EC24D752">
      <w:numFmt w:val="decimal"/>
      <w:lvlText w:val=""/>
      <w:lvlJc w:val="left"/>
    </w:lvl>
    <w:lvl w:ilvl="2" w:tplc="10166B2A">
      <w:numFmt w:val="decimal"/>
      <w:lvlText w:val=""/>
      <w:lvlJc w:val="left"/>
    </w:lvl>
    <w:lvl w:ilvl="3" w:tplc="CB40D83E">
      <w:numFmt w:val="decimal"/>
      <w:lvlText w:val=""/>
      <w:lvlJc w:val="left"/>
    </w:lvl>
    <w:lvl w:ilvl="4" w:tplc="427ABC28">
      <w:numFmt w:val="decimal"/>
      <w:lvlText w:val=""/>
      <w:lvlJc w:val="left"/>
    </w:lvl>
    <w:lvl w:ilvl="5" w:tplc="D758E37A">
      <w:numFmt w:val="decimal"/>
      <w:lvlText w:val=""/>
      <w:lvlJc w:val="left"/>
    </w:lvl>
    <w:lvl w:ilvl="6" w:tplc="51A468AA">
      <w:numFmt w:val="decimal"/>
      <w:lvlText w:val=""/>
      <w:lvlJc w:val="left"/>
    </w:lvl>
    <w:lvl w:ilvl="7" w:tplc="CB7868AC">
      <w:numFmt w:val="decimal"/>
      <w:lvlText w:val=""/>
      <w:lvlJc w:val="left"/>
    </w:lvl>
    <w:lvl w:ilvl="8" w:tplc="F94800AC">
      <w:numFmt w:val="decimal"/>
      <w:lvlText w:val=""/>
      <w:lvlJc w:val="left"/>
    </w:lvl>
  </w:abstractNum>
  <w:abstractNum w:abstractNumId="58" w15:restartNumberingAfterBreak="0">
    <w:nsid w:val="7D0625B4"/>
    <w:multiLevelType w:val="multilevel"/>
    <w:tmpl w:val="4426EC28"/>
    <w:styleLink w:val="LFO10"/>
    <w:lvl w:ilvl="0">
      <w:numFmt w:val="bullet"/>
      <w:pStyle w:val="GHTableBullet1"/>
      <w:lvlText w:val=""/>
      <w:lvlJc w:val="left"/>
      <w:pPr>
        <w:ind w:left="360" w:hanging="360"/>
      </w:pPr>
      <w:rPr>
        <w:rFonts w:ascii="Symbol" w:hAnsi="Symbol"/>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303395551">
    <w:abstractNumId w:val="44"/>
  </w:num>
  <w:num w:numId="2" w16cid:durableId="803624762">
    <w:abstractNumId w:val="12"/>
  </w:num>
  <w:num w:numId="3" w16cid:durableId="9726398">
    <w:abstractNumId w:val="16"/>
  </w:num>
  <w:num w:numId="4" w16cid:durableId="646207924">
    <w:abstractNumId w:val="49"/>
  </w:num>
  <w:num w:numId="5" w16cid:durableId="1778678908">
    <w:abstractNumId w:val="46"/>
  </w:num>
  <w:num w:numId="6" w16cid:durableId="129179713">
    <w:abstractNumId w:val="13"/>
  </w:num>
  <w:num w:numId="7" w16cid:durableId="1735278040">
    <w:abstractNumId w:val="41"/>
  </w:num>
  <w:num w:numId="8" w16cid:durableId="391200273">
    <w:abstractNumId w:val="31"/>
  </w:num>
  <w:num w:numId="9" w16cid:durableId="1815029820">
    <w:abstractNumId w:val="54"/>
  </w:num>
  <w:num w:numId="10" w16cid:durableId="1595625335">
    <w:abstractNumId w:val="51"/>
  </w:num>
  <w:num w:numId="11" w16cid:durableId="207108751">
    <w:abstractNumId w:val="57"/>
  </w:num>
  <w:num w:numId="12" w16cid:durableId="1519387041">
    <w:abstractNumId w:val="22"/>
  </w:num>
  <w:num w:numId="13" w16cid:durableId="941915311">
    <w:abstractNumId w:val="40"/>
  </w:num>
  <w:num w:numId="14" w16cid:durableId="2093163222">
    <w:abstractNumId w:val="53"/>
  </w:num>
  <w:num w:numId="15" w16cid:durableId="954873979">
    <w:abstractNumId w:val="50"/>
  </w:num>
  <w:num w:numId="16" w16cid:durableId="366292854">
    <w:abstractNumId w:val="56"/>
  </w:num>
  <w:num w:numId="17" w16cid:durableId="819809129">
    <w:abstractNumId w:val="10"/>
  </w:num>
  <w:num w:numId="18" w16cid:durableId="1235244614">
    <w:abstractNumId w:val="20"/>
  </w:num>
  <w:num w:numId="19" w16cid:durableId="1904296771">
    <w:abstractNumId w:val="58"/>
  </w:num>
  <w:num w:numId="20" w16cid:durableId="590821376">
    <w:abstractNumId w:val="17"/>
  </w:num>
  <w:num w:numId="21" w16cid:durableId="199242883">
    <w:abstractNumId w:val="47"/>
  </w:num>
  <w:num w:numId="22" w16cid:durableId="1032724391">
    <w:abstractNumId w:val="27"/>
  </w:num>
  <w:num w:numId="23" w16cid:durableId="118230274">
    <w:abstractNumId w:val="23"/>
  </w:num>
  <w:num w:numId="24" w16cid:durableId="626737538">
    <w:abstractNumId w:val="39"/>
  </w:num>
  <w:num w:numId="25" w16cid:durableId="1773158570">
    <w:abstractNumId w:val="19"/>
  </w:num>
  <w:num w:numId="26" w16cid:durableId="2068843606">
    <w:abstractNumId w:val="48"/>
  </w:num>
  <w:num w:numId="27" w16cid:durableId="1748187011">
    <w:abstractNumId w:val="28"/>
  </w:num>
  <w:num w:numId="28" w16cid:durableId="1842699578">
    <w:abstractNumId w:val="24"/>
  </w:num>
  <w:num w:numId="29" w16cid:durableId="1222788141">
    <w:abstractNumId w:val="32"/>
  </w:num>
  <w:num w:numId="30" w16cid:durableId="786697576">
    <w:abstractNumId w:val="45"/>
  </w:num>
  <w:num w:numId="31" w16cid:durableId="201064580">
    <w:abstractNumId w:val="38"/>
  </w:num>
  <w:num w:numId="32" w16cid:durableId="1767001644">
    <w:abstractNumId w:val="42"/>
  </w:num>
  <w:num w:numId="33" w16cid:durableId="701176498">
    <w:abstractNumId w:val="55"/>
  </w:num>
  <w:num w:numId="34" w16cid:durableId="1728335976">
    <w:abstractNumId w:val="33"/>
  </w:num>
  <w:num w:numId="35" w16cid:durableId="1518813320">
    <w:abstractNumId w:val="52"/>
  </w:num>
  <w:num w:numId="36" w16cid:durableId="1562211509">
    <w:abstractNumId w:val="29"/>
  </w:num>
  <w:num w:numId="37" w16cid:durableId="660625367">
    <w:abstractNumId w:val="34"/>
  </w:num>
  <w:num w:numId="38" w16cid:durableId="238683951">
    <w:abstractNumId w:val="9"/>
  </w:num>
  <w:num w:numId="39" w16cid:durableId="919946627">
    <w:abstractNumId w:val="7"/>
  </w:num>
  <w:num w:numId="40" w16cid:durableId="1830439212">
    <w:abstractNumId w:val="6"/>
  </w:num>
  <w:num w:numId="41" w16cid:durableId="1858082117">
    <w:abstractNumId w:val="5"/>
  </w:num>
  <w:num w:numId="42" w16cid:durableId="665596113">
    <w:abstractNumId w:val="4"/>
  </w:num>
  <w:num w:numId="43" w16cid:durableId="244609158">
    <w:abstractNumId w:val="8"/>
  </w:num>
  <w:num w:numId="44" w16cid:durableId="345206044">
    <w:abstractNumId w:val="3"/>
  </w:num>
  <w:num w:numId="45" w16cid:durableId="242640854">
    <w:abstractNumId w:val="2"/>
  </w:num>
  <w:num w:numId="46" w16cid:durableId="981226425">
    <w:abstractNumId w:val="1"/>
  </w:num>
  <w:num w:numId="47" w16cid:durableId="487021774">
    <w:abstractNumId w:val="0"/>
  </w:num>
  <w:num w:numId="48" w16cid:durableId="56906649">
    <w:abstractNumId w:val="26"/>
  </w:num>
  <w:num w:numId="49" w16cid:durableId="1842045997">
    <w:abstractNumId w:val="36"/>
  </w:num>
  <w:num w:numId="50" w16cid:durableId="1822113845">
    <w:abstractNumId w:val="35"/>
  </w:num>
  <w:num w:numId="51" w16cid:durableId="1714428968">
    <w:abstractNumId w:val="14"/>
  </w:num>
  <w:num w:numId="52" w16cid:durableId="1948195692">
    <w:abstractNumId w:val="15"/>
  </w:num>
  <w:num w:numId="53" w16cid:durableId="665671986">
    <w:abstractNumId w:val="30"/>
  </w:num>
  <w:num w:numId="54" w16cid:durableId="231279709">
    <w:abstractNumId w:val="43"/>
  </w:num>
  <w:num w:numId="55" w16cid:durableId="2035227353">
    <w:abstractNumId w:val="25"/>
  </w:num>
  <w:num w:numId="56" w16cid:durableId="815026076">
    <w:abstractNumId w:val="11"/>
  </w:num>
  <w:num w:numId="57" w16cid:durableId="1308632964">
    <w:abstractNumId w:val="21"/>
  </w:num>
  <w:num w:numId="58" w16cid:durableId="218715132">
    <w:abstractNumId w:val="37"/>
  </w:num>
  <w:num w:numId="59" w16cid:durableId="1864586746">
    <w:abstractNumId w:val="18"/>
  </w:num>
  <w:num w:numId="60" w16cid:durableId="511795274">
    <w:abstractNumId w:val="18"/>
    <w:lvlOverride w:ilvl="0">
      <w:lvl w:ilvl="0">
        <w:start w:val="1"/>
        <w:numFmt w:val="decimal"/>
        <w:pStyle w:val="Heading10"/>
        <w:lvlText w:val="%1."/>
        <w:lvlJc w:val="left"/>
        <w:pPr>
          <w:ind w:left="360" w:hanging="360"/>
        </w:pPr>
        <w:rPr>
          <w:rFonts w:ascii="Aptos" w:hAnsi="Aptos" w:hint="default"/>
          <w:b/>
          <w:i w:val="0"/>
          <w:caps w:val="0"/>
          <w:color w:val="93D500" w:themeColor="accent1"/>
          <w:spacing w:val="0"/>
          <w:sz w:val="32"/>
        </w:rPr>
      </w:lvl>
    </w:lvlOverride>
    <w:lvlOverride w:ilvl="1">
      <w:lvl w:ilvl="1">
        <w:start w:val="1"/>
        <w:numFmt w:val="decimal"/>
        <w:pStyle w:val="Heading2"/>
        <w:suff w:val="space"/>
        <w:lvlText w:val="%1.%2"/>
        <w:lvlJc w:val="left"/>
        <w:pPr>
          <w:ind w:left="720" w:hanging="720"/>
        </w:pPr>
        <w:rPr>
          <w:rFonts w:ascii="Aptos" w:hAnsi="Aptos" w:cs="Arial" w:hint="default"/>
          <w:b/>
          <w:i w:val="0"/>
          <w:caps w:val="0"/>
          <w:vanish w:val="0"/>
          <w:color w:val="auto"/>
          <w:sz w:val="28"/>
        </w:rPr>
      </w:lvl>
    </w:lvlOverride>
    <w:lvlOverride w:ilvl="2">
      <w:lvl w:ilvl="2">
        <w:start w:val="1"/>
        <w:numFmt w:val="decimal"/>
        <w:pStyle w:val="Heading3"/>
        <w:suff w:val="space"/>
        <w:lvlText w:val="%1.%2.%3"/>
        <w:lvlJc w:val="left"/>
        <w:pPr>
          <w:ind w:left="720" w:hanging="720"/>
        </w:pPr>
        <w:rPr>
          <w:rFonts w:ascii="Aptos" w:hAnsi="Aptos" w:cs="Arial" w:hint="default"/>
          <w:b/>
          <w:i w:val="0"/>
          <w:iCs w:val="0"/>
          <w:caps w:val="0"/>
          <w:vanish w:val="0"/>
          <w:color w:val="auto"/>
          <w:sz w:val="24"/>
        </w:rPr>
      </w:lvl>
    </w:lvlOverride>
    <w:lvlOverride w:ilvl="3">
      <w:lvl w:ilvl="3">
        <w:start w:val="1"/>
        <w:numFmt w:val="decimal"/>
        <w:pStyle w:val="Heading4"/>
        <w:suff w:val="space"/>
        <w:lvlText w:val="%1.%2.%3.%4"/>
        <w:lvlJc w:val="left"/>
        <w:pPr>
          <w:ind w:left="864" w:hanging="864"/>
        </w:pPr>
        <w:rPr>
          <w:rFonts w:ascii="Aptos" w:hAnsi="Aptos" w:cs="Arial" w:hint="default"/>
          <w:b/>
          <w:i/>
          <w:caps w:val="0"/>
          <w:vanish w:val="0"/>
          <w:color w:val="auto"/>
          <w:kern w:val="0"/>
          <w:position w:val="0"/>
          <w:sz w:val="22"/>
        </w:rPr>
      </w:lvl>
    </w:lvlOverride>
    <w:lvlOverride w:ilvl="4">
      <w:lvl w:ilvl="4">
        <w:start w:val="1"/>
        <w:numFmt w:val="upperLetter"/>
        <w:pStyle w:val="Heading5"/>
        <w:suff w:val="space"/>
        <w:lvlText w:val="Appendix %5."/>
        <w:lvlJc w:val="left"/>
        <w:pPr>
          <w:ind w:left="0" w:firstLine="0"/>
        </w:pPr>
        <w:rPr>
          <w:rFonts w:ascii="Arial Bold" w:hAnsi="Arial Bold" w:cs="Arial" w:hint="default"/>
          <w:b/>
          <w:bCs w:val="0"/>
          <w:i/>
          <w:iCs w:val="0"/>
          <w:caps w:val="0"/>
          <w:strike w:val="0"/>
          <w:dstrike w:val="0"/>
          <w:vanish w:val="0"/>
          <w:color w:val="auto"/>
          <w:spacing w:val="0"/>
          <w:kern w:val="0"/>
          <w:position w:val="0"/>
          <w:sz w:val="24"/>
          <w:u w:val="none"/>
          <w:effect w:val="none"/>
          <w:vertAlign w:val="baseline"/>
          <w:em w:val="none"/>
        </w:rPr>
      </w:lvl>
    </w:lvlOverride>
    <w:lvlOverride w:ilvl="5">
      <w:lvl w:ilvl="5">
        <w:start w:val="1"/>
        <w:numFmt w:val="decimal"/>
        <w:pStyle w:val="Heading6"/>
        <w:suff w:val="space"/>
        <w:lvlText w:val="%5.%6"/>
        <w:lvlJc w:val="left"/>
        <w:pPr>
          <w:ind w:left="720" w:hanging="720"/>
        </w:pPr>
        <w:rPr>
          <w:rFonts w:ascii="Arial" w:hAnsi="Arial" w:cs="Arial" w:hint="default"/>
          <w:b/>
          <w:i w:val="0"/>
          <w:caps w:val="0"/>
          <w:vanish w:val="0"/>
          <w:color w:val="auto"/>
          <w:kern w:val="0"/>
          <w:sz w:val="28"/>
        </w:rPr>
      </w:lvl>
    </w:lvlOverride>
    <w:lvlOverride w:ilvl="6">
      <w:lvl w:ilvl="6">
        <w:start w:val="1"/>
        <w:numFmt w:val="decimal"/>
        <w:pStyle w:val="Heading7"/>
        <w:lvlText w:val="%5.%6.%7"/>
        <w:lvlJc w:val="left"/>
        <w:pPr>
          <w:ind w:left="720" w:hanging="720"/>
        </w:pPr>
        <w:rPr>
          <w:rFonts w:ascii="Arial" w:hAnsi="Arial" w:cs="Arial" w:hint="default"/>
          <w:b/>
          <w:i w:val="0"/>
          <w:caps w:val="0"/>
          <w:vanish w:val="0"/>
          <w:color w:val="auto"/>
          <w:sz w:val="24"/>
        </w:rPr>
      </w:lvl>
    </w:lvlOverride>
    <w:lvlOverride w:ilvl="7">
      <w:lvl w:ilvl="7">
        <w:start w:val="1"/>
        <w:numFmt w:val="none"/>
        <w:lvlText w:val=""/>
        <w:lvlJc w:val="left"/>
        <w:pPr>
          <w:ind w:left="720" w:hanging="720"/>
        </w:pPr>
        <w:rPr>
          <w:rFonts w:ascii="Arial Bold" w:hAnsi="Arial Bold" w:hint="default"/>
          <w:b/>
          <w:i w:val="0"/>
          <w:caps w:val="0"/>
          <w:vanish w:val="0"/>
          <w:color w:val="auto"/>
          <w:sz w:val="32"/>
          <w:u w:color="FFFFFF"/>
        </w:rPr>
      </w:lvl>
    </w:lvlOverride>
    <w:lvlOverride w:ilvl="8">
      <w:lvl w:ilvl="8">
        <w:start w:val="1"/>
        <w:numFmt w:val="none"/>
        <w:lvlText w:val=""/>
        <w:lvlJc w:val="left"/>
        <w:pPr>
          <w:ind w:left="1584" w:hanging="1584"/>
        </w:pPr>
        <w:rPr>
          <w:rFonts w:ascii="Arial Bold" w:hAnsi="Arial Bold" w:hint="default"/>
          <w:b/>
          <w:i w:val="0"/>
          <w:caps w:val="0"/>
          <w:vanish w:val="0"/>
          <w:color w:val="auto"/>
          <w:sz w:val="28"/>
        </w:rPr>
      </w:lvl>
    </w:lvlOverride>
  </w:num>
  <w:num w:numId="61" w16cid:durableId="325792561">
    <w:abstractNumId w:val="18"/>
    <w:lvlOverride w:ilvl="0">
      <w:lvl w:ilvl="0">
        <w:start w:val="1"/>
        <w:numFmt w:val="decimal"/>
        <w:pStyle w:val="Heading10"/>
        <w:lvlText w:val="%1."/>
        <w:lvlJc w:val="left"/>
        <w:pPr>
          <w:ind w:left="360" w:hanging="360"/>
        </w:pPr>
        <w:rPr>
          <w:rFonts w:ascii="Aptos" w:hAnsi="Aptos" w:hint="default"/>
          <w:b/>
          <w:i w:val="0"/>
          <w:caps w:val="0"/>
          <w:color w:val="93D500" w:themeColor="accent1"/>
          <w:spacing w:val="0"/>
          <w:sz w:val="32"/>
        </w:rPr>
      </w:lvl>
    </w:lvlOverride>
    <w:lvlOverride w:ilvl="1">
      <w:lvl w:ilvl="1">
        <w:start w:val="1"/>
        <w:numFmt w:val="decimal"/>
        <w:pStyle w:val="Heading2"/>
        <w:suff w:val="space"/>
        <w:lvlText w:val="%1.%2"/>
        <w:lvlJc w:val="left"/>
        <w:pPr>
          <w:ind w:left="720" w:hanging="720"/>
        </w:pPr>
        <w:rPr>
          <w:rFonts w:ascii="Aptos" w:hAnsi="Aptos" w:cs="Arial" w:hint="default"/>
          <w:b/>
          <w:i w:val="0"/>
          <w:caps w:val="0"/>
          <w:vanish w:val="0"/>
          <w:color w:val="auto"/>
          <w:sz w:val="28"/>
        </w:rPr>
      </w:lvl>
    </w:lvlOverride>
    <w:lvlOverride w:ilvl="2">
      <w:lvl w:ilvl="2">
        <w:start w:val="1"/>
        <w:numFmt w:val="decimal"/>
        <w:pStyle w:val="Heading3"/>
        <w:suff w:val="space"/>
        <w:lvlText w:val="%1.%2.%3"/>
        <w:lvlJc w:val="left"/>
        <w:pPr>
          <w:ind w:left="720" w:hanging="720"/>
        </w:pPr>
        <w:rPr>
          <w:rFonts w:ascii="Aptos" w:hAnsi="Aptos" w:cs="Arial" w:hint="default"/>
          <w:b/>
          <w:i w:val="0"/>
          <w:iCs w:val="0"/>
          <w:caps w:val="0"/>
          <w:vanish w:val="0"/>
          <w:color w:val="auto"/>
          <w:sz w:val="24"/>
        </w:rPr>
      </w:lvl>
    </w:lvlOverride>
    <w:lvlOverride w:ilvl="3">
      <w:lvl w:ilvl="3">
        <w:start w:val="1"/>
        <w:numFmt w:val="decimal"/>
        <w:pStyle w:val="Heading4"/>
        <w:suff w:val="space"/>
        <w:lvlText w:val="%1.%2.%3.%4"/>
        <w:lvlJc w:val="left"/>
        <w:pPr>
          <w:ind w:left="864" w:hanging="864"/>
        </w:pPr>
        <w:rPr>
          <w:rFonts w:ascii="Aptos" w:hAnsi="Aptos" w:cs="Arial" w:hint="default"/>
          <w:b/>
          <w:i/>
          <w:caps w:val="0"/>
          <w:vanish w:val="0"/>
          <w:color w:val="auto"/>
          <w:kern w:val="0"/>
          <w:position w:val="0"/>
          <w:sz w:val="22"/>
        </w:rPr>
      </w:lvl>
    </w:lvlOverride>
    <w:lvlOverride w:ilvl="4">
      <w:lvl w:ilvl="4">
        <w:start w:val="1"/>
        <w:numFmt w:val="upperLetter"/>
        <w:pStyle w:val="Heading5"/>
        <w:lvlText w:val="Appendix %5."/>
        <w:lvlJc w:val="left"/>
        <w:pPr>
          <w:ind w:left="0" w:firstLine="0"/>
        </w:pPr>
        <w:rPr>
          <w:rFonts w:ascii="Arial Bold" w:hAnsi="Arial Bold" w:cs="Arial" w:hint="default"/>
          <w:b/>
          <w:bCs w:val="0"/>
          <w:i/>
          <w:iCs w:val="0"/>
          <w:caps w:val="0"/>
          <w:strike w:val="0"/>
          <w:dstrike w:val="0"/>
          <w:vanish w:val="0"/>
          <w:color w:val="auto"/>
          <w:spacing w:val="0"/>
          <w:kern w:val="0"/>
          <w:position w:val="0"/>
          <w:sz w:val="24"/>
          <w:u w:val="none"/>
          <w:effect w:val="none"/>
          <w:vertAlign w:val="baseline"/>
          <w:em w:val="none"/>
        </w:rPr>
      </w:lvl>
    </w:lvlOverride>
    <w:lvlOverride w:ilvl="5">
      <w:lvl w:ilvl="5">
        <w:start w:val="1"/>
        <w:numFmt w:val="decimal"/>
        <w:pStyle w:val="Heading6"/>
        <w:suff w:val="space"/>
        <w:lvlText w:val="%5.%6"/>
        <w:lvlJc w:val="left"/>
        <w:pPr>
          <w:ind w:left="720" w:hanging="720"/>
        </w:pPr>
        <w:rPr>
          <w:rFonts w:ascii="Arial" w:hAnsi="Arial" w:cs="Arial" w:hint="default"/>
          <w:b/>
          <w:i w:val="0"/>
          <w:caps w:val="0"/>
          <w:vanish w:val="0"/>
          <w:color w:val="auto"/>
          <w:kern w:val="0"/>
          <w:sz w:val="28"/>
        </w:rPr>
      </w:lvl>
    </w:lvlOverride>
    <w:lvlOverride w:ilvl="6">
      <w:lvl w:ilvl="6">
        <w:start w:val="1"/>
        <w:numFmt w:val="decimal"/>
        <w:pStyle w:val="Heading7"/>
        <w:lvlText w:val="%5.%6.%7"/>
        <w:lvlJc w:val="left"/>
        <w:pPr>
          <w:ind w:left="720" w:hanging="720"/>
        </w:pPr>
        <w:rPr>
          <w:rFonts w:ascii="Arial" w:hAnsi="Arial" w:cs="Arial" w:hint="default"/>
          <w:b/>
          <w:i w:val="0"/>
          <w:caps w:val="0"/>
          <w:vanish w:val="0"/>
          <w:color w:val="auto"/>
          <w:sz w:val="24"/>
        </w:rPr>
      </w:lvl>
    </w:lvlOverride>
    <w:lvlOverride w:ilvl="7">
      <w:lvl w:ilvl="7">
        <w:start w:val="1"/>
        <w:numFmt w:val="none"/>
        <w:lvlText w:val=""/>
        <w:lvlJc w:val="left"/>
        <w:pPr>
          <w:ind w:left="720" w:hanging="720"/>
        </w:pPr>
        <w:rPr>
          <w:rFonts w:ascii="Arial Bold" w:hAnsi="Arial Bold" w:hint="default"/>
          <w:b/>
          <w:i w:val="0"/>
          <w:caps w:val="0"/>
          <w:vanish w:val="0"/>
          <w:color w:val="auto"/>
          <w:sz w:val="32"/>
          <w:u w:color="FFFFFF"/>
        </w:rPr>
      </w:lvl>
    </w:lvlOverride>
    <w:lvlOverride w:ilvl="8">
      <w:lvl w:ilvl="8">
        <w:start w:val="1"/>
        <w:numFmt w:val="none"/>
        <w:lvlText w:val=""/>
        <w:lvlJc w:val="left"/>
        <w:pPr>
          <w:ind w:left="1584" w:hanging="1584"/>
        </w:pPr>
        <w:rPr>
          <w:rFonts w:ascii="Arial Bold" w:hAnsi="Arial Bold" w:hint="default"/>
          <w:b/>
          <w:i w:val="0"/>
          <w:caps w:val="0"/>
          <w:vanish w:val="0"/>
          <w:color w:val="auto"/>
          <w:sz w:val="28"/>
        </w:rPr>
      </w:lvl>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ditGoTo" w:val="x1"/>
  </w:docVars>
  <w:rsids>
    <w:rsidRoot w:val="008A5D8E"/>
    <w:rsid w:val="0000068A"/>
    <w:rsid w:val="00000B20"/>
    <w:rsid w:val="00000D5D"/>
    <w:rsid w:val="00000E8E"/>
    <w:rsid w:val="00000EB6"/>
    <w:rsid w:val="00001472"/>
    <w:rsid w:val="00001545"/>
    <w:rsid w:val="000018DF"/>
    <w:rsid w:val="000030C8"/>
    <w:rsid w:val="000030F8"/>
    <w:rsid w:val="0000320A"/>
    <w:rsid w:val="00003341"/>
    <w:rsid w:val="000036AE"/>
    <w:rsid w:val="00003A33"/>
    <w:rsid w:val="00004723"/>
    <w:rsid w:val="00004865"/>
    <w:rsid w:val="00005206"/>
    <w:rsid w:val="00005891"/>
    <w:rsid w:val="00005DB4"/>
    <w:rsid w:val="00005E48"/>
    <w:rsid w:val="00006268"/>
    <w:rsid w:val="00006744"/>
    <w:rsid w:val="00006D7F"/>
    <w:rsid w:val="0000732D"/>
    <w:rsid w:val="00007639"/>
    <w:rsid w:val="00007C0D"/>
    <w:rsid w:val="00007E96"/>
    <w:rsid w:val="00007EE5"/>
    <w:rsid w:val="000100F8"/>
    <w:rsid w:val="000106EE"/>
    <w:rsid w:val="0001086C"/>
    <w:rsid w:val="00010CF1"/>
    <w:rsid w:val="00010EB5"/>
    <w:rsid w:val="000116B2"/>
    <w:rsid w:val="00011A7A"/>
    <w:rsid w:val="00012020"/>
    <w:rsid w:val="00012344"/>
    <w:rsid w:val="00012528"/>
    <w:rsid w:val="000126F4"/>
    <w:rsid w:val="00012CA5"/>
    <w:rsid w:val="00012D2E"/>
    <w:rsid w:val="00012E47"/>
    <w:rsid w:val="00013033"/>
    <w:rsid w:val="00013376"/>
    <w:rsid w:val="00013A7D"/>
    <w:rsid w:val="00013ED7"/>
    <w:rsid w:val="000147F5"/>
    <w:rsid w:val="00014CD2"/>
    <w:rsid w:val="000167C7"/>
    <w:rsid w:val="00016960"/>
    <w:rsid w:val="0001698A"/>
    <w:rsid w:val="00016ACD"/>
    <w:rsid w:val="00016D18"/>
    <w:rsid w:val="00016DB0"/>
    <w:rsid w:val="000174F3"/>
    <w:rsid w:val="0002009B"/>
    <w:rsid w:val="00020216"/>
    <w:rsid w:val="000211DC"/>
    <w:rsid w:val="00021A3B"/>
    <w:rsid w:val="00021F40"/>
    <w:rsid w:val="0002282C"/>
    <w:rsid w:val="00022DC9"/>
    <w:rsid w:val="00022EDC"/>
    <w:rsid w:val="00022F0D"/>
    <w:rsid w:val="00023607"/>
    <w:rsid w:val="00023A5E"/>
    <w:rsid w:val="00023CDE"/>
    <w:rsid w:val="00023D4D"/>
    <w:rsid w:val="000253FE"/>
    <w:rsid w:val="00025C8D"/>
    <w:rsid w:val="00025DE8"/>
    <w:rsid w:val="00025EE1"/>
    <w:rsid w:val="00026046"/>
    <w:rsid w:val="0002631A"/>
    <w:rsid w:val="0002649E"/>
    <w:rsid w:val="000264AD"/>
    <w:rsid w:val="00026E65"/>
    <w:rsid w:val="00026F29"/>
    <w:rsid w:val="0002735D"/>
    <w:rsid w:val="00027FDF"/>
    <w:rsid w:val="000329AA"/>
    <w:rsid w:val="00032FA4"/>
    <w:rsid w:val="000335FE"/>
    <w:rsid w:val="000339E5"/>
    <w:rsid w:val="00033E0E"/>
    <w:rsid w:val="000343C2"/>
    <w:rsid w:val="00034F8B"/>
    <w:rsid w:val="00034F90"/>
    <w:rsid w:val="00035038"/>
    <w:rsid w:val="00035699"/>
    <w:rsid w:val="00035715"/>
    <w:rsid w:val="00035F61"/>
    <w:rsid w:val="000362B2"/>
    <w:rsid w:val="00036D8C"/>
    <w:rsid w:val="000371E9"/>
    <w:rsid w:val="00037481"/>
    <w:rsid w:val="00037629"/>
    <w:rsid w:val="00037C03"/>
    <w:rsid w:val="000407AB"/>
    <w:rsid w:val="00040AE2"/>
    <w:rsid w:val="00041347"/>
    <w:rsid w:val="000414B6"/>
    <w:rsid w:val="000414D4"/>
    <w:rsid w:val="00041E6D"/>
    <w:rsid w:val="000422A1"/>
    <w:rsid w:val="0004376E"/>
    <w:rsid w:val="000447CF"/>
    <w:rsid w:val="00045D1B"/>
    <w:rsid w:val="0004642C"/>
    <w:rsid w:val="000466A2"/>
    <w:rsid w:val="00046804"/>
    <w:rsid w:val="00047C36"/>
    <w:rsid w:val="00047C9E"/>
    <w:rsid w:val="00050B2E"/>
    <w:rsid w:val="00050EC6"/>
    <w:rsid w:val="000521F1"/>
    <w:rsid w:val="0005225A"/>
    <w:rsid w:val="0005287F"/>
    <w:rsid w:val="00052A0D"/>
    <w:rsid w:val="00052A82"/>
    <w:rsid w:val="000531E0"/>
    <w:rsid w:val="00054143"/>
    <w:rsid w:val="0005439A"/>
    <w:rsid w:val="00054DC1"/>
    <w:rsid w:val="0005540B"/>
    <w:rsid w:val="000554A9"/>
    <w:rsid w:val="00055CA1"/>
    <w:rsid w:val="00056651"/>
    <w:rsid w:val="00056713"/>
    <w:rsid w:val="00056C9E"/>
    <w:rsid w:val="000575F6"/>
    <w:rsid w:val="0005768F"/>
    <w:rsid w:val="00057904"/>
    <w:rsid w:val="00060120"/>
    <w:rsid w:val="00060889"/>
    <w:rsid w:val="00060E3D"/>
    <w:rsid w:val="000612B3"/>
    <w:rsid w:val="00061729"/>
    <w:rsid w:val="00061C05"/>
    <w:rsid w:val="0006306A"/>
    <w:rsid w:val="00063070"/>
    <w:rsid w:val="00063144"/>
    <w:rsid w:val="00063428"/>
    <w:rsid w:val="0006396D"/>
    <w:rsid w:val="00063AEB"/>
    <w:rsid w:val="00063B8D"/>
    <w:rsid w:val="00063C86"/>
    <w:rsid w:val="00063CA7"/>
    <w:rsid w:val="00065187"/>
    <w:rsid w:val="000655D2"/>
    <w:rsid w:val="00065687"/>
    <w:rsid w:val="00065C48"/>
    <w:rsid w:val="00065D22"/>
    <w:rsid w:val="00066630"/>
    <w:rsid w:val="0007038A"/>
    <w:rsid w:val="000706A7"/>
    <w:rsid w:val="00070B0A"/>
    <w:rsid w:val="00070E7C"/>
    <w:rsid w:val="000719AE"/>
    <w:rsid w:val="000719C1"/>
    <w:rsid w:val="00072117"/>
    <w:rsid w:val="00072AF3"/>
    <w:rsid w:val="00072B81"/>
    <w:rsid w:val="00072BEC"/>
    <w:rsid w:val="0007382D"/>
    <w:rsid w:val="0007472F"/>
    <w:rsid w:val="00074737"/>
    <w:rsid w:val="00074A0A"/>
    <w:rsid w:val="00074A7E"/>
    <w:rsid w:val="00074BF0"/>
    <w:rsid w:val="000750C5"/>
    <w:rsid w:val="000752D9"/>
    <w:rsid w:val="000758A8"/>
    <w:rsid w:val="00075BCE"/>
    <w:rsid w:val="00076A0C"/>
    <w:rsid w:val="00076AA5"/>
    <w:rsid w:val="00077682"/>
    <w:rsid w:val="00077AB0"/>
    <w:rsid w:val="00077E07"/>
    <w:rsid w:val="000801E7"/>
    <w:rsid w:val="0008063D"/>
    <w:rsid w:val="00080762"/>
    <w:rsid w:val="000809D9"/>
    <w:rsid w:val="00080EAD"/>
    <w:rsid w:val="00082F19"/>
    <w:rsid w:val="00083216"/>
    <w:rsid w:val="00083478"/>
    <w:rsid w:val="000838AE"/>
    <w:rsid w:val="00083C45"/>
    <w:rsid w:val="000840AD"/>
    <w:rsid w:val="00085B5D"/>
    <w:rsid w:val="00086098"/>
    <w:rsid w:val="000868CB"/>
    <w:rsid w:val="00086F90"/>
    <w:rsid w:val="00087E45"/>
    <w:rsid w:val="00087FA6"/>
    <w:rsid w:val="0009061C"/>
    <w:rsid w:val="00091057"/>
    <w:rsid w:val="000917D7"/>
    <w:rsid w:val="000925BD"/>
    <w:rsid w:val="00092603"/>
    <w:rsid w:val="00092DC6"/>
    <w:rsid w:val="00093033"/>
    <w:rsid w:val="0009382D"/>
    <w:rsid w:val="00093918"/>
    <w:rsid w:val="0009401B"/>
    <w:rsid w:val="000950A8"/>
    <w:rsid w:val="000964F3"/>
    <w:rsid w:val="00096C8D"/>
    <w:rsid w:val="000978C5"/>
    <w:rsid w:val="00097E45"/>
    <w:rsid w:val="00097E4B"/>
    <w:rsid w:val="000A04E5"/>
    <w:rsid w:val="000A1046"/>
    <w:rsid w:val="000A15EC"/>
    <w:rsid w:val="000A1D8B"/>
    <w:rsid w:val="000A2306"/>
    <w:rsid w:val="000A2693"/>
    <w:rsid w:val="000A3D16"/>
    <w:rsid w:val="000A3D2B"/>
    <w:rsid w:val="000A526A"/>
    <w:rsid w:val="000A5A16"/>
    <w:rsid w:val="000A5E1B"/>
    <w:rsid w:val="000A6047"/>
    <w:rsid w:val="000A6B52"/>
    <w:rsid w:val="000A743A"/>
    <w:rsid w:val="000A75C9"/>
    <w:rsid w:val="000A77B8"/>
    <w:rsid w:val="000A7948"/>
    <w:rsid w:val="000A7DD9"/>
    <w:rsid w:val="000B002D"/>
    <w:rsid w:val="000B056C"/>
    <w:rsid w:val="000B06DF"/>
    <w:rsid w:val="000B0E08"/>
    <w:rsid w:val="000B1278"/>
    <w:rsid w:val="000B1EA3"/>
    <w:rsid w:val="000B1FBA"/>
    <w:rsid w:val="000B21F5"/>
    <w:rsid w:val="000B353B"/>
    <w:rsid w:val="000B3DA8"/>
    <w:rsid w:val="000B3E79"/>
    <w:rsid w:val="000B3E90"/>
    <w:rsid w:val="000B4636"/>
    <w:rsid w:val="000B46CB"/>
    <w:rsid w:val="000B4F83"/>
    <w:rsid w:val="000B54FE"/>
    <w:rsid w:val="000B5638"/>
    <w:rsid w:val="000B567F"/>
    <w:rsid w:val="000B5721"/>
    <w:rsid w:val="000B5A3A"/>
    <w:rsid w:val="000B5A47"/>
    <w:rsid w:val="000B6441"/>
    <w:rsid w:val="000B6F8F"/>
    <w:rsid w:val="000B7543"/>
    <w:rsid w:val="000B75A6"/>
    <w:rsid w:val="000B7BFE"/>
    <w:rsid w:val="000C02AA"/>
    <w:rsid w:val="000C045F"/>
    <w:rsid w:val="000C05B4"/>
    <w:rsid w:val="000C0AD5"/>
    <w:rsid w:val="000C0C4E"/>
    <w:rsid w:val="000C0FC7"/>
    <w:rsid w:val="000C1E16"/>
    <w:rsid w:val="000C1F39"/>
    <w:rsid w:val="000C2FDE"/>
    <w:rsid w:val="000C369C"/>
    <w:rsid w:val="000C37E3"/>
    <w:rsid w:val="000C39FF"/>
    <w:rsid w:val="000C3AEF"/>
    <w:rsid w:val="000C3AF8"/>
    <w:rsid w:val="000C3D11"/>
    <w:rsid w:val="000C404A"/>
    <w:rsid w:val="000C4998"/>
    <w:rsid w:val="000C4A0F"/>
    <w:rsid w:val="000C4C28"/>
    <w:rsid w:val="000C56FB"/>
    <w:rsid w:val="000C5C61"/>
    <w:rsid w:val="000C6AD9"/>
    <w:rsid w:val="000C6EBD"/>
    <w:rsid w:val="000C73D0"/>
    <w:rsid w:val="000D0328"/>
    <w:rsid w:val="000D0C1E"/>
    <w:rsid w:val="000D0EB1"/>
    <w:rsid w:val="000D0F15"/>
    <w:rsid w:val="000D172F"/>
    <w:rsid w:val="000D1BBC"/>
    <w:rsid w:val="000D1F5C"/>
    <w:rsid w:val="000D234F"/>
    <w:rsid w:val="000D2378"/>
    <w:rsid w:val="000D25D9"/>
    <w:rsid w:val="000D29A5"/>
    <w:rsid w:val="000D398C"/>
    <w:rsid w:val="000D3F97"/>
    <w:rsid w:val="000D4F17"/>
    <w:rsid w:val="000D5028"/>
    <w:rsid w:val="000D521B"/>
    <w:rsid w:val="000D59AA"/>
    <w:rsid w:val="000D5A3D"/>
    <w:rsid w:val="000D6786"/>
    <w:rsid w:val="000D7C92"/>
    <w:rsid w:val="000E0AF4"/>
    <w:rsid w:val="000E0D25"/>
    <w:rsid w:val="000E142F"/>
    <w:rsid w:val="000E182F"/>
    <w:rsid w:val="000E1B85"/>
    <w:rsid w:val="000E2618"/>
    <w:rsid w:val="000E266A"/>
    <w:rsid w:val="000E2E27"/>
    <w:rsid w:val="000E43F2"/>
    <w:rsid w:val="000E477F"/>
    <w:rsid w:val="000E5F14"/>
    <w:rsid w:val="000E6083"/>
    <w:rsid w:val="000E6933"/>
    <w:rsid w:val="000E6D16"/>
    <w:rsid w:val="000E6E73"/>
    <w:rsid w:val="000F03B5"/>
    <w:rsid w:val="000F0557"/>
    <w:rsid w:val="000F12D3"/>
    <w:rsid w:val="000F1CD7"/>
    <w:rsid w:val="000F2004"/>
    <w:rsid w:val="000F21C5"/>
    <w:rsid w:val="000F2FDF"/>
    <w:rsid w:val="000F321A"/>
    <w:rsid w:val="000F3AB5"/>
    <w:rsid w:val="000F3C24"/>
    <w:rsid w:val="000F3DD8"/>
    <w:rsid w:val="000F41EF"/>
    <w:rsid w:val="000F490B"/>
    <w:rsid w:val="000F49A8"/>
    <w:rsid w:val="000F5556"/>
    <w:rsid w:val="000F6914"/>
    <w:rsid w:val="000F7449"/>
    <w:rsid w:val="000F7467"/>
    <w:rsid w:val="0010003A"/>
    <w:rsid w:val="001004E4"/>
    <w:rsid w:val="001022BD"/>
    <w:rsid w:val="00102AA2"/>
    <w:rsid w:val="00102E47"/>
    <w:rsid w:val="00102F2F"/>
    <w:rsid w:val="00104D80"/>
    <w:rsid w:val="001053B0"/>
    <w:rsid w:val="001059D6"/>
    <w:rsid w:val="00105A93"/>
    <w:rsid w:val="00105D7F"/>
    <w:rsid w:val="00106088"/>
    <w:rsid w:val="00106230"/>
    <w:rsid w:val="001069E6"/>
    <w:rsid w:val="001070AB"/>
    <w:rsid w:val="001073A5"/>
    <w:rsid w:val="001077FC"/>
    <w:rsid w:val="0010788C"/>
    <w:rsid w:val="00110B25"/>
    <w:rsid w:val="00110DD0"/>
    <w:rsid w:val="00110F66"/>
    <w:rsid w:val="00111256"/>
    <w:rsid w:val="0011131D"/>
    <w:rsid w:val="001140FE"/>
    <w:rsid w:val="001142A7"/>
    <w:rsid w:val="00114AEA"/>
    <w:rsid w:val="00114E6D"/>
    <w:rsid w:val="001153A6"/>
    <w:rsid w:val="001156EE"/>
    <w:rsid w:val="00116254"/>
    <w:rsid w:val="001165C2"/>
    <w:rsid w:val="001165FC"/>
    <w:rsid w:val="001167ED"/>
    <w:rsid w:val="00116F47"/>
    <w:rsid w:val="00117F1E"/>
    <w:rsid w:val="001204B5"/>
    <w:rsid w:val="0012054F"/>
    <w:rsid w:val="001205BA"/>
    <w:rsid w:val="00120CEE"/>
    <w:rsid w:val="00120CF3"/>
    <w:rsid w:val="00121438"/>
    <w:rsid w:val="00121677"/>
    <w:rsid w:val="001217D7"/>
    <w:rsid w:val="00121810"/>
    <w:rsid w:val="001219E4"/>
    <w:rsid w:val="00121A74"/>
    <w:rsid w:val="00121CBB"/>
    <w:rsid w:val="00122022"/>
    <w:rsid w:val="00122450"/>
    <w:rsid w:val="0012255F"/>
    <w:rsid w:val="001227B4"/>
    <w:rsid w:val="00122B36"/>
    <w:rsid w:val="0012314E"/>
    <w:rsid w:val="001234C6"/>
    <w:rsid w:val="00123F6F"/>
    <w:rsid w:val="001249C1"/>
    <w:rsid w:val="00124DC7"/>
    <w:rsid w:val="00124FEC"/>
    <w:rsid w:val="00125BFB"/>
    <w:rsid w:val="0012621D"/>
    <w:rsid w:val="00126821"/>
    <w:rsid w:val="00127794"/>
    <w:rsid w:val="00127A28"/>
    <w:rsid w:val="00127CBC"/>
    <w:rsid w:val="00127D26"/>
    <w:rsid w:val="00127EB8"/>
    <w:rsid w:val="00127F0A"/>
    <w:rsid w:val="00130045"/>
    <w:rsid w:val="001302BE"/>
    <w:rsid w:val="00130732"/>
    <w:rsid w:val="00131005"/>
    <w:rsid w:val="0013128F"/>
    <w:rsid w:val="00131D2F"/>
    <w:rsid w:val="00132F0E"/>
    <w:rsid w:val="00134CE6"/>
    <w:rsid w:val="00134EE3"/>
    <w:rsid w:val="001353D9"/>
    <w:rsid w:val="001355C7"/>
    <w:rsid w:val="001356F5"/>
    <w:rsid w:val="00135863"/>
    <w:rsid w:val="0013676A"/>
    <w:rsid w:val="00136E6D"/>
    <w:rsid w:val="00136FF2"/>
    <w:rsid w:val="00137E93"/>
    <w:rsid w:val="001406D4"/>
    <w:rsid w:val="001407AF"/>
    <w:rsid w:val="001408B0"/>
    <w:rsid w:val="00141051"/>
    <w:rsid w:val="00141312"/>
    <w:rsid w:val="001414C7"/>
    <w:rsid w:val="001414D1"/>
    <w:rsid w:val="001414FE"/>
    <w:rsid w:val="00142982"/>
    <w:rsid w:val="00142A13"/>
    <w:rsid w:val="00143472"/>
    <w:rsid w:val="00143CCB"/>
    <w:rsid w:val="0014420B"/>
    <w:rsid w:val="00144949"/>
    <w:rsid w:val="00144EA2"/>
    <w:rsid w:val="00144FC5"/>
    <w:rsid w:val="00145168"/>
    <w:rsid w:val="00146EFA"/>
    <w:rsid w:val="0014704B"/>
    <w:rsid w:val="001475C5"/>
    <w:rsid w:val="00150A26"/>
    <w:rsid w:val="001514BE"/>
    <w:rsid w:val="0015182F"/>
    <w:rsid w:val="00151E8F"/>
    <w:rsid w:val="0015220A"/>
    <w:rsid w:val="001526D9"/>
    <w:rsid w:val="0015286C"/>
    <w:rsid w:val="00152B70"/>
    <w:rsid w:val="00152C1D"/>
    <w:rsid w:val="00152E05"/>
    <w:rsid w:val="00152F41"/>
    <w:rsid w:val="00153174"/>
    <w:rsid w:val="0015338F"/>
    <w:rsid w:val="00153909"/>
    <w:rsid w:val="001539F1"/>
    <w:rsid w:val="00153E03"/>
    <w:rsid w:val="00154456"/>
    <w:rsid w:val="001547F9"/>
    <w:rsid w:val="00154CB0"/>
    <w:rsid w:val="00155729"/>
    <w:rsid w:val="00155A12"/>
    <w:rsid w:val="00155B58"/>
    <w:rsid w:val="00155C4C"/>
    <w:rsid w:val="00156BF0"/>
    <w:rsid w:val="00156C70"/>
    <w:rsid w:val="00156F49"/>
    <w:rsid w:val="001579F4"/>
    <w:rsid w:val="00157D55"/>
    <w:rsid w:val="001601AB"/>
    <w:rsid w:val="001607AA"/>
    <w:rsid w:val="001609DE"/>
    <w:rsid w:val="00161DB6"/>
    <w:rsid w:val="00161FCE"/>
    <w:rsid w:val="0016255F"/>
    <w:rsid w:val="001628C5"/>
    <w:rsid w:val="001636C7"/>
    <w:rsid w:val="00163EB9"/>
    <w:rsid w:val="0016456A"/>
    <w:rsid w:val="00164A5F"/>
    <w:rsid w:val="00164CDE"/>
    <w:rsid w:val="0016509E"/>
    <w:rsid w:val="0016589D"/>
    <w:rsid w:val="001665EC"/>
    <w:rsid w:val="00167008"/>
    <w:rsid w:val="001673A4"/>
    <w:rsid w:val="00167456"/>
    <w:rsid w:val="0016754C"/>
    <w:rsid w:val="001705D3"/>
    <w:rsid w:val="0017091A"/>
    <w:rsid w:val="00171187"/>
    <w:rsid w:val="001712C8"/>
    <w:rsid w:val="00171406"/>
    <w:rsid w:val="00171431"/>
    <w:rsid w:val="0017217B"/>
    <w:rsid w:val="001721C1"/>
    <w:rsid w:val="0017240D"/>
    <w:rsid w:val="00172972"/>
    <w:rsid w:val="0017336F"/>
    <w:rsid w:val="0017426B"/>
    <w:rsid w:val="00174BF5"/>
    <w:rsid w:val="00175264"/>
    <w:rsid w:val="00175E9E"/>
    <w:rsid w:val="0017602F"/>
    <w:rsid w:val="0017685C"/>
    <w:rsid w:val="00176B0D"/>
    <w:rsid w:val="001773BF"/>
    <w:rsid w:val="001777B9"/>
    <w:rsid w:val="00180391"/>
    <w:rsid w:val="00180404"/>
    <w:rsid w:val="00180A88"/>
    <w:rsid w:val="00182083"/>
    <w:rsid w:val="001820B3"/>
    <w:rsid w:val="00182326"/>
    <w:rsid w:val="0018238A"/>
    <w:rsid w:val="00182A7D"/>
    <w:rsid w:val="00182FCA"/>
    <w:rsid w:val="00183005"/>
    <w:rsid w:val="00183174"/>
    <w:rsid w:val="00183575"/>
    <w:rsid w:val="0018387D"/>
    <w:rsid w:val="001839BF"/>
    <w:rsid w:val="0018441B"/>
    <w:rsid w:val="001858CE"/>
    <w:rsid w:val="00185F95"/>
    <w:rsid w:val="001873D0"/>
    <w:rsid w:val="00187797"/>
    <w:rsid w:val="0018785D"/>
    <w:rsid w:val="0019032F"/>
    <w:rsid w:val="0019053F"/>
    <w:rsid w:val="001907DD"/>
    <w:rsid w:val="00190CD5"/>
    <w:rsid w:val="0019183B"/>
    <w:rsid w:val="00191AD0"/>
    <w:rsid w:val="00191AF5"/>
    <w:rsid w:val="00191B3D"/>
    <w:rsid w:val="00191C74"/>
    <w:rsid w:val="00191F34"/>
    <w:rsid w:val="0019220D"/>
    <w:rsid w:val="0019307C"/>
    <w:rsid w:val="0019450B"/>
    <w:rsid w:val="001957CB"/>
    <w:rsid w:val="00195861"/>
    <w:rsid w:val="001958BF"/>
    <w:rsid w:val="00195E4B"/>
    <w:rsid w:val="00197319"/>
    <w:rsid w:val="00197BDD"/>
    <w:rsid w:val="00197D5F"/>
    <w:rsid w:val="00197F86"/>
    <w:rsid w:val="001A016D"/>
    <w:rsid w:val="001A021B"/>
    <w:rsid w:val="001A0572"/>
    <w:rsid w:val="001A21E3"/>
    <w:rsid w:val="001A266B"/>
    <w:rsid w:val="001A348C"/>
    <w:rsid w:val="001A36DB"/>
    <w:rsid w:val="001A373D"/>
    <w:rsid w:val="001A3741"/>
    <w:rsid w:val="001A383A"/>
    <w:rsid w:val="001A3FC6"/>
    <w:rsid w:val="001A4138"/>
    <w:rsid w:val="001A4284"/>
    <w:rsid w:val="001A4F7D"/>
    <w:rsid w:val="001A50A2"/>
    <w:rsid w:val="001A51A2"/>
    <w:rsid w:val="001A58B4"/>
    <w:rsid w:val="001A58FC"/>
    <w:rsid w:val="001A5B65"/>
    <w:rsid w:val="001A5F7B"/>
    <w:rsid w:val="001A600E"/>
    <w:rsid w:val="001A6385"/>
    <w:rsid w:val="001A6567"/>
    <w:rsid w:val="001A72A1"/>
    <w:rsid w:val="001A730F"/>
    <w:rsid w:val="001B0920"/>
    <w:rsid w:val="001B0C03"/>
    <w:rsid w:val="001B0CAE"/>
    <w:rsid w:val="001B12C0"/>
    <w:rsid w:val="001B1412"/>
    <w:rsid w:val="001B1662"/>
    <w:rsid w:val="001B1B4A"/>
    <w:rsid w:val="001B1D47"/>
    <w:rsid w:val="001B2B93"/>
    <w:rsid w:val="001B3664"/>
    <w:rsid w:val="001B3BC3"/>
    <w:rsid w:val="001B41A5"/>
    <w:rsid w:val="001B447E"/>
    <w:rsid w:val="001B4794"/>
    <w:rsid w:val="001B4807"/>
    <w:rsid w:val="001B4DE9"/>
    <w:rsid w:val="001B5E06"/>
    <w:rsid w:val="001B6F99"/>
    <w:rsid w:val="001B7362"/>
    <w:rsid w:val="001B7466"/>
    <w:rsid w:val="001B74BE"/>
    <w:rsid w:val="001B76B1"/>
    <w:rsid w:val="001B788E"/>
    <w:rsid w:val="001B7964"/>
    <w:rsid w:val="001C1482"/>
    <w:rsid w:val="001C1526"/>
    <w:rsid w:val="001C1E38"/>
    <w:rsid w:val="001C3A41"/>
    <w:rsid w:val="001C4C0D"/>
    <w:rsid w:val="001C62AF"/>
    <w:rsid w:val="001C6949"/>
    <w:rsid w:val="001C6D1D"/>
    <w:rsid w:val="001C6DED"/>
    <w:rsid w:val="001C7705"/>
    <w:rsid w:val="001C79FB"/>
    <w:rsid w:val="001D004C"/>
    <w:rsid w:val="001D0212"/>
    <w:rsid w:val="001D0513"/>
    <w:rsid w:val="001D05C6"/>
    <w:rsid w:val="001D06B4"/>
    <w:rsid w:val="001D0DAA"/>
    <w:rsid w:val="001D0F86"/>
    <w:rsid w:val="001D12FA"/>
    <w:rsid w:val="001D1B5C"/>
    <w:rsid w:val="001D224F"/>
    <w:rsid w:val="001D22B3"/>
    <w:rsid w:val="001D2421"/>
    <w:rsid w:val="001D2DD0"/>
    <w:rsid w:val="001D32C7"/>
    <w:rsid w:val="001D33A0"/>
    <w:rsid w:val="001D34F6"/>
    <w:rsid w:val="001D3762"/>
    <w:rsid w:val="001D3839"/>
    <w:rsid w:val="001D3FF3"/>
    <w:rsid w:val="001D43B3"/>
    <w:rsid w:val="001D4B5B"/>
    <w:rsid w:val="001D4F0E"/>
    <w:rsid w:val="001D5205"/>
    <w:rsid w:val="001D56E0"/>
    <w:rsid w:val="001D5870"/>
    <w:rsid w:val="001D6702"/>
    <w:rsid w:val="001D6CC0"/>
    <w:rsid w:val="001D6D97"/>
    <w:rsid w:val="001D7346"/>
    <w:rsid w:val="001D7492"/>
    <w:rsid w:val="001E0156"/>
    <w:rsid w:val="001E0350"/>
    <w:rsid w:val="001E0A07"/>
    <w:rsid w:val="001E0CC0"/>
    <w:rsid w:val="001E0DA9"/>
    <w:rsid w:val="001E1962"/>
    <w:rsid w:val="001E29EB"/>
    <w:rsid w:val="001E44C6"/>
    <w:rsid w:val="001E495A"/>
    <w:rsid w:val="001E57FC"/>
    <w:rsid w:val="001E6690"/>
    <w:rsid w:val="001E6BED"/>
    <w:rsid w:val="001E7238"/>
    <w:rsid w:val="001E7688"/>
    <w:rsid w:val="001E76D5"/>
    <w:rsid w:val="001E79DB"/>
    <w:rsid w:val="001E7D02"/>
    <w:rsid w:val="001F01E2"/>
    <w:rsid w:val="001F053A"/>
    <w:rsid w:val="001F0906"/>
    <w:rsid w:val="001F09F4"/>
    <w:rsid w:val="001F2314"/>
    <w:rsid w:val="001F25AE"/>
    <w:rsid w:val="001F2D70"/>
    <w:rsid w:val="001F2DF7"/>
    <w:rsid w:val="001F2FBE"/>
    <w:rsid w:val="001F3245"/>
    <w:rsid w:val="001F3C5F"/>
    <w:rsid w:val="001F3CF2"/>
    <w:rsid w:val="001F40F0"/>
    <w:rsid w:val="001F42D9"/>
    <w:rsid w:val="001F4C75"/>
    <w:rsid w:val="001F5867"/>
    <w:rsid w:val="001F590A"/>
    <w:rsid w:val="001F62D7"/>
    <w:rsid w:val="001F631C"/>
    <w:rsid w:val="001F681B"/>
    <w:rsid w:val="001F6833"/>
    <w:rsid w:val="001F7E17"/>
    <w:rsid w:val="00200505"/>
    <w:rsid w:val="002008AC"/>
    <w:rsid w:val="00200EFA"/>
    <w:rsid w:val="00201069"/>
    <w:rsid w:val="00201B16"/>
    <w:rsid w:val="00201F6A"/>
    <w:rsid w:val="002021C8"/>
    <w:rsid w:val="00202ECE"/>
    <w:rsid w:val="00202FCF"/>
    <w:rsid w:val="00203167"/>
    <w:rsid w:val="00203390"/>
    <w:rsid w:val="0020356A"/>
    <w:rsid w:val="00203958"/>
    <w:rsid w:val="0020402E"/>
    <w:rsid w:val="0020491C"/>
    <w:rsid w:val="00204A11"/>
    <w:rsid w:val="00204D4E"/>
    <w:rsid w:val="0020554A"/>
    <w:rsid w:val="0020598B"/>
    <w:rsid w:val="00205CFF"/>
    <w:rsid w:val="0020671B"/>
    <w:rsid w:val="0020732B"/>
    <w:rsid w:val="002076AF"/>
    <w:rsid w:val="00207A4D"/>
    <w:rsid w:val="00207BEE"/>
    <w:rsid w:val="00207CE7"/>
    <w:rsid w:val="00207EC1"/>
    <w:rsid w:val="00210559"/>
    <w:rsid w:val="0021064D"/>
    <w:rsid w:val="00211E9F"/>
    <w:rsid w:val="002120FA"/>
    <w:rsid w:val="002126C7"/>
    <w:rsid w:val="00212A56"/>
    <w:rsid w:val="0021302D"/>
    <w:rsid w:val="00213374"/>
    <w:rsid w:val="00214154"/>
    <w:rsid w:val="0021438E"/>
    <w:rsid w:val="002143AF"/>
    <w:rsid w:val="00214C73"/>
    <w:rsid w:val="00214CC0"/>
    <w:rsid w:val="00214D19"/>
    <w:rsid w:val="002151EB"/>
    <w:rsid w:val="002155D9"/>
    <w:rsid w:val="00215F0F"/>
    <w:rsid w:val="00216146"/>
    <w:rsid w:val="00217020"/>
    <w:rsid w:val="00217379"/>
    <w:rsid w:val="00217442"/>
    <w:rsid w:val="0021757D"/>
    <w:rsid w:val="002175B2"/>
    <w:rsid w:val="00217943"/>
    <w:rsid w:val="00220066"/>
    <w:rsid w:val="002204D3"/>
    <w:rsid w:val="00221287"/>
    <w:rsid w:val="0022153A"/>
    <w:rsid w:val="002219FE"/>
    <w:rsid w:val="00221B39"/>
    <w:rsid w:val="00221C92"/>
    <w:rsid w:val="0022220A"/>
    <w:rsid w:val="002228D3"/>
    <w:rsid w:val="0022388A"/>
    <w:rsid w:val="002246FB"/>
    <w:rsid w:val="00224B8D"/>
    <w:rsid w:val="00226AF0"/>
    <w:rsid w:val="00226EB1"/>
    <w:rsid w:val="00227B6D"/>
    <w:rsid w:val="00230030"/>
    <w:rsid w:val="002301F3"/>
    <w:rsid w:val="002318B0"/>
    <w:rsid w:val="0023364A"/>
    <w:rsid w:val="00233FE5"/>
    <w:rsid w:val="002346A1"/>
    <w:rsid w:val="00234DCD"/>
    <w:rsid w:val="00235568"/>
    <w:rsid w:val="0023584A"/>
    <w:rsid w:val="0023625B"/>
    <w:rsid w:val="00236817"/>
    <w:rsid w:val="0023696F"/>
    <w:rsid w:val="0023697F"/>
    <w:rsid w:val="00236CB1"/>
    <w:rsid w:val="00236D35"/>
    <w:rsid w:val="00240190"/>
    <w:rsid w:val="00240832"/>
    <w:rsid w:val="00240A29"/>
    <w:rsid w:val="002414DD"/>
    <w:rsid w:val="00241791"/>
    <w:rsid w:val="00241B2D"/>
    <w:rsid w:val="00242BF9"/>
    <w:rsid w:val="00242D38"/>
    <w:rsid w:val="00243144"/>
    <w:rsid w:val="00243735"/>
    <w:rsid w:val="00244035"/>
    <w:rsid w:val="0024403B"/>
    <w:rsid w:val="00244B08"/>
    <w:rsid w:val="00245EF3"/>
    <w:rsid w:val="00246063"/>
    <w:rsid w:val="002467A3"/>
    <w:rsid w:val="00247C2E"/>
    <w:rsid w:val="00247E62"/>
    <w:rsid w:val="00247FA6"/>
    <w:rsid w:val="00250820"/>
    <w:rsid w:val="002508E5"/>
    <w:rsid w:val="0025183B"/>
    <w:rsid w:val="002521C6"/>
    <w:rsid w:val="0025331D"/>
    <w:rsid w:val="00253503"/>
    <w:rsid w:val="00253808"/>
    <w:rsid w:val="00253E6B"/>
    <w:rsid w:val="00254E9D"/>
    <w:rsid w:val="00254F2E"/>
    <w:rsid w:val="002555BC"/>
    <w:rsid w:val="00255691"/>
    <w:rsid w:val="00255D6A"/>
    <w:rsid w:val="00255F20"/>
    <w:rsid w:val="00256675"/>
    <w:rsid w:val="0025682B"/>
    <w:rsid w:val="00257142"/>
    <w:rsid w:val="002571F0"/>
    <w:rsid w:val="002600BC"/>
    <w:rsid w:val="002606A3"/>
    <w:rsid w:val="00260A18"/>
    <w:rsid w:val="00261175"/>
    <w:rsid w:val="00261176"/>
    <w:rsid w:val="00261762"/>
    <w:rsid w:val="00261E65"/>
    <w:rsid w:val="002620F1"/>
    <w:rsid w:val="002621D2"/>
    <w:rsid w:val="00262392"/>
    <w:rsid w:val="0026318F"/>
    <w:rsid w:val="00263893"/>
    <w:rsid w:val="00263DE8"/>
    <w:rsid w:val="002642BB"/>
    <w:rsid w:val="00264429"/>
    <w:rsid w:val="002644DB"/>
    <w:rsid w:val="002647CF"/>
    <w:rsid w:val="00265670"/>
    <w:rsid w:val="0026599D"/>
    <w:rsid w:val="00266629"/>
    <w:rsid w:val="00266D13"/>
    <w:rsid w:val="002704F9"/>
    <w:rsid w:val="0027062F"/>
    <w:rsid w:val="0027068D"/>
    <w:rsid w:val="00270752"/>
    <w:rsid w:val="00270F6D"/>
    <w:rsid w:val="002710D7"/>
    <w:rsid w:val="002719F6"/>
    <w:rsid w:val="00271AEB"/>
    <w:rsid w:val="002721AA"/>
    <w:rsid w:val="00272AA1"/>
    <w:rsid w:val="00272AA6"/>
    <w:rsid w:val="00272FDF"/>
    <w:rsid w:val="00273045"/>
    <w:rsid w:val="002739CE"/>
    <w:rsid w:val="00273A60"/>
    <w:rsid w:val="00273BA5"/>
    <w:rsid w:val="00273D4A"/>
    <w:rsid w:val="00274118"/>
    <w:rsid w:val="002742A8"/>
    <w:rsid w:val="002747D2"/>
    <w:rsid w:val="00274B9F"/>
    <w:rsid w:val="002759C7"/>
    <w:rsid w:val="00275F29"/>
    <w:rsid w:val="00276242"/>
    <w:rsid w:val="0027681D"/>
    <w:rsid w:val="00276CC4"/>
    <w:rsid w:val="00276DFE"/>
    <w:rsid w:val="002772B7"/>
    <w:rsid w:val="002778BA"/>
    <w:rsid w:val="00277EDA"/>
    <w:rsid w:val="0028091E"/>
    <w:rsid w:val="00280C9A"/>
    <w:rsid w:val="00281308"/>
    <w:rsid w:val="0028156B"/>
    <w:rsid w:val="0028188A"/>
    <w:rsid w:val="002820E1"/>
    <w:rsid w:val="00282441"/>
    <w:rsid w:val="00282559"/>
    <w:rsid w:val="00282BD5"/>
    <w:rsid w:val="002835CD"/>
    <w:rsid w:val="00283706"/>
    <w:rsid w:val="00284C0E"/>
    <w:rsid w:val="00284C4A"/>
    <w:rsid w:val="00284DBE"/>
    <w:rsid w:val="002858A5"/>
    <w:rsid w:val="002859CC"/>
    <w:rsid w:val="00285A14"/>
    <w:rsid w:val="00285A22"/>
    <w:rsid w:val="00285B2A"/>
    <w:rsid w:val="00285CCE"/>
    <w:rsid w:val="00285E58"/>
    <w:rsid w:val="00286081"/>
    <w:rsid w:val="00286903"/>
    <w:rsid w:val="00287762"/>
    <w:rsid w:val="00287DE4"/>
    <w:rsid w:val="002901C7"/>
    <w:rsid w:val="00290897"/>
    <w:rsid w:val="002909DF"/>
    <w:rsid w:val="00290ECB"/>
    <w:rsid w:val="00290F0B"/>
    <w:rsid w:val="00290FE2"/>
    <w:rsid w:val="002911B0"/>
    <w:rsid w:val="00291C34"/>
    <w:rsid w:val="00291E22"/>
    <w:rsid w:val="00291F1B"/>
    <w:rsid w:val="0029226E"/>
    <w:rsid w:val="0029262E"/>
    <w:rsid w:val="00292901"/>
    <w:rsid w:val="00293041"/>
    <w:rsid w:val="002930F0"/>
    <w:rsid w:val="00293198"/>
    <w:rsid w:val="00293581"/>
    <w:rsid w:val="002948C4"/>
    <w:rsid w:val="002948EE"/>
    <w:rsid w:val="00295093"/>
    <w:rsid w:val="00295316"/>
    <w:rsid w:val="002955EE"/>
    <w:rsid w:val="00295BFC"/>
    <w:rsid w:val="00296B7E"/>
    <w:rsid w:val="00297254"/>
    <w:rsid w:val="00297C81"/>
    <w:rsid w:val="002A0050"/>
    <w:rsid w:val="002A031C"/>
    <w:rsid w:val="002A057C"/>
    <w:rsid w:val="002A0B40"/>
    <w:rsid w:val="002A0DDD"/>
    <w:rsid w:val="002A0E6A"/>
    <w:rsid w:val="002A0ED5"/>
    <w:rsid w:val="002A1400"/>
    <w:rsid w:val="002A1BD2"/>
    <w:rsid w:val="002A1C49"/>
    <w:rsid w:val="002A1CF5"/>
    <w:rsid w:val="002A2E12"/>
    <w:rsid w:val="002A3128"/>
    <w:rsid w:val="002A325B"/>
    <w:rsid w:val="002A39DB"/>
    <w:rsid w:val="002A3A1D"/>
    <w:rsid w:val="002A3B86"/>
    <w:rsid w:val="002A3DE3"/>
    <w:rsid w:val="002A410F"/>
    <w:rsid w:val="002A413A"/>
    <w:rsid w:val="002A41A1"/>
    <w:rsid w:val="002A437F"/>
    <w:rsid w:val="002A4679"/>
    <w:rsid w:val="002A4FE3"/>
    <w:rsid w:val="002A5B3D"/>
    <w:rsid w:val="002A6140"/>
    <w:rsid w:val="002A6329"/>
    <w:rsid w:val="002A6A98"/>
    <w:rsid w:val="002A6BCC"/>
    <w:rsid w:val="002A72C7"/>
    <w:rsid w:val="002A744D"/>
    <w:rsid w:val="002A7709"/>
    <w:rsid w:val="002A77FD"/>
    <w:rsid w:val="002A7A88"/>
    <w:rsid w:val="002A7F3C"/>
    <w:rsid w:val="002B007A"/>
    <w:rsid w:val="002B0741"/>
    <w:rsid w:val="002B07CF"/>
    <w:rsid w:val="002B0B2F"/>
    <w:rsid w:val="002B17E8"/>
    <w:rsid w:val="002B1D1D"/>
    <w:rsid w:val="002B1F0F"/>
    <w:rsid w:val="002B200E"/>
    <w:rsid w:val="002B25E9"/>
    <w:rsid w:val="002B26B2"/>
    <w:rsid w:val="002B2856"/>
    <w:rsid w:val="002B2E9F"/>
    <w:rsid w:val="002B360B"/>
    <w:rsid w:val="002B4005"/>
    <w:rsid w:val="002B47E9"/>
    <w:rsid w:val="002B529A"/>
    <w:rsid w:val="002B52AF"/>
    <w:rsid w:val="002B5C54"/>
    <w:rsid w:val="002B5E34"/>
    <w:rsid w:val="002B5EC2"/>
    <w:rsid w:val="002B75DB"/>
    <w:rsid w:val="002B770C"/>
    <w:rsid w:val="002B7979"/>
    <w:rsid w:val="002B7DD8"/>
    <w:rsid w:val="002B7FA9"/>
    <w:rsid w:val="002C171A"/>
    <w:rsid w:val="002C22B4"/>
    <w:rsid w:val="002C2DA1"/>
    <w:rsid w:val="002C3050"/>
    <w:rsid w:val="002C350C"/>
    <w:rsid w:val="002C3E18"/>
    <w:rsid w:val="002C3E1F"/>
    <w:rsid w:val="002C4533"/>
    <w:rsid w:val="002C4D9F"/>
    <w:rsid w:val="002C539E"/>
    <w:rsid w:val="002C5B78"/>
    <w:rsid w:val="002C5D2B"/>
    <w:rsid w:val="002C5FF1"/>
    <w:rsid w:val="002C61B8"/>
    <w:rsid w:val="002C6511"/>
    <w:rsid w:val="002C6769"/>
    <w:rsid w:val="002C6C03"/>
    <w:rsid w:val="002C6FF8"/>
    <w:rsid w:val="002C70AE"/>
    <w:rsid w:val="002C713E"/>
    <w:rsid w:val="002C782A"/>
    <w:rsid w:val="002C788E"/>
    <w:rsid w:val="002C7C50"/>
    <w:rsid w:val="002D1033"/>
    <w:rsid w:val="002D11E0"/>
    <w:rsid w:val="002D150D"/>
    <w:rsid w:val="002D2108"/>
    <w:rsid w:val="002D2492"/>
    <w:rsid w:val="002D2C0F"/>
    <w:rsid w:val="002D2D72"/>
    <w:rsid w:val="002D2FC8"/>
    <w:rsid w:val="002D34BC"/>
    <w:rsid w:val="002D3914"/>
    <w:rsid w:val="002D420B"/>
    <w:rsid w:val="002D4678"/>
    <w:rsid w:val="002D46AC"/>
    <w:rsid w:val="002D51BA"/>
    <w:rsid w:val="002D523A"/>
    <w:rsid w:val="002D59F2"/>
    <w:rsid w:val="002D59FD"/>
    <w:rsid w:val="002D6079"/>
    <w:rsid w:val="002D6495"/>
    <w:rsid w:val="002D6B58"/>
    <w:rsid w:val="002D6ECD"/>
    <w:rsid w:val="002D709D"/>
    <w:rsid w:val="002D7439"/>
    <w:rsid w:val="002D74C4"/>
    <w:rsid w:val="002D7CA4"/>
    <w:rsid w:val="002D7E98"/>
    <w:rsid w:val="002D7F08"/>
    <w:rsid w:val="002E02D6"/>
    <w:rsid w:val="002E0D95"/>
    <w:rsid w:val="002E0DA5"/>
    <w:rsid w:val="002E10C0"/>
    <w:rsid w:val="002E110F"/>
    <w:rsid w:val="002E18A4"/>
    <w:rsid w:val="002E19BE"/>
    <w:rsid w:val="002E2A3A"/>
    <w:rsid w:val="002E2B29"/>
    <w:rsid w:val="002E2D14"/>
    <w:rsid w:val="002E3318"/>
    <w:rsid w:val="002E3E18"/>
    <w:rsid w:val="002E41F1"/>
    <w:rsid w:val="002E475A"/>
    <w:rsid w:val="002E4D44"/>
    <w:rsid w:val="002E521B"/>
    <w:rsid w:val="002E5436"/>
    <w:rsid w:val="002E552A"/>
    <w:rsid w:val="002E558A"/>
    <w:rsid w:val="002E55AE"/>
    <w:rsid w:val="002E5888"/>
    <w:rsid w:val="002E5D38"/>
    <w:rsid w:val="002E5FF2"/>
    <w:rsid w:val="002E6397"/>
    <w:rsid w:val="002F0948"/>
    <w:rsid w:val="002F0BA1"/>
    <w:rsid w:val="002F12B9"/>
    <w:rsid w:val="002F1487"/>
    <w:rsid w:val="002F2D8B"/>
    <w:rsid w:val="002F354B"/>
    <w:rsid w:val="002F368B"/>
    <w:rsid w:val="002F48C4"/>
    <w:rsid w:val="002F547C"/>
    <w:rsid w:val="002F58AB"/>
    <w:rsid w:val="002F6703"/>
    <w:rsid w:val="002F6CBC"/>
    <w:rsid w:val="002F6D26"/>
    <w:rsid w:val="002F7A34"/>
    <w:rsid w:val="002F7AF6"/>
    <w:rsid w:val="002F7BD0"/>
    <w:rsid w:val="0030044B"/>
    <w:rsid w:val="003008C3"/>
    <w:rsid w:val="0030155A"/>
    <w:rsid w:val="0030238F"/>
    <w:rsid w:val="00302AF7"/>
    <w:rsid w:val="00302F67"/>
    <w:rsid w:val="0030341D"/>
    <w:rsid w:val="0030343E"/>
    <w:rsid w:val="00303D7E"/>
    <w:rsid w:val="0030598E"/>
    <w:rsid w:val="0030739D"/>
    <w:rsid w:val="003073E0"/>
    <w:rsid w:val="003074ED"/>
    <w:rsid w:val="003075CB"/>
    <w:rsid w:val="00307980"/>
    <w:rsid w:val="00307E27"/>
    <w:rsid w:val="00307E5C"/>
    <w:rsid w:val="0031046E"/>
    <w:rsid w:val="0031058B"/>
    <w:rsid w:val="00310D31"/>
    <w:rsid w:val="00311204"/>
    <w:rsid w:val="00311435"/>
    <w:rsid w:val="003114EE"/>
    <w:rsid w:val="00312159"/>
    <w:rsid w:val="00313317"/>
    <w:rsid w:val="00313866"/>
    <w:rsid w:val="0031409E"/>
    <w:rsid w:val="00314724"/>
    <w:rsid w:val="0031472E"/>
    <w:rsid w:val="0031554E"/>
    <w:rsid w:val="00315678"/>
    <w:rsid w:val="00315985"/>
    <w:rsid w:val="0031627F"/>
    <w:rsid w:val="003165DE"/>
    <w:rsid w:val="00317131"/>
    <w:rsid w:val="003175A5"/>
    <w:rsid w:val="00320124"/>
    <w:rsid w:val="0032140A"/>
    <w:rsid w:val="00321A0A"/>
    <w:rsid w:val="00321B9E"/>
    <w:rsid w:val="00321FB0"/>
    <w:rsid w:val="003220EC"/>
    <w:rsid w:val="003221EF"/>
    <w:rsid w:val="0032299D"/>
    <w:rsid w:val="003234F0"/>
    <w:rsid w:val="00323C03"/>
    <w:rsid w:val="00323CFC"/>
    <w:rsid w:val="00323FF6"/>
    <w:rsid w:val="003244BA"/>
    <w:rsid w:val="00325307"/>
    <w:rsid w:val="00325AAA"/>
    <w:rsid w:val="003265FE"/>
    <w:rsid w:val="00326CD8"/>
    <w:rsid w:val="00327024"/>
    <w:rsid w:val="00327C04"/>
    <w:rsid w:val="00330AB6"/>
    <w:rsid w:val="00331511"/>
    <w:rsid w:val="003316A6"/>
    <w:rsid w:val="00331CF9"/>
    <w:rsid w:val="00331F7B"/>
    <w:rsid w:val="00332AF6"/>
    <w:rsid w:val="00332FA8"/>
    <w:rsid w:val="00335514"/>
    <w:rsid w:val="00335964"/>
    <w:rsid w:val="00336233"/>
    <w:rsid w:val="00336A1F"/>
    <w:rsid w:val="00337A21"/>
    <w:rsid w:val="003401D9"/>
    <w:rsid w:val="00340B9C"/>
    <w:rsid w:val="00341103"/>
    <w:rsid w:val="0034203B"/>
    <w:rsid w:val="003438C4"/>
    <w:rsid w:val="003439BB"/>
    <w:rsid w:val="00343CC4"/>
    <w:rsid w:val="00343F15"/>
    <w:rsid w:val="00344671"/>
    <w:rsid w:val="003447F8"/>
    <w:rsid w:val="00344F6E"/>
    <w:rsid w:val="0034567F"/>
    <w:rsid w:val="003456B5"/>
    <w:rsid w:val="00345B52"/>
    <w:rsid w:val="00346280"/>
    <w:rsid w:val="00346913"/>
    <w:rsid w:val="00346B68"/>
    <w:rsid w:val="00346BF8"/>
    <w:rsid w:val="003508F2"/>
    <w:rsid w:val="00351A1D"/>
    <w:rsid w:val="00351CA6"/>
    <w:rsid w:val="00351CA7"/>
    <w:rsid w:val="003528EE"/>
    <w:rsid w:val="00352B59"/>
    <w:rsid w:val="0035324E"/>
    <w:rsid w:val="00353D4F"/>
    <w:rsid w:val="00353F00"/>
    <w:rsid w:val="00354DDA"/>
    <w:rsid w:val="003552A7"/>
    <w:rsid w:val="003555D5"/>
    <w:rsid w:val="00355A3A"/>
    <w:rsid w:val="00356242"/>
    <w:rsid w:val="00357052"/>
    <w:rsid w:val="003570E2"/>
    <w:rsid w:val="003572DD"/>
    <w:rsid w:val="003573A3"/>
    <w:rsid w:val="003577ED"/>
    <w:rsid w:val="00357F0D"/>
    <w:rsid w:val="0036165E"/>
    <w:rsid w:val="00362443"/>
    <w:rsid w:val="00362D12"/>
    <w:rsid w:val="00362DCF"/>
    <w:rsid w:val="003632A3"/>
    <w:rsid w:val="00363798"/>
    <w:rsid w:val="00363AB8"/>
    <w:rsid w:val="00364AA6"/>
    <w:rsid w:val="00365402"/>
    <w:rsid w:val="003665AD"/>
    <w:rsid w:val="003668E8"/>
    <w:rsid w:val="00367434"/>
    <w:rsid w:val="00367491"/>
    <w:rsid w:val="003677D2"/>
    <w:rsid w:val="003705D0"/>
    <w:rsid w:val="00370D98"/>
    <w:rsid w:val="00371001"/>
    <w:rsid w:val="00371F32"/>
    <w:rsid w:val="003720BD"/>
    <w:rsid w:val="003725A9"/>
    <w:rsid w:val="00372683"/>
    <w:rsid w:val="003739F9"/>
    <w:rsid w:val="003746BC"/>
    <w:rsid w:val="00374B7B"/>
    <w:rsid w:val="00374BD7"/>
    <w:rsid w:val="003752F4"/>
    <w:rsid w:val="003759A7"/>
    <w:rsid w:val="003761BD"/>
    <w:rsid w:val="0037641B"/>
    <w:rsid w:val="00376468"/>
    <w:rsid w:val="00376866"/>
    <w:rsid w:val="00376C1F"/>
    <w:rsid w:val="00376E74"/>
    <w:rsid w:val="00377446"/>
    <w:rsid w:val="003776B6"/>
    <w:rsid w:val="00377ADA"/>
    <w:rsid w:val="00381377"/>
    <w:rsid w:val="00381603"/>
    <w:rsid w:val="00382800"/>
    <w:rsid w:val="00382BC4"/>
    <w:rsid w:val="00382DCF"/>
    <w:rsid w:val="00382EC5"/>
    <w:rsid w:val="003831D1"/>
    <w:rsid w:val="003833BF"/>
    <w:rsid w:val="00383571"/>
    <w:rsid w:val="00383C82"/>
    <w:rsid w:val="0038408A"/>
    <w:rsid w:val="00384517"/>
    <w:rsid w:val="00384D08"/>
    <w:rsid w:val="003853A6"/>
    <w:rsid w:val="00386E04"/>
    <w:rsid w:val="00386F57"/>
    <w:rsid w:val="00387042"/>
    <w:rsid w:val="0038748E"/>
    <w:rsid w:val="003875CD"/>
    <w:rsid w:val="00387D3E"/>
    <w:rsid w:val="003905C2"/>
    <w:rsid w:val="003906EE"/>
    <w:rsid w:val="00390C46"/>
    <w:rsid w:val="0039254D"/>
    <w:rsid w:val="00392C86"/>
    <w:rsid w:val="0039340F"/>
    <w:rsid w:val="00394317"/>
    <w:rsid w:val="00394D1E"/>
    <w:rsid w:val="00395582"/>
    <w:rsid w:val="00396149"/>
    <w:rsid w:val="003961E0"/>
    <w:rsid w:val="00396423"/>
    <w:rsid w:val="0039645D"/>
    <w:rsid w:val="00396484"/>
    <w:rsid w:val="003964A1"/>
    <w:rsid w:val="003965F6"/>
    <w:rsid w:val="0039685C"/>
    <w:rsid w:val="003974F5"/>
    <w:rsid w:val="00397911"/>
    <w:rsid w:val="003A079F"/>
    <w:rsid w:val="003A0EF4"/>
    <w:rsid w:val="003A10A9"/>
    <w:rsid w:val="003A1B24"/>
    <w:rsid w:val="003A1C87"/>
    <w:rsid w:val="003A2D10"/>
    <w:rsid w:val="003A2FEB"/>
    <w:rsid w:val="003A3596"/>
    <w:rsid w:val="003A3D0E"/>
    <w:rsid w:val="003A45EF"/>
    <w:rsid w:val="003A4B04"/>
    <w:rsid w:val="003A4B3B"/>
    <w:rsid w:val="003A5FC9"/>
    <w:rsid w:val="003A67E4"/>
    <w:rsid w:val="003A685F"/>
    <w:rsid w:val="003A6A2E"/>
    <w:rsid w:val="003A6FAE"/>
    <w:rsid w:val="003A72A9"/>
    <w:rsid w:val="003A7BF4"/>
    <w:rsid w:val="003B017A"/>
    <w:rsid w:val="003B08C8"/>
    <w:rsid w:val="003B0A40"/>
    <w:rsid w:val="003B0B2A"/>
    <w:rsid w:val="003B18BD"/>
    <w:rsid w:val="003B1AA3"/>
    <w:rsid w:val="003B1B20"/>
    <w:rsid w:val="003B1B62"/>
    <w:rsid w:val="003B2B5E"/>
    <w:rsid w:val="003B2F45"/>
    <w:rsid w:val="003B3117"/>
    <w:rsid w:val="003B39D3"/>
    <w:rsid w:val="003B3A3B"/>
    <w:rsid w:val="003B3B25"/>
    <w:rsid w:val="003B3E2E"/>
    <w:rsid w:val="003B4611"/>
    <w:rsid w:val="003B4640"/>
    <w:rsid w:val="003B5170"/>
    <w:rsid w:val="003B54E2"/>
    <w:rsid w:val="003B6531"/>
    <w:rsid w:val="003C06B7"/>
    <w:rsid w:val="003C07C3"/>
    <w:rsid w:val="003C0853"/>
    <w:rsid w:val="003C09D5"/>
    <w:rsid w:val="003C11FE"/>
    <w:rsid w:val="003C1530"/>
    <w:rsid w:val="003C1878"/>
    <w:rsid w:val="003C1C68"/>
    <w:rsid w:val="003C2059"/>
    <w:rsid w:val="003C2C35"/>
    <w:rsid w:val="003C2D79"/>
    <w:rsid w:val="003C2F3E"/>
    <w:rsid w:val="003C335D"/>
    <w:rsid w:val="003C35EA"/>
    <w:rsid w:val="003C4138"/>
    <w:rsid w:val="003C54C3"/>
    <w:rsid w:val="003C55F3"/>
    <w:rsid w:val="003C5604"/>
    <w:rsid w:val="003C58EB"/>
    <w:rsid w:val="003C5B88"/>
    <w:rsid w:val="003C62C0"/>
    <w:rsid w:val="003C6331"/>
    <w:rsid w:val="003C6A07"/>
    <w:rsid w:val="003C7580"/>
    <w:rsid w:val="003C7889"/>
    <w:rsid w:val="003D0436"/>
    <w:rsid w:val="003D0838"/>
    <w:rsid w:val="003D16E2"/>
    <w:rsid w:val="003D1745"/>
    <w:rsid w:val="003D29B7"/>
    <w:rsid w:val="003D3263"/>
    <w:rsid w:val="003D35F7"/>
    <w:rsid w:val="003D3880"/>
    <w:rsid w:val="003D38D6"/>
    <w:rsid w:val="003D3F43"/>
    <w:rsid w:val="003D4173"/>
    <w:rsid w:val="003D428A"/>
    <w:rsid w:val="003D457E"/>
    <w:rsid w:val="003D4F7B"/>
    <w:rsid w:val="003D54B0"/>
    <w:rsid w:val="003D5A21"/>
    <w:rsid w:val="003D7FD3"/>
    <w:rsid w:val="003E0AD1"/>
    <w:rsid w:val="003E0BA5"/>
    <w:rsid w:val="003E0C4A"/>
    <w:rsid w:val="003E0E6C"/>
    <w:rsid w:val="003E0EF6"/>
    <w:rsid w:val="003E1585"/>
    <w:rsid w:val="003E161B"/>
    <w:rsid w:val="003E1AA9"/>
    <w:rsid w:val="003E1F6C"/>
    <w:rsid w:val="003E28D9"/>
    <w:rsid w:val="003E3104"/>
    <w:rsid w:val="003E3196"/>
    <w:rsid w:val="003E3A58"/>
    <w:rsid w:val="003E3C68"/>
    <w:rsid w:val="003E3CAF"/>
    <w:rsid w:val="003E3CDB"/>
    <w:rsid w:val="003E4439"/>
    <w:rsid w:val="003E44C4"/>
    <w:rsid w:val="003E4710"/>
    <w:rsid w:val="003E4859"/>
    <w:rsid w:val="003E48C5"/>
    <w:rsid w:val="003E4909"/>
    <w:rsid w:val="003E5159"/>
    <w:rsid w:val="003E57B0"/>
    <w:rsid w:val="003E57DA"/>
    <w:rsid w:val="003E5B46"/>
    <w:rsid w:val="003E65D5"/>
    <w:rsid w:val="003E698C"/>
    <w:rsid w:val="003E70A0"/>
    <w:rsid w:val="003E77D3"/>
    <w:rsid w:val="003F07EB"/>
    <w:rsid w:val="003F0DE5"/>
    <w:rsid w:val="003F123E"/>
    <w:rsid w:val="003F1290"/>
    <w:rsid w:val="003F19A6"/>
    <w:rsid w:val="003F19B9"/>
    <w:rsid w:val="003F2694"/>
    <w:rsid w:val="003F2BDA"/>
    <w:rsid w:val="003F2F80"/>
    <w:rsid w:val="003F2FB8"/>
    <w:rsid w:val="003F3D98"/>
    <w:rsid w:val="003F505E"/>
    <w:rsid w:val="003F557B"/>
    <w:rsid w:val="003F5700"/>
    <w:rsid w:val="003F5E48"/>
    <w:rsid w:val="003F6214"/>
    <w:rsid w:val="003F6BD6"/>
    <w:rsid w:val="003F769B"/>
    <w:rsid w:val="004008A3"/>
    <w:rsid w:val="00400989"/>
    <w:rsid w:val="00401444"/>
    <w:rsid w:val="00401D3E"/>
    <w:rsid w:val="00401F8F"/>
    <w:rsid w:val="00402837"/>
    <w:rsid w:val="0040420D"/>
    <w:rsid w:val="004047A7"/>
    <w:rsid w:val="0040536B"/>
    <w:rsid w:val="004054C0"/>
    <w:rsid w:val="00405823"/>
    <w:rsid w:val="00405DAF"/>
    <w:rsid w:val="004061FD"/>
    <w:rsid w:val="004075F4"/>
    <w:rsid w:val="00410C16"/>
    <w:rsid w:val="004113F3"/>
    <w:rsid w:val="004120D6"/>
    <w:rsid w:val="004123BC"/>
    <w:rsid w:val="0041251F"/>
    <w:rsid w:val="00412BC7"/>
    <w:rsid w:val="004130F1"/>
    <w:rsid w:val="00413B96"/>
    <w:rsid w:val="00414124"/>
    <w:rsid w:val="0041527B"/>
    <w:rsid w:val="004152C0"/>
    <w:rsid w:val="0041534A"/>
    <w:rsid w:val="00415C54"/>
    <w:rsid w:val="00415E7C"/>
    <w:rsid w:val="004161F3"/>
    <w:rsid w:val="004162D7"/>
    <w:rsid w:val="004169AC"/>
    <w:rsid w:val="00416AA5"/>
    <w:rsid w:val="00416FD9"/>
    <w:rsid w:val="00417708"/>
    <w:rsid w:val="00417ADC"/>
    <w:rsid w:val="00417AF8"/>
    <w:rsid w:val="00421961"/>
    <w:rsid w:val="00421B08"/>
    <w:rsid w:val="00421FFF"/>
    <w:rsid w:val="00422573"/>
    <w:rsid w:val="00422D66"/>
    <w:rsid w:val="004231F5"/>
    <w:rsid w:val="00423652"/>
    <w:rsid w:val="00423A37"/>
    <w:rsid w:val="004246BC"/>
    <w:rsid w:val="00424857"/>
    <w:rsid w:val="00424FB9"/>
    <w:rsid w:val="00425375"/>
    <w:rsid w:val="0042546B"/>
    <w:rsid w:val="00426213"/>
    <w:rsid w:val="004262F7"/>
    <w:rsid w:val="00426CBA"/>
    <w:rsid w:val="00426E8C"/>
    <w:rsid w:val="00427287"/>
    <w:rsid w:val="00427B29"/>
    <w:rsid w:val="0043073F"/>
    <w:rsid w:val="00430C9C"/>
    <w:rsid w:val="0043144A"/>
    <w:rsid w:val="004316B6"/>
    <w:rsid w:val="004318B7"/>
    <w:rsid w:val="004319C2"/>
    <w:rsid w:val="00432337"/>
    <w:rsid w:val="00432373"/>
    <w:rsid w:val="00432BAB"/>
    <w:rsid w:val="00432DDB"/>
    <w:rsid w:val="00432E08"/>
    <w:rsid w:val="00433B7E"/>
    <w:rsid w:val="00433E18"/>
    <w:rsid w:val="004341D1"/>
    <w:rsid w:val="004358B6"/>
    <w:rsid w:val="00436DF6"/>
    <w:rsid w:val="00436FEE"/>
    <w:rsid w:val="00437132"/>
    <w:rsid w:val="00437615"/>
    <w:rsid w:val="00437667"/>
    <w:rsid w:val="00437728"/>
    <w:rsid w:val="00437786"/>
    <w:rsid w:val="00437B0B"/>
    <w:rsid w:val="00437D93"/>
    <w:rsid w:val="004409B1"/>
    <w:rsid w:val="00440C52"/>
    <w:rsid w:val="004410E1"/>
    <w:rsid w:val="0044132E"/>
    <w:rsid w:val="00441ACE"/>
    <w:rsid w:val="00443539"/>
    <w:rsid w:val="00444236"/>
    <w:rsid w:val="00444568"/>
    <w:rsid w:val="00444DFF"/>
    <w:rsid w:val="00444E36"/>
    <w:rsid w:val="00445252"/>
    <w:rsid w:val="00446539"/>
    <w:rsid w:val="0044731A"/>
    <w:rsid w:val="00447E84"/>
    <w:rsid w:val="004505D2"/>
    <w:rsid w:val="00450789"/>
    <w:rsid w:val="00451820"/>
    <w:rsid w:val="00451AC1"/>
    <w:rsid w:val="00451CA3"/>
    <w:rsid w:val="00452223"/>
    <w:rsid w:val="00452854"/>
    <w:rsid w:val="00452CD2"/>
    <w:rsid w:val="004534D3"/>
    <w:rsid w:val="0045379B"/>
    <w:rsid w:val="004537E6"/>
    <w:rsid w:val="0045456A"/>
    <w:rsid w:val="00454E4E"/>
    <w:rsid w:val="004558AA"/>
    <w:rsid w:val="00456540"/>
    <w:rsid w:val="0045654C"/>
    <w:rsid w:val="004566C9"/>
    <w:rsid w:val="00456A47"/>
    <w:rsid w:val="00456A67"/>
    <w:rsid w:val="00456BEF"/>
    <w:rsid w:val="00457159"/>
    <w:rsid w:val="00457265"/>
    <w:rsid w:val="00457352"/>
    <w:rsid w:val="004573FE"/>
    <w:rsid w:val="004606CC"/>
    <w:rsid w:val="00461138"/>
    <w:rsid w:val="00461548"/>
    <w:rsid w:val="00461971"/>
    <w:rsid w:val="00461B47"/>
    <w:rsid w:val="00461D90"/>
    <w:rsid w:val="0046222D"/>
    <w:rsid w:val="00462719"/>
    <w:rsid w:val="00462957"/>
    <w:rsid w:val="00462B7A"/>
    <w:rsid w:val="00462FE2"/>
    <w:rsid w:val="00463077"/>
    <w:rsid w:val="004630BB"/>
    <w:rsid w:val="004640A5"/>
    <w:rsid w:val="00464353"/>
    <w:rsid w:val="00464F7A"/>
    <w:rsid w:val="004654FF"/>
    <w:rsid w:val="0046596A"/>
    <w:rsid w:val="00465E30"/>
    <w:rsid w:val="0046666E"/>
    <w:rsid w:val="00466D65"/>
    <w:rsid w:val="004673C9"/>
    <w:rsid w:val="004674FC"/>
    <w:rsid w:val="00467784"/>
    <w:rsid w:val="004678F8"/>
    <w:rsid w:val="00467C98"/>
    <w:rsid w:val="00470291"/>
    <w:rsid w:val="00470C2E"/>
    <w:rsid w:val="00471516"/>
    <w:rsid w:val="00471629"/>
    <w:rsid w:val="004719C3"/>
    <w:rsid w:val="00471A05"/>
    <w:rsid w:val="00471E6F"/>
    <w:rsid w:val="0047256C"/>
    <w:rsid w:val="00473041"/>
    <w:rsid w:val="004733F0"/>
    <w:rsid w:val="00473628"/>
    <w:rsid w:val="004736EA"/>
    <w:rsid w:val="00473805"/>
    <w:rsid w:val="00473927"/>
    <w:rsid w:val="00474C73"/>
    <w:rsid w:val="00474F87"/>
    <w:rsid w:val="00475478"/>
    <w:rsid w:val="00475AA9"/>
    <w:rsid w:val="00475CE6"/>
    <w:rsid w:val="00477031"/>
    <w:rsid w:val="00477668"/>
    <w:rsid w:val="00477E2A"/>
    <w:rsid w:val="00477F11"/>
    <w:rsid w:val="0048083A"/>
    <w:rsid w:val="00481956"/>
    <w:rsid w:val="004832F8"/>
    <w:rsid w:val="0048343B"/>
    <w:rsid w:val="004834DA"/>
    <w:rsid w:val="00483C63"/>
    <w:rsid w:val="00484A10"/>
    <w:rsid w:val="00484A83"/>
    <w:rsid w:val="004851E5"/>
    <w:rsid w:val="004853F1"/>
    <w:rsid w:val="004854BD"/>
    <w:rsid w:val="004860C6"/>
    <w:rsid w:val="004867C8"/>
    <w:rsid w:val="004879D0"/>
    <w:rsid w:val="00487B59"/>
    <w:rsid w:val="00487D94"/>
    <w:rsid w:val="00490074"/>
    <w:rsid w:val="0049028B"/>
    <w:rsid w:val="004903AA"/>
    <w:rsid w:val="004903B4"/>
    <w:rsid w:val="00490729"/>
    <w:rsid w:val="00490B93"/>
    <w:rsid w:val="00490BDB"/>
    <w:rsid w:val="0049135C"/>
    <w:rsid w:val="004917AD"/>
    <w:rsid w:val="004928DF"/>
    <w:rsid w:val="00492B2E"/>
    <w:rsid w:val="00493256"/>
    <w:rsid w:val="00493D92"/>
    <w:rsid w:val="00493E0B"/>
    <w:rsid w:val="0049401A"/>
    <w:rsid w:val="00494B31"/>
    <w:rsid w:val="00494B4D"/>
    <w:rsid w:val="00494CD6"/>
    <w:rsid w:val="004952DB"/>
    <w:rsid w:val="00495719"/>
    <w:rsid w:val="00495DEF"/>
    <w:rsid w:val="00496564"/>
    <w:rsid w:val="00497BEE"/>
    <w:rsid w:val="004A057A"/>
    <w:rsid w:val="004A0EE0"/>
    <w:rsid w:val="004A1700"/>
    <w:rsid w:val="004A23FE"/>
    <w:rsid w:val="004A297C"/>
    <w:rsid w:val="004A2E8B"/>
    <w:rsid w:val="004A4045"/>
    <w:rsid w:val="004A4410"/>
    <w:rsid w:val="004A5165"/>
    <w:rsid w:val="004A52E4"/>
    <w:rsid w:val="004A53EB"/>
    <w:rsid w:val="004A5460"/>
    <w:rsid w:val="004A5A6B"/>
    <w:rsid w:val="004A5F50"/>
    <w:rsid w:val="004A6294"/>
    <w:rsid w:val="004A7055"/>
    <w:rsid w:val="004A778A"/>
    <w:rsid w:val="004A7ACB"/>
    <w:rsid w:val="004A7F35"/>
    <w:rsid w:val="004B060F"/>
    <w:rsid w:val="004B061D"/>
    <w:rsid w:val="004B06F9"/>
    <w:rsid w:val="004B0BDB"/>
    <w:rsid w:val="004B0E7B"/>
    <w:rsid w:val="004B13CB"/>
    <w:rsid w:val="004B19DB"/>
    <w:rsid w:val="004B2657"/>
    <w:rsid w:val="004B27C1"/>
    <w:rsid w:val="004B29CE"/>
    <w:rsid w:val="004B2F17"/>
    <w:rsid w:val="004B3AE1"/>
    <w:rsid w:val="004B42C0"/>
    <w:rsid w:val="004B56CF"/>
    <w:rsid w:val="004B5737"/>
    <w:rsid w:val="004B602C"/>
    <w:rsid w:val="004B64E9"/>
    <w:rsid w:val="004B6917"/>
    <w:rsid w:val="004B6D28"/>
    <w:rsid w:val="004B6DD0"/>
    <w:rsid w:val="004B6EEE"/>
    <w:rsid w:val="004B6F7E"/>
    <w:rsid w:val="004B7712"/>
    <w:rsid w:val="004B7A6D"/>
    <w:rsid w:val="004B7CFF"/>
    <w:rsid w:val="004B7FC2"/>
    <w:rsid w:val="004C022F"/>
    <w:rsid w:val="004C07BB"/>
    <w:rsid w:val="004C3945"/>
    <w:rsid w:val="004C4779"/>
    <w:rsid w:val="004C4AE8"/>
    <w:rsid w:val="004C5264"/>
    <w:rsid w:val="004C6AA6"/>
    <w:rsid w:val="004C6B93"/>
    <w:rsid w:val="004C767C"/>
    <w:rsid w:val="004C7C65"/>
    <w:rsid w:val="004C7DDC"/>
    <w:rsid w:val="004D0094"/>
    <w:rsid w:val="004D03FA"/>
    <w:rsid w:val="004D042C"/>
    <w:rsid w:val="004D08B3"/>
    <w:rsid w:val="004D09D3"/>
    <w:rsid w:val="004D0F3B"/>
    <w:rsid w:val="004D11AE"/>
    <w:rsid w:val="004D16A1"/>
    <w:rsid w:val="004D1882"/>
    <w:rsid w:val="004D2D3B"/>
    <w:rsid w:val="004D33D5"/>
    <w:rsid w:val="004D38F7"/>
    <w:rsid w:val="004D39AE"/>
    <w:rsid w:val="004D4862"/>
    <w:rsid w:val="004D4989"/>
    <w:rsid w:val="004D505D"/>
    <w:rsid w:val="004D5213"/>
    <w:rsid w:val="004D529C"/>
    <w:rsid w:val="004D54B0"/>
    <w:rsid w:val="004D5808"/>
    <w:rsid w:val="004D5CA8"/>
    <w:rsid w:val="004D70E0"/>
    <w:rsid w:val="004D756D"/>
    <w:rsid w:val="004D7D03"/>
    <w:rsid w:val="004E0313"/>
    <w:rsid w:val="004E03DD"/>
    <w:rsid w:val="004E05DF"/>
    <w:rsid w:val="004E0A53"/>
    <w:rsid w:val="004E12F4"/>
    <w:rsid w:val="004E1A26"/>
    <w:rsid w:val="004E209F"/>
    <w:rsid w:val="004E23D4"/>
    <w:rsid w:val="004E2556"/>
    <w:rsid w:val="004E2DD7"/>
    <w:rsid w:val="004E2F98"/>
    <w:rsid w:val="004E2FD0"/>
    <w:rsid w:val="004E3DBF"/>
    <w:rsid w:val="004E4BBB"/>
    <w:rsid w:val="004E6139"/>
    <w:rsid w:val="004E701C"/>
    <w:rsid w:val="004E77AE"/>
    <w:rsid w:val="004E7C2F"/>
    <w:rsid w:val="004F015C"/>
    <w:rsid w:val="004F0661"/>
    <w:rsid w:val="004F0A30"/>
    <w:rsid w:val="004F0F97"/>
    <w:rsid w:val="004F10AC"/>
    <w:rsid w:val="004F10D1"/>
    <w:rsid w:val="004F1D0C"/>
    <w:rsid w:val="004F207A"/>
    <w:rsid w:val="004F2F09"/>
    <w:rsid w:val="004F3CDF"/>
    <w:rsid w:val="004F3CEA"/>
    <w:rsid w:val="004F4189"/>
    <w:rsid w:val="004F4BD8"/>
    <w:rsid w:val="004F4D71"/>
    <w:rsid w:val="004F4DE5"/>
    <w:rsid w:val="004F4EC4"/>
    <w:rsid w:val="004F517F"/>
    <w:rsid w:val="004F5286"/>
    <w:rsid w:val="004F54D6"/>
    <w:rsid w:val="004F5812"/>
    <w:rsid w:val="004F5883"/>
    <w:rsid w:val="004F5A71"/>
    <w:rsid w:val="004F5B1C"/>
    <w:rsid w:val="004F6516"/>
    <w:rsid w:val="004F6672"/>
    <w:rsid w:val="004F6820"/>
    <w:rsid w:val="004F770C"/>
    <w:rsid w:val="004F7999"/>
    <w:rsid w:val="005000C0"/>
    <w:rsid w:val="005000CF"/>
    <w:rsid w:val="005009FD"/>
    <w:rsid w:val="00500E03"/>
    <w:rsid w:val="005013B4"/>
    <w:rsid w:val="00501483"/>
    <w:rsid w:val="00501513"/>
    <w:rsid w:val="005019B2"/>
    <w:rsid w:val="005024AC"/>
    <w:rsid w:val="005032FC"/>
    <w:rsid w:val="00503D7E"/>
    <w:rsid w:val="005060C7"/>
    <w:rsid w:val="005060E1"/>
    <w:rsid w:val="005071E2"/>
    <w:rsid w:val="005075A7"/>
    <w:rsid w:val="00507B31"/>
    <w:rsid w:val="00507CC9"/>
    <w:rsid w:val="00507FC0"/>
    <w:rsid w:val="00510626"/>
    <w:rsid w:val="00510836"/>
    <w:rsid w:val="005111BA"/>
    <w:rsid w:val="00511520"/>
    <w:rsid w:val="00511623"/>
    <w:rsid w:val="00512069"/>
    <w:rsid w:val="00512179"/>
    <w:rsid w:val="00512502"/>
    <w:rsid w:val="00512811"/>
    <w:rsid w:val="005133E0"/>
    <w:rsid w:val="00513E1D"/>
    <w:rsid w:val="005144A3"/>
    <w:rsid w:val="00514859"/>
    <w:rsid w:val="00514ACA"/>
    <w:rsid w:val="0051589B"/>
    <w:rsid w:val="00515F1E"/>
    <w:rsid w:val="005163A8"/>
    <w:rsid w:val="0051663A"/>
    <w:rsid w:val="00516746"/>
    <w:rsid w:val="00516885"/>
    <w:rsid w:val="005173D5"/>
    <w:rsid w:val="00517832"/>
    <w:rsid w:val="00517D08"/>
    <w:rsid w:val="00517E01"/>
    <w:rsid w:val="00517FC0"/>
    <w:rsid w:val="00517FE0"/>
    <w:rsid w:val="00520945"/>
    <w:rsid w:val="00521166"/>
    <w:rsid w:val="005214EF"/>
    <w:rsid w:val="0052170B"/>
    <w:rsid w:val="005217EF"/>
    <w:rsid w:val="00522249"/>
    <w:rsid w:val="0052224A"/>
    <w:rsid w:val="005236A0"/>
    <w:rsid w:val="00523BC0"/>
    <w:rsid w:val="005252BC"/>
    <w:rsid w:val="00525A48"/>
    <w:rsid w:val="005266F4"/>
    <w:rsid w:val="005270C2"/>
    <w:rsid w:val="00527A13"/>
    <w:rsid w:val="00527D3A"/>
    <w:rsid w:val="0053028C"/>
    <w:rsid w:val="00530873"/>
    <w:rsid w:val="00530963"/>
    <w:rsid w:val="00530B42"/>
    <w:rsid w:val="005312BE"/>
    <w:rsid w:val="00531894"/>
    <w:rsid w:val="00531DE1"/>
    <w:rsid w:val="00532365"/>
    <w:rsid w:val="0053258E"/>
    <w:rsid w:val="00532D35"/>
    <w:rsid w:val="00533264"/>
    <w:rsid w:val="00534AAC"/>
    <w:rsid w:val="0053519E"/>
    <w:rsid w:val="00535D3F"/>
    <w:rsid w:val="00536053"/>
    <w:rsid w:val="005360F7"/>
    <w:rsid w:val="00536353"/>
    <w:rsid w:val="00536973"/>
    <w:rsid w:val="005400B6"/>
    <w:rsid w:val="005406A6"/>
    <w:rsid w:val="00540C70"/>
    <w:rsid w:val="005413B7"/>
    <w:rsid w:val="00541C39"/>
    <w:rsid w:val="0054205E"/>
    <w:rsid w:val="00542260"/>
    <w:rsid w:val="005429D6"/>
    <w:rsid w:val="00542D14"/>
    <w:rsid w:val="0054375F"/>
    <w:rsid w:val="00544332"/>
    <w:rsid w:val="00544441"/>
    <w:rsid w:val="00545DA9"/>
    <w:rsid w:val="005464B5"/>
    <w:rsid w:val="005467C4"/>
    <w:rsid w:val="00546D21"/>
    <w:rsid w:val="005472E7"/>
    <w:rsid w:val="00547CC9"/>
    <w:rsid w:val="00550641"/>
    <w:rsid w:val="0055087C"/>
    <w:rsid w:val="005508E3"/>
    <w:rsid w:val="00550B66"/>
    <w:rsid w:val="00550FDB"/>
    <w:rsid w:val="00551856"/>
    <w:rsid w:val="00551A06"/>
    <w:rsid w:val="00552DD1"/>
    <w:rsid w:val="005530D4"/>
    <w:rsid w:val="0055447E"/>
    <w:rsid w:val="00554492"/>
    <w:rsid w:val="0055476C"/>
    <w:rsid w:val="00555072"/>
    <w:rsid w:val="0055515A"/>
    <w:rsid w:val="00555347"/>
    <w:rsid w:val="00555537"/>
    <w:rsid w:val="005564D9"/>
    <w:rsid w:val="0055662F"/>
    <w:rsid w:val="00556809"/>
    <w:rsid w:val="00556E90"/>
    <w:rsid w:val="00557403"/>
    <w:rsid w:val="005576D0"/>
    <w:rsid w:val="005576F2"/>
    <w:rsid w:val="00557E59"/>
    <w:rsid w:val="005608AF"/>
    <w:rsid w:val="00560F19"/>
    <w:rsid w:val="005614A1"/>
    <w:rsid w:val="005615FB"/>
    <w:rsid w:val="005618B1"/>
    <w:rsid w:val="005619CC"/>
    <w:rsid w:val="005621C7"/>
    <w:rsid w:val="005622B9"/>
    <w:rsid w:val="0056241B"/>
    <w:rsid w:val="00562DA0"/>
    <w:rsid w:val="00562EE1"/>
    <w:rsid w:val="00563481"/>
    <w:rsid w:val="00563E89"/>
    <w:rsid w:val="005641E6"/>
    <w:rsid w:val="0056445A"/>
    <w:rsid w:val="005652A6"/>
    <w:rsid w:val="005654AB"/>
    <w:rsid w:val="0056780A"/>
    <w:rsid w:val="00567AEB"/>
    <w:rsid w:val="00567E86"/>
    <w:rsid w:val="005700D5"/>
    <w:rsid w:val="0057011B"/>
    <w:rsid w:val="00570D75"/>
    <w:rsid w:val="005719E1"/>
    <w:rsid w:val="00571B0E"/>
    <w:rsid w:val="00571B93"/>
    <w:rsid w:val="00571DFF"/>
    <w:rsid w:val="0057209F"/>
    <w:rsid w:val="005722B1"/>
    <w:rsid w:val="005724A7"/>
    <w:rsid w:val="00572876"/>
    <w:rsid w:val="00572E1C"/>
    <w:rsid w:val="005732D4"/>
    <w:rsid w:val="0057350F"/>
    <w:rsid w:val="00573723"/>
    <w:rsid w:val="00573D54"/>
    <w:rsid w:val="00574199"/>
    <w:rsid w:val="00574200"/>
    <w:rsid w:val="005748DD"/>
    <w:rsid w:val="00574A82"/>
    <w:rsid w:val="00576339"/>
    <w:rsid w:val="005772E9"/>
    <w:rsid w:val="00580014"/>
    <w:rsid w:val="005803AA"/>
    <w:rsid w:val="0058044E"/>
    <w:rsid w:val="0058189B"/>
    <w:rsid w:val="00581B97"/>
    <w:rsid w:val="00581DDB"/>
    <w:rsid w:val="00582158"/>
    <w:rsid w:val="00582DAB"/>
    <w:rsid w:val="005840B5"/>
    <w:rsid w:val="00584353"/>
    <w:rsid w:val="005844BA"/>
    <w:rsid w:val="00584590"/>
    <w:rsid w:val="00584847"/>
    <w:rsid w:val="005850C6"/>
    <w:rsid w:val="005851D2"/>
    <w:rsid w:val="00585598"/>
    <w:rsid w:val="00585DE0"/>
    <w:rsid w:val="0058609A"/>
    <w:rsid w:val="00586850"/>
    <w:rsid w:val="00586C9F"/>
    <w:rsid w:val="0058764D"/>
    <w:rsid w:val="0058778F"/>
    <w:rsid w:val="0058789D"/>
    <w:rsid w:val="005878F1"/>
    <w:rsid w:val="00587B5C"/>
    <w:rsid w:val="00587C7E"/>
    <w:rsid w:val="005900C3"/>
    <w:rsid w:val="00590682"/>
    <w:rsid w:val="00590A32"/>
    <w:rsid w:val="005926CF"/>
    <w:rsid w:val="0059271B"/>
    <w:rsid w:val="005930DC"/>
    <w:rsid w:val="0059317B"/>
    <w:rsid w:val="0059324A"/>
    <w:rsid w:val="00593DF2"/>
    <w:rsid w:val="00594A83"/>
    <w:rsid w:val="00595DA6"/>
    <w:rsid w:val="00595F6B"/>
    <w:rsid w:val="00596135"/>
    <w:rsid w:val="005961EE"/>
    <w:rsid w:val="00596373"/>
    <w:rsid w:val="005967E1"/>
    <w:rsid w:val="00596985"/>
    <w:rsid w:val="00596AAD"/>
    <w:rsid w:val="0059705D"/>
    <w:rsid w:val="005975BE"/>
    <w:rsid w:val="005977CA"/>
    <w:rsid w:val="005A0858"/>
    <w:rsid w:val="005A3671"/>
    <w:rsid w:val="005A398B"/>
    <w:rsid w:val="005A3A60"/>
    <w:rsid w:val="005A3EB8"/>
    <w:rsid w:val="005A42CD"/>
    <w:rsid w:val="005A46CE"/>
    <w:rsid w:val="005A474A"/>
    <w:rsid w:val="005A499F"/>
    <w:rsid w:val="005A4EBE"/>
    <w:rsid w:val="005A5191"/>
    <w:rsid w:val="005A537B"/>
    <w:rsid w:val="005A5AE1"/>
    <w:rsid w:val="005A68D8"/>
    <w:rsid w:val="005A7074"/>
    <w:rsid w:val="005A708A"/>
    <w:rsid w:val="005A70C2"/>
    <w:rsid w:val="005A7321"/>
    <w:rsid w:val="005A7C65"/>
    <w:rsid w:val="005B04D8"/>
    <w:rsid w:val="005B0FBE"/>
    <w:rsid w:val="005B12F9"/>
    <w:rsid w:val="005B1374"/>
    <w:rsid w:val="005B15C2"/>
    <w:rsid w:val="005B17A6"/>
    <w:rsid w:val="005B1980"/>
    <w:rsid w:val="005B1EA7"/>
    <w:rsid w:val="005B235A"/>
    <w:rsid w:val="005B278D"/>
    <w:rsid w:val="005B27DC"/>
    <w:rsid w:val="005B2AEC"/>
    <w:rsid w:val="005B2D7E"/>
    <w:rsid w:val="005B3251"/>
    <w:rsid w:val="005B338F"/>
    <w:rsid w:val="005B35D9"/>
    <w:rsid w:val="005B394D"/>
    <w:rsid w:val="005B4053"/>
    <w:rsid w:val="005B43FA"/>
    <w:rsid w:val="005B467C"/>
    <w:rsid w:val="005B4DA0"/>
    <w:rsid w:val="005B4FC9"/>
    <w:rsid w:val="005B5035"/>
    <w:rsid w:val="005B52B9"/>
    <w:rsid w:val="005B575F"/>
    <w:rsid w:val="005B58AF"/>
    <w:rsid w:val="005B656C"/>
    <w:rsid w:val="005B77C2"/>
    <w:rsid w:val="005B7FA5"/>
    <w:rsid w:val="005C0171"/>
    <w:rsid w:val="005C0205"/>
    <w:rsid w:val="005C0326"/>
    <w:rsid w:val="005C0ABA"/>
    <w:rsid w:val="005C1561"/>
    <w:rsid w:val="005C2247"/>
    <w:rsid w:val="005C2473"/>
    <w:rsid w:val="005C2837"/>
    <w:rsid w:val="005C2DB3"/>
    <w:rsid w:val="005C2DCD"/>
    <w:rsid w:val="005C3A4F"/>
    <w:rsid w:val="005C474A"/>
    <w:rsid w:val="005C4867"/>
    <w:rsid w:val="005C4949"/>
    <w:rsid w:val="005C4ED1"/>
    <w:rsid w:val="005C5D2C"/>
    <w:rsid w:val="005C6799"/>
    <w:rsid w:val="005C69A2"/>
    <w:rsid w:val="005C6E85"/>
    <w:rsid w:val="005C6F1F"/>
    <w:rsid w:val="005C71B0"/>
    <w:rsid w:val="005C7267"/>
    <w:rsid w:val="005C7B9C"/>
    <w:rsid w:val="005C7EE6"/>
    <w:rsid w:val="005D0220"/>
    <w:rsid w:val="005D02ED"/>
    <w:rsid w:val="005D08A9"/>
    <w:rsid w:val="005D0A10"/>
    <w:rsid w:val="005D0B34"/>
    <w:rsid w:val="005D0B4D"/>
    <w:rsid w:val="005D0CA8"/>
    <w:rsid w:val="005D1F82"/>
    <w:rsid w:val="005D447B"/>
    <w:rsid w:val="005D49E4"/>
    <w:rsid w:val="005D4EF3"/>
    <w:rsid w:val="005D651C"/>
    <w:rsid w:val="005D7058"/>
    <w:rsid w:val="005D7889"/>
    <w:rsid w:val="005E019F"/>
    <w:rsid w:val="005E0424"/>
    <w:rsid w:val="005E0622"/>
    <w:rsid w:val="005E0751"/>
    <w:rsid w:val="005E0C13"/>
    <w:rsid w:val="005E0F3A"/>
    <w:rsid w:val="005E1222"/>
    <w:rsid w:val="005E12A7"/>
    <w:rsid w:val="005E1363"/>
    <w:rsid w:val="005E17FE"/>
    <w:rsid w:val="005E225C"/>
    <w:rsid w:val="005E311E"/>
    <w:rsid w:val="005E318D"/>
    <w:rsid w:val="005E31D7"/>
    <w:rsid w:val="005E36CA"/>
    <w:rsid w:val="005E37E4"/>
    <w:rsid w:val="005E53F0"/>
    <w:rsid w:val="005E606D"/>
    <w:rsid w:val="005E6378"/>
    <w:rsid w:val="005E6B5F"/>
    <w:rsid w:val="005E701B"/>
    <w:rsid w:val="005E7898"/>
    <w:rsid w:val="005F059A"/>
    <w:rsid w:val="005F08DF"/>
    <w:rsid w:val="005F0B1C"/>
    <w:rsid w:val="005F10AE"/>
    <w:rsid w:val="005F14B8"/>
    <w:rsid w:val="005F1634"/>
    <w:rsid w:val="005F175C"/>
    <w:rsid w:val="005F1A7C"/>
    <w:rsid w:val="005F1CA1"/>
    <w:rsid w:val="005F23E8"/>
    <w:rsid w:val="005F245B"/>
    <w:rsid w:val="005F298B"/>
    <w:rsid w:val="005F2B6E"/>
    <w:rsid w:val="005F3094"/>
    <w:rsid w:val="005F345E"/>
    <w:rsid w:val="005F3C04"/>
    <w:rsid w:val="005F3F49"/>
    <w:rsid w:val="005F44DC"/>
    <w:rsid w:val="005F4CB6"/>
    <w:rsid w:val="005F4EA7"/>
    <w:rsid w:val="005F509C"/>
    <w:rsid w:val="005F5371"/>
    <w:rsid w:val="005F549E"/>
    <w:rsid w:val="005F57D5"/>
    <w:rsid w:val="005F5A1C"/>
    <w:rsid w:val="005F5C4A"/>
    <w:rsid w:val="005F6186"/>
    <w:rsid w:val="005F6479"/>
    <w:rsid w:val="005F6937"/>
    <w:rsid w:val="005F6AB2"/>
    <w:rsid w:val="005F6F1E"/>
    <w:rsid w:val="005F7307"/>
    <w:rsid w:val="005F7581"/>
    <w:rsid w:val="0060078F"/>
    <w:rsid w:val="006009EE"/>
    <w:rsid w:val="00601008"/>
    <w:rsid w:val="006014E0"/>
    <w:rsid w:val="00601814"/>
    <w:rsid w:val="006023CC"/>
    <w:rsid w:val="006026E8"/>
    <w:rsid w:val="006028D2"/>
    <w:rsid w:val="00602F4B"/>
    <w:rsid w:val="006030DE"/>
    <w:rsid w:val="0060346D"/>
    <w:rsid w:val="006037F6"/>
    <w:rsid w:val="00603DB7"/>
    <w:rsid w:val="00603E3A"/>
    <w:rsid w:val="00604A1D"/>
    <w:rsid w:val="00604AE9"/>
    <w:rsid w:val="006051C3"/>
    <w:rsid w:val="0060538D"/>
    <w:rsid w:val="00605764"/>
    <w:rsid w:val="00605D0E"/>
    <w:rsid w:val="006066F9"/>
    <w:rsid w:val="00607D99"/>
    <w:rsid w:val="00607F8C"/>
    <w:rsid w:val="0061003A"/>
    <w:rsid w:val="006102BD"/>
    <w:rsid w:val="00610FC7"/>
    <w:rsid w:val="006124C1"/>
    <w:rsid w:val="006128EE"/>
    <w:rsid w:val="0061379C"/>
    <w:rsid w:val="00613B22"/>
    <w:rsid w:val="00613D32"/>
    <w:rsid w:val="00614946"/>
    <w:rsid w:val="00616289"/>
    <w:rsid w:val="00617197"/>
    <w:rsid w:val="00617671"/>
    <w:rsid w:val="00617E19"/>
    <w:rsid w:val="00617F22"/>
    <w:rsid w:val="0062058C"/>
    <w:rsid w:val="00620682"/>
    <w:rsid w:val="00620B27"/>
    <w:rsid w:val="00620B35"/>
    <w:rsid w:val="0062125C"/>
    <w:rsid w:val="00621521"/>
    <w:rsid w:val="006220DB"/>
    <w:rsid w:val="006223F3"/>
    <w:rsid w:val="006229DC"/>
    <w:rsid w:val="00622CAD"/>
    <w:rsid w:val="00622DEB"/>
    <w:rsid w:val="00623453"/>
    <w:rsid w:val="006238C9"/>
    <w:rsid w:val="00623A9A"/>
    <w:rsid w:val="00623C93"/>
    <w:rsid w:val="00623E9B"/>
    <w:rsid w:val="00624310"/>
    <w:rsid w:val="00624E15"/>
    <w:rsid w:val="006250F4"/>
    <w:rsid w:val="00625169"/>
    <w:rsid w:val="00625366"/>
    <w:rsid w:val="0062538C"/>
    <w:rsid w:val="006255EA"/>
    <w:rsid w:val="00625AAA"/>
    <w:rsid w:val="00626005"/>
    <w:rsid w:val="00626117"/>
    <w:rsid w:val="00626325"/>
    <w:rsid w:val="00626C25"/>
    <w:rsid w:val="0062792F"/>
    <w:rsid w:val="00627C6A"/>
    <w:rsid w:val="0063011B"/>
    <w:rsid w:val="006303AD"/>
    <w:rsid w:val="006304AA"/>
    <w:rsid w:val="006306FC"/>
    <w:rsid w:val="006310C8"/>
    <w:rsid w:val="00631269"/>
    <w:rsid w:val="00631495"/>
    <w:rsid w:val="00632C14"/>
    <w:rsid w:val="00632C34"/>
    <w:rsid w:val="00632F22"/>
    <w:rsid w:val="00633037"/>
    <w:rsid w:val="006338D1"/>
    <w:rsid w:val="00633A4B"/>
    <w:rsid w:val="00633B80"/>
    <w:rsid w:val="00633EC8"/>
    <w:rsid w:val="0063417E"/>
    <w:rsid w:val="00634B16"/>
    <w:rsid w:val="00634BA4"/>
    <w:rsid w:val="00634E1D"/>
    <w:rsid w:val="00635756"/>
    <w:rsid w:val="00635C43"/>
    <w:rsid w:val="0063616E"/>
    <w:rsid w:val="00636845"/>
    <w:rsid w:val="006368F5"/>
    <w:rsid w:val="00637495"/>
    <w:rsid w:val="00637550"/>
    <w:rsid w:val="0063797B"/>
    <w:rsid w:val="00637B00"/>
    <w:rsid w:val="00640151"/>
    <w:rsid w:val="006402B4"/>
    <w:rsid w:val="00640391"/>
    <w:rsid w:val="00640B10"/>
    <w:rsid w:val="00641054"/>
    <w:rsid w:val="0064119A"/>
    <w:rsid w:val="00641A3B"/>
    <w:rsid w:val="00641CBB"/>
    <w:rsid w:val="00642C5E"/>
    <w:rsid w:val="00642D40"/>
    <w:rsid w:val="00643066"/>
    <w:rsid w:val="006431C4"/>
    <w:rsid w:val="00643259"/>
    <w:rsid w:val="006434CA"/>
    <w:rsid w:val="00643983"/>
    <w:rsid w:val="00643D6F"/>
    <w:rsid w:val="00643F62"/>
    <w:rsid w:val="0064449A"/>
    <w:rsid w:val="0064468C"/>
    <w:rsid w:val="0064557F"/>
    <w:rsid w:val="0064586C"/>
    <w:rsid w:val="00645AEE"/>
    <w:rsid w:val="006467D4"/>
    <w:rsid w:val="0064699E"/>
    <w:rsid w:val="00646CEE"/>
    <w:rsid w:val="0064744F"/>
    <w:rsid w:val="00647E9A"/>
    <w:rsid w:val="0065037B"/>
    <w:rsid w:val="00653BB6"/>
    <w:rsid w:val="0065409B"/>
    <w:rsid w:val="00654865"/>
    <w:rsid w:val="00654D83"/>
    <w:rsid w:val="00654DAE"/>
    <w:rsid w:val="00656007"/>
    <w:rsid w:val="006564A5"/>
    <w:rsid w:val="00656D98"/>
    <w:rsid w:val="0065715D"/>
    <w:rsid w:val="00657376"/>
    <w:rsid w:val="00657F37"/>
    <w:rsid w:val="00657F81"/>
    <w:rsid w:val="00660A59"/>
    <w:rsid w:val="00660ACC"/>
    <w:rsid w:val="0066131E"/>
    <w:rsid w:val="00661605"/>
    <w:rsid w:val="006616BC"/>
    <w:rsid w:val="00662263"/>
    <w:rsid w:val="006625F9"/>
    <w:rsid w:val="00662705"/>
    <w:rsid w:val="00663EE1"/>
    <w:rsid w:val="00664F4A"/>
    <w:rsid w:val="0066589A"/>
    <w:rsid w:val="00665B6C"/>
    <w:rsid w:val="00666424"/>
    <w:rsid w:val="00666660"/>
    <w:rsid w:val="006668C0"/>
    <w:rsid w:val="00666E4D"/>
    <w:rsid w:val="006678F8"/>
    <w:rsid w:val="00670358"/>
    <w:rsid w:val="00670956"/>
    <w:rsid w:val="00671EB3"/>
    <w:rsid w:val="00672C58"/>
    <w:rsid w:val="0067315D"/>
    <w:rsid w:val="006732A1"/>
    <w:rsid w:val="00673896"/>
    <w:rsid w:val="006738D5"/>
    <w:rsid w:val="00673F52"/>
    <w:rsid w:val="00674520"/>
    <w:rsid w:val="00674625"/>
    <w:rsid w:val="006747FA"/>
    <w:rsid w:val="00674838"/>
    <w:rsid w:val="00675004"/>
    <w:rsid w:val="00675224"/>
    <w:rsid w:val="006756D8"/>
    <w:rsid w:val="00675806"/>
    <w:rsid w:val="00675FC5"/>
    <w:rsid w:val="006760A9"/>
    <w:rsid w:val="006765FC"/>
    <w:rsid w:val="006773D2"/>
    <w:rsid w:val="006777E6"/>
    <w:rsid w:val="00680DE5"/>
    <w:rsid w:val="006816DB"/>
    <w:rsid w:val="0068182C"/>
    <w:rsid w:val="00681EF4"/>
    <w:rsid w:val="00681F8A"/>
    <w:rsid w:val="0068205F"/>
    <w:rsid w:val="00682C58"/>
    <w:rsid w:val="00682CA5"/>
    <w:rsid w:val="00683633"/>
    <w:rsid w:val="00683ADA"/>
    <w:rsid w:val="00683D71"/>
    <w:rsid w:val="00684B7F"/>
    <w:rsid w:val="00684BFE"/>
    <w:rsid w:val="00684E8E"/>
    <w:rsid w:val="00684ECD"/>
    <w:rsid w:val="00685243"/>
    <w:rsid w:val="00685B11"/>
    <w:rsid w:val="0068668A"/>
    <w:rsid w:val="00686CAC"/>
    <w:rsid w:val="00686F7D"/>
    <w:rsid w:val="0068764A"/>
    <w:rsid w:val="00690579"/>
    <w:rsid w:val="006905E3"/>
    <w:rsid w:val="0069207E"/>
    <w:rsid w:val="00692196"/>
    <w:rsid w:val="00692672"/>
    <w:rsid w:val="00692C2F"/>
    <w:rsid w:val="00692F7E"/>
    <w:rsid w:val="00693883"/>
    <w:rsid w:val="0069419F"/>
    <w:rsid w:val="00694719"/>
    <w:rsid w:val="006953CE"/>
    <w:rsid w:val="00695811"/>
    <w:rsid w:val="00695914"/>
    <w:rsid w:val="006961B3"/>
    <w:rsid w:val="00697005"/>
    <w:rsid w:val="0069703F"/>
    <w:rsid w:val="006A072D"/>
    <w:rsid w:val="006A0F85"/>
    <w:rsid w:val="006A1F57"/>
    <w:rsid w:val="006A2A7C"/>
    <w:rsid w:val="006A2F0A"/>
    <w:rsid w:val="006A3AAC"/>
    <w:rsid w:val="006A3AB3"/>
    <w:rsid w:val="006A4076"/>
    <w:rsid w:val="006A4C6A"/>
    <w:rsid w:val="006A580F"/>
    <w:rsid w:val="006A5FA5"/>
    <w:rsid w:val="006A6240"/>
    <w:rsid w:val="006A6521"/>
    <w:rsid w:val="006A65FF"/>
    <w:rsid w:val="006A7B91"/>
    <w:rsid w:val="006A7D38"/>
    <w:rsid w:val="006A7F12"/>
    <w:rsid w:val="006B02F4"/>
    <w:rsid w:val="006B03FD"/>
    <w:rsid w:val="006B0ECC"/>
    <w:rsid w:val="006B114B"/>
    <w:rsid w:val="006B130B"/>
    <w:rsid w:val="006B1A05"/>
    <w:rsid w:val="006B21AD"/>
    <w:rsid w:val="006B2679"/>
    <w:rsid w:val="006B2723"/>
    <w:rsid w:val="006B28E7"/>
    <w:rsid w:val="006B383D"/>
    <w:rsid w:val="006B38AE"/>
    <w:rsid w:val="006B3B41"/>
    <w:rsid w:val="006B3D7A"/>
    <w:rsid w:val="006B3E5E"/>
    <w:rsid w:val="006B3FB2"/>
    <w:rsid w:val="006B444B"/>
    <w:rsid w:val="006B45F8"/>
    <w:rsid w:val="006B490C"/>
    <w:rsid w:val="006B4AD1"/>
    <w:rsid w:val="006B50A0"/>
    <w:rsid w:val="006B5C81"/>
    <w:rsid w:val="006B6F09"/>
    <w:rsid w:val="006B6F9D"/>
    <w:rsid w:val="006B7036"/>
    <w:rsid w:val="006B7041"/>
    <w:rsid w:val="006C00BC"/>
    <w:rsid w:val="006C05C1"/>
    <w:rsid w:val="006C0A6F"/>
    <w:rsid w:val="006C0E7A"/>
    <w:rsid w:val="006C112A"/>
    <w:rsid w:val="006C133B"/>
    <w:rsid w:val="006C21BC"/>
    <w:rsid w:val="006C2ED7"/>
    <w:rsid w:val="006C2FCF"/>
    <w:rsid w:val="006C2FDE"/>
    <w:rsid w:val="006C309E"/>
    <w:rsid w:val="006C33CD"/>
    <w:rsid w:val="006C34A8"/>
    <w:rsid w:val="006C39C3"/>
    <w:rsid w:val="006C4AFA"/>
    <w:rsid w:val="006C5A90"/>
    <w:rsid w:val="006C6EBF"/>
    <w:rsid w:val="006C6F5B"/>
    <w:rsid w:val="006C74F7"/>
    <w:rsid w:val="006C7B0B"/>
    <w:rsid w:val="006C7DDB"/>
    <w:rsid w:val="006C7F5D"/>
    <w:rsid w:val="006D0200"/>
    <w:rsid w:val="006D123A"/>
    <w:rsid w:val="006D15E7"/>
    <w:rsid w:val="006D1C43"/>
    <w:rsid w:val="006D1CD3"/>
    <w:rsid w:val="006D233D"/>
    <w:rsid w:val="006D26EF"/>
    <w:rsid w:val="006D3039"/>
    <w:rsid w:val="006D3413"/>
    <w:rsid w:val="006D3B72"/>
    <w:rsid w:val="006D40FC"/>
    <w:rsid w:val="006D4EDD"/>
    <w:rsid w:val="006D4EFE"/>
    <w:rsid w:val="006D5187"/>
    <w:rsid w:val="006D51AD"/>
    <w:rsid w:val="006D5E13"/>
    <w:rsid w:val="006D6846"/>
    <w:rsid w:val="006D6C36"/>
    <w:rsid w:val="006D6FCB"/>
    <w:rsid w:val="006D7744"/>
    <w:rsid w:val="006D7ED4"/>
    <w:rsid w:val="006E0400"/>
    <w:rsid w:val="006E1040"/>
    <w:rsid w:val="006E14E0"/>
    <w:rsid w:val="006E1B0B"/>
    <w:rsid w:val="006E2089"/>
    <w:rsid w:val="006E2A62"/>
    <w:rsid w:val="006E2DF5"/>
    <w:rsid w:val="006E2F8E"/>
    <w:rsid w:val="006E3177"/>
    <w:rsid w:val="006E3A5C"/>
    <w:rsid w:val="006E5322"/>
    <w:rsid w:val="006E5709"/>
    <w:rsid w:val="006E5F54"/>
    <w:rsid w:val="006E60AC"/>
    <w:rsid w:val="006E6116"/>
    <w:rsid w:val="006E61CF"/>
    <w:rsid w:val="006E61E8"/>
    <w:rsid w:val="006E63B9"/>
    <w:rsid w:val="006E6F42"/>
    <w:rsid w:val="006E7079"/>
    <w:rsid w:val="006E71DC"/>
    <w:rsid w:val="006E72EA"/>
    <w:rsid w:val="006E7E73"/>
    <w:rsid w:val="006F03A8"/>
    <w:rsid w:val="006F03CF"/>
    <w:rsid w:val="006F1DE2"/>
    <w:rsid w:val="006F27B8"/>
    <w:rsid w:val="006F2A4B"/>
    <w:rsid w:val="006F2C18"/>
    <w:rsid w:val="006F4E1D"/>
    <w:rsid w:val="006F5275"/>
    <w:rsid w:val="006F57E5"/>
    <w:rsid w:val="006F5A47"/>
    <w:rsid w:val="006F5FCC"/>
    <w:rsid w:val="006F6A2C"/>
    <w:rsid w:val="006F74AB"/>
    <w:rsid w:val="006F76D2"/>
    <w:rsid w:val="006F789F"/>
    <w:rsid w:val="006F7D21"/>
    <w:rsid w:val="00700376"/>
    <w:rsid w:val="00700B52"/>
    <w:rsid w:val="00701EF0"/>
    <w:rsid w:val="0070207B"/>
    <w:rsid w:val="00702734"/>
    <w:rsid w:val="007027E3"/>
    <w:rsid w:val="00702A53"/>
    <w:rsid w:val="00702AFB"/>
    <w:rsid w:val="00703726"/>
    <w:rsid w:val="0070372C"/>
    <w:rsid w:val="00703E7C"/>
    <w:rsid w:val="00704660"/>
    <w:rsid w:val="00704831"/>
    <w:rsid w:val="007057E2"/>
    <w:rsid w:val="00705EB2"/>
    <w:rsid w:val="0070658C"/>
    <w:rsid w:val="00706B8A"/>
    <w:rsid w:val="0070796A"/>
    <w:rsid w:val="00710790"/>
    <w:rsid w:val="007108DB"/>
    <w:rsid w:val="00710D3E"/>
    <w:rsid w:val="007113C6"/>
    <w:rsid w:val="0071174F"/>
    <w:rsid w:val="007118A5"/>
    <w:rsid w:val="007120F1"/>
    <w:rsid w:val="0071292F"/>
    <w:rsid w:val="00712BDE"/>
    <w:rsid w:val="00713129"/>
    <w:rsid w:val="00713379"/>
    <w:rsid w:val="00713793"/>
    <w:rsid w:val="00713A9F"/>
    <w:rsid w:val="00713F89"/>
    <w:rsid w:val="007146EB"/>
    <w:rsid w:val="007149D6"/>
    <w:rsid w:val="00714CDF"/>
    <w:rsid w:val="0071569D"/>
    <w:rsid w:val="00715966"/>
    <w:rsid w:val="007161A0"/>
    <w:rsid w:val="00716434"/>
    <w:rsid w:val="007167E8"/>
    <w:rsid w:val="00716B97"/>
    <w:rsid w:val="00716BF1"/>
    <w:rsid w:val="00716F0E"/>
    <w:rsid w:val="00717DDA"/>
    <w:rsid w:val="007201BA"/>
    <w:rsid w:val="007203BD"/>
    <w:rsid w:val="00720798"/>
    <w:rsid w:val="007207F1"/>
    <w:rsid w:val="00720BA1"/>
    <w:rsid w:val="007210DD"/>
    <w:rsid w:val="00721111"/>
    <w:rsid w:val="00721D7F"/>
    <w:rsid w:val="00721EBD"/>
    <w:rsid w:val="00722F3F"/>
    <w:rsid w:val="00722F7D"/>
    <w:rsid w:val="0072321D"/>
    <w:rsid w:val="0072384C"/>
    <w:rsid w:val="00724583"/>
    <w:rsid w:val="007248B2"/>
    <w:rsid w:val="00724966"/>
    <w:rsid w:val="00724FBD"/>
    <w:rsid w:val="00725F6B"/>
    <w:rsid w:val="00726390"/>
    <w:rsid w:val="0072688B"/>
    <w:rsid w:val="00726F7C"/>
    <w:rsid w:val="00727175"/>
    <w:rsid w:val="00727EE5"/>
    <w:rsid w:val="007306C9"/>
    <w:rsid w:val="00730BCD"/>
    <w:rsid w:val="00732843"/>
    <w:rsid w:val="00733572"/>
    <w:rsid w:val="00733667"/>
    <w:rsid w:val="00733776"/>
    <w:rsid w:val="00734FD5"/>
    <w:rsid w:val="007351DA"/>
    <w:rsid w:val="007352D7"/>
    <w:rsid w:val="007357CD"/>
    <w:rsid w:val="00735871"/>
    <w:rsid w:val="007359BE"/>
    <w:rsid w:val="00735A94"/>
    <w:rsid w:val="0073650C"/>
    <w:rsid w:val="00736765"/>
    <w:rsid w:val="00736793"/>
    <w:rsid w:val="00736EF6"/>
    <w:rsid w:val="007402A1"/>
    <w:rsid w:val="00740836"/>
    <w:rsid w:val="00740FF4"/>
    <w:rsid w:val="00741389"/>
    <w:rsid w:val="007424CA"/>
    <w:rsid w:val="007427DE"/>
    <w:rsid w:val="00742D29"/>
    <w:rsid w:val="00742F97"/>
    <w:rsid w:val="007431D3"/>
    <w:rsid w:val="00743442"/>
    <w:rsid w:val="00743452"/>
    <w:rsid w:val="007439ED"/>
    <w:rsid w:val="00743B22"/>
    <w:rsid w:val="0074421F"/>
    <w:rsid w:val="007442CF"/>
    <w:rsid w:val="00744FC1"/>
    <w:rsid w:val="00745380"/>
    <w:rsid w:val="00745422"/>
    <w:rsid w:val="007454D2"/>
    <w:rsid w:val="00746938"/>
    <w:rsid w:val="0074747A"/>
    <w:rsid w:val="007478F9"/>
    <w:rsid w:val="00747AF3"/>
    <w:rsid w:val="00747C39"/>
    <w:rsid w:val="00750151"/>
    <w:rsid w:val="0075038A"/>
    <w:rsid w:val="007506A4"/>
    <w:rsid w:val="007506B4"/>
    <w:rsid w:val="00750E2A"/>
    <w:rsid w:val="00751C5B"/>
    <w:rsid w:val="00751EB2"/>
    <w:rsid w:val="00752DE6"/>
    <w:rsid w:val="0075316C"/>
    <w:rsid w:val="00753984"/>
    <w:rsid w:val="00753C28"/>
    <w:rsid w:val="00753EE8"/>
    <w:rsid w:val="00753F89"/>
    <w:rsid w:val="007541C3"/>
    <w:rsid w:val="0075480E"/>
    <w:rsid w:val="007554EF"/>
    <w:rsid w:val="0075597E"/>
    <w:rsid w:val="00756693"/>
    <w:rsid w:val="00756D75"/>
    <w:rsid w:val="00756D9C"/>
    <w:rsid w:val="007573B5"/>
    <w:rsid w:val="0075783F"/>
    <w:rsid w:val="00757C56"/>
    <w:rsid w:val="00760AC5"/>
    <w:rsid w:val="00760FE8"/>
    <w:rsid w:val="00761303"/>
    <w:rsid w:val="00761684"/>
    <w:rsid w:val="0076181C"/>
    <w:rsid w:val="00762051"/>
    <w:rsid w:val="00763C7D"/>
    <w:rsid w:val="00763D23"/>
    <w:rsid w:val="00765B67"/>
    <w:rsid w:val="00765EE1"/>
    <w:rsid w:val="007672CB"/>
    <w:rsid w:val="00767514"/>
    <w:rsid w:val="00767AB4"/>
    <w:rsid w:val="00767E79"/>
    <w:rsid w:val="007703D3"/>
    <w:rsid w:val="00770D8A"/>
    <w:rsid w:val="00771668"/>
    <w:rsid w:val="00771777"/>
    <w:rsid w:val="0077220F"/>
    <w:rsid w:val="00773954"/>
    <w:rsid w:val="00773B29"/>
    <w:rsid w:val="00773EB5"/>
    <w:rsid w:val="00773F07"/>
    <w:rsid w:val="0077407C"/>
    <w:rsid w:val="007756C8"/>
    <w:rsid w:val="00775CDC"/>
    <w:rsid w:val="00775EBF"/>
    <w:rsid w:val="00776190"/>
    <w:rsid w:val="007761BE"/>
    <w:rsid w:val="007762D3"/>
    <w:rsid w:val="007766B0"/>
    <w:rsid w:val="007768AB"/>
    <w:rsid w:val="00776AA2"/>
    <w:rsid w:val="00776B69"/>
    <w:rsid w:val="00777429"/>
    <w:rsid w:val="00780F68"/>
    <w:rsid w:val="0078112C"/>
    <w:rsid w:val="00781295"/>
    <w:rsid w:val="00781ECB"/>
    <w:rsid w:val="00781F4D"/>
    <w:rsid w:val="0078259C"/>
    <w:rsid w:val="00782A20"/>
    <w:rsid w:val="007841E3"/>
    <w:rsid w:val="00784241"/>
    <w:rsid w:val="00784255"/>
    <w:rsid w:val="007842BB"/>
    <w:rsid w:val="0078567E"/>
    <w:rsid w:val="00785B10"/>
    <w:rsid w:val="00785FB2"/>
    <w:rsid w:val="007868B8"/>
    <w:rsid w:val="007870ED"/>
    <w:rsid w:val="00787282"/>
    <w:rsid w:val="007873AB"/>
    <w:rsid w:val="007873FA"/>
    <w:rsid w:val="00787EBA"/>
    <w:rsid w:val="007903C6"/>
    <w:rsid w:val="007907C6"/>
    <w:rsid w:val="007908E8"/>
    <w:rsid w:val="00790DC1"/>
    <w:rsid w:val="00791206"/>
    <w:rsid w:val="007915D1"/>
    <w:rsid w:val="00791B15"/>
    <w:rsid w:val="00791CA7"/>
    <w:rsid w:val="00791E4B"/>
    <w:rsid w:val="007922B8"/>
    <w:rsid w:val="007923E9"/>
    <w:rsid w:val="007929D7"/>
    <w:rsid w:val="00792F6C"/>
    <w:rsid w:val="007932E1"/>
    <w:rsid w:val="007934AB"/>
    <w:rsid w:val="00793A9C"/>
    <w:rsid w:val="00793F34"/>
    <w:rsid w:val="0079473D"/>
    <w:rsid w:val="007950F8"/>
    <w:rsid w:val="0079531D"/>
    <w:rsid w:val="0079539B"/>
    <w:rsid w:val="00795944"/>
    <w:rsid w:val="007977C0"/>
    <w:rsid w:val="007979D2"/>
    <w:rsid w:val="007A04C9"/>
    <w:rsid w:val="007A191D"/>
    <w:rsid w:val="007A1A61"/>
    <w:rsid w:val="007A2087"/>
    <w:rsid w:val="007A2221"/>
    <w:rsid w:val="007A2D90"/>
    <w:rsid w:val="007A2E34"/>
    <w:rsid w:val="007A2EA1"/>
    <w:rsid w:val="007A2F77"/>
    <w:rsid w:val="007A313A"/>
    <w:rsid w:val="007A3C6F"/>
    <w:rsid w:val="007A47E6"/>
    <w:rsid w:val="007A48C8"/>
    <w:rsid w:val="007A4AB7"/>
    <w:rsid w:val="007A516B"/>
    <w:rsid w:val="007A6499"/>
    <w:rsid w:val="007A6E99"/>
    <w:rsid w:val="007A6FEA"/>
    <w:rsid w:val="007A7687"/>
    <w:rsid w:val="007A77B9"/>
    <w:rsid w:val="007A7B75"/>
    <w:rsid w:val="007B0099"/>
    <w:rsid w:val="007B0743"/>
    <w:rsid w:val="007B0EFB"/>
    <w:rsid w:val="007B19B6"/>
    <w:rsid w:val="007B327B"/>
    <w:rsid w:val="007B32D7"/>
    <w:rsid w:val="007B353C"/>
    <w:rsid w:val="007B4044"/>
    <w:rsid w:val="007B47B7"/>
    <w:rsid w:val="007B4FA3"/>
    <w:rsid w:val="007B59D4"/>
    <w:rsid w:val="007B7ABE"/>
    <w:rsid w:val="007C050D"/>
    <w:rsid w:val="007C058F"/>
    <w:rsid w:val="007C0D7C"/>
    <w:rsid w:val="007C19FD"/>
    <w:rsid w:val="007C1A06"/>
    <w:rsid w:val="007C337C"/>
    <w:rsid w:val="007C348F"/>
    <w:rsid w:val="007C3972"/>
    <w:rsid w:val="007C3A55"/>
    <w:rsid w:val="007C3A73"/>
    <w:rsid w:val="007C439F"/>
    <w:rsid w:val="007C46D5"/>
    <w:rsid w:val="007C4928"/>
    <w:rsid w:val="007C4B84"/>
    <w:rsid w:val="007C5106"/>
    <w:rsid w:val="007C5314"/>
    <w:rsid w:val="007C531C"/>
    <w:rsid w:val="007C5473"/>
    <w:rsid w:val="007C6205"/>
    <w:rsid w:val="007C6221"/>
    <w:rsid w:val="007C653E"/>
    <w:rsid w:val="007C6630"/>
    <w:rsid w:val="007C74E9"/>
    <w:rsid w:val="007C7A10"/>
    <w:rsid w:val="007C7A2E"/>
    <w:rsid w:val="007C7BEC"/>
    <w:rsid w:val="007D04F0"/>
    <w:rsid w:val="007D0A1D"/>
    <w:rsid w:val="007D0BB0"/>
    <w:rsid w:val="007D17C8"/>
    <w:rsid w:val="007D1BA1"/>
    <w:rsid w:val="007D1E31"/>
    <w:rsid w:val="007D20C3"/>
    <w:rsid w:val="007D32DF"/>
    <w:rsid w:val="007D3C4A"/>
    <w:rsid w:val="007D3F2C"/>
    <w:rsid w:val="007D4499"/>
    <w:rsid w:val="007D458A"/>
    <w:rsid w:val="007D4A40"/>
    <w:rsid w:val="007D52E6"/>
    <w:rsid w:val="007D58CE"/>
    <w:rsid w:val="007D591E"/>
    <w:rsid w:val="007D5E6F"/>
    <w:rsid w:val="007D61CF"/>
    <w:rsid w:val="007D65E5"/>
    <w:rsid w:val="007D6E69"/>
    <w:rsid w:val="007D70E2"/>
    <w:rsid w:val="007D7302"/>
    <w:rsid w:val="007D7B99"/>
    <w:rsid w:val="007D7D5A"/>
    <w:rsid w:val="007D7FE1"/>
    <w:rsid w:val="007E0947"/>
    <w:rsid w:val="007E1155"/>
    <w:rsid w:val="007E17DD"/>
    <w:rsid w:val="007E1B37"/>
    <w:rsid w:val="007E2034"/>
    <w:rsid w:val="007E298B"/>
    <w:rsid w:val="007E2B4F"/>
    <w:rsid w:val="007E2EA1"/>
    <w:rsid w:val="007E2F79"/>
    <w:rsid w:val="007E3104"/>
    <w:rsid w:val="007E3269"/>
    <w:rsid w:val="007E35C3"/>
    <w:rsid w:val="007E3AEB"/>
    <w:rsid w:val="007E3C0F"/>
    <w:rsid w:val="007E3D0A"/>
    <w:rsid w:val="007E3EB4"/>
    <w:rsid w:val="007E4B3F"/>
    <w:rsid w:val="007E4D1E"/>
    <w:rsid w:val="007E58F7"/>
    <w:rsid w:val="007E6414"/>
    <w:rsid w:val="007E6EC5"/>
    <w:rsid w:val="007E7092"/>
    <w:rsid w:val="007E71AE"/>
    <w:rsid w:val="007E7D48"/>
    <w:rsid w:val="007F0F6A"/>
    <w:rsid w:val="007F103D"/>
    <w:rsid w:val="007F11C6"/>
    <w:rsid w:val="007F35E0"/>
    <w:rsid w:val="007F3908"/>
    <w:rsid w:val="007F39F2"/>
    <w:rsid w:val="007F4253"/>
    <w:rsid w:val="007F427D"/>
    <w:rsid w:val="007F4358"/>
    <w:rsid w:val="007F43D1"/>
    <w:rsid w:val="007F446E"/>
    <w:rsid w:val="007F46DB"/>
    <w:rsid w:val="007F4BAC"/>
    <w:rsid w:val="007F4EBC"/>
    <w:rsid w:val="007F6747"/>
    <w:rsid w:val="007F69CF"/>
    <w:rsid w:val="007F6D13"/>
    <w:rsid w:val="007F71D2"/>
    <w:rsid w:val="007F7753"/>
    <w:rsid w:val="007F7AAA"/>
    <w:rsid w:val="007F7C6E"/>
    <w:rsid w:val="00800120"/>
    <w:rsid w:val="00800531"/>
    <w:rsid w:val="008008CF"/>
    <w:rsid w:val="00800C4F"/>
    <w:rsid w:val="00800D13"/>
    <w:rsid w:val="00800E23"/>
    <w:rsid w:val="00800EB0"/>
    <w:rsid w:val="00801C06"/>
    <w:rsid w:val="008022CF"/>
    <w:rsid w:val="008026B6"/>
    <w:rsid w:val="00802E3A"/>
    <w:rsid w:val="008032A3"/>
    <w:rsid w:val="008038A7"/>
    <w:rsid w:val="008038AE"/>
    <w:rsid w:val="008038B3"/>
    <w:rsid w:val="00803989"/>
    <w:rsid w:val="0080406A"/>
    <w:rsid w:val="00804672"/>
    <w:rsid w:val="00804735"/>
    <w:rsid w:val="00804C13"/>
    <w:rsid w:val="00804F51"/>
    <w:rsid w:val="008052B7"/>
    <w:rsid w:val="00805EE1"/>
    <w:rsid w:val="00806CD0"/>
    <w:rsid w:val="00807BAB"/>
    <w:rsid w:val="00807D87"/>
    <w:rsid w:val="00810793"/>
    <w:rsid w:val="00810FE6"/>
    <w:rsid w:val="008112FB"/>
    <w:rsid w:val="008113DD"/>
    <w:rsid w:val="008115DF"/>
    <w:rsid w:val="00811B83"/>
    <w:rsid w:val="00812735"/>
    <w:rsid w:val="00813398"/>
    <w:rsid w:val="00813681"/>
    <w:rsid w:val="0081372B"/>
    <w:rsid w:val="008139C7"/>
    <w:rsid w:val="008139EB"/>
    <w:rsid w:val="00814350"/>
    <w:rsid w:val="00814CAC"/>
    <w:rsid w:val="00814D3B"/>
    <w:rsid w:val="0081543A"/>
    <w:rsid w:val="008155B3"/>
    <w:rsid w:val="00815845"/>
    <w:rsid w:val="00815BE9"/>
    <w:rsid w:val="00815E56"/>
    <w:rsid w:val="00816524"/>
    <w:rsid w:val="008165D0"/>
    <w:rsid w:val="0081700E"/>
    <w:rsid w:val="008170ED"/>
    <w:rsid w:val="00817248"/>
    <w:rsid w:val="00817433"/>
    <w:rsid w:val="00817F25"/>
    <w:rsid w:val="008201EC"/>
    <w:rsid w:val="0082102D"/>
    <w:rsid w:val="00821BE4"/>
    <w:rsid w:val="00821E8F"/>
    <w:rsid w:val="008225E9"/>
    <w:rsid w:val="00822883"/>
    <w:rsid w:val="0082294F"/>
    <w:rsid w:val="00822C29"/>
    <w:rsid w:val="00822F88"/>
    <w:rsid w:val="00823731"/>
    <w:rsid w:val="00823E91"/>
    <w:rsid w:val="00824E7D"/>
    <w:rsid w:val="00825022"/>
    <w:rsid w:val="00827DDF"/>
    <w:rsid w:val="00830640"/>
    <w:rsid w:val="0083083B"/>
    <w:rsid w:val="00830955"/>
    <w:rsid w:val="00831560"/>
    <w:rsid w:val="0083186A"/>
    <w:rsid w:val="008319E1"/>
    <w:rsid w:val="00831FB7"/>
    <w:rsid w:val="008326CD"/>
    <w:rsid w:val="00832FFB"/>
    <w:rsid w:val="0083329F"/>
    <w:rsid w:val="0083364B"/>
    <w:rsid w:val="00834C8E"/>
    <w:rsid w:val="00835217"/>
    <w:rsid w:val="008358B6"/>
    <w:rsid w:val="00836CB6"/>
    <w:rsid w:val="00837DF7"/>
    <w:rsid w:val="00840B41"/>
    <w:rsid w:val="00841856"/>
    <w:rsid w:val="008419F0"/>
    <w:rsid w:val="00842208"/>
    <w:rsid w:val="008425FD"/>
    <w:rsid w:val="00842698"/>
    <w:rsid w:val="00843239"/>
    <w:rsid w:val="00843383"/>
    <w:rsid w:val="00843603"/>
    <w:rsid w:val="00843698"/>
    <w:rsid w:val="00844FA0"/>
    <w:rsid w:val="00845BCA"/>
    <w:rsid w:val="00846233"/>
    <w:rsid w:val="00846741"/>
    <w:rsid w:val="0084744E"/>
    <w:rsid w:val="00847644"/>
    <w:rsid w:val="008476C4"/>
    <w:rsid w:val="00847873"/>
    <w:rsid w:val="00847C60"/>
    <w:rsid w:val="00850172"/>
    <w:rsid w:val="00850445"/>
    <w:rsid w:val="00850C01"/>
    <w:rsid w:val="00850E28"/>
    <w:rsid w:val="008515F2"/>
    <w:rsid w:val="00851D33"/>
    <w:rsid w:val="00852408"/>
    <w:rsid w:val="00852455"/>
    <w:rsid w:val="0085285C"/>
    <w:rsid w:val="0085285F"/>
    <w:rsid w:val="00852AF6"/>
    <w:rsid w:val="00852E2D"/>
    <w:rsid w:val="00852FC5"/>
    <w:rsid w:val="00853004"/>
    <w:rsid w:val="00853047"/>
    <w:rsid w:val="00853641"/>
    <w:rsid w:val="00853D66"/>
    <w:rsid w:val="0085476B"/>
    <w:rsid w:val="00854941"/>
    <w:rsid w:val="00855624"/>
    <w:rsid w:val="00855BFA"/>
    <w:rsid w:val="00855ED8"/>
    <w:rsid w:val="00855F33"/>
    <w:rsid w:val="00855FCD"/>
    <w:rsid w:val="008564A4"/>
    <w:rsid w:val="00856542"/>
    <w:rsid w:val="008571F4"/>
    <w:rsid w:val="0085755F"/>
    <w:rsid w:val="00857622"/>
    <w:rsid w:val="008604E9"/>
    <w:rsid w:val="008607F4"/>
    <w:rsid w:val="00860851"/>
    <w:rsid w:val="008608DD"/>
    <w:rsid w:val="0086091B"/>
    <w:rsid w:val="00860CDD"/>
    <w:rsid w:val="00860D25"/>
    <w:rsid w:val="008618EE"/>
    <w:rsid w:val="00861C02"/>
    <w:rsid w:val="008638EE"/>
    <w:rsid w:val="008639EF"/>
    <w:rsid w:val="008653AD"/>
    <w:rsid w:val="0086555E"/>
    <w:rsid w:val="008656EA"/>
    <w:rsid w:val="00865707"/>
    <w:rsid w:val="00866C3C"/>
    <w:rsid w:val="00866CFD"/>
    <w:rsid w:val="00866FF8"/>
    <w:rsid w:val="00867DC7"/>
    <w:rsid w:val="00870000"/>
    <w:rsid w:val="00870255"/>
    <w:rsid w:val="0087083E"/>
    <w:rsid w:val="008709C0"/>
    <w:rsid w:val="00871A3F"/>
    <w:rsid w:val="00872111"/>
    <w:rsid w:val="0087351F"/>
    <w:rsid w:val="008736B9"/>
    <w:rsid w:val="00873D93"/>
    <w:rsid w:val="00873DDB"/>
    <w:rsid w:val="0087444C"/>
    <w:rsid w:val="00874F0D"/>
    <w:rsid w:val="00875EAF"/>
    <w:rsid w:val="008765C8"/>
    <w:rsid w:val="00876668"/>
    <w:rsid w:val="00876ED2"/>
    <w:rsid w:val="00876EE7"/>
    <w:rsid w:val="00876F08"/>
    <w:rsid w:val="00877254"/>
    <w:rsid w:val="00877319"/>
    <w:rsid w:val="0087776B"/>
    <w:rsid w:val="008811C8"/>
    <w:rsid w:val="008820FE"/>
    <w:rsid w:val="00882448"/>
    <w:rsid w:val="00883409"/>
    <w:rsid w:val="00884B5D"/>
    <w:rsid w:val="00886319"/>
    <w:rsid w:val="008863AC"/>
    <w:rsid w:val="00886E10"/>
    <w:rsid w:val="008876AB"/>
    <w:rsid w:val="008877B6"/>
    <w:rsid w:val="00887A68"/>
    <w:rsid w:val="0089027B"/>
    <w:rsid w:val="00891263"/>
    <w:rsid w:val="008913DC"/>
    <w:rsid w:val="008915EA"/>
    <w:rsid w:val="00893364"/>
    <w:rsid w:val="00893451"/>
    <w:rsid w:val="0089355A"/>
    <w:rsid w:val="00894578"/>
    <w:rsid w:val="0089578B"/>
    <w:rsid w:val="00895D27"/>
    <w:rsid w:val="00896068"/>
    <w:rsid w:val="00896C2F"/>
    <w:rsid w:val="008A00B8"/>
    <w:rsid w:val="008A0CD7"/>
    <w:rsid w:val="008A142F"/>
    <w:rsid w:val="008A14D8"/>
    <w:rsid w:val="008A1996"/>
    <w:rsid w:val="008A1AED"/>
    <w:rsid w:val="008A1FE2"/>
    <w:rsid w:val="008A2775"/>
    <w:rsid w:val="008A28A4"/>
    <w:rsid w:val="008A29AE"/>
    <w:rsid w:val="008A2B1A"/>
    <w:rsid w:val="008A2C11"/>
    <w:rsid w:val="008A3208"/>
    <w:rsid w:val="008A35B5"/>
    <w:rsid w:val="008A423E"/>
    <w:rsid w:val="008A54EA"/>
    <w:rsid w:val="008A5691"/>
    <w:rsid w:val="008A5BBA"/>
    <w:rsid w:val="008A5C5F"/>
    <w:rsid w:val="008A5CBE"/>
    <w:rsid w:val="008A5D8E"/>
    <w:rsid w:val="008A5F5C"/>
    <w:rsid w:val="008A6116"/>
    <w:rsid w:val="008A64E6"/>
    <w:rsid w:val="008A745F"/>
    <w:rsid w:val="008A75B2"/>
    <w:rsid w:val="008A7A0B"/>
    <w:rsid w:val="008B0829"/>
    <w:rsid w:val="008B09AE"/>
    <w:rsid w:val="008B0A10"/>
    <w:rsid w:val="008B0DF5"/>
    <w:rsid w:val="008B13BE"/>
    <w:rsid w:val="008B22BF"/>
    <w:rsid w:val="008B2458"/>
    <w:rsid w:val="008B2920"/>
    <w:rsid w:val="008B2D03"/>
    <w:rsid w:val="008B2F2B"/>
    <w:rsid w:val="008B392C"/>
    <w:rsid w:val="008B3B7B"/>
    <w:rsid w:val="008B3ED0"/>
    <w:rsid w:val="008B4384"/>
    <w:rsid w:val="008B45DF"/>
    <w:rsid w:val="008B4B01"/>
    <w:rsid w:val="008B4B93"/>
    <w:rsid w:val="008B4D83"/>
    <w:rsid w:val="008B4EAF"/>
    <w:rsid w:val="008B4F51"/>
    <w:rsid w:val="008B508D"/>
    <w:rsid w:val="008B513D"/>
    <w:rsid w:val="008B528B"/>
    <w:rsid w:val="008B5479"/>
    <w:rsid w:val="008B5500"/>
    <w:rsid w:val="008B5563"/>
    <w:rsid w:val="008B615A"/>
    <w:rsid w:val="008B63A7"/>
    <w:rsid w:val="008B6764"/>
    <w:rsid w:val="008B687C"/>
    <w:rsid w:val="008B6DE7"/>
    <w:rsid w:val="008B70D8"/>
    <w:rsid w:val="008B7397"/>
    <w:rsid w:val="008B788E"/>
    <w:rsid w:val="008C06A9"/>
    <w:rsid w:val="008C0824"/>
    <w:rsid w:val="008C085C"/>
    <w:rsid w:val="008C0878"/>
    <w:rsid w:val="008C0A86"/>
    <w:rsid w:val="008C0D85"/>
    <w:rsid w:val="008C0F45"/>
    <w:rsid w:val="008C14AF"/>
    <w:rsid w:val="008C1BA4"/>
    <w:rsid w:val="008C1D91"/>
    <w:rsid w:val="008C2133"/>
    <w:rsid w:val="008C2C21"/>
    <w:rsid w:val="008C3313"/>
    <w:rsid w:val="008C339D"/>
    <w:rsid w:val="008C36E4"/>
    <w:rsid w:val="008C3889"/>
    <w:rsid w:val="008C3F1D"/>
    <w:rsid w:val="008C4BF0"/>
    <w:rsid w:val="008C4EFE"/>
    <w:rsid w:val="008C5F20"/>
    <w:rsid w:val="008C61D6"/>
    <w:rsid w:val="008C683E"/>
    <w:rsid w:val="008C6D53"/>
    <w:rsid w:val="008C6F18"/>
    <w:rsid w:val="008C7253"/>
    <w:rsid w:val="008C7552"/>
    <w:rsid w:val="008C756A"/>
    <w:rsid w:val="008D03FD"/>
    <w:rsid w:val="008D0565"/>
    <w:rsid w:val="008D0C4A"/>
    <w:rsid w:val="008D0CD8"/>
    <w:rsid w:val="008D1493"/>
    <w:rsid w:val="008D1655"/>
    <w:rsid w:val="008D1D1A"/>
    <w:rsid w:val="008D1E26"/>
    <w:rsid w:val="008D2E4B"/>
    <w:rsid w:val="008D33CE"/>
    <w:rsid w:val="008D3F1D"/>
    <w:rsid w:val="008D4279"/>
    <w:rsid w:val="008D4909"/>
    <w:rsid w:val="008D5203"/>
    <w:rsid w:val="008D54E4"/>
    <w:rsid w:val="008D5687"/>
    <w:rsid w:val="008D74A0"/>
    <w:rsid w:val="008E004C"/>
    <w:rsid w:val="008E0C43"/>
    <w:rsid w:val="008E1133"/>
    <w:rsid w:val="008E16A4"/>
    <w:rsid w:val="008E201E"/>
    <w:rsid w:val="008E219F"/>
    <w:rsid w:val="008E30B8"/>
    <w:rsid w:val="008E345B"/>
    <w:rsid w:val="008E365B"/>
    <w:rsid w:val="008E5DC8"/>
    <w:rsid w:val="008E5E72"/>
    <w:rsid w:val="008E6629"/>
    <w:rsid w:val="008E6644"/>
    <w:rsid w:val="008E68B7"/>
    <w:rsid w:val="008E6D7E"/>
    <w:rsid w:val="008E7993"/>
    <w:rsid w:val="008E7B17"/>
    <w:rsid w:val="008F023E"/>
    <w:rsid w:val="008F0365"/>
    <w:rsid w:val="008F0424"/>
    <w:rsid w:val="008F0A5E"/>
    <w:rsid w:val="008F1315"/>
    <w:rsid w:val="008F1D9D"/>
    <w:rsid w:val="008F1E0E"/>
    <w:rsid w:val="008F2121"/>
    <w:rsid w:val="008F25DA"/>
    <w:rsid w:val="008F2C51"/>
    <w:rsid w:val="008F380F"/>
    <w:rsid w:val="008F387C"/>
    <w:rsid w:val="008F403A"/>
    <w:rsid w:val="008F45C9"/>
    <w:rsid w:val="008F4A20"/>
    <w:rsid w:val="008F4C1F"/>
    <w:rsid w:val="008F51E6"/>
    <w:rsid w:val="008F5A0A"/>
    <w:rsid w:val="008F5F5C"/>
    <w:rsid w:val="008F6430"/>
    <w:rsid w:val="008F65D7"/>
    <w:rsid w:val="008F6AC5"/>
    <w:rsid w:val="008F6B4B"/>
    <w:rsid w:val="008F7011"/>
    <w:rsid w:val="008F70B6"/>
    <w:rsid w:val="008F7304"/>
    <w:rsid w:val="008F76C3"/>
    <w:rsid w:val="008F770D"/>
    <w:rsid w:val="008F7D80"/>
    <w:rsid w:val="008F7F32"/>
    <w:rsid w:val="009002BC"/>
    <w:rsid w:val="00900ACD"/>
    <w:rsid w:val="00900CCD"/>
    <w:rsid w:val="009015ED"/>
    <w:rsid w:val="009016FF"/>
    <w:rsid w:val="00901984"/>
    <w:rsid w:val="00901FF3"/>
    <w:rsid w:val="009024D4"/>
    <w:rsid w:val="009025CE"/>
    <w:rsid w:val="00903E10"/>
    <w:rsid w:val="00904B72"/>
    <w:rsid w:val="0090509D"/>
    <w:rsid w:val="00905197"/>
    <w:rsid w:val="009058AB"/>
    <w:rsid w:val="009059FD"/>
    <w:rsid w:val="00906228"/>
    <w:rsid w:val="00907019"/>
    <w:rsid w:val="0090744B"/>
    <w:rsid w:val="00907BEF"/>
    <w:rsid w:val="009103F2"/>
    <w:rsid w:val="009104B6"/>
    <w:rsid w:val="00910C3C"/>
    <w:rsid w:val="00910E98"/>
    <w:rsid w:val="00910FEE"/>
    <w:rsid w:val="0091127D"/>
    <w:rsid w:val="0091147C"/>
    <w:rsid w:val="009125C5"/>
    <w:rsid w:val="00912906"/>
    <w:rsid w:val="00912EDB"/>
    <w:rsid w:val="00913892"/>
    <w:rsid w:val="009144BB"/>
    <w:rsid w:val="009149EE"/>
    <w:rsid w:val="00914E9F"/>
    <w:rsid w:val="00915400"/>
    <w:rsid w:val="00915524"/>
    <w:rsid w:val="0091554A"/>
    <w:rsid w:val="00915684"/>
    <w:rsid w:val="00915732"/>
    <w:rsid w:val="00915C49"/>
    <w:rsid w:val="009160FC"/>
    <w:rsid w:val="009165DE"/>
    <w:rsid w:val="00916A41"/>
    <w:rsid w:val="00917165"/>
    <w:rsid w:val="00917983"/>
    <w:rsid w:val="00917B1D"/>
    <w:rsid w:val="00917C40"/>
    <w:rsid w:val="00917E33"/>
    <w:rsid w:val="00917EFC"/>
    <w:rsid w:val="0092083B"/>
    <w:rsid w:val="00921CFD"/>
    <w:rsid w:val="009229D4"/>
    <w:rsid w:val="00922B40"/>
    <w:rsid w:val="009237B7"/>
    <w:rsid w:val="009243B0"/>
    <w:rsid w:val="00924887"/>
    <w:rsid w:val="009249C9"/>
    <w:rsid w:val="00925AFE"/>
    <w:rsid w:val="009261A4"/>
    <w:rsid w:val="00926A1F"/>
    <w:rsid w:val="00926BD0"/>
    <w:rsid w:val="00927270"/>
    <w:rsid w:val="00927487"/>
    <w:rsid w:val="00927E96"/>
    <w:rsid w:val="009300FC"/>
    <w:rsid w:val="00930774"/>
    <w:rsid w:val="009308AC"/>
    <w:rsid w:val="00931E93"/>
    <w:rsid w:val="00932327"/>
    <w:rsid w:val="00932A1C"/>
    <w:rsid w:val="009330E5"/>
    <w:rsid w:val="00933223"/>
    <w:rsid w:val="00933436"/>
    <w:rsid w:val="0093499C"/>
    <w:rsid w:val="00935460"/>
    <w:rsid w:val="0093623A"/>
    <w:rsid w:val="0093649A"/>
    <w:rsid w:val="00936CAF"/>
    <w:rsid w:val="00937874"/>
    <w:rsid w:val="009400A7"/>
    <w:rsid w:val="00940262"/>
    <w:rsid w:val="00940598"/>
    <w:rsid w:val="00940BA2"/>
    <w:rsid w:val="009410DB"/>
    <w:rsid w:val="0094195E"/>
    <w:rsid w:val="00941EF6"/>
    <w:rsid w:val="00941EFD"/>
    <w:rsid w:val="0094280C"/>
    <w:rsid w:val="0094342D"/>
    <w:rsid w:val="00943F64"/>
    <w:rsid w:val="009442C8"/>
    <w:rsid w:val="00944780"/>
    <w:rsid w:val="009447BC"/>
    <w:rsid w:val="00944C1C"/>
    <w:rsid w:val="00944C47"/>
    <w:rsid w:val="00944C89"/>
    <w:rsid w:val="009451C2"/>
    <w:rsid w:val="00945264"/>
    <w:rsid w:val="009456E3"/>
    <w:rsid w:val="009463EC"/>
    <w:rsid w:val="009467B8"/>
    <w:rsid w:val="00947018"/>
    <w:rsid w:val="00947DA1"/>
    <w:rsid w:val="00950400"/>
    <w:rsid w:val="0095066E"/>
    <w:rsid w:val="009510F1"/>
    <w:rsid w:val="0095212A"/>
    <w:rsid w:val="00952FE7"/>
    <w:rsid w:val="00954493"/>
    <w:rsid w:val="009551D0"/>
    <w:rsid w:val="0095561B"/>
    <w:rsid w:val="0095638B"/>
    <w:rsid w:val="009565B6"/>
    <w:rsid w:val="0095660E"/>
    <w:rsid w:val="009567AD"/>
    <w:rsid w:val="009569FF"/>
    <w:rsid w:val="00956D6A"/>
    <w:rsid w:val="00956FCB"/>
    <w:rsid w:val="009573CE"/>
    <w:rsid w:val="00957439"/>
    <w:rsid w:val="00957532"/>
    <w:rsid w:val="009608F9"/>
    <w:rsid w:val="00960A25"/>
    <w:rsid w:val="00960CE0"/>
    <w:rsid w:val="00961068"/>
    <w:rsid w:val="00961624"/>
    <w:rsid w:val="00961867"/>
    <w:rsid w:val="00961C50"/>
    <w:rsid w:val="00962A08"/>
    <w:rsid w:val="00962BCD"/>
    <w:rsid w:val="00963178"/>
    <w:rsid w:val="00963D6E"/>
    <w:rsid w:val="00963F43"/>
    <w:rsid w:val="00963F73"/>
    <w:rsid w:val="009647AE"/>
    <w:rsid w:val="00964A20"/>
    <w:rsid w:val="00964C36"/>
    <w:rsid w:val="00964C3F"/>
    <w:rsid w:val="00965649"/>
    <w:rsid w:val="00965BA4"/>
    <w:rsid w:val="00965CBA"/>
    <w:rsid w:val="00965D2F"/>
    <w:rsid w:val="00966318"/>
    <w:rsid w:val="009672D9"/>
    <w:rsid w:val="009673F4"/>
    <w:rsid w:val="00967C64"/>
    <w:rsid w:val="00970615"/>
    <w:rsid w:val="00970DCB"/>
    <w:rsid w:val="009712EF"/>
    <w:rsid w:val="0097226B"/>
    <w:rsid w:val="0097260D"/>
    <w:rsid w:val="009726C7"/>
    <w:rsid w:val="0097279A"/>
    <w:rsid w:val="00972F27"/>
    <w:rsid w:val="00973165"/>
    <w:rsid w:val="009739F3"/>
    <w:rsid w:val="00973A29"/>
    <w:rsid w:val="00973B53"/>
    <w:rsid w:val="00973D6C"/>
    <w:rsid w:val="00973E4B"/>
    <w:rsid w:val="00974332"/>
    <w:rsid w:val="0097454F"/>
    <w:rsid w:val="00974F7C"/>
    <w:rsid w:val="00975306"/>
    <w:rsid w:val="00975872"/>
    <w:rsid w:val="00975D3C"/>
    <w:rsid w:val="00976A30"/>
    <w:rsid w:val="009772F1"/>
    <w:rsid w:val="00977779"/>
    <w:rsid w:val="0097787A"/>
    <w:rsid w:val="0097798C"/>
    <w:rsid w:val="00980589"/>
    <w:rsid w:val="0098089B"/>
    <w:rsid w:val="00980F3F"/>
    <w:rsid w:val="00981632"/>
    <w:rsid w:val="00981705"/>
    <w:rsid w:val="00981A44"/>
    <w:rsid w:val="009822AD"/>
    <w:rsid w:val="00982BDC"/>
    <w:rsid w:val="00982BE4"/>
    <w:rsid w:val="009838C3"/>
    <w:rsid w:val="00983A56"/>
    <w:rsid w:val="00984CAE"/>
    <w:rsid w:val="00984CF8"/>
    <w:rsid w:val="00985D17"/>
    <w:rsid w:val="00986B81"/>
    <w:rsid w:val="00986F00"/>
    <w:rsid w:val="0099054F"/>
    <w:rsid w:val="00991117"/>
    <w:rsid w:val="00991733"/>
    <w:rsid w:val="00991DDD"/>
    <w:rsid w:val="00992378"/>
    <w:rsid w:val="009924C0"/>
    <w:rsid w:val="00992780"/>
    <w:rsid w:val="00993B3E"/>
    <w:rsid w:val="00994069"/>
    <w:rsid w:val="009940F1"/>
    <w:rsid w:val="009946E4"/>
    <w:rsid w:val="00994B6D"/>
    <w:rsid w:val="0099689E"/>
    <w:rsid w:val="00996CB8"/>
    <w:rsid w:val="00996CC0"/>
    <w:rsid w:val="00996E4C"/>
    <w:rsid w:val="009974D6"/>
    <w:rsid w:val="009A07CC"/>
    <w:rsid w:val="009A0A5C"/>
    <w:rsid w:val="009A0F87"/>
    <w:rsid w:val="009A1B4A"/>
    <w:rsid w:val="009A3077"/>
    <w:rsid w:val="009A389D"/>
    <w:rsid w:val="009A3E38"/>
    <w:rsid w:val="009A3E89"/>
    <w:rsid w:val="009A4339"/>
    <w:rsid w:val="009A4A6A"/>
    <w:rsid w:val="009A500B"/>
    <w:rsid w:val="009A5073"/>
    <w:rsid w:val="009A55E3"/>
    <w:rsid w:val="009A59F0"/>
    <w:rsid w:val="009A61DF"/>
    <w:rsid w:val="009A6562"/>
    <w:rsid w:val="009A6B51"/>
    <w:rsid w:val="009A6D8C"/>
    <w:rsid w:val="009B00FA"/>
    <w:rsid w:val="009B06E0"/>
    <w:rsid w:val="009B0928"/>
    <w:rsid w:val="009B0968"/>
    <w:rsid w:val="009B0EE2"/>
    <w:rsid w:val="009B10E8"/>
    <w:rsid w:val="009B1809"/>
    <w:rsid w:val="009B217E"/>
    <w:rsid w:val="009B2B8D"/>
    <w:rsid w:val="009B2B97"/>
    <w:rsid w:val="009B2BC8"/>
    <w:rsid w:val="009B329E"/>
    <w:rsid w:val="009B390D"/>
    <w:rsid w:val="009B39C2"/>
    <w:rsid w:val="009B3A22"/>
    <w:rsid w:val="009B3C80"/>
    <w:rsid w:val="009B3E6C"/>
    <w:rsid w:val="009B4202"/>
    <w:rsid w:val="009B4303"/>
    <w:rsid w:val="009B46E2"/>
    <w:rsid w:val="009B46EE"/>
    <w:rsid w:val="009B46FD"/>
    <w:rsid w:val="009B5EE5"/>
    <w:rsid w:val="009B632D"/>
    <w:rsid w:val="009B66AD"/>
    <w:rsid w:val="009B66F3"/>
    <w:rsid w:val="009B6B6B"/>
    <w:rsid w:val="009B7091"/>
    <w:rsid w:val="009B72B2"/>
    <w:rsid w:val="009B7E99"/>
    <w:rsid w:val="009C066E"/>
    <w:rsid w:val="009C09E8"/>
    <w:rsid w:val="009C0A84"/>
    <w:rsid w:val="009C0A96"/>
    <w:rsid w:val="009C0D29"/>
    <w:rsid w:val="009C1299"/>
    <w:rsid w:val="009C14E0"/>
    <w:rsid w:val="009C1681"/>
    <w:rsid w:val="009C1827"/>
    <w:rsid w:val="009C1BDC"/>
    <w:rsid w:val="009C2934"/>
    <w:rsid w:val="009C362F"/>
    <w:rsid w:val="009C3CDA"/>
    <w:rsid w:val="009C3F74"/>
    <w:rsid w:val="009C43BF"/>
    <w:rsid w:val="009C4945"/>
    <w:rsid w:val="009C4F27"/>
    <w:rsid w:val="009C519E"/>
    <w:rsid w:val="009C51BE"/>
    <w:rsid w:val="009C5949"/>
    <w:rsid w:val="009C64C9"/>
    <w:rsid w:val="009C64D9"/>
    <w:rsid w:val="009C76D2"/>
    <w:rsid w:val="009C7C3E"/>
    <w:rsid w:val="009C7F49"/>
    <w:rsid w:val="009D0E9D"/>
    <w:rsid w:val="009D18BE"/>
    <w:rsid w:val="009D1C14"/>
    <w:rsid w:val="009D29DA"/>
    <w:rsid w:val="009D2AB1"/>
    <w:rsid w:val="009D32F1"/>
    <w:rsid w:val="009D33CB"/>
    <w:rsid w:val="009D3E90"/>
    <w:rsid w:val="009D4D82"/>
    <w:rsid w:val="009D5588"/>
    <w:rsid w:val="009D61DB"/>
    <w:rsid w:val="009D6274"/>
    <w:rsid w:val="009D7076"/>
    <w:rsid w:val="009D7457"/>
    <w:rsid w:val="009D7DCB"/>
    <w:rsid w:val="009D7F5E"/>
    <w:rsid w:val="009E0360"/>
    <w:rsid w:val="009E0473"/>
    <w:rsid w:val="009E054A"/>
    <w:rsid w:val="009E06B2"/>
    <w:rsid w:val="009E0A24"/>
    <w:rsid w:val="009E0BAB"/>
    <w:rsid w:val="009E0BB4"/>
    <w:rsid w:val="009E0D80"/>
    <w:rsid w:val="009E1636"/>
    <w:rsid w:val="009E1922"/>
    <w:rsid w:val="009E2159"/>
    <w:rsid w:val="009E216C"/>
    <w:rsid w:val="009E2393"/>
    <w:rsid w:val="009E23BD"/>
    <w:rsid w:val="009E26B0"/>
    <w:rsid w:val="009E2724"/>
    <w:rsid w:val="009E279C"/>
    <w:rsid w:val="009E2926"/>
    <w:rsid w:val="009E293F"/>
    <w:rsid w:val="009E2983"/>
    <w:rsid w:val="009E308D"/>
    <w:rsid w:val="009E429F"/>
    <w:rsid w:val="009E5F3C"/>
    <w:rsid w:val="009E6048"/>
    <w:rsid w:val="009E628D"/>
    <w:rsid w:val="009E637A"/>
    <w:rsid w:val="009E6AB7"/>
    <w:rsid w:val="009E7500"/>
    <w:rsid w:val="009E7C03"/>
    <w:rsid w:val="009E7D4C"/>
    <w:rsid w:val="009E7DC4"/>
    <w:rsid w:val="009E7F39"/>
    <w:rsid w:val="009F0196"/>
    <w:rsid w:val="009F0445"/>
    <w:rsid w:val="009F105A"/>
    <w:rsid w:val="009F254E"/>
    <w:rsid w:val="009F27DD"/>
    <w:rsid w:val="009F2846"/>
    <w:rsid w:val="009F2944"/>
    <w:rsid w:val="009F296A"/>
    <w:rsid w:val="009F2CC2"/>
    <w:rsid w:val="009F3ED2"/>
    <w:rsid w:val="009F4E39"/>
    <w:rsid w:val="009F4F61"/>
    <w:rsid w:val="009F5054"/>
    <w:rsid w:val="009F6223"/>
    <w:rsid w:val="009F66BC"/>
    <w:rsid w:val="009F6EC1"/>
    <w:rsid w:val="009F79D6"/>
    <w:rsid w:val="00A00428"/>
    <w:rsid w:val="00A00A16"/>
    <w:rsid w:val="00A020A4"/>
    <w:rsid w:val="00A02753"/>
    <w:rsid w:val="00A02E9A"/>
    <w:rsid w:val="00A02ED4"/>
    <w:rsid w:val="00A03101"/>
    <w:rsid w:val="00A03ED0"/>
    <w:rsid w:val="00A0420C"/>
    <w:rsid w:val="00A04480"/>
    <w:rsid w:val="00A04B0A"/>
    <w:rsid w:val="00A04D78"/>
    <w:rsid w:val="00A0567C"/>
    <w:rsid w:val="00A0622D"/>
    <w:rsid w:val="00A063C5"/>
    <w:rsid w:val="00A06EE0"/>
    <w:rsid w:val="00A072A3"/>
    <w:rsid w:val="00A077ED"/>
    <w:rsid w:val="00A07A4A"/>
    <w:rsid w:val="00A103B9"/>
    <w:rsid w:val="00A10587"/>
    <w:rsid w:val="00A106C1"/>
    <w:rsid w:val="00A10929"/>
    <w:rsid w:val="00A118E4"/>
    <w:rsid w:val="00A11D03"/>
    <w:rsid w:val="00A12130"/>
    <w:rsid w:val="00A122C3"/>
    <w:rsid w:val="00A12AF4"/>
    <w:rsid w:val="00A12E4E"/>
    <w:rsid w:val="00A14279"/>
    <w:rsid w:val="00A14447"/>
    <w:rsid w:val="00A145F3"/>
    <w:rsid w:val="00A14983"/>
    <w:rsid w:val="00A149A3"/>
    <w:rsid w:val="00A149D8"/>
    <w:rsid w:val="00A14BE9"/>
    <w:rsid w:val="00A14C5D"/>
    <w:rsid w:val="00A160AE"/>
    <w:rsid w:val="00A16F21"/>
    <w:rsid w:val="00A16FD4"/>
    <w:rsid w:val="00A1706C"/>
    <w:rsid w:val="00A17D60"/>
    <w:rsid w:val="00A204C9"/>
    <w:rsid w:val="00A2053A"/>
    <w:rsid w:val="00A206A1"/>
    <w:rsid w:val="00A2080C"/>
    <w:rsid w:val="00A20963"/>
    <w:rsid w:val="00A20C94"/>
    <w:rsid w:val="00A20CA4"/>
    <w:rsid w:val="00A20F09"/>
    <w:rsid w:val="00A2193B"/>
    <w:rsid w:val="00A21F94"/>
    <w:rsid w:val="00A23618"/>
    <w:rsid w:val="00A2382B"/>
    <w:rsid w:val="00A24336"/>
    <w:rsid w:val="00A24EA8"/>
    <w:rsid w:val="00A25150"/>
    <w:rsid w:val="00A25A51"/>
    <w:rsid w:val="00A262E5"/>
    <w:rsid w:val="00A2632D"/>
    <w:rsid w:val="00A26638"/>
    <w:rsid w:val="00A26770"/>
    <w:rsid w:val="00A26871"/>
    <w:rsid w:val="00A268B7"/>
    <w:rsid w:val="00A268CA"/>
    <w:rsid w:val="00A26AB2"/>
    <w:rsid w:val="00A2750C"/>
    <w:rsid w:val="00A27679"/>
    <w:rsid w:val="00A27CF2"/>
    <w:rsid w:val="00A27DCC"/>
    <w:rsid w:val="00A30E49"/>
    <w:rsid w:val="00A3145B"/>
    <w:rsid w:val="00A315B3"/>
    <w:rsid w:val="00A317F5"/>
    <w:rsid w:val="00A3185F"/>
    <w:rsid w:val="00A31A2A"/>
    <w:rsid w:val="00A320F8"/>
    <w:rsid w:val="00A32348"/>
    <w:rsid w:val="00A32375"/>
    <w:rsid w:val="00A32493"/>
    <w:rsid w:val="00A324A4"/>
    <w:rsid w:val="00A328E1"/>
    <w:rsid w:val="00A32E96"/>
    <w:rsid w:val="00A331E4"/>
    <w:rsid w:val="00A343A2"/>
    <w:rsid w:val="00A34460"/>
    <w:rsid w:val="00A34B9F"/>
    <w:rsid w:val="00A34D9E"/>
    <w:rsid w:val="00A34F52"/>
    <w:rsid w:val="00A3500A"/>
    <w:rsid w:val="00A3562E"/>
    <w:rsid w:val="00A36405"/>
    <w:rsid w:val="00A3641E"/>
    <w:rsid w:val="00A36EA9"/>
    <w:rsid w:val="00A37691"/>
    <w:rsid w:val="00A37AF2"/>
    <w:rsid w:val="00A37F6D"/>
    <w:rsid w:val="00A4012D"/>
    <w:rsid w:val="00A4016C"/>
    <w:rsid w:val="00A407AD"/>
    <w:rsid w:val="00A40CC6"/>
    <w:rsid w:val="00A4169E"/>
    <w:rsid w:val="00A41C03"/>
    <w:rsid w:val="00A41D01"/>
    <w:rsid w:val="00A41F90"/>
    <w:rsid w:val="00A42A88"/>
    <w:rsid w:val="00A42F38"/>
    <w:rsid w:val="00A4371F"/>
    <w:rsid w:val="00A43765"/>
    <w:rsid w:val="00A43B48"/>
    <w:rsid w:val="00A43EE6"/>
    <w:rsid w:val="00A44530"/>
    <w:rsid w:val="00A44BBF"/>
    <w:rsid w:val="00A45091"/>
    <w:rsid w:val="00A453AD"/>
    <w:rsid w:val="00A45E41"/>
    <w:rsid w:val="00A46564"/>
    <w:rsid w:val="00A46E3C"/>
    <w:rsid w:val="00A47CB1"/>
    <w:rsid w:val="00A500C5"/>
    <w:rsid w:val="00A50155"/>
    <w:rsid w:val="00A50ADC"/>
    <w:rsid w:val="00A50F2A"/>
    <w:rsid w:val="00A512C6"/>
    <w:rsid w:val="00A5195A"/>
    <w:rsid w:val="00A51A5F"/>
    <w:rsid w:val="00A52A68"/>
    <w:rsid w:val="00A52D5D"/>
    <w:rsid w:val="00A52F9D"/>
    <w:rsid w:val="00A532DD"/>
    <w:rsid w:val="00A5398D"/>
    <w:rsid w:val="00A541D3"/>
    <w:rsid w:val="00A54B30"/>
    <w:rsid w:val="00A55459"/>
    <w:rsid w:val="00A556C4"/>
    <w:rsid w:val="00A56905"/>
    <w:rsid w:val="00A56AF1"/>
    <w:rsid w:val="00A5744D"/>
    <w:rsid w:val="00A5793B"/>
    <w:rsid w:val="00A57BA7"/>
    <w:rsid w:val="00A605E3"/>
    <w:rsid w:val="00A60C59"/>
    <w:rsid w:val="00A6148D"/>
    <w:rsid w:val="00A61A13"/>
    <w:rsid w:val="00A623B9"/>
    <w:rsid w:val="00A636EA"/>
    <w:rsid w:val="00A640BA"/>
    <w:rsid w:val="00A642C4"/>
    <w:rsid w:val="00A644C4"/>
    <w:rsid w:val="00A64985"/>
    <w:rsid w:val="00A64E5C"/>
    <w:rsid w:val="00A64E84"/>
    <w:rsid w:val="00A6552B"/>
    <w:rsid w:val="00A66D36"/>
    <w:rsid w:val="00A670AB"/>
    <w:rsid w:val="00A67362"/>
    <w:rsid w:val="00A67415"/>
    <w:rsid w:val="00A674EE"/>
    <w:rsid w:val="00A67626"/>
    <w:rsid w:val="00A6772E"/>
    <w:rsid w:val="00A67D42"/>
    <w:rsid w:val="00A70701"/>
    <w:rsid w:val="00A715DE"/>
    <w:rsid w:val="00A716AE"/>
    <w:rsid w:val="00A7179C"/>
    <w:rsid w:val="00A717D1"/>
    <w:rsid w:val="00A736B4"/>
    <w:rsid w:val="00A73847"/>
    <w:rsid w:val="00A73866"/>
    <w:rsid w:val="00A73889"/>
    <w:rsid w:val="00A74072"/>
    <w:rsid w:val="00A754C1"/>
    <w:rsid w:val="00A7731D"/>
    <w:rsid w:val="00A773C1"/>
    <w:rsid w:val="00A7740D"/>
    <w:rsid w:val="00A80535"/>
    <w:rsid w:val="00A808E1"/>
    <w:rsid w:val="00A80A5A"/>
    <w:rsid w:val="00A80B1F"/>
    <w:rsid w:val="00A80FC1"/>
    <w:rsid w:val="00A8100E"/>
    <w:rsid w:val="00A811FA"/>
    <w:rsid w:val="00A81583"/>
    <w:rsid w:val="00A8180C"/>
    <w:rsid w:val="00A8236D"/>
    <w:rsid w:val="00A83482"/>
    <w:rsid w:val="00A83863"/>
    <w:rsid w:val="00A83F24"/>
    <w:rsid w:val="00A84A9E"/>
    <w:rsid w:val="00A84B89"/>
    <w:rsid w:val="00A8529B"/>
    <w:rsid w:val="00A85E3D"/>
    <w:rsid w:val="00A862CE"/>
    <w:rsid w:val="00A86AEA"/>
    <w:rsid w:val="00A86D0C"/>
    <w:rsid w:val="00A86D34"/>
    <w:rsid w:val="00A86E55"/>
    <w:rsid w:val="00A8785C"/>
    <w:rsid w:val="00A90413"/>
    <w:rsid w:val="00A90601"/>
    <w:rsid w:val="00A90DF0"/>
    <w:rsid w:val="00A91A38"/>
    <w:rsid w:val="00A92D61"/>
    <w:rsid w:val="00A93840"/>
    <w:rsid w:val="00A939F2"/>
    <w:rsid w:val="00A94672"/>
    <w:rsid w:val="00A94DCE"/>
    <w:rsid w:val="00A95005"/>
    <w:rsid w:val="00A9574B"/>
    <w:rsid w:val="00A95815"/>
    <w:rsid w:val="00A958E5"/>
    <w:rsid w:val="00A95BF8"/>
    <w:rsid w:val="00A95E88"/>
    <w:rsid w:val="00A96101"/>
    <w:rsid w:val="00A962B9"/>
    <w:rsid w:val="00A96318"/>
    <w:rsid w:val="00A96C4D"/>
    <w:rsid w:val="00A96C67"/>
    <w:rsid w:val="00A96E32"/>
    <w:rsid w:val="00A975CB"/>
    <w:rsid w:val="00AA018B"/>
    <w:rsid w:val="00AA04BA"/>
    <w:rsid w:val="00AA0D1E"/>
    <w:rsid w:val="00AA0F74"/>
    <w:rsid w:val="00AA1301"/>
    <w:rsid w:val="00AA18E2"/>
    <w:rsid w:val="00AA1EC4"/>
    <w:rsid w:val="00AA2E34"/>
    <w:rsid w:val="00AA423B"/>
    <w:rsid w:val="00AA4B21"/>
    <w:rsid w:val="00AA4BF9"/>
    <w:rsid w:val="00AA4D96"/>
    <w:rsid w:val="00AA68FA"/>
    <w:rsid w:val="00AA6A61"/>
    <w:rsid w:val="00AA75DA"/>
    <w:rsid w:val="00AB03EB"/>
    <w:rsid w:val="00AB08C7"/>
    <w:rsid w:val="00AB0C16"/>
    <w:rsid w:val="00AB0F77"/>
    <w:rsid w:val="00AB13F2"/>
    <w:rsid w:val="00AB143A"/>
    <w:rsid w:val="00AB16EE"/>
    <w:rsid w:val="00AB2BC2"/>
    <w:rsid w:val="00AB34C7"/>
    <w:rsid w:val="00AB3789"/>
    <w:rsid w:val="00AB3C9F"/>
    <w:rsid w:val="00AB4A4E"/>
    <w:rsid w:val="00AB4C35"/>
    <w:rsid w:val="00AB4DA7"/>
    <w:rsid w:val="00AB5213"/>
    <w:rsid w:val="00AB5480"/>
    <w:rsid w:val="00AB553A"/>
    <w:rsid w:val="00AB5AF1"/>
    <w:rsid w:val="00AB5E9C"/>
    <w:rsid w:val="00AB716F"/>
    <w:rsid w:val="00AB793E"/>
    <w:rsid w:val="00AB7E51"/>
    <w:rsid w:val="00AC0324"/>
    <w:rsid w:val="00AC0DC7"/>
    <w:rsid w:val="00AC129D"/>
    <w:rsid w:val="00AC1BB9"/>
    <w:rsid w:val="00AC1C1E"/>
    <w:rsid w:val="00AC1EC2"/>
    <w:rsid w:val="00AC21F6"/>
    <w:rsid w:val="00AC3154"/>
    <w:rsid w:val="00AC3FE4"/>
    <w:rsid w:val="00AC4049"/>
    <w:rsid w:val="00AC4205"/>
    <w:rsid w:val="00AC4BA8"/>
    <w:rsid w:val="00AC59C7"/>
    <w:rsid w:val="00AC6CFB"/>
    <w:rsid w:val="00AC6E54"/>
    <w:rsid w:val="00AC766C"/>
    <w:rsid w:val="00AC7926"/>
    <w:rsid w:val="00AD0128"/>
    <w:rsid w:val="00AD07D9"/>
    <w:rsid w:val="00AD1386"/>
    <w:rsid w:val="00AD15C5"/>
    <w:rsid w:val="00AD1B48"/>
    <w:rsid w:val="00AD1EE4"/>
    <w:rsid w:val="00AD1FAE"/>
    <w:rsid w:val="00AD2253"/>
    <w:rsid w:val="00AD2888"/>
    <w:rsid w:val="00AD2A76"/>
    <w:rsid w:val="00AD2B89"/>
    <w:rsid w:val="00AD3E75"/>
    <w:rsid w:val="00AD44E2"/>
    <w:rsid w:val="00AD4835"/>
    <w:rsid w:val="00AD4F12"/>
    <w:rsid w:val="00AD5798"/>
    <w:rsid w:val="00AD5A59"/>
    <w:rsid w:val="00AD629A"/>
    <w:rsid w:val="00AD78FF"/>
    <w:rsid w:val="00AD7DBE"/>
    <w:rsid w:val="00AE0841"/>
    <w:rsid w:val="00AE0C56"/>
    <w:rsid w:val="00AE152F"/>
    <w:rsid w:val="00AE1C2D"/>
    <w:rsid w:val="00AE1EBE"/>
    <w:rsid w:val="00AE3683"/>
    <w:rsid w:val="00AE3860"/>
    <w:rsid w:val="00AE3A43"/>
    <w:rsid w:val="00AE4075"/>
    <w:rsid w:val="00AE527F"/>
    <w:rsid w:val="00AE52B4"/>
    <w:rsid w:val="00AE5789"/>
    <w:rsid w:val="00AE58D0"/>
    <w:rsid w:val="00AE62EF"/>
    <w:rsid w:val="00AE64C8"/>
    <w:rsid w:val="00AE684D"/>
    <w:rsid w:val="00AE7242"/>
    <w:rsid w:val="00AE783D"/>
    <w:rsid w:val="00AE7B51"/>
    <w:rsid w:val="00AF082D"/>
    <w:rsid w:val="00AF0944"/>
    <w:rsid w:val="00AF101C"/>
    <w:rsid w:val="00AF18F5"/>
    <w:rsid w:val="00AF1BE6"/>
    <w:rsid w:val="00AF1DE2"/>
    <w:rsid w:val="00AF1E32"/>
    <w:rsid w:val="00AF1F47"/>
    <w:rsid w:val="00AF219E"/>
    <w:rsid w:val="00AF2341"/>
    <w:rsid w:val="00AF2E88"/>
    <w:rsid w:val="00AF32D4"/>
    <w:rsid w:val="00AF3B0D"/>
    <w:rsid w:val="00AF4374"/>
    <w:rsid w:val="00AF481F"/>
    <w:rsid w:val="00AF4983"/>
    <w:rsid w:val="00AF507D"/>
    <w:rsid w:val="00AF5146"/>
    <w:rsid w:val="00AF573A"/>
    <w:rsid w:val="00AF5AAE"/>
    <w:rsid w:val="00AF630B"/>
    <w:rsid w:val="00AF6479"/>
    <w:rsid w:val="00AF6B0C"/>
    <w:rsid w:val="00AF6E89"/>
    <w:rsid w:val="00AF7AC4"/>
    <w:rsid w:val="00AF7C69"/>
    <w:rsid w:val="00AF7D74"/>
    <w:rsid w:val="00B00105"/>
    <w:rsid w:val="00B00B11"/>
    <w:rsid w:val="00B01143"/>
    <w:rsid w:val="00B02CA3"/>
    <w:rsid w:val="00B0306D"/>
    <w:rsid w:val="00B030C5"/>
    <w:rsid w:val="00B04DE8"/>
    <w:rsid w:val="00B051D1"/>
    <w:rsid w:val="00B052D3"/>
    <w:rsid w:val="00B058D6"/>
    <w:rsid w:val="00B06496"/>
    <w:rsid w:val="00B066E1"/>
    <w:rsid w:val="00B06FD5"/>
    <w:rsid w:val="00B07370"/>
    <w:rsid w:val="00B074B1"/>
    <w:rsid w:val="00B07776"/>
    <w:rsid w:val="00B07C20"/>
    <w:rsid w:val="00B10269"/>
    <w:rsid w:val="00B108D3"/>
    <w:rsid w:val="00B10CE9"/>
    <w:rsid w:val="00B11170"/>
    <w:rsid w:val="00B1193E"/>
    <w:rsid w:val="00B11B82"/>
    <w:rsid w:val="00B11C6E"/>
    <w:rsid w:val="00B123D0"/>
    <w:rsid w:val="00B12549"/>
    <w:rsid w:val="00B12ADB"/>
    <w:rsid w:val="00B13692"/>
    <w:rsid w:val="00B136CF"/>
    <w:rsid w:val="00B1474E"/>
    <w:rsid w:val="00B147D0"/>
    <w:rsid w:val="00B14AA6"/>
    <w:rsid w:val="00B14B29"/>
    <w:rsid w:val="00B14D32"/>
    <w:rsid w:val="00B15662"/>
    <w:rsid w:val="00B1592B"/>
    <w:rsid w:val="00B15B14"/>
    <w:rsid w:val="00B15CBC"/>
    <w:rsid w:val="00B15D3C"/>
    <w:rsid w:val="00B15FB7"/>
    <w:rsid w:val="00B15FD1"/>
    <w:rsid w:val="00B16129"/>
    <w:rsid w:val="00B16172"/>
    <w:rsid w:val="00B161A1"/>
    <w:rsid w:val="00B162DE"/>
    <w:rsid w:val="00B1695F"/>
    <w:rsid w:val="00B16ACD"/>
    <w:rsid w:val="00B174B6"/>
    <w:rsid w:val="00B17BD9"/>
    <w:rsid w:val="00B17CEF"/>
    <w:rsid w:val="00B17F89"/>
    <w:rsid w:val="00B20293"/>
    <w:rsid w:val="00B20320"/>
    <w:rsid w:val="00B21113"/>
    <w:rsid w:val="00B2180D"/>
    <w:rsid w:val="00B21BE6"/>
    <w:rsid w:val="00B21C3E"/>
    <w:rsid w:val="00B21E74"/>
    <w:rsid w:val="00B21F64"/>
    <w:rsid w:val="00B223AE"/>
    <w:rsid w:val="00B22F35"/>
    <w:rsid w:val="00B22FC8"/>
    <w:rsid w:val="00B2344A"/>
    <w:rsid w:val="00B2417B"/>
    <w:rsid w:val="00B24378"/>
    <w:rsid w:val="00B24EB2"/>
    <w:rsid w:val="00B257D1"/>
    <w:rsid w:val="00B26ED6"/>
    <w:rsid w:val="00B271CD"/>
    <w:rsid w:val="00B27E3D"/>
    <w:rsid w:val="00B30113"/>
    <w:rsid w:val="00B31338"/>
    <w:rsid w:val="00B315D0"/>
    <w:rsid w:val="00B318ED"/>
    <w:rsid w:val="00B31A1E"/>
    <w:rsid w:val="00B3235F"/>
    <w:rsid w:val="00B32479"/>
    <w:rsid w:val="00B32E5D"/>
    <w:rsid w:val="00B33FDC"/>
    <w:rsid w:val="00B35CF8"/>
    <w:rsid w:val="00B36CBF"/>
    <w:rsid w:val="00B36DCC"/>
    <w:rsid w:val="00B371DB"/>
    <w:rsid w:val="00B37980"/>
    <w:rsid w:val="00B37A66"/>
    <w:rsid w:val="00B37C49"/>
    <w:rsid w:val="00B37D0B"/>
    <w:rsid w:val="00B40381"/>
    <w:rsid w:val="00B409F3"/>
    <w:rsid w:val="00B40FF3"/>
    <w:rsid w:val="00B4153A"/>
    <w:rsid w:val="00B41AAF"/>
    <w:rsid w:val="00B41D7A"/>
    <w:rsid w:val="00B42B9D"/>
    <w:rsid w:val="00B43A39"/>
    <w:rsid w:val="00B43ECD"/>
    <w:rsid w:val="00B44DD6"/>
    <w:rsid w:val="00B4501D"/>
    <w:rsid w:val="00B4556D"/>
    <w:rsid w:val="00B45804"/>
    <w:rsid w:val="00B45D01"/>
    <w:rsid w:val="00B45E64"/>
    <w:rsid w:val="00B46429"/>
    <w:rsid w:val="00B4676D"/>
    <w:rsid w:val="00B469EE"/>
    <w:rsid w:val="00B46BD9"/>
    <w:rsid w:val="00B46ED2"/>
    <w:rsid w:val="00B471BB"/>
    <w:rsid w:val="00B474D3"/>
    <w:rsid w:val="00B478B4"/>
    <w:rsid w:val="00B478F2"/>
    <w:rsid w:val="00B50A7A"/>
    <w:rsid w:val="00B50C69"/>
    <w:rsid w:val="00B50E0F"/>
    <w:rsid w:val="00B50E1E"/>
    <w:rsid w:val="00B5177D"/>
    <w:rsid w:val="00B52349"/>
    <w:rsid w:val="00B52A58"/>
    <w:rsid w:val="00B52DE9"/>
    <w:rsid w:val="00B5408A"/>
    <w:rsid w:val="00B5485A"/>
    <w:rsid w:val="00B54A28"/>
    <w:rsid w:val="00B54AFF"/>
    <w:rsid w:val="00B5559B"/>
    <w:rsid w:val="00B5561F"/>
    <w:rsid w:val="00B55F3F"/>
    <w:rsid w:val="00B5614F"/>
    <w:rsid w:val="00B56303"/>
    <w:rsid w:val="00B56D4A"/>
    <w:rsid w:val="00B5729C"/>
    <w:rsid w:val="00B60104"/>
    <w:rsid w:val="00B603F8"/>
    <w:rsid w:val="00B607B6"/>
    <w:rsid w:val="00B60EDB"/>
    <w:rsid w:val="00B61144"/>
    <w:rsid w:val="00B613C0"/>
    <w:rsid w:val="00B618AA"/>
    <w:rsid w:val="00B621BE"/>
    <w:rsid w:val="00B6262F"/>
    <w:rsid w:val="00B62A05"/>
    <w:rsid w:val="00B62C70"/>
    <w:rsid w:val="00B63076"/>
    <w:rsid w:val="00B63539"/>
    <w:rsid w:val="00B63E45"/>
    <w:rsid w:val="00B640C1"/>
    <w:rsid w:val="00B64522"/>
    <w:rsid w:val="00B64E3E"/>
    <w:rsid w:val="00B64FEA"/>
    <w:rsid w:val="00B65154"/>
    <w:rsid w:val="00B65CBF"/>
    <w:rsid w:val="00B66208"/>
    <w:rsid w:val="00B66BFB"/>
    <w:rsid w:val="00B6721D"/>
    <w:rsid w:val="00B67730"/>
    <w:rsid w:val="00B702E0"/>
    <w:rsid w:val="00B71EF4"/>
    <w:rsid w:val="00B72D2E"/>
    <w:rsid w:val="00B72D46"/>
    <w:rsid w:val="00B7329F"/>
    <w:rsid w:val="00B73376"/>
    <w:rsid w:val="00B73BFB"/>
    <w:rsid w:val="00B73CFD"/>
    <w:rsid w:val="00B74AC8"/>
    <w:rsid w:val="00B74D3C"/>
    <w:rsid w:val="00B74D62"/>
    <w:rsid w:val="00B74FED"/>
    <w:rsid w:val="00B753A0"/>
    <w:rsid w:val="00B75752"/>
    <w:rsid w:val="00B759DC"/>
    <w:rsid w:val="00B75AD7"/>
    <w:rsid w:val="00B75FFD"/>
    <w:rsid w:val="00B76475"/>
    <w:rsid w:val="00B76C9E"/>
    <w:rsid w:val="00B7703C"/>
    <w:rsid w:val="00B77326"/>
    <w:rsid w:val="00B77695"/>
    <w:rsid w:val="00B802C6"/>
    <w:rsid w:val="00B8082D"/>
    <w:rsid w:val="00B81419"/>
    <w:rsid w:val="00B819F6"/>
    <w:rsid w:val="00B81EAD"/>
    <w:rsid w:val="00B81FD3"/>
    <w:rsid w:val="00B827D2"/>
    <w:rsid w:val="00B82ABB"/>
    <w:rsid w:val="00B8353D"/>
    <w:rsid w:val="00B8353E"/>
    <w:rsid w:val="00B83A5A"/>
    <w:rsid w:val="00B83BC9"/>
    <w:rsid w:val="00B83EEE"/>
    <w:rsid w:val="00B83F72"/>
    <w:rsid w:val="00B8475B"/>
    <w:rsid w:val="00B84766"/>
    <w:rsid w:val="00B84D1E"/>
    <w:rsid w:val="00B84F22"/>
    <w:rsid w:val="00B856F2"/>
    <w:rsid w:val="00B8571A"/>
    <w:rsid w:val="00B858FE"/>
    <w:rsid w:val="00B865D3"/>
    <w:rsid w:val="00B9008F"/>
    <w:rsid w:val="00B90435"/>
    <w:rsid w:val="00B90E22"/>
    <w:rsid w:val="00B911EF"/>
    <w:rsid w:val="00B9120E"/>
    <w:rsid w:val="00B9172A"/>
    <w:rsid w:val="00B9192A"/>
    <w:rsid w:val="00B9206E"/>
    <w:rsid w:val="00B935F4"/>
    <w:rsid w:val="00B93FBF"/>
    <w:rsid w:val="00B9414E"/>
    <w:rsid w:val="00B94723"/>
    <w:rsid w:val="00B94B13"/>
    <w:rsid w:val="00B95524"/>
    <w:rsid w:val="00B95550"/>
    <w:rsid w:val="00B9590B"/>
    <w:rsid w:val="00B959BF"/>
    <w:rsid w:val="00B959C7"/>
    <w:rsid w:val="00B95EE3"/>
    <w:rsid w:val="00B96BFE"/>
    <w:rsid w:val="00B96ED0"/>
    <w:rsid w:val="00B970C0"/>
    <w:rsid w:val="00B97452"/>
    <w:rsid w:val="00B97B3A"/>
    <w:rsid w:val="00BA0644"/>
    <w:rsid w:val="00BA09FF"/>
    <w:rsid w:val="00BA0AA2"/>
    <w:rsid w:val="00BA1AED"/>
    <w:rsid w:val="00BA1D38"/>
    <w:rsid w:val="00BA3F5B"/>
    <w:rsid w:val="00BA570D"/>
    <w:rsid w:val="00BA5B8D"/>
    <w:rsid w:val="00BA5BFE"/>
    <w:rsid w:val="00BA5F17"/>
    <w:rsid w:val="00BA5FC3"/>
    <w:rsid w:val="00BA70C1"/>
    <w:rsid w:val="00BA7384"/>
    <w:rsid w:val="00BA79DF"/>
    <w:rsid w:val="00BA7C49"/>
    <w:rsid w:val="00BA7D63"/>
    <w:rsid w:val="00BA7F0F"/>
    <w:rsid w:val="00BB017A"/>
    <w:rsid w:val="00BB01CB"/>
    <w:rsid w:val="00BB0E24"/>
    <w:rsid w:val="00BB0EFC"/>
    <w:rsid w:val="00BB1982"/>
    <w:rsid w:val="00BB2059"/>
    <w:rsid w:val="00BB28E6"/>
    <w:rsid w:val="00BB2D5F"/>
    <w:rsid w:val="00BB3133"/>
    <w:rsid w:val="00BB3654"/>
    <w:rsid w:val="00BB3C1A"/>
    <w:rsid w:val="00BB4178"/>
    <w:rsid w:val="00BB4817"/>
    <w:rsid w:val="00BB4847"/>
    <w:rsid w:val="00BB4A37"/>
    <w:rsid w:val="00BB4C57"/>
    <w:rsid w:val="00BB525D"/>
    <w:rsid w:val="00BB547E"/>
    <w:rsid w:val="00BB5FF4"/>
    <w:rsid w:val="00BB613C"/>
    <w:rsid w:val="00BB6E26"/>
    <w:rsid w:val="00BB6E68"/>
    <w:rsid w:val="00BB6F7D"/>
    <w:rsid w:val="00BB707B"/>
    <w:rsid w:val="00BB7082"/>
    <w:rsid w:val="00BB735C"/>
    <w:rsid w:val="00BB773A"/>
    <w:rsid w:val="00BC010C"/>
    <w:rsid w:val="00BC024A"/>
    <w:rsid w:val="00BC065E"/>
    <w:rsid w:val="00BC07ED"/>
    <w:rsid w:val="00BC0D60"/>
    <w:rsid w:val="00BC1563"/>
    <w:rsid w:val="00BC1966"/>
    <w:rsid w:val="00BC1DA3"/>
    <w:rsid w:val="00BC1FF3"/>
    <w:rsid w:val="00BC20B7"/>
    <w:rsid w:val="00BC265B"/>
    <w:rsid w:val="00BC2778"/>
    <w:rsid w:val="00BC2BC5"/>
    <w:rsid w:val="00BC3818"/>
    <w:rsid w:val="00BC3B61"/>
    <w:rsid w:val="00BC4024"/>
    <w:rsid w:val="00BC40FD"/>
    <w:rsid w:val="00BC494F"/>
    <w:rsid w:val="00BC526F"/>
    <w:rsid w:val="00BC52B4"/>
    <w:rsid w:val="00BC5614"/>
    <w:rsid w:val="00BC64DB"/>
    <w:rsid w:val="00BC7449"/>
    <w:rsid w:val="00BC7D40"/>
    <w:rsid w:val="00BD042D"/>
    <w:rsid w:val="00BD070C"/>
    <w:rsid w:val="00BD07D1"/>
    <w:rsid w:val="00BD1A39"/>
    <w:rsid w:val="00BD1E29"/>
    <w:rsid w:val="00BD302B"/>
    <w:rsid w:val="00BD3F6F"/>
    <w:rsid w:val="00BD403D"/>
    <w:rsid w:val="00BD410B"/>
    <w:rsid w:val="00BD4660"/>
    <w:rsid w:val="00BD4C80"/>
    <w:rsid w:val="00BD4D2C"/>
    <w:rsid w:val="00BD5B61"/>
    <w:rsid w:val="00BD60D1"/>
    <w:rsid w:val="00BD6778"/>
    <w:rsid w:val="00BD72C6"/>
    <w:rsid w:val="00BD77AD"/>
    <w:rsid w:val="00BD79B1"/>
    <w:rsid w:val="00BD7E21"/>
    <w:rsid w:val="00BD7EFC"/>
    <w:rsid w:val="00BE0149"/>
    <w:rsid w:val="00BE0DAB"/>
    <w:rsid w:val="00BE14B5"/>
    <w:rsid w:val="00BE195E"/>
    <w:rsid w:val="00BE2194"/>
    <w:rsid w:val="00BE265D"/>
    <w:rsid w:val="00BE389C"/>
    <w:rsid w:val="00BE4047"/>
    <w:rsid w:val="00BE4481"/>
    <w:rsid w:val="00BE4E74"/>
    <w:rsid w:val="00BE63EE"/>
    <w:rsid w:val="00BE6F12"/>
    <w:rsid w:val="00BE700C"/>
    <w:rsid w:val="00BE7D7D"/>
    <w:rsid w:val="00BF03E2"/>
    <w:rsid w:val="00BF0D6B"/>
    <w:rsid w:val="00BF0DE8"/>
    <w:rsid w:val="00BF10FB"/>
    <w:rsid w:val="00BF1F76"/>
    <w:rsid w:val="00BF200C"/>
    <w:rsid w:val="00BF206F"/>
    <w:rsid w:val="00BF2740"/>
    <w:rsid w:val="00BF2B32"/>
    <w:rsid w:val="00BF2CD3"/>
    <w:rsid w:val="00BF2FB7"/>
    <w:rsid w:val="00BF324A"/>
    <w:rsid w:val="00BF3BC9"/>
    <w:rsid w:val="00BF44EF"/>
    <w:rsid w:val="00BF4608"/>
    <w:rsid w:val="00BF48A0"/>
    <w:rsid w:val="00BF594C"/>
    <w:rsid w:val="00BF6070"/>
    <w:rsid w:val="00BF6A44"/>
    <w:rsid w:val="00BF7027"/>
    <w:rsid w:val="00BF7457"/>
    <w:rsid w:val="00BF74CA"/>
    <w:rsid w:val="00BF7525"/>
    <w:rsid w:val="00BF7658"/>
    <w:rsid w:val="00BF777D"/>
    <w:rsid w:val="00BF7D3C"/>
    <w:rsid w:val="00C00025"/>
    <w:rsid w:val="00C004D8"/>
    <w:rsid w:val="00C006AC"/>
    <w:rsid w:val="00C00968"/>
    <w:rsid w:val="00C00C5F"/>
    <w:rsid w:val="00C0139F"/>
    <w:rsid w:val="00C021C6"/>
    <w:rsid w:val="00C02768"/>
    <w:rsid w:val="00C02A91"/>
    <w:rsid w:val="00C02CC6"/>
    <w:rsid w:val="00C02D69"/>
    <w:rsid w:val="00C03026"/>
    <w:rsid w:val="00C030FE"/>
    <w:rsid w:val="00C0311A"/>
    <w:rsid w:val="00C0344C"/>
    <w:rsid w:val="00C03924"/>
    <w:rsid w:val="00C0395F"/>
    <w:rsid w:val="00C039A0"/>
    <w:rsid w:val="00C03E3C"/>
    <w:rsid w:val="00C03FEF"/>
    <w:rsid w:val="00C044A0"/>
    <w:rsid w:val="00C048AB"/>
    <w:rsid w:val="00C055F0"/>
    <w:rsid w:val="00C05741"/>
    <w:rsid w:val="00C05B2A"/>
    <w:rsid w:val="00C05D0E"/>
    <w:rsid w:val="00C06007"/>
    <w:rsid w:val="00C07662"/>
    <w:rsid w:val="00C07A4E"/>
    <w:rsid w:val="00C10474"/>
    <w:rsid w:val="00C1079C"/>
    <w:rsid w:val="00C10D2C"/>
    <w:rsid w:val="00C1211C"/>
    <w:rsid w:val="00C12808"/>
    <w:rsid w:val="00C1294D"/>
    <w:rsid w:val="00C12EE8"/>
    <w:rsid w:val="00C13102"/>
    <w:rsid w:val="00C136A3"/>
    <w:rsid w:val="00C13ECE"/>
    <w:rsid w:val="00C13F22"/>
    <w:rsid w:val="00C140B1"/>
    <w:rsid w:val="00C146A4"/>
    <w:rsid w:val="00C147AE"/>
    <w:rsid w:val="00C14ABE"/>
    <w:rsid w:val="00C14DE0"/>
    <w:rsid w:val="00C15D0C"/>
    <w:rsid w:val="00C16519"/>
    <w:rsid w:val="00C1654C"/>
    <w:rsid w:val="00C16FF7"/>
    <w:rsid w:val="00C1766E"/>
    <w:rsid w:val="00C1782A"/>
    <w:rsid w:val="00C178A7"/>
    <w:rsid w:val="00C17E4C"/>
    <w:rsid w:val="00C17FEB"/>
    <w:rsid w:val="00C2087E"/>
    <w:rsid w:val="00C21470"/>
    <w:rsid w:val="00C21A5C"/>
    <w:rsid w:val="00C21DF2"/>
    <w:rsid w:val="00C22308"/>
    <w:rsid w:val="00C22356"/>
    <w:rsid w:val="00C22441"/>
    <w:rsid w:val="00C2353C"/>
    <w:rsid w:val="00C236C5"/>
    <w:rsid w:val="00C23858"/>
    <w:rsid w:val="00C23C60"/>
    <w:rsid w:val="00C243D2"/>
    <w:rsid w:val="00C25379"/>
    <w:rsid w:val="00C256CE"/>
    <w:rsid w:val="00C30770"/>
    <w:rsid w:val="00C30F4B"/>
    <w:rsid w:val="00C31726"/>
    <w:rsid w:val="00C31B98"/>
    <w:rsid w:val="00C320F6"/>
    <w:rsid w:val="00C32626"/>
    <w:rsid w:val="00C32651"/>
    <w:rsid w:val="00C3329C"/>
    <w:rsid w:val="00C335D4"/>
    <w:rsid w:val="00C33933"/>
    <w:rsid w:val="00C34116"/>
    <w:rsid w:val="00C34677"/>
    <w:rsid w:val="00C34A61"/>
    <w:rsid w:val="00C34BC4"/>
    <w:rsid w:val="00C354E5"/>
    <w:rsid w:val="00C354F8"/>
    <w:rsid w:val="00C355AE"/>
    <w:rsid w:val="00C359D7"/>
    <w:rsid w:val="00C35B99"/>
    <w:rsid w:val="00C35C4B"/>
    <w:rsid w:val="00C35C98"/>
    <w:rsid w:val="00C35DBE"/>
    <w:rsid w:val="00C363DB"/>
    <w:rsid w:val="00C36485"/>
    <w:rsid w:val="00C368BD"/>
    <w:rsid w:val="00C36D23"/>
    <w:rsid w:val="00C37D67"/>
    <w:rsid w:val="00C402B9"/>
    <w:rsid w:val="00C403D3"/>
    <w:rsid w:val="00C4041D"/>
    <w:rsid w:val="00C40568"/>
    <w:rsid w:val="00C406D8"/>
    <w:rsid w:val="00C41412"/>
    <w:rsid w:val="00C417AF"/>
    <w:rsid w:val="00C423FD"/>
    <w:rsid w:val="00C4264B"/>
    <w:rsid w:val="00C428BD"/>
    <w:rsid w:val="00C42916"/>
    <w:rsid w:val="00C42B06"/>
    <w:rsid w:val="00C441B2"/>
    <w:rsid w:val="00C44FD4"/>
    <w:rsid w:val="00C45B05"/>
    <w:rsid w:val="00C45FB5"/>
    <w:rsid w:val="00C46567"/>
    <w:rsid w:val="00C46940"/>
    <w:rsid w:val="00C470F6"/>
    <w:rsid w:val="00C47663"/>
    <w:rsid w:val="00C478C6"/>
    <w:rsid w:val="00C47F10"/>
    <w:rsid w:val="00C50F67"/>
    <w:rsid w:val="00C51245"/>
    <w:rsid w:val="00C51471"/>
    <w:rsid w:val="00C518D4"/>
    <w:rsid w:val="00C51CE8"/>
    <w:rsid w:val="00C51ECE"/>
    <w:rsid w:val="00C5273F"/>
    <w:rsid w:val="00C52F5C"/>
    <w:rsid w:val="00C52F97"/>
    <w:rsid w:val="00C53516"/>
    <w:rsid w:val="00C535FD"/>
    <w:rsid w:val="00C538FA"/>
    <w:rsid w:val="00C53B03"/>
    <w:rsid w:val="00C53B11"/>
    <w:rsid w:val="00C53DAD"/>
    <w:rsid w:val="00C542A0"/>
    <w:rsid w:val="00C54842"/>
    <w:rsid w:val="00C549C2"/>
    <w:rsid w:val="00C54DDF"/>
    <w:rsid w:val="00C55348"/>
    <w:rsid w:val="00C55B41"/>
    <w:rsid w:val="00C55DA3"/>
    <w:rsid w:val="00C56A15"/>
    <w:rsid w:val="00C56D2E"/>
    <w:rsid w:val="00C56E83"/>
    <w:rsid w:val="00C5707E"/>
    <w:rsid w:val="00C6018F"/>
    <w:rsid w:val="00C6028A"/>
    <w:rsid w:val="00C60365"/>
    <w:rsid w:val="00C60BB6"/>
    <w:rsid w:val="00C60FED"/>
    <w:rsid w:val="00C616E9"/>
    <w:rsid w:val="00C61895"/>
    <w:rsid w:val="00C61DAC"/>
    <w:rsid w:val="00C61F2D"/>
    <w:rsid w:val="00C62126"/>
    <w:rsid w:val="00C6221E"/>
    <w:rsid w:val="00C6254D"/>
    <w:rsid w:val="00C6342C"/>
    <w:rsid w:val="00C639B1"/>
    <w:rsid w:val="00C63BCF"/>
    <w:rsid w:val="00C63EA3"/>
    <w:rsid w:val="00C647E0"/>
    <w:rsid w:val="00C655E1"/>
    <w:rsid w:val="00C66143"/>
    <w:rsid w:val="00C66A79"/>
    <w:rsid w:val="00C66E5E"/>
    <w:rsid w:val="00C671A8"/>
    <w:rsid w:val="00C7003A"/>
    <w:rsid w:val="00C70829"/>
    <w:rsid w:val="00C70B1B"/>
    <w:rsid w:val="00C711B4"/>
    <w:rsid w:val="00C72E32"/>
    <w:rsid w:val="00C7356A"/>
    <w:rsid w:val="00C7455A"/>
    <w:rsid w:val="00C75506"/>
    <w:rsid w:val="00C75713"/>
    <w:rsid w:val="00C7624C"/>
    <w:rsid w:val="00C766BB"/>
    <w:rsid w:val="00C76BA2"/>
    <w:rsid w:val="00C771D7"/>
    <w:rsid w:val="00C7745E"/>
    <w:rsid w:val="00C8007B"/>
    <w:rsid w:val="00C80372"/>
    <w:rsid w:val="00C806A7"/>
    <w:rsid w:val="00C808BB"/>
    <w:rsid w:val="00C80DD1"/>
    <w:rsid w:val="00C812B0"/>
    <w:rsid w:val="00C815D5"/>
    <w:rsid w:val="00C81B84"/>
    <w:rsid w:val="00C81FC8"/>
    <w:rsid w:val="00C8287D"/>
    <w:rsid w:val="00C83238"/>
    <w:rsid w:val="00C8372F"/>
    <w:rsid w:val="00C83BC6"/>
    <w:rsid w:val="00C83E97"/>
    <w:rsid w:val="00C84288"/>
    <w:rsid w:val="00C84A2A"/>
    <w:rsid w:val="00C8581B"/>
    <w:rsid w:val="00C8629A"/>
    <w:rsid w:val="00C8634B"/>
    <w:rsid w:val="00C863E9"/>
    <w:rsid w:val="00C8657B"/>
    <w:rsid w:val="00C86B81"/>
    <w:rsid w:val="00C86CC5"/>
    <w:rsid w:val="00C90351"/>
    <w:rsid w:val="00C90D2D"/>
    <w:rsid w:val="00C90F70"/>
    <w:rsid w:val="00C91709"/>
    <w:rsid w:val="00C91979"/>
    <w:rsid w:val="00C91D8D"/>
    <w:rsid w:val="00C91DC9"/>
    <w:rsid w:val="00C921DB"/>
    <w:rsid w:val="00C92B82"/>
    <w:rsid w:val="00C92E7A"/>
    <w:rsid w:val="00C930FD"/>
    <w:rsid w:val="00C931B0"/>
    <w:rsid w:val="00C9334B"/>
    <w:rsid w:val="00C944D5"/>
    <w:rsid w:val="00C947AD"/>
    <w:rsid w:val="00C94962"/>
    <w:rsid w:val="00C94FED"/>
    <w:rsid w:val="00C9525E"/>
    <w:rsid w:val="00C95446"/>
    <w:rsid w:val="00C958BB"/>
    <w:rsid w:val="00C95A1E"/>
    <w:rsid w:val="00C95B4A"/>
    <w:rsid w:val="00C961F0"/>
    <w:rsid w:val="00C96AFB"/>
    <w:rsid w:val="00C97867"/>
    <w:rsid w:val="00C97F09"/>
    <w:rsid w:val="00CA0A70"/>
    <w:rsid w:val="00CA1444"/>
    <w:rsid w:val="00CA19EA"/>
    <w:rsid w:val="00CA2383"/>
    <w:rsid w:val="00CA2A69"/>
    <w:rsid w:val="00CA32FD"/>
    <w:rsid w:val="00CA3579"/>
    <w:rsid w:val="00CA38F5"/>
    <w:rsid w:val="00CA3A01"/>
    <w:rsid w:val="00CA4AE0"/>
    <w:rsid w:val="00CA4DD8"/>
    <w:rsid w:val="00CA612E"/>
    <w:rsid w:val="00CA6381"/>
    <w:rsid w:val="00CA6F3A"/>
    <w:rsid w:val="00CA79BD"/>
    <w:rsid w:val="00CA7B06"/>
    <w:rsid w:val="00CA7BBD"/>
    <w:rsid w:val="00CA7CA3"/>
    <w:rsid w:val="00CB006E"/>
    <w:rsid w:val="00CB0BE2"/>
    <w:rsid w:val="00CB1159"/>
    <w:rsid w:val="00CB13E6"/>
    <w:rsid w:val="00CB146B"/>
    <w:rsid w:val="00CB299E"/>
    <w:rsid w:val="00CB2C78"/>
    <w:rsid w:val="00CB2EFF"/>
    <w:rsid w:val="00CB2FF4"/>
    <w:rsid w:val="00CB3678"/>
    <w:rsid w:val="00CB41CF"/>
    <w:rsid w:val="00CB47FD"/>
    <w:rsid w:val="00CB4B64"/>
    <w:rsid w:val="00CB4D8F"/>
    <w:rsid w:val="00CB4FD3"/>
    <w:rsid w:val="00CB5250"/>
    <w:rsid w:val="00CB5830"/>
    <w:rsid w:val="00CB59A8"/>
    <w:rsid w:val="00CB6301"/>
    <w:rsid w:val="00CB6A83"/>
    <w:rsid w:val="00CB6E6A"/>
    <w:rsid w:val="00CB7D57"/>
    <w:rsid w:val="00CC0627"/>
    <w:rsid w:val="00CC0B38"/>
    <w:rsid w:val="00CC10A7"/>
    <w:rsid w:val="00CC1792"/>
    <w:rsid w:val="00CC20AD"/>
    <w:rsid w:val="00CC23FB"/>
    <w:rsid w:val="00CC26E1"/>
    <w:rsid w:val="00CC29CD"/>
    <w:rsid w:val="00CC306E"/>
    <w:rsid w:val="00CC33E0"/>
    <w:rsid w:val="00CC3FAB"/>
    <w:rsid w:val="00CC461C"/>
    <w:rsid w:val="00CC52AD"/>
    <w:rsid w:val="00CC5D77"/>
    <w:rsid w:val="00CC656B"/>
    <w:rsid w:val="00CC6A2D"/>
    <w:rsid w:val="00CC6D26"/>
    <w:rsid w:val="00CC7413"/>
    <w:rsid w:val="00CC7D6D"/>
    <w:rsid w:val="00CD08AA"/>
    <w:rsid w:val="00CD0AF5"/>
    <w:rsid w:val="00CD0B69"/>
    <w:rsid w:val="00CD151E"/>
    <w:rsid w:val="00CD1521"/>
    <w:rsid w:val="00CD1680"/>
    <w:rsid w:val="00CD1AE8"/>
    <w:rsid w:val="00CD29CE"/>
    <w:rsid w:val="00CD365F"/>
    <w:rsid w:val="00CD392D"/>
    <w:rsid w:val="00CD3980"/>
    <w:rsid w:val="00CD39AB"/>
    <w:rsid w:val="00CD3C9E"/>
    <w:rsid w:val="00CD3CB9"/>
    <w:rsid w:val="00CD3F1F"/>
    <w:rsid w:val="00CD4879"/>
    <w:rsid w:val="00CD48B1"/>
    <w:rsid w:val="00CD4FAF"/>
    <w:rsid w:val="00CD53E4"/>
    <w:rsid w:val="00CD5D69"/>
    <w:rsid w:val="00CD5EB9"/>
    <w:rsid w:val="00CD611A"/>
    <w:rsid w:val="00CD6CA1"/>
    <w:rsid w:val="00CD7BB4"/>
    <w:rsid w:val="00CE004A"/>
    <w:rsid w:val="00CE0370"/>
    <w:rsid w:val="00CE04D5"/>
    <w:rsid w:val="00CE09F1"/>
    <w:rsid w:val="00CE0AF1"/>
    <w:rsid w:val="00CE1B80"/>
    <w:rsid w:val="00CE1EBA"/>
    <w:rsid w:val="00CE24C6"/>
    <w:rsid w:val="00CE2E74"/>
    <w:rsid w:val="00CE3EEC"/>
    <w:rsid w:val="00CE4BAE"/>
    <w:rsid w:val="00CE5320"/>
    <w:rsid w:val="00CE59A9"/>
    <w:rsid w:val="00CE5BEF"/>
    <w:rsid w:val="00CE67EF"/>
    <w:rsid w:val="00CE68E9"/>
    <w:rsid w:val="00CE6986"/>
    <w:rsid w:val="00CE79AD"/>
    <w:rsid w:val="00CE7A97"/>
    <w:rsid w:val="00CE7FF6"/>
    <w:rsid w:val="00CF0BE6"/>
    <w:rsid w:val="00CF13FC"/>
    <w:rsid w:val="00CF192A"/>
    <w:rsid w:val="00CF2054"/>
    <w:rsid w:val="00CF2A31"/>
    <w:rsid w:val="00CF2CF1"/>
    <w:rsid w:val="00CF2F71"/>
    <w:rsid w:val="00CF2FBE"/>
    <w:rsid w:val="00CF361D"/>
    <w:rsid w:val="00CF3865"/>
    <w:rsid w:val="00CF3DDC"/>
    <w:rsid w:val="00CF41F0"/>
    <w:rsid w:val="00CF437A"/>
    <w:rsid w:val="00CF46DF"/>
    <w:rsid w:val="00CF4D80"/>
    <w:rsid w:val="00CF5CE4"/>
    <w:rsid w:val="00CF667F"/>
    <w:rsid w:val="00CF696A"/>
    <w:rsid w:val="00CF69D2"/>
    <w:rsid w:val="00CF6CDF"/>
    <w:rsid w:val="00CF765D"/>
    <w:rsid w:val="00CF7950"/>
    <w:rsid w:val="00D0061D"/>
    <w:rsid w:val="00D01003"/>
    <w:rsid w:val="00D01289"/>
    <w:rsid w:val="00D02998"/>
    <w:rsid w:val="00D02AF4"/>
    <w:rsid w:val="00D02F95"/>
    <w:rsid w:val="00D0370D"/>
    <w:rsid w:val="00D03F28"/>
    <w:rsid w:val="00D041DF"/>
    <w:rsid w:val="00D048B6"/>
    <w:rsid w:val="00D04C42"/>
    <w:rsid w:val="00D04EA5"/>
    <w:rsid w:val="00D05090"/>
    <w:rsid w:val="00D05B4B"/>
    <w:rsid w:val="00D06096"/>
    <w:rsid w:val="00D06821"/>
    <w:rsid w:val="00D06F91"/>
    <w:rsid w:val="00D070B5"/>
    <w:rsid w:val="00D10684"/>
    <w:rsid w:val="00D1071A"/>
    <w:rsid w:val="00D10C99"/>
    <w:rsid w:val="00D1168C"/>
    <w:rsid w:val="00D1187E"/>
    <w:rsid w:val="00D11A32"/>
    <w:rsid w:val="00D11E0B"/>
    <w:rsid w:val="00D12539"/>
    <w:rsid w:val="00D129B7"/>
    <w:rsid w:val="00D12F95"/>
    <w:rsid w:val="00D133AB"/>
    <w:rsid w:val="00D1419B"/>
    <w:rsid w:val="00D148BF"/>
    <w:rsid w:val="00D14967"/>
    <w:rsid w:val="00D14970"/>
    <w:rsid w:val="00D15337"/>
    <w:rsid w:val="00D153AC"/>
    <w:rsid w:val="00D153C1"/>
    <w:rsid w:val="00D159C8"/>
    <w:rsid w:val="00D15A16"/>
    <w:rsid w:val="00D16216"/>
    <w:rsid w:val="00D16373"/>
    <w:rsid w:val="00D16DED"/>
    <w:rsid w:val="00D17868"/>
    <w:rsid w:val="00D200C4"/>
    <w:rsid w:val="00D208DD"/>
    <w:rsid w:val="00D20EB4"/>
    <w:rsid w:val="00D21C38"/>
    <w:rsid w:val="00D21DA1"/>
    <w:rsid w:val="00D2201F"/>
    <w:rsid w:val="00D22429"/>
    <w:rsid w:val="00D225CA"/>
    <w:rsid w:val="00D22BDC"/>
    <w:rsid w:val="00D23540"/>
    <w:rsid w:val="00D23B44"/>
    <w:rsid w:val="00D23DA3"/>
    <w:rsid w:val="00D24738"/>
    <w:rsid w:val="00D24E8D"/>
    <w:rsid w:val="00D24FBF"/>
    <w:rsid w:val="00D2502F"/>
    <w:rsid w:val="00D250B0"/>
    <w:rsid w:val="00D25545"/>
    <w:rsid w:val="00D261A2"/>
    <w:rsid w:val="00D262F8"/>
    <w:rsid w:val="00D26510"/>
    <w:rsid w:val="00D266B5"/>
    <w:rsid w:val="00D26826"/>
    <w:rsid w:val="00D2733D"/>
    <w:rsid w:val="00D27D1F"/>
    <w:rsid w:val="00D30148"/>
    <w:rsid w:val="00D3092C"/>
    <w:rsid w:val="00D30B64"/>
    <w:rsid w:val="00D30BC8"/>
    <w:rsid w:val="00D311AD"/>
    <w:rsid w:val="00D31EC3"/>
    <w:rsid w:val="00D3280D"/>
    <w:rsid w:val="00D32D1A"/>
    <w:rsid w:val="00D33245"/>
    <w:rsid w:val="00D3376A"/>
    <w:rsid w:val="00D3394E"/>
    <w:rsid w:val="00D33CF7"/>
    <w:rsid w:val="00D34752"/>
    <w:rsid w:val="00D3486A"/>
    <w:rsid w:val="00D34C76"/>
    <w:rsid w:val="00D34CDA"/>
    <w:rsid w:val="00D35FD9"/>
    <w:rsid w:val="00D36685"/>
    <w:rsid w:val="00D36783"/>
    <w:rsid w:val="00D37CF3"/>
    <w:rsid w:val="00D40067"/>
    <w:rsid w:val="00D400B8"/>
    <w:rsid w:val="00D400BA"/>
    <w:rsid w:val="00D40415"/>
    <w:rsid w:val="00D404E2"/>
    <w:rsid w:val="00D40EB8"/>
    <w:rsid w:val="00D41199"/>
    <w:rsid w:val="00D41425"/>
    <w:rsid w:val="00D41CFA"/>
    <w:rsid w:val="00D41D05"/>
    <w:rsid w:val="00D428B1"/>
    <w:rsid w:val="00D43916"/>
    <w:rsid w:val="00D43F3E"/>
    <w:rsid w:val="00D44884"/>
    <w:rsid w:val="00D44AEE"/>
    <w:rsid w:val="00D44EC3"/>
    <w:rsid w:val="00D45909"/>
    <w:rsid w:val="00D4694D"/>
    <w:rsid w:val="00D47274"/>
    <w:rsid w:val="00D47F74"/>
    <w:rsid w:val="00D47FB3"/>
    <w:rsid w:val="00D5158C"/>
    <w:rsid w:val="00D5193F"/>
    <w:rsid w:val="00D51ADC"/>
    <w:rsid w:val="00D52D5C"/>
    <w:rsid w:val="00D52FA3"/>
    <w:rsid w:val="00D52FDD"/>
    <w:rsid w:val="00D53A22"/>
    <w:rsid w:val="00D53CAE"/>
    <w:rsid w:val="00D53E13"/>
    <w:rsid w:val="00D54A8B"/>
    <w:rsid w:val="00D54C29"/>
    <w:rsid w:val="00D54D2E"/>
    <w:rsid w:val="00D55292"/>
    <w:rsid w:val="00D558E7"/>
    <w:rsid w:val="00D561E6"/>
    <w:rsid w:val="00D561F3"/>
    <w:rsid w:val="00D56437"/>
    <w:rsid w:val="00D56836"/>
    <w:rsid w:val="00D5685B"/>
    <w:rsid w:val="00D568F8"/>
    <w:rsid w:val="00D57A44"/>
    <w:rsid w:val="00D604EB"/>
    <w:rsid w:val="00D60A55"/>
    <w:rsid w:val="00D619D8"/>
    <w:rsid w:val="00D61A7A"/>
    <w:rsid w:val="00D63171"/>
    <w:rsid w:val="00D63670"/>
    <w:rsid w:val="00D63680"/>
    <w:rsid w:val="00D63A48"/>
    <w:rsid w:val="00D63DC0"/>
    <w:rsid w:val="00D64178"/>
    <w:rsid w:val="00D6418C"/>
    <w:rsid w:val="00D649AE"/>
    <w:rsid w:val="00D64C47"/>
    <w:rsid w:val="00D656B3"/>
    <w:rsid w:val="00D65A5E"/>
    <w:rsid w:val="00D65AE0"/>
    <w:rsid w:val="00D65D5A"/>
    <w:rsid w:val="00D65E6D"/>
    <w:rsid w:val="00D65EFA"/>
    <w:rsid w:val="00D66301"/>
    <w:rsid w:val="00D66E54"/>
    <w:rsid w:val="00D6753F"/>
    <w:rsid w:val="00D70199"/>
    <w:rsid w:val="00D70AE9"/>
    <w:rsid w:val="00D70B30"/>
    <w:rsid w:val="00D70CD7"/>
    <w:rsid w:val="00D7133D"/>
    <w:rsid w:val="00D7136A"/>
    <w:rsid w:val="00D724AA"/>
    <w:rsid w:val="00D725E2"/>
    <w:rsid w:val="00D727E7"/>
    <w:rsid w:val="00D72CFD"/>
    <w:rsid w:val="00D72F9C"/>
    <w:rsid w:val="00D73EA0"/>
    <w:rsid w:val="00D741D5"/>
    <w:rsid w:val="00D74230"/>
    <w:rsid w:val="00D74493"/>
    <w:rsid w:val="00D74648"/>
    <w:rsid w:val="00D7524E"/>
    <w:rsid w:val="00D75489"/>
    <w:rsid w:val="00D75F17"/>
    <w:rsid w:val="00D76700"/>
    <w:rsid w:val="00D76ADB"/>
    <w:rsid w:val="00D77807"/>
    <w:rsid w:val="00D80823"/>
    <w:rsid w:val="00D80B21"/>
    <w:rsid w:val="00D81B79"/>
    <w:rsid w:val="00D81E6B"/>
    <w:rsid w:val="00D8225B"/>
    <w:rsid w:val="00D82A02"/>
    <w:rsid w:val="00D82A63"/>
    <w:rsid w:val="00D82BB2"/>
    <w:rsid w:val="00D82ECB"/>
    <w:rsid w:val="00D8477F"/>
    <w:rsid w:val="00D848B0"/>
    <w:rsid w:val="00D84EC8"/>
    <w:rsid w:val="00D84F4C"/>
    <w:rsid w:val="00D85418"/>
    <w:rsid w:val="00D854E3"/>
    <w:rsid w:val="00D8569F"/>
    <w:rsid w:val="00D856C4"/>
    <w:rsid w:val="00D85F7C"/>
    <w:rsid w:val="00D8717E"/>
    <w:rsid w:val="00D8766A"/>
    <w:rsid w:val="00D905C3"/>
    <w:rsid w:val="00D907B8"/>
    <w:rsid w:val="00D90AE3"/>
    <w:rsid w:val="00D91987"/>
    <w:rsid w:val="00D9278A"/>
    <w:rsid w:val="00D938BD"/>
    <w:rsid w:val="00D9394E"/>
    <w:rsid w:val="00D942E3"/>
    <w:rsid w:val="00D9477E"/>
    <w:rsid w:val="00D947B2"/>
    <w:rsid w:val="00D95761"/>
    <w:rsid w:val="00D95D44"/>
    <w:rsid w:val="00D964C3"/>
    <w:rsid w:val="00D96D11"/>
    <w:rsid w:val="00D96F1B"/>
    <w:rsid w:val="00D971D9"/>
    <w:rsid w:val="00D97CD9"/>
    <w:rsid w:val="00D97DA8"/>
    <w:rsid w:val="00D97F7B"/>
    <w:rsid w:val="00DA1323"/>
    <w:rsid w:val="00DA1A2F"/>
    <w:rsid w:val="00DA2305"/>
    <w:rsid w:val="00DA30C6"/>
    <w:rsid w:val="00DA3206"/>
    <w:rsid w:val="00DA343F"/>
    <w:rsid w:val="00DA437A"/>
    <w:rsid w:val="00DA5544"/>
    <w:rsid w:val="00DA578F"/>
    <w:rsid w:val="00DA5B05"/>
    <w:rsid w:val="00DA5D4C"/>
    <w:rsid w:val="00DA6732"/>
    <w:rsid w:val="00DA6739"/>
    <w:rsid w:val="00DA69FD"/>
    <w:rsid w:val="00DA6E1C"/>
    <w:rsid w:val="00DA6EEF"/>
    <w:rsid w:val="00DA7225"/>
    <w:rsid w:val="00DA76BA"/>
    <w:rsid w:val="00DA79B2"/>
    <w:rsid w:val="00DB071A"/>
    <w:rsid w:val="00DB07C2"/>
    <w:rsid w:val="00DB1FB3"/>
    <w:rsid w:val="00DB2967"/>
    <w:rsid w:val="00DB2994"/>
    <w:rsid w:val="00DB318E"/>
    <w:rsid w:val="00DB3C9F"/>
    <w:rsid w:val="00DB40A9"/>
    <w:rsid w:val="00DB40C4"/>
    <w:rsid w:val="00DB4174"/>
    <w:rsid w:val="00DB4416"/>
    <w:rsid w:val="00DB4573"/>
    <w:rsid w:val="00DB459D"/>
    <w:rsid w:val="00DB549B"/>
    <w:rsid w:val="00DB54B7"/>
    <w:rsid w:val="00DB6B6C"/>
    <w:rsid w:val="00DB7331"/>
    <w:rsid w:val="00DB7550"/>
    <w:rsid w:val="00DB7614"/>
    <w:rsid w:val="00DB7791"/>
    <w:rsid w:val="00DB7B7F"/>
    <w:rsid w:val="00DC0BAE"/>
    <w:rsid w:val="00DC0C42"/>
    <w:rsid w:val="00DC13AD"/>
    <w:rsid w:val="00DC36D2"/>
    <w:rsid w:val="00DC3BB6"/>
    <w:rsid w:val="00DC4569"/>
    <w:rsid w:val="00DC4BC0"/>
    <w:rsid w:val="00DC4BD0"/>
    <w:rsid w:val="00DC52D0"/>
    <w:rsid w:val="00DC62F2"/>
    <w:rsid w:val="00DC65E0"/>
    <w:rsid w:val="00DC68C0"/>
    <w:rsid w:val="00DC6CD8"/>
    <w:rsid w:val="00DC7421"/>
    <w:rsid w:val="00DC7F69"/>
    <w:rsid w:val="00DD01DA"/>
    <w:rsid w:val="00DD036F"/>
    <w:rsid w:val="00DD0944"/>
    <w:rsid w:val="00DD0981"/>
    <w:rsid w:val="00DD11B7"/>
    <w:rsid w:val="00DD1349"/>
    <w:rsid w:val="00DD1444"/>
    <w:rsid w:val="00DD14D5"/>
    <w:rsid w:val="00DD16F2"/>
    <w:rsid w:val="00DD1C76"/>
    <w:rsid w:val="00DD2292"/>
    <w:rsid w:val="00DD39D4"/>
    <w:rsid w:val="00DD3B3E"/>
    <w:rsid w:val="00DD3CD9"/>
    <w:rsid w:val="00DD3DA4"/>
    <w:rsid w:val="00DD41CB"/>
    <w:rsid w:val="00DD48C1"/>
    <w:rsid w:val="00DD4C35"/>
    <w:rsid w:val="00DD4E74"/>
    <w:rsid w:val="00DD548F"/>
    <w:rsid w:val="00DD5A74"/>
    <w:rsid w:val="00DD5CDC"/>
    <w:rsid w:val="00DD5D6B"/>
    <w:rsid w:val="00DD5F8B"/>
    <w:rsid w:val="00DD6097"/>
    <w:rsid w:val="00DD6136"/>
    <w:rsid w:val="00DD6179"/>
    <w:rsid w:val="00DD7160"/>
    <w:rsid w:val="00DD724D"/>
    <w:rsid w:val="00DD7DA3"/>
    <w:rsid w:val="00DD7FA5"/>
    <w:rsid w:val="00DE00BF"/>
    <w:rsid w:val="00DE0479"/>
    <w:rsid w:val="00DE051F"/>
    <w:rsid w:val="00DE0F26"/>
    <w:rsid w:val="00DE0F76"/>
    <w:rsid w:val="00DE132A"/>
    <w:rsid w:val="00DE17F5"/>
    <w:rsid w:val="00DE1816"/>
    <w:rsid w:val="00DE1A54"/>
    <w:rsid w:val="00DE1DF1"/>
    <w:rsid w:val="00DE1EAB"/>
    <w:rsid w:val="00DE285D"/>
    <w:rsid w:val="00DE2BFA"/>
    <w:rsid w:val="00DE2EB7"/>
    <w:rsid w:val="00DE336D"/>
    <w:rsid w:val="00DE3A22"/>
    <w:rsid w:val="00DE402C"/>
    <w:rsid w:val="00DE4374"/>
    <w:rsid w:val="00DE4436"/>
    <w:rsid w:val="00DE5170"/>
    <w:rsid w:val="00DE51A3"/>
    <w:rsid w:val="00DE5504"/>
    <w:rsid w:val="00DE58A5"/>
    <w:rsid w:val="00DE5A3A"/>
    <w:rsid w:val="00DE5FE1"/>
    <w:rsid w:val="00DE6ADF"/>
    <w:rsid w:val="00DE6B38"/>
    <w:rsid w:val="00DE765F"/>
    <w:rsid w:val="00DE7B6B"/>
    <w:rsid w:val="00DF089F"/>
    <w:rsid w:val="00DF15DD"/>
    <w:rsid w:val="00DF199F"/>
    <w:rsid w:val="00DF1A9D"/>
    <w:rsid w:val="00DF32A7"/>
    <w:rsid w:val="00DF372F"/>
    <w:rsid w:val="00DF4149"/>
    <w:rsid w:val="00DF4859"/>
    <w:rsid w:val="00DF516D"/>
    <w:rsid w:val="00DF5383"/>
    <w:rsid w:val="00DF54FE"/>
    <w:rsid w:val="00DF5512"/>
    <w:rsid w:val="00DF5816"/>
    <w:rsid w:val="00DF5903"/>
    <w:rsid w:val="00DF5BB8"/>
    <w:rsid w:val="00DF6702"/>
    <w:rsid w:val="00DF6C2D"/>
    <w:rsid w:val="00DF6C9A"/>
    <w:rsid w:val="00DF701E"/>
    <w:rsid w:val="00DF7C07"/>
    <w:rsid w:val="00E001BC"/>
    <w:rsid w:val="00E0057B"/>
    <w:rsid w:val="00E00619"/>
    <w:rsid w:val="00E00C72"/>
    <w:rsid w:val="00E0203D"/>
    <w:rsid w:val="00E02178"/>
    <w:rsid w:val="00E037F9"/>
    <w:rsid w:val="00E0423F"/>
    <w:rsid w:val="00E0461A"/>
    <w:rsid w:val="00E05698"/>
    <w:rsid w:val="00E05820"/>
    <w:rsid w:val="00E05910"/>
    <w:rsid w:val="00E06059"/>
    <w:rsid w:val="00E061F7"/>
    <w:rsid w:val="00E063E6"/>
    <w:rsid w:val="00E105BE"/>
    <w:rsid w:val="00E10912"/>
    <w:rsid w:val="00E10943"/>
    <w:rsid w:val="00E11637"/>
    <w:rsid w:val="00E13448"/>
    <w:rsid w:val="00E138B2"/>
    <w:rsid w:val="00E13AA2"/>
    <w:rsid w:val="00E13B69"/>
    <w:rsid w:val="00E13DBA"/>
    <w:rsid w:val="00E147E0"/>
    <w:rsid w:val="00E1511B"/>
    <w:rsid w:val="00E15E1A"/>
    <w:rsid w:val="00E16C8F"/>
    <w:rsid w:val="00E17041"/>
    <w:rsid w:val="00E1784D"/>
    <w:rsid w:val="00E17923"/>
    <w:rsid w:val="00E17DEE"/>
    <w:rsid w:val="00E200FF"/>
    <w:rsid w:val="00E211F9"/>
    <w:rsid w:val="00E21A3A"/>
    <w:rsid w:val="00E21C5E"/>
    <w:rsid w:val="00E223BB"/>
    <w:rsid w:val="00E22F76"/>
    <w:rsid w:val="00E23120"/>
    <w:rsid w:val="00E243F6"/>
    <w:rsid w:val="00E2494C"/>
    <w:rsid w:val="00E24A04"/>
    <w:rsid w:val="00E2593C"/>
    <w:rsid w:val="00E260E1"/>
    <w:rsid w:val="00E266BF"/>
    <w:rsid w:val="00E27342"/>
    <w:rsid w:val="00E275D8"/>
    <w:rsid w:val="00E27B4B"/>
    <w:rsid w:val="00E3017E"/>
    <w:rsid w:val="00E3067C"/>
    <w:rsid w:val="00E306B9"/>
    <w:rsid w:val="00E3159B"/>
    <w:rsid w:val="00E316BE"/>
    <w:rsid w:val="00E3188C"/>
    <w:rsid w:val="00E322AD"/>
    <w:rsid w:val="00E32477"/>
    <w:rsid w:val="00E32E86"/>
    <w:rsid w:val="00E33BE7"/>
    <w:rsid w:val="00E33D80"/>
    <w:rsid w:val="00E347B3"/>
    <w:rsid w:val="00E35142"/>
    <w:rsid w:val="00E35337"/>
    <w:rsid w:val="00E35342"/>
    <w:rsid w:val="00E35481"/>
    <w:rsid w:val="00E359B6"/>
    <w:rsid w:val="00E35B91"/>
    <w:rsid w:val="00E35CBD"/>
    <w:rsid w:val="00E3648F"/>
    <w:rsid w:val="00E364C3"/>
    <w:rsid w:val="00E36903"/>
    <w:rsid w:val="00E36F63"/>
    <w:rsid w:val="00E36F6E"/>
    <w:rsid w:val="00E375AB"/>
    <w:rsid w:val="00E37F99"/>
    <w:rsid w:val="00E401E9"/>
    <w:rsid w:val="00E4111C"/>
    <w:rsid w:val="00E417B7"/>
    <w:rsid w:val="00E41A25"/>
    <w:rsid w:val="00E41FEC"/>
    <w:rsid w:val="00E42074"/>
    <w:rsid w:val="00E42361"/>
    <w:rsid w:val="00E423E2"/>
    <w:rsid w:val="00E425C4"/>
    <w:rsid w:val="00E42B61"/>
    <w:rsid w:val="00E42C2C"/>
    <w:rsid w:val="00E42F86"/>
    <w:rsid w:val="00E432E0"/>
    <w:rsid w:val="00E43596"/>
    <w:rsid w:val="00E43AC5"/>
    <w:rsid w:val="00E43BAE"/>
    <w:rsid w:val="00E43C97"/>
    <w:rsid w:val="00E440E4"/>
    <w:rsid w:val="00E447AF"/>
    <w:rsid w:val="00E46212"/>
    <w:rsid w:val="00E463BA"/>
    <w:rsid w:val="00E46CBF"/>
    <w:rsid w:val="00E4737E"/>
    <w:rsid w:val="00E4788B"/>
    <w:rsid w:val="00E47E0B"/>
    <w:rsid w:val="00E50105"/>
    <w:rsid w:val="00E5025B"/>
    <w:rsid w:val="00E503DC"/>
    <w:rsid w:val="00E5046E"/>
    <w:rsid w:val="00E50E62"/>
    <w:rsid w:val="00E516B1"/>
    <w:rsid w:val="00E5174C"/>
    <w:rsid w:val="00E524C0"/>
    <w:rsid w:val="00E5280A"/>
    <w:rsid w:val="00E52E6E"/>
    <w:rsid w:val="00E533A7"/>
    <w:rsid w:val="00E53406"/>
    <w:rsid w:val="00E53411"/>
    <w:rsid w:val="00E5387E"/>
    <w:rsid w:val="00E53A88"/>
    <w:rsid w:val="00E5427B"/>
    <w:rsid w:val="00E54713"/>
    <w:rsid w:val="00E54B8E"/>
    <w:rsid w:val="00E54C67"/>
    <w:rsid w:val="00E54E97"/>
    <w:rsid w:val="00E55099"/>
    <w:rsid w:val="00E55296"/>
    <w:rsid w:val="00E5542F"/>
    <w:rsid w:val="00E55566"/>
    <w:rsid w:val="00E559E0"/>
    <w:rsid w:val="00E55CDB"/>
    <w:rsid w:val="00E55D6E"/>
    <w:rsid w:val="00E560C3"/>
    <w:rsid w:val="00E56563"/>
    <w:rsid w:val="00E5702F"/>
    <w:rsid w:val="00E57691"/>
    <w:rsid w:val="00E57827"/>
    <w:rsid w:val="00E6025B"/>
    <w:rsid w:val="00E6087E"/>
    <w:rsid w:val="00E616C0"/>
    <w:rsid w:val="00E61D0F"/>
    <w:rsid w:val="00E62123"/>
    <w:rsid w:val="00E6318C"/>
    <w:rsid w:val="00E6386F"/>
    <w:rsid w:val="00E63BC7"/>
    <w:rsid w:val="00E6445A"/>
    <w:rsid w:val="00E64737"/>
    <w:rsid w:val="00E64BFF"/>
    <w:rsid w:val="00E64C11"/>
    <w:rsid w:val="00E64CFA"/>
    <w:rsid w:val="00E64E90"/>
    <w:rsid w:val="00E6568F"/>
    <w:rsid w:val="00E656A1"/>
    <w:rsid w:val="00E65B64"/>
    <w:rsid w:val="00E66083"/>
    <w:rsid w:val="00E66177"/>
    <w:rsid w:val="00E66933"/>
    <w:rsid w:val="00E66A7E"/>
    <w:rsid w:val="00E66AD5"/>
    <w:rsid w:val="00E66BA8"/>
    <w:rsid w:val="00E66D96"/>
    <w:rsid w:val="00E66FDE"/>
    <w:rsid w:val="00E70119"/>
    <w:rsid w:val="00E70A3F"/>
    <w:rsid w:val="00E70FA3"/>
    <w:rsid w:val="00E718C2"/>
    <w:rsid w:val="00E72DAB"/>
    <w:rsid w:val="00E73471"/>
    <w:rsid w:val="00E73780"/>
    <w:rsid w:val="00E74F89"/>
    <w:rsid w:val="00E75101"/>
    <w:rsid w:val="00E7520A"/>
    <w:rsid w:val="00E755D8"/>
    <w:rsid w:val="00E7566D"/>
    <w:rsid w:val="00E756B1"/>
    <w:rsid w:val="00E76432"/>
    <w:rsid w:val="00E76BBB"/>
    <w:rsid w:val="00E77C96"/>
    <w:rsid w:val="00E77E85"/>
    <w:rsid w:val="00E77F51"/>
    <w:rsid w:val="00E80606"/>
    <w:rsid w:val="00E80626"/>
    <w:rsid w:val="00E81571"/>
    <w:rsid w:val="00E81711"/>
    <w:rsid w:val="00E8189A"/>
    <w:rsid w:val="00E819FF"/>
    <w:rsid w:val="00E81BF2"/>
    <w:rsid w:val="00E8209C"/>
    <w:rsid w:val="00E82FF0"/>
    <w:rsid w:val="00E83285"/>
    <w:rsid w:val="00E83766"/>
    <w:rsid w:val="00E84748"/>
    <w:rsid w:val="00E84907"/>
    <w:rsid w:val="00E84AAD"/>
    <w:rsid w:val="00E85778"/>
    <w:rsid w:val="00E85B9A"/>
    <w:rsid w:val="00E85CC0"/>
    <w:rsid w:val="00E85F41"/>
    <w:rsid w:val="00E86070"/>
    <w:rsid w:val="00E86462"/>
    <w:rsid w:val="00E864E7"/>
    <w:rsid w:val="00E87CBB"/>
    <w:rsid w:val="00E9032C"/>
    <w:rsid w:val="00E932AD"/>
    <w:rsid w:val="00E93A92"/>
    <w:rsid w:val="00E93D48"/>
    <w:rsid w:val="00E94138"/>
    <w:rsid w:val="00E94579"/>
    <w:rsid w:val="00E946E1"/>
    <w:rsid w:val="00E94C77"/>
    <w:rsid w:val="00E94DE4"/>
    <w:rsid w:val="00E953DD"/>
    <w:rsid w:val="00E95998"/>
    <w:rsid w:val="00E95EAB"/>
    <w:rsid w:val="00E96054"/>
    <w:rsid w:val="00E962CA"/>
    <w:rsid w:val="00E97FEB"/>
    <w:rsid w:val="00EA072F"/>
    <w:rsid w:val="00EA0756"/>
    <w:rsid w:val="00EA0805"/>
    <w:rsid w:val="00EA081A"/>
    <w:rsid w:val="00EA083A"/>
    <w:rsid w:val="00EA0F83"/>
    <w:rsid w:val="00EA1324"/>
    <w:rsid w:val="00EA152A"/>
    <w:rsid w:val="00EA169F"/>
    <w:rsid w:val="00EA1A03"/>
    <w:rsid w:val="00EA1E31"/>
    <w:rsid w:val="00EA25AD"/>
    <w:rsid w:val="00EA3667"/>
    <w:rsid w:val="00EA399C"/>
    <w:rsid w:val="00EA3CA8"/>
    <w:rsid w:val="00EA463C"/>
    <w:rsid w:val="00EA4C82"/>
    <w:rsid w:val="00EA56F8"/>
    <w:rsid w:val="00EA5A54"/>
    <w:rsid w:val="00EA64A3"/>
    <w:rsid w:val="00EB0083"/>
    <w:rsid w:val="00EB0117"/>
    <w:rsid w:val="00EB0B50"/>
    <w:rsid w:val="00EB0BA6"/>
    <w:rsid w:val="00EB1827"/>
    <w:rsid w:val="00EB2248"/>
    <w:rsid w:val="00EB2292"/>
    <w:rsid w:val="00EB22F2"/>
    <w:rsid w:val="00EB249E"/>
    <w:rsid w:val="00EB284A"/>
    <w:rsid w:val="00EB298F"/>
    <w:rsid w:val="00EB2B2A"/>
    <w:rsid w:val="00EB2CDF"/>
    <w:rsid w:val="00EB2FAB"/>
    <w:rsid w:val="00EB3CDE"/>
    <w:rsid w:val="00EB53C9"/>
    <w:rsid w:val="00EB569A"/>
    <w:rsid w:val="00EB57FB"/>
    <w:rsid w:val="00EB58B8"/>
    <w:rsid w:val="00EB5A3E"/>
    <w:rsid w:val="00EB5DDD"/>
    <w:rsid w:val="00EB6764"/>
    <w:rsid w:val="00EB717E"/>
    <w:rsid w:val="00EB7CF8"/>
    <w:rsid w:val="00EB7D63"/>
    <w:rsid w:val="00EB7F41"/>
    <w:rsid w:val="00EC046C"/>
    <w:rsid w:val="00EC0E8E"/>
    <w:rsid w:val="00EC0FFF"/>
    <w:rsid w:val="00EC10AA"/>
    <w:rsid w:val="00EC118E"/>
    <w:rsid w:val="00EC1638"/>
    <w:rsid w:val="00EC1AD3"/>
    <w:rsid w:val="00EC1CD2"/>
    <w:rsid w:val="00EC28C4"/>
    <w:rsid w:val="00EC31B0"/>
    <w:rsid w:val="00EC320F"/>
    <w:rsid w:val="00EC35B2"/>
    <w:rsid w:val="00EC3846"/>
    <w:rsid w:val="00EC3CAE"/>
    <w:rsid w:val="00EC3F9E"/>
    <w:rsid w:val="00EC54AF"/>
    <w:rsid w:val="00EC5EF9"/>
    <w:rsid w:val="00EC6261"/>
    <w:rsid w:val="00EC6AD9"/>
    <w:rsid w:val="00EC7026"/>
    <w:rsid w:val="00EC785C"/>
    <w:rsid w:val="00EC7A8B"/>
    <w:rsid w:val="00EC7C5D"/>
    <w:rsid w:val="00ED07BF"/>
    <w:rsid w:val="00ED0963"/>
    <w:rsid w:val="00ED0BDD"/>
    <w:rsid w:val="00ED11C6"/>
    <w:rsid w:val="00ED1D41"/>
    <w:rsid w:val="00ED30BC"/>
    <w:rsid w:val="00ED4A29"/>
    <w:rsid w:val="00ED4CA8"/>
    <w:rsid w:val="00ED51D2"/>
    <w:rsid w:val="00ED56C8"/>
    <w:rsid w:val="00ED6257"/>
    <w:rsid w:val="00ED62BB"/>
    <w:rsid w:val="00ED6AEE"/>
    <w:rsid w:val="00ED6F25"/>
    <w:rsid w:val="00ED75EE"/>
    <w:rsid w:val="00ED7DB9"/>
    <w:rsid w:val="00ED7E36"/>
    <w:rsid w:val="00EE088E"/>
    <w:rsid w:val="00EE0D06"/>
    <w:rsid w:val="00EE29EC"/>
    <w:rsid w:val="00EE2FD3"/>
    <w:rsid w:val="00EE3752"/>
    <w:rsid w:val="00EE3A59"/>
    <w:rsid w:val="00EE4570"/>
    <w:rsid w:val="00EE4763"/>
    <w:rsid w:val="00EE484D"/>
    <w:rsid w:val="00EE4901"/>
    <w:rsid w:val="00EE495E"/>
    <w:rsid w:val="00EE52BC"/>
    <w:rsid w:val="00EE5670"/>
    <w:rsid w:val="00EE58F3"/>
    <w:rsid w:val="00EE59AF"/>
    <w:rsid w:val="00EE5FE4"/>
    <w:rsid w:val="00EE665E"/>
    <w:rsid w:val="00EE7272"/>
    <w:rsid w:val="00EE74A5"/>
    <w:rsid w:val="00EE772E"/>
    <w:rsid w:val="00EE7BD8"/>
    <w:rsid w:val="00EF16D9"/>
    <w:rsid w:val="00EF1732"/>
    <w:rsid w:val="00EF1734"/>
    <w:rsid w:val="00EF3B49"/>
    <w:rsid w:val="00EF3CFE"/>
    <w:rsid w:val="00EF3DCC"/>
    <w:rsid w:val="00EF4430"/>
    <w:rsid w:val="00EF4F3D"/>
    <w:rsid w:val="00EF5A96"/>
    <w:rsid w:val="00EF5DD8"/>
    <w:rsid w:val="00EF5EB2"/>
    <w:rsid w:val="00EF6755"/>
    <w:rsid w:val="00EF6B15"/>
    <w:rsid w:val="00EF6CD5"/>
    <w:rsid w:val="00EF70B6"/>
    <w:rsid w:val="00EF7443"/>
    <w:rsid w:val="00EF7992"/>
    <w:rsid w:val="00EF79CE"/>
    <w:rsid w:val="00EF7A4B"/>
    <w:rsid w:val="00F00594"/>
    <w:rsid w:val="00F009B4"/>
    <w:rsid w:val="00F00AAC"/>
    <w:rsid w:val="00F00BB6"/>
    <w:rsid w:val="00F0147F"/>
    <w:rsid w:val="00F026DB"/>
    <w:rsid w:val="00F02CE0"/>
    <w:rsid w:val="00F0333E"/>
    <w:rsid w:val="00F04178"/>
    <w:rsid w:val="00F04614"/>
    <w:rsid w:val="00F055E7"/>
    <w:rsid w:val="00F06921"/>
    <w:rsid w:val="00F07097"/>
    <w:rsid w:val="00F07483"/>
    <w:rsid w:val="00F075D6"/>
    <w:rsid w:val="00F10D77"/>
    <w:rsid w:val="00F111BB"/>
    <w:rsid w:val="00F129FA"/>
    <w:rsid w:val="00F12EED"/>
    <w:rsid w:val="00F1310E"/>
    <w:rsid w:val="00F1377A"/>
    <w:rsid w:val="00F1378B"/>
    <w:rsid w:val="00F13C8F"/>
    <w:rsid w:val="00F151CE"/>
    <w:rsid w:val="00F153DE"/>
    <w:rsid w:val="00F15618"/>
    <w:rsid w:val="00F157FA"/>
    <w:rsid w:val="00F15FB8"/>
    <w:rsid w:val="00F160C8"/>
    <w:rsid w:val="00F1687A"/>
    <w:rsid w:val="00F17091"/>
    <w:rsid w:val="00F1731C"/>
    <w:rsid w:val="00F1779B"/>
    <w:rsid w:val="00F17C3A"/>
    <w:rsid w:val="00F17C5D"/>
    <w:rsid w:val="00F20206"/>
    <w:rsid w:val="00F2022C"/>
    <w:rsid w:val="00F2113B"/>
    <w:rsid w:val="00F21227"/>
    <w:rsid w:val="00F22341"/>
    <w:rsid w:val="00F22A11"/>
    <w:rsid w:val="00F22B9D"/>
    <w:rsid w:val="00F23FB7"/>
    <w:rsid w:val="00F23FBC"/>
    <w:rsid w:val="00F240B5"/>
    <w:rsid w:val="00F24652"/>
    <w:rsid w:val="00F24EE8"/>
    <w:rsid w:val="00F25157"/>
    <w:rsid w:val="00F2542A"/>
    <w:rsid w:val="00F258BD"/>
    <w:rsid w:val="00F27478"/>
    <w:rsid w:val="00F2773B"/>
    <w:rsid w:val="00F27EB2"/>
    <w:rsid w:val="00F301C3"/>
    <w:rsid w:val="00F30437"/>
    <w:rsid w:val="00F30C76"/>
    <w:rsid w:val="00F30DD8"/>
    <w:rsid w:val="00F31939"/>
    <w:rsid w:val="00F32459"/>
    <w:rsid w:val="00F325A7"/>
    <w:rsid w:val="00F3334F"/>
    <w:rsid w:val="00F33456"/>
    <w:rsid w:val="00F33968"/>
    <w:rsid w:val="00F339A7"/>
    <w:rsid w:val="00F34705"/>
    <w:rsid w:val="00F34C6B"/>
    <w:rsid w:val="00F34DC7"/>
    <w:rsid w:val="00F35768"/>
    <w:rsid w:val="00F366B8"/>
    <w:rsid w:val="00F40C6A"/>
    <w:rsid w:val="00F41151"/>
    <w:rsid w:val="00F4359F"/>
    <w:rsid w:val="00F43896"/>
    <w:rsid w:val="00F43B72"/>
    <w:rsid w:val="00F44343"/>
    <w:rsid w:val="00F4436E"/>
    <w:rsid w:val="00F44E0D"/>
    <w:rsid w:val="00F452E8"/>
    <w:rsid w:val="00F45C81"/>
    <w:rsid w:val="00F46541"/>
    <w:rsid w:val="00F4665B"/>
    <w:rsid w:val="00F477CE"/>
    <w:rsid w:val="00F477D6"/>
    <w:rsid w:val="00F47DFA"/>
    <w:rsid w:val="00F47FA1"/>
    <w:rsid w:val="00F50476"/>
    <w:rsid w:val="00F50838"/>
    <w:rsid w:val="00F5149A"/>
    <w:rsid w:val="00F51F56"/>
    <w:rsid w:val="00F52190"/>
    <w:rsid w:val="00F52270"/>
    <w:rsid w:val="00F524A8"/>
    <w:rsid w:val="00F52C8E"/>
    <w:rsid w:val="00F52FCC"/>
    <w:rsid w:val="00F536B7"/>
    <w:rsid w:val="00F537FA"/>
    <w:rsid w:val="00F547A8"/>
    <w:rsid w:val="00F54F6A"/>
    <w:rsid w:val="00F54F8C"/>
    <w:rsid w:val="00F55B50"/>
    <w:rsid w:val="00F565B8"/>
    <w:rsid w:val="00F565EC"/>
    <w:rsid w:val="00F56C63"/>
    <w:rsid w:val="00F56FBF"/>
    <w:rsid w:val="00F57334"/>
    <w:rsid w:val="00F57371"/>
    <w:rsid w:val="00F579CA"/>
    <w:rsid w:val="00F57C72"/>
    <w:rsid w:val="00F57CA8"/>
    <w:rsid w:val="00F6087C"/>
    <w:rsid w:val="00F60F9E"/>
    <w:rsid w:val="00F6175A"/>
    <w:rsid w:val="00F618F4"/>
    <w:rsid w:val="00F61BBB"/>
    <w:rsid w:val="00F62515"/>
    <w:rsid w:val="00F625E9"/>
    <w:rsid w:val="00F6286E"/>
    <w:rsid w:val="00F62A19"/>
    <w:rsid w:val="00F62C88"/>
    <w:rsid w:val="00F635E4"/>
    <w:rsid w:val="00F637BE"/>
    <w:rsid w:val="00F63C70"/>
    <w:rsid w:val="00F644C7"/>
    <w:rsid w:val="00F64EE3"/>
    <w:rsid w:val="00F653F6"/>
    <w:rsid w:val="00F6540C"/>
    <w:rsid w:val="00F657A7"/>
    <w:rsid w:val="00F65BEF"/>
    <w:rsid w:val="00F65C2F"/>
    <w:rsid w:val="00F6600A"/>
    <w:rsid w:val="00F664BF"/>
    <w:rsid w:val="00F666B3"/>
    <w:rsid w:val="00F66E00"/>
    <w:rsid w:val="00F66E10"/>
    <w:rsid w:val="00F6755B"/>
    <w:rsid w:val="00F67580"/>
    <w:rsid w:val="00F67D8F"/>
    <w:rsid w:val="00F67EC0"/>
    <w:rsid w:val="00F7059B"/>
    <w:rsid w:val="00F71B39"/>
    <w:rsid w:val="00F71C65"/>
    <w:rsid w:val="00F71D56"/>
    <w:rsid w:val="00F72029"/>
    <w:rsid w:val="00F72427"/>
    <w:rsid w:val="00F734E1"/>
    <w:rsid w:val="00F7356B"/>
    <w:rsid w:val="00F738F7"/>
    <w:rsid w:val="00F73BFB"/>
    <w:rsid w:val="00F73CCA"/>
    <w:rsid w:val="00F740EE"/>
    <w:rsid w:val="00F74FC1"/>
    <w:rsid w:val="00F754DB"/>
    <w:rsid w:val="00F75C6B"/>
    <w:rsid w:val="00F75FCB"/>
    <w:rsid w:val="00F76715"/>
    <w:rsid w:val="00F771CA"/>
    <w:rsid w:val="00F7734B"/>
    <w:rsid w:val="00F778AF"/>
    <w:rsid w:val="00F779D7"/>
    <w:rsid w:val="00F77EEF"/>
    <w:rsid w:val="00F80066"/>
    <w:rsid w:val="00F80537"/>
    <w:rsid w:val="00F80ADB"/>
    <w:rsid w:val="00F80DB4"/>
    <w:rsid w:val="00F81A6E"/>
    <w:rsid w:val="00F81CCD"/>
    <w:rsid w:val="00F81D0A"/>
    <w:rsid w:val="00F82047"/>
    <w:rsid w:val="00F82394"/>
    <w:rsid w:val="00F823CC"/>
    <w:rsid w:val="00F823F4"/>
    <w:rsid w:val="00F83432"/>
    <w:rsid w:val="00F842BE"/>
    <w:rsid w:val="00F84477"/>
    <w:rsid w:val="00F84E5F"/>
    <w:rsid w:val="00F84ED9"/>
    <w:rsid w:val="00F852F2"/>
    <w:rsid w:val="00F85913"/>
    <w:rsid w:val="00F85A4C"/>
    <w:rsid w:val="00F86702"/>
    <w:rsid w:val="00F86A5A"/>
    <w:rsid w:val="00F86B33"/>
    <w:rsid w:val="00F86C82"/>
    <w:rsid w:val="00F86DD6"/>
    <w:rsid w:val="00F87128"/>
    <w:rsid w:val="00F9069E"/>
    <w:rsid w:val="00F9279D"/>
    <w:rsid w:val="00F93101"/>
    <w:rsid w:val="00F9387C"/>
    <w:rsid w:val="00F938AF"/>
    <w:rsid w:val="00F93A8B"/>
    <w:rsid w:val="00F93F82"/>
    <w:rsid w:val="00F94116"/>
    <w:rsid w:val="00F94606"/>
    <w:rsid w:val="00F94741"/>
    <w:rsid w:val="00F94845"/>
    <w:rsid w:val="00F94A45"/>
    <w:rsid w:val="00F94CF9"/>
    <w:rsid w:val="00F953BA"/>
    <w:rsid w:val="00F958B4"/>
    <w:rsid w:val="00F96468"/>
    <w:rsid w:val="00F964B5"/>
    <w:rsid w:val="00F96AFA"/>
    <w:rsid w:val="00F9702C"/>
    <w:rsid w:val="00F970AB"/>
    <w:rsid w:val="00F97116"/>
    <w:rsid w:val="00F97165"/>
    <w:rsid w:val="00F971CE"/>
    <w:rsid w:val="00F975FA"/>
    <w:rsid w:val="00F97627"/>
    <w:rsid w:val="00F97FD7"/>
    <w:rsid w:val="00FA0834"/>
    <w:rsid w:val="00FA0865"/>
    <w:rsid w:val="00FA0D4C"/>
    <w:rsid w:val="00FA0F5A"/>
    <w:rsid w:val="00FA1926"/>
    <w:rsid w:val="00FA1AF6"/>
    <w:rsid w:val="00FA1BDE"/>
    <w:rsid w:val="00FA1C56"/>
    <w:rsid w:val="00FA2599"/>
    <w:rsid w:val="00FA2942"/>
    <w:rsid w:val="00FA296D"/>
    <w:rsid w:val="00FA2D9E"/>
    <w:rsid w:val="00FA411C"/>
    <w:rsid w:val="00FA423E"/>
    <w:rsid w:val="00FA43A0"/>
    <w:rsid w:val="00FA44A5"/>
    <w:rsid w:val="00FA47FC"/>
    <w:rsid w:val="00FA4A56"/>
    <w:rsid w:val="00FA4DD2"/>
    <w:rsid w:val="00FA5097"/>
    <w:rsid w:val="00FA5682"/>
    <w:rsid w:val="00FA5E99"/>
    <w:rsid w:val="00FA5F08"/>
    <w:rsid w:val="00FA5FBF"/>
    <w:rsid w:val="00FA6446"/>
    <w:rsid w:val="00FA6966"/>
    <w:rsid w:val="00FA7490"/>
    <w:rsid w:val="00FB0035"/>
    <w:rsid w:val="00FB0089"/>
    <w:rsid w:val="00FB025F"/>
    <w:rsid w:val="00FB09CF"/>
    <w:rsid w:val="00FB0F59"/>
    <w:rsid w:val="00FB1023"/>
    <w:rsid w:val="00FB1983"/>
    <w:rsid w:val="00FB1C27"/>
    <w:rsid w:val="00FB209A"/>
    <w:rsid w:val="00FB223E"/>
    <w:rsid w:val="00FB3024"/>
    <w:rsid w:val="00FB333C"/>
    <w:rsid w:val="00FB3591"/>
    <w:rsid w:val="00FB3FF5"/>
    <w:rsid w:val="00FB4070"/>
    <w:rsid w:val="00FB5270"/>
    <w:rsid w:val="00FB5282"/>
    <w:rsid w:val="00FB6274"/>
    <w:rsid w:val="00FB646C"/>
    <w:rsid w:val="00FB693F"/>
    <w:rsid w:val="00FB694F"/>
    <w:rsid w:val="00FC014F"/>
    <w:rsid w:val="00FC1DB4"/>
    <w:rsid w:val="00FC29D6"/>
    <w:rsid w:val="00FC3C05"/>
    <w:rsid w:val="00FC4524"/>
    <w:rsid w:val="00FC4D0D"/>
    <w:rsid w:val="00FC4E0B"/>
    <w:rsid w:val="00FC5080"/>
    <w:rsid w:val="00FC6402"/>
    <w:rsid w:val="00FC6425"/>
    <w:rsid w:val="00FC681A"/>
    <w:rsid w:val="00FC7039"/>
    <w:rsid w:val="00FC72B4"/>
    <w:rsid w:val="00FC7851"/>
    <w:rsid w:val="00FC78A6"/>
    <w:rsid w:val="00FC7C7D"/>
    <w:rsid w:val="00FD00B5"/>
    <w:rsid w:val="00FD0B65"/>
    <w:rsid w:val="00FD0C98"/>
    <w:rsid w:val="00FD0E39"/>
    <w:rsid w:val="00FD1ED5"/>
    <w:rsid w:val="00FD2099"/>
    <w:rsid w:val="00FD23F3"/>
    <w:rsid w:val="00FD256C"/>
    <w:rsid w:val="00FD2EC2"/>
    <w:rsid w:val="00FD2FDD"/>
    <w:rsid w:val="00FD3187"/>
    <w:rsid w:val="00FD40B8"/>
    <w:rsid w:val="00FD4627"/>
    <w:rsid w:val="00FD4BC8"/>
    <w:rsid w:val="00FD5B0C"/>
    <w:rsid w:val="00FD5E1F"/>
    <w:rsid w:val="00FD68BB"/>
    <w:rsid w:val="00FD6C04"/>
    <w:rsid w:val="00FD72CC"/>
    <w:rsid w:val="00FD763C"/>
    <w:rsid w:val="00FE025D"/>
    <w:rsid w:val="00FE0977"/>
    <w:rsid w:val="00FE0A29"/>
    <w:rsid w:val="00FE1000"/>
    <w:rsid w:val="00FE1A3D"/>
    <w:rsid w:val="00FE2839"/>
    <w:rsid w:val="00FE2C2C"/>
    <w:rsid w:val="00FE2DB6"/>
    <w:rsid w:val="00FE33AF"/>
    <w:rsid w:val="00FE3861"/>
    <w:rsid w:val="00FE3F9A"/>
    <w:rsid w:val="00FE45FF"/>
    <w:rsid w:val="00FE46FC"/>
    <w:rsid w:val="00FE4924"/>
    <w:rsid w:val="00FE4B73"/>
    <w:rsid w:val="00FE4B8C"/>
    <w:rsid w:val="00FE5576"/>
    <w:rsid w:val="00FE5B0C"/>
    <w:rsid w:val="00FE6329"/>
    <w:rsid w:val="00FE6773"/>
    <w:rsid w:val="00FE7436"/>
    <w:rsid w:val="00FE74AE"/>
    <w:rsid w:val="00FE768A"/>
    <w:rsid w:val="00FE7FB5"/>
    <w:rsid w:val="00FF0061"/>
    <w:rsid w:val="00FF0209"/>
    <w:rsid w:val="00FF0257"/>
    <w:rsid w:val="00FF0A40"/>
    <w:rsid w:val="00FF0C03"/>
    <w:rsid w:val="00FF0CFF"/>
    <w:rsid w:val="00FF15D2"/>
    <w:rsid w:val="00FF211D"/>
    <w:rsid w:val="00FF2481"/>
    <w:rsid w:val="00FF252B"/>
    <w:rsid w:val="00FF2EBE"/>
    <w:rsid w:val="00FF31BA"/>
    <w:rsid w:val="00FF33C2"/>
    <w:rsid w:val="00FF397C"/>
    <w:rsid w:val="00FF4612"/>
    <w:rsid w:val="00FF47D4"/>
    <w:rsid w:val="00FF49BE"/>
    <w:rsid w:val="00FF4CD9"/>
    <w:rsid w:val="00FF589F"/>
    <w:rsid w:val="00FF5B0F"/>
    <w:rsid w:val="00FF667A"/>
    <w:rsid w:val="00FF6B86"/>
    <w:rsid w:val="00FF6C43"/>
    <w:rsid w:val="00FF6DDB"/>
    <w:rsid w:val="00FF73A7"/>
    <w:rsid w:val="00FF73CD"/>
    <w:rsid w:val="00FF75A1"/>
    <w:rsid w:val="00FF777A"/>
    <w:rsid w:val="00FF786D"/>
    <w:rsid w:val="00FF7E77"/>
    <w:rsid w:val="00FF7F20"/>
    <w:rsid w:val="036B4DCB"/>
    <w:rsid w:val="0ED0CA64"/>
    <w:rsid w:val="15839406"/>
    <w:rsid w:val="16787215"/>
    <w:rsid w:val="1B6EEEC9"/>
    <w:rsid w:val="1D8C38F0"/>
    <w:rsid w:val="239A6410"/>
    <w:rsid w:val="24D288C5"/>
    <w:rsid w:val="34182080"/>
    <w:rsid w:val="34CAD13C"/>
    <w:rsid w:val="35A25D00"/>
    <w:rsid w:val="374FA622"/>
    <w:rsid w:val="37564677"/>
    <w:rsid w:val="3A3DD9E4"/>
    <w:rsid w:val="3BEC3938"/>
    <w:rsid w:val="3CE6E54F"/>
    <w:rsid w:val="3D4EC99C"/>
    <w:rsid w:val="48756899"/>
    <w:rsid w:val="4A443638"/>
    <w:rsid w:val="4EA7A6F3"/>
    <w:rsid w:val="58E0EA27"/>
    <w:rsid w:val="5A52B006"/>
    <w:rsid w:val="5AB6F659"/>
    <w:rsid w:val="5D3457CA"/>
    <w:rsid w:val="5E61AF21"/>
    <w:rsid w:val="6811AEFD"/>
    <w:rsid w:val="6EF5C845"/>
    <w:rsid w:val="737B3317"/>
    <w:rsid w:val="7615F530"/>
    <w:rsid w:val="76294837"/>
    <w:rsid w:val="79231167"/>
    <w:rsid w:val="7DA47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35F761"/>
  <w15:docId w15:val="{F95FDBE8-C30D-47F1-A3DE-BE4AE4EDF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iPriority="99"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iPriority="99" w:unhideWhenUsed="1"/>
    <w:lsdException w:name="envelope address" w:locked="1" w:semiHidden="1" w:unhideWhenUsed="1"/>
    <w:lsdException w:name="envelope return" w:locked="1" w:semiHidden="1" w:unhideWhenUsed="1"/>
    <w:lsdException w:name="footnote reference" w:locked="1" w:semiHidden="1" w:uiPriority="99" w:unhideWhenUsed="1" w:qFormat="1"/>
    <w:lsdException w:name="annotation reference" w:locked="1" w:semiHidden="1" w:unhideWhenUsed="1"/>
    <w:lsdException w:name="line number" w:locked="1" w:semiHidden="1" w:uiPriority="99"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qFormat="1"/>
    <w:lsdException w:name="List Number" w:locked="1" w:semiHidden="1"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Document Map" w:locked="1" w:semiHidden="1" w:unhideWhenUsed="1"/>
    <w:lsdException w:name="Plain Text" w:locked="1" w:semiHidden="1" w:unhideWhenUsed="1"/>
    <w:lsdException w:name="E-mail Signature" w:locked="1" w:semiHidden="1" w:unhideWhenUsed="1"/>
    <w:lsdException w:name="HTML Top of Form" w:locked="1" w:semiHidden="1" w:uiPriority="99" w:unhideWhenUsed="1"/>
    <w:lsdException w:name="HTML Bottom of Form" w:locked="1" w:semiHidden="1" w:uiPriority="99" w:unhideWhenUsed="1"/>
    <w:lsdException w:name="Normal (Web)" w:locked="1" w:semiHidden="1" w:uiPriority="99" w:unhideWhenUsed="1"/>
    <w:lsdException w:name="HTML Acronym" w:locked="1" w:semiHidden="1" w:uiPriority="99" w:unhideWhenUsed="1"/>
    <w:lsdException w:name="HTML Address" w:locked="1" w:semiHidden="1"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nhideWhenUsed="1"/>
    <w:lsdException w:name="HTML Sample" w:locked="1" w:semiHidden="1" w:uiPriority="99" w:unhideWhenUsed="1"/>
    <w:lsdException w:name="HTML Typewriter" w:locked="1" w:semiHidden="1" w:uiPriority="99" w:unhideWhenUsed="1"/>
    <w:lsdException w:name="HTML Variable" w:locked="1" w:semiHidden="1" w:uiPriority="99" w:unhideWhenUsed="1"/>
    <w:lsdException w:name="Normal Table" w:locked="1" w:semiHidden="1" w:uiPriority="99" w:unhideWhenUsed="1"/>
    <w:lsdException w:name="annotation subject" w:locked="1"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nhideWhenUsed="1"/>
    <w:lsdException w:name="Table List 5" w:locked="1" w:semiHidden="1" w:uiPriority="99" w:unhideWhenUsed="1"/>
    <w:lsdException w:name="Table List 6" w:locked="1" w:semiHidden="1" w:uiPriority="99" w:unhideWhenUsed="1"/>
    <w:lsdException w:name="Table List 7" w:locked="1" w:semiHidden="1"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nhideWhenUsed="1"/>
    <w:lsdException w:name="Table Web 3" w:locked="1" w:semiHidden="1" w:uiPriority="99" w:unhideWhenUsed="1"/>
    <w:lsdException w:name="Balloon Text" w:locked="1" w:semiHidden="1" w:unhideWhenUsed="1"/>
    <w:lsdException w:name="Table Grid"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99"/>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99" w:qFormat="1"/>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06B4"/>
    <w:pPr>
      <w:suppressAutoHyphens/>
      <w:autoSpaceDN w:val="0"/>
      <w:spacing w:before="120" w:after="120"/>
    </w:pPr>
    <w:rPr>
      <w:rFonts w:ascii="Arial" w:hAnsi="Arial"/>
      <w:sz w:val="22"/>
      <w:szCs w:val="24"/>
    </w:rPr>
  </w:style>
  <w:style w:type="paragraph" w:styleId="Heading10">
    <w:name w:val="heading 1"/>
    <w:basedOn w:val="GHBodytext"/>
    <w:next w:val="GHBodytext"/>
    <w:link w:val="Heading1Char"/>
    <w:autoRedefine/>
    <w:qFormat/>
    <w:rsid w:val="00141312"/>
    <w:pPr>
      <w:keepNext/>
      <w:numPr>
        <w:numId w:val="59"/>
      </w:numPr>
      <w:ind w:left="0" w:firstLine="0"/>
      <w:outlineLvl w:val="0"/>
    </w:pPr>
    <w:rPr>
      <w:rFonts w:ascii="Arial Bold" w:hAnsi="Arial Bold" w:cs="Arial"/>
      <w:b/>
      <w:bCs/>
      <w:kern w:val="3"/>
      <w:sz w:val="44"/>
      <w:szCs w:val="32"/>
    </w:rPr>
  </w:style>
  <w:style w:type="paragraph" w:styleId="Heading2">
    <w:name w:val="heading 2"/>
    <w:basedOn w:val="Heading10"/>
    <w:next w:val="GHBodytext"/>
    <w:link w:val="Heading2Char"/>
    <w:unhideWhenUsed/>
    <w:qFormat/>
    <w:rsid w:val="00E9032C"/>
    <w:pPr>
      <w:numPr>
        <w:ilvl w:val="1"/>
      </w:numPr>
      <w:spacing w:before="80"/>
      <w:outlineLvl w:val="1"/>
    </w:pPr>
    <w:rPr>
      <w:bCs w:val="0"/>
      <w:i/>
      <w:iCs/>
      <w:sz w:val="28"/>
      <w:szCs w:val="28"/>
    </w:rPr>
  </w:style>
  <w:style w:type="paragraph" w:styleId="Heading3">
    <w:name w:val="heading 3"/>
    <w:basedOn w:val="Heading2"/>
    <w:next w:val="GHBodytext"/>
    <w:link w:val="Heading3Char"/>
    <w:unhideWhenUsed/>
    <w:qFormat/>
    <w:rsid w:val="00E9032C"/>
    <w:pPr>
      <w:numPr>
        <w:ilvl w:val="2"/>
      </w:numPr>
      <w:outlineLvl w:val="2"/>
    </w:pPr>
    <w:rPr>
      <w:rFonts w:ascii="Times New Roman" w:hAnsi="Times New Roman"/>
      <w:bCs/>
      <w:i w:val="0"/>
      <w:color w:val="DC6900"/>
      <w:sz w:val="26"/>
      <w:szCs w:val="26"/>
    </w:rPr>
  </w:style>
  <w:style w:type="paragraph" w:styleId="Heading4">
    <w:name w:val="heading 4"/>
    <w:basedOn w:val="Heading3"/>
    <w:next w:val="GHBodytext"/>
    <w:link w:val="Heading4Char"/>
    <w:unhideWhenUsed/>
    <w:qFormat/>
    <w:rsid w:val="00E9032C"/>
    <w:pPr>
      <w:numPr>
        <w:ilvl w:val="3"/>
      </w:numPr>
      <w:outlineLvl w:val="3"/>
    </w:pPr>
    <w:rPr>
      <w:rFonts w:ascii="Arial Bold" w:hAnsi="Arial Bold"/>
      <w:bCs w:val="0"/>
      <w:color w:val="auto"/>
      <w:sz w:val="24"/>
      <w:szCs w:val="28"/>
    </w:rPr>
  </w:style>
  <w:style w:type="paragraph" w:styleId="Heading5">
    <w:name w:val="heading 5"/>
    <w:aliases w:val="Append Level 1"/>
    <w:basedOn w:val="Heading4"/>
    <w:next w:val="GHBodytext"/>
    <w:link w:val="Heading5Char"/>
    <w:unhideWhenUsed/>
    <w:qFormat/>
    <w:rsid w:val="00E9032C"/>
    <w:pPr>
      <w:numPr>
        <w:ilvl w:val="4"/>
      </w:numPr>
      <w:outlineLvl w:val="4"/>
    </w:pPr>
    <w:rPr>
      <w:bCs/>
      <w:i/>
      <w:iCs w:val="0"/>
      <w:szCs w:val="26"/>
    </w:rPr>
  </w:style>
  <w:style w:type="paragraph" w:styleId="Heading6">
    <w:name w:val="heading 6"/>
    <w:aliases w:val="Append Level 2"/>
    <w:basedOn w:val="Heading10"/>
    <w:next w:val="GHBodytext"/>
    <w:link w:val="Heading6Char"/>
    <w:unhideWhenUsed/>
    <w:qFormat/>
    <w:rsid w:val="00E9032C"/>
    <w:pPr>
      <w:numPr>
        <w:ilvl w:val="5"/>
      </w:numPr>
      <w:spacing w:before="120"/>
      <w:outlineLvl w:val="5"/>
    </w:pPr>
    <w:rPr>
      <w:bCs w:val="0"/>
      <w:szCs w:val="22"/>
    </w:rPr>
  </w:style>
  <w:style w:type="paragraph" w:styleId="Heading7">
    <w:name w:val="heading 7"/>
    <w:aliases w:val="Append Level 3"/>
    <w:basedOn w:val="Heading2"/>
    <w:next w:val="GHBodytext"/>
    <w:link w:val="Heading7Char"/>
    <w:qFormat/>
    <w:rsid w:val="00E9032C"/>
    <w:pPr>
      <w:numPr>
        <w:ilvl w:val="6"/>
      </w:numPr>
      <w:outlineLvl w:val="6"/>
    </w:pPr>
    <w:rPr>
      <w:bCs/>
      <w:szCs w:val="32"/>
    </w:rPr>
  </w:style>
  <w:style w:type="paragraph" w:styleId="Heading8">
    <w:name w:val="heading 8"/>
    <w:aliases w:val="Exec Sum Level 1,Append Level 4"/>
    <w:basedOn w:val="Heading3"/>
    <w:next w:val="GHBodytext"/>
    <w:link w:val="Heading8Char"/>
    <w:qFormat/>
    <w:rsid w:val="00E9032C"/>
    <w:pPr>
      <w:tabs>
        <w:tab w:val="left" w:pos="792"/>
      </w:tabs>
      <w:ind w:left="792" w:hanging="792"/>
      <w:outlineLvl w:val="7"/>
    </w:pPr>
    <w:rPr>
      <w:rFonts w:ascii="Arial Bold" w:hAnsi="Arial Bold"/>
      <w:iCs w:val="0"/>
      <w:color w:val="auto"/>
    </w:rPr>
  </w:style>
  <w:style w:type="paragraph" w:styleId="Heading9">
    <w:name w:val="heading 9"/>
    <w:aliases w:val="Exec Sum Level 2"/>
    <w:basedOn w:val="Heading4"/>
    <w:next w:val="GHBodytext"/>
    <w:link w:val="Heading9Char"/>
    <w:qFormat/>
    <w:rsid w:val="00E9032C"/>
    <w:pPr>
      <w:ind w:left="936" w:hanging="936"/>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locked/>
    <w:rsid w:val="00141312"/>
    <w:rPr>
      <w:rFonts w:ascii="Arial Bold" w:hAnsi="Arial Bold" w:cs="Arial"/>
      <w:b/>
      <w:bCs/>
      <w:kern w:val="3"/>
      <w:sz w:val="44"/>
      <w:szCs w:val="32"/>
    </w:rPr>
  </w:style>
  <w:style w:type="character" w:customStyle="1" w:styleId="Heading2Char">
    <w:name w:val="Heading 2 Char"/>
    <w:basedOn w:val="DefaultParagraphFont"/>
    <w:link w:val="Heading2"/>
    <w:locked/>
    <w:rsid w:val="00E9032C"/>
    <w:rPr>
      <w:rFonts w:ascii="Arial Bold" w:hAnsi="Arial Bold" w:cs="Arial"/>
      <w:b/>
      <w:i/>
      <w:iCs/>
      <w:kern w:val="3"/>
      <w:sz w:val="28"/>
      <w:szCs w:val="28"/>
    </w:rPr>
  </w:style>
  <w:style w:type="character" w:customStyle="1" w:styleId="Heading3Char">
    <w:name w:val="Heading 3 Char"/>
    <w:basedOn w:val="DefaultParagraphFont"/>
    <w:link w:val="Heading3"/>
    <w:locked/>
    <w:rsid w:val="00E9032C"/>
    <w:rPr>
      <w:rFonts w:cs="Arial"/>
      <w:b/>
      <w:bCs/>
      <w:iCs/>
      <w:color w:val="DC6900"/>
      <w:kern w:val="3"/>
      <w:sz w:val="26"/>
      <w:szCs w:val="26"/>
    </w:rPr>
  </w:style>
  <w:style w:type="character" w:customStyle="1" w:styleId="Heading4Char">
    <w:name w:val="Heading 4 Char"/>
    <w:basedOn w:val="DefaultParagraphFont"/>
    <w:link w:val="Heading4"/>
    <w:locked/>
    <w:rsid w:val="00E9032C"/>
    <w:rPr>
      <w:rFonts w:ascii="Arial Bold" w:hAnsi="Arial Bold" w:cs="Arial"/>
      <w:b/>
      <w:iCs/>
      <w:kern w:val="3"/>
      <w:sz w:val="24"/>
      <w:szCs w:val="28"/>
    </w:rPr>
  </w:style>
  <w:style w:type="character" w:customStyle="1" w:styleId="Heading5Char">
    <w:name w:val="Heading 5 Char"/>
    <w:aliases w:val="Append Level 1 Char"/>
    <w:basedOn w:val="DefaultParagraphFont"/>
    <w:link w:val="Heading5"/>
    <w:locked/>
    <w:rsid w:val="00E9032C"/>
    <w:rPr>
      <w:rFonts w:ascii="Arial Bold" w:hAnsi="Arial Bold" w:cs="Arial"/>
      <w:b/>
      <w:bCs/>
      <w:i/>
      <w:kern w:val="3"/>
      <w:sz w:val="24"/>
      <w:szCs w:val="26"/>
    </w:rPr>
  </w:style>
  <w:style w:type="character" w:customStyle="1" w:styleId="Heading6Char">
    <w:name w:val="Heading 6 Char"/>
    <w:aliases w:val="Append Level 2 Char"/>
    <w:basedOn w:val="DefaultParagraphFont"/>
    <w:link w:val="Heading6"/>
    <w:locked/>
    <w:rsid w:val="00E9032C"/>
    <w:rPr>
      <w:rFonts w:ascii="Arial Bold" w:hAnsi="Arial Bold" w:cs="Arial"/>
      <w:b/>
      <w:kern w:val="3"/>
      <w:sz w:val="44"/>
      <w:szCs w:val="22"/>
    </w:rPr>
  </w:style>
  <w:style w:type="character" w:customStyle="1" w:styleId="Heading7Char">
    <w:name w:val="Heading 7 Char"/>
    <w:aliases w:val="Append Level 3 Char"/>
    <w:basedOn w:val="DefaultParagraphFont"/>
    <w:link w:val="Heading7"/>
    <w:locked/>
    <w:rsid w:val="00E9032C"/>
    <w:rPr>
      <w:rFonts w:ascii="Arial Bold" w:hAnsi="Arial Bold" w:cs="Arial"/>
      <w:b/>
      <w:bCs/>
      <w:i/>
      <w:iCs/>
      <w:kern w:val="3"/>
      <w:sz w:val="28"/>
      <w:szCs w:val="32"/>
    </w:rPr>
  </w:style>
  <w:style w:type="character" w:customStyle="1" w:styleId="Heading8Char">
    <w:name w:val="Heading 8 Char"/>
    <w:aliases w:val="Exec Sum Level 1 Char,Append Level 4 Char"/>
    <w:basedOn w:val="DefaultParagraphFont"/>
    <w:link w:val="Heading8"/>
    <w:locked/>
    <w:rsid w:val="00E9032C"/>
    <w:rPr>
      <w:rFonts w:ascii="Arial Bold" w:hAnsi="Arial Bold" w:cs="Arial"/>
      <w:b/>
      <w:bCs/>
      <w:kern w:val="3"/>
      <w:sz w:val="26"/>
      <w:szCs w:val="26"/>
    </w:rPr>
  </w:style>
  <w:style w:type="character" w:customStyle="1" w:styleId="Heading9Char">
    <w:name w:val="Heading 9 Char"/>
    <w:aliases w:val="Exec Sum Level 2 Char"/>
    <w:basedOn w:val="DefaultParagraphFont"/>
    <w:link w:val="Heading9"/>
    <w:locked/>
    <w:rsid w:val="00E9032C"/>
    <w:rPr>
      <w:rFonts w:ascii="Arial Bold" w:hAnsi="Arial Bold" w:cs="Arial"/>
      <w:b/>
      <w:iCs/>
      <w:kern w:val="3"/>
      <w:sz w:val="24"/>
      <w:szCs w:val="22"/>
    </w:rPr>
  </w:style>
  <w:style w:type="paragraph" w:styleId="BalloonText">
    <w:name w:val="Balloon Text"/>
    <w:basedOn w:val="Normal"/>
    <w:link w:val="BalloonTextChar"/>
    <w:rsid w:val="00E9032C"/>
    <w:pPr>
      <w:spacing w:before="0" w:after="0"/>
    </w:pPr>
    <w:rPr>
      <w:rFonts w:ascii="Tahoma" w:hAnsi="Tahoma" w:cs="Tahoma"/>
      <w:sz w:val="16"/>
      <w:szCs w:val="16"/>
    </w:rPr>
  </w:style>
  <w:style w:type="character" w:customStyle="1" w:styleId="BalloonTextChar">
    <w:name w:val="Balloon Text Char"/>
    <w:basedOn w:val="DefaultParagraphFont"/>
    <w:link w:val="BalloonText"/>
    <w:locked/>
    <w:rsid w:val="00E9032C"/>
    <w:rPr>
      <w:rFonts w:ascii="Tahoma" w:hAnsi="Tahoma" w:cs="Tahoma"/>
      <w:sz w:val="16"/>
      <w:szCs w:val="16"/>
    </w:rPr>
  </w:style>
  <w:style w:type="paragraph" w:styleId="TOC1">
    <w:name w:val="toc 1"/>
    <w:basedOn w:val="GHBodytext"/>
    <w:next w:val="Normal"/>
    <w:link w:val="TOC1Char"/>
    <w:uiPriority w:val="39"/>
    <w:rsid w:val="00E9032C"/>
    <w:pPr>
      <w:tabs>
        <w:tab w:val="right" w:leader="dot" w:pos="9360"/>
      </w:tabs>
      <w:spacing w:before="120" w:after="0"/>
      <w:ind w:left="576" w:right="547" w:hanging="576"/>
    </w:pPr>
    <w:rPr>
      <w:b/>
    </w:rPr>
  </w:style>
  <w:style w:type="paragraph" w:customStyle="1" w:styleId="Bullet0">
    <w:name w:val="Bullet 0"/>
    <w:basedOn w:val="Normal"/>
    <w:autoRedefine/>
    <w:rsid w:val="00917C40"/>
    <w:pPr>
      <w:tabs>
        <w:tab w:val="num" w:pos="972"/>
      </w:tabs>
      <w:ind w:left="979" w:hanging="432"/>
    </w:pPr>
  </w:style>
  <w:style w:type="paragraph" w:styleId="Header">
    <w:name w:val="header"/>
    <w:basedOn w:val="GHBodytext"/>
    <w:link w:val="HeaderChar"/>
    <w:rsid w:val="00E9032C"/>
    <w:pPr>
      <w:tabs>
        <w:tab w:val="center" w:pos="4320"/>
        <w:tab w:val="right" w:pos="8640"/>
      </w:tabs>
      <w:spacing w:after="0"/>
    </w:pPr>
    <w:rPr>
      <w:sz w:val="20"/>
    </w:rPr>
  </w:style>
  <w:style w:type="character" w:customStyle="1" w:styleId="HeaderChar">
    <w:name w:val="Header Char"/>
    <w:basedOn w:val="DefaultParagraphFont"/>
    <w:link w:val="Header"/>
    <w:locked/>
    <w:rsid w:val="00E9032C"/>
    <w:rPr>
      <w:rFonts w:ascii="Arial" w:hAnsi="Arial"/>
      <w:szCs w:val="24"/>
    </w:rPr>
  </w:style>
  <w:style w:type="paragraph" w:styleId="Footer">
    <w:name w:val="footer"/>
    <w:basedOn w:val="GHBodytext"/>
    <w:link w:val="FooterChar"/>
    <w:rsid w:val="00E9032C"/>
    <w:pPr>
      <w:tabs>
        <w:tab w:val="center" w:pos="4320"/>
        <w:tab w:val="right" w:pos="8640"/>
      </w:tabs>
      <w:spacing w:after="0"/>
    </w:pPr>
  </w:style>
  <w:style w:type="character" w:customStyle="1" w:styleId="FooterChar">
    <w:name w:val="Footer Char"/>
    <w:basedOn w:val="DefaultParagraphFont"/>
    <w:link w:val="Footer"/>
    <w:locked/>
    <w:rsid w:val="00E9032C"/>
    <w:rPr>
      <w:rFonts w:ascii="Arial" w:hAnsi="Arial"/>
      <w:sz w:val="24"/>
      <w:szCs w:val="24"/>
    </w:rPr>
  </w:style>
  <w:style w:type="paragraph" w:customStyle="1" w:styleId="TableofContents">
    <w:name w:val="Table of Contents"/>
    <w:basedOn w:val="Normal"/>
    <w:uiPriority w:val="99"/>
    <w:rsid w:val="00917C40"/>
    <w:pPr>
      <w:shd w:val="pct20" w:color="auto" w:fill="FFFFFF"/>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right" w:pos="3690"/>
        <w:tab w:val="left" w:pos="4590"/>
        <w:tab w:val="left" w:pos="5760"/>
      </w:tabs>
      <w:spacing w:before="240" w:after="240"/>
    </w:pPr>
    <w:rPr>
      <w:rFonts w:ascii="Lucida Sans Unicode" w:hAnsi="Lucida Sans Unicode"/>
      <w:b/>
      <w:smallCaps/>
      <w:color w:val="000000"/>
      <w:sz w:val="36"/>
    </w:rPr>
  </w:style>
  <w:style w:type="paragraph" w:customStyle="1" w:styleId="StyleInsideAddressPalatinoLinotype10pt">
    <w:name w:val="Style Inside Address + Palatino Linotype 10 pt"/>
    <w:basedOn w:val="Normal"/>
    <w:uiPriority w:val="99"/>
    <w:rsid w:val="00917C40"/>
    <w:pPr>
      <w:tabs>
        <w:tab w:val="left" w:pos="360"/>
        <w:tab w:val="left" w:pos="720"/>
        <w:tab w:val="left" w:pos="1080"/>
        <w:tab w:val="left" w:pos="1440"/>
        <w:tab w:val="left" w:pos="1800"/>
        <w:tab w:val="left" w:pos="2160"/>
        <w:tab w:val="left" w:pos="2520"/>
        <w:tab w:val="left" w:pos="2880"/>
        <w:tab w:val="left" w:pos="3240"/>
        <w:tab w:val="left" w:pos="3600"/>
      </w:tabs>
      <w:spacing w:before="240" w:after="240"/>
      <w:jc w:val="both"/>
    </w:pPr>
    <w:rPr>
      <w:kern w:val="24"/>
    </w:rPr>
  </w:style>
  <w:style w:type="paragraph" w:customStyle="1" w:styleId="MemoFrame">
    <w:name w:val="Memo Frame"/>
    <w:basedOn w:val="Normal"/>
    <w:rsid w:val="00917C40"/>
    <w:pPr>
      <w:tabs>
        <w:tab w:val="left" w:pos="360"/>
        <w:tab w:val="left" w:pos="720"/>
        <w:tab w:val="left" w:pos="1080"/>
        <w:tab w:val="left" w:pos="1440"/>
      </w:tabs>
      <w:spacing w:before="240" w:after="240"/>
    </w:pPr>
    <w:rPr>
      <w:rFonts w:ascii="Arial Narrow" w:hAnsi="Arial Narrow"/>
      <w:b/>
    </w:rPr>
  </w:style>
  <w:style w:type="character" w:styleId="PageNumber">
    <w:name w:val="page number"/>
    <w:basedOn w:val="DefaultParagraphFont"/>
    <w:rsid w:val="00E9032C"/>
    <w:rPr>
      <w:sz w:val="20"/>
    </w:rPr>
  </w:style>
  <w:style w:type="paragraph" w:styleId="TOC2">
    <w:name w:val="toc 2"/>
    <w:basedOn w:val="GHBodytext"/>
    <w:next w:val="Normal"/>
    <w:uiPriority w:val="39"/>
    <w:rsid w:val="00E9032C"/>
    <w:pPr>
      <w:tabs>
        <w:tab w:val="right" w:leader="dot" w:pos="9360"/>
      </w:tabs>
      <w:spacing w:after="0"/>
      <w:ind w:left="1008" w:right="547" w:hanging="576"/>
    </w:pPr>
  </w:style>
  <w:style w:type="paragraph" w:styleId="TOC3">
    <w:name w:val="toc 3"/>
    <w:basedOn w:val="GHBodytext"/>
    <w:next w:val="Normal"/>
    <w:uiPriority w:val="39"/>
    <w:rsid w:val="00E9032C"/>
    <w:pPr>
      <w:tabs>
        <w:tab w:val="right" w:leader="dot" w:pos="9360"/>
      </w:tabs>
      <w:spacing w:after="0"/>
      <w:ind w:left="1584" w:right="547" w:hanging="720"/>
    </w:pPr>
  </w:style>
  <w:style w:type="paragraph" w:styleId="TOC4">
    <w:name w:val="toc 4"/>
    <w:basedOn w:val="GHBodytext"/>
    <w:next w:val="Normal"/>
    <w:uiPriority w:val="39"/>
    <w:rsid w:val="00E9032C"/>
    <w:pPr>
      <w:tabs>
        <w:tab w:val="right" w:leader="dot" w:pos="9360"/>
      </w:tabs>
      <w:spacing w:after="0"/>
      <w:ind w:left="2304" w:right="547" w:hanging="864"/>
    </w:pPr>
  </w:style>
  <w:style w:type="paragraph" w:styleId="TOC5">
    <w:name w:val="toc 5"/>
    <w:basedOn w:val="GHBodytext"/>
    <w:next w:val="Normal"/>
    <w:uiPriority w:val="39"/>
    <w:rsid w:val="00E9032C"/>
    <w:pPr>
      <w:tabs>
        <w:tab w:val="right" w:leader="dot" w:pos="9360"/>
      </w:tabs>
      <w:spacing w:after="0"/>
      <w:ind w:left="3168" w:right="547" w:hanging="1008"/>
    </w:pPr>
  </w:style>
  <w:style w:type="paragraph" w:styleId="TOC6">
    <w:name w:val="toc 6"/>
    <w:basedOn w:val="Normal"/>
    <w:next w:val="Normal"/>
    <w:autoRedefine/>
    <w:unhideWhenUsed/>
    <w:rsid w:val="00E9032C"/>
    <w:pPr>
      <w:suppressAutoHyphens w:val="0"/>
      <w:autoSpaceDN/>
      <w:spacing w:before="0" w:after="100"/>
      <w:ind w:left="1000"/>
    </w:pPr>
    <w:rPr>
      <w:szCs w:val="20"/>
    </w:rPr>
  </w:style>
  <w:style w:type="paragraph" w:styleId="TOC7">
    <w:name w:val="toc 7"/>
    <w:basedOn w:val="Normal"/>
    <w:next w:val="Normal"/>
    <w:autoRedefine/>
    <w:unhideWhenUsed/>
    <w:rsid w:val="00E9032C"/>
    <w:pPr>
      <w:suppressAutoHyphens w:val="0"/>
      <w:autoSpaceDN/>
      <w:spacing w:before="0" w:after="100"/>
      <w:ind w:left="1200"/>
    </w:pPr>
    <w:rPr>
      <w:szCs w:val="20"/>
    </w:rPr>
  </w:style>
  <w:style w:type="paragraph" w:styleId="TOC8">
    <w:name w:val="toc 8"/>
    <w:basedOn w:val="Normal"/>
    <w:next w:val="Normal"/>
    <w:autoRedefine/>
    <w:unhideWhenUsed/>
    <w:rsid w:val="00E9032C"/>
    <w:pPr>
      <w:suppressAutoHyphens w:val="0"/>
      <w:autoSpaceDN/>
      <w:spacing w:before="0" w:after="100"/>
      <w:ind w:left="1400"/>
    </w:pPr>
    <w:rPr>
      <w:szCs w:val="20"/>
    </w:rPr>
  </w:style>
  <w:style w:type="paragraph" w:styleId="TOC9">
    <w:name w:val="toc 9"/>
    <w:basedOn w:val="Normal"/>
    <w:next w:val="Normal"/>
    <w:autoRedefine/>
    <w:unhideWhenUsed/>
    <w:rsid w:val="00E9032C"/>
    <w:pPr>
      <w:suppressAutoHyphens w:val="0"/>
      <w:autoSpaceDN/>
      <w:spacing w:before="0" w:after="100"/>
      <w:ind w:left="1600"/>
    </w:pPr>
    <w:rPr>
      <w:szCs w:val="20"/>
    </w:rPr>
  </w:style>
  <w:style w:type="paragraph" w:customStyle="1" w:styleId="SectionTitle">
    <w:name w:val="Section Title"/>
    <w:basedOn w:val="Normal"/>
    <w:uiPriority w:val="99"/>
    <w:rsid w:val="00917C40"/>
    <w:pPr>
      <w:tabs>
        <w:tab w:val="left" w:pos="1267"/>
        <w:tab w:val="left" w:pos="1627"/>
      </w:tabs>
      <w:spacing w:before="240" w:after="240"/>
      <w:ind w:left="1627" w:hanging="1627"/>
    </w:pPr>
    <w:rPr>
      <w:b/>
      <w:sz w:val="24"/>
    </w:rPr>
  </w:style>
  <w:style w:type="character" w:styleId="Hyperlink">
    <w:name w:val="Hyperlink"/>
    <w:basedOn w:val="DefaultParagraphFont"/>
    <w:uiPriority w:val="99"/>
    <w:rsid w:val="00E9032C"/>
    <w:rPr>
      <w:color w:val="0000FF"/>
      <w:u w:val="single"/>
    </w:rPr>
  </w:style>
  <w:style w:type="paragraph" w:customStyle="1" w:styleId="ResumeHeading1">
    <w:name w:val="Resume Heading 1"/>
    <w:basedOn w:val="Normal"/>
    <w:autoRedefine/>
    <w:uiPriority w:val="99"/>
    <w:rsid w:val="00917C40"/>
    <w:pPr>
      <w:tabs>
        <w:tab w:val="left" w:pos="360"/>
        <w:tab w:val="left" w:pos="720"/>
        <w:tab w:val="left" w:pos="1080"/>
        <w:tab w:val="left" w:pos="1440"/>
      </w:tabs>
      <w:spacing w:before="240" w:after="240"/>
    </w:pPr>
    <w:rPr>
      <w:b/>
      <w:sz w:val="24"/>
    </w:rPr>
  </w:style>
  <w:style w:type="paragraph" w:customStyle="1" w:styleId="ResumeName">
    <w:name w:val="Resume Name"/>
    <w:basedOn w:val="Title"/>
    <w:uiPriority w:val="99"/>
    <w:rsid w:val="00917C40"/>
    <w:rPr>
      <w:rFonts w:ascii="Times New Roman" w:hAnsi="Times New Roman"/>
      <w:bCs/>
      <w:sz w:val="32"/>
      <w:szCs w:val="20"/>
    </w:rPr>
  </w:style>
  <w:style w:type="paragraph" w:styleId="Title">
    <w:name w:val="Title"/>
    <w:aliases w:val="Cover_Title"/>
    <w:basedOn w:val="Normal"/>
    <w:next w:val="Normal"/>
    <w:link w:val="TitleChar"/>
    <w:uiPriority w:val="10"/>
    <w:qFormat/>
    <w:rsid w:val="00917C40"/>
    <w:pPr>
      <w:widowControl w:val="0"/>
    </w:pPr>
    <w:rPr>
      <w:rFonts w:ascii="Arial Bold" w:hAnsi="Arial Bold"/>
      <w:b/>
      <w:color w:val="000000" w:themeColor="text1"/>
      <w:spacing w:val="-10"/>
      <w:kern w:val="28"/>
      <w:sz w:val="48"/>
      <w:szCs w:val="56"/>
    </w:rPr>
  </w:style>
  <w:style w:type="character" w:customStyle="1" w:styleId="TitleChar">
    <w:name w:val="Title Char"/>
    <w:aliases w:val="Cover_Title Char"/>
    <w:link w:val="Title"/>
    <w:uiPriority w:val="10"/>
    <w:locked/>
    <w:rsid w:val="00917C40"/>
    <w:rPr>
      <w:rFonts w:ascii="Arial Bold" w:hAnsi="Arial Bold"/>
      <w:b/>
      <w:color w:val="000000" w:themeColor="text1"/>
      <w:spacing w:val="-10"/>
      <w:kern w:val="28"/>
      <w:sz w:val="48"/>
      <w:szCs w:val="56"/>
    </w:rPr>
  </w:style>
  <w:style w:type="paragraph" w:customStyle="1" w:styleId="Publications">
    <w:name w:val="Publications"/>
    <w:basedOn w:val="Normal"/>
    <w:uiPriority w:val="99"/>
    <w:rsid w:val="00917C40"/>
    <w:pPr>
      <w:tabs>
        <w:tab w:val="left" w:pos="360"/>
        <w:tab w:val="left" w:pos="720"/>
        <w:tab w:val="left" w:pos="1080"/>
        <w:tab w:val="left" w:pos="1440"/>
      </w:tabs>
      <w:spacing w:before="240" w:after="240"/>
      <w:ind w:left="720" w:hanging="720"/>
      <w:jc w:val="both"/>
    </w:pPr>
    <w:rPr>
      <w:u w:val="single"/>
    </w:rPr>
  </w:style>
  <w:style w:type="paragraph" w:styleId="FootnoteText">
    <w:name w:val="footnote text"/>
    <w:basedOn w:val="BodyText"/>
    <w:link w:val="FootnoteTextChar"/>
    <w:uiPriority w:val="99"/>
    <w:qFormat/>
    <w:rsid w:val="00E9032C"/>
    <w:pPr>
      <w:keepLines/>
      <w:tabs>
        <w:tab w:val="left" w:pos="360"/>
        <w:tab w:val="left" w:pos="720"/>
        <w:tab w:val="left" w:pos="1080"/>
        <w:tab w:val="left" w:pos="1440"/>
        <w:tab w:val="left" w:pos="1800"/>
        <w:tab w:val="left" w:pos="2160"/>
      </w:tabs>
      <w:spacing w:after="40"/>
    </w:pPr>
    <w:rPr>
      <w:sz w:val="18"/>
    </w:rPr>
  </w:style>
  <w:style w:type="character" w:customStyle="1" w:styleId="FootnoteTextChar">
    <w:name w:val="Footnote Text Char"/>
    <w:basedOn w:val="DefaultParagraphFont"/>
    <w:link w:val="FootnoteText"/>
    <w:uiPriority w:val="99"/>
    <w:locked/>
    <w:rsid w:val="00E9032C"/>
    <w:rPr>
      <w:rFonts w:ascii="Arial" w:hAnsi="Arial"/>
      <w:sz w:val="18"/>
    </w:rPr>
  </w:style>
  <w:style w:type="character" w:styleId="FootnoteReference">
    <w:name w:val="footnote reference"/>
    <w:aliases w:val="o,fr,Style 17,o + Times New Roman,Footnote_Reference,Char Char Char Char,o1,o2,o3,o4,o5,o6,o11,o21,o7,Style 13,Style 12,Style 28,(NECG) Footnote Reference,Style 11,Style 9,Style 16,Style 15,Style 20,fr1,fr2,fr3,Style 8,Style 7"/>
    <w:uiPriority w:val="99"/>
    <w:rsid w:val="00E9032C"/>
    <w:rPr>
      <w:rFonts w:ascii="Arial" w:hAnsi="Arial"/>
      <w:color w:val="auto"/>
      <w:vertAlign w:val="superscript"/>
    </w:rPr>
  </w:style>
  <w:style w:type="paragraph" w:styleId="Caption">
    <w:name w:val="caption"/>
    <w:aliases w:val="Table/Figure Caption,Table Caption,Caption Char1 Char"/>
    <w:basedOn w:val="Normal"/>
    <w:next w:val="Normal"/>
    <w:link w:val="CaptionChar"/>
    <w:qFormat/>
    <w:rsid w:val="00E9032C"/>
    <w:pPr>
      <w:keepNext/>
      <w:suppressAutoHyphens w:val="0"/>
      <w:autoSpaceDN/>
      <w:spacing w:before="0"/>
      <w:jc w:val="center"/>
    </w:pPr>
    <w:rPr>
      <w:rFonts w:cs="Arial"/>
      <w:b/>
      <w:bCs/>
      <w:szCs w:val="20"/>
    </w:rPr>
  </w:style>
  <w:style w:type="paragraph" w:customStyle="1" w:styleId="StyleCaptionWhite">
    <w:name w:val="Style Caption + White"/>
    <w:basedOn w:val="Caption"/>
    <w:rsid w:val="00917C40"/>
    <w:pPr>
      <w:spacing w:before="120"/>
    </w:pPr>
    <w:rPr>
      <w:color w:val="FFFFFF"/>
      <w14:textFill>
        <w14:solidFill>
          <w14:srgbClr w14:val="FFFFFF">
            <w14:lumMod w14:val="50000"/>
          </w14:srgbClr>
        </w14:solidFill>
      </w14:textFill>
    </w:rPr>
  </w:style>
  <w:style w:type="paragraph" w:customStyle="1" w:styleId="TitlePage1">
    <w:name w:val="Title Page 1"/>
    <w:basedOn w:val="Normal"/>
    <w:link w:val="TitlePage1Char"/>
    <w:rsid w:val="00917C40"/>
    <w:pPr>
      <w:tabs>
        <w:tab w:val="left" w:pos="360"/>
        <w:tab w:val="left" w:pos="720"/>
        <w:tab w:val="left" w:pos="1080"/>
        <w:tab w:val="left" w:pos="1440"/>
      </w:tabs>
    </w:pPr>
    <w:rPr>
      <w:b/>
      <w:bCs/>
      <w:color w:val="6F6754"/>
      <w:sz w:val="36"/>
    </w:rPr>
  </w:style>
  <w:style w:type="paragraph" w:customStyle="1" w:styleId="TitlePage2">
    <w:name w:val="Title Page 2"/>
    <w:basedOn w:val="Normal"/>
    <w:link w:val="TitlePage2Char"/>
    <w:rsid w:val="00917C40"/>
    <w:pPr>
      <w:tabs>
        <w:tab w:val="left" w:pos="360"/>
        <w:tab w:val="left" w:pos="720"/>
        <w:tab w:val="left" w:pos="1080"/>
        <w:tab w:val="left" w:pos="1440"/>
      </w:tabs>
    </w:pPr>
    <w:rPr>
      <w:b/>
      <w:bCs/>
      <w:color w:val="6F6754"/>
      <w:sz w:val="28"/>
      <w:szCs w:val="28"/>
    </w:rPr>
  </w:style>
  <w:style w:type="character" w:customStyle="1" w:styleId="TitlePage1Char">
    <w:name w:val="Title Page 1 Char"/>
    <w:basedOn w:val="DefaultParagraphFont"/>
    <w:link w:val="TitlePage1"/>
    <w:locked/>
    <w:rsid w:val="00917C40"/>
    <w:rPr>
      <w:rFonts w:ascii="Arial" w:hAnsi="Arial"/>
      <w:b/>
      <w:bCs/>
      <w:color w:val="6F6754"/>
      <w:sz w:val="36"/>
    </w:rPr>
  </w:style>
  <w:style w:type="paragraph" w:customStyle="1" w:styleId="PresentedBy">
    <w:name w:val="Presented By"/>
    <w:basedOn w:val="Normal"/>
    <w:link w:val="PresentedByChar"/>
    <w:rsid w:val="00E9032C"/>
    <w:pPr>
      <w:tabs>
        <w:tab w:val="left" w:pos="360"/>
        <w:tab w:val="left" w:pos="720"/>
        <w:tab w:val="left" w:pos="1080"/>
        <w:tab w:val="left" w:pos="1440"/>
      </w:tabs>
      <w:suppressAutoHyphens w:val="0"/>
      <w:autoSpaceDN/>
      <w:spacing w:before="0" w:after="0"/>
    </w:pPr>
    <w:rPr>
      <w:color w:val="6F6754"/>
      <w:szCs w:val="20"/>
    </w:rPr>
  </w:style>
  <w:style w:type="character" w:customStyle="1" w:styleId="TitlePage2Char">
    <w:name w:val="Title Page 2 Char"/>
    <w:basedOn w:val="DefaultParagraphFont"/>
    <w:link w:val="TitlePage2"/>
    <w:locked/>
    <w:rsid w:val="00917C40"/>
    <w:rPr>
      <w:rFonts w:ascii="Arial" w:hAnsi="Arial"/>
      <w:b/>
      <w:bCs/>
      <w:color w:val="6F6754"/>
      <w:sz w:val="28"/>
      <w:szCs w:val="28"/>
    </w:rPr>
  </w:style>
  <w:style w:type="paragraph" w:styleId="Date">
    <w:name w:val="Date"/>
    <w:basedOn w:val="Normal"/>
    <w:next w:val="Normal"/>
    <w:link w:val="DateChar"/>
    <w:rsid w:val="00E9032C"/>
    <w:pPr>
      <w:suppressAutoHyphens w:val="0"/>
      <w:autoSpaceDN/>
      <w:spacing w:before="0" w:after="0"/>
    </w:pPr>
    <w:rPr>
      <w:szCs w:val="20"/>
    </w:rPr>
  </w:style>
  <w:style w:type="character" w:customStyle="1" w:styleId="DateChar">
    <w:name w:val="Date Char"/>
    <w:basedOn w:val="DefaultParagraphFont"/>
    <w:link w:val="Date"/>
    <w:locked/>
    <w:rsid w:val="00E9032C"/>
    <w:rPr>
      <w:rFonts w:ascii="Arial" w:hAnsi="Arial"/>
      <w:sz w:val="22"/>
    </w:rPr>
  </w:style>
  <w:style w:type="character" w:customStyle="1" w:styleId="PresentedByChar">
    <w:name w:val="Presented By Char"/>
    <w:basedOn w:val="DefaultParagraphFont"/>
    <w:link w:val="PresentedBy"/>
    <w:locked/>
    <w:rsid w:val="00E9032C"/>
    <w:rPr>
      <w:rFonts w:ascii="Arial" w:hAnsi="Arial"/>
      <w:color w:val="6F6754"/>
      <w:sz w:val="22"/>
    </w:rPr>
  </w:style>
  <w:style w:type="paragraph" w:customStyle="1" w:styleId="TOCTitle">
    <w:name w:val="TOC Title"/>
    <w:basedOn w:val="Normal"/>
    <w:autoRedefine/>
    <w:uiPriority w:val="99"/>
    <w:rsid w:val="00917C40"/>
    <w:pPr>
      <w:tabs>
        <w:tab w:val="left" w:pos="360"/>
        <w:tab w:val="left" w:pos="720"/>
        <w:tab w:val="left" w:pos="1080"/>
        <w:tab w:val="left" w:leader="dot" w:pos="1440"/>
      </w:tabs>
      <w:spacing w:before="240" w:after="240"/>
    </w:pPr>
    <w:rPr>
      <w:b/>
      <w:sz w:val="28"/>
    </w:rPr>
  </w:style>
  <w:style w:type="paragraph" w:customStyle="1" w:styleId="Bullet-Short">
    <w:name w:val="Bullet - Short"/>
    <w:basedOn w:val="Bullet0"/>
    <w:autoRedefine/>
    <w:uiPriority w:val="99"/>
    <w:rsid w:val="00917C40"/>
    <w:pPr>
      <w:tabs>
        <w:tab w:val="clear" w:pos="972"/>
        <w:tab w:val="num" w:pos="720"/>
      </w:tabs>
      <w:spacing w:after="240"/>
      <w:ind w:left="720" w:hanging="360"/>
    </w:pPr>
  </w:style>
  <w:style w:type="table" w:styleId="TableGrid">
    <w:name w:val="Table Grid"/>
    <w:basedOn w:val="TableNormal"/>
    <w:uiPriority w:val="59"/>
    <w:rsid w:val="00E9032C"/>
    <w:rPr>
      <w:rFonts w:ascii="Arial"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CITable">
    <w:name w:val="NCI Table"/>
    <w:uiPriority w:val="99"/>
    <w:rsid w:val="006E2DF5"/>
    <w:pPr>
      <w:spacing w:after="240"/>
    </w:pPr>
    <w:tblPr>
      <w:tblInd w:w="0" w:type="dxa"/>
      <w:tblCellMar>
        <w:top w:w="0" w:type="dxa"/>
        <w:left w:w="108" w:type="dxa"/>
        <w:bottom w:w="0" w:type="dxa"/>
        <w:right w:w="108" w:type="dxa"/>
      </w:tblCellMar>
    </w:tblPr>
  </w:style>
  <w:style w:type="paragraph" w:styleId="Index2">
    <w:name w:val="index 2"/>
    <w:basedOn w:val="Normal"/>
    <w:next w:val="Normal"/>
    <w:autoRedefine/>
    <w:unhideWhenUsed/>
    <w:rsid w:val="00E9032C"/>
    <w:pPr>
      <w:suppressAutoHyphens w:val="0"/>
      <w:autoSpaceDN/>
      <w:spacing w:before="0" w:after="0"/>
      <w:ind w:left="400" w:hanging="200"/>
    </w:pPr>
    <w:rPr>
      <w:szCs w:val="20"/>
    </w:rPr>
  </w:style>
  <w:style w:type="table" w:customStyle="1" w:styleId="Style2">
    <w:name w:val="Style2"/>
    <w:uiPriority w:val="99"/>
    <w:rsid w:val="006E2DF5"/>
    <w:pPr>
      <w:spacing w:after="240"/>
    </w:pPr>
    <w:tblPr>
      <w:tblInd w:w="0" w:type="dxa"/>
      <w:tblCellMar>
        <w:top w:w="0" w:type="dxa"/>
        <w:left w:w="108" w:type="dxa"/>
        <w:bottom w:w="0" w:type="dxa"/>
        <w:right w:w="108" w:type="dxa"/>
      </w:tblCellMar>
    </w:tblPr>
  </w:style>
  <w:style w:type="paragraph" w:styleId="BodyText">
    <w:name w:val="Body Text"/>
    <w:basedOn w:val="Normal"/>
    <w:link w:val="BodyTextChar"/>
    <w:unhideWhenUsed/>
    <w:qFormat/>
    <w:rsid w:val="00E9032C"/>
    <w:pPr>
      <w:autoSpaceDN/>
      <w:spacing w:before="0" w:after="240"/>
    </w:pPr>
    <w:rPr>
      <w:szCs w:val="20"/>
    </w:rPr>
  </w:style>
  <w:style w:type="character" w:customStyle="1" w:styleId="BodyTextChar">
    <w:name w:val="Body Text Char"/>
    <w:basedOn w:val="DefaultParagraphFont"/>
    <w:link w:val="BodyText"/>
    <w:locked/>
    <w:rsid w:val="00E9032C"/>
    <w:rPr>
      <w:rFonts w:ascii="Arial" w:hAnsi="Arial"/>
      <w:sz w:val="22"/>
    </w:rPr>
  </w:style>
  <w:style w:type="paragraph" w:styleId="BodyTextIndent">
    <w:name w:val="Body Text Indent"/>
    <w:basedOn w:val="Normal"/>
    <w:link w:val="BodyTextIndentChar"/>
    <w:unhideWhenUsed/>
    <w:rsid w:val="00E9032C"/>
    <w:pPr>
      <w:suppressAutoHyphens w:val="0"/>
      <w:autoSpaceDN/>
      <w:spacing w:before="0"/>
      <w:ind w:left="360"/>
    </w:pPr>
    <w:rPr>
      <w:szCs w:val="20"/>
    </w:rPr>
  </w:style>
  <w:style w:type="character" w:customStyle="1" w:styleId="BodyTextIndentChar">
    <w:name w:val="Body Text Indent Char"/>
    <w:basedOn w:val="DefaultParagraphFont"/>
    <w:link w:val="BodyTextIndent"/>
    <w:locked/>
    <w:rsid w:val="00E9032C"/>
    <w:rPr>
      <w:rFonts w:ascii="Arial" w:hAnsi="Arial"/>
      <w:sz w:val="22"/>
    </w:rPr>
  </w:style>
  <w:style w:type="paragraph" w:styleId="BodyTextFirstIndent2">
    <w:name w:val="Body Text First Indent 2"/>
    <w:basedOn w:val="BodyTextIndent"/>
    <w:link w:val="BodyTextFirstIndent2Char"/>
    <w:unhideWhenUsed/>
    <w:rsid w:val="00E9032C"/>
    <w:pPr>
      <w:spacing w:after="0"/>
      <w:ind w:firstLine="360"/>
    </w:pPr>
  </w:style>
  <w:style w:type="character" w:customStyle="1" w:styleId="BodyTextFirstIndent2Char">
    <w:name w:val="Body Text First Indent 2 Char"/>
    <w:basedOn w:val="BodyTextIndentChar"/>
    <w:link w:val="BodyTextFirstIndent2"/>
    <w:locked/>
    <w:rsid w:val="00E9032C"/>
    <w:rPr>
      <w:rFonts w:ascii="Arial" w:hAnsi="Arial"/>
      <w:sz w:val="22"/>
    </w:rPr>
  </w:style>
  <w:style w:type="paragraph" w:styleId="MacroText">
    <w:name w:val="macro"/>
    <w:link w:val="MacroTextChar"/>
    <w:unhideWhenUsed/>
    <w:rsid w:val="00E9032C"/>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locked/>
    <w:rsid w:val="00E9032C"/>
    <w:rPr>
      <w:rFonts w:ascii="Consolas" w:hAnsi="Consolas"/>
    </w:rPr>
  </w:style>
  <w:style w:type="paragraph" w:styleId="Closing">
    <w:name w:val="Closing"/>
    <w:basedOn w:val="Normal"/>
    <w:link w:val="ClosingChar"/>
    <w:unhideWhenUsed/>
    <w:rsid w:val="00E9032C"/>
    <w:pPr>
      <w:suppressAutoHyphens w:val="0"/>
      <w:autoSpaceDN/>
      <w:spacing w:before="0" w:after="0"/>
      <w:ind w:left="4320"/>
    </w:pPr>
    <w:rPr>
      <w:szCs w:val="20"/>
    </w:rPr>
  </w:style>
  <w:style w:type="character" w:customStyle="1" w:styleId="ClosingChar">
    <w:name w:val="Closing Char"/>
    <w:basedOn w:val="DefaultParagraphFont"/>
    <w:link w:val="Closing"/>
    <w:locked/>
    <w:rsid w:val="00E9032C"/>
    <w:rPr>
      <w:rFonts w:ascii="Arial" w:hAnsi="Arial"/>
      <w:sz w:val="22"/>
    </w:rPr>
  </w:style>
  <w:style w:type="character" w:styleId="Emphasis">
    <w:name w:val="Emphasis"/>
    <w:basedOn w:val="DefaultParagraphFont"/>
    <w:rsid w:val="00917C40"/>
    <w:rPr>
      <w:rFonts w:cs="Times New Roman"/>
      <w:i/>
      <w:iCs/>
    </w:rPr>
  </w:style>
  <w:style w:type="paragraph" w:styleId="EnvelopeReturn">
    <w:name w:val="envelope return"/>
    <w:basedOn w:val="Normal"/>
    <w:unhideWhenUsed/>
    <w:rsid w:val="00E9032C"/>
    <w:pPr>
      <w:suppressAutoHyphens w:val="0"/>
      <w:autoSpaceDN/>
      <w:spacing w:before="0" w:after="0"/>
    </w:pPr>
    <w:rPr>
      <w:rFonts w:asciiTheme="majorHAnsi" w:eastAsiaTheme="majorEastAsia" w:hAnsiTheme="majorHAnsi" w:cstheme="majorBidi"/>
      <w:szCs w:val="20"/>
    </w:rPr>
  </w:style>
  <w:style w:type="character" w:styleId="HTMLAcronym">
    <w:name w:val="HTML Acronym"/>
    <w:basedOn w:val="DefaultParagraphFont"/>
    <w:uiPriority w:val="99"/>
    <w:rsid w:val="00917C40"/>
    <w:rPr>
      <w:rFonts w:cs="Times New Roman"/>
    </w:rPr>
  </w:style>
  <w:style w:type="character" w:styleId="HTMLDefinition">
    <w:name w:val="HTML Definition"/>
    <w:basedOn w:val="DefaultParagraphFont"/>
    <w:uiPriority w:val="99"/>
    <w:rsid w:val="00917C40"/>
    <w:rPr>
      <w:rFonts w:cs="Times New Roman"/>
      <w:i/>
      <w:iCs/>
    </w:rPr>
  </w:style>
  <w:style w:type="character" w:styleId="HTMLTypewriter">
    <w:name w:val="HTML Typewriter"/>
    <w:basedOn w:val="DefaultParagraphFont"/>
    <w:uiPriority w:val="99"/>
    <w:rsid w:val="00917C40"/>
    <w:rPr>
      <w:rFonts w:ascii="Consolas" w:hAnsi="Consolas" w:cs="Times New Roman"/>
      <w:sz w:val="20"/>
      <w:szCs w:val="20"/>
    </w:rPr>
  </w:style>
  <w:style w:type="paragraph" w:styleId="Index6">
    <w:name w:val="index 6"/>
    <w:basedOn w:val="Normal"/>
    <w:next w:val="Normal"/>
    <w:autoRedefine/>
    <w:unhideWhenUsed/>
    <w:rsid w:val="00E9032C"/>
    <w:pPr>
      <w:suppressAutoHyphens w:val="0"/>
      <w:autoSpaceDN/>
      <w:spacing w:before="0" w:after="0"/>
      <w:ind w:left="1200" w:hanging="200"/>
    </w:pPr>
    <w:rPr>
      <w:szCs w:val="20"/>
    </w:rPr>
  </w:style>
  <w:style w:type="paragraph" w:styleId="Index1">
    <w:name w:val="index 1"/>
    <w:basedOn w:val="Normal"/>
    <w:next w:val="Normal"/>
    <w:autoRedefine/>
    <w:unhideWhenUsed/>
    <w:rsid w:val="00E9032C"/>
    <w:pPr>
      <w:suppressAutoHyphens w:val="0"/>
      <w:autoSpaceDN/>
      <w:spacing w:before="0" w:after="0"/>
      <w:ind w:left="200" w:hanging="200"/>
    </w:pPr>
    <w:rPr>
      <w:szCs w:val="20"/>
    </w:rPr>
  </w:style>
  <w:style w:type="paragraph" w:styleId="IndexHeading">
    <w:name w:val="index heading"/>
    <w:basedOn w:val="Normal"/>
    <w:next w:val="Index1"/>
    <w:unhideWhenUsed/>
    <w:rsid w:val="00E9032C"/>
    <w:pPr>
      <w:suppressAutoHyphens w:val="0"/>
      <w:autoSpaceDN/>
      <w:spacing w:before="0" w:after="0"/>
    </w:pPr>
    <w:rPr>
      <w:rFonts w:asciiTheme="majorHAnsi" w:eastAsiaTheme="majorEastAsia" w:hAnsiTheme="majorHAnsi" w:cstheme="majorBidi"/>
      <w:b/>
      <w:bCs/>
      <w:szCs w:val="20"/>
    </w:rPr>
  </w:style>
  <w:style w:type="character" w:styleId="LineNumber">
    <w:name w:val="line number"/>
    <w:basedOn w:val="DefaultParagraphFont"/>
    <w:uiPriority w:val="99"/>
    <w:rsid w:val="00917C40"/>
    <w:rPr>
      <w:rFonts w:cs="Times New Roman"/>
    </w:rPr>
  </w:style>
  <w:style w:type="paragraph" w:styleId="List4">
    <w:name w:val="List 4"/>
    <w:basedOn w:val="Normal"/>
    <w:rsid w:val="00E9032C"/>
    <w:pPr>
      <w:suppressAutoHyphens w:val="0"/>
      <w:autoSpaceDN/>
      <w:spacing w:before="0" w:after="0"/>
      <w:ind w:left="1440" w:hanging="360"/>
      <w:contextualSpacing/>
    </w:pPr>
    <w:rPr>
      <w:szCs w:val="20"/>
    </w:rPr>
  </w:style>
  <w:style w:type="paragraph" w:styleId="ListBullet3">
    <w:name w:val="List Bullet 3"/>
    <w:basedOn w:val="Normal"/>
    <w:unhideWhenUsed/>
    <w:rsid w:val="00E9032C"/>
    <w:pPr>
      <w:numPr>
        <w:numId w:val="40"/>
      </w:numPr>
      <w:suppressAutoHyphens w:val="0"/>
      <w:autoSpaceDN/>
      <w:spacing w:before="0" w:after="0"/>
      <w:contextualSpacing/>
    </w:pPr>
    <w:rPr>
      <w:szCs w:val="20"/>
    </w:rPr>
  </w:style>
  <w:style w:type="paragraph" w:styleId="BlockText">
    <w:name w:val="Block Text"/>
    <w:basedOn w:val="Normal"/>
    <w:unhideWhenUsed/>
    <w:rsid w:val="00E9032C"/>
    <w:pPr>
      <w:pBdr>
        <w:top w:val="single" w:sz="12" w:space="10" w:color="648C1A"/>
        <w:left w:val="single" w:sz="12" w:space="10" w:color="648C1A"/>
        <w:bottom w:val="single" w:sz="12" w:space="10" w:color="648C1A"/>
        <w:right w:val="single" w:sz="12" w:space="10" w:color="648C1A"/>
      </w:pBdr>
      <w:shd w:val="clear" w:color="auto" w:fill="F2F2F2" w:themeFill="background1" w:themeFillShade="F2"/>
      <w:suppressAutoHyphens w:val="0"/>
      <w:autoSpaceDN/>
      <w:spacing w:before="0" w:after="0"/>
      <w:ind w:left="1152" w:right="1152"/>
    </w:pPr>
    <w:rPr>
      <w:rFonts w:eastAsiaTheme="minorEastAsia" w:cstheme="minorBidi"/>
      <w:b/>
      <w:i/>
      <w:iCs/>
      <w:color w:val="93D500" w:themeColor="accent1"/>
      <w:szCs w:val="20"/>
    </w:rPr>
  </w:style>
  <w:style w:type="paragraph" w:styleId="BodyTextFirstIndent">
    <w:name w:val="Body Text First Indent"/>
    <w:basedOn w:val="BodyText"/>
    <w:link w:val="BodyTextFirstIndentChar"/>
    <w:rsid w:val="00E9032C"/>
    <w:pPr>
      <w:spacing w:after="0"/>
      <w:ind w:firstLine="360"/>
    </w:pPr>
  </w:style>
  <w:style w:type="character" w:customStyle="1" w:styleId="BodyTextFirstIndentChar">
    <w:name w:val="Body Text First Indent Char"/>
    <w:basedOn w:val="BodyTextChar"/>
    <w:link w:val="BodyTextFirstIndent"/>
    <w:locked/>
    <w:rsid w:val="00E9032C"/>
    <w:rPr>
      <w:rFonts w:ascii="Arial" w:hAnsi="Arial"/>
      <w:sz w:val="22"/>
    </w:rPr>
  </w:style>
  <w:style w:type="paragraph" w:styleId="BodyTextIndent3">
    <w:name w:val="Body Text Indent 3"/>
    <w:basedOn w:val="Normal"/>
    <w:link w:val="BodyTextIndent3Char"/>
    <w:unhideWhenUsed/>
    <w:rsid w:val="00E9032C"/>
    <w:pPr>
      <w:suppressAutoHyphens w:val="0"/>
      <w:autoSpaceDN/>
      <w:spacing w:before="0"/>
      <w:ind w:left="360"/>
    </w:pPr>
    <w:rPr>
      <w:sz w:val="16"/>
      <w:szCs w:val="16"/>
    </w:rPr>
  </w:style>
  <w:style w:type="character" w:customStyle="1" w:styleId="BodyTextIndent3Char">
    <w:name w:val="Body Text Indent 3 Char"/>
    <w:basedOn w:val="DefaultParagraphFont"/>
    <w:link w:val="BodyTextIndent3"/>
    <w:locked/>
    <w:rsid w:val="00E9032C"/>
    <w:rPr>
      <w:rFonts w:ascii="Arial" w:hAnsi="Arial"/>
      <w:sz w:val="16"/>
      <w:szCs w:val="16"/>
    </w:rPr>
  </w:style>
  <w:style w:type="paragraph" w:styleId="CommentText">
    <w:name w:val="annotation text"/>
    <w:basedOn w:val="Normal"/>
    <w:link w:val="CommentTextChar"/>
    <w:rsid w:val="00E9032C"/>
    <w:rPr>
      <w:sz w:val="20"/>
      <w:szCs w:val="20"/>
    </w:rPr>
  </w:style>
  <w:style w:type="character" w:customStyle="1" w:styleId="CommentTextChar">
    <w:name w:val="Comment Text Char"/>
    <w:basedOn w:val="DefaultParagraphFont"/>
    <w:link w:val="CommentText"/>
    <w:locked/>
    <w:rsid w:val="00E9032C"/>
  </w:style>
  <w:style w:type="paragraph" w:styleId="E-mailSignature">
    <w:name w:val="E-mail Signature"/>
    <w:basedOn w:val="Normal"/>
    <w:link w:val="E-mailSignatureChar"/>
    <w:unhideWhenUsed/>
    <w:rsid w:val="00E9032C"/>
    <w:pPr>
      <w:suppressAutoHyphens w:val="0"/>
      <w:autoSpaceDN/>
      <w:spacing w:before="0" w:after="0"/>
    </w:pPr>
    <w:rPr>
      <w:szCs w:val="20"/>
    </w:rPr>
  </w:style>
  <w:style w:type="character" w:customStyle="1" w:styleId="E-mailSignatureChar">
    <w:name w:val="E-mail Signature Char"/>
    <w:basedOn w:val="DefaultParagraphFont"/>
    <w:link w:val="E-mailSignature"/>
    <w:locked/>
    <w:rsid w:val="00E9032C"/>
    <w:rPr>
      <w:rFonts w:ascii="Arial" w:hAnsi="Arial"/>
      <w:sz w:val="22"/>
    </w:rPr>
  </w:style>
  <w:style w:type="character" w:styleId="HTMLCode">
    <w:name w:val="HTML Code"/>
    <w:basedOn w:val="DefaultParagraphFont"/>
    <w:uiPriority w:val="99"/>
    <w:rsid w:val="00917C40"/>
    <w:rPr>
      <w:rFonts w:ascii="Consolas" w:hAnsi="Consolas" w:cs="Times New Roman"/>
      <w:sz w:val="20"/>
      <w:szCs w:val="20"/>
    </w:rPr>
  </w:style>
  <w:style w:type="character" w:styleId="HTMLSample">
    <w:name w:val="HTML Sample"/>
    <w:basedOn w:val="DefaultParagraphFont"/>
    <w:uiPriority w:val="99"/>
    <w:rsid w:val="00917C40"/>
    <w:rPr>
      <w:rFonts w:ascii="Consolas" w:hAnsi="Consolas" w:cs="Times New Roman"/>
      <w:sz w:val="24"/>
      <w:szCs w:val="24"/>
    </w:rPr>
  </w:style>
  <w:style w:type="character" w:styleId="PlaceholderText">
    <w:name w:val="Placeholder Text"/>
    <w:basedOn w:val="DefaultParagraphFont"/>
    <w:uiPriority w:val="99"/>
    <w:rsid w:val="00E9032C"/>
    <w:rPr>
      <w:color w:val="808080"/>
    </w:rPr>
  </w:style>
  <w:style w:type="character" w:styleId="Strong">
    <w:name w:val="Strong"/>
    <w:basedOn w:val="DefaultParagraphFont"/>
    <w:rsid w:val="00E9032C"/>
    <w:rPr>
      <w:b/>
      <w:bCs/>
      <w:lang w:val="en-US"/>
    </w:rPr>
  </w:style>
  <w:style w:type="paragraph" w:styleId="ListNumber4">
    <w:name w:val="List Number 4"/>
    <w:basedOn w:val="Normal"/>
    <w:unhideWhenUsed/>
    <w:rsid w:val="00E9032C"/>
    <w:pPr>
      <w:numPr>
        <w:numId w:val="46"/>
      </w:numPr>
      <w:suppressAutoHyphens w:val="0"/>
      <w:autoSpaceDN/>
      <w:spacing w:before="0" w:after="0"/>
      <w:contextualSpacing/>
    </w:pPr>
    <w:rPr>
      <w:szCs w:val="20"/>
    </w:rPr>
  </w:style>
  <w:style w:type="paragraph" w:styleId="NormalWeb">
    <w:name w:val="Normal (Web)"/>
    <w:basedOn w:val="Normal"/>
    <w:uiPriority w:val="99"/>
    <w:unhideWhenUsed/>
    <w:rsid w:val="00E9032C"/>
    <w:pPr>
      <w:suppressAutoHyphens w:val="0"/>
      <w:autoSpaceDN/>
      <w:spacing w:before="0" w:after="0"/>
    </w:pPr>
  </w:style>
  <w:style w:type="character" w:styleId="SubtleEmphasis">
    <w:name w:val="Subtle Emphasis"/>
    <w:basedOn w:val="DefaultParagraphFont"/>
    <w:uiPriority w:val="99"/>
    <w:rsid w:val="00917C40"/>
    <w:rPr>
      <w:rFonts w:cs="Times New Roman"/>
      <w:i/>
      <w:iCs/>
      <w:color w:val="808080"/>
    </w:rPr>
  </w:style>
  <w:style w:type="paragraph" w:styleId="TableofFigures">
    <w:name w:val="table of figures"/>
    <w:basedOn w:val="GHBodytext"/>
    <w:next w:val="Normal"/>
    <w:uiPriority w:val="99"/>
    <w:rsid w:val="00E9032C"/>
    <w:pPr>
      <w:tabs>
        <w:tab w:val="right" w:leader="dot" w:pos="9360"/>
      </w:tabs>
      <w:spacing w:after="0"/>
      <w:ind w:left="1008" w:right="547" w:hanging="1008"/>
    </w:pPr>
  </w:style>
  <w:style w:type="paragraph" w:styleId="MessageHeader">
    <w:name w:val="Message Header"/>
    <w:basedOn w:val="Normal"/>
    <w:link w:val="MessageHeaderChar"/>
    <w:unhideWhenUsed/>
    <w:rsid w:val="00E9032C"/>
    <w:pPr>
      <w:pBdr>
        <w:top w:val="single" w:sz="6" w:space="1" w:color="auto"/>
        <w:left w:val="single" w:sz="6" w:space="1" w:color="auto"/>
        <w:bottom w:val="single" w:sz="6" w:space="1" w:color="auto"/>
        <w:right w:val="single" w:sz="6" w:space="1" w:color="auto"/>
      </w:pBdr>
      <w:shd w:val="pct20" w:color="auto" w:fill="auto"/>
      <w:suppressAutoHyphens w:val="0"/>
      <w:autoSpaceDN/>
      <w:spacing w:before="0"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locked/>
    <w:rsid w:val="00E9032C"/>
    <w:rPr>
      <w:rFonts w:asciiTheme="majorHAnsi" w:eastAsiaTheme="majorEastAsia" w:hAnsiTheme="majorHAnsi" w:cstheme="majorBidi"/>
      <w:sz w:val="24"/>
      <w:szCs w:val="24"/>
      <w:shd w:val="pct20" w:color="auto" w:fill="auto"/>
    </w:rPr>
  </w:style>
  <w:style w:type="paragraph" w:styleId="NormalIndent">
    <w:name w:val="Normal Indent"/>
    <w:basedOn w:val="Normal"/>
    <w:unhideWhenUsed/>
    <w:rsid w:val="00E9032C"/>
    <w:pPr>
      <w:suppressAutoHyphens w:val="0"/>
      <w:autoSpaceDN/>
      <w:spacing w:before="0" w:after="0"/>
      <w:ind w:left="720"/>
    </w:pPr>
    <w:rPr>
      <w:szCs w:val="20"/>
    </w:rPr>
  </w:style>
  <w:style w:type="paragraph" w:styleId="Subtitle">
    <w:name w:val="Subtitle"/>
    <w:aliases w:val="Cover_Subtitle"/>
    <w:basedOn w:val="Normal"/>
    <w:next w:val="Normal"/>
    <w:link w:val="SubtitleChar"/>
    <w:uiPriority w:val="11"/>
    <w:qFormat/>
    <w:rsid w:val="00917C40"/>
    <w:pPr>
      <w:widowControl w:val="0"/>
      <w:numPr>
        <w:ilvl w:val="1"/>
      </w:numPr>
      <w:spacing w:before="240" w:after="520"/>
    </w:pPr>
    <w:rPr>
      <w:rFonts w:ascii="Arial Bold" w:hAnsi="Arial Bold"/>
      <w:b/>
      <w:color w:val="036479" w:themeColor="text2"/>
      <w:sz w:val="28"/>
      <w:szCs w:val="22"/>
    </w:rPr>
  </w:style>
  <w:style w:type="character" w:customStyle="1" w:styleId="SubtitleChar">
    <w:name w:val="Subtitle Char"/>
    <w:aliases w:val="Cover_Subtitle Char"/>
    <w:link w:val="Subtitle"/>
    <w:uiPriority w:val="11"/>
    <w:locked/>
    <w:rsid w:val="00917C40"/>
    <w:rPr>
      <w:rFonts w:ascii="Arial Bold" w:hAnsi="Arial Bold"/>
      <w:b/>
      <w:color w:val="036479" w:themeColor="text2"/>
      <w:sz w:val="28"/>
      <w:szCs w:val="22"/>
    </w:rPr>
  </w:style>
  <w:style w:type="table" w:customStyle="1" w:styleId="Style3">
    <w:name w:val="Style3"/>
    <w:uiPriority w:val="99"/>
    <w:qFormat/>
    <w:rsid w:val="006E2DF5"/>
    <w:pPr>
      <w:spacing w:after="240"/>
      <w:jc w:val="center"/>
    </w:pPr>
    <w:rPr>
      <w:rFonts w:ascii="Palatino Linotype" w:hAnsi="Palatino Linotype"/>
    </w:rPr>
    <w:tblPr>
      <w:tblInd w:w="0" w:type="dxa"/>
      <w:tblBorders>
        <w:bottom w:val="single" w:sz="4" w:space="0" w:color="A29784"/>
        <w:insideH w:val="single" w:sz="4" w:space="0" w:color="A29784"/>
        <w:insideV w:val="single" w:sz="4" w:space="0" w:color="A29784"/>
      </w:tblBorders>
      <w:tblCellMar>
        <w:top w:w="0" w:type="dxa"/>
        <w:left w:w="108" w:type="dxa"/>
        <w:bottom w:w="0" w:type="dxa"/>
        <w:right w:w="108" w:type="dxa"/>
      </w:tblCellMar>
    </w:tblPr>
  </w:style>
  <w:style w:type="paragraph" w:customStyle="1" w:styleId="ResumeHeading">
    <w:name w:val="Resume Heading"/>
    <w:basedOn w:val="Normal"/>
    <w:next w:val="Normal"/>
    <w:uiPriority w:val="99"/>
    <w:rsid w:val="00917C40"/>
    <w:pPr>
      <w:spacing w:before="240"/>
    </w:pPr>
    <w:rPr>
      <w:rFonts w:ascii="Tahoma" w:hAnsi="Tahoma"/>
      <w:b/>
      <w:smallCaps/>
      <w:sz w:val="28"/>
    </w:rPr>
  </w:style>
  <w:style w:type="paragraph" w:customStyle="1" w:styleId="Bullets-Resume">
    <w:name w:val="Bullets - Resume"/>
    <w:basedOn w:val="Normal"/>
    <w:uiPriority w:val="99"/>
    <w:rsid w:val="00917C40"/>
    <w:pPr>
      <w:numPr>
        <w:numId w:val="5"/>
      </w:numPr>
      <w:spacing w:before="240"/>
    </w:pPr>
    <w:rPr>
      <w:rFonts w:ascii="Times New Roman" w:hAnsi="Times New Roman"/>
    </w:rPr>
  </w:style>
  <w:style w:type="table" w:customStyle="1" w:styleId="TableSBAltSource">
    <w:name w:val="Table SB Alt Source"/>
    <w:uiPriority w:val="99"/>
    <w:rsid w:val="006E2DF5"/>
    <w:pPr>
      <w:spacing w:before="60" w:after="60"/>
    </w:p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table" w:customStyle="1" w:styleId="TableSBNoAltSource">
    <w:name w:val="Table SB No Alt Source"/>
    <w:basedOn w:val="TableSBAltSource"/>
    <w:uiPriority w:val="99"/>
    <w:rsid w:val="006E2DF5"/>
    <w:tblPr/>
    <w:tblStylePr w:type="firstRow">
      <w:pPr>
        <w:jc w:val="center"/>
      </w:pPr>
      <w:rPr>
        <w:rFonts w:ascii="Times New Roman" w:hAnsi="Times New Roman" w:cs="Times New Roman"/>
        <w:b/>
        <w:sz w:val="22"/>
      </w:rPr>
      <w:tblPr/>
      <w:tcPr>
        <w:tcBorders>
          <w:top w:val="single" w:sz="18" w:space="0" w:color="FFFFFF"/>
          <w:left w:val="single" w:sz="18" w:space="0" w:color="FFFFFF"/>
          <w:bottom w:val="single" w:sz="18" w:space="0" w:color="FFFFFF"/>
          <w:right w:val="single" w:sz="18" w:space="0" w:color="FFFFFF"/>
          <w:insideH w:val="nil"/>
          <w:insideV w:val="single" w:sz="18" w:space="0" w:color="FFFFFF"/>
          <w:tl2br w:val="nil"/>
          <w:tr2bl w:val="nil"/>
        </w:tcBorders>
        <w:shd w:val="clear" w:color="auto" w:fill="CCCCCC"/>
      </w:tcPr>
    </w:tblStylePr>
    <w:tblStylePr w:type="lastRow">
      <w:pPr>
        <w:spacing w:beforeLines="0" w:beforeAutospacing="0" w:afterLines="0" w:afterAutospacing="0"/>
      </w:pPr>
      <w:rPr>
        <w:rFonts w:ascii="Times New Roman" w:hAnsi="Times New Roman" w:cs="Times New Roman"/>
        <w:i/>
        <w:sz w:val="16"/>
      </w:rPr>
      <w:tblPr/>
      <w:tcPr>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l2br w:val="nil"/>
          <w:tr2bl w:val="nil"/>
        </w:tcBorders>
        <w:shd w:val="clear" w:color="auto" w:fill="FFFFFF"/>
      </w:tcPr>
    </w:tblStylePr>
    <w:tblStylePr w:type="band1Vert">
      <w:pPr>
        <w:jc w:val="right"/>
      </w:pPr>
      <w:rPr>
        <w:rFonts w:cs="Times New Roman"/>
      </w:rPr>
    </w:tblStylePr>
    <w:tblStylePr w:type="band2Vert">
      <w:pPr>
        <w:jc w:val="right"/>
      </w:pPr>
      <w:rPr>
        <w:rFonts w:cs="Times New Roman"/>
      </w:rPr>
    </w:tblStylePr>
    <w:tblStylePr w:type="band1Horz">
      <w:rPr>
        <w:rFonts w:ascii="Times New Roman" w:hAnsi="Times New Roman" w:cs="Times New Roman"/>
        <w:sz w:val="22"/>
      </w:rPr>
      <w:tblPr/>
      <w:tcPr>
        <w:shd w:val="clear" w:color="auto" w:fill="F3F3F3"/>
      </w:tcPr>
    </w:tblStylePr>
    <w:tblStylePr w:type="band2Horz">
      <w:rPr>
        <w:rFonts w:ascii="Times New Roman" w:hAnsi="Times New Roman" w:cs="Times New Roman"/>
        <w:sz w:val="22"/>
      </w:rPr>
      <w:tblPr/>
      <w:tcPr>
        <w:tcBorders>
          <w:top w:val="single" w:sz="18" w:space="0" w:color="FFFFFF"/>
          <w:left w:val="single" w:sz="18" w:space="0" w:color="FFFFFF"/>
          <w:bottom w:val="nil"/>
          <w:right w:val="single" w:sz="18" w:space="0" w:color="FFFFFF"/>
          <w:insideH w:val="nil"/>
          <w:insideV w:val="single" w:sz="18" w:space="0" w:color="FFFFFF"/>
          <w:tl2br w:val="nil"/>
          <w:tr2bl w:val="nil"/>
        </w:tcBorders>
        <w:shd w:val="clear" w:color="auto" w:fill="F3F3F3"/>
      </w:tcPr>
    </w:tblStylePr>
    <w:tblStylePr w:type="nwCell">
      <w:pPr>
        <w:jc w:val="left"/>
      </w:pPr>
      <w:rPr>
        <w:rFonts w:cs="Times New Roman"/>
      </w:rPr>
    </w:tblStylePr>
  </w:style>
  <w:style w:type="paragraph" w:customStyle="1" w:styleId="TOCtitle0">
    <w:name w:val="TOC title"/>
    <w:basedOn w:val="Normal"/>
    <w:next w:val="Normal"/>
    <w:uiPriority w:val="99"/>
    <w:rsid w:val="00917C40"/>
    <w:pPr>
      <w:spacing w:before="240" w:after="240"/>
      <w:jc w:val="center"/>
    </w:pPr>
    <w:rPr>
      <w:rFonts w:ascii="Tahoma" w:hAnsi="Tahoma"/>
      <w:b/>
      <w:smallCaps/>
      <w:sz w:val="36"/>
      <w:szCs w:val="28"/>
    </w:rPr>
  </w:style>
  <w:style w:type="paragraph" w:customStyle="1" w:styleId="Tabletext">
    <w:name w:val="Table text"/>
    <w:basedOn w:val="Normal"/>
    <w:uiPriority w:val="99"/>
    <w:rsid w:val="00917C40"/>
    <w:pPr>
      <w:spacing w:before="60"/>
    </w:pPr>
    <w:rPr>
      <w:rFonts w:ascii="Times New Roman" w:hAnsi="Times New Roman"/>
    </w:rPr>
  </w:style>
  <w:style w:type="paragraph" w:customStyle="1" w:styleId="ReportTitle">
    <w:name w:val="Report Title"/>
    <w:basedOn w:val="Normal"/>
    <w:uiPriority w:val="99"/>
    <w:rsid w:val="00917C40"/>
    <w:pPr>
      <w:spacing w:before="240"/>
      <w:jc w:val="right"/>
    </w:pPr>
    <w:rPr>
      <w:rFonts w:ascii="Tahoma" w:hAnsi="Tahoma" w:cs="Tahoma"/>
      <w:b/>
      <w:smallCaps/>
      <w:sz w:val="56"/>
      <w:szCs w:val="52"/>
    </w:rPr>
  </w:style>
  <w:style w:type="paragraph" w:customStyle="1" w:styleId="ESHeading2">
    <w:name w:val="ES Heading 2"/>
    <w:basedOn w:val="Heading2"/>
    <w:next w:val="Normal"/>
    <w:uiPriority w:val="99"/>
    <w:rsid w:val="00917C40"/>
    <w:pPr>
      <w:tabs>
        <w:tab w:val="left" w:pos="1080"/>
      </w:tabs>
      <w:spacing w:line="25" w:lineRule="atLeast"/>
    </w:pPr>
    <w:rPr>
      <w:rFonts w:ascii="Tahoma" w:hAnsi="Tahoma" w:cs="Times New Roman"/>
      <w:bCs/>
      <w:i w:val="0"/>
      <w:iCs w:val="0"/>
      <w:sz w:val="36"/>
      <w:szCs w:val="36"/>
    </w:rPr>
  </w:style>
  <w:style w:type="paragraph" w:customStyle="1" w:styleId="note">
    <w:name w:val="note"/>
    <w:basedOn w:val="Normal"/>
    <w:uiPriority w:val="99"/>
    <w:rsid w:val="00917C40"/>
    <w:pPr>
      <w:ind w:left="187"/>
    </w:pPr>
    <w:rPr>
      <w:rFonts w:ascii="Times New Roman" w:hAnsi="Times New Roman"/>
      <w:i/>
    </w:rPr>
  </w:style>
  <w:style w:type="paragraph" w:customStyle="1" w:styleId="Bullets-Short">
    <w:name w:val="Bullets -  Short"/>
    <w:basedOn w:val="Normal"/>
    <w:autoRedefine/>
    <w:uiPriority w:val="99"/>
    <w:rsid w:val="00917C40"/>
    <w:pPr>
      <w:tabs>
        <w:tab w:val="num" w:pos="1080"/>
      </w:tabs>
      <w:ind w:left="720"/>
    </w:pPr>
    <w:rPr>
      <w:rFonts w:ascii="Times New Roman" w:hAnsi="Times New Roman"/>
    </w:rPr>
  </w:style>
  <w:style w:type="paragraph" w:customStyle="1" w:styleId="Tableheading">
    <w:name w:val="Table heading"/>
    <w:basedOn w:val="Normal"/>
    <w:uiPriority w:val="99"/>
    <w:rsid w:val="00917C40"/>
    <w:pPr>
      <w:spacing w:before="240" w:after="60"/>
      <w:jc w:val="center"/>
    </w:pPr>
    <w:rPr>
      <w:rFonts w:ascii="Times New Roman" w:hAnsi="Times New Roman"/>
      <w:b/>
    </w:rPr>
  </w:style>
  <w:style w:type="table" w:customStyle="1" w:styleId="TableSBNoSource">
    <w:name w:val="Table SB No Source"/>
    <w:uiPriority w:val="99"/>
    <w:rsid w:val="006E2DF5"/>
    <w:pPr>
      <w:spacing w:before="60" w:after="60"/>
    </w:p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tcPr>
      <w:shd w:val="clear" w:color="auto" w:fill="F3F3F3"/>
    </w:tcPr>
  </w:style>
  <w:style w:type="paragraph" w:customStyle="1" w:styleId="Figure">
    <w:name w:val="Figure"/>
    <w:basedOn w:val="Normal"/>
    <w:uiPriority w:val="99"/>
    <w:rsid w:val="00917C40"/>
    <w:rPr>
      <w:rFonts w:ascii="Times New Roman" w:hAnsi="Times New Roman"/>
    </w:rPr>
  </w:style>
  <w:style w:type="paragraph" w:customStyle="1" w:styleId="Bullets">
    <w:name w:val="Bullets"/>
    <w:basedOn w:val="Normal"/>
    <w:uiPriority w:val="99"/>
    <w:rsid w:val="00917C40"/>
    <w:pPr>
      <w:numPr>
        <w:numId w:val="3"/>
      </w:numPr>
      <w:tabs>
        <w:tab w:val="left" w:pos="720"/>
      </w:tabs>
      <w:spacing w:before="240"/>
    </w:pPr>
    <w:rPr>
      <w:rFonts w:ascii="Times New Roman" w:hAnsi="Times New Roman"/>
    </w:rPr>
  </w:style>
  <w:style w:type="paragraph" w:styleId="ListBullet">
    <w:name w:val="List Bullet"/>
    <w:basedOn w:val="BodyText"/>
    <w:unhideWhenUsed/>
    <w:qFormat/>
    <w:rsid w:val="00E9032C"/>
    <w:pPr>
      <w:numPr>
        <w:numId w:val="38"/>
      </w:numPr>
      <w:tabs>
        <w:tab w:val="clear" w:pos="360"/>
        <w:tab w:val="num" w:pos="720"/>
      </w:tabs>
      <w:spacing w:after="120"/>
    </w:pPr>
  </w:style>
  <w:style w:type="paragraph" w:customStyle="1" w:styleId="ReportSubtitle">
    <w:name w:val="Report Subtitle"/>
    <w:basedOn w:val="Normal"/>
    <w:uiPriority w:val="99"/>
    <w:rsid w:val="00917C40"/>
    <w:pPr>
      <w:spacing w:before="240"/>
      <w:jc w:val="right"/>
    </w:pPr>
    <w:rPr>
      <w:rFonts w:ascii="Tahoma" w:hAnsi="Tahoma" w:cs="Tahoma"/>
      <w:b/>
      <w:sz w:val="40"/>
      <w:szCs w:val="40"/>
    </w:rPr>
  </w:style>
  <w:style w:type="paragraph" w:customStyle="1" w:styleId="StyleTOC2Left01">
    <w:name w:val="Style TOC 2 + Left:  0&quot;1"/>
    <w:basedOn w:val="TOC2"/>
    <w:uiPriority w:val="99"/>
    <w:rsid w:val="00917C40"/>
    <w:pPr>
      <w:tabs>
        <w:tab w:val="left" w:pos="1440"/>
        <w:tab w:val="center" w:leader="dot" w:pos="9360"/>
      </w:tabs>
      <w:ind w:left="0" w:firstLine="0"/>
    </w:pPr>
    <w:rPr>
      <w:rFonts w:ascii="Tahoma" w:hAnsi="Tahoma"/>
    </w:rPr>
  </w:style>
  <w:style w:type="paragraph" w:customStyle="1" w:styleId="Contactinfo">
    <w:name w:val="Contact info"/>
    <w:basedOn w:val="Normal"/>
    <w:uiPriority w:val="99"/>
    <w:rsid w:val="00E9032C"/>
    <w:pPr>
      <w:suppressAutoHyphens w:val="0"/>
      <w:autoSpaceDN/>
      <w:spacing w:before="0" w:after="0"/>
    </w:pPr>
    <w:rPr>
      <w:szCs w:val="20"/>
    </w:rPr>
  </w:style>
  <w:style w:type="paragraph" w:customStyle="1" w:styleId="AppendixTitle">
    <w:name w:val="Appendix Title"/>
    <w:basedOn w:val="Normal"/>
    <w:uiPriority w:val="99"/>
    <w:rsid w:val="00917C40"/>
    <w:pPr>
      <w:pageBreakBefore/>
      <w:spacing w:before="1680"/>
      <w:jc w:val="center"/>
    </w:pPr>
    <w:rPr>
      <w:rFonts w:ascii="Tahoma" w:hAnsi="Tahoma"/>
      <w:b/>
      <w:smallCaps/>
      <w:sz w:val="36"/>
    </w:rPr>
  </w:style>
  <w:style w:type="paragraph" w:customStyle="1" w:styleId="Source">
    <w:name w:val="Source"/>
    <w:basedOn w:val="Normal"/>
    <w:link w:val="SourceChar"/>
    <w:rsid w:val="00917C40"/>
    <w:rPr>
      <w:i/>
      <w:color w:val="000000" w:themeColor="text1"/>
      <w:sz w:val="16"/>
    </w:rPr>
  </w:style>
  <w:style w:type="paragraph" w:customStyle="1" w:styleId="Drafttitle">
    <w:name w:val="Draft title"/>
    <w:basedOn w:val="Normal"/>
    <w:uiPriority w:val="99"/>
    <w:rsid w:val="00917C40"/>
    <w:pPr>
      <w:spacing w:before="240"/>
    </w:pPr>
    <w:rPr>
      <w:rFonts w:ascii="Tahoma" w:hAnsi="Tahoma"/>
      <w:color w:val="FFFFFF"/>
      <w:sz w:val="36"/>
    </w:rPr>
  </w:style>
  <w:style w:type="paragraph" w:customStyle="1" w:styleId="Bullets-Short0">
    <w:name w:val="Bullets - Short"/>
    <w:basedOn w:val="Bullets"/>
    <w:uiPriority w:val="99"/>
    <w:rsid w:val="00917C40"/>
    <w:pPr>
      <w:numPr>
        <w:numId w:val="0"/>
      </w:numPr>
      <w:tabs>
        <w:tab w:val="num" w:pos="720"/>
      </w:tabs>
      <w:spacing w:before="120"/>
      <w:ind w:left="720" w:hanging="360"/>
    </w:pPr>
  </w:style>
  <w:style w:type="paragraph" w:customStyle="1" w:styleId="Bullets-Long">
    <w:name w:val="Bullets - Long"/>
    <w:basedOn w:val="Normal"/>
    <w:autoRedefine/>
    <w:uiPriority w:val="99"/>
    <w:rsid w:val="00917C40"/>
    <w:pPr>
      <w:numPr>
        <w:numId w:val="4"/>
      </w:numPr>
    </w:pPr>
    <w:rPr>
      <w:iCs/>
    </w:rPr>
  </w:style>
  <w:style w:type="paragraph" w:customStyle="1" w:styleId="Bullets-Square">
    <w:name w:val="Bullets - Square"/>
    <w:basedOn w:val="Normal"/>
    <w:uiPriority w:val="99"/>
    <w:rsid w:val="00917C40"/>
    <w:pPr>
      <w:numPr>
        <w:numId w:val="7"/>
      </w:numPr>
      <w:tabs>
        <w:tab w:val="left" w:pos="720"/>
      </w:tabs>
      <w:spacing w:before="240"/>
    </w:pPr>
    <w:rPr>
      <w:rFonts w:ascii="Times New Roman" w:hAnsi="Times New Roman"/>
    </w:rPr>
  </w:style>
  <w:style w:type="table" w:customStyle="1" w:styleId="TableStyle1">
    <w:name w:val="Table Style1"/>
    <w:uiPriority w:val="99"/>
    <w:rsid w:val="006E2DF5"/>
    <w:pPr>
      <w:spacing w:after="240"/>
    </w:pPr>
    <w:tblPr>
      <w:tblInd w:w="0" w:type="dxa"/>
      <w:tblCellMar>
        <w:top w:w="0" w:type="dxa"/>
        <w:left w:w="108" w:type="dxa"/>
        <w:bottom w:w="0" w:type="dxa"/>
        <w:right w:w="108" w:type="dxa"/>
      </w:tblCellMar>
    </w:tblPr>
  </w:style>
  <w:style w:type="paragraph" w:customStyle="1" w:styleId="ESHeading3">
    <w:name w:val="ES Heading 3"/>
    <w:basedOn w:val="Heading3"/>
    <w:next w:val="Normal"/>
    <w:rsid w:val="00917C40"/>
    <w:pPr>
      <w:tabs>
        <w:tab w:val="left" w:pos="1080"/>
      </w:tabs>
      <w:ind w:left="1080" w:hanging="1080"/>
    </w:pPr>
    <w:rPr>
      <w:rFonts w:ascii="Tahoma" w:hAnsi="Tahoma"/>
      <w:sz w:val="32"/>
      <w:szCs w:val="32"/>
    </w:rPr>
  </w:style>
  <w:style w:type="paragraph" w:customStyle="1" w:styleId="StyleES-Heading1TopNoborderBottomNoborderLeft">
    <w:name w:val="Style ES - Heading 1 + Top: (No border) Bottom: (No border) Left:..."/>
    <w:basedOn w:val="Normal"/>
    <w:uiPriority w:val="99"/>
    <w:rsid w:val="00917C40"/>
    <w:pPr>
      <w:spacing w:before="240"/>
    </w:pPr>
    <w:rPr>
      <w:rFonts w:ascii="Times New Roman" w:hAnsi="Times New Roman"/>
      <w:bCs/>
    </w:rPr>
  </w:style>
  <w:style w:type="table" w:styleId="TableGrid1">
    <w:name w:val="Table Grid 1"/>
    <w:basedOn w:val="TableNormal"/>
    <w:uiPriority w:val="99"/>
    <w:rsid w:val="00917C40"/>
    <w:pPr>
      <w:spacing w:before="240" w:after="240" w:line="30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tabletext0">
    <w:name w:val="table text"/>
    <w:basedOn w:val="Normal"/>
    <w:uiPriority w:val="99"/>
    <w:rsid w:val="00917C40"/>
    <w:pPr>
      <w:framePr w:hSpace="180" w:wrap="around" w:hAnchor="margin" w:xAlign="center" w:y="558"/>
      <w:spacing w:before="60" w:after="60"/>
    </w:pPr>
    <w:rPr>
      <w:rFonts w:ascii="Times New Roman" w:hAnsi="Times New Roman"/>
    </w:rPr>
  </w:style>
  <w:style w:type="paragraph" w:customStyle="1" w:styleId="ESHeading1">
    <w:name w:val="ES Heading 1"/>
    <w:next w:val="Normal"/>
    <w:uiPriority w:val="99"/>
    <w:rsid w:val="00917C40"/>
    <w:pPr>
      <w:keepNext/>
      <w:pageBreakBefore/>
      <w:numPr>
        <w:numId w:val="9"/>
      </w:numPr>
      <w:spacing w:before="240" w:after="240"/>
    </w:pPr>
    <w:rPr>
      <w:rFonts w:ascii="Tahoma" w:hAnsi="Tahoma"/>
      <w:b/>
      <w:bCs/>
      <w:smallCaps/>
      <w:sz w:val="40"/>
      <w:szCs w:val="40"/>
    </w:rPr>
  </w:style>
  <w:style w:type="paragraph" w:customStyle="1" w:styleId="ResumeBullets">
    <w:name w:val="Resume Bullets"/>
    <w:basedOn w:val="Normal"/>
    <w:uiPriority w:val="99"/>
    <w:rsid w:val="00917C40"/>
    <w:pPr>
      <w:numPr>
        <w:numId w:val="13"/>
      </w:numPr>
      <w:tabs>
        <w:tab w:val="left" w:pos="432"/>
      </w:tabs>
      <w:spacing w:before="40"/>
    </w:pPr>
    <w:rPr>
      <w:rFonts w:ascii="Times New Roman" w:hAnsi="Times New Roman"/>
    </w:rPr>
  </w:style>
  <w:style w:type="paragraph" w:customStyle="1" w:styleId="StyleHeading3NoIndentNounderline">
    <w:name w:val="Style Heading 3No Indent + No underline"/>
    <w:basedOn w:val="Heading3"/>
    <w:autoRedefine/>
    <w:uiPriority w:val="99"/>
    <w:rsid w:val="00917C40"/>
    <w:pPr>
      <w:tabs>
        <w:tab w:val="num" w:pos="1080"/>
      </w:tabs>
      <w:spacing w:line="25" w:lineRule="atLeast"/>
      <w:ind w:left="1080" w:hanging="1080"/>
    </w:pPr>
    <w:rPr>
      <w:sz w:val="32"/>
      <w:szCs w:val="28"/>
    </w:rPr>
  </w:style>
  <w:style w:type="paragraph" w:styleId="ListParagraph">
    <w:name w:val="List Paragraph"/>
    <w:aliases w:val="Bulleted List Paragraph,Resume Bullett,Bullet Points,Bullet Styles para,Dot pt,Indicator Text,List Paragraph - RFP,List Paragraph Char Char Char,List Paragraph1,MAIN CONTENT,No Spacing1,Numbered Para 1,Numbered Standard,TOC etc.,lp1"/>
    <w:basedOn w:val="BodyText"/>
    <w:link w:val="ListParagraphChar"/>
    <w:uiPriority w:val="34"/>
    <w:qFormat/>
    <w:rsid w:val="00E9032C"/>
    <w:pPr>
      <w:spacing w:before="120" w:after="120"/>
      <w:ind w:left="720"/>
    </w:pPr>
  </w:style>
  <w:style w:type="paragraph" w:customStyle="1" w:styleId="GraphFootnote">
    <w:name w:val="Graph Footnote"/>
    <w:basedOn w:val="Normal"/>
    <w:next w:val="Normal"/>
    <w:uiPriority w:val="99"/>
    <w:rsid w:val="00917C40"/>
    <w:rPr>
      <w:rFonts w:ascii="Arial Narrow" w:hAnsi="Arial Narrow"/>
      <w:sz w:val="18"/>
    </w:rPr>
  </w:style>
  <w:style w:type="paragraph" w:customStyle="1" w:styleId="Question">
    <w:name w:val="Question"/>
    <w:basedOn w:val="Normal"/>
    <w:next w:val="Normal"/>
    <w:link w:val="QuestionChar"/>
    <w:rsid w:val="00917C40"/>
    <w:pPr>
      <w:spacing w:before="240"/>
      <w:ind w:left="432" w:hanging="432"/>
    </w:pPr>
    <w:rPr>
      <w:rFonts w:ascii="Times New Roman" w:hAnsi="Times New Roman"/>
      <w:color w:val="000080"/>
    </w:rPr>
  </w:style>
  <w:style w:type="paragraph" w:customStyle="1" w:styleId="SingleSpaceNormal">
    <w:name w:val="Single Space Normal"/>
    <w:basedOn w:val="Normal"/>
    <w:uiPriority w:val="99"/>
    <w:rsid w:val="00917C40"/>
    <w:pPr>
      <w:spacing w:before="240"/>
    </w:pPr>
    <w:rPr>
      <w:rFonts w:ascii="Times New Roman" w:hAnsi="Times New Roman"/>
    </w:rPr>
  </w:style>
  <w:style w:type="paragraph" w:customStyle="1" w:styleId="Answer">
    <w:name w:val="Answer"/>
    <w:basedOn w:val="Normal"/>
    <w:uiPriority w:val="99"/>
    <w:rsid w:val="00917C40"/>
    <w:pPr>
      <w:spacing w:before="240"/>
      <w:ind w:left="432"/>
    </w:pPr>
    <w:rPr>
      <w:rFonts w:ascii="Times New Roman" w:hAnsi="Times New Roman"/>
    </w:rPr>
  </w:style>
  <w:style w:type="paragraph" w:customStyle="1" w:styleId="AnswerNumbered">
    <w:name w:val="Answer Numbered"/>
    <w:basedOn w:val="Normal"/>
    <w:uiPriority w:val="99"/>
    <w:rsid w:val="00E9032C"/>
    <w:pPr>
      <w:numPr>
        <w:numId w:val="16"/>
      </w:numPr>
      <w:suppressAutoHyphens w:val="0"/>
      <w:autoSpaceDN/>
      <w:spacing w:before="0" w:after="0"/>
    </w:pPr>
    <w:rPr>
      <w:szCs w:val="20"/>
    </w:rPr>
  </w:style>
  <w:style w:type="paragraph" w:styleId="DocumentMap">
    <w:name w:val="Document Map"/>
    <w:basedOn w:val="Normal"/>
    <w:link w:val="DocumentMapChar"/>
    <w:unhideWhenUsed/>
    <w:rsid w:val="00E9032C"/>
    <w:pPr>
      <w:suppressAutoHyphens w:val="0"/>
      <w:autoSpaceDN/>
      <w:spacing w:before="0" w:after="0"/>
    </w:pPr>
    <w:rPr>
      <w:rFonts w:ascii="Segoe UI" w:hAnsi="Segoe UI" w:cs="Segoe UI"/>
      <w:sz w:val="16"/>
      <w:szCs w:val="16"/>
    </w:rPr>
  </w:style>
  <w:style w:type="character" w:customStyle="1" w:styleId="DocumentMapChar">
    <w:name w:val="Document Map Char"/>
    <w:basedOn w:val="DefaultParagraphFont"/>
    <w:link w:val="DocumentMap"/>
    <w:locked/>
    <w:rsid w:val="00E9032C"/>
    <w:rPr>
      <w:rFonts w:ascii="Segoe UI" w:hAnsi="Segoe UI" w:cs="Segoe UI"/>
      <w:sz w:val="16"/>
      <w:szCs w:val="16"/>
    </w:rPr>
  </w:style>
  <w:style w:type="character" w:customStyle="1" w:styleId="CaptionChar">
    <w:name w:val="Caption Char"/>
    <w:aliases w:val="Table/Figure Caption Char,Table Caption Char,Caption Char1 Char Char"/>
    <w:link w:val="Caption"/>
    <w:rsid w:val="00E9032C"/>
    <w:rPr>
      <w:rFonts w:ascii="Arial" w:hAnsi="Arial" w:cs="Arial"/>
      <w:b/>
      <w:bCs/>
      <w:sz w:val="22"/>
    </w:rPr>
  </w:style>
  <w:style w:type="paragraph" w:customStyle="1" w:styleId="Bullets-SingleSpace">
    <w:name w:val="Bullets - Single Space"/>
    <w:basedOn w:val="Bullets"/>
    <w:uiPriority w:val="99"/>
    <w:rsid w:val="00917C40"/>
    <w:pPr>
      <w:numPr>
        <w:numId w:val="6"/>
      </w:numPr>
      <w:tabs>
        <w:tab w:val="clear" w:pos="720"/>
      </w:tabs>
      <w:spacing w:before="0"/>
    </w:pPr>
  </w:style>
  <w:style w:type="paragraph" w:styleId="EndnoteText">
    <w:name w:val="endnote text"/>
    <w:basedOn w:val="Normal"/>
    <w:link w:val="EndnoteTextChar"/>
    <w:rsid w:val="00E9032C"/>
    <w:pPr>
      <w:suppressAutoHyphens w:val="0"/>
      <w:autoSpaceDN/>
      <w:spacing w:before="0" w:after="0"/>
    </w:pPr>
    <w:rPr>
      <w:szCs w:val="20"/>
    </w:rPr>
  </w:style>
  <w:style w:type="character" w:customStyle="1" w:styleId="EndnoteTextChar">
    <w:name w:val="Endnote Text Char"/>
    <w:basedOn w:val="DefaultParagraphFont"/>
    <w:link w:val="EndnoteText"/>
    <w:locked/>
    <w:rsid w:val="00E9032C"/>
    <w:rPr>
      <w:rFonts w:ascii="Arial" w:hAnsi="Arial"/>
      <w:sz w:val="22"/>
    </w:rPr>
  </w:style>
  <w:style w:type="character" w:styleId="EndnoteReference">
    <w:name w:val="endnote reference"/>
    <w:rsid w:val="00E9032C"/>
    <w:rPr>
      <w:rFonts w:ascii="Arial" w:hAnsi="Arial"/>
      <w:color w:val="555759"/>
      <w:vertAlign w:val="superscript"/>
    </w:rPr>
  </w:style>
  <w:style w:type="character" w:styleId="CommentReference">
    <w:name w:val="annotation reference"/>
    <w:basedOn w:val="DefaultParagraphFont"/>
    <w:rsid w:val="00E9032C"/>
    <w:rPr>
      <w:sz w:val="16"/>
      <w:szCs w:val="16"/>
    </w:rPr>
  </w:style>
  <w:style w:type="paragraph" w:styleId="CommentSubject">
    <w:name w:val="annotation subject"/>
    <w:basedOn w:val="CommentText"/>
    <w:next w:val="CommentText"/>
    <w:link w:val="CommentSubjectChar"/>
    <w:rsid w:val="00E9032C"/>
    <w:rPr>
      <w:b/>
      <w:bCs/>
    </w:rPr>
  </w:style>
  <w:style w:type="character" w:customStyle="1" w:styleId="CommentSubjectChar">
    <w:name w:val="Comment Subject Char"/>
    <w:basedOn w:val="CommentTextChar"/>
    <w:link w:val="CommentSubject"/>
    <w:locked/>
    <w:rsid w:val="00E9032C"/>
    <w:rPr>
      <w:b/>
      <w:bCs/>
    </w:rPr>
  </w:style>
  <w:style w:type="paragraph" w:customStyle="1" w:styleId="MTDisplayEquation">
    <w:name w:val="MTDisplayEquation"/>
    <w:basedOn w:val="Normal"/>
    <w:uiPriority w:val="99"/>
    <w:rsid w:val="00917C40"/>
    <w:pPr>
      <w:spacing w:before="240"/>
      <w:ind w:left="60"/>
    </w:pPr>
    <w:rPr>
      <w:rFonts w:ascii="Times New Roman" w:hAnsi="Times New Roman"/>
    </w:rPr>
  </w:style>
  <w:style w:type="paragraph" w:customStyle="1" w:styleId="Bullet1">
    <w:name w:val="Bullet 1"/>
    <w:basedOn w:val="Normal"/>
    <w:next w:val="BodyText"/>
    <w:uiPriority w:val="99"/>
    <w:rsid w:val="00917C40"/>
    <w:pPr>
      <w:tabs>
        <w:tab w:val="num" w:pos="0"/>
      </w:tabs>
      <w:jc w:val="both"/>
    </w:pPr>
    <w:rPr>
      <w:rFonts w:ascii="Franklin Gothic Book" w:hAnsi="Franklin Gothic Book"/>
      <w:sz w:val="24"/>
    </w:rPr>
  </w:style>
  <w:style w:type="paragraph" w:customStyle="1" w:styleId="Bullet2">
    <w:name w:val="Bullet 2"/>
    <w:basedOn w:val="Normal"/>
    <w:next w:val="BodyText"/>
    <w:uiPriority w:val="99"/>
    <w:rsid w:val="00917C40"/>
    <w:pPr>
      <w:tabs>
        <w:tab w:val="num" w:pos="720"/>
      </w:tabs>
      <w:ind w:left="720" w:hanging="360"/>
      <w:jc w:val="both"/>
    </w:pPr>
    <w:rPr>
      <w:rFonts w:ascii="Franklin Gothic Book" w:hAnsi="Franklin Gothic Book"/>
      <w:sz w:val="24"/>
    </w:rPr>
  </w:style>
  <w:style w:type="table" w:styleId="LightShading-Accent5">
    <w:name w:val="Light Shading Accent 5"/>
    <w:basedOn w:val="TableNormal"/>
    <w:uiPriority w:val="99"/>
    <w:rsid w:val="00917C40"/>
    <w:pPr>
      <w:spacing w:after="240"/>
    </w:pPr>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character" w:customStyle="1" w:styleId="bodycopy">
    <w:name w:val="bodycopy"/>
    <w:basedOn w:val="DefaultParagraphFont"/>
    <w:uiPriority w:val="99"/>
    <w:rsid w:val="00917C40"/>
    <w:rPr>
      <w:rFonts w:cs="Times New Roman"/>
    </w:rPr>
  </w:style>
  <w:style w:type="paragraph" w:styleId="TOCHeading">
    <w:name w:val="TOC Heading"/>
    <w:aliases w:val="TOC Heading (Not in TOC)"/>
    <w:basedOn w:val="Heading10"/>
    <w:next w:val="BodyText"/>
    <w:link w:val="TOCHeadingChar"/>
    <w:autoRedefine/>
    <w:uiPriority w:val="39"/>
    <w:unhideWhenUsed/>
    <w:qFormat/>
    <w:rsid w:val="00141312"/>
    <w:pPr>
      <w:numPr>
        <w:numId w:val="0"/>
      </w:numPr>
      <w:suppressAutoHyphens w:val="0"/>
      <w:autoSpaceDN/>
      <w:spacing w:before="120" w:after="240"/>
      <w:ind w:left="360"/>
      <w:outlineLvl w:val="9"/>
    </w:pPr>
    <w:rPr>
      <w:rFonts w:eastAsia="Calibri" w:cs="Times New Roman"/>
      <w:bCs w:val="0"/>
      <w:kern w:val="0"/>
      <w:sz w:val="40"/>
      <w:szCs w:val="40"/>
    </w:rPr>
  </w:style>
  <w:style w:type="table" w:customStyle="1" w:styleId="ComEdReportTable">
    <w:name w:val="ComEdReportTable"/>
    <w:uiPriority w:val="99"/>
    <w:qFormat/>
    <w:rsid w:val="006E2DF5"/>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paragraph" w:customStyle="1" w:styleId="Bullets-Long2ndlevel">
    <w:name w:val="Bullets - Long 2nd level"/>
    <w:basedOn w:val="Bullets-Long"/>
    <w:uiPriority w:val="99"/>
    <w:rsid w:val="00917C40"/>
    <w:pPr>
      <w:tabs>
        <w:tab w:val="num" w:pos="1080"/>
      </w:tabs>
      <w:ind w:left="1080"/>
    </w:pPr>
  </w:style>
  <w:style w:type="paragraph" w:styleId="Quote">
    <w:name w:val="Quote"/>
    <w:basedOn w:val="Normal"/>
    <w:next w:val="Normal"/>
    <w:link w:val="QuoteChar"/>
    <w:uiPriority w:val="29"/>
    <w:rsid w:val="00E9032C"/>
    <w:pPr>
      <w:suppressAutoHyphens w:val="0"/>
      <w:autoSpaceDN/>
      <w:spacing w:before="200" w:after="160"/>
      <w:ind w:left="864" w:right="864"/>
      <w:jc w:val="center"/>
    </w:pPr>
    <w:rPr>
      <w:i/>
      <w:iCs/>
      <w:color w:val="404040" w:themeColor="text1" w:themeTint="BF"/>
      <w:szCs w:val="20"/>
    </w:rPr>
  </w:style>
  <w:style w:type="character" w:customStyle="1" w:styleId="QuoteChar">
    <w:name w:val="Quote Char"/>
    <w:basedOn w:val="DefaultParagraphFont"/>
    <w:link w:val="Quote"/>
    <w:uiPriority w:val="29"/>
    <w:locked/>
    <w:rsid w:val="00E9032C"/>
    <w:rPr>
      <w:rFonts w:ascii="Arial" w:hAnsi="Arial"/>
      <w:i/>
      <w:iCs/>
      <w:color w:val="404040" w:themeColor="text1" w:themeTint="BF"/>
      <w:sz w:val="22"/>
    </w:rPr>
  </w:style>
  <w:style w:type="table" w:customStyle="1" w:styleId="ComEdReportTable1">
    <w:name w:val="ComEdReportTable1"/>
    <w:uiPriority w:val="99"/>
    <w:rsid w:val="006E2DF5"/>
    <w:rPr>
      <w:sz w:val="22"/>
      <w:szCs w:val="22"/>
    </w:r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paragraph" w:styleId="Revision">
    <w:name w:val="Revision"/>
    <w:hidden/>
    <w:uiPriority w:val="99"/>
    <w:semiHidden/>
    <w:rsid w:val="006E2DF5"/>
    <w:rPr>
      <w:rFonts w:ascii="Palatino Linotype" w:hAnsi="Palatino Linotype"/>
      <w:szCs w:val="24"/>
    </w:rPr>
  </w:style>
  <w:style w:type="table" w:customStyle="1" w:styleId="Style31">
    <w:name w:val="Style31"/>
    <w:uiPriority w:val="99"/>
    <w:rsid w:val="006E2DF5"/>
    <w:pPr>
      <w:jc w:val="center"/>
    </w:pPr>
    <w:rPr>
      <w:rFonts w:ascii="Palatino Linotype" w:hAnsi="Palatino Linotype"/>
    </w:rPr>
    <w:tblPr>
      <w:tblInd w:w="0" w:type="dxa"/>
      <w:tblBorders>
        <w:bottom w:val="single" w:sz="4" w:space="0" w:color="A29784"/>
        <w:insideH w:val="single" w:sz="4" w:space="0" w:color="A29784"/>
        <w:insideV w:val="single" w:sz="4" w:space="0" w:color="A29784"/>
      </w:tblBorders>
      <w:tblCellMar>
        <w:top w:w="0" w:type="dxa"/>
        <w:left w:w="108" w:type="dxa"/>
        <w:bottom w:w="0" w:type="dxa"/>
        <w:right w:w="108" w:type="dxa"/>
      </w:tblCellMar>
    </w:tblPr>
  </w:style>
  <w:style w:type="character" w:styleId="BookTitle">
    <w:name w:val="Book Title"/>
    <w:uiPriority w:val="33"/>
    <w:rsid w:val="00917C40"/>
    <w:rPr>
      <w:rFonts w:cs="Times New Roman"/>
      <w:b/>
      <w:bCs/>
      <w:smallCaps/>
      <w:spacing w:val="5"/>
    </w:rPr>
  </w:style>
  <w:style w:type="character" w:customStyle="1" w:styleId="ListParagraphChar">
    <w:name w:val="List Paragraph Char"/>
    <w:aliases w:val="Bulleted List Paragraph Char,Resume Bullett Char,Bullet Points Char,Bullet Styles para Char,Dot pt Char,Indicator Text Char,List Paragraph - RFP Char,List Paragraph Char Char Char Char,List Paragraph1 Char,MAIN CONTENT Char,lp1 Char"/>
    <w:link w:val="ListParagraph"/>
    <w:uiPriority w:val="34"/>
    <w:locked/>
    <w:rsid w:val="00E9032C"/>
    <w:rPr>
      <w:rFonts w:ascii="Arial" w:hAnsi="Arial"/>
      <w:sz w:val="22"/>
    </w:rPr>
  </w:style>
  <w:style w:type="paragraph" w:customStyle="1" w:styleId="4thLevelHeadingStyle">
    <w:name w:val="4th Level Heading Style"/>
    <w:basedOn w:val="Normal"/>
    <w:link w:val="4thLevelHeadingStyleChar"/>
    <w:uiPriority w:val="99"/>
    <w:rsid w:val="00917C40"/>
    <w:pPr>
      <w:keepNext/>
      <w:tabs>
        <w:tab w:val="left" w:pos="360"/>
        <w:tab w:val="left" w:pos="720"/>
        <w:tab w:val="left" w:pos="1080"/>
        <w:tab w:val="left" w:pos="1440"/>
      </w:tabs>
      <w:spacing w:before="240" w:after="240"/>
    </w:pPr>
    <w:rPr>
      <w:b/>
    </w:rPr>
  </w:style>
  <w:style w:type="character" w:customStyle="1" w:styleId="4thLevelHeadingStyleChar">
    <w:name w:val="4th Level Heading Style Char"/>
    <w:basedOn w:val="DefaultParagraphFont"/>
    <w:link w:val="4thLevelHeadingStyle"/>
    <w:uiPriority w:val="99"/>
    <w:locked/>
    <w:rsid w:val="00917C40"/>
    <w:rPr>
      <w:rFonts w:ascii="Arial" w:hAnsi="Arial"/>
      <w:b/>
      <w:sz w:val="22"/>
    </w:rPr>
  </w:style>
  <w:style w:type="character" w:customStyle="1" w:styleId="Heading1Char1">
    <w:name w:val="Heading 1 Char1"/>
    <w:aliases w:val="Heading 1 Char Char1,Heading 1 Char Char Char11,Heading 1 Char Char Char Char11,Heading 1 Char Char Char Char Char11,Heading 1 Char Char Char Char Char Char11,Heading 1 Char Char Char Char Char Char Char11"/>
    <w:uiPriority w:val="99"/>
    <w:locked/>
    <w:rsid w:val="00917C40"/>
  </w:style>
  <w:style w:type="paragraph" w:customStyle="1" w:styleId="pJ">
    <w:name w:val="pJ"/>
    <w:next w:val="Normal4"/>
    <w:uiPriority w:val="99"/>
    <w:rsid w:val="00917C40"/>
    <w:pPr>
      <w:spacing w:after="130" w:line="320" w:lineRule="atLeast"/>
      <w:ind w:left="720" w:hanging="432"/>
      <w:jc w:val="both"/>
    </w:pPr>
    <w:rPr>
      <w:sz w:val="24"/>
      <w:szCs w:val="24"/>
    </w:rPr>
  </w:style>
  <w:style w:type="paragraph" w:customStyle="1" w:styleId="pN">
    <w:name w:val="pN"/>
    <w:basedOn w:val="pB"/>
    <w:next w:val="pA2"/>
    <w:uiPriority w:val="99"/>
    <w:rsid w:val="00917C40"/>
  </w:style>
  <w:style w:type="paragraph" w:customStyle="1" w:styleId="pB">
    <w:name w:val="pB"/>
    <w:basedOn w:val="Normal"/>
    <w:link w:val="pBChar"/>
    <w:rsid w:val="00917C40"/>
    <w:pPr>
      <w:ind w:right="288"/>
    </w:pPr>
    <w:rPr>
      <w:rFonts w:ascii="Times New Roman" w:hAnsi="Times New Roman"/>
    </w:rPr>
  </w:style>
  <w:style w:type="paragraph" w:customStyle="1" w:styleId="pF">
    <w:name w:val="pF"/>
    <w:uiPriority w:val="99"/>
    <w:rsid w:val="00917C40"/>
    <w:pPr>
      <w:spacing w:after="130" w:line="320" w:lineRule="atLeast"/>
      <w:ind w:left="720" w:hanging="432"/>
      <w:jc w:val="both"/>
    </w:pPr>
    <w:rPr>
      <w:sz w:val="24"/>
      <w:szCs w:val="24"/>
    </w:rPr>
  </w:style>
  <w:style w:type="paragraph" w:customStyle="1" w:styleId="pS">
    <w:name w:val="pS"/>
    <w:uiPriority w:val="99"/>
    <w:rsid w:val="00917C40"/>
    <w:pPr>
      <w:tabs>
        <w:tab w:val="left" w:pos="720"/>
        <w:tab w:val="left" w:pos="1080"/>
      </w:tabs>
      <w:spacing w:after="130" w:line="320" w:lineRule="atLeast"/>
      <w:ind w:left="720" w:right="288" w:hanging="432"/>
      <w:jc w:val="both"/>
    </w:pPr>
    <w:rPr>
      <w:sz w:val="24"/>
      <w:szCs w:val="24"/>
    </w:rPr>
  </w:style>
  <w:style w:type="paragraph" w:customStyle="1" w:styleId="pD">
    <w:name w:val="pD"/>
    <w:basedOn w:val="pF"/>
    <w:uiPriority w:val="99"/>
    <w:rsid w:val="00917C40"/>
    <w:pPr>
      <w:tabs>
        <w:tab w:val="left" w:pos="1152"/>
      </w:tabs>
      <w:spacing w:before="60" w:line="280" w:lineRule="atLeast"/>
      <w:ind w:left="1152" w:right="288"/>
    </w:pPr>
  </w:style>
  <w:style w:type="paragraph" w:customStyle="1" w:styleId="pE">
    <w:name w:val="pE"/>
    <w:basedOn w:val="pD"/>
    <w:uiPriority w:val="99"/>
    <w:rsid w:val="00917C40"/>
  </w:style>
  <w:style w:type="paragraph" w:styleId="Index3">
    <w:name w:val="index 3"/>
    <w:basedOn w:val="Normal"/>
    <w:next w:val="Normal"/>
    <w:autoRedefine/>
    <w:unhideWhenUsed/>
    <w:locked/>
    <w:rsid w:val="00E9032C"/>
    <w:pPr>
      <w:suppressAutoHyphens w:val="0"/>
      <w:autoSpaceDN/>
      <w:spacing w:before="0" w:after="0"/>
      <w:ind w:left="600" w:hanging="200"/>
    </w:pPr>
    <w:rPr>
      <w:szCs w:val="20"/>
    </w:rPr>
  </w:style>
  <w:style w:type="paragraph" w:styleId="Index4">
    <w:name w:val="index 4"/>
    <w:basedOn w:val="Normal"/>
    <w:next w:val="Normal"/>
    <w:autoRedefine/>
    <w:unhideWhenUsed/>
    <w:locked/>
    <w:rsid w:val="00E9032C"/>
    <w:pPr>
      <w:suppressAutoHyphens w:val="0"/>
      <w:autoSpaceDN/>
      <w:spacing w:before="0" w:after="0"/>
      <w:ind w:left="800" w:hanging="200"/>
    </w:pPr>
    <w:rPr>
      <w:szCs w:val="20"/>
    </w:rPr>
  </w:style>
  <w:style w:type="paragraph" w:styleId="Index5">
    <w:name w:val="index 5"/>
    <w:basedOn w:val="Normal"/>
    <w:next w:val="Normal"/>
    <w:autoRedefine/>
    <w:unhideWhenUsed/>
    <w:locked/>
    <w:rsid w:val="00E9032C"/>
    <w:pPr>
      <w:suppressAutoHyphens w:val="0"/>
      <w:autoSpaceDN/>
      <w:spacing w:before="0" w:after="0"/>
      <w:ind w:left="1000" w:hanging="200"/>
    </w:pPr>
    <w:rPr>
      <w:szCs w:val="20"/>
    </w:rPr>
  </w:style>
  <w:style w:type="paragraph" w:styleId="Index7">
    <w:name w:val="index 7"/>
    <w:basedOn w:val="Normal"/>
    <w:next w:val="Normal"/>
    <w:autoRedefine/>
    <w:unhideWhenUsed/>
    <w:locked/>
    <w:rsid w:val="00E9032C"/>
    <w:pPr>
      <w:suppressAutoHyphens w:val="0"/>
      <w:autoSpaceDN/>
      <w:spacing w:before="0" w:after="0"/>
      <w:ind w:left="1400" w:hanging="200"/>
    </w:pPr>
    <w:rPr>
      <w:szCs w:val="20"/>
    </w:rPr>
  </w:style>
  <w:style w:type="paragraph" w:customStyle="1" w:styleId="p1">
    <w:name w:val="p1"/>
    <w:basedOn w:val="pF"/>
    <w:uiPriority w:val="99"/>
    <w:rsid w:val="00917C40"/>
    <w:pPr>
      <w:pBdr>
        <w:top w:val="single" w:sz="12" w:space="4" w:color="auto"/>
        <w:left w:val="single" w:sz="12" w:space="4" w:color="auto"/>
        <w:bottom w:val="single" w:sz="12" w:space="4" w:color="auto"/>
        <w:right w:val="single" w:sz="12" w:space="4" w:color="auto"/>
      </w:pBdr>
      <w:ind w:left="1440" w:right="1440"/>
      <w:jc w:val="center"/>
    </w:pPr>
    <w:rPr>
      <w:rFonts w:ascii="Arial" w:hAnsi="Arial" w:cs="Arial"/>
      <w:b/>
      <w:bCs/>
      <w:sz w:val="36"/>
      <w:szCs w:val="36"/>
    </w:rPr>
  </w:style>
  <w:style w:type="paragraph" w:customStyle="1" w:styleId="p2">
    <w:name w:val="p2"/>
    <w:basedOn w:val="pF"/>
    <w:uiPriority w:val="99"/>
    <w:rsid w:val="00917C40"/>
    <w:rPr>
      <w:rFonts w:ascii="Arial" w:hAnsi="Arial" w:cs="Arial"/>
      <w:b/>
      <w:bCs/>
      <w:sz w:val="28"/>
      <w:szCs w:val="28"/>
    </w:rPr>
  </w:style>
  <w:style w:type="paragraph" w:customStyle="1" w:styleId="p3">
    <w:name w:val="p3"/>
    <w:basedOn w:val="p2"/>
    <w:uiPriority w:val="99"/>
    <w:rsid w:val="00917C40"/>
    <w:rPr>
      <w:i/>
      <w:iCs/>
      <w:sz w:val="24"/>
      <w:szCs w:val="24"/>
    </w:rPr>
  </w:style>
  <w:style w:type="paragraph" w:customStyle="1" w:styleId="pA">
    <w:name w:val="pA"/>
    <w:uiPriority w:val="99"/>
    <w:rsid w:val="00917C40"/>
    <w:pPr>
      <w:spacing w:after="130" w:line="130" w:lineRule="exact"/>
      <w:ind w:left="720" w:hanging="432"/>
      <w:jc w:val="both"/>
    </w:pPr>
    <w:rPr>
      <w:sz w:val="24"/>
      <w:szCs w:val="24"/>
    </w:rPr>
  </w:style>
  <w:style w:type="paragraph" w:customStyle="1" w:styleId="pG">
    <w:name w:val="pG"/>
    <w:basedOn w:val="p2"/>
    <w:uiPriority w:val="99"/>
    <w:rsid w:val="00917C40"/>
    <w:pPr>
      <w:keepNext/>
    </w:pPr>
    <w:rPr>
      <w:sz w:val="24"/>
      <w:szCs w:val="24"/>
    </w:rPr>
  </w:style>
  <w:style w:type="paragraph" w:customStyle="1" w:styleId="pT">
    <w:name w:val="pT"/>
    <w:basedOn w:val="p2"/>
    <w:uiPriority w:val="99"/>
    <w:rsid w:val="00917C40"/>
    <w:pPr>
      <w:keepNext/>
    </w:pPr>
    <w:rPr>
      <w:sz w:val="24"/>
      <w:szCs w:val="24"/>
    </w:rPr>
  </w:style>
  <w:style w:type="paragraph" w:customStyle="1" w:styleId="pX">
    <w:name w:val="pX"/>
    <w:basedOn w:val="pF"/>
    <w:uiPriority w:val="99"/>
    <w:rsid w:val="00917C40"/>
    <w:pPr>
      <w:spacing w:line="240" w:lineRule="atLeast"/>
    </w:pPr>
  </w:style>
  <w:style w:type="paragraph" w:customStyle="1" w:styleId="TitlePage">
    <w:name w:val="Title Page"/>
    <w:basedOn w:val="p1"/>
    <w:uiPriority w:val="99"/>
    <w:rsid w:val="00917C40"/>
    <w:pPr>
      <w:pBdr>
        <w:top w:val="none" w:sz="0" w:space="0" w:color="auto"/>
        <w:left w:val="none" w:sz="0" w:space="0" w:color="auto"/>
        <w:bottom w:val="none" w:sz="0" w:space="0" w:color="auto"/>
        <w:right w:val="none" w:sz="0" w:space="0" w:color="auto"/>
      </w:pBdr>
    </w:pPr>
  </w:style>
  <w:style w:type="paragraph" w:styleId="EnvelopeAddress">
    <w:name w:val="envelope address"/>
    <w:basedOn w:val="Normal"/>
    <w:unhideWhenUsed/>
    <w:locked/>
    <w:rsid w:val="00E9032C"/>
    <w:pPr>
      <w:framePr w:w="7920" w:h="1980" w:hRule="exact" w:hSpace="180" w:wrap="auto" w:hAnchor="page" w:xAlign="center" w:yAlign="bottom"/>
      <w:suppressAutoHyphens w:val="0"/>
      <w:autoSpaceDN/>
      <w:spacing w:before="0" w:after="0"/>
      <w:ind w:left="2880"/>
    </w:pPr>
    <w:rPr>
      <w:rFonts w:asciiTheme="majorHAnsi" w:eastAsiaTheme="majorEastAsia" w:hAnsiTheme="majorHAnsi" w:cstheme="majorBidi"/>
    </w:rPr>
  </w:style>
  <w:style w:type="paragraph" w:customStyle="1" w:styleId="Normal3">
    <w:name w:val="Normal3"/>
    <w:basedOn w:val="Normal"/>
    <w:next w:val="pF"/>
    <w:uiPriority w:val="99"/>
    <w:rsid w:val="00917C40"/>
    <w:rPr>
      <w:rFonts w:ascii="Times New Roman" w:hAnsi="Times New Roman"/>
    </w:rPr>
  </w:style>
  <w:style w:type="paragraph" w:customStyle="1" w:styleId="Large">
    <w:name w:val="Large"/>
    <w:basedOn w:val="pF"/>
    <w:next w:val="pF"/>
    <w:uiPriority w:val="99"/>
    <w:rsid w:val="00917C40"/>
    <w:pPr>
      <w:keepNext/>
      <w:spacing w:before="480" w:after="360" w:line="720" w:lineRule="exact"/>
    </w:pPr>
    <w:rPr>
      <w:rFonts w:ascii="Arial" w:hAnsi="Arial" w:cs="Arial"/>
      <w:b/>
      <w:bCs/>
      <w:i/>
      <w:iCs/>
      <w:sz w:val="72"/>
      <w:szCs w:val="72"/>
    </w:rPr>
  </w:style>
  <w:style w:type="paragraph" w:customStyle="1" w:styleId="Normal2">
    <w:name w:val="Normal2"/>
    <w:basedOn w:val="Normal"/>
    <w:next w:val="Normal"/>
    <w:uiPriority w:val="99"/>
    <w:rsid w:val="00917C40"/>
    <w:rPr>
      <w:rFonts w:ascii="Times New Roman" w:hAnsi="Times New Roman"/>
    </w:rPr>
  </w:style>
  <w:style w:type="paragraph" w:customStyle="1" w:styleId="pA2">
    <w:name w:val="pA2"/>
    <w:basedOn w:val="pA"/>
    <w:next w:val="pA"/>
    <w:uiPriority w:val="99"/>
    <w:rsid w:val="00917C40"/>
  </w:style>
  <w:style w:type="paragraph" w:customStyle="1" w:styleId="pA3">
    <w:name w:val="pA3"/>
    <w:basedOn w:val="pA"/>
    <w:next w:val="pB"/>
    <w:uiPriority w:val="99"/>
    <w:rsid w:val="00917C40"/>
  </w:style>
  <w:style w:type="paragraph" w:customStyle="1" w:styleId="Normal4">
    <w:name w:val="Normal4"/>
    <w:basedOn w:val="Normal"/>
    <w:next w:val="pJ"/>
    <w:uiPriority w:val="99"/>
    <w:rsid w:val="00917C40"/>
    <w:pPr>
      <w:tabs>
        <w:tab w:val="left" w:pos="6210"/>
      </w:tabs>
    </w:pPr>
    <w:rPr>
      <w:rFonts w:ascii="Times New Roman" w:hAnsi="Times New Roman"/>
    </w:rPr>
  </w:style>
  <w:style w:type="paragraph" w:customStyle="1" w:styleId="resumeparagraph">
    <w:name w:val="resume paragraph"/>
    <w:uiPriority w:val="99"/>
    <w:rsid w:val="00917C40"/>
    <w:pPr>
      <w:spacing w:before="100" w:after="130" w:line="240" w:lineRule="exact"/>
      <w:ind w:left="720" w:hanging="288"/>
      <w:jc w:val="both"/>
    </w:pPr>
    <w:rPr>
      <w:sz w:val="24"/>
      <w:szCs w:val="24"/>
    </w:rPr>
  </w:style>
  <w:style w:type="paragraph" w:customStyle="1" w:styleId="Headline">
    <w:name w:val="Headline"/>
    <w:basedOn w:val="Normal"/>
    <w:uiPriority w:val="99"/>
    <w:rsid w:val="00917C40"/>
    <w:rPr>
      <w:rFonts w:ascii="Times New Roman" w:hAnsi="Times New Roman"/>
      <w:b/>
      <w:bCs/>
      <w:sz w:val="36"/>
      <w:szCs w:val="36"/>
    </w:rPr>
  </w:style>
  <w:style w:type="paragraph" w:customStyle="1" w:styleId="projtitle">
    <w:name w:val="projtitle"/>
    <w:basedOn w:val="Normal"/>
    <w:next w:val="For"/>
    <w:uiPriority w:val="99"/>
    <w:rsid w:val="00917C40"/>
    <w:pPr>
      <w:keepNext/>
      <w:keepLines/>
      <w:spacing w:line="280" w:lineRule="exact"/>
      <w:ind w:left="288" w:right="288"/>
    </w:pPr>
    <w:rPr>
      <w:rFonts w:ascii="Times New Roman" w:hAnsi="Times New Roman"/>
      <w:b/>
      <w:bCs/>
      <w:i/>
      <w:iCs/>
    </w:rPr>
  </w:style>
  <w:style w:type="paragraph" w:customStyle="1" w:styleId="summary">
    <w:name w:val="summary"/>
    <w:basedOn w:val="pB"/>
    <w:next w:val="projtitle"/>
    <w:uiPriority w:val="99"/>
    <w:rsid w:val="00917C40"/>
    <w:pPr>
      <w:tabs>
        <w:tab w:val="left" w:pos="-1170"/>
      </w:tabs>
      <w:spacing w:after="240"/>
    </w:pPr>
  </w:style>
  <w:style w:type="paragraph" w:customStyle="1" w:styleId="For">
    <w:name w:val="For"/>
    <w:basedOn w:val="Normal"/>
    <w:next w:val="Contact"/>
    <w:uiPriority w:val="99"/>
    <w:rsid w:val="00917C40"/>
    <w:pPr>
      <w:keepNext/>
      <w:keepLines/>
      <w:spacing w:line="280" w:lineRule="exact"/>
      <w:ind w:left="1152" w:right="288"/>
    </w:pPr>
    <w:rPr>
      <w:rFonts w:ascii="Times New Roman" w:hAnsi="Times New Roman"/>
    </w:rPr>
  </w:style>
  <w:style w:type="paragraph" w:customStyle="1" w:styleId="Contact">
    <w:name w:val="Contact"/>
    <w:basedOn w:val="Normal"/>
    <w:next w:val="summary"/>
    <w:uiPriority w:val="99"/>
    <w:rsid w:val="00917C40"/>
    <w:pPr>
      <w:keepNext/>
      <w:keepLines/>
      <w:spacing w:line="280" w:lineRule="exact"/>
      <w:ind w:left="1152" w:right="288"/>
    </w:pPr>
    <w:rPr>
      <w:rFonts w:ascii="Times New Roman" w:hAnsi="Times New Roman"/>
    </w:rPr>
  </w:style>
  <w:style w:type="paragraph" w:customStyle="1" w:styleId="pmi">
    <w:name w:val="pmi"/>
    <w:basedOn w:val="Normal"/>
    <w:uiPriority w:val="99"/>
    <w:rsid w:val="00917C40"/>
    <w:pPr>
      <w:tabs>
        <w:tab w:val="center" w:pos="4950"/>
        <w:tab w:val="center" w:pos="5850"/>
        <w:tab w:val="left" w:pos="6480"/>
      </w:tabs>
      <w:ind w:left="2880" w:hanging="2880"/>
    </w:pPr>
    <w:rPr>
      <w:rFonts w:ascii="Times New Roman" w:hAnsi="Times New Roman"/>
    </w:rPr>
  </w:style>
  <w:style w:type="paragraph" w:customStyle="1" w:styleId="pmi2">
    <w:name w:val="pmi2"/>
    <w:basedOn w:val="Normal"/>
    <w:uiPriority w:val="99"/>
    <w:rsid w:val="00917C40"/>
    <w:pPr>
      <w:tabs>
        <w:tab w:val="left" w:pos="3150"/>
        <w:tab w:val="center" w:pos="4950"/>
        <w:tab w:val="center" w:pos="5490"/>
        <w:tab w:val="center" w:pos="5850"/>
        <w:tab w:val="center" w:pos="6750"/>
      </w:tabs>
      <w:ind w:left="2880" w:hanging="2880"/>
    </w:pPr>
    <w:rPr>
      <w:rFonts w:ascii="Times New Roman" w:hAnsi="Times New Roman"/>
      <w:sz w:val="24"/>
    </w:rPr>
  </w:style>
  <w:style w:type="paragraph" w:customStyle="1" w:styleId="question0">
    <w:name w:val="question"/>
    <w:basedOn w:val="pF"/>
    <w:uiPriority w:val="99"/>
    <w:rsid w:val="00917C40"/>
    <w:pPr>
      <w:ind w:hanging="720"/>
    </w:pPr>
  </w:style>
  <w:style w:type="paragraph" w:customStyle="1" w:styleId="Variabledefinition">
    <w:name w:val="Variable definition"/>
    <w:basedOn w:val="pD"/>
    <w:uiPriority w:val="99"/>
    <w:rsid w:val="00917C40"/>
  </w:style>
  <w:style w:type="paragraph" w:customStyle="1" w:styleId="tablefootnote">
    <w:name w:val="table footnote"/>
    <w:basedOn w:val="Normal2"/>
    <w:link w:val="tablefootnoteChar"/>
    <w:uiPriority w:val="99"/>
    <w:rsid w:val="00917C40"/>
  </w:style>
  <w:style w:type="paragraph" w:customStyle="1" w:styleId="WfxFaxNum">
    <w:name w:val="WfxFaxNum"/>
    <w:basedOn w:val="Normal"/>
    <w:uiPriority w:val="99"/>
    <w:rsid w:val="00917C40"/>
    <w:rPr>
      <w:rFonts w:ascii="Times New Roman" w:hAnsi="Times New Roman"/>
    </w:rPr>
  </w:style>
  <w:style w:type="paragraph" w:customStyle="1" w:styleId="WfxTime">
    <w:name w:val="WfxTime"/>
    <w:basedOn w:val="Normal"/>
    <w:uiPriority w:val="99"/>
    <w:rsid w:val="00917C40"/>
    <w:rPr>
      <w:rFonts w:ascii="Times New Roman" w:hAnsi="Times New Roman"/>
    </w:rPr>
  </w:style>
  <w:style w:type="paragraph" w:customStyle="1" w:styleId="WfxDate">
    <w:name w:val="WfxDate"/>
    <w:basedOn w:val="Normal"/>
    <w:uiPriority w:val="99"/>
    <w:rsid w:val="00917C40"/>
    <w:rPr>
      <w:rFonts w:ascii="Times New Roman" w:hAnsi="Times New Roman"/>
    </w:rPr>
  </w:style>
  <w:style w:type="paragraph" w:customStyle="1" w:styleId="WfxRecipient">
    <w:name w:val="WfxRecipient"/>
    <w:basedOn w:val="Normal"/>
    <w:uiPriority w:val="99"/>
    <w:rsid w:val="00917C40"/>
    <w:rPr>
      <w:rFonts w:ascii="Times New Roman" w:hAnsi="Times New Roman"/>
    </w:rPr>
  </w:style>
  <w:style w:type="paragraph" w:customStyle="1" w:styleId="WfxCompany">
    <w:name w:val="WfxCompany"/>
    <w:basedOn w:val="Normal"/>
    <w:uiPriority w:val="99"/>
    <w:rsid w:val="00917C40"/>
    <w:rPr>
      <w:rFonts w:ascii="Times New Roman" w:hAnsi="Times New Roman"/>
    </w:rPr>
  </w:style>
  <w:style w:type="paragraph" w:customStyle="1" w:styleId="WfxSubject">
    <w:name w:val="WfxSubject"/>
    <w:basedOn w:val="Normal"/>
    <w:uiPriority w:val="99"/>
    <w:rsid w:val="00917C40"/>
    <w:rPr>
      <w:rFonts w:ascii="Times New Roman" w:hAnsi="Times New Roman"/>
    </w:rPr>
  </w:style>
  <w:style w:type="paragraph" w:customStyle="1" w:styleId="WfxKeyword">
    <w:name w:val="WfxKeyword"/>
    <w:basedOn w:val="Normal"/>
    <w:uiPriority w:val="99"/>
    <w:rsid w:val="00917C40"/>
    <w:rPr>
      <w:rFonts w:ascii="Times New Roman" w:hAnsi="Times New Roman"/>
    </w:rPr>
  </w:style>
  <w:style w:type="paragraph" w:customStyle="1" w:styleId="WfxBillCode">
    <w:name w:val="WfxBillCode"/>
    <w:basedOn w:val="Normal"/>
    <w:uiPriority w:val="99"/>
    <w:rsid w:val="00917C40"/>
    <w:rPr>
      <w:rFonts w:ascii="Times New Roman" w:hAnsi="Times New Roman"/>
    </w:rPr>
  </w:style>
  <w:style w:type="paragraph" w:customStyle="1" w:styleId="pQ">
    <w:name w:val="pQ"/>
    <w:basedOn w:val="pS"/>
    <w:uiPriority w:val="99"/>
    <w:rsid w:val="00917C40"/>
  </w:style>
  <w:style w:type="character" w:customStyle="1" w:styleId="Normal2Char">
    <w:name w:val="Normal2 Char"/>
    <w:uiPriority w:val="99"/>
    <w:rsid w:val="00917C40"/>
    <w:rPr>
      <w:rFonts w:cs="Times New Roman"/>
      <w:sz w:val="24"/>
      <w:szCs w:val="24"/>
      <w:lang w:val="en-US" w:eastAsia="en-US" w:bidi="ar-SA"/>
    </w:rPr>
  </w:style>
  <w:style w:type="paragraph" w:customStyle="1" w:styleId="CEUSIndent5">
    <w:name w:val="CEUS_Indent5"/>
    <w:basedOn w:val="pE"/>
    <w:uiPriority w:val="99"/>
    <w:rsid w:val="00917C40"/>
  </w:style>
  <w:style w:type="paragraph" w:styleId="ListBullet2">
    <w:name w:val="List Bullet 2"/>
    <w:basedOn w:val="Normal"/>
    <w:unhideWhenUsed/>
    <w:locked/>
    <w:rsid w:val="00E9032C"/>
    <w:pPr>
      <w:numPr>
        <w:numId w:val="39"/>
      </w:numPr>
      <w:suppressAutoHyphens w:val="0"/>
      <w:autoSpaceDN/>
      <w:spacing w:before="0" w:after="200"/>
    </w:pPr>
    <w:rPr>
      <w:szCs w:val="20"/>
    </w:rPr>
  </w:style>
  <w:style w:type="paragraph" w:customStyle="1" w:styleId="CoverTitle">
    <w:name w:val="CoverTitle"/>
    <w:basedOn w:val="Normal"/>
    <w:link w:val="CoverTitleChar"/>
    <w:uiPriority w:val="99"/>
    <w:rsid w:val="00917C40"/>
    <w:pPr>
      <w:jc w:val="center"/>
    </w:pPr>
    <w:rPr>
      <w:b/>
      <w:sz w:val="40"/>
    </w:rPr>
  </w:style>
  <w:style w:type="character" w:customStyle="1" w:styleId="CoverTitleChar">
    <w:name w:val="CoverTitle Char"/>
    <w:link w:val="CoverTitle"/>
    <w:uiPriority w:val="99"/>
    <w:locked/>
    <w:rsid w:val="00917C40"/>
    <w:rPr>
      <w:rFonts w:ascii="Arial" w:hAnsi="Arial"/>
      <w:b/>
      <w:sz w:val="40"/>
      <w:szCs w:val="24"/>
    </w:rPr>
  </w:style>
  <w:style w:type="paragraph" w:customStyle="1" w:styleId="CoverNormal">
    <w:name w:val="CoverNormal"/>
    <w:basedOn w:val="Normal"/>
    <w:link w:val="CoverNormalChar"/>
    <w:uiPriority w:val="99"/>
    <w:rsid w:val="00917C40"/>
    <w:pPr>
      <w:jc w:val="center"/>
    </w:pPr>
  </w:style>
  <w:style w:type="character" w:customStyle="1" w:styleId="CoverNormalChar">
    <w:name w:val="CoverNormal Char"/>
    <w:link w:val="CoverNormal"/>
    <w:uiPriority w:val="99"/>
    <w:locked/>
    <w:rsid w:val="00917C40"/>
    <w:rPr>
      <w:rFonts w:ascii="Arial" w:hAnsi="Arial"/>
      <w:sz w:val="22"/>
    </w:rPr>
  </w:style>
  <w:style w:type="paragraph" w:customStyle="1" w:styleId="Halfline">
    <w:name w:val="Halfline"/>
    <w:basedOn w:val="Normal"/>
    <w:link w:val="HalflineChar"/>
    <w:uiPriority w:val="99"/>
    <w:rsid w:val="00917C40"/>
    <w:pPr>
      <w:spacing w:after="130" w:line="130" w:lineRule="exact"/>
    </w:pPr>
    <w:rPr>
      <w:rFonts w:ascii="Times New Roman" w:hAnsi="Times New Roman"/>
    </w:rPr>
  </w:style>
  <w:style w:type="character" w:customStyle="1" w:styleId="HalflineChar">
    <w:name w:val="Halfline Char"/>
    <w:link w:val="Halfline"/>
    <w:uiPriority w:val="99"/>
    <w:locked/>
    <w:rsid w:val="00917C40"/>
    <w:rPr>
      <w:sz w:val="22"/>
    </w:rPr>
  </w:style>
  <w:style w:type="paragraph" w:customStyle="1" w:styleId="LetterheadParagraph">
    <w:name w:val="Letterhead Paragraph"/>
    <w:basedOn w:val="Normal"/>
    <w:uiPriority w:val="99"/>
    <w:rsid w:val="00917C40"/>
    <w:rPr>
      <w:rFonts w:ascii="Arial Narrow" w:hAnsi="Arial Narrow"/>
    </w:rPr>
  </w:style>
  <w:style w:type="paragraph" w:customStyle="1" w:styleId="Bullettext">
    <w:name w:val="Bullet text"/>
    <w:basedOn w:val="List2"/>
    <w:uiPriority w:val="99"/>
    <w:rsid w:val="00917C40"/>
    <w:pPr>
      <w:ind w:left="360" w:firstLine="0"/>
      <w:contextualSpacing w:val="0"/>
      <w:jc w:val="both"/>
    </w:pPr>
    <w:rPr>
      <w:sz w:val="24"/>
    </w:rPr>
  </w:style>
  <w:style w:type="paragraph" w:styleId="List2">
    <w:name w:val="List 2"/>
    <w:basedOn w:val="Normal"/>
    <w:unhideWhenUsed/>
    <w:locked/>
    <w:rsid w:val="00E9032C"/>
    <w:pPr>
      <w:suppressAutoHyphens w:val="0"/>
      <w:autoSpaceDN/>
      <w:spacing w:before="0" w:after="0"/>
      <w:ind w:left="720" w:hanging="360"/>
      <w:contextualSpacing/>
    </w:pPr>
    <w:rPr>
      <w:szCs w:val="20"/>
    </w:rPr>
  </w:style>
  <w:style w:type="paragraph" w:styleId="PlainText">
    <w:name w:val="Plain Text"/>
    <w:basedOn w:val="Normal"/>
    <w:link w:val="PlainTextChar"/>
    <w:unhideWhenUsed/>
    <w:locked/>
    <w:rsid w:val="00E9032C"/>
    <w:pPr>
      <w:suppressAutoHyphens w:val="0"/>
      <w:autoSpaceDN/>
      <w:spacing w:before="0" w:after="0"/>
    </w:pPr>
    <w:rPr>
      <w:rFonts w:ascii="Consolas" w:hAnsi="Consolas"/>
      <w:sz w:val="21"/>
      <w:szCs w:val="21"/>
    </w:rPr>
  </w:style>
  <w:style w:type="character" w:customStyle="1" w:styleId="PlainTextChar">
    <w:name w:val="Plain Text Char"/>
    <w:basedOn w:val="DefaultParagraphFont"/>
    <w:link w:val="PlainText"/>
    <w:locked/>
    <w:rsid w:val="00E9032C"/>
    <w:rPr>
      <w:rFonts w:ascii="Consolas" w:hAnsi="Consolas"/>
      <w:sz w:val="21"/>
      <w:szCs w:val="21"/>
    </w:rPr>
  </w:style>
  <w:style w:type="character" w:customStyle="1" w:styleId="tablefootnoteChar">
    <w:name w:val="table footnote Char"/>
    <w:link w:val="tablefootnote"/>
    <w:uiPriority w:val="99"/>
    <w:locked/>
    <w:rsid w:val="00917C40"/>
    <w:rPr>
      <w:sz w:val="22"/>
    </w:rPr>
  </w:style>
  <w:style w:type="paragraph" w:customStyle="1" w:styleId="TitleSub">
    <w:name w:val="TitleSub"/>
    <w:basedOn w:val="Title"/>
    <w:link w:val="TitleSubChar"/>
    <w:autoRedefine/>
    <w:uiPriority w:val="99"/>
    <w:rsid w:val="00917C40"/>
    <w:pPr>
      <w:jc w:val="right"/>
    </w:pPr>
    <w:rPr>
      <w:b w:val="0"/>
      <w:bCs/>
      <w:color w:val="17365D"/>
      <w:spacing w:val="5"/>
      <w:szCs w:val="52"/>
    </w:rPr>
  </w:style>
  <w:style w:type="character" w:customStyle="1" w:styleId="TitleSubChar">
    <w:name w:val="TitleSub Char"/>
    <w:link w:val="TitleSub"/>
    <w:uiPriority w:val="99"/>
    <w:locked/>
    <w:rsid w:val="00917C40"/>
    <w:rPr>
      <w:rFonts w:ascii="Arial Bold" w:hAnsi="Arial Bold"/>
      <w:bCs/>
      <w:color w:val="17365D"/>
      <w:spacing w:val="5"/>
      <w:kern w:val="28"/>
      <w:sz w:val="48"/>
      <w:szCs w:val="52"/>
    </w:rPr>
  </w:style>
  <w:style w:type="paragraph" w:customStyle="1" w:styleId="TitleAdd">
    <w:name w:val="TitleAdd"/>
    <w:basedOn w:val="Title"/>
    <w:link w:val="TitleAddChar"/>
    <w:autoRedefine/>
    <w:uiPriority w:val="99"/>
    <w:rsid w:val="00917C40"/>
    <w:pPr>
      <w:jc w:val="right"/>
    </w:pPr>
    <w:rPr>
      <w:b w:val="0"/>
      <w:bCs/>
      <w:color w:val="17365D"/>
      <w:spacing w:val="5"/>
      <w:sz w:val="24"/>
    </w:rPr>
  </w:style>
  <w:style w:type="character" w:customStyle="1" w:styleId="TitleAddChar">
    <w:name w:val="TitleAdd Char"/>
    <w:link w:val="TitleAdd"/>
    <w:uiPriority w:val="99"/>
    <w:locked/>
    <w:rsid w:val="00917C40"/>
    <w:rPr>
      <w:rFonts w:ascii="Arial Bold" w:hAnsi="Arial Bold"/>
      <w:bCs/>
      <w:color w:val="17365D"/>
      <w:spacing w:val="5"/>
      <w:kern w:val="28"/>
      <w:sz w:val="24"/>
      <w:szCs w:val="56"/>
    </w:rPr>
  </w:style>
  <w:style w:type="paragraph" w:styleId="NoSpacing">
    <w:name w:val="No Spacing"/>
    <w:uiPriority w:val="1"/>
    <w:rsid w:val="00E9032C"/>
    <w:rPr>
      <w:rFonts w:ascii="Arial" w:hAnsi="Arial"/>
    </w:rPr>
  </w:style>
  <w:style w:type="paragraph" w:customStyle="1" w:styleId="Default">
    <w:name w:val="Default"/>
    <w:rsid w:val="00917C40"/>
    <w:pPr>
      <w:autoSpaceDE w:val="0"/>
      <w:autoSpaceDN w:val="0"/>
      <w:adjustRightInd w:val="0"/>
    </w:pPr>
    <w:rPr>
      <w:rFonts w:ascii="Arial" w:hAnsi="Arial" w:cs="Arial"/>
      <w:color w:val="000000"/>
      <w:sz w:val="24"/>
      <w:szCs w:val="24"/>
    </w:rPr>
  </w:style>
  <w:style w:type="character" w:customStyle="1" w:styleId="pBChar">
    <w:name w:val="pB Char"/>
    <w:link w:val="pB"/>
    <w:locked/>
    <w:rsid w:val="00917C40"/>
    <w:rPr>
      <w:sz w:val="22"/>
    </w:rPr>
  </w:style>
  <w:style w:type="table" w:customStyle="1" w:styleId="EnergyPracticeTable">
    <w:name w:val="Energy Practice Table"/>
    <w:uiPriority w:val="99"/>
    <w:qFormat/>
    <w:rsid w:val="006E2DF5"/>
    <w:pPr>
      <w:spacing w:before="60" w:after="60"/>
      <w:jc w:val="center"/>
    </w:pPr>
    <w:rPr>
      <w:rFonts w:ascii="Palatino Linotype" w:hAnsi="Palatino Linotype"/>
    </w:rPr>
    <w:tblPr>
      <w:jc w:val="center"/>
      <w:tblInd w:w="0" w:type="dxa"/>
      <w:tblBorders>
        <w:bottom w:val="single" w:sz="4" w:space="0" w:color="A29784"/>
        <w:insideH w:val="single" w:sz="4" w:space="0" w:color="A29784"/>
        <w:insideV w:val="single" w:sz="4" w:space="0" w:color="A29784"/>
      </w:tblBorders>
      <w:tblCellMar>
        <w:top w:w="0" w:type="dxa"/>
        <w:left w:w="108" w:type="dxa"/>
        <w:bottom w:w="0" w:type="dxa"/>
        <w:right w:w="108" w:type="dxa"/>
      </w:tblCellMar>
    </w:tblPr>
    <w:trPr>
      <w:jc w:val="center"/>
    </w:trPr>
  </w:style>
  <w:style w:type="paragraph" w:styleId="ListNumber">
    <w:name w:val="List Number"/>
    <w:basedOn w:val="Normal"/>
    <w:qFormat/>
    <w:locked/>
    <w:rsid w:val="00E9032C"/>
    <w:pPr>
      <w:numPr>
        <w:numId w:val="43"/>
      </w:numPr>
      <w:suppressAutoHyphens w:val="0"/>
      <w:autoSpaceDN/>
      <w:spacing w:before="0" w:after="0"/>
      <w:contextualSpacing/>
    </w:pPr>
    <w:rPr>
      <w:szCs w:val="20"/>
    </w:rPr>
  </w:style>
  <w:style w:type="table" w:customStyle="1" w:styleId="TableGrid10">
    <w:name w:val="Table Grid1"/>
    <w:basedOn w:val="TableNormal"/>
    <w:next w:val="TableGrid"/>
    <w:uiPriority w:val="39"/>
    <w:rsid w:val="00E656A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uiPriority w:val="99"/>
    <w:rsid w:val="006E2D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basedOn w:val="DefaultParagraphFont"/>
    <w:semiHidden/>
    <w:unhideWhenUsed/>
    <w:locked/>
    <w:rsid w:val="00E9032C"/>
    <w:rPr>
      <w:color w:val="68952C" w:themeColor="followedHyperlink"/>
      <w:u w:val="single"/>
    </w:rPr>
  </w:style>
  <w:style w:type="numbering" w:customStyle="1" w:styleId="StyleNumberedLeft025Hanging025">
    <w:name w:val="Style Numbered Left:  0.25&quot; Hanging:  0.25&quot;"/>
    <w:basedOn w:val="NoList"/>
    <w:rsid w:val="00E9032C"/>
    <w:pPr>
      <w:numPr>
        <w:numId w:val="52"/>
      </w:numPr>
    </w:pPr>
  </w:style>
  <w:style w:type="numbering" w:customStyle="1" w:styleId="StyleBulleted">
    <w:name w:val="Style Bulleted"/>
    <w:basedOn w:val="NoList"/>
    <w:rsid w:val="00E9032C"/>
    <w:pPr>
      <w:numPr>
        <w:numId w:val="48"/>
      </w:numPr>
    </w:pPr>
  </w:style>
  <w:style w:type="numbering" w:customStyle="1" w:styleId="CnAListBullets">
    <w:name w:val="CnAListBullets"/>
    <w:rsid w:val="00917C40"/>
    <w:pPr>
      <w:numPr>
        <w:numId w:val="8"/>
      </w:numPr>
    </w:pPr>
  </w:style>
  <w:style w:type="numbering" w:customStyle="1" w:styleId="Style1">
    <w:name w:val="Style1"/>
    <w:rsid w:val="00917C40"/>
    <w:pPr>
      <w:numPr>
        <w:numId w:val="15"/>
      </w:numPr>
    </w:pPr>
  </w:style>
  <w:style w:type="numbering" w:customStyle="1" w:styleId="Itron">
    <w:name w:val="Itron"/>
    <w:rsid w:val="00917C40"/>
    <w:pPr>
      <w:numPr>
        <w:numId w:val="10"/>
      </w:numPr>
    </w:pPr>
  </w:style>
  <w:style w:type="numbering" w:customStyle="1" w:styleId="StyleNumbered">
    <w:name w:val="Style Numbered"/>
    <w:rsid w:val="00917C40"/>
    <w:pPr>
      <w:numPr>
        <w:numId w:val="14"/>
      </w:numPr>
    </w:pPr>
  </w:style>
  <w:style w:type="paragraph" w:customStyle="1" w:styleId="5thLevelHeadingStyle">
    <w:name w:val="5th Level Heading Style"/>
    <w:basedOn w:val="Normal"/>
    <w:link w:val="5thLevelHeadingStyleChar"/>
    <w:uiPriority w:val="99"/>
    <w:rsid w:val="00917C40"/>
    <w:pPr>
      <w:keepNext/>
      <w:tabs>
        <w:tab w:val="left" w:pos="360"/>
        <w:tab w:val="left" w:pos="720"/>
        <w:tab w:val="left" w:pos="1080"/>
        <w:tab w:val="left" w:pos="1440"/>
      </w:tabs>
      <w:spacing w:before="240" w:after="240"/>
    </w:pPr>
    <w:rPr>
      <w:rFonts w:ascii="Arial Narrow" w:hAnsi="Arial Narrow" w:cs="Arial"/>
      <w:b/>
      <w:u w:val="single"/>
    </w:rPr>
  </w:style>
  <w:style w:type="character" w:customStyle="1" w:styleId="5thLevelHeadingStyleChar">
    <w:name w:val="5th Level Heading Style Char"/>
    <w:basedOn w:val="DefaultParagraphFont"/>
    <w:link w:val="5thLevelHeadingStyle"/>
    <w:uiPriority w:val="99"/>
    <w:locked/>
    <w:rsid w:val="00917C40"/>
    <w:rPr>
      <w:rFonts w:ascii="Arial Narrow" w:hAnsi="Arial Narrow" w:cs="Arial"/>
      <w:b/>
      <w:sz w:val="22"/>
      <w:u w:val="single"/>
    </w:rPr>
  </w:style>
  <w:style w:type="paragraph" w:customStyle="1" w:styleId="6thLevelHeadingStyle">
    <w:name w:val="6th Level Heading Style"/>
    <w:basedOn w:val="Normal"/>
    <w:link w:val="6thLevelHeadingStyleChar"/>
    <w:uiPriority w:val="99"/>
    <w:rsid w:val="00917C40"/>
    <w:pPr>
      <w:tabs>
        <w:tab w:val="left" w:pos="360"/>
        <w:tab w:val="left" w:pos="720"/>
        <w:tab w:val="left" w:pos="1080"/>
        <w:tab w:val="left" w:pos="1440"/>
      </w:tabs>
      <w:spacing w:before="240" w:after="240"/>
    </w:pPr>
    <w:rPr>
      <w:rFonts w:ascii="Arial Narrow" w:hAnsi="Arial Narrow"/>
      <w:b/>
      <w:color w:val="6F6754"/>
    </w:rPr>
  </w:style>
  <w:style w:type="character" w:customStyle="1" w:styleId="6thLevelHeadingStyleChar">
    <w:name w:val="6th Level Heading Style Char"/>
    <w:basedOn w:val="DefaultParagraphFont"/>
    <w:link w:val="6thLevelHeadingStyle"/>
    <w:uiPriority w:val="99"/>
    <w:locked/>
    <w:rsid w:val="00917C40"/>
    <w:rPr>
      <w:rFonts w:ascii="Arial Narrow" w:hAnsi="Arial Narrow"/>
      <w:b/>
      <w:color w:val="6F6754"/>
      <w:sz w:val="22"/>
    </w:rPr>
  </w:style>
  <w:style w:type="character" w:customStyle="1" w:styleId="acicollapsed1">
    <w:name w:val="acicollapsed1"/>
    <w:basedOn w:val="DefaultParagraphFont"/>
    <w:rsid w:val="00917C40"/>
    <w:rPr>
      <w:rFonts w:cs="Times New Roman"/>
      <w:vanish/>
    </w:rPr>
  </w:style>
  <w:style w:type="paragraph" w:customStyle="1" w:styleId="Alias">
    <w:name w:val="Alias"/>
    <w:uiPriority w:val="99"/>
    <w:rsid w:val="00917C40"/>
    <w:pPr>
      <w:keepNext/>
      <w:tabs>
        <w:tab w:val="right" w:pos="8640"/>
      </w:tabs>
      <w:spacing w:before="60" w:after="40"/>
    </w:pPr>
    <w:rPr>
      <w:rFonts w:ascii="Tms Rmn" w:hAnsi="Tms Rmn"/>
      <w:b/>
      <w:sz w:val="24"/>
    </w:rPr>
  </w:style>
  <w:style w:type="paragraph" w:customStyle="1" w:styleId="BodyText21">
    <w:name w:val="Body Text 21"/>
    <w:basedOn w:val="Normal"/>
    <w:uiPriority w:val="99"/>
    <w:rsid w:val="00917C40"/>
    <w:pPr>
      <w:widowControl w:val="0"/>
      <w:overflowPunct w:val="0"/>
      <w:autoSpaceDE w:val="0"/>
      <w:adjustRightInd w:val="0"/>
      <w:ind w:left="720"/>
      <w:textAlignment w:val="baseline"/>
    </w:pPr>
    <w:rPr>
      <w:rFonts w:ascii="Palatino" w:hAnsi="Palatino"/>
      <w:color w:val="000000"/>
    </w:rPr>
  </w:style>
  <w:style w:type="paragraph" w:styleId="BodyTextIndent2">
    <w:name w:val="Body Text Indent 2"/>
    <w:basedOn w:val="Normal"/>
    <w:link w:val="BodyTextIndent2Char"/>
    <w:unhideWhenUsed/>
    <w:locked/>
    <w:rsid w:val="00E9032C"/>
    <w:pPr>
      <w:suppressAutoHyphens w:val="0"/>
      <w:autoSpaceDN/>
      <w:spacing w:before="0" w:line="480" w:lineRule="auto"/>
      <w:ind w:left="360"/>
    </w:pPr>
    <w:rPr>
      <w:szCs w:val="20"/>
    </w:rPr>
  </w:style>
  <w:style w:type="character" w:customStyle="1" w:styleId="BodyTextIndent2Char">
    <w:name w:val="Body Text Indent 2 Char"/>
    <w:basedOn w:val="DefaultParagraphFont"/>
    <w:link w:val="BodyTextIndent2"/>
    <w:rsid w:val="00E9032C"/>
    <w:rPr>
      <w:rFonts w:ascii="Arial" w:hAnsi="Arial"/>
      <w:sz w:val="22"/>
    </w:rPr>
  </w:style>
  <w:style w:type="paragraph" w:customStyle="1" w:styleId="CoverFooter">
    <w:name w:val="Cover Footer"/>
    <w:basedOn w:val="Normal"/>
    <w:uiPriority w:val="99"/>
    <w:rsid w:val="00917C40"/>
    <w:pPr>
      <w:spacing w:before="160"/>
      <w:jc w:val="right"/>
    </w:pPr>
    <w:rPr>
      <w:sz w:val="16"/>
    </w:rPr>
  </w:style>
  <w:style w:type="paragraph" w:customStyle="1" w:styleId="ChapterFooter">
    <w:name w:val="Chapter Footer"/>
    <w:basedOn w:val="CoverFooter"/>
    <w:uiPriority w:val="99"/>
    <w:rsid w:val="00917C40"/>
  </w:style>
  <w:style w:type="character" w:customStyle="1" w:styleId="Char">
    <w:name w:val="Char"/>
    <w:basedOn w:val="DefaultParagraphFont"/>
    <w:uiPriority w:val="99"/>
    <w:rsid w:val="00917C40"/>
    <w:rPr>
      <w:rFonts w:ascii="Arial" w:hAnsi="Arial" w:cs="Times New Roman"/>
      <w:sz w:val="22"/>
      <w:lang w:val="en-US" w:eastAsia="en-US" w:bidi="ar-SA"/>
    </w:rPr>
  </w:style>
  <w:style w:type="paragraph" w:customStyle="1" w:styleId="Choice">
    <w:name w:val="Choice"/>
    <w:basedOn w:val="Normal"/>
    <w:uiPriority w:val="99"/>
    <w:rsid w:val="00917C40"/>
    <w:pPr>
      <w:keepNext/>
      <w:tabs>
        <w:tab w:val="right" w:leader="dot" w:pos="5812"/>
        <w:tab w:val="left" w:pos="5988"/>
        <w:tab w:val="left" w:pos="6441"/>
        <w:tab w:val="right" w:pos="7791"/>
        <w:tab w:val="right" w:pos="8640"/>
      </w:tabs>
    </w:pPr>
    <w:rPr>
      <w:rFonts w:ascii="Tms Rmn" w:hAnsi="Tms Rmn"/>
    </w:rPr>
  </w:style>
  <w:style w:type="paragraph" w:customStyle="1" w:styleId="Circulation">
    <w:name w:val="Circulation"/>
    <w:basedOn w:val="Normal"/>
    <w:uiPriority w:val="99"/>
    <w:rsid w:val="00917C40"/>
    <w:pPr>
      <w:spacing w:before="60"/>
    </w:pPr>
  </w:style>
  <w:style w:type="paragraph" w:customStyle="1" w:styleId="Confid">
    <w:name w:val="Confid"/>
    <w:basedOn w:val="Normal"/>
    <w:uiPriority w:val="99"/>
    <w:rsid w:val="00917C40"/>
    <w:pPr>
      <w:spacing w:after="240"/>
    </w:pPr>
    <w:rPr>
      <w:b/>
    </w:rPr>
  </w:style>
  <w:style w:type="paragraph" w:customStyle="1" w:styleId="CoverAddress">
    <w:name w:val="Cover Address"/>
    <w:basedOn w:val="Normal"/>
    <w:uiPriority w:val="99"/>
    <w:rsid w:val="00917C40"/>
    <w:pPr>
      <w:framePr w:hSpace="180" w:wrap="around" w:vAnchor="page" w:hAnchor="page" w:x="6912" w:y="576"/>
      <w:jc w:val="right"/>
    </w:pPr>
    <w:rPr>
      <w:noProof/>
    </w:rPr>
  </w:style>
  <w:style w:type="paragraph" w:customStyle="1" w:styleId="CoverClientName">
    <w:name w:val="Cover Client Name"/>
    <w:basedOn w:val="Normal"/>
    <w:next w:val="Normal"/>
    <w:uiPriority w:val="99"/>
    <w:rsid w:val="00917C40"/>
    <w:pPr>
      <w:spacing w:before="2220" w:line="720" w:lineRule="exact"/>
      <w:ind w:left="1985"/>
    </w:pPr>
    <w:rPr>
      <w:sz w:val="60"/>
    </w:rPr>
  </w:style>
  <w:style w:type="paragraph" w:customStyle="1" w:styleId="CoverConfidentiality">
    <w:name w:val="Cover Confidentiality"/>
    <w:basedOn w:val="Normal"/>
    <w:uiPriority w:val="99"/>
    <w:rsid w:val="00917C40"/>
    <w:pPr>
      <w:spacing w:before="800"/>
      <w:ind w:left="1985"/>
    </w:pPr>
    <w:rPr>
      <w:i/>
    </w:rPr>
  </w:style>
  <w:style w:type="paragraph" w:customStyle="1" w:styleId="CoverNarrative">
    <w:name w:val="Cover Narrative"/>
    <w:basedOn w:val="Normal"/>
    <w:uiPriority w:val="99"/>
    <w:rsid w:val="00917C40"/>
    <w:pPr>
      <w:shd w:val="solid" w:color="FFFFFF" w:fill="FFFFFF"/>
      <w:spacing w:before="200" w:line="360" w:lineRule="exact"/>
      <w:ind w:left="1985"/>
    </w:pPr>
    <w:rPr>
      <w:sz w:val="36"/>
    </w:rPr>
  </w:style>
  <w:style w:type="paragraph" w:customStyle="1" w:styleId="CoverCopyright">
    <w:name w:val="Cover Copyright"/>
    <w:basedOn w:val="CoverNarrative"/>
    <w:uiPriority w:val="99"/>
    <w:rsid w:val="00917C40"/>
    <w:pPr>
      <w:spacing w:line="240" w:lineRule="auto"/>
    </w:pPr>
    <w:rPr>
      <w:sz w:val="16"/>
    </w:rPr>
  </w:style>
  <w:style w:type="paragraph" w:customStyle="1" w:styleId="CoverDate">
    <w:name w:val="Cover Date"/>
    <w:basedOn w:val="CoverNarrative"/>
    <w:uiPriority w:val="99"/>
    <w:rsid w:val="00917C40"/>
  </w:style>
  <w:style w:type="character" w:customStyle="1" w:styleId="CoverText">
    <w:name w:val="Cover Text"/>
    <w:rsid w:val="00E9032C"/>
    <w:rPr>
      <w:rFonts w:ascii="Arial" w:hAnsi="Arial"/>
      <w:color w:val="auto"/>
      <w:sz w:val="22"/>
    </w:rPr>
  </w:style>
  <w:style w:type="paragraph" w:customStyle="1" w:styleId="Enclosures">
    <w:name w:val="Enclosures"/>
    <w:basedOn w:val="Normal"/>
    <w:uiPriority w:val="99"/>
    <w:rsid w:val="00917C40"/>
    <w:pPr>
      <w:spacing w:before="240"/>
    </w:pPr>
  </w:style>
  <w:style w:type="paragraph" w:customStyle="1" w:styleId="EndQ">
    <w:name w:val="End Q"/>
    <w:basedOn w:val="Normal"/>
    <w:uiPriority w:val="99"/>
    <w:rsid w:val="00917C40"/>
    <w:pPr>
      <w:pBdr>
        <w:bottom w:val="double" w:sz="6" w:space="1" w:color="auto"/>
      </w:pBdr>
      <w:spacing w:after="60"/>
    </w:pPr>
    <w:rPr>
      <w:rFonts w:ascii="Tms Rmn" w:hAnsi="Tms Rmn"/>
    </w:rPr>
  </w:style>
  <w:style w:type="table" w:customStyle="1" w:styleId="EnergyTable">
    <w:name w:val="Energy Table"/>
    <w:basedOn w:val="TableNormal"/>
    <w:uiPriority w:val="99"/>
    <w:qFormat/>
    <w:rsid w:val="006E2DF5"/>
    <w:pPr>
      <w:spacing w:before="40" w:after="40"/>
      <w:jc w:val="center"/>
    </w:pPr>
    <w:rPr>
      <w:rFonts w:ascii="Arial" w:hAnsi="Arial"/>
    </w:rPr>
    <w:tblPr>
      <w:tblStyleRowBandSize w:val="1"/>
      <w:jc w:val="center"/>
      <w:tblBorders>
        <w:bottom w:val="single" w:sz="8" w:space="0" w:color="036479" w:themeColor="text2"/>
        <w:insideH w:val="single" w:sz="4" w:space="0" w:color="B3EFFD"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93D500" w:themeColor="accent1"/>
          <w:right w:val="nil"/>
          <w:insideH w:val="nil"/>
          <w:insideV w:val="nil"/>
          <w:tl2br w:val="nil"/>
          <w:tr2bl w:val="nil"/>
        </w:tcBorders>
        <w:shd w:val="clear" w:color="auto" w:fill="036479" w:themeFill="text2"/>
      </w:tcPr>
    </w:tblStylePr>
    <w:tblStylePr w:type="lastRow">
      <w:pPr>
        <w:jc w:val="center"/>
      </w:pPr>
      <w:rPr>
        <w:rFonts w:ascii="Arial Bold" w:hAnsi="Arial Bold"/>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character" w:customStyle="1" w:styleId="Heading1Char2">
    <w:name w:val="Heading 1 Char2"/>
    <w:aliases w:val="Heading 1 Char Char Char1,Heading 1 Char Char Char Char1,Heading 1 Char Char Char Char Char1,Heading 1 Char Char Char Char Char Char1,Heading 1 Char Char Char Char Char Char Char1,Heading 1 Char Char Char Char Char Char Char Char"/>
    <w:basedOn w:val="DefaultParagraphFont"/>
    <w:locked/>
    <w:rsid w:val="00917C40"/>
    <w:rPr>
      <w:rFonts w:ascii="Palatino Linotype" w:hAnsi="Palatino Linotype" w:cs="Arial"/>
      <w:b/>
      <w:bCs/>
      <w:color w:val="FFFFFF"/>
      <w:kern w:val="28"/>
      <w:position w:val="6"/>
      <w:sz w:val="24"/>
      <w:szCs w:val="24"/>
      <w:shd w:val="clear" w:color="auto" w:fill="A15F00"/>
    </w:rPr>
  </w:style>
  <w:style w:type="character" w:customStyle="1" w:styleId="TOCHeadingChar">
    <w:name w:val="TOC Heading Char"/>
    <w:aliases w:val="TOC Heading (Not in TOC) Char"/>
    <w:link w:val="TOCHeading"/>
    <w:uiPriority w:val="39"/>
    <w:locked/>
    <w:rsid w:val="00141312"/>
    <w:rPr>
      <w:rFonts w:ascii="Arial Bold" w:eastAsia="Calibri" w:hAnsi="Arial Bold"/>
      <w:b/>
      <w:sz w:val="40"/>
      <w:szCs w:val="40"/>
    </w:rPr>
  </w:style>
  <w:style w:type="paragraph" w:customStyle="1" w:styleId="ExecSummaryHead1">
    <w:name w:val="Exec Summary Head 1"/>
    <w:basedOn w:val="TOCHeading"/>
    <w:next w:val="Normal"/>
    <w:link w:val="ExecSummaryHead1Char"/>
    <w:rsid w:val="00917C40"/>
    <w:rPr>
      <w:caps/>
    </w:rPr>
  </w:style>
  <w:style w:type="character" w:customStyle="1" w:styleId="ExecSummaryHead1Char">
    <w:name w:val="Exec Summary Head 1 Char"/>
    <w:basedOn w:val="TOCHeadingChar"/>
    <w:link w:val="ExecSummaryHead1"/>
    <w:locked/>
    <w:rsid w:val="00917C40"/>
    <w:rPr>
      <w:rFonts w:ascii="Arial" w:eastAsia="Calibri" w:hAnsi="Arial"/>
      <w:b/>
      <w:caps/>
      <w:sz w:val="32"/>
      <w:szCs w:val="22"/>
    </w:rPr>
  </w:style>
  <w:style w:type="paragraph" w:customStyle="1" w:styleId="Footnote">
    <w:name w:val="Footnote"/>
    <w:basedOn w:val="Normal"/>
    <w:link w:val="FootnoteChar"/>
    <w:autoRedefine/>
    <w:uiPriority w:val="99"/>
    <w:rsid w:val="00917C40"/>
    <w:pPr>
      <w:widowControl w:val="0"/>
    </w:pPr>
    <w:rPr>
      <w:rFonts w:ascii="Calibri" w:hAnsi="Calibri" w:cs="Calibri"/>
    </w:rPr>
  </w:style>
  <w:style w:type="character" w:customStyle="1" w:styleId="FootnoteChar">
    <w:name w:val="Footnote Char"/>
    <w:basedOn w:val="DefaultParagraphFont"/>
    <w:link w:val="Footnote"/>
    <w:uiPriority w:val="99"/>
    <w:locked/>
    <w:rsid w:val="00917C40"/>
    <w:rPr>
      <w:rFonts w:ascii="Calibri" w:hAnsi="Calibri" w:cs="Calibri"/>
      <w:sz w:val="22"/>
    </w:rPr>
  </w:style>
  <w:style w:type="character" w:customStyle="1" w:styleId="FootnoteTextChar1">
    <w:name w:val="Footnote Text Char1"/>
    <w:aliases w:val="Footnote Text1 Char Char1,Footnote Text Char Ch Char2,Footnote Text Char Ch Char Char Char Char1,Footnote Text Char Ch Char Char Char2,Footnote Text1 Char Char Char Char1,Footnote Text Char Ch Char Char2"/>
    <w:basedOn w:val="DefaultParagraphFont"/>
    <w:uiPriority w:val="99"/>
    <w:rsid w:val="00917C40"/>
    <w:rPr>
      <w:rFonts w:cs="Times New Roman"/>
    </w:rPr>
  </w:style>
  <w:style w:type="paragraph" w:customStyle="1" w:styleId="Foreword">
    <w:name w:val="Foreword"/>
    <w:basedOn w:val="Normal"/>
    <w:next w:val="Normal"/>
    <w:uiPriority w:val="99"/>
    <w:rsid w:val="00917C40"/>
    <w:pPr>
      <w:keepNext/>
      <w:pageBreakBefore/>
      <w:pBdr>
        <w:bottom w:val="single" w:sz="12" w:space="1" w:color="auto"/>
      </w:pBdr>
    </w:pPr>
    <w:rPr>
      <w:b/>
      <w:i/>
      <w:caps/>
      <w:kern w:val="28"/>
    </w:rPr>
  </w:style>
  <w:style w:type="paragraph" w:customStyle="1" w:styleId="From">
    <w:name w:val="From"/>
    <w:basedOn w:val="Normal"/>
    <w:uiPriority w:val="99"/>
    <w:rsid w:val="00917C40"/>
    <w:pPr>
      <w:spacing w:before="60" w:after="40"/>
    </w:pPr>
  </w:style>
  <w:style w:type="paragraph" w:customStyle="1" w:styleId="Ghost">
    <w:name w:val="Ghost"/>
    <w:basedOn w:val="Normal"/>
    <w:uiPriority w:val="99"/>
    <w:rsid w:val="00917C40"/>
    <w:pPr>
      <w:spacing w:after="240"/>
      <w:ind w:left="-567"/>
    </w:pPr>
    <w:rPr>
      <w:i/>
      <w:noProof/>
    </w:rPr>
  </w:style>
  <w:style w:type="character" w:customStyle="1" w:styleId="HeaderChar1">
    <w:name w:val="Header Char1"/>
    <w:aliases w:val="h Char1,Header/Footer Char1,header odd Char1,Hyphen Char1"/>
    <w:basedOn w:val="DefaultParagraphFont"/>
    <w:uiPriority w:val="99"/>
    <w:locked/>
    <w:rsid w:val="00917C40"/>
    <w:rPr>
      <w:rFonts w:ascii="Palatino Linotype" w:hAnsi="Palatino Linotype"/>
      <w:szCs w:val="24"/>
    </w:rPr>
  </w:style>
  <w:style w:type="table" w:customStyle="1" w:styleId="ItronBasic">
    <w:name w:val="ItronBasic"/>
    <w:basedOn w:val="TableNormal"/>
    <w:uiPriority w:val="99"/>
    <w:qFormat/>
    <w:rsid w:val="006E2DF5"/>
    <w:rPr>
      <w:rFonts w:ascii="Tms Rmn" w:hAnsi="Tms Rmn"/>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blStylePr w:type="firstRow">
      <w:rPr>
        <w:b/>
      </w:rPr>
      <w:tblPr/>
      <w:tcPr>
        <w:tcBorders>
          <w:top w:val="single" w:sz="12" w:space="0" w:color="auto"/>
          <w:left w:val="single" w:sz="12" w:space="0" w:color="auto"/>
          <w:bottom w:val="single" w:sz="12" w:space="0" w:color="auto"/>
          <w:right w:val="single" w:sz="12" w:space="0" w:color="auto"/>
        </w:tcBorders>
        <w:shd w:val="clear" w:color="auto" w:fill="D9D9D9" w:themeFill="background1" w:themeFillShade="D9"/>
      </w:tcPr>
    </w:tblStylePr>
  </w:style>
  <w:style w:type="paragraph" w:customStyle="1" w:styleId="L1Surv-Answer">
    <w:name w:val="L1 Surv - Answer"/>
    <w:uiPriority w:val="99"/>
    <w:rsid w:val="00917C40"/>
    <w:pPr>
      <w:keepLines/>
      <w:suppressLineNumbers/>
      <w:tabs>
        <w:tab w:val="left" w:pos="1800"/>
      </w:tabs>
      <w:spacing w:before="60"/>
      <w:ind w:left="1800" w:hanging="720"/>
    </w:pPr>
    <w:rPr>
      <w:rFonts w:ascii="Arial" w:hAnsi="Arial"/>
      <w:szCs w:val="24"/>
    </w:rPr>
  </w:style>
  <w:style w:type="character" w:customStyle="1" w:styleId="L1Surv-AnswerCharChar">
    <w:name w:val="L1 Surv - Answer Char Char"/>
    <w:basedOn w:val="DefaultParagraphFont"/>
    <w:uiPriority w:val="99"/>
    <w:rsid w:val="00917C40"/>
    <w:rPr>
      <w:rFonts w:ascii="Arial" w:hAnsi="Arial" w:cs="Times New Roman"/>
      <w:sz w:val="24"/>
      <w:szCs w:val="24"/>
      <w:lang w:val="en-US" w:eastAsia="en-US" w:bidi="ar-SA"/>
    </w:rPr>
  </w:style>
  <w:style w:type="paragraph" w:customStyle="1" w:styleId="L1Surv-Question">
    <w:name w:val="L1 Surv - Question"/>
    <w:next w:val="L1Surv-Answer"/>
    <w:uiPriority w:val="99"/>
    <w:rsid w:val="00917C40"/>
    <w:pPr>
      <w:keepNext/>
      <w:keepLines/>
      <w:tabs>
        <w:tab w:val="left" w:pos="1080"/>
      </w:tabs>
      <w:spacing w:before="480" w:after="120"/>
      <w:ind w:left="1080" w:hanging="1080"/>
    </w:pPr>
    <w:rPr>
      <w:rFonts w:ascii="Arial" w:hAnsi="Arial"/>
      <w:szCs w:val="24"/>
    </w:rPr>
  </w:style>
  <w:style w:type="character" w:customStyle="1" w:styleId="L1Surv-QuestionCharChar">
    <w:name w:val="L1 Surv - Question Char Char"/>
    <w:basedOn w:val="DefaultParagraphFont"/>
    <w:uiPriority w:val="99"/>
    <w:rsid w:val="00917C40"/>
    <w:rPr>
      <w:rFonts w:ascii="Arial" w:hAnsi="Arial" w:cs="Times New Roman"/>
      <w:sz w:val="24"/>
      <w:szCs w:val="24"/>
      <w:lang w:val="en-US" w:eastAsia="en-US" w:bidi="ar-SA"/>
    </w:rPr>
  </w:style>
  <w:style w:type="paragraph" w:customStyle="1" w:styleId="L2Surv-Answer">
    <w:name w:val="L2 Surv - Answer"/>
    <w:basedOn w:val="L1Surv-Answer"/>
    <w:uiPriority w:val="99"/>
    <w:rsid w:val="00917C40"/>
    <w:pPr>
      <w:ind w:left="2520"/>
    </w:pPr>
    <w:rPr>
      <w:szCs w:val="20"/>
    </w:rPr>
  </w:style>
  <w:style w:type="paragraph" w:customStyle="1" w:styleId="L2Surv-Question">
    <w:name w:val="L2 Surv - Question"/>
    <w:basedOn w:val="L1Surv-Question"/>
    <w:uiPriority w:val="99"/>
    <w:rsid w:val="00917C40"/>
    <w:pPr>
      <w:ind w:left="1800"/>
    </w:pPr>
    <w:rPr>
      <w:szCs w:val="20"/>
    </w:rPr>
  </w:style>
  <w:style w:type="paragraph" w:customStyle="1" w:styleId="L3Surv-Answer">
    <w:name w:val="L3 Surv - Answer"/>
    <w:basedOn w:val="L1Surv-Answer"/>
    <w:uiPriority w:val="99"/>
    <w:rsid w:val="00917C40"/>
    <w:pPr>
      <w:ind w:left="3600"/>
    </w:pPr>
    <w:rPr>
      <w:szCs w:val="20"/>
    </w:rPr>
  </w:style>
  <w:style w:type="paragraph" w:customStyle="1" w:styleId="L3Surv-Question">
    <w:name w:val="L3 Surv - Question"/>
    <w:basedOn w:val="L1Surv-Question"/>
    <w:uiPriority w:val="99"/>
    <w:rsid w:val="00917C40"/>
    <w:pPr>
      <w:ind w:left="2880"/>
    </w:pPr>
    <w:rPr>
      <w:szCs w:val="20"/>
    </w:rPr>
  </w:style>
  <w:style w:type="paragraph" w:customStyle="1" w:styleId="Level1">
    <w:name w:val="Level 1"/>
    <w:basedOn w:val="Normal"/>
    <w:uiPriority w:val="99"/>
    <w:rsid w:val="00917C40"/>
    <w:pPr>
      <w:widowControl w:val="0"/>
    </w:pPr>
    <w:rPr>
      <w:rFonts w:ascii="Times New Roman" w:hAnsi="Times New Roman"/>
      <w:sz w:val="24"/>
    </w:rPr>
  </w:style>
  <w:style w:type="paragraph" w:styleId="ListBullet4">
    <w:name w:val="List Bullet 4"/>
    <w:basedOn w:val="Normal"/>
    <w:unhideWhenUsed/>
    <w:locked/>
    <w:rsid w:val="00E9032C"/>
    <w:pPr>
      <w:numPr>
        <w:numId w:val="41"/>
      </w:numPr>
      <w:suppressAutoHyphens w:val="0"/>
      <w:autoSpaceDN/>
      <w:spacing w:before="0" w:after="0"/>
      <w:contextualSpacing/>
    </w:pPr>
    <w:rPr>
      <w:szCs w:val="20"/>
    </w:rPr>
  </w:style>
  <w:style w:type="paragraph" w:styleId="ListNumber2">
    <w:name w:val="List Number 2"/>
    <w:basedOn w:val="Normal"/>
    <w:unhideWhenUsed/>
    <w:locked/>
    <w:rsid w:val="00E9032C"/>
    <w:pPr>
      <w:numPr>
        <w:numId w:val="44"/>
      </w:numPr>
      <w:suppressAutoHyphens w:val="0"/>
      <w:autoSpaceDN/>
      <w:spacing w:before="0" w:after="0"/>
      <w:contextualSpacing/>
    </w:pPr>
    <w:rPr>
      <w:szCs w:val="20"/>
    </w:rPr>
  </w:style>
  <w:style w:type="paragraph" w:styleId="ListNumber3">
    <w:name w:val="List Number 3"/>
    <w:basedOn w:val="Normal"/>
    <w:unhideWhenUsed/>
    <w:locked/>
    <w:rsid w:val="00E9032C"/>
    <w:pPr>
      <w:numPr>
        <w:numId w:val="45"/>
      </w:numPr>
      <w:suppressAutoHyphens w:val="0"/>
      <w:autoSpaceDN/>
      <w:spacing w:before="0" w:after="0"/>
      <w:contextualSpacing/>
    </w:pPr>
    <w:rPr>
      <w:szCs w:val="20"/>
    </w:rPr>
  </w:style>
  <w:style w:type="paragraph" w:customStyle="1" w:styleId="LongLabel">
    <w:name w:val="Long Label"/>
    <w:uiPriority w:val="99"/>
    <w:rsid w:val="00917C40"/>
    <w:pPr>
      <w:keepNext/>
      <w:ind w:right="1987"/>
      <w:jc w:val="both"/>
    </w:pPr>
    <w:rPr>
      <w:rFonts w:ascii="Tms Rmn" w:hAnsi="Tms Rmn"/>
    </w:rPr>
  </w:style>
  <w:style w:type="paragraph" w:customStyle="1" w:styleId="Normal0pt">
    <w:name w:val="Normal 0pt"/>
    <w:basedOn w:val="Normal"/>
    <w:uiPriority w:val="99"/>
    <w:rsid w:val="00917C40"/>
  </w:style>
  <w:style w:type="paragraph" w:customStyle="1" w:styleId="Number">
    <w:name w:val="Number"/>
    <w:basedOn w:val="NormalIndent"/>
    <w:uiPriority w:val="99"/>
    <w:rsid w:val="00917C40"/>
    <w:pPr>
      <w:numPr>
        <w:numId w:val="11"/>
      </w:numPr>
    </w:pPr>
    <w:rPr>
      <w:rFonts w:ascii="Century Schoolbook" w:hAnsi="Century Schoolbook"/>
      <w:sz w:val="24"/>
    </w:rPr>
  </w:style>
  <w:style w:type="paragraph" w:customStyle="1" w:styleId="PADate">
    <w:name w:val="PA Date"/>
    <w:basedOn w:val="Normal"/>
    <w:uiPriority w:val="99"/>
    <w:rsid w:val="00917C40"/>
    <w:pPr>
      <w:spacing w:before="280" w:after="240"/>
    </w:pPr>
  </w:style>
  <w:style w:type="paragraph" w:customStyle="1" w:styleId="quest">
    <w:name w:val="quest"/>
    <w:basedOn w:val="BodyText"/>
    <w:uiPriority w:val="99"/>
    <w:rsid w:val="00917C40"/>
    <w:pPr>
      <w:ind w:left="864" w:hanging="432"/>
      <w:jc w:val="both"/>
    </w:pPr>
    <w:rPr>
      <w:rFonts w:ascii="CG Times (W1)" w:hAnsi="CG Times (W1)"/>
    </w:rPr>
  </w:style>
  <w:style w:type="paragraph" w:customStyle="1" w:styleId="SignOff">
    <w:name w:val="Sign Off"/>
    <w:basedOn w:val="Normal"/>
    <w:uiPriority w:val="99"/>
    <w:rsid w:val="00917C40"/>
    <w:pPr>
      <w:spacing w:before="720"/>
    </w:pPr>
  </w:style>
  <w:style w:type="numbering" w:customStyle="1" w:styleId="StyleBulletedLeft0Hanging03">
    <w:name w:val="Style Bulleted Left:  0&quot; Hanging:  0.3&quot;"/>
    <w:basedOn w:val="NoList"/>
    <w:rsid w:val="00E9032C"/>
    <w:pPr>
      <w:numPr>
        <w:numId w:val="49"/>
      </w:numPr>
    </w:pPr>
  </w:style>
  <w:style w:type="numbering" w:customStyle="1" w:styleId="StyleBulleted6">
    <w:name w:val="Style Bulleted6"/>
    <w:rsid w:val="00E9032C"/>
    <w:pPr>
      <w:numPr>
        <w:numId w:val="50"/>
      </w:numPr>
    </w:pPr>
  </w:style>
  <w:style w:type="numbering" w:customStyle="1" w:styleId="StyleBulleted9">
    <w:name w:val="Style Bulleted9"/>
    <w:basedOn w:val="NoList"/>
    <w:rsid w:val="00E9032C"/>
    <w:pPr>
      <w:numPr>
        <w:numId w:val="51"/>
      </w:numPr>
    </w:pPr>
  </w:style>
  <w:style w:type="paragraph" w:customStyle="1" w:styleId="Subject">
    <w:name w:val="Subject"/>
    <w:basedOn w:val="Normal"/>
    <w:uiPriority w:val="99"/>
    <w:rsid w:val="00917C40"/>
    <w:pPr>
      <w:spacing w:before="60"/>
    </w:pPr>
    <w:rPr>
      <w:b/>
      <w:caps/>
    </w:rPr>
  </w:style>
  <w:style w:type="paragraph" w:customStyle="1" w:styleId="Surv-Direction">
    <w:name w:val="Surv - Direction"/>
    <w:uiPriority w:val="99"/>
    <w:rsid w:val="00917C40"/>
    <w:rPr>
      <w:rFonts w:ascii="Arial" w:hAnsi="Arial"/>
      <w:caps/>
      <w:color w:val="FF0000"/>
      <w:szCs w:val="24"/>
    </w:rPr>
  </w:style>
  <w:style w:type="character" w:customStyle="1" w:styleId="Surv-DirectionChar">
    <w:name w:val="Surv - Direction Char"/>
    <w:basedOn w:val="DefaultParagraphFont"/>
    <w:uiPriority w:val="99"/>
    <w:rsid w:val="00917C40"/>
    <w:rPr>
      <w:rFonts w:ascii="Arial" w:hAnsi="Arial" w:cs="Times New Roman"/>
      <w:caps/>
      <w:color w:val="FF0000"/>
      <w:sz w:val="24"/>
      <w:szCs w:val="24"/>
      <w:lang w:val="en-US" w:eastAsia="en-US" w:bidi="ar-SA"/>
    </w:rPr>
  </w:style>
  <w:style w:type="paragraph" w:customStyle="1" w:styleId="Surv-ReplaceCode">
    <w:name w:val="Surv - Replace Code"/>
    <w:next w:val="Normal"/>
    <w:uiPriority w:val="99"/>
    <w:rsid w:val="00917C40"/>
    <w:rPr>
      <w:rFonts w:ascii="Arial" w:hAnsi="Arial"/>
      <w:b/>
      <w:bCs/>
      <w:color w:val="0000FF"/>
      <w:szCs w:val="24"/>
    </w:rPr>
  </w:style>
  <w:style w:type="character" w:customStyle="1" w:styleId="Surv-ReplaceCodeCharChar">
    <w:name w:val="Surv - Replace Code Char Char"/>
    <w:basedOn w:val="DefaultParagraphFont"/>
    <w:uiPriority w:val="99"/>
    <w:rsid w:val="00917C40"/>
    <w:rPr>
      <w:rFonts w:ascii="Arial" w:hAnsi="Arial" w:cs="Times New Roman"/>
      <w:b/>
      <w:bCs/>
      <w:color w:val="0000FF"/>
      <w:sz w:val="24"/>
      <w:szCs w:val="24"/>
      <w:lang w:val="en-US" w:eastAsia="en-US" w:bidi="ar-SA"/>
    </w:rPr>
  </w:style>
  <w:style w:type="paragraph" w:customStyle="1" w:styleId="TableBody">
    <w:name w:val="Table Body"/>
    <w:basedOn w:val="Normal"/>
    <w:uiPriority w:val="99"/>
    <w:rsid w:val="00917C40"/>
    <w:pPr>
      <w:numPr>
        <w:ilvl w:val="12"/>
      </w:numPr>
      <w:spacing w:after="80"/>
      <w:jc w:val="center"/>
    </w:pPr>
    <w:rPr>
      <w:rFonts w:ascii="Century Gothic" w:hAnsi="Century Gothic"/>
      <w:sz w:val="18"/>
    </w:rPr>
  </w:style>
  <w:style w:type="paragraph" w:customStyle="1" w:styleId="TableBodyHeading">
    <w:name w:val="Table Body Heading"/>
    <w:basedOn w:val="TableBody"/>
    <w:uiPriority w:val="99"/>
    <w:rsid w:val="00917C40"/>
    <w:pPr>
      <w:ind w:left="144" w:hanging="144"/>
      <w:jc w:val="left"/>
    </w:pPr>
    <w:rPr>
      <w:b/>
    </w:rPr>
  </w:style>
  <w:style w:type="table" w:styleId="TableClassic2">
    <w:name w:val="Table Classic 2"/>
    <w:basedOn w:val="TableNormal"/>
    <w:locked/>
    <w:rsid w:val="00E9032C"/>
    <w:pPr>
      <w:tabs>
        <w:tab w:val="left" w:pos="360"/>
        <w:tab w:val="left" w:pos="720"/>
        <w:tab w:val="left" w:pos="1080"/>
        <w:tab w:val="left" w:pos="1440"/>
      </w:tabs>
    </w:pPr>
    <w:rPr>
      <w:rFonts w:ascii="Arial" w:hAnsi="Arial"/>
      <w:sz w:val="18"/>
      <w:szCs w:val="18"/>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15" w:type="dxa"/>
        <w:right w:w="115" w:type="dxa"/>
      </w:tblCellMar>
    </w:tblPr>
    <w:trPr>
      <w:jc w:val="center"/>
    </w:trPr>
    <w:tcPr>
      <w:shd w:val="clear" w:color="auto" w:fill="auto"/>
    </w:tcPr>
    <w:tblStylePr w:type="firstRow">
      <w:rPr>
        <w:rFonts w:ascii="Arial" w:hAnsi="Arial"/>
        <w:b/>
        <w:i w:val="0"/>
        <w:color w:val="auto"/>
        <w:sz w:val="18"/>
        <w:szCs w:val="18"/>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CCCCFF"/>
      </w:tcPr>
    </w:tblStylePr>
    <w:tblStylePr w:type="lastRow">
      <w:rPr>
        <w:rFonts w:ascii="Arial" w:hAnsi="Arial"/>
        <w:color w:val="auto"/>
        <w:sz w:val="18"/>
      </w:rPr>
      <w:tblPr/>
      <w:tcPr>
        <w:tcBorders>
          <w:top w:val="single" w:sz="6" w:space="0" w:color="000000"/>
          <w:tl2br w:val="none" w:sz="0" w:space="0" w:color="auto"/>
          <w:tr2bl w:val="none" w:sz="0" w:space="0" w:color="auto"/>
        </w:tcBorders>
      </w:tcPr>
    </w:tblStylePr>
    <w:tblStylePr w:type="firstCol">
      <w:rPr>
        <w:rFonts w:ascii="Arial" w:hAnsi="Arial"/>
        <w:b/>
        <w:bCs/>
        <w:sz w:val="18"/>
      </w:rPr>
      <w:tblPr/>
      <w:tcPr>
        <w:shd w:val="clear" w:color="auto" w:fill="FFFF99"/>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TableHeading0">
    <w:name w:val="Table Heading"/>
    <w:basedOn w:val="Normal"/>
    <w:uiPriority w:val="99"/>
    <w:rsid w:val="00917C40"/>
    <w:pPr>
      <w:keepNext/>
      <w:numPr>
        <w:ilvl w:val="12"/>
      </w:numPr>
      <w:spacing w:after="80"/>
      <w:jc w:val="center"/>
    </w:pPr>
    <w:rPr>
      <w:rFonts w:ascii="Century Gothic" w:hAnsi="Century Gothic"/>
      <w:b/>
      <w:caps/>
      <w:sz w:val="18"/>
    </w:rPr>
  </w:style>
  <w:style w:type="paragraph" w:customStyle="1" w:styleId="TableHeadings">
    <w:name w:val="Table Headings"/>
    <w:basedOn w:val="Normal"/>
    <w:uiPriority w:val="99"/>
    <w:rsid w:val="00917C40"/>
    <w:pPr>
      <w:spacing w:before="60"/>
      <w:jc w:val="right"/>
    </w:pPr>
    <w:rPr>
      <w:b/>
    </w:rPr>
  </w:style>
  <w:style w:type="table" w:styleId="TableList7">
    <w:name w:val="Table List 7"/>
    <w:basedOn w:val="TableNormal"/>
    <w:locked/>
    <w:rsid w:val="00E9032C"/>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tablerowhead">
    <w:name w:val="table row head"/>
    <w:basedOn w:val="Normal"/>
    <w:uiPriority w:val="99"/>
    <w:rsid w:val="00917C40"/>
    <w:pPr>
      <w:overflowPunct w:val="0"/>
      <w:autoSpaceDE w:val="0"/>
      <w:adjustRightInd w:val="0"/>
      <w:spacing w:before="60" w:after="60"/>
      <w:textAlignment w:val="baseline"/>
    </w:pPr>
    <w:rPr>
      <w:rFonts w:ascii="Helvetica" w:hAnsi="Helvetica"/>
    </w:rPr>
  </w:style>
  <w:style w:type="paragraph" w:customStyle="1" w:styleId="TableText1">
    <w:name w:val="Table Text"/>
    <w:basedOn w:val="Normal"/>
    <w:autoRedefine/>
    <w:uiPriority w:val="99"/>
    <w:rsid w:val="00917C40"/>
    <w:pPr>
      <w:widowControl w:val="0"/>
      <w:jc w:val="center"/>
    </w:pPr>
    <w:rPr>
      <w:rFonts w:ascii="Calibri" w:hAnsi="Calibri" w:cs="Arial"/>
      <w:noProof/>
      <w:szCs w:val="18"/>
    </w:rPr>
  </w:style>
  <w:style w:type="paragraph" w:customStyle="1" w:styleId="TOCNormal">
    <w:name w:val="TOC Normal"/>
    <w:basedOn w:val="TOCHeading"/>
    <w:uiPriority w:val="99"/>
    <w:rsid w:val="00917C40"/>
    <w:pPr>
      <w:spacing w:before="240" w:after="0"/>
    </w:pPr>
    <w:rPr>
      <w:sz w:val="26"/>
      <w:szCs w:val="20"/>
    </w:rPr>
  </w:style>
  <w:style w:type="paragraph" w:customStyle="1" w:styleId="FaxBodyText">
    <w:name w:val="Fax Body Text"/>
    <w:basedOn w:val="Normal"/>
    <w:rsid w:val="00917C40"/>
    <w:pPr>
      <w:framePr w:hSpace="180" w:wrap="around" w:vAnchor="text" w:hAnchor="text" w:y="55"/>
    </w:pPr>
    <w:rPr>
      <w:sz w:val="18"/>
    </w:rPr>
  </w:style>
  <w:style w:type="table" w:styleId="ColorfulList-Accent5">
    <w:name w:val="Colorful List Accent 5"/>
    <w:basedOn w:val="TableNormal"/>
    <w:uiPriority w:val="72"/>
    <w:rsid w:val="00917C40"/>
    <w:rPr>
      <w:color w:val="000000" w:themeColor="text1"/>
    </w:rPr>
    <w:tblPr>
      <w:tblStyleRowBandSize w:val="1"/>
      <w:tblStyleColBandSize w:val="1"/>
    </w:tblPr>
    <w:tcPr>
      <w:shd w:val="clear" w:color="auto" w:fill="F0F8E6" w:themeFill="accent5" w:themeFillTint="19"/>
    </w:tcPr>
    <w:tblStylePr w:type="firstRow">
      <w:rPr>
        <w:b/>
        <w:bCs/>
        <w:color w:val="FFFFFF" w:themeColor="background1"/>
      </w:rPr>
      <w:tblPr/>
      <w:tcPr>
        <w:tcBorders>
          <w:bottom w:val="single" w:sz="12" w:space="0" w:color="FFFFFF" w:themeColor="background1"/>
        </w:tcBorders>
        <w:shd w:val="clear" w:color="auto" w:fill="DC9A06" w:themeFill="accent6" w:themeFillShade="CC"/>
      </w:tcPr>
    </w:tblStylePr>
    <w:tblStylePr w:type="lastRow">
      <w:rPr>
        <w:b/>
        <w:bCs/>
        <w:color w:val="DC9A0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DC2" w:themeFill="accent5" w:themeFillTint="3F"/>
      </w:tcPr>
    </w:tblStylePr>
    <w:tblStylePr w:type="band1Horz">
      <w:tblPr/>
      <w:tcPr>
        <w:shd w:val="clear" w:color="auto" w:fill="E1F0CD" w:themeFill="accent5" w:themeFillTint="33"/>
      </w:tcPr>
    </w:tblStylePr>
  </w:style>
  <w:style w:type="table" w:styleId="ColorfulList-Accent4">
    <w:name w:val="Colorful List Accent 4"/>
    <w:basedOn w:val="TableNormal"/>
    <w:uiPriority w:val="72"/>
    <w:rsid w:val="00917C40"/>
    <w:rPr>
      <w:color w:val="000000" w:themeColor="text1"/>
    </w:rPr>
    <w:tblPr>
      <w:tblStyleRowBandSize w:val="1"/>
      <w:tblStyleColBandSize w:val="1"/>
    </w:tblPr>
    <w:tcPr>
      <w:shd w:val="clear" w:color="auto" w:fill="F5FAFC" w:themeFill="accent4" w:themeFillTint="19"/>
    </w:tcPr>
    <w:tblStylePr w:type="firstRow">
      <w:rPr>
        <w:b/>
        <w:bCs/>
        <w:color w:val="FFFFFF" w:themeColor="background1"/>
      </w:rPr>
      <w:tblPr/>
      <w:tcPr>
        <w:tcBorders>
          <w:bottom w:val="single" w:sz="12" w:space="0" w:color="FFFFFF" w:themeColor="background1"/>
        </w:tcBorders>
        <w:shd w:val="clear" w:color="auto" w:fill="024F60" w:themeFill="accent3" w:themeFillShade="CC"/>
      </w:tcPr>
    </w:tblStylePr>
    <w:tblStylePr w:type="lastRow">
      <w:rPr>
        <w:b/>
        <w:bCs/>
        <w:color w:val="024F6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4F7" w:themeFill="accent4" w:themeFillTint="3F"/>
      </w:tcPr>
    </w:tblStylePr>
    <w:tblStylePr w:type="band1Horz">
      <w:tblPr/>
      <w:tcPr>
        <w:shd w:val="clear" w:color="auto" w:fill="EBF6F8" w:themeFill="accent4" w:themeFillTint="33"/>
      </w:tcPr>
    </w:tblStylePr>
  </w:style>
  <w:style w:type="table" w:styleId="LightList-Accent6">
    <w:name w:val="Light List Accent 6"/>
    <w:basedOn w:val="TableNormal"/>
    <w:uiPriority w:val="61"/>
    <w:rsid w:val="00917C40"/>
    <w:tblPr>
      <w:tblStyleRowBandSize w:val="1"/>
      <w:tblStyleColBandSize w:val="1"/>
      <w:tblBorders>
        <w:top w:val="single" w:sz="8" w:space="0" w:color="F9B723" w:themeColor="accent6"/>
        <w:left w:val="single" w:sz="8" w:space="0" w:color="F9B723" w:themeColor="accent6"/>
        <w:bottom w:val="single" w:sz="8" w:space="0" w:color="F9B723" w:themeColor="accent6"/>
        <w:right w:val="single" w:sz="8" w:space="0" w:color="F9B723" w:themeColor="accent6"/>
      </w:tblBorders>
    </w:tblPr>
    <w:tblStylePr w:type="firstRow">
      <w:pPr>
        <w:spacing w:before="0" w:after="0" w:line="240" w:lineRule="auto"/>
      </w:pPr>
      <w:rPr>
        <w:b/>
        <w:bCs/>
        <w:color w:val="FFFFFF" w:themeColor="background1"/>
      </w:rPr>
      <w:tblPr/>
      <w:tcPr>
        <w:shd w:val="clear" w:color="auto" w:fill="F9B723" w:themeFill="accent6"/>
      </w:tcPr>
    </w:tblStylePr>
    <w:tblStylePr w:type="lastRow">
      <w:pPr>
        <w:spacing w:before="0" w:after="0" w:line="240" w:lineRule="auto"/>
      </w:pPr>
      <w:rPr>
        <w:b/>
        <w:bCs/>
      </w:rPr>
      <w:tblPr/>
      <w:tcPr>
        <w:tcBorders>
          <w:top w:val="double" w:sz="6" w:space="0" w:color="F9B723" w:themeColor="accent6"/>
          <w:left w:val="single" w:sz="8" w:space="0" w:color="F9B723" w:themeColor="accent6"/>
          <w:bottom w:val="single" w:sz="8" w:space="0" w:color="F9B723" w:themeColor="accent6"/>
          <w:right w:val="single" w:sz="8" w:space="0" w:color="F9B723" w:themeColor="accent6"/>
        </w:tcBorders>
      </w:tcPr>
    </w:tblStylePr>
    <w:tblStylePr w:type="firstCol">
      <w:rPr>
        <w:b/>
        <w:bCs/>
      </w:rPr>
    </w:tblStylePr>
    <w:tblStylePr w:type="lastCol">
      <w:rPr>
        <w:b/>
        <w:bCs/>
      </w:rPr>
    </w:tblStylePr>
    <w:tblStylePr w:type="band1Vert">
      <w:tblPr/>
      <w:tcPr>
        <w:tcBorders>
          <w:top w:val="single" w:sz="8" w:space="0" w:color="F9B723" w:themeColor="accent6"/>
          <w:left w:val="single" w:sz="8" w:space="0" w:color="F9B723" w:themeColor="accent6"/>
          <w:bottom w:val="single" w:sz="8" w:space="0" w:color="F9B723" w:themeColor="accent6"/>
          <w:right w:val="single" w:sz="8" w:space="0" w:color="F9B723" w:themeColor="accent6"/>
        </w:tcBorders>
      </w:tcPr>
    </w:tblStylePr>
    <w:tblStylePr w:type="band1Horz">
      <w:tblPr/>
      <w:tcPr>
        <w:tcBorders>
          <w:top w:val="single" w:sz="8" w:space="0" w:color="F9B723" w:themeColor="accent6"/>
          <w:left w:val="single" w:sz="8" w:space="0" w:color="F9B723" w:themeColor="accent6"/>
          <w:bottom w:val="single" w:sz="8" w:space="0" w:color="F9B723" w:themeColor="accent6"/>
          <w:right w:val="single" w:sz="8" w:space="0" w:color="F9B723" w:themeColor="accent6"/>
        </w:tcBorders>
      </w:tcPr>
    </w:tblStylePr>
  </w:style>
  <w:style w:type="table" w:customStyle="1" w:styleId="EnergyPracticeTable1">
    <w:name w:val="Energy Practice Table1"/>
    <w:basedOn w:val="TableNormal"/>
    <w:uiPriority w:val="99"/>
    <w:qFormat/>
    <w:rsid w:val="006E2DF5"/>
    <w:pPr>
      <w:spacing w:before="60" w:after="60"/>
      <w:jc w:val="center"/>
    </w:pPr>
    <w:rPr>
      <w:rFonts w:ascii="Palatino Linotype" w:hAnsi="Palatino Linotype"/>
    </w:rPr>
    <w:tblPr>
      <w:tblBorders>
        <w:bottom w:val="single" w:sz="4" w:space="0" w:color="A29784"/>
        <w:insideH w:val="single" w:sz="4" w:space="0" w:color="A29784"/>
        <w:insideV w:val="single" w:sz="4" w:space="0" w:color="A29784"/>
      </w:tblBorders>
    </w:tblPr>
    <w:tcPr>
      <w:vAlign w:val="center"/>
    </w:tcPr>
    <w:tblStylePr w:type="firstRow">
      <w:pPr>
        <w:wordWrap/>
        <w:spacing w:beforeLines="0" w:before="100" w:beforeAutospacing="1" w:afterLines="0" w:after="100" w:afterAutospacing="1" w:line="240" w:lineRule="auto"/>
        <w:jc w:val="center"/>
      </w:pPr>
      <w:rPr>
        <w:rFonts w:ascii="Tahoma" w:hAnsi="Tahoma" w:cs="Tahoma" w:hint="default"/>
        <w:b/>
        <w:color w:val="FFFFFF"/>
        <w:sz w:val="20"/>
        <w:szCs w:val="20"/>
      </w:rPr>
      <w:tblPr/>
      <w:tcPr>
        <w:tcBorders>
          <w:top w:val="nil"/>
          <w:left w:val="nil"/>
          <w:bottom w:val="single" w:sz="4" w:space="0" w:color="993300"/>
          <w:right w:val="nil"/>
          <w:insideH w:val="nil"/>
          <w:insideV w:val="single" w:sz="4" w:space="0" w:color="FFFFFF"/>
          <w:tl2br w:val="nil"/>
          <w:tr2bl w:val="nil"/>
        </w:tcBorders>
        <w:shd w:val="clear" w:color="auto" w:fill="A29784"/>
        <w:vAlign w:val="both"/>
      </w:tcPr>
    </w:tblStylePr>
    <w:tblStylePr w:type="firstCol">
      <w:pPr>
        <w:wordWrap/>
        <w:spacing w:beforeLines="0" w:before="100" w:beforeAutospacing="1" w:afterLines="0" w:after="100" w:afterAutospacing="1" w:line="240" w:lineRule="auto"/>
        <w:jc w:val="left"/>
      </w:pPr>
      <w:rPr>
        <w:rFonts w:ascii="Tahoma" w:hAnsi="Tahoma" w:cs="Tahoma" w:hint="default"/>
        <w:color w:val="auto"/>
        <w:sz w:val="20"/>
        <w:szCs w:val="20"/>
      </w:rPr>
    </w:tblStylePr>
  </w:style>
  <w:style w:type="table" w:customStyle="1" w:styleId="Style32">
    <w:name w:val="Style32"/>
    <w:basedOn w:val="TableNormal"/>
    <w:uiPriority w:val="99"/>
    <w:qFormat/>
    <w:rsid w:val="006E2DF5"/>
    <w:pPr>
      <w:jc w:val="center"/>
    </w:pPr>
    <w:rPr>
      <w:rFonts w:ascii="Palatino Linotype" w:hAnsi="Palatino Linotype"/>
      <w:sz w:val="22"/>
    </w:rPr>
    <w:tblPr>
      <w:tblBorders>
        <w:bottom w:val="single" w:sz="4" w:space="0" w:color="A29784"/>
        <w:insideH w:val="single" w:sz="4" w:space="0" w:color="A29784"/>
        <w:insideV w:val="single" w:sz="4" w:space="0" w:color="A29784"/>
      </w:tblBorders>
      <w:tblCellMar>
        <w:left w:w="115" w:type="dxa"/>
        <w:right w:w="115" w:type="dxa"/>
      </w:tblCellMar>
    </w:tblPr>
    <w:tcPr>
      <w:vAlign w:val="center"/>
    </w:tcPr>
    <w:tblStylePr w:type="firstRow">
      <w:pPr>
        <w:wordWrap/>
        <w:spacing w:beforeLines="0" w:beforeAutospacing="0" w:afterLines="0" w:afterAutospacing="0" w:line="240" w:lineRule="auto"/>
        <w:jc w:val="center"/>
      </w:pPr>
      <w:rPr>
        <w:rFonts w:ascii="Palatino Linotype" w:hAnsi="Palatino Linotype"/>
        <w:b/>
        <w:color w:val="FFFFFF"/>
        <w:sz w:val="22"/>
      </w:rPr>
      <w:tblPr/>
      <w:tcPr>
        <w:tcBorders>
          <w:top w:val="nil"/>
          <w:left w:val="nil"/>
          <w:bottom w:val="nil"/>
          <w:right w:val="nil"/>
          <w:insideH w:val="nil"/>
          <w:insideV w:val="single" w:sz="4" w:space="0" w:color="FFFFFF"/>
          <w:tl2br w:val="nil"/>
          <w:tr2bl w:val="nil"/>
        </w:tcBorders>
        <w:shd w:val="clear" w:color="auto" w:fill="A29784"/>
        <w:vAlign w:val="bottom"/>
      </w:tcPr>
    </w:tblStylePr>
    <w:tblStylePr w:type="firstCol">
      <w:pPr>
        <w:wordWrap/>
        <w:spacing w:beforeLines="0" w:beforeAutospacing="0" w:afterLines="0" w:afterAutospacing="0" w:line="240" w:lineRule="auto"/>
        <w:jc w:val="left"/>
      </w:pPr>
      <w:rPr>
        <w:rFonts w:ascii="Palatino Linotype" w:hAnsi="Palatino Linotype"/>
        <w:color w:val="auto"/>
        <w:sz w:val="22"/>
      </w:rPr>
    </w:tblStylePr>
  </w:style>
  <w:style w:type="paragraph" w:customStyle="1" w:styleId="Finding">
    <w:name w:val="Finding"/>
    <w:basedOn w:val="Normal"/>
    <w:link w:val="FindingChar"/>
    <w:rsid w:val="00917C40"/>
    <w:pPr>
      <w:ind w:left="1080" w:hanging="360"/>
    </w:pPr>
  </w:style>
  <w:style w:type="character" w:customStyle="1" w:styleId="FindingChar">
    <w:name w:val="Finding Char"/>
    <w:basedOn w:val="DefaultParagraphFont"/>
    <w:link w:val="Finding"/>
    <w:rsid w:val="00917C40"/>
    <w:rPr>
      <w:rFonts w:ascii="Arial" w:hAnsi="Arial"/>
      <w:sz w:val="22"/>
    </w:rPr>
  </w:style>
  <w:style w:type="table" w:customStyle="1" w:styleId="EnergyPracticeTable2">
    <w:name w:val="Energy Practice Table2"/>
    <w:basedOn w:val="TableNormal"/>
    <w:uiPriority w:val="99"/>
    <w:qFormat/>
    <w:rsid w:val="006E2DF5"/>
    <w:pPr>
      <w:spacing w:before="60" w:after="60"/>
      <w:jc w:val="center"/>
    </w:pPr>
    <w:rPr>
      <w:rFonts w:ascii="Palatino Linotype" w:hAnsi="Palatino Linotype"/>
    </w:rPr>
    <w:tblPr>
      <w:tblBorders>
        <w:bottom w:val="single" w:sz="4" w:space="0" w:color="A29784"/>
        <w:insideH w:val="single" w:sz="4" w:space="0" w:color="A29784"/>
        <w:insideV w:val="single" w:sz="4" w:space="0" w:color="A29784"/>
      </w:tblBorders>
    </w:tblPr>
    <w:tcPr>
      <w:vAlign w:val="center"/>
    </w:tcPr>
    <w:tblStylePr w:type="firstRow">
      <w:pPr>
        <w:wordWrap/>
        <w:spacing w:beforeLines="0" w:beforeAutospacing="0" w:afterLines="0" w:afterAutospacing="0" w:line="240" w:lineRule="auto"/>
        <w:jc w:val="center"/>
      </w:pPr>
      <w:rPr>
        <w:rFonts w:ascii="Tahoma" w:hAnsi="Tahoma"/>
        <w:b/>
        <w:color w:val="FFFFFF"/>
        <w:sz w:val="20"/>
      </w:rPr>
      <w:tblPr/>
      <w:trPr>
        <w:tblHeader/>
      </w:trPr>
      <w:tcPr>
        <w:tcBorders>
          <w:top w:val="nil"/>
          <w:left w:val="nil"/>
          <w:bottom w:val="single" w:sz="4" w:space="0" w:color="993300"/>
          <w:right w:val="nil"/>
          <w:insideH w:val="nil"/>
          <w:insideV w:val="single" w:sz="4" w:space="0" w:color="FFFFFF"/>
          <w:tl2br w:val="nil"/>
          <w:tr2bl w:val="nil"/>
        </w:tcBorders>
        <w:shd w:val="clear" w:color="auto" w:fill="A29784"/>
        <w:vAlign w:val="bottom"/>
      </w:tcPr>
    </w:tblStylePr>
    <w:tblStylePr w:type="firstCol">
      <w:pPr>
        <w:wordWrap/>
        <w:spacing w:beforeLines="0" w:beforeAutospacing="0" w:afterLines="0" w:afterAutospacing="0" w:line="240" w:lineRule="auto"/>
        <w:jc w:val="left"/>
      </w:pPr>
      <w:rPr>
        <w:rFonts w:ascii="Tahoma" w:hAnsi="Tahoma"/>
        <w:color w:val="auto"/>
        <w:sz w:val="20"/>
      </w:rPr>
    </w:tblStylePr>
  </w:style>
  <w:style w:type="table" w:styleId="TableList4">
    <w:name w:val="Table List 4"/>
    <w:basedOn w:val="TableNormal"/>
    <w:locked/>
    <w:rsid w:val="00917C4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MediumShading1-Accent11">
    <w:name w:val="Medium Shading 1 - Accent 11"/>
    <w:basedOn w:val="TableNormal"/>
    <w:uiPriority w:val="63"/>
    <w:rsid w:val="006E2DF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Questionfollowon">
    <w:name w:val="Question follow on"/>
    <w:basedOn w:val="Question"/>
    <w:next w:val="Normal"/>
    <w:rsid w:val="00917C40"/>
    <w:pPr>
      <w:keepNext/>
      <w:tabs>
        <w:tab w:val="left" w:pos="1260"/>
      </w:tabs>
      <w:overflowPunct w:val="0"/>
      <w:autoSpaceDE w:val="0"/>
      <w:adjustRightInd w:val="0"/>
      <w:spacing w:before="0" w:line="276" w:lineRule="auto"/>
      <w:ind w:left="1260" w:hanging="540"/>
      <w:textAlignment w:val="baseline"/>
    </w:pPr>
    <w:rPr>
      <w:b/>
      <w:color w:val="auto"/>
      <w:szCs w:val="22"/>
    </w:rPr>
  </w:style>
  <w:style w:type="character" w:customStyle="1" w:styleId="QuestionChar">
    <w:name w:val="Question Char"/>
    <w:basedOn w:val="DefaultParagraphFont"/>
    <w:link w:val="Question"/>
    <w:rsid w:val="00917C40"/>
    <w:rPr>
      <w:color w:val="000080"/>
      <w:sz w:val="22"/>
    </w:rPr>
  </w:style>
  <w:style w:type="character" w:customStyle="1" w:styleId="SourceChar">
    <w:name w:val="Source Char"/>
    <w:basedOn w:val="DefaultParagraphFont"/>
    <w:link w:val="Source"/>
    <w:rsid w:val="00917C40"/>
    <w:rPr>
      <w:rFonts w:ascii="Arial" w:hAnsi="Arial"/>
      <w:i/>
      <w:color w:val="000000" w:themeColor="text1"/>
      <w:sz w:val="16"/>
    </w:rPr>
  </w:style>
  <w:style w:type="table" w:styleId="TableContemporary">
    <w:name w:val="Table Contemporary"/>
    <w:basedOn w:val="TableNormal"/>
    <w:locked/>
    <w:rsid w:val="00917C4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IntenseEmphasis">
    <w:name w:val="Intense Emphasis"/>
    <w:basedOn w:val="DefaultParagraphFont"/>
    <w:uiPriority w:val="21"/>
    <w:rsid w:val="00917C40"/>
    <w:rPr>
      <w:b/>
      <w:bCs/>
      <w:i/>
      <w:iCs/>
      <w:color w:val="93D500" w:themeColor="accent1"/>
    </w:rPr>
  </w:style>
  <w:style w:type="table" w:customStyle="1" w:styleId="ComEdTable">
    <w:name w:val="ComEd Table"/>
    <w:basedOn w:val="TableNormal"/>
    <w:uiPriority w:val="99"/>
    <w:qFormat/>
    <w:rsid w:val="006E2DF5"/>
    <w:pPr>
      <w:jc w:val="right"/>
    </w:pPr>
    <w:rPr>
      <w:rFonts w:ascii="Arial Narrow" w:hAnsi="Arial Narrow"/>
    </w:rPr>
    <w:tblPr>
      <w:tblStyleRowBandSize w:val="1"/>
      <w:jc w:val="center"/>
      <w:tblBorders>
        <w:top w:val="single" w:sz="8" w:space="0" w:color="DDD9C3"/>
        <w:bottom w:val="single" w:sz="8" w:space="0" w:color="92876D"/>
        <w:insideH w:val="single" w:sz="8" w:space="0" w:color="DDD9C3"/>
      </w:tblBorders>
    </w:tblPr>
    <w:trPr>
      <w:cantSplit/>
      <w:jc w:val="center"/>
    </w:trPr>
    <w:tcPr>
      <w:vAlign w:val="center"/>
    </w:tcPr>
    <w:tblStylePr w:type="firstRow">
      <w:rPr>
        <w:rFonts w:ascii="Palatino Linotype" w:hAnsi="Palatino Linotype"/>
        <w:b/>
        <w:color w:val="FFFFFF" w:themeColor="background1"/>
      </w:rPr>
      <w:tblPr/>
      <w:tcPr>
        <w:tcBorders>
          <w:bottom w:val="nil"/>
        </w:tcBorders>
        <w:shd w:val="clear" w:color="auto" w:fill="92876D"/>
      </w:tcPr>
    </w:tblStylePr>
    <w:tblStylePr w:type="lastRow">
      <w:tblPr/>
      <w:tcPr>
        <w:tcBorders>
          <w:top w:val="single" w:sz="4" w:space="0" w:color="92876D"/>
        </w:tcBorders>
      </w:tcPr>
    </w:tblStylePr>
    <w:tblStylePr w:type="firstCol">
      <w:rPr>
        <w:rFonts w:ascii="Palatino Linotype" w:hAnsi="Palatino Linotype"/>
        <w:b w:val="0"/>
        <w:color w:val="auto"/>
      </w:rPr>
    </w:tblStylePr>
  </w:style>
  <w:style w:type="character" w:styleId="IntenseReference">
    <w:name w:val="Intense Reference"/>
    <w:basedOn w:val="DefaultParagraphFont"/>
    <w:uiPriority w:val="32"/>
    <w:qFormat/>
    <w:rsid w:val="00E9032C"/>
    <w:rPr>
      <w:b/>
      <w:bCs/>
      <w:smallCaps/>
      <w:color w:val="auto"/>
      <w:spacing w:val="5"/>
    </w:rPr>
  </w:style>
  <w:style w:type="table" w:customStyle="1" w:styleId="MediumShading1-Accent61">
    <w:name w:val="Medium Shading 1 - Accent 61"/>
    <w:basedOn w:val="TableNormal"/>
    <w:next w:val="MediumShading1-Accent6"/>
    <w:uiPriority w:val="63"/>
    <w:rsid w:val="006E2DF5"/>
    <w:rPr>
      <w:rFonts w:eastAsia="Calibri"/>
    </w:rPr>
    <w:tblPr>
      <w:tblStyleRowBandSize w:val="1"/>
      <w:tblStyleColBandSize w:val="1"/>
      <w:tblBorders>
        <w:top w:val="single" w:sz="8" w:space="0" w:color="98BF1E"/>
        <w:left w:val="single" w:sz="8" w:space="0" w:color="98BF1E"/>
        <w:bottom w:val="single" w:sz="8" w:space="0" w:color="98BF1E"/>
        <w:right w:val="single" w:sz="8" w:space="0" w:color="98BF1E"/>
        <w:insideH w:val="single" w:sz="8" w:space="0" w:color="98BF1E"/>
      </w:tblBorders>
    </w:tblPr>
    <w:tblStylePr w:type="firstRow">
      <w:pPr>
        <w:spacing w:before="0" w:after="0" w:line="240" w:lineRule="auto"/>
      </w:pPr>
      <w:rPr>
        <w:b/>
        <w:bCs/>
        <w:color w:val="FFFFFF"/>
      </w:rPr>
      <w:tblPr/>
      <w:tcPr>
        <w:tcBorders>
          <w:top w:val="single" w:sz="8" w:space="0" w:color="98BF1E"/>
          <w:left w:val="single" w:sz="8" w:space="0" w:color="98BF1E"/>
          <w:bottom w:val="single" w:sz="8" w:space="0" w:color="98BF1E"/>
          <w:right w:val="single" w:sz="8" w:space="0" w:color="98BF1E"/>
          <w:insideH w:val="nil"/>
          <w:insideV w:val="nil"/>
        </w:tcBorders>
        <w:shd w:val="clear" w:color="auto" w:fill="566C11"/>
      </w:tcPr>
    </w:tblStylePr>
    <w:tblStylePr w:type="lastRow">
      <w:pPr>
        <w:spacing w:before="0" w:after="0" w:line="240" w:lineRule="auto"/>
      </w:pPr>
      <w:rPr>
        <w:b/>
        <w:bCs/>
      </w:rPr>
      <w:tblPr/>
      <w:tcPr>
        <w:tcBorders>
          <w:top w:val="double" w:sz="6" w:space="0" w:color="98BF1E"/>
          <w:left w:val="single" w:sz="8" w:space="0" w:color="98BF1E"/>
          <w:bottom w:val="single" w:sz="8" w:space="0" w:color="98BF1E"/>
          <w:right w:val="single" w:sz="8" w:space="0" w:color="98BF1E"/>
          <w:insideH w:val="nil"/>
          <w:insideV w:val="nil"/>
        </w:tcBorders>
      </w:tcPr>
    </w:tblStylePr>
    <w:tblStylePr w:type="firstCol">
      <w:rPr>
        <w:b/>
        <w:bCs/>
      </w:rPr>
    </w:tblStylePr>
    <w:tblStylePr w:type="lastCol">
      <w:rPr>
        <w:b/>
        <w:bCs/>
      </w:rPr>
    </w:tblStylePr>
    <w:tblStylePr w:type="band1Vert">
      <w:tblPr/>
      <w:tcPr>
        <w:shd w:val="clear" w:color="auto" w:fill="E1F2AC"/>
      </w:tcPr>
    </w:tblStylePr>
    <w:tblStylePr w:type="band1Horz">
      <w:tblPr/>
      <w:tcPr>
        <w:tcBorders>
          <w:insideH w:val="nil"/>
          <w:insideV w:val="nil"/>
        </w:tcBorders>
        <w:shd w:val="clear" w:color="auto" w:fill="E1F2AC"/>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E9032C"/>
    <w:rPr>
      <w:rFonts w:ascii="Arial" w:hAnsi="Arial"/>
    </w:rPr>
    <w:tblPr>
      <w:tblStyleRowBandSize w:val="1"/>
      <w:tblStyleColBandSize w:val="1"/>
      <w:tblBorders>
        <w:top w:val="single" w:sz="8" w:space="0" w:color="FF015F"/>
        <w:left w:val="single" w:sz="8" w:space="0" w:color="FF015F"/>
        <w:bottom w:val="single" w:sz="8" w:space="0" w:color="FF015F"/>
        <w:right w:val="single" w:sz="8" w:space="0" w:color="FF015F"/>
        <w:insideH w:val="single" w:sz="8" w:space="0" w:color="FF015F"/>
      </w:tblBorders>
    </w:tblPr>
    <w:tblStylePr w:type="firstRow">
      <w:pPr>
        <w:spacing w:before="0" w:after="0" w:line="240" w:lineRule="auto"/>
      </w:pPr>
      <w:rPr>
        <w:b/>
        <w:bCs/>
        <w:color w:val="FFFFFF"/>
      </w:rPr>
      <w:tblPr/>
      <w:tcPr>
        <w:tcBorders>
          <w:top w:val="single" w:sz="8" w:space="0" w:color="FF015F"/>
          <w:left w:val="single" w:sz="8" w:space="0" w:color="FF015F"/>
          <w:bottom w:val="single" w:sz="8" w:space="0" w:color="FF015F"/>
          <w:right w:val="single" w:sz="8" w:space="0" w:color="FF015F"/>
          <w:insideH w:val="nil"/>
          <w:insideV w:val="nil"/>
        </w:tcBorders>
        <w:shd w:val="clear" w:color="auto" w:fill="AC0040"/>
      </w:tcPr>
    </w:tblStylePr>
    <w:tblStylePr w:type="lastRow">
      <w:pPr>
        <w:spacing w:before="0" w:after="0" w:line="240" w:lineRule="auto"/>
      </w:pPr>
      <w:rPr>
        <w:b/>
        <w:bCs/>
      </w:rPr>
      <w:tblPr/>
      <w:tcPr>
        <w:tcBorders>
          <w:top w:val="double" w:sz="6" w:space="0" w:color="FF015F"/>
          <w:left w:val="single" w:sz="8" w:space="0" w:color="FF015F"/>
          <w:bottom w:val="single" w:sz="8" w:space="0" w:color="FF015F"/>
          <w:right w:val="single" w:sz="8" w:space="0" w:color="FF015F"/>
          <w:insideH w:val="nil"/>
          <w:insideV w:val="nil"/>
        </w:tcBorders>
      </w:tcPr>
    </w:tblStylePr>
    <w:tblStylePr w:type="firstCol">
      <w:rPr>
        <w:b/>
        <w:bCs/>
      </w:rPr>
    </w:tblStylePr>
    <w:tblStylePr w:type="lastCol">
      <w:rPr>
        <w:b/>
        <w:bCs/>
      </w:rPr>
    </w:tblStylePr>
    <w:tblStylePr w:type="band1Vert">
      <w:tblPr/>
      <w:tcPr>
        <w:shd w:val="clear" w:color="auto" w:fill="FFABCA"/>
      </w:tcPr>
    </w:tblStylePr>
    <w:tblStylePr w:type="band1Horz">
      <w:tblPr/>
      <w:tcPr>
        <w:tcBorders>
          <w:insideH w:val="nil"/>
          <w:insideV w:val="nil"/>
        </w:tcBorders>
        <w:shd w:val="clear" w:color="auto" w:fill="FFABCA"/>
      </w:tcPr>
    </w:tblStylePr>
    <w:tblStylePr w:type="band2Horz">
      <w:tblPr/>
      <w:tcPr>
        <w:tcBorders>
          <w:insideH w:val="nil"/>
          <w:insideV w:val="nil"/>
        </w:tcBorders>
      </w:tcPr>
    </w:tblStylePr>
  </w:style>
  <w:style w:type="paragraph" w:customStyle="1" w:styleId="TableBullet">
    <w:name w:val="Table Bullet"/>
    <w:basedOn w:val="Normal"/>
    <w:link w:val="TableBulletChar"/>
    <w:qFormat/>
    <w:rsid w:val="00E9032C"/>
    <w:pPr>
      <w:keepNext/>
      <w:numPr>
        <w:numId w:val="53"/>
      </w:numPr>
      <w:suppressAutoHyphens w:val="0"/>
      <w:autoSpaceDN/>
      <w:spacing w:before="40" w:after="40" w:line="240" w:lineRule="atLeast"/>
    </w:pPr>
    <w:rPr>
      <w:rFonts w:cs="Arial"/>
      <w:szCs w:val="20"/>
    </w:rPr>
  </w:style>
  <w:style w:type="character" w:customStyle="1" w:styleId="TableBulletChar">
    <w:name w:val="Table Bullet Char"/>
    <w:link w:val="TableBullet"/>
    <w:rsid w:val="00E9032C"/>
    <w:rPr>
      <w:rFonts w:ascii="Arial" w:hAnsi="Arial" w:cs="Arial"/>
      <w:sz w:val="22"/>
    </w:rPr>
  </w:style>
  <w:style w:type="paragraph" w:customStyle="1" w:styleId="FooterAddress">
    <w:name w:val="Footer Address"/>
    <w:basedOn w:val="Footer"/>
    <w:link w:val="FooterAddressChar"/>
    <w:rsid w:val="00E9032C"/>
    <w:pPr>
      <w:tabs>
        <w:tab w:val="clear" w:pos="8640"/>
        <w:tab w:val="left" w:pos="360"/>
        <w:tab w:val="left" w:pos="720"/>
        <w:tab w:val="left" w:pos="1080"/>
        <w:tab w:val="left" w:pos="1440"/>
        <w:tab w:val="right" w:pos="9360"/>
      </w:tabs>
      <w:suppressAutoHyphens w:val="0"/>
      <w:autoSpaceDN/>
      <w:spacing w:line="240" w:lineRule="exact"/>
    </w:pPr>
    <w:rPr>
      <w:color w:val="555759"/>
      <w:sz w:val="16"/>
      <w:szCs w:val="20"/>
    </w:rPr>
  </w:style>
  <w:style w:type="character" w:customStyle="1" w:styleId="FooterAddressChar">
    <w:name w:val="Footer Address Char"/>
    <w:link w:val="FooterAddress"/>
    <w:rsid w:val="00E9032C"/>
    <w:rPr>
      <w:rFonts w:ascii="Arial" w:hAnsi="Arial"/>
      <w:color w:val="555759"/>
      <w:sz w:val="16"/>
    </w:rPr>
  </w:style>
  <w:style w:type="paragraph" w:customStyle="1" w:styleId="Headerinfo">
    <w:name w:val="Header info"/>
    <w:basedOn w:val="Normal"/>
    <w:rsid w:val="00917C40"/>
    <w:pPr>
      <w:tabs>
        <w:tab w:val="right" w:pos="9000"/>
      </w:tabs>
      <w:spacing w:line="276" w:lineRule="auto"/>
    </w:pPr>
    <w:rPr>
      <w:rFonts w:cs="Arial"/>
      <w:noProof/>
      <w:color w:val="545759"/>
      <w:sz w:val="24"/>
      <w:szCs w:val="21"/>
      <w:lang w:val="fr-FR"/>
    </w:rPr>
  </w:style>
  <w:style w:type="paragraph" w:customStyle="1" w:styleId="Heading4b">
    <w:name w:val="Heading 4b"/>
    <w:basedOn w:val="Normal"/>
    <w:rsid w:val="00917C40"/>
    <w:pPr>
      <w:keepNext/>
      <w:tabs>
        <w:tab w:val="num" w:pos="720"/>
        <w:tab w:val="left" w:pos="1080"/>
        <w:tab w:val="left" w:pos="1440"/>
      </w:tabs>
      <w:spacing w:before="240" w:after="240"/>
      <w:outlineLvl w:val="3"/>
    </w:pPr>
    <w:rPr>
      <w:rFonts w:ascii="Arial Narrow" w:hAnsi="Arial Narrow"/>
      <w:b/>
      <w:bCs/>
      <w:i/>
      <w:color w:val="6F6754"/>
    </w:rPr>
  </w:style>
  <w:style w:type="paragraph" w:customStyle="1" w:styleId="ResumeBullet">
    <w:name w:val="Resume Bullet"/>
    <w:basedOn w:val="BodyText"/>
    <w:link w:val="ResumeBulletChar"/>
    <w:autoRedefine/>
    <w:rsid w:val="00917C40"/>
    <w:pPr>
      <w:keepLines/>
      <w:numPr>
        <w:numId w:val="12"/>
      </w:numPr>
    </w:pPr>
    <w:rPr>
      <w:bCs/>
      <w:color w:val="545759"/>
      <w:lang w:val="en-GB" w:eastAsia="x-none"/>
    </w:rPr>
  </w:style>
  <w:style w:type="character" w:customStyle="1" w:styleId="ResumeBulletChar">
    <w:name w:val="Resume Bullet Char"/>
    <w:link w:val="ResumeBullet"/>
    <w:rsid w:val="00917C40"/>
    <w:rPr>
      <w:rFonts w:ascii="Arial" w:hAnsi="Arial"/>
      <w:bCs/>
      <w:color w:val="545759"/>
      <w:sz w:val="22"/>
      <w:lang w:val="en-GB" w:eastAsia="x-none"/>
    </w:rPr>
  </w:style>
  <w:style w:type="paragraph" w:customStyle="1" w:styleId="SectionHeading">
    <w:name w:val="Section Heading"/>
    <w:basedOn w:val="Normal"/>
    <w:autoRedefine/>
    <w:rsid w:val="00917C40"/>
    <w:pPr>
      <w:keepNext/>
      <w:pBdr>
        <w:top w:val="single" w:sz="4" w:space="1" w:color="95D600"/>
        <w:left w:val="single" w:sz="4" w:space="4" w:color="95D600"/>
        <w:bottom w:val="single" w:sz="4" w:space="1" w:color="95D600"/>
        <w:right w:val="single" w:sz="4" w:space="4" w:color="95D600"/>
      </w:pBdr>
      <w:shd w:val="clear" w:color="auto" w:fill="95D600"/>
      <w:spacing w:before="240" w:line="276" w:lineRule="auto"/>
    </w:pPr>
    <w:rPr>
      <w:rFonts w:eastAsia="Calibri" w:cs="Arial"/>
      <w:b/>
      <w:bCs/>
      <w:color w:val="FFFFFF" w:themeColor="background1"/>
      <w:lang w:val="en-GB"/>
    </w:rPr>
  </w:style>
  <w:style w:type="paragraph" w:customStyle="1" w:styleId="SubHeaderBold">
    <w:name w:val="Sub Header Bold"/>
    <w:basedOn w:val="Normal"/>
    <w:rsid w:val="00917C40"/>
    <w:pPr>
      <w:ind w:left="360" w:hanging="360"/>
    </w:pPr>
    <w:rPr>
      <w:rFonts w:cs="Arial"/>
      <w:b/>
      <w:noProof/>
      <w:sz w:val="28"/>
      <w:lang w:val="en-GB"/>
    </w:rPr>
  </w:style>
  <w:style w:type="character" w:customStyle="1" w:styleId="ProposalBodyHeading">
    <w:name w:val="Proposal Body Heading"/>
    <w:basedOn w:val="DefaultParagraphFont"/>
    <w:uiPriority w:val="1"/>
    <w:rsid w:val="00917C40"/>
    <w:rPr>
      <w:rFonts w:ascii="Arial" w:hAnsi="Arial"/>
      <w:b/>
      <w:color w:val="555759"/>
      <w:sz w:val="22"/>
    </w:rPr>
  </w:style>
  <w:style w:type="character" w:customStyle="1" w:styleId="TOC1Char">
    <w:name w:val="TOC 1 Char"/>
    <w:link w:val="TOC1"/>
    <w:uiPriority w:val="39"/>
    <w:rsid w:val="00E9032C"/>
    <w:rPr>
      <w:rFonts w:ascii="Arial" w:hAnsi="Arial"/>
      <w:b/>
      <w:sz w:val="24"/>
      <w:szCs w:val="24"/>
    </w:rPr>
  </w:style>
  <w:style w:type="table" w:styleId="ListTable3-Accent1">
    <w:name w:val="List Table 3 Accent 1"/>
    <w:basedOn w:val="TableNormal"/>
    <w:uiPriority w:val="99"/>
    <w:qFormat/>
    <w:rsid w:val="00E656A1"/>
    <w:pPr>
      <w:jc w:val="center"/>
    </w:pPr>
    <w:rPr>
      <w:rFonts w:ascii="Arial" w:hAnsi="Arial"/>
    </w:rPr>
    <w:tblPr>
      <w:tblStyleRowBandSize w:val="1"/>
      <w:tblStyleColBandSize w:val="1"/>
      <w:tblBorders>
        <w:top w:val="single" w:sz="4" w:space="0" w:color="95D600"/>
        <w:bottom w:val="single" w:sz="4" w:space="0" w:color="95D600"/>
        <w:insideH w:val="single" w:sz="4" w:space="0" w:color="95D600"/>
      </w:tblBorders>
    </w:tblPr>
    <w:tcPr>
      <w:vAlign w:val="center"/>
    </w:tcPr>
    <w:tblStylePr w:type="firstRow">
      <w:pPr>
        <w:jc w:val="center"/>
      </w:pPr>
      <w:rPr>
        <w:b/>
        <w:bCs/>
        <w:color w:val="FFFFFF"/>
      </w:rPr>
      <w:tblPr/>
      <w:tcPr>
        <w:shd w:val="clear" w:color="auto" w:fill="95D600"/>
        <w:vAlign w:val="bottom"/>
      </w:tcPr>
    </w:tblStylePr>
    <w:tblStylePr w:type="lastRow">
      <w:rPr>
        <w:b/>
        <w:bCs/>
      </w:rPr>
      <w:tblPr/>
      <w:tcPr>
        <w:tcBorders>
          <w:top w:val="double" w:sz="4" w:space="0" w:color="95D6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5D600"/>
          <w:right w:val="single" w:sz="4" w:space="0" w:color="95D600"/>
        </w:tcBorders>
      </w:tcPr>
    </w:tblStylePr>
    <w:tblStylePr w:type="band1Horz">
      <w:tblPr/>
      <w:tcPr>
        <w:tcBorders>
          <w:top w:val="single" w:sz="4" w:space="0" w:color="95D600"/>
          <w:bottom w:val="single" w:sz="4" w:space="0" w:color="95D6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D600"/>
          <w:left w:val="nil"/>
        </w:tcBorders>
      </w:tcPr>
    </w:tblStylePr>
    <w:tblStylePr w:type="swCell">
      <w:tblPr/>
      <w:tcPr>
        <w:tcBorders>
          <w:top w:val="double" w:sz="4" w:space="0" w:color="95D600"/>
          <w:right w:val="nil"/>
        </w:tcBorders>
      </w:tcPr>
    </w:tblStylePr>
  </w:style>
  <w:style w:type="paragraph" w:customStyle="1" w:styleId="ResumeSubHead">
    <w:name w:val="Resume Sub Head"/>
    <w:basedOn w:val="Normal"/>
    <w:rsid w:val="00917C40"/>
    <w:pPr>
      <w:spacing w:line="276" w:lineRule="auto"/>
      <w:ind w:left="360" w:hanging="360"/>
    </w:pPr>
    <w:rPr>
      <w:rFonts w:cs="Arial"/>
      <w:b/>
      <w:lang w:val="en-GB"/>
    </w:rPr>
  </w:style>
  <w:style w:type="paragraph" w:customStyle="1" w:styleId="ResumeParagraphText">
    <w:name w:val="Resume Paragraph Text"/>
    <w:basedOn w:val="Normal"/>
    <w:link w:val="ResumeParagraphTextChar"/>
    <w:rsid w:val="00917C40"/>
    <w:pPr>
      <w:spacing w:line="276" w:lineRule="auto"/>
    </w:pPr>
    <w:rPr>
      <w:lang w:val="en-GB"/>
    </w:rPr>
  </w:style>
  <w:style w:type="character" w:customStyle="1" w:styleId="ResumeParagraphTextChar">
    <w:name w:val="Resume Paragraph Text Char"/>
    <w:basedOn w:val="DefaultParagraphFont"/>
    <w:link w:val="ResumeParagraphText"/>
    <w:rsid w:val="00917C40"/>
    <w:rPr>
      <w:rFonts w:ascii="Arial" w:hAnsi="Arial"/>
      <w:sz w:val="22"/>
      <w:lang w:val="en-GB"/>
    </w:rPr>
  </w:style>
  <w:style w:type="paragraph" w:customStyle="1" w:styleId="ProposalTitleGreen">
    <w:name w:val="Proposal Title Green"/>
    <w:basedOn w:val="Header"/>
    <w:link w:val="ProposalTitleGreenChar"/>
    <w:rsid w:val="00917C40"/>
    <w:pPr>
      <w:widowControl w:val="0"/>
      <w:spacing w:before="240" w:after="240"/>
    </w:pPr>
    <w:rPr>
      <w:b/>
      <w:color w:val="95D600"/>
      <w:sz w:val="24"/>
    </w:rPr>
  </w:style>
  <w:style w:type="character" w:customStyle="1" w:styleId="ProposalTitleGreenChar">
    <w:name w:val="Proposal Title Green Char"/>
    <w:basedOn w:val="HeaderChar"/>
    <w:link w:val="ProposalTitleGreen"/>
    <w:rsid w:val="00917C40"/>
    <w:rPr>
      <w:rFonts w:ascii="Arial" w:hAnsi="Arial"/>
      <w:b/>
      <w:color w:val="95D600"/>
      <w:sz w:val="24"/>
      <w:szCs w:val="24"/>
    </w:rPr>
  </w:style>
  <w:style w:type="paragraph" w:customStyle="1" w:styleId="Heading3Appendix">
    <w:name w:val="Heading 3 Appendix"/>
    <w:basedOn w:val="Heading3"/>
    <w:rsid w:val="00917C40"/>
    <w:pPr>
      <w:ind w:left="2160" w:hanging="180"/>
    </w:pPr>
    <w:rPr>
      <w:rFonts w:ascii="Palatino Linotype" w:hAnsi="Palatino Linotype"/>
      <w:i/>
    </w:rPr>
  </w:style>
  <w:style w:type="paragraph" w:customStyle="1" w:styleId="StyleSourceFirstline044">
    <w:name w:val="Style Source + First line:  0.44&quot;"/>
    <w:basedOn w:val="Source"/>
    <w:rsid w:val="00917C40"/>
    <w:pPr>
      <w:ind w:firstLine="634"/>
    </w:pPr>
    <w:rPr>
      <w:iCs/>
    </w:rPr>
  </w:style>
  <w:style w:type="paragraph" w:customStyle="1" w:styleId="StyleSourceFirstline106">
    <w:name w:val="Style Source + First line:  1.06&quot;"/>
    <w:basedOn w:val="Source"/>
    <w:rsid w:val="00917C40"/>
    <w:pPr>
      <w:ind w:firstLine="1526"/>
    </w:pPr>
    <w:rPr>
      <w:iCs/>
    </w:rPr>
  </w:style>
  <w:style w:type="paragraph" w:customStyle="1" w:styleId="Instructions">
    <w:name w:val="Instructions"/>
    <w:basedOn w:val="BodyText"/>
    <w:next w:val="Normal"/>
    <w:qFormat/>
    <w:rsid w:val="00E9032C"/>
    <w:rPr>
      <w:color w:val="7030A0"/>
    </w:rPr>
  </w:style>
  <w:style w:type="character" w:customStyle="1" w:styleId="UnresolvedMention1">
    <w:name w:val="Unresolved Mention1"/>
    <w:basedOn w:val="DefaultParagraphFont"/>
    <w:uiPriority w:val="99"/>
    <w:semiHidden/>
    <w:unhideWhenUsed/>
    <w:rsid w:val="00917C40"/>
    <w:rPr>
      <w:color w:val="808080"/>
      <w:shd w:val="clear" w:color="auto" w:fill="E6E6E6"/>
    </w:rPr>
  </w:style>
  <w:style w:type="character" w:styleId="UnresolvedMention">
    <w:name w:val="Unresolved Mention"/>
    <w:basedOn w:val="DefaultParagraphFont"/>
    <w:uiPriority w:val="99"/>
    <w:unhideWhenUsed/>
    <w:rsid w:val="00E9032C"/>
    <w:rPr>
      <w:color w:val="808080"/>
      <w:shd w:val="clear" w:color="auto" w:fill="E6E6E6"/>
    </w:rPr>
  </w:style>
  <w:style w:type="character" w:customStyle="1" w:styleId="normaltextrun">
    <w:name w:val="normaltextrun"/>
    <w:basedOn w:val="DefaultParagraphFont"/>
    <w:rsid w:val="00E9032C"/>
  </w:style>
  <w:style w:type="paragraph" w:customStyle="1" w:styleId="msonormal0">
    <w:name w:val="msonormal"/>
    <w:basedOn w:val="Normal"/>
    <w:rsid w:val="00077E07"/>
    <w:pPr>
      <w:spacing w:before="100" w:beforeAutospacing="1" w:after="100" w:afterAutospacing="1"/>
    </w:pPr>
    <w:rPr>
      <w:rFonts w:ascii="Times New Roman" w:hAnsi="Times New Roman"/>
      <w:sz w:val="24"/>
    </w:rPr>
  </w:style>
  <w:style w:type="paragraph" w:customStyle="1" w:styleId="xl65">
    <w:name w:val="xl65"/>
    <w:basedOn w:val="Normal"/>
    <w:rsid w:val="00077E07"/>
    <w:pPr>
      <w:spacing w:before="100" w:beforeAutospacing="1" w:after="100" w:afterAutospacing="1"/>
    </w:pPr>
    <w:rPr>
      <w:rFonts w:ascii="Times New Roman" w:hAnsi="Times New Roman"/>
      <w:sz w:val="24"/>
    </w:rPr>
  </w:style>
  <w:style w:type="paragraph" w:customStyle="1" w:styleId="xl66">
    <w:name w:val="xl66"/>
    <w:basedOn w:val="Normal"/>
    <w:rsid w:val="00077E07"/>
    <w:pPr>
      <w:spacing w:before="100" w:beforeAutospacing="1" w:after="100" w:afterAutospacing="1"/>
      <w:jc w:val="right"/>
    </w:pPr>
    <w:rPr>
      <w:rFonts w:ascii="Times New Roman" w:hAnsi="Times New Roman"/>
      <w:sz w:val="24"/>
    </w:rPr>
  </w:style>
  <w:style w:type="paragraph" w:customStyle="1" w:styleId="xl67">
    <w:name w:val="xl67"/>
    <w:basedOn w:val="Normal"/>
    <w:rsid w:val="00077E07"/>
    <w:pPr>
      <w:pBdr>
        <w:bottom w:val="single" w:sz="8" w:space="0" w:color="95D600"/>
      </w:pBdr>
      <w:shd w:val="clear" w:color="000000" w:fill="555759"/>
      <w:spacing w:before="100" w:beforeAutospacing="1" w:after="100" w:afterAutospacing="1"/>
      <w:textAlignment w:val="center"/>
    </w:pPr>
    <w:rPr>
      <w:rFonts w:ascii="Arial Narrow" w:hAnsi="Arial Narrow"/>
      <w:b/>
      <w:bCs/>
      <w:color w:val="FFFFFF"/>
    </w:rPr>
  </w:style>
  <w:style w:type="paragraph" w:customStyle="1" w:styleId="xl68">
    <w:name w:val="xl68"/>
    <w:basedOn w:val="Normal"/>
    <w:rsid w:val="00077E07"/>
    <w:pPr>
      <w:pBdr>
        <w:bottom w:val="single" w:sz="8" w:space="0" w:color="95D600"/>
      </w:pBdr>
      <w:shd w:val="clear" w:color="000000" w:fill="555759"/>
      <w:spacing w:before="100" w:beforeAutospacing="1" w:after="100" w:afterAutospacing="1"/>
      <w:jc w:val="right"/>
      <w:textAlignment w:val="center"/>
    </w:pPr>
    <w:rPr>
      <w:rFonts w:ascii="Arial Narrow" w:hAnsi="Arial Narrow"/>
      <w:b/>
      <w:bCs/>
      <w:color w:val="FFFFFF"/>
    </w:rPr>
  </w:style>
  <w:style w:type="paragraph" w:customStyle="1" w:styleId="xl69">
    <w:name w:val="xl69"/>
    <w:basedOn w:val="Normal"/>
    <w:rsid w:val="00077E07"/>
    <w:pPr>
      <w:pBdr>
        <w:top w:val="single" w:sz="8" w:space="0" w:color="95D600"/>
        <w:bottom w:val="single" w:sz="8" w:space="0" w:color="D9D9D9"/>
      </w:pBdr>
      <w:spacing w:before="100" w:beforeAutospacing="1" w:after="100" w:afterAutospacing="1"/>
    </w:pPr>
    <w:rPr>
      <w:rFonts w:ascii="Times New Roman" w:hAnsi="Times New Roman"/>
      <w:sz w:val="24"/>
    </w:rPr>
  </w:style>
  <w:style w:type="paragraph" w:customStyle="1" w:styleId="xl70">
    <w:name w:val="xl70"/>
    <w:basedOn w:val="Normal"/>
    <w:rsid w:val="00077E07"/>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1">
    <w:name w:val="xl71"/>
    <w:basedOn w:val="Normal"/>
    <w:rsid w:val="00077E07"/>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2">
    <w:name w:val="xl72"/>
    <w:basedOn w:val="Normal"/>
    <w:rsid w:val="00077E07"/>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3">
    <w:name w:val="xl73"/>
    <w:basedOn w:val="Normal"/>
    <w:rsid w:val="00077E07"/>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4">
    <w:name w:val="xl74"/>
    <w:basedOn w:val="Normal"/>
    <w:rsid w:val="00077E07"/>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5">
    <w:name w:val="xl75"/>
    <w:basedOn w:val="Normal"/>
    <w:rsid w:val="00077E07"/>
    <w:pPr>
      <w:pBdr>
        <w:top w:val="single" w:sz="8" w:space="0" w:color="D9D9D9"/>
        <w:bottom w:val="single" w:sz="8" w:space="0" w:color="D9D9D9"/>
      </w:pBdr>
      <w:spacing w:before="100" w:beforeAutospacing="1" w:after="100" w:afterAutospacing="1"/>
    </w:pPr>
    <w:rPr>
      <w:rFonts w:ascii="Times New Roman" w:hAnsi="Times New Roman"/>
      <w:sz w:val="24"/>
    </w:rPr>
  </w:style>
  <w:style w:type="paragraph" w:customStyle="1" w:styleId="xl76">
    <w:name w:val="xl76"/>
    <w:basedOn w:val="Normal"/>
    <w:rsid w:val="00077E07"/>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77">
    <w:name w:val="xl77"/>
    <w:basedOn w:val="Normal"/>
    <w:rsid w:val="00077E07"/>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78">
    <w:name w:val="xl78"/>
    <w:basedOn w:val="Normal"/>
    <w:rsid w:val="00077E07"/>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79">
    <w:name w:val="xl79"/>
    <w:basedOn w:val="Normal"/>
    <w:rsid w:val="00077E07"/>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80">
    <w:name w:val="xl80"/>
    <w:basedOn w:val="Normal"/>
    <w:rsid w:val="00077E07"/>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81">
    <w:name w:val="xl81"/>
    <w:basedOn w:val="Normal"/>
    <w:rsid w:val="00077E07"/>
    <w:pPr>
      <w:pBdr>
        <w:top w:val="single" w:sz="8" w:space="0" w:color="D9D9D9"/>
        <w:bottom w:val="single" w:sz="8" w:space="0" w:color="595959"/>
      </w:pBdr>
      <w:spacing w:before="100" w:beforeAutospacing="1" w:after="100" w:afterAutospacing="1"/>
    </w:pPr>
    <w:rPr>
      <w:rFonts w:ascii="Times New Roman" w:hAnsi="Times New Roman"/>
      <w:sz w:val="24"/>
    </w:rPr>
  </w:style>
  <w:style w:type="paragraph" w:customStyle="1" w:styleId="xl82">
    <w:name w:val="xl82"/>
    <w:basedOn w:val="Normal"/>
    <w:rsid w:val="00077E07"/>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3">
    <w:name w:val="xl83"/>
    <w:basedOn w:val="Normal"/>
    <w:rsid w:val="00077E07"/>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4">
    <w:name w:val="xl84"/>
    <w:basedOn w:val="Normal"/>
    <w:rsid w:val="00077E07"/>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5">
    <w:name w:val="xl85"/>
    <w:basedOn w:val="Normal"/>
    <w:rsid w:val="00077E07"/>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6">
    <w:name w:val="xl86"/>
    <w:basedOn w:val="Normal"/>
    <w:rsid w:val="00077E07"/>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7">
    <w:name w:val="xl87"/>
    <w:basedOn w:val="Normal"/>
    <w:rsid w:val="00077E07"/>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customStyle="1" w:styleId="xl88">
    <w:name w:val="xl88"/>
    <w:basedOn w:val="Normal"/>
    <w:rsid w:val="00077E07"/>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customStyle="1" w:styleId="xl89">
    <w:name w:val="xl89"/>
    <w:basedOn w:val="Normal"/>
    <w:rsid w:val="00077E07"/>
    <w:pPr>
      <w:spacing w:before="100" w:beforeAutospacing="1" w:after="100" w:afterAutospacing="1"/>
      <w:jc w:val="right"/>
    </w:pPr>
    <w:rPr>
      <w:rFonts w:ascii="Times New Roman" w:hAnsi="Times New Roman"/>
      <w:sz w:val="24"/>
    </w:rPr>
  </w:style>
  <w:style w:type="paragraph" w:customStyle="1" w:styleId="xl90">
    <w:name w:val="xl90"/>
    <w:basedOn w:val="Normal"/>
    <w:rsid w:val="00077E07"/>
    <w:pPr>
      <w:spacing w:before="100" w:beforeAutospacing="1" w:after="100" w:afterAutospacing="1"/>
      <w:jc w:val="right"/>
    </w:pPr>
    <w:rPr>
      <w:rFonts w:ascii="Times New Roman" w:hAnsi="Times New Roman"/>
      <w:sz w:val="24"/>
    </w:rPr>
  </w:style>
  <w:style w:type="paragraph" w:customStyle="1" w:styleId="xl91">
    <w:name w:val="xl91"/>
    <w:basedOn w:val="Normal"/>
    <w:rsid w:val="00077E07"/>
    <w:pPr>
      <w:spacing w:before="100" w:beforeAutospacing="1" w:after="100" w:afterAutospacing="1"/>
      <w:jc w:val="right"/>
    </w:pPr>
    <w:rPr>
      <w:rFonts w:ascii="Times New Roman" w:hAnsi="Times New Roman"/>
      <w:sz w:val="24"/>
    </w:rPr>
  </w:style>
  <w:style w:type="paragraph" w:customStyle="1" w:styleId="xl92">
    <w:name w:val="xl92"/>
    <w:basedOn w:val="Normal"/>
    <w:rsid w:val="00077E07"/>
    <w:pPr>
      <w:spacing w:before="100" w:beforeAutospacing="1" w:after="100" w:afterAutospacing="1"/>
      <w:jc w:val="right"/>
    </w:pPr>
    <w:rPr>
      <w:rFonts w:ascii="Times New Roman" w:hAnsi="Times New Roman"/>
      <w:sz w:val="24"/>
    </w:rPr>
  </w:style>
  <w:style w:type="paragraph" w:customStyle="1" w:styleId="xl93">
    <w:name w:val="xl93"/>
    <w:basedOn w:val="Normal"/>
    <w:rsid w:val="00077E07"/>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customStyle="1" w:styleId="xl94">
    <w:name w:val="xl94"/>
    <w:basedOn w:val="Normal"/>
    <w:rsid w:val="00077E07"/>
    <w:pPr>
      <w:pBdr>
        <w:bottom w:val="single" w:sz="8" w:space="0" w:color="D9D9D9"/>
      </w:pBdr>
      <w:spacing w:before="100" w:beforeAutospacing="1" w:after="100" w:afterAutospacing="1"/>
      <w:jc w:val="right"/>
    </w:pPr>
    <w:rPr>
      <w:rFonts w:ascii="Times New Roman" w:hAnsi="Times New Roman"/>
      <w:sz w:val="24"/>
    </w:rPr>
  </w:style>
  <w:style w:type="paragraph" w:customStyle="1" w:styleId="xl95">
    <w:name w:val="xl95"/>
    <w:basedOn w:val="Normal"/>
    <w:rsid w:val="00077E07"/>
    <w:pPr>
      <w:pBdr>
        <w:bottom w:val="single" w:sz="8" w:space="0" w:color="D9D9D9"/>
      </w:pBdr>
      <w:spacing w:before="100" w:beforeAutospacing="1" w:after="100" w:afterAutospacing="1"/>
      <w:jc w:val="right"/>
    </w:pPr>
    <w:rPr>
      <w:rFonts w:ascii="Times New Roman" w:hAnsi="Times New Roman"/>
      <w:sz w:val="24"/>
    </w:rPr>
  </w:style>
  <w:style w:type="paragraph" w:customStyle="1" w:styleId="xl96">
    <w:name w:val="xl96"/>
    <w:basedOn w:val="Normal"/>
    <w:rsid w:val="00077E07"/>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styleId="Bibliography">
    <w:name w:val="Bibliography"/>
    <w:basedOn w:val="Normal"/>
    <w:next w:val="Normal"/>
    <w:uiPriority w:val="37"/>
    <w:semiHidden/>
    <w:unhideWhenUsed/>
    <w:rsid w:val="00E9032C"/>
    <w:pPr>
      <w:suppressAutoHyphens w:val="0"/>
      <w:autoSpaceDN/>
      <w:spacing w:before="0" w:after="0"/>
    </w:pPr>
    <w:rPr>
      <w:szCs w:val="20"/>
    </w:rPr>
  </w:style>
  <w:style w:type="paragraph" w:styleId="BodyText2">
    <w:name w:val="Body Text 2"/>
    <w:basedOn w:val="Normal"/>
    <w:link w:val="BodyText2Char"/>
    <w:semiHidden/>
    <w:unhideWhenUsed/>
    <w:locked/>
    <w:rsid w:val="00E9032C"/>
    <w:pPr>
      <w:suppressAutoHyphens w:val="0"/>
      <w:autoSpaceDN/>
      <w:spacing w:before="0" w:line="480" w:lineRule="auto"/>
    </w:pPr>
    <w:rPr>
      <w:szCs w:val="20"/>
    </w:rPr>
  </w:style>
  <w:style w:type="character" w:customStyle="1" w:styleId="BodyText2Char">
    <w:name w:val="Body Text 2 Char"/>
    <w:basedOn w:val="DefaultParagraphFont"/>
    <w:link w:val="BodyText2"/>
    <w:semiHidden/>
    <w:rsid w:val="00E9032C"/>
    <w:rPr>
      <w:rFonts w:ascii="Arial" w:hAnsi="Arial"/>
      <w:sz w:val="22"/>
    </w:rPr>
  </w:style>
  <w:style w:type="paragraph" w:styleId="BodyText3">
    <w:name w:val="Body Text 3"/>
    <w:basedOn w:val="Normal"/>
    <w:link w:val="BodyText3Char"/>
    <w:semiHidden/>
    <w:unhideWhenUsed/>
    <w:locked/>
    <w:rsid w:val="00E9032C"/>
    <w:pPr>
      <w:suppressAutoHyphens w:val="0"/>
      <w:autoSpaceDN/>
      <w:spacing w:before="0"/>
    </w:pPr>
    <w:rPr>
      <w:sz w:val="16"/>
      <w:szCs w:val="16"/>
    </w:rPr>
  </w:style>
  <w:style w:type="character" w:customStyle="1" w:styleId="BodyText3Char">
    <w:name w:val="Body Text 3 Char"/>
    <w:basedOn w:val="DefaultParagraphFont"/>
    <w:link w:val="BodyText3"/>
    <w:semiHidden/>
    <w:rsid w:val="00E9032C"/>
    <w:rPr>
      <w:rFonts w:ascii="Arial" w:hAnsi="Arial"/>
      <w:sz w:val="16"/>
      <w:szCs w:val="16"/>
    </w:rPr>
  </w:style>
  <w:style w:type="paragraph" w:customStyle="1" w:styleId="BodyTextBold">
    <w:name w:val="Body Text Bold"/>
    <w:basedOn w:val="BodyText"/>
    <w:link w:val="BodyTextBoldChar"/>
    <w:qFormat/>
    <w:rsid w:val="00E9032C"/>
    <w:rPr>
      <w:b/>
      <w:noProof/>
      <w:szCs w:val="16"/>
    </w:rPr>
  </w:style>
  <w:style w:type="character" w:customStyle="1" w:styleId="BodyTextBoldChar">
    <w:name w:val="Body Text Bold Char"/>
    <w:basedOn w:val="BodyTextChar"/>
    <w:link w:val="BodyTextBold"/>
    <w:rsid w:val="00E9032C"/>
    <w:rPr>
      <w:rFonts w:ascii="Arial" w:hAnsi="Arial"/>
      <w:b/>
      <w:noProof/>
      <w:sz w:val="22"/>
      <w:szCs w:val="16"/>
    </w:rPr>
  </w:style>
  <w:style w:type="paragraph" w:customStyle="1" w:styleId="BodyTextHeading">
    <w:name w:val="Body Text Heading"/>
    <w:basedOn w:val="BodyText"/>
    <w:next w:val="BodyText"/>
    <w:link w:val="BodyTextHeadingChar"/>
    <w:qFormat/>
    <w:rsid w:val="00E656A1"/>
    <w:pPr>
      <w:widowControl w:val="0"/>
      <w:spacing w:before="240"/>
    </w:pPr>
    <w:rPr>
      <w:rFonts w:eastAsia="Calibri"/>
      <w:b/>
      <w:szCs w:val="22"/>
    </w:rPr>
  </w:style>
  <w:style w:type="character" w:customStyle="1" w:styleId="BodyTextHeadingChar">
    <w:name w:val="Body Text Heading Char"/>
    <w:link w:val="BodyTextHeading"/>
    <w:rsid w:val="00E656A1"/>
    <w:rPr>
      <w:rFonts w:ascii="Arial" w:eastAsia="Calibri" w:hAnsi="Arial"/>
      <w:b/>
      <w:sz w:val="22"/>
      <w:szCs w:val="22"/>
    </w:rPr>
  </w:style>
  <w:style w:type="paragraph" w:customStyle="1" w:styleId="BodyTextNoSpacingAfter">
    <w:name w:val="Body Text No Spacing After"/>
    <w:basedOn w:val="BodyText"/>
    <w:link w:val="BodyTextNoSpacingAfterChar"/>
    <w:qFormat/>
    <w:rsid w:val="00E9032C"/>
    <w:pPr>
      <w:spacing w:after="0"/>
    </w:pPr>
    <w:rPr>
      <w:iCs/>
      <w:szCs w:val="16"/>
    </w:rPr>
  </w:style>
  <w:style w:type="character" w:customStyle="1" w:styleId="BodyTextNoSpacingAfterChar">
    <w:name w:val="Body Text No Spacing After Char"/>
    <w:basedOn w:val="DefaultParagraphFont"/>
    <w:link w:val="BodyTextNoSpacingAfter"/>
    <w:rsid w:val="00E9032C"/>
    <w:rPr>
      <w:rFonts w:ascii="Arial" w:hAnsi="Arial"/>
      <w:iCs/>
      <w:sz w:val="22"/>
      <w:szCs w:val="16"/>
    </w:rPr>
  </w:style>
  <w:style w:type="paragraph" w:customStyle="1" w:styleId="Bodytext0">
    <w:name w:val="Bodytext"/>
    <w:basedOn w:val="Normal"/>
    <w:link w:val="BodytextChar0"/>
    <w:rsid w:val="00E9032C"/>
    <w:pPr>
      <w:suppressAutoHyphens w:val="0"/>
      <w:autoSpaceDN/>
      <w:spacing w:before="0" w:after="160"/>
    </w:pPr>
  </w:style>
  <w:style w:type="character" w:customStyle="1" w:styleId="BodytextChar0">
    <w:name w:val="Bodytext Char"/>
    <w:basedOn w:val="DefaultParagraphFont"/>
    <w:link w:val="Bodytext0"/>
    <w:locked/>
    <w:rsid w:val="00E9032C"/>
    <w:rPr>
      <w:rFonts w:ascii="Arial" w:hAnsi="Arial"/>
      <w:sz w:val="22"/>
      <w:szCs w:val="24"/>
    </w:rPr>
  </w:style>
  <w:style w:type="paragraph" w:customStyle="1" w:styleId="BodytextHeading0">
    <w:name w:val="Bodytext_Heading"/>
    <w:basedOn w:val="Bodytext0"/>
    <w:next w:val="Bodytext0"/>
    <w:rsid w:val="00E9032C"/>
    <w:pPr>
      <w:spacing w:before="160"/>
    </w:pPr>
    <w:rPr>
      <w:b/>
    </w:rPr>
  </w:style>
  <w:style w:type="paragraph" w:customStyle="1" w:styleId="ConsultantTitle">
    <w:name w:val="Consultant Title"/>
    <w:basedOn w:val="Normal"/>
    <w:next w:val="Normal"/>
    <w:link w:val="ConsultantTitleChar"/>
    <w:qFormat/>
    <w:rsid w:val="00E656A1"/>
    <w:pPr>
      <w:tabs>
        <w:tab w:val="right" w:pos="9000"/>
      </w:tabs>
      <w:spacing w:after="360"/>
    </w:pPr>
    <w:rPr>
      <w:rFonts w:cs="Arial"/>
      <w:b/>
      <w:noProof/>
      <w:sz w:val="24"/>
      <w:szCs w:val="21"/>
      <w:lang w:val="fr-FR"/>
    </w:rPr>
  </w:style>
  <w:style w:type="character" w:customStyle="1" w:styleId="ConsultantTitleChar">
    <w:name w:val="Consultant Title Char"/>
    <w:basedOn w:val="DefaultParagraphFont"/>
    <w:link w:val="ConsultantTitle"/>
    <w:rsid w:val="00E656A1"/>
    <w:rPr>
      <w:rFonts w:ascii="Arial" w:hAnsi="Arial" w:cs="Arial"/>
      <w:b/>
      <w:noProof/>
      <w:sz w:val="24"/>
      <w:szCs w:val="21"/>
      <w:lang w:val="fr-FR"/>
    </w:rPr>
  </w:style>
  <w:style w:type="paragraph" w:customStyle="1" w:styleId="CoverClientName0">
    <w:name w:val="Cover_Client Name"/>
    <w:basedOn w:val="Subtitle"/>
    <w:next w:val="BodyText"/>
    <w:rsid w:val="00E9032C"/>
    <w:pPr>
      <w:suppressAutoHyphens w:val="0"/>
      <w:autoSpaceDN/>
      <w:spacing w:before="0" w:after="2000"/>
    </w:pPr>
    <w:rPr>
      <w:rFonts w:ascii="Arial" w:hAnsi="Arial"/>
      <w:color w:val="auto"/>
    </w:rPr>
  </w:style>
  <w:style w:type="table" w:customStyle="1" w:styleId="ESIReport1">
    <w:name w:val="ESI Report 1"/>
    <w:basedOn w:val="TableNormal"/>
    <w:uiPriority w:val="99"/>
    <w:qFormat/>
    <w:rsid w:val="00E9032C"/>
    <w:pPr>
      <w:spacing w:before="40" w:after="40"/>
    </w:pPr>
    <w:rPr>
      <w:rFonts w:ascii="Arial" w:hAnsi="Arial"/>
      <w:sz w:val="22"/>
    </w:rPr>
    <w:tblPr>
      <w:tblStyleRowBandSize w:val="1"/>
      <w:jc w:val="center"/>
      <w:tblBorders>
        <w:bottom w:val="single" w:sz="8" w:space="0" w:color="auto"/>
        <w:insideH w:val="single" w:sz="2" w:space="0" w:color="D9D9D9" w:themeColor="background1" w:themeShade="D9"/>
      </w:tblBorders>
      <w:tblCellMar>
        <w:left w:w="115" w:type="dxa"/>
        <w:right w:w="115" w:type="dxa"/>
      </w:tblCellMar>
    </w:tblPr>
    <w:trPr>
      <w:cantSplit/>
      <w:jc w:val="center"/>
    </w:trPr>
    <w:tcPr>
      <w:vAlign w:val="center"/>
    </w:tcPr>
    <w:tblStylePr w:type="firstRow">
      <w:pPr>
        <w:jc w:val="left"/>
      </w:pPr>
      <w:rPr>
        <w:rFonts w:ascii="Arial" w:hAnsi="Arial"/>
        <w:b/>
        <w:color w:val="FFFFFF"/>
        <w:sz w:val="20"/>
      </w:rPr>
      <w:tblPr/>
      <w:tcPr>
        <w:tcBorders>
          <w:bottom w:val="single" w:sz="4" w:space="0" w:color="93D500" w:themeColor="accent1"/>
        </w:tcBorders>
        <w:shd w:val="clear" w:color="auto" w:fill="000000" w:themeFill="text1"/>
      </w:tcPr>
    </w:tblStylePr>
    <w:tblStylePr w:type="lastRow">
      <w:pPr>
        <w:jc w:val="left"/>
      </w:pPr>
      <w:rPr>
        <w:rFonts w:ascii="Arial" w:hAnsi="Arial"/>
        <w:b/>
        <w:sz w:val="22"/>
      </w:rPr>
      <w:tblPr/>
      <w:tcPr>
        <w:tcBorders>
          <w:top w:val="double" w:sz="4" w:space="0" w:color="auto"/>
          <w:bottom w:val="single" w:sz="8" w:space="0" w:color="auto"/>
        </w:tcBorders>
      </w:tcPr>
    </w:tblStylePr>
    <w:tblStylePr w:type="firstCol">
      <w:pPr>
        <w:jc w:val="left"/>
      </w:pPr>
      <w:rPr>
        <w:rFonts w:ascii="Arial" w:hAnsi="Arial"/>
        <w:b w:val="0"/>
        <w:color w:val="auto"/>
        <w:sz w:val="20"/>
      </w:rPr>
    </w:tblStylePr>
    <w:tblStylePr w:type="band1Horz">
      <w:pPr>
        <w:jc w:val="left"/>
      </w:pPr>
    </w:tblStylePr>
    <w:tblStylePr w:type="band2Horz">
      <w:pPr>
        <w:jc w:val="left"/>
      </w:pPr>
      <w:tblPr/>
      <w:tcPr>
        <w:shd w:val="clear" w:color="auto" w:fill="FFFFFF"/>
      </w:tcPr>
    </w:tblStylePr>
  </w:style>
  <w:style w:type="table" w:customStyle="1" w:styleId="ESIReport2">
    <w:name w:val="ESI Report 2"/>
    <w:basedOn w:val="TableNormal"/>
    <w:uiPriority w:val="99"/>
    <w:rsid w:val="00E9032C"/>
    <w:pPr>
      <w:spacing w:before="40" w:after="40"/>
    </w:pPr>
    <w:rPr>
      <w:rFonts w:ascii="MS Gothic" w:eastAsia="Consolas" w:hAnsi="MS Gothic" w:cs="Consolas"/>
    </w:rPr>
    <w:tblPr>
      <w:jc w:val="center"/>
      <w:tblBorders>
        <w:top w:val="single" w:sz="4" w:space="0" w:color="036479" w:themeColor="text2"/>
        <w:left w:val="single" w:sz="4" w:space="0" w:color="036479" w:themeColor="text2"/>
        <w:bottom w:val="single" w:sz="4" w:space="0" w:color="036479" w:themeColor="text2"/>
        <w:right w:val="single" w:sz="4" w:space="0" w:color="036479" w:themeColor="text2"/>
        <w:insideH w:val="single" w:sz="4" w:space="0" w:color="036479" w:themeColor="text2"/>
        <w:insideV w:val="single" w:sz="4" w:space="0" w:color="036479" w:themeColor="text2"/>
      </w:tblBorders>
    </w:tblPr>
    <w:trPr>
      <w:jc w:val="center"/>
    </w:trPr>
    <w:tcPr>
      <w:vAlign w:val="center"/>
    </w:tcPr>
    <w:tblStylePr w:type="firstRow">
      <w:rPr>
        <w:b/>
        <w:color w:val="auto"/>
      </w:rPr>
      <w:tblPr/>
      <w:tcPr>
        <w:tcBorders>
          <w:top w:val="single" w:sz="4" w:space="0" w:color="036479" w:themeColor="text2"/>
          <w:left w:val="single" w:sz="4" w:space="0" w:color="036479" w:themeColor="text2"/>
          <w:bottom w:val="single" w:sz="4" w:space="0" w:color="036479" w:themeColor="text2"/>
          <w:right w:val="single" w:sz="4" w:space="0" w:color="036479" w:themeColor="text2"/>
          <w:insideH w:val="single" w:sz="4" w:space="0" w:color="036479" w:themeColor="text2"/>
          <w:insideV w:val="single" w:sz="4" w:space="0" w:color="036479" w:themeColor="text2"/>
          <w:tl2br w:val="nil"/>
          <w:tr2bl w:val="nil"/>
        </w:tcBorders>
        <w:shd w:val="clear" w:color="auto" w:fill="93D500" w:themeFill="accent1"/>
      </w:tcPr>
    </w:tblStylePr>
    <w:tblStylePr w:type="lastRow">
      <w:rPr>
        <w:b/>
      </w:rPr>
      <w:tblPr/>
      <w:tcPr>
        <w:tcBorders>
          <w:top w:val="double" w:sz="4" w:space="0" w:color="036479" w:themeColor="text2"/>
          <w:left w:val="single" w:sz="4" w:space="0" w:color="036479" w:themeColor="text2"/>
          <w:bottom w:val="single" w:sz="8" w:space="0" w:color="036479" w:themeColor="text2"/>
          <w:right w:val="single" w:sz="4" w:space="0" w:color="036479" w:themeColor="text2"/>
          <w:insideH w:val="nil"/>
          <w:insideV w:val="single" w:sz="4" w:space="0" w:color="036479" w:themeColor="text2"/>
          <w:tl2br w:val="nil"/>
          <w:tr2bl w:val="nil"/>
        </w:tcBorders>
      </w:tcPr>
    </w:tblStylePr>
  </w:style>
  <w:style w:type="table" w:customStyle="1" w:styleId="ESITable1">
    <w:name w:val="ESI Table1"/>
    <w:basedOn w:val="TableNormal"/>
    <w:uiPriority w:val="99"/>
    <w:qFormat/>
    <w:rsid w:val="00E656A1"/>
    <w:pPr>
      <w:spacing w:before="40" w:after="40"/>
    </w:pPr>
    <w:rPr>
      <w:rFonts w:ascii="Arial" w:hAnsi="Arial"/>
      <w:color w:val="000000" w:themeColor="text1"/>
    </w:rPr>
    <w:tblPr>
      <w:tblStyleRowBandSize w:val="1"/>
      <w:jc w:val="center"/>
      <w:tblBorders>
        <w:bottom w:val="single" w:sz="12" w:space="0" w:color="93D500" w:themeColor="accent1"/>
        <w:insideH w:val="single" w:sz="4" w:space="0" w:color="DCDDDE"/>
      </w:tblBorders>
    </w:tblPr>
    <w:trPr>
      <w:cantSplit/>
      <w:jc w:val="center"/>
    </w:trPr>
    <w:tblStylePr w:type="firstRow">
      <w:pPr>
        <w:jc w:val="left"/>
      </w:pPr>
      <w:rPr>
        <w:rFonts w:ascii="Arial" w:hAnsi="Arial"/>
        <w:b/>
        <w:color w:val="auto"/>
        <w:sz w:val="20"/>
      </w:rPr>
      <w:tblPr/>
      <w:tcPr>
        <w:tcBorders>
          <w:insideH w:val="single" w:sz="4" w:space="0" w:color="E0E0E0" w:themeColor="background2"/>
          <w:insideV w:val="single" w:sz="4" w:space="0" w:color="E0E0E0" w:themeColor="background2"/>
        </w:tcBorders>
        <w:shd w:val="clear" w:color="auto" w:fill="93D500" w:themeFill="accent1"/>
        <w:vAlign w:val="bottom"/>
      </w:tcPr>
    </w:tblStylePr>
    <w:tblStylePr w:type="lastRow">
      <w:pPr>
        <w:jc w:val="left"/>
      </w:pPr>
      <w:rPr>
        <w:rFonts w:ascii="Arial Bold" w:hAnsi="Arial Bold"/>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left"/>
      </w:pPr>
      <w:tblPr/>
      <w:tcPr>
        <w:tcBorders>
          <w:bottom w:val="nil"/>
        </w:tcBorders>
      </w:tcPr>
    </w:tblStylePr>
    <w:tblStylePr w:type="band2Horz">
      <w:pPr>
        <w:jc w:val="left"/>
      </w:pPr>
      <w:tblPr/>
      <w:tcPr>
        <w:shd w:val="clear" w:color="auto" w:fill="FFFFFF"/>
      </w:tcPr>
    </w:tblStylePr>
  </w:style>
  <w:style w:type="paragraph" w:customStyle="1" w:styleId="ExecSummaryLevel3">
    <w:name w:val="Exec Summary Level 3"/>
    <w:basedOn w:val="Normal"/>
    <w:next w:val="BodyText"/>
    <w:link w:val="ExecSummaryLevel3Char"/>
    <w:qFormat/>
    <w:rsid w:val="00E9032C"/>
    <w:pPr>
      <w:suppressAutoHyphens w:val="0"/>
      <w:autoSpaceDN/>
      <w:spacing w:before="240" w:after="240"/>
    </w:pPr>
    <w:rPr>
      <w:rFonts w:cs="Arial"/>
      <w:b/>
      <w:iCs/>
      <w:kern w:val="3"/>
      <w:szCs w:val="22"/>
    </w:rPr>
  </w:style>
  <w:style w:type="character" w:customStyle="1" w:styleId="ExecSummaryLevel3Char">
    <w:name w:val="Exec Summary Level 3 Char"/>
    <w:basedOn w:val="Heading9Char"/>
    <w:link w:val="ExecSummaryLevel3"/>
    <w:rsid w:val="00E9032C"/>
    <w:rPr>
      <w:rFonts w:ascii="Arial" w:hAnsi="Arial" w:cs="Arial"/>
      <w:b/>
      <w:iCs/>
      <w:kern w:val="3"/>
      <w:sz w:val="22"/>
      <w:szCs w:val="22"/>
    </w:rPr>
  </w:style>
  <w:style w:type="paragraph" w:customStyle="1" w:styleId="GHTableCaption">
    <w:name w:val="GH_Table_Caption"/>
    <w:basedOn w:val="GHBodytext"/>
    <w:next w:val="GHBodytext"/>
    <w:rsid w:val="00E9032C"/>
    <w:pPr>
      <w:numPr>
        <w:numId w:val="34"/>
      </w:numPr>
      <w:tabs>
        <w:tab w:val="left" w:pos="-432"/>
      </w:tabs>
      <w:spacing w:after="0"/>
      <w:jc w:val="center"/>
    </w:pPr>
    <w:rPr>
      <w:b/>
    </w:rPr>
  </w:style>
  <w:style w:type="paragraph" w:customStyle="1" w:styleId="HeaderTitle">
    <w:name w:val="Header Title"/>
    <w:basedOn w:val="Normal"/>
    <w:rsid w:val="00E9032C"/>
    <w:pPr>
      <w:suppressAutoHyphens w:val="0"/>
      <w:autoSpaceDN/>
    </w:pPr>
    <w:rPr>
      <w:b/>
      <w:szCs w:val="20"/>
    </w:rPr>
  </w:style>
  <w:style w:type="paragraph" w:styleId="HTMLAddress">
    <w:name w:val="HTML Address"/>
    <w:basedOn w:val="Normal"/>
    <w:link w:val="HTMLAddressChar"/>
    <w:semiHidden/>
    <w:unhideWhenUsed/>
    <w:locked/>
    <w:rsid w:val="00E9032C"/>
    <w:pPr>
      <w:suppressAutoHyphens w:val="0"/>
      <w:autoSpaceDN/>
      <w:spacing w:before="0" w:after="0"/>
    </w:pPr>
    <w:rPr>
      <w:i/>
      <w:iCs/>
      <w:szCs w:val="20"/>
    </w:rPr>
  </w:style>
  <w:style w:type="character" w:customStyle="1" w:styleId="HTMLAddressChar">
    <w:name w:val="HTML Address Char"/>
    <w:basedOn w:val="DefaultParagraphFont"/>
    <w:link w:val="HTMLAddress"/>
    <w:semiHidden/>
    <w:rsid w:val="00E9032C"/>
    <w:rPr>
      <w:rFonts w:ascii="Arial" w:hAnsi="Arial"/>
      <w:i/>
      <w:iCs/>
      <w:sz w:val="22"/>
    </w:rPr>
  </w:style>
  <w:style w:type="paragraph" w:styleId="HTMLPreformatted">
    <w:name w:val="HTML Preformatted"/>
    <w:basedOn w:val="Normal"/>
    <w:link w:val="HTMLPreformattedChar"/>
    <w:semiHidden/>
    <w:unhideWhenUsed/>
    <w:locked/>
    <w:rsid w:val="00E9032C"/>
    <w:pPr>
      <w:suppressAutoHyphens w:val="0"/>
      <w:autoSpaceDN/>
      <w:spacing w:before="0" w:after="0"/>
    </w:pPr>
    <w:rPr>
      <w:rFonts w:ascii="Consolas" w:hAnsi="Consolas"/>
      <w:szCs w:val="20"/>
    </w:rPr>
  </w:style>
  <w:style w:type="character" w:customStyle="1" w:styleId="HTMLPreformattedChar">
    <w:name w:val="HTML Preformatted Char"/>
    <w:basedOn w:val="DefaultParagraphFont"/>
    <w:link w:val="HTMLPreformatted"/>
    <w:semiHidden/>
    <w:rsid w:val="00E9032C"/>
    <w:rPr>
      <w:rFonts w:ascii="Consolas" w:hAnsi="Consolas"/>
      <w:sz w:val="22"/>
    </w:rPr>
  </w:style>
  <w:style w:type="paragraph" w:styleId="Index8">
    <w:name w:val="index 8"/>
    <w:basedOn w:val="Normal"/>
    <w:next w:val="Normal"/>
    <w:autoRedefine/>
    <w:semiHidden/>
    <w:unhideWhenUsed/>
    <w:locked/>
    <w:rsid w:val="00E9032C"/>
    <w:pPr>
      <w:suppressAutoHyphens w:val="0"/>
      <w:autoSpaceDN/>
      <w:spacing w:before="0" w:after="0"/>
      <w:ind w:left="1600" w:hanging="200"/>
    </w:pPr>
    <w:rPr>
      <w:szCs w:val="20"/>
    </w:rPr>
  </w:style>
  <w:style w:type="paragraph" w:styleId="Index9">
    <w:name w:val="index 9"/>
    <w:basedOn w:val="Normal"/>
    <w:next w:val="Normal"/>
    <w:autoRedefine/>
    <w:semiHidden/>
    <w:unhideWhenUsed/>
    <w:locked/>
    <w:rsid w:val="00E9032C"/>
    <w:pPr>
      <w:suppressAutoHyphens w:val="0"/>
      <w:autoSpaceDN/>
      <w:spacing w:before="0" w:after="0"/>
      <w:ind w:left="1800" w:hanging="200"/>
    </w:pPr>
    <w:rPr>
      <w:szCs w:val="20"/>
    </w:rPr>
  </w:style>
  <w:style w:type="paragraph" w:styleId="IntenseQuote">
    <w:name w:val="Intense Quote"/>
    <w:basedOn w:val="Normal"/>
    <w:next w:val="Normal"/>
    <w:link w:val="IntenseQuoteChar"/>
    <w:uiPriority w:val="30"/>
    <w:rsid w:val="00E9032C"/>
    <w:pPr>
      <w:pBdr>
        <w:top w:val="single" w:sz="4" w:space="10" w:color="93D500" w:themeColor="accent1"/>
        <w:bottom w:val="single" w:sz="4" w:space="10" w:color="93D500" w:themeColor="accent1"/>
      </w:pBdr>
      <w:suppressAutoHyphens w:val="0"/>
      <w:autoSpaceDN/>
      <w:spacing w:before="360" w:after="360"/>
      <w:ind w:left="864" w:right="864"/>
      <w:jc w:val="center"/>
    </w:pPr>
    <w:rPr>
      <w:i/>
      <w:iCs/>
      <w:color w:val="93D500" w:themeColor="accent1"/>
      <w:szCs w:val="20"/>
    </w:rPr>
  </w:style>
  <w:style w:type="character" w:customStyle="1" w:styleId="IntenseQuoteChar">
    <w:name w:val="Intense Quote Char"/>
    <w:basedOn w:val="DefaultParagraphFont"/>
    <w:link w:val="IntenseQuote"/>
    <w:uiPriority w:val="30"/>
    <w:rsid w:val="00E9032C"/>
    <w:rPr>
      <w:rFonts w:ascii="Arial" w:hAnsi="Arial"/>
      <w:i/>
      <w:iCs/>
      <w:color w:val="93D500" w:themeColor="accent1"/>
      <w:sz w:val="22"/>
    </w:rPr>
  </w:style>
  <w:style w:type="paragraph" w:styleId="List">
    <w:name w:val="List"/>
    <w:basedOn w:val="Normal"/>
    <w:semiHidden/>
    <w:unhideWhenUsed/>
    <w:locked/>
    <w:rsid w:val="00E9032C"/>
    <w:pPr>
      <w:suppressAutoHyphens w:val="0"/>
      <w:autoSpaceDN/>
      <w:spacing w:before="0" w:after="0"/>
      <w:ind w:left="360" w:hanging="360"/>
      <w:contextualSpacing/>
    </w:pPr>
    <w:rPr>
      <w:szCs w:val="20"/>
    </w:rPr>
  </w:style>
  <w:style w:type="paragraph" w:styleId="List3">
    <w:name w:val="List 3"/>
    <w:basedOn w:val="Normal"/>
    <w:semiHidden/>
    <w:unhideWhenUsed/>
    <w:locked/>
    <w:rsid w:val="00E9032C"/>
    <w:pPr>
      <w:suppressAutoHyphens w:val="0"/>
      <w:autoSpaceDN/>
      <w:spacing w:before="0" w:after="0"/>
      <w:ind w:left="1080" w:hanging="360"/>
      <w:contextualSpacing/>
    </w:pPr>
    <w:rPr>
      <w:szCs w:val="20"/>
    </w:rPr>
  </w:style>
  <w:style w:type="paragraph" w:styleId="List5">
    <w:name w:val="List 5"/>
    <w:basedOn w:val="Normal"/>
    <w:locked/>
    <w:rsid w:val="00E9032C"/>
    <w:pPr>
      <w:suppressAutoHyphens w:val="0"/>
      <w:autoSpaceDN/>
      <w:spacing w:before="0" w:after="0"/>
      <w:ind w:left="1800" w:hanging="360"/>
      <w:contextualSpacing/>
    </w:pPr>
    <w:rPr>
      <w:szCs w:val="20"/>
    </w:rPr>
  </w:style>
  <w:style w:type="paragraph" w:styleId="ListBullet5">
    <w:name w:val="List Bullet 5"/>
    <w:basedOn w:val="Normal"/>
    <w:semiHidden/>
    <w:unhideWhenUsed/>
    <w:locked/>
    <w:rsid w:val="00E9032C"/>
    <w:pPr>
      <w:numPr>
        <w:numId w:val="42"/>
      </w:numPr>
      <w:suppressAutoHyphens w:val="0"/>
      <w:autoSpaceDN/>
      <w:spacing w:before="0" w:after="0"/>
      <w:contextualSpacing/>
    </w:pPr>
    <w:rPr>
      <w:szCs w:val="20"/>
    </w:rPr>
  </w:style>
  <w:style w:type="paragraph" w:styleId="ListContinue">
    <w:name w:val="List Continue"/>
    <w:basedOn w:val="Normal"/>
    <w:semiHidden/>
    <w:unhideWhenUsed/>
    <w:locked/>
    <w:rsid w:val="00E9032C"/>
    <w:pPr>
      <w:suppressAutoHyphens w:val="0"/>
      <w:autoSpaceDN/>
      <w:spacing w:before="0"/>
      <w:ind w:left="360"/>
      <w:contextualSpacing/>
    </w:pPr>
    <w:rPr>
      <w:szCs w:val="20"/>
    </w:rPr>
  </w:style>
  <w:style w:type="paragraph" w:styleId="ListContinue2">
    <w:name w:val="List Continue 2"/>
    <w:basedOn w:val="Normal"/>
    <w:semiHidden/>
    <w:unhideWhenUsed/>
    <w:locked/>
    <w:rsid w:val="00E9032C"/>
    <w:pPr>
      <w:suppressAutoHyphens w:val="0"/>
      <w:autoSpaceDN/>
      <w:spacing w:before="0"/>
      <w:ind w:left="720"/>
      <w:contextualSpacing/>
    </w:pPr>
    <w:rPr>
      <w:szCs w:val="20"/>
    </w:rPr>
  </w:style>
  <w:style w:type="paragraph" w:styleId="ListContinue3">
    <w:name w:val="List Continue 3"/>
    <w:basedOn w:val="Normal"/>
    <w:semiHidden/>
    <w:unhideWhenUsed/>
    <w:locked/>
    <w:rsid w:val="00E9032C"/>
    <w:pPr>
      <w:suppressAutoHyphens w:val="0"/>
      <w:autoSpaceDN/>
      <w:spacing w:before="0"/>
      <w:ind w:left="1080"/>
      <w:contextualSpacing/>
    </w:pPr>
    <w:rPr>
      <w:szCs w:val="20"/>
    </w:rPr>
  </w:style>
  <w:style w:type="paragraph" w:styleId="ListContinue4">
    <w:name w:val="List Continue 4"/>
    <w:basedOn w:val="Normal"/>
    <w:semiHidden/>
    <w:unhideWhenUsed/>
    <w:locked/>
    <w:rsid w:val="00E9032C"/>
    <w:pPr>
      <w:suppressAutoHyphens w:val="0"/>
      <w:autoSpaceDN/>
      <w:spacing w:before="0"/>
      <w:ind w:left="1440"/>
      <w:contextualSpacing/>
    </w:pPr>
    <w:rPr>
      <w:szCs w:val="20"/>
    </w:rPr>
  </w:style>
  <w:style w:type="paragraph" w:styleId="ListContinue5">
    <w:name w:val="List Continue 5"/>
    <w:basedOn w:val="Normal"/>
    <w:semiHidden/>
    <w:unhideWhenUsed/>
    <w:locked/>
    <w:rsid w:val="00E9032C"/>
    <w:pPr>
      <w:suppressAutoHyphens w:val="0"/>
      <w:autoSpaceDN/>
      <w:spacing w:before="0"/>
      <w:ind w:left="1800"/>
      <w:contextualSpacing/>
    </w:pPr>
    <w:rPr>
      <w:szCs w:val="20"/>
    </w:rPr>
  </w:style>
  <w:style w:type="paragraph" w:styleId="ListNumber5">
    <w:name w:val="List Number 5"/>
    <w:basedOn w:val="Normal"/>
    <w:semiHidden/>
    <w:unhideWhenUsed/>
    <w:locked/>
    <w:rsid w:val="00E9032C"/>
    <w:pPr>
      <w:numPr>
        <w:numId w:val="47"/>
      </w:numPr>
      <w:suppressAutoHyphens w:val="0"/>
      <w:autoSpaceDN/>
      <w:spacing w:before="0" w:after="0"/>
      <w:contextualSpacing/>
    </w:pPr>
    <w:rPr>
      <w:szCs w:val="20"/>
    </w:rPr>
  </w:style>
  <w:style w:type="paragraph" w:customStyle="1" w:styleId="NameHeader">
    <w:name w:val="Name Header"/>
    <w:basedOn w:val="Normal"/>
    <w:next w:val="ConsultantTitle"/>
    <w:autoRedefine/>
    <w:qFormat/>
    <w:rsid w:val="00E656A1"/>
    <w:rPr>
      <w:rFonts w:cs="Arial"/>
      <w:b/>
      <w:noProof/>
      <w:sz w:val="36"/>
      <w:szCs w:val="30"/>
    </w:rPr>
  </w:style>
  <w:style w:type="paragraph" w:styleId="NoteHeading">
    <w:name w:val="Note Heading"/>
    <w:basedOn w:val="Normal"/>
    <w:next w:val="Normal"/>
    <w:link w:val="NoteHeadingChar"/>
    <w:semiHidden/>
    <w:unhideWhenUsed/>
    <w:locked/>
    <w:rsid w:val="00E9032C"/>
    <w:pPr>
      <w:suppressAutoHyphens w:val="0"/>
      <w:autoSpaceDN/>
      <w:spacing w:before="0" w:after="0"/>
    </w:pPr>
    <w:rPr>
      <w:szCs w:val="20"/>
    </w:rPr>
  </w:style>
  <w:style w:type="character" w:customStyle="1" w:styleId="NoteHeadingChar">
    <w:name w:val="Note Heading Char"/>
    <w:basedOn w:val="DefaultParagraphFont"/>
    <w:link w:val="NoteHeading"/>
    <w:semiHidden/>
    <w:rsid w:val="00E9032C"/>
    <w:rPr>
      <w:rFonts w:ascii="Arial" w:hAnsi="Arial"/>
      <w:sz w:val="22"/>
    </w:rPr>
  </w:style>
  <w:style w:type="table" w:styleId="PlainTable1">
    <w:name w:val="Plain Table 1"/>
    <w:basedOn w:val="TableNormal"/>
    <w:uiPriority w:val="41"/>
    <w:rsid w:val="00E656A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656A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reparedfor">
    <w:name w:val="Prepared for"/>
    <w:basedOn w:val="Subtitle"/>
    <w:next w:val="CoverClientName0"/>
    <w:rsid w:val="00E9032C"/>
    <w:pPr>
      <w:suppressAutoHyphens w:val="0"/>
      <w:autoSpaceDN/>
      <w:spacing w:after="120"/>
    </w:pPr>
    <w:rPr>
      <w:rFonts w:ascii="Arial" w:hAnsi="Arial"/>
      <w:color w:val="auto"/>
    </w:rPr>
  </w:style>
  <w:style w:type="paragraph" w:customStyle="1" w:styleId="ProposalDueDate">
    <w:name w:val="Proposal Due Date"/>
    <w:basedOn w:val="Normal"/>
    <w:rsid w:val="00E9032C"/>
    <w:pPr>
      <w:framePr w:wrap="around" w:hAnchor="text"/>
      <w:suppressAutoHyphens w:val="0"/>
      <w:autoSpaceDN/>
      <w:spacing w:before="0" w:after="0"/>
    </w:pPr>
    <w:rPr>
      <w:sz w:val="32"/>
    </w:rPr>
  </w:style>
  <w:style w:type="paragraph" w:customStyle="1" w:styleId="ProposalSub-Title">
    <w:name w:val="Proposal Sub-Title"/>
    <w:basedOn w:val="Normal"/>
    <w:rsid w:val="00E9032C"/>
    <w:pPr>
      <w:suppressAutoHyphens w:val="0"/>
      <w:autoSpaceDN/>
      <w:spacing w:before="0" w:after="0"/>
    </w:pPr>
    <w:rPr>
      <w:sz w:val="32"/>
    </w:rPr>
  </w:style>
  <w:style w:type="paragraph" w:customStyle="1" w:styleId="ProposalVolumeNumber">
    <w:name w:val="Proposal Volume Number"/>
    <w:basedOn w:val="Normal"/>
    <w:rsid w:val="00E9032C"/>
    <w:pPr>
      <w:suppressAutoHyphens w:val="0"/>
      <w:autoSpaceDN/>
      <w:spacing w:before="0" w:after="240"/>
    </w:pPr>
    <w:rPr>
      <w:sz w:val="32"/>
    </w:rPr>
  </w:style>
  <w:style w:type="paragraph" w:customStyle="1" w:styleId="ProvidedTo-By">
    <w:name w:val="Provided To-By"/>
    <w:basedOn w:val="AgencyTitle"/>
    <w:qFormat/>
    <w:rsid w:val="00E9032C"/>
    <w:rPr>
      <w:sz w:val="16"/>
    </w:rPr>
  </w:style>
  <w:style w:type="paragraph" w:styleId="Salutation">
    <w:name w:val="Salutation"/>
    <w:basedOn w:val="Normal"/>
    <w:next w:val="Normal"/>
    <w:link w:val="SalutationChar"/>
    <w:locked/>
    <w:rsid w:val="00E9032C"/>
    <w:pPr>
      <w:suppressAutoHyphens w:val="0"/>
      <w:autoSpaceDN/>
      <w:spacing w:before="0" w:after="0"/>
    </w:pPr>
    <w:rPr>
      <w:szCs w:val="20"/>
    </w:rPr>
  </w:style>
  <w:style w:type="character" w:customStyle="1" w:styleId="SalutationChar">
    <w:name w:val="Salutation Char"/>
    <w:basedOn w:val="DefaultParagraphFont"/>
    <w:link w:val="Salutation"/>
    <w:rsid w:val="00E9032C"/>
    <w:rPr>
      <w:rFonts w:ascii="Arial" w:hAnsi="Arial"/>
      <w:sz w:val="22"/>
    </w:rPr>
  </w:style>
  <w:style w:type="paragraph" w:styleId="Signature">
    <w:name w:val="Signature"/>
    <w:basedOn w:val="Normal"/>
    <w:link w:val="SignatureChar"/>
    <w:semiHidden/>
    <w:unhideWhenUsed/>
    <w:locked/>
    <w:rsid w:val="00E9032C"/>
    <w:pPr>
      <w:suppressAutoHyphens w:val="0"/>
      <w:autoSpaceDN/>
      <w:spacing w:before="0" w:after="0"/>
      <w:ind w:left="4320"/>
    </w:pPr>
    <w:rPr>
      <w:szCs w:val="20"/>
    </w:rPr>
  </w:style>
  <w:style w:type="character" w:customStyle="1" w:styleId="SignatureChar">
    <w:name w:val="Signature Char"/>
    <w:basedOn w:val="DefaultParagraphFont"/>
    <w:link w:val="Signature"/>
    <w:semiHidden/>
    <w:rsid w:val="00E9032C"/>
    <w:rPr>
      <w:rFonts w:ascii="Arial" w:hAnsi="Arial"/>
      <w:sz w:val="22"/>
    </w:rPr>
  </w:style>
  <w:style w:type="paragraph" w:customStyle="1" w:styleId="SolicitationNumber">
    <w:name w:val="Solicitation Number"/>
    <w:basedOn w:val="AgencyTitle"/>
    <w:rsid w:val="00E9032C"/>
  </w:style>
  <w:style w:type="table" w:styleId="TableGridLight">
    <w:name w:val="Grid Table Light"/>
    <w:basedOn w:val="TableNormal"/>
    <w:uiPriority w:val="40"/>
    <w:rsid w:val="00E9032C"/>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Authorities">
    <w:name w:val="table of authorities"/>
    <w:basedOn w:val="Normal"/>
    <w:next w:val="Normal"/>
    <w:semiHidden/>
    <w:unhideWhenUsed/>
    <w:locked/>
    <w:rsid w:val="00E9032C"/>
    <w:pPr>
      <w:suppressAutoHyphens w:val="0"/>
      <w:autoSpaceDN/>
      <w:spacing w:before="0" w:after="0"/>
      <w:ind w:left="200" w:hanging="200"/>
    </w:pPr>
    <w:rPr>
      <w:szCs w:val="20"/>
    </w:rPr>
  </w:style>
  <w:style w:type="table" w:styleId="TableWeb2">
    <w:name w:val="Table Web 2"/>
    <w:basedOn w:val="TableNormal"/>
    <w:locked/>
    <w:rsid w:val="00E656A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FigureSource">
    <w:name w:val="Table/Figure Source"/>
    <w:basedOn w:val="Normal"/>
    <w:next w:val="BodyText"/>
    <w:link w:val="TableFigureSourceChar"/>
    <w:qFormat/>
    <w:rsid w:val="00E9032C"/>
    <w:pPr>
      <w:suppressAutoHyphens w:val="0"/>
      <w:autoSpaceDN/>
      <w:spacing w:before="60" w:after="240"/>
    </w:pPr>
    <w:rPr>
      <w:i/>
      <w:sz w:val="18"/>
      <w:szCs w:val="20"/>
    </w:rPr>
  </w:style>
  <w:style w:type="character" w:customStyle="1" w:styleId="TableFigureSourceChar">
    <w:name w:val="Table/Figure Source Char"/>
    <w:link w:val="TableFigureSource"/>
    <w:rsid w:val="00E9032C"/>
    <w:rPr>
      <w:rFonts w:ascii="Arial" w:hAnsi="Arial"/>
      <w:i/>
      <w:sz w:val="18"/>
    </w:rPr>
  </w:style>
  <w:style w:type="paragraph" w:customStyle="1" w:styleId="TableFigureNote">
    <w:name w:val="Table/Figure Note"/>
    <w:basedOn w:val="TableFigureSource"/>
    <w:next w:val="TableFigureSource"/>
    <w:qFormat/>
    <w:rsid w:val="00E9032C"/>
    <w:pPr>
      <w:keepNext/>
      <w:spacing w:before="20" w:after="20"/>
    </w:pPr>
    <w:rPr>
      <w:i w:val="0"/>
    </w:rPr>
  </w:style>
  <w:style w:type="paragraph" w:customStyle="1" w:styleId="Tablebody0">
    <w:name w:val="Tablebody"/>
    <w:basedOn w:val="Bodytext0"/>
    <w:rsid w:val="00E9032C"/>
    <w:pPr>
      <w:spacing w:before="40" w:after="40"/>
    </w:pPr>
    <w:rPr>
      <w:sz w:val="20"/>
    </w:rPr>
  </w:style>
  <w:style w:type="paragraph" w:customStyle="1" w:styleId="TableBullet1">
    <w:name w:val="TableBullet1"/>
    <w:basedOn w:val="Tablebody0"/>
    <w:rsid w:val="00E9032C"/>
    <w:pPr>
      <w:numPr>
        <w:numId w:val="54"/>
      </w:numPr>
      <w:tabs>
        <w:tab w:val="clear" w:pos="360"/>
      </w:tabs>
    </w:pPr>
  </w:style>
  <w:style w:type="paragraph" w:customStyle="1" w:styleId="TableBullet2">
    <w:name w:val="TableBullet2"/>
    <w:basedOn w:val="Normal"/>
    <w:qFormat/>
    <w:rsid w:val="00E656A1"/>
    <w:pPr>
      <w:numPr>
        <w:numId w:val="1"/>
      </w:numPr>
      <w:spacing w:before="40" w:after="40"/>
    </w:pPr>
    <w:rPr>
      <w:sz w:val="20"/>
    </w:rPr>
  </w:style>
  <w:style w:type="paragraph" w:customStyle="1" w:styleId="Tablenote">
    <w:name w:val="Tablenote"/>
    <w:basedOn w:val="Tablebody0"/>
    <w:rsid w:val="00E9032C"/>
    <w:rPr>
      <w:sz w:val="18"/>
    </w:rPr>
  </w:style>
  <w:style w:type="paragraph" w:customStyle="1" w:styleId="Tablesubheader">
    <w:name w:val="Tablesubheader"/>
    <w:basedOn w:val="Normal"/>
    <w:rsid w:val="00E9032C"/>
    <w:pPr>
      <w:suppressAutoHyphens w:val="0"/>
      <w:autoSpaceDN/>
      <w:spacing w:before="40" w:after="40"/>
    </w:pPr>
    <w:rPr>
      <w:b/>
      <w:sz w:val="20"/>
    </w:rPr>
  </w:style>
  <w:style w:type="paragraph" w:customStyle="1" w:styleId="ThemeStatement">
    <w:name w:val="Theme Statement"/>
    <w:basedOn w:val="Normal"/>
    <w:link w:val="ThemeStatementChar"/>
    <w:qFormat/>
    <w:rsid w:val="00E656A1"/>
    <w:rPr>
      <w:b/>
    </w:rPr>
  </w:style>
  <w:style w:type="character" w:customStyle="1" w:styleId="ThemeStatementChar">
    <w:name w:val="Theme Statement Char"/>
    <w:basedOn w:val="DefaultParagraphFont"/>
    <w:link w:val="ThemeStatement"/>
    <w:rsid w:val="00E656A1"/>
    <w:rPr>
      <w:rFonts w:ascii="Arial" w:hAnsi="Arial"/>
      <w:b/>
      <w:sz w:val="22"/>
    </w:rPr>
  </w:style>
  <w:style w:type="paragraph" w:customStyle="1" w:styleId="TitlepageRestriction">
    <w:name w:val="Titlepage_Restriction"/>
    <w:basedOn w:val="AgencyTitle"/>
    <w:rsid w:val="00E9032C"/>
    <w:rPr>
      <w:sz w:val="16"/>
    </w:rPr>
  </w:style>
  <w:style w:type="paragraph" w:styleId="TOAHeading">
    <w:name w:val="toa heading"/>
    <w:basedOn w:val="Normal"/>
    <w:next w:val="Normal"/>
    <w:semiHidden/>
    <w:unhideWhenUsed/>
    <w:locked/>
    <w:rsid w:val="00E9032C"/>
    <w:pPr>
      <w:suppressAutoHyphens w:val="0"/>
      <w:autoSpaceDN/>
      <w:spacing w:after="0"/>
    </w:pPr>
    <w:rPr>
      <w:rFonts w:asciiTheme="majorHAnsi" w:eastAsiaTheme="majorEastAsia" w:hAnsiTheme="majorHAnsi" w:cstheme="majorBidi"/>
      <w:b/>
      <w:bCs/>
    </w:rPr>
  </w:style>
  <w:style w:type="paragraph" w:customStyle="1" w:styleId="xResumeInstructionalBulletDONOTUSE">
    <w:name w:val="x. Resume Instructional Bullet DO NOT USE"/>
    <w:basedOn w:val="Normal"/>
    <w:rsid w:val="00E656A1"/>
    <w:pPr>
      <w:widowControl w:val="0"/>
      <w:numPr>
        <w:numId w:val="2"/>
      </w:numPr>
      <w:spacing w:line="276" w:lineRule="auto"/>
    </w:pPr>
    <w:rPr>
      <w:rFonts w:eastAsiaTheme="minorHAnsi" w:cs="Arial"/>
      <w:i/>
      <w:color w:val="555759"/>
    </w:rPr>
  </w:style>
  <w:style w:type="paragraph" w:customStyle="1" w:styleId="paragraph">
    <w:name w:val="paragraph"/>
    <w:basedOn w:val="Normal"/>
    <w:rsid w:val="00917C40"/>
    <w:pPr>
      <w:spacing w:before="100" w:beforeAutospacing="1" w:after="100" w:afterAutospacing="1"/>
    </w:pPr>
    <w:rPr>
      <w:rFonts w:ascii="Times New Roman" w:hAnsi="Times New Roman"/>
      <w:sz w:val="24"/>
    </w:rPr>
  </w:style>
  <w:style w:type="table" w:customStyle="1" w:styleId="EnergyTable1">
    <w:name w:val="Energy Table1"/>
    <w:basedOn w:val="TableNormal"/>
    <w:uiPriority w:val="99"/>
    <w:qFormat/>
    <w:rsid w:val="00E9032C"/>
    <w:pPr>
      <w:spacing w:before="40" w:after="40"/>
      <w:jc w:val="center"/>
    </w:pPr>
    <w:rPr>
      <w:rFonts w:ascii="MS Gothic" w:eastAsia="Consolas" w:hAnsi="MS Gothic" w:cs="Consolas"/>
    </w:rPr>
    <w:tblPr>
      <w:tblStyleRowBandSize w:val="1"/>
      <w:jc w:val="center"/>
      <w:tblBorders>
        <w:bottom w:val="single" w:sz="8" w:space="0" w:color="555759"/>
        <w:insideH w:val="single" w:sz="4" w:space="0" w:color="DCDDDE"/>
      </w:tblBorders>
    </w:tblPr>
    <w:trPr>
      <w:cantSplit/>
      <w:jc w:val="center"/>
    </w:trPr>
    <w:tcPr>
      <w:vAlign w:val="center"/>
    </w:tcPr>
    <w:tblStylePr w:type="firstRow">
      <w:pPr>
        <w:jc w:val="center"/>
      </w:pPr>
      <w:rPr>
        <w:rFonts w:ascii="Arial" w:hAnsi="Arial"/>
        <w:b/>
        <w:color w:val="FFFFFF"/>
        <w:sz w:val="20"/>
      </w:rPr>
      <w:tblPr/>
      <w:tcPr>
        <w:tcBorders>
          <w:top w:val="nil"/>
          <w:left w:val="nil"/>
          <w:bottom w:val="single" w:sz="12" w:space="0" w:color="95D600"/>
          <w:right w:val="nil"/>
          <w:insideH w:val="nil"/>
          <w:insideV w:val="nil"/>
          <w:tl2br w:val="nil"/>
          <w:tr2bl w:val="nil"/>
        </w:tcBorders>
        <w:shd w:val="clear" w:color="auto" w:fill="555759"/>
      </w:tcPr>
    </w:tblStylePr>
    <w:tblStylePr w:type="lastRow">
      <w:pPr>
        <w:jc w:val="center"/>
      </w:pPr>
      <w:rPr>
        <w:rFonts w:ascii="Century Gothic" w:hAnsi="Century Gothic"/>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cPr>
    </w:tblStylePr>
  </w:style>
  <w:style w:type="character" w:customStyle="1" w:styleId="eop">
    <w:name w:val="eop"/>
    <w:basedOn w:val="DefaultParagraphFont"/>
    <w:rsid w:val="00E9032C"/>
  </w:style>
  <w:style w:type="character" w:styleId="Mention">
    <w:name w:val="Mention"/>
    <w:basedOn w:val="DefaultParagraphFont"/>
    <w:uiPriority w:val="99"/>
    <w:unhideWhenUsed/>
    <w:rsid w:val="00E9032C"/>
    <w:rPr>
      <w:color w:val="2B579A"/>
      <w:shd w:val="clear" w:color="auto" w:fill="E1DFDD"/>
    </w:rPr>
  </w:style>
  <w:style w:type="paragraph" w:customStyle="1" w:styleId="ProposalTitle">
    <w:name w:val="Proposal Title"/>
    <w:basedOn w:val="Normal"/>
    <w:rsid w:val="00E9032C"/>
    <w:pPr>
      <w:suppressAutoHyphens w:val="0"/>
      <w:autoSpaceDN/>
      <w:spacing w:before="0" w:after="240"/>
    </w:pPr>
    <w:rPr>
      <w:b/>
      <w:sz w:val="44"/>
    </w:rPr>
  </w:style>
  <w:style w:type="paragraph" w:customStyle="1" w:styleId="GHBodytext">
    <w:name w:val="GH_Bodytext"/>
    <w:basedOn w:val="Normal"/>
    <w:rsid w:val="00E9032C"/>
    <w:pPr>
      <w:spacing w:before="0" w:after="80"/>
    </w:pPr>
  </w:style>
  <w:style w:type="paragraph" w:customStyle="1" w:styleId="ASectionCorSOWPWS">
    <w:name w:val="A_Section C or SOW/PWS"/>
    <w:basedOn w:val="GHBodytext"/>
    <w:rsid w:val="00E9032C"/>
    <w:rPr>
      <w:color w:val="7030A0"/>
    </w:rPr>
  </w:style>
  <w:style w:type="paragraph" w:customStyle="1" w:styleId="ASectionLorInstructions">
    <w:name w:val="A_Section L or Instructions"/>
    <w:basedOn w:val="GHBodytext"/>
    <w:rsid w:val="00E9032C"/>
    <w:rPr>
      <w:color w:val="00B050"/>
    </w:rPr>
  </w:style>
  <w:style w:type="paragraph" w:customStyle="1" w:styleId="ASectionMorEvaluationCriteria">
    <w:name w:val="A_Section M or Evaluation Criteria"/>
    <w:basedOn w:val="GHBodytext"/>
    <w:rsid w:val="00E9032C"/>
    <w:rPr>
      <w:color w:val="0070C0"/>
    </w:rPr>
  </w:style>
  <w:style w:type="paragraph" w:customStyle="1" w:styleId="AgencyTitle">
    <w:name w:val="Agency Title"/>
    <w:basedOn w:val="GHBodytext"/>
    <w:rsid w:val="00E9032C"/>
    <w:pPr>
      <w:spacing w:after="0"/>
    </w:pPr>
  </w:style>
  <w:style w:type="paragraph" w:customStyle="1" w:styleId="AgencySub-Title">
    <w:name w:val="Agency Sub-Title"/>
    <w:basedOn w:val="AgencyTitle"/>
    <w:rsid w:val="00E9032C"/>
  </w:style>
  <w:style w:type="paragraph" w:customStyle="1" w:styleId="AppendixLevel8">
    <w:name w:val="Appendix Level 8"/>
    <w:basedOn w:val="Normal"/>
    <w:link w:val="AppendixLevel8Char"/>
    <w:qFormat/>
    <w:rsid w:val="00E9032C"/>
    <w:pPr>
      <w:keepNext/>
      <w:suppressAutoHyphens w:val="0"/>
      <w:autoSpaceDN/>
      <w:spacing w:before="0" w:after="240"/>
      <w:ind w:left="864" w:hanging="864"/>
    </w:pPr>
    <w:rPr>
      <w:rFonts w:ascii="Arial Bold" w:hAnsi="Arial Bold" w:cs="Arial"/>
      <w:b/>
      <w:kern w:val="28"/>
      <w:szCs w:val="28"/>
    </w:rPr>
  </w:style>
  <w:style w:type="character" w:customStyle="1" w:styleId="AppendixLevel8Char">
    <w:name w:val="Appendix Level 8 Char"/>
    <w:basedOn w:val="Heading4Char"/>
    <w:link w:val="AppendixLevel8"/>
    <w:rsid w:val="00E9032C"/>
    <w:rPr>
      <w:rFonts w:ascii="Arial Bold" w:hAnsi="Arial Bold" w:cs="Arial"/>
      <w:b/>
      <w:iCs w:val="0"/>
      <w:kern w:val="28"/>
      <w:sz w:val="22"/>
      <w:szCs w:val="28"/>
    </w:rPr>
  </w:style>
  <w:style w:type="character" w:customStyle="1" w:styleId="CrossRef">
    <w:name w:val="CrossRef"/>
    <w:basedOn w:val="DefaultParagraphFont"/>
    <w:uiPriority w:val="1"/>
    <w:qFormat/>
    <w:rsid w:val="00E9032C"/>
    <w:rPr>
      <w:rFonts w:ascii="Arial" w:hAnsi="Arial"/>
      <w:color w:val="16949E"/>
      <w:sz w:val="22"/>
    </w:rPr>
  </w:style>
  <w:style w:type="table" w:customStyle="1" w:styleId="ESIReport">
    <w:name w:val="ESI Report"/>
    <w:basedOn w:val="TableNormal"/>
    <w:uiPriority w:val="99"/>
    <w:rsid w:val="00E9032C"/>
    <w:pPr>
      <w:spacing w:before="40" w:after="40"/>
    </w:pPr>
    <w:rPr>
      <w:rFonts w:ascii="Arial" w:hAnsi="Arial"/>
    </w:rPr>
    <w:tblPr>
      <w:jc w:val="center"/>
      <w:tblBorders>
        <w:top w:val="single" w:sz="4" w:space="0" w:color="A7A7A7" w:themeColor="background2" w:themeShade="BF"/>
        <w:bottom w:val="single" w:sz="4" w:space="0" w:color="A7A7A7" w:themeColor="background2" w:themeShade="BF"/>
        <w:insideH w:val="single" w:sz="4" w:space="0" w:color="A7A7A7" w:themeColor="background2" w:themeShade="BF"/>
      </w:tblBorders>
    </w:tblPr>
    <w:trPr>
      <w:jc w:val="center"/>
    </w:trPr>
    <w:tcPr>
      <w:vAlign w:val="center"/>
    </w:tcPr>
    <w:tblStylePr w:type="firstRow">
      <w:rPr>
        <w:b/>
        <w:color w:val="auto"/>
      </w:rPr>
      <w:tblPr/>
      <w:tcPr>
        <w:tcBorders>
          <w:top w:val="nil"/>
          <w:left w:val="nil"/>
          <w:bottom w:val="nil"/>
          <w:right w:val="nil"/>
          <w:insideH w:val="nil"/>
          <w:insideV w:val="nil"/>
          <w:tl2br w:val="nil"/>
          <w:tr2bl w:val="nil"/>
        </w:tcBorders>
        <w:shd w:val="clear" w:color="auto" w:fill="93D500" w:themeFill="accent1"/>
      </w:tcPr>
    </w:tblStylePr>
    <w:tblStylePr w:type="lastRow">
      <w:rPr>
        <w:b/>
      </w:rPr>
      <w:tblPr/>
      <w:tcPr>
        <w:tcBorders>
          <w:top w:val="double" w:sz="4" w:space="0" w:color="A7A7A7" w:themeColor="background2" w:themeShade="BF"/>
          <w:left w:val="nil"/>
          <w:bottom w:val="single" w:sz="4" w:space="0" w:color="A7A7A7" w:themeColor="background2" w:themeShade="BF"/>
          <w:right w:val="nil"/>
          <w:insideH w:val="nil"/>
          <w:insideV w:val="nil"/>
          <w:tl2br w:val="nil"/>
          <w:tr2bl w:val="nil"/>
        </w:tcBorders>
      </w:tcPr>
    </w:tblStylePr>
  </w:style>
  <w:style w:type="paragraph" w:customStyle="1" w:styleId="GHBodytext6Before">
    <w:name w:val="GH_Bodytext 6 Before"/>
    <w:basedOn w:val="GHBodytext"/>
    <w:next w:val="GHBodytext"/>
    <w:rsid w:val="00E9032C"/>
    <w:pPr>
      <w:spacing w:before="80"/>
    </w:pPr>
  </w:style>
  <w:style w:type="character" w:customStyle="1" w:styleId="GHBodytextChar">
    <w:name w:val="GH_Bodytext Char"/>
    <w:basedOn w:val="DefaultParagraphFont"/>
    <w:rsid w:val="00E9032C"/>
    <w:rPr>
      <w:rFonts w:ascii="Arial" w:hAnsi="Arial"/>
      <w:sz w:val="24"/>
      <w:szCs w:val="24"/>
    </w:rPr>
  </w:style>
  <w:style w:type="paragraph" w:customStyle="1" w:styleId="GHBodytextHeading">
    <w:name w:val="GH_Bodytext_Heading"/>
    <w:basedOn w:val="GHBodytext"/>
    <w:next w:val="GHBodytext"/>
    <w:rsid w:val="00E9032C"/>
    <w:rPr>
      <w:b/>
    </w:rPr>
  </w:style>
  <w:style w:type="paragraph" w:customStyle="1" w:styleId="GHBullet1">
    <w:name w:val="GH_Bullet1"/>
    <w:basedOn w:val="GHBodytext"/>
    <w:rsid w:val="00E9032C"/>
    <w:pPr>
      <w:numPr>
        <w:numId w:val="18"/>
      </w:numPr>
      <w:contextualSpacing/>
    </w:pPr>
  </w:style>
  <w:style w:type="paragraph" w:customStyle="1" w:styleId="GHBullet1Indent">
    <w:name w:val="GH_Bullet1_Indent"/>
    <w:basedOn w:val="GHBodytext"/>
    <w:rsid w:val="00E9032C"/>
    <w:pPr>
      <w:ind w:left="346"/>
    </w:pPr>
  </w:style>
  <w:style w:type="paragraph" w:customStyle="1" w:styleId="GHBullet2">
    <w:name w:val="GH_Bullet2"/>
    <w:basedOn w:val="GHBodytext"/>
    <w:rsid w:val="00E9032C"/>
    <w:pPr>
      <w:numPr>
        <w:numId w:val="27"/>
      </w:numPr>
      <w:contextualSpacing/>
    </w:pPr>
  </w:style>
  <w:style w:type="paragraph" w:customStyle="1" w:styleId="GHBullet2Indent">
    <w:name w:val="GH_Bullet2_Indent"/>
    <w:basedOn w:val="GHBodytext"/>
    <w:rsid w:val="00E9032C"/>
    <w:pPr>
      <w:ind w:left="518"/>
    </w:pPr>
  </w:style>
  <w:style w:type="paragraph" w:customStyle="1" w:styleId="GHBullet3">
    <w:name w:val="GH_Bullet3"/>
    <w:basedOn w:val="GHBodytext"/>
    <w:rsid w:val="00E9032C"/>
    <w:pPr>
      <w:numPr>
        <w:numId w:val="32"/>
      </w:numPr>
      <w:contextualSpacing/>
    </w:pPr>
  </w:style>
  <w:style w:type="paragraph" w:customStyle="1" w:styleId="GHBullet3Indent">
    <w:name w:val="GH_Bullet3_Indent"/>
    <w:basedOn w:val="GHBodytext"/>
    <w:rsid w:val="00E9032C"/>
    <w:pPr>
      <w:ind w:left="691"/>
    </w:pPr>
  </w:style>
  <w:style w:type="paragraph" w:customStyle="1" w:styleId="GHCoverLetterAddress">
    <w:name w:val="GH_Cover_Letter_Address"/>
    <w:basedOn w:val="GHBodytext"/>
    <w:next w:val="Normal"/>
    <w:rsid w:val="00E9032C"/>
    <w:pPr>
      <w:spacing w:after="0"/>
    </w:pPr>
  </w:style>
  <w:style w:type="paragraph" w:customStyle="1" w:styleId="GHCoverLetterDate">
    <w:name w:val="GH_Cover_Letter_Date"/>
    <w:basedOn w:val="GHBodytext"/>
    <w:next w:val="GHCoverLetterAddress"/>
    <w:rsid w:val="00E9032C"/>
    <w:pPr>
      <w:spacing w:after="720"/>
    </w:pPr>
  </w:style>
  <w:style w:type="paragraph" w:customStyle="1" w:styleId="GHCoverLetterSubjectLine">
    <w:name w:val="GH_Cover_Letter_Subject_Line"/>
    <w:basedOn w:val="GHBodytext"/>
    <w:next w:val="GHBodytext"/>
    <w:rsid w:val="00E9032C"/>
    <w:pPr>
      <w:spacing w:before="240" w:after="240"/>
      <w:ind w:left="1008" w:hanging="1008"/>
    </w:pPr>
    <w:rPr>
      <w:b/>
    </w:rPr>
  </w:style>
  <w:style w:type="paragraph" w:customStyle="1" w:styleId="GHFigureCaption">
    <w:name w:val="GH_Figure_Caption"/>
    <w:basedOn w:val="GHBodytext"/>
    <w:next w:val="GHBodytext"/>
    <w:rsid w:val="00E9032C"/>
    <w:pPr>
      <w:numPr>
        <w:numId w:val="33"/>
      </w:numPr>
      <w:tabs>
        <w:tab w:val="left" w:pos="-432"/>
      </w:tabs>
      <w:spacing w:before="60"/>
      <w:jc w:val="center"/>
    </w:pPr>
    <w:rPr>
      <w:b/>
    </w:rPr>
  </w:style>
  <w:style w:type="paragraph" w:customStyle="1" w:styleId="GHTablebody">
    <w:name w:val="GH_Tablebody"/>
    <w:basedOn w:val="GHBodytext"/>
    <w:rsid w:val="00E9032C"/>
    <w:pPr>
      <w:spacing w:after="0"/>
    </w:pPr>
    <w:rPr>
      <w:sz w:val="18"/>
    </w:rPr>
  </w:style>
  <w:style w:type="paragraph" w:customStyle="1" w:styleId="GHGraphic">
    <w:name w:val="GH_Graphic"/>
    <w:basedOn w:val="GHTablebody"/>
    <w:next w:val="GHFigureCaption"/>
    <w:rsid w:val="00E9032C"/>
    <w:pPr>
      <w:jc w:val="center"/>
    </w:pPr>
  </w:style>
  <w:style w:type="paragraph" w:customStyle="1" w:styleId="GHNumberLevel1">
    <w:name w:val="GH_NumberLevel_1"/>
    <w:basedOn w:val="GHBodytext"/>
    <w:rsid w:val="00E9032C"/>
    <w:pPr>
      <w:numPr>
        <w:numId w:val="35"/>
      </w:numPr>
      <w:contextualSpacing/>
    </w:pPr>
  </w:style>
  <w:style w:type="paragraph" w:customStyle="1" w:styleId="GHNumberLevel1Indent">
    <w:name w:val="GH_NumberLevel_1_Indent"/>
    <w:basedOn w:val="GHBodytext"/>
    <w:rsid w:val="00E9032C"/>
    <w:pPr>
      <w:ind w:left="461"/>
    </w:pPr>
  </w:style>
  <w:style w:type="paragraph" w:customStyle="1" w:styleId="GHNumberLevel2">
    <w:name w:val="GH_NumberLevel_2"/>
    <w:basedOn w:val="GHBodytext"/>
    <w:rsid w:val="00E9032C"/>
    <w:pPr>
      <w:numPr>
        <w:numId w:val="36"/>
      </w:numPr>
      <w:contextualSpacing/>
    </w:pPr>
  </w:style>
  <w:style w:type="paragraph" w:customStyle="1" w:styleId="GHNumberLevel2Indent">
    <w:name w:val="GH_NumberLevel_2_Indent"/>
    <w:basedOn w:val="GHBodytext"/>
    <w:rsid w:val="00E9032C"/>
    <w:pPr>
      <w:ind w:left="720"/>
    </w:pPr>
  </w:style>
  <w:style w:type="paragraph" w:customStyle="1" w:styleId="GHNumberLevel3">
    <w:name w:val="GH_NumberLevel_3"/>
    <w:basedOn w:val="GHBodytext"/>
    <w:rsid w:val="00E9032C"/>
    <w:pPr>
      <w:numPr>
        <w:numId w:val="37"/>
      </w:numPr>
      <w:contextualSpacing/>
    </w:pPr>
  </w:style>
  <w:style w:type="paragraph" w:customStyle="1" w:styleId="GHNumberLevel3Indent">
    <w:name w:val="GH_NumberLevel_3_Indent"/>
    <w:basedOn w:val="GHBodytext"/>
    <w:rsid w:val="00E9032C"/>
    <w:pPr>
      <w:ind w:left="1152"/>
    </w:pPr>
  </w:style>
  <w:style w:type="paragraph" w:customStyle="1" w:styleId="GHPPandResTablebody">
    <w:name w:val="GH_PP and Res_Tablebody"/>
    <w:basedOn w:val="GHBodytext"/>
    <w:rsid w:val="00E9032C"/>
    <w:pPr>
      <w:spacing w:after="0"/>
    </w:pPr>
  </w:style>
  <w:style w:type="paragraph" w:customStyle="1" w:styleId="GHPPandResTableBullet1">
    <w:name w:val="GH_PP and Res_TableBullet1"/>
    <w:basedOn w:val="GHPPandResTablebody"/>
    <w:rsid w:val="00E9032C"/>
    <w:pPr>
      <w:numPr>
        <w:numId w:val="25"/>
      </w:numPr>
    </w:pPr>
  </w:style>
  <w:style w:type="paragraph" w:customStyle="1" w:styleId="GHPPandResTableBullet1Indent">
    <w:name w:val="GH_PP and Res_TableBullet1_Indent"/>
    <w:basedOn w:val="GHPPandResTablebody"/>
    <w:rsid w:val="00E9032C"/>
    <w:pPr>
      <w:ind w:left="173"/>
    </w:pPr>
  </w:style>
  <w:style w:type="paragraph" w:customStyle="1" w:styleId="GHPPandResTableBullet2">
    <w:name w:val="GH_PP and Res_TableBullet2"/>
    <w:basedOn w:val="GHPPandResTablebody"/>
    <w:rsid w:val="00E9032C"/>
    <w:pPr>
      <w:numPr>
        <w:numId w:val="26"/>
      </w:numPr>
    </w:pPr>
  </w:style>
  <w:style w:type="paragraph" w:customStyle="1" w:styleId="GHPPandResTableBullet2Indent">
    <w:name w:val="GH_PP and Res_TableBullet2_Indent"/>
    <w:basedOn w:val="GHPPandResTablebody"/>
    <w:rsid w:val="00E9032C"/>
    <w:pPr>
      <w:ind w:left="346"/>
    </w:pPr>
  </w:style>
  <w:style w:type="paragraph" w:customStyle="1" w:styleId="GHPPandResTableBullet3">
    <w:name w:val="GH_PP and Res_TableBullet3"/>
    <w:basedOn w:val="GHPPandResTablebody"/>
    <w:rsid w:val="00E9032C"/>
    <w:pPr>
      <w:numPr>
        <w:numId w:val="28"/>
      </w:numPr>
    </w:pPr>
  </w:style>
  <w:style w:type="paragraph" w:customStyle="1" w:styleId="GHPPandResTableBullet3Indent">
    <w:name w:val="GH_PP and Res_TableBullet3_Indent"/>
    <w:basedOn w:val="GHPPandResTablebody"/>
    <w:rsid w:val="00E9032C"/>
    <w:pPr>
      <w:ind w:left="518"/>
    </w:pPr>
  </w:style>
  <w:style w:type="paragraph" w:customStyle="1" w:styleId="GHPPandResTableheader">
    <w:name w:val="GH_PP and Res_Tableheader"/>
    <w:basedOn w:val="GHPPandResTablebody"/>
    <w:rsid w:val="00E9032C"/>
    <w:rPr>
      <w:b/>
    </w:rPr>
  </w:style>
  <w:style w:type="paragraph" w:customStyle="1" w:styleId="GHPPandResTablenote">
    <w:name w:val="GH_PP and Res_Tablenote"/>
    <w:basedOn w:val="GHPPandResTablebody"/>
    <w:rsid w:val="00E9032C"/>
    <w:rPr>
      <w:i/>
    </w:rPr>
  </w:style>
  <w:style w:type="paragraph" w:customStyle="1" w:styleId="GHPPandResTableNumberLevel1">
    <w:name w:val="GH_PP and Res_TableNumberLevel_1"/>
    <w:basedOn w:val="GHPPandResTablebody"/>
    <w:rsid w:val="00E9032C"/>
    <w:pPr>
      <w:numPr>
        <w:numId w:val="29"/>
      </w:numPr>
    </w:pPr>
  </w:style>
  <w:style w:type="paragraph" w:customStyle="1" w:styleId="GHPPandResTableNumberLevel1Indent">
    <w:name w:val="GH_PP and Res_TableNumberLevel_1_Indent"/>
    <w:basedOn w:val="GHPPandResTablebody"/>
    <w:rsid w:val="00E9032C"/>
    <w:pPr>
      <w:ind w:left="288"/>
    </w:pPr>
  </w:style>
  <w:style w:type="paragraph" w:customStyle="1" w:styleId="GHPPandResTableNumberLevel2">
    <w:name w:val="GH_PP and Res_TableNumberLevel_2"/>
    <w:basedOn w:val="GHPPandResTablebody"/>
    <w:rsid w:val="00E9032C"/>
    <w:pPr>
      <w:numPr>
        <w:numId w:val="30"/>
      </w:numPr>
    </w:pPr>
  </w:style>
  <w:style w:type="paragraph" w:customStyle="1" w:styleId="GHPPandResTableNumberLevel2Indent">
    <w:name w:val="GH_PP and Res_TableNumberLevel_2_Indent"/>
    <w:basedOn w:val="GHPPandResTablebody"/>
    <w:rsid w:val="00E9032C"/>
    <w:pPr>
      <w:ind w:left="576"/>
    </w:pPr>
  </w:style>
  <w:style w:type="paragraph" w:customStyle="1" w:styleId="GHPPandResTableNumberLevel3">
    <w:name w:val="GH_PP and Res_TableNumberLevel_3"/>
    <w:basedOn w:val="GHPPandResTablebody"/>
    <w:rsid w:val="00E9032C"/>
    <w:pPr>
      <w:numPr>
        <w:numId w:val="31"/>
      </w:numPr>
    </w:pPr>
  </w:style>
  <w:style w:type="paragraph" w:customStyle="1" w:styleId="GHPPandResTableNumberLevel3Indent">
    <w:name w:val="GH_PP and Res_TableNumberLevel_3_Indent"/>
    <w:basedOn w:val="GHPPandResTablebody"/>
    <w:rsid w:val="00E9032C"/>
    <w:pPr>
      <w:ind w:left="792"/>
    </w:pPr>
  </w:style>
  <w:style w:type="paragraph" w:customStyle="1" w:styleId="GHPPandResTablesideheading">
    <w:name w:val="GH_PP and Res_Tablesideheading"/>
    <w:basedOn w:val="GHPPandResTablebody"/>
    <w:rsid w:val="00E9032C"/>
    <w:rPr>
      <w:b/>
    </w:rPr>
  </w:style>
  <w:style w:type="paragraph" w:customStyle="1" w:styleId="GHPPandResTablesubheader">
    <w:name w:val="GH_PP and Res_Tablesubheader"/>
    <w:basedOn w:val="GHPPandResTableheader"/>
    <w:rsid w:val="00E9032C"/>
  </w:style>
  <w:style w:type="paragraph" w:customStyle="1" w:styleId="GHTableBullet1">
    <w:name w:val="GH_TableBullet1"/>
    <w:basedOn w:val="GHTablebody"/>
    <w:rsid w:val="00E9032C"/>
    <w:pPr>
      <w:numPr>
        <w:numId w:val="19"/>
      </w:numPr>
    </w:pPr>
  </w:style>
  <w:style w:type="paragraph" w:customStyle="1" w:styleId="GHTableBullet1Indent">
    <w:name w:val="GH_TableBullet1_Indent"/>
    <w:basedOn w:val="GHTablebody"/>
    <w:rsid w:val="00E9032C"/>
    <w:pPr>
      <w:ind w:left="173"/>
    </w:pPr>
  </w:style>
  <w:style w:type="paragraph" w:customStyle="1" w:styleId="GHTableBullet2">
    <w:name w:val="GH_TableBullet2"/>
    <w:basedOn w:val="GHTablebody"/>
    <w:rsid w:val="00E9032C"/>
    <w:pPr>
      <w:numPr>
        <w:numId w:val="20"/>
      </w:numPr>
    </w:pPr>
  </w:style>
  <w:style w:type="paragraph" w:customStyle="1" w:styleId="GHTableBullet2Indent">
    <w:name w:val="GH_TableBullet2_Indent"/>
    <w:basedOn w:val="GHTablebody"/>
    <w:rsid w:val="00E9032C"/>
    <w:pPr>
      <w:ind w:left="346"/>
    </w:pPr>
  </w:style>
  <w:style w:type="paragraph" w:customStyle="1" w:styleId="GHTableBullet3">
    <w:name w:val="GH_TableBullet3"/>
    <w:basedOn w:val="GHTablebody"/>
    <w:rsid w:val="00E9032C"/>
    <w:pPr>
      <w:numPr>
        <w:numId w:val="21"/>
      </w:numPr>
    </w:pPr>
  </w:style>
  <w:style w:type="paragraph" w:customStyle="1" w:styleId="GHTableBullet3Indent">
    <w:name w:val="GH_TableBullet3_Indent"/>
    <w:basedOn w:val="GHTablebody"/>
    <w:rsid w:val="00E9032C"/>
    <w:pPr>
      <w:ind w:left="518"/>
    </w:pPr>
  </w:style>
  <w:style w:type="paragraph" w:customStyle="1" w:styleId="GHTableheader">
    <w:name w:val="GH_Tableheader"/>
    <w:basedOn w:val="GHTablebody"/>
    <w:rsid w:val="00E9032C"/>
    <w:rPr>
      <w:b/>
    </w:rPr>
  </w:style>
  <w:style w:type="paragraph" w:customStyle="1" w:styleId="GHTablenote">
    <w:name w:val="GH_Tablenote"/>
    <w:basedOn w:val="GHTablebody"/>
    <w:rsid w:val="00E9032C"/>
    <w:rPr>
      <w:i/>
    </w:rPr>
  </w:style>
  <w:style w:type="paragraph" w:customStyle="1" w:styleId="GHTableNumberLevel1">
    <w:name w:val="GH_TableNumberLevel_1"/>
    <w:basedOn w:val="GHTablebody"/>
    <w:rsid w:val="00E9032C"/>
    <w:pPr>
      <w:numPr>
        <w:numId w:val="22"/>
      </w:numPr>
    </w:pPr>
  </w:style>
  <w:style w:type="paragraph" w:customStyle="1" w:styleId="GHTableNumberLevel1Indent">
    <w:name w:val="GH_TableNumberLevel_1_Indent"/>
    <w:basedOn w:val="GHTablebody"/>
    <w:rsid w:val="00E9032C"/>
    <w:pPr>
      <w:ind w:left="288"/>
    </w:pPr>
  </w:style>
  <w:style w:type="paragraph" w:customStyle="1" w:styleId="GHTableNumberLevel2">
    <w:name w:val="GH_TableNumberLevel_2"/>
    <w:basedOn w:val="GHTablebody"/>
    <w:rsid w:val="00E9032C"/>
    <w:pPr>
      <w:numPr>
        <w:numId w:val="23"/>
      </w:numPr>
    </w:pPr>
  </w:style>
  <w:style w:type="paragraph" w:customStyle="1" w:styleId="GHTableNumberLevel2Indent">
    <w:name w:val="GH_TableNumberLevel_2_Indent"/>
    <w:basedOn w:val="GHTablebody"/>
    <w:rsid w:val="00E9032C"/>
    <w:pPr>
      <w:ind w:left="576"/>
    </w:pPr>
  </w:style>
  <w:style w:type="paragraph" w:customStyle="1" w:styleId="GHTableNumberLevel3">
    <w:name w:val="GH_TableNumberLevel_3"/>
    <w:basedOn w:val="GHTablebody"/>
    <w:rsid w:val="00E9032C"/>
    <w:pPr>
      <w:numPr>
        <w:numId w:val="24"/>
      </w:numPr>
    </w:pPr>
  </w:style>
  <w:style w:type="paragraph" w:customStyle="1" w:styleId="GHTableNumberLevel3Indent">
    <w:name w:val="GH_TableNumberLevel_3_Indent"/>
    <w:basedOn w:val="GHTablebody"/>
    <w:rsid w:val="00E9032C"/>
    <w:pPr>
      <w:ind w:left="792"/>
    </w:pPr>
  </w:style>
  <w:style w:type="paragraph" w:customStyle="1" w:styleId="GHTablesideheading">
    <w:name w:val="GH_Tablesideheading"/>
    <w:basedOn w:val="GHTablebody"/>
    <w:rsid w:val="00E9032C"/>
    <w:rPr>
      <w:b/>
    </w:rPr>
  </w:style>
  <w:style w:type="paragraph" w:customStyle="1" w:styleId="GHTablesubheader">
    <w:name w:val="GH_Tablesubheader"/>
    <w:basedOn w:val="GHTableheader"/>
    <w:rsid w:val="00E9032C"/>
  </w:style>
  <w:style w:type="paragraph" w:customStyle="1" w:styleId="GHTOC">
    <w:name w:val="GH_TOC"/>
    <w:basedOn w:val="Heading10"/>
    <w:rsid w:val="00E9032C"/>
  </w:style>
  <w:style w:type="table" w:styleId="GridTable4">
    <w:name w:val="Grid Table 4"/>
    <w:basedOn w:val="TableNormal"/>
    <w:uiPriority w:val="49"/>
    <w:rsid w:val="00E9032C"/>
    <w:rPr>
      <w:rFonts w:ascii="MS Gothic" w:eastAsia="Consolas" w:hAnsi="MS Gothic" w:cs="Consola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Heading1">
    <w:name w:val="Heading1"/>
    <w:link w:val="Heading1Char0"/>
    <w:qFormat/>
    <w:rsid w:val="00E9032C"/>
    <w:pPr>
      <w:numPr>
        <w:numId w:val="17"/>
      </w:numPr>
      <w:autoSpaceDN w:val="0"/>
    </w:pPr>
    <w:rPr>
      <w:rFonts w:ascii="Arial" w:hAnsi="Arial"/>
      <w:sz w:val="32"/>
      <w:szCs w:val="24"/>
    </w:rPr>
  </w:style>
  <w:style w:type="character" w:customStyle="1" w:styleId="Heading1Char0">
    <w:name w:val="Heading1 Char"/>
    <w:basedOn w:val="DefaultParagraphFont"/>
    <w:link w:val="Heading1"/>
    <w:rsid w:val="00E9032C"/>
    <w:rPr>
      <w:rFonts w:ascii="Arial" w:hAnsi="Arial"/>
      <w:sz w:val="32"/>
      <w:szCs w:val="24"/>
    </w:rPr>
  </w:style>
  <w:style w:type="numbering" w:customStyle="1" w:styleId="LFO1">
    <w:name w:val="LFO1"/>
    <w:basedOn w:val="NoList"/>
    <w:rsid w:val="00E9032C"/>
    <w:pPr>
      <w:numPr>
        <w:numId w:val="18"/>
      </w:numPr>
    </w:pPr>
  </w:style>
  <w:style w:type="numbering" w:customStyle="1" w:styleId="LFO10">
    <w:name w:val="LFO10"/>
    <w:basedOn w:val="NoList"/>
    <w:rsid w:val="00E9032C"/>
    <w:pPr>
      <w:numPr>
        <w:numId w:val="19"/>
      </w:numPr>
    </w:pPr>
  </w:style>
  <w:style w:type="numbering" w:customStyle="1" w:styleId="LFO11">
    <w:name w:val="LFO11"/>
    <w:basedOn w:val="NoList"/>
    <w:rsid w:val="00E9032C"/>
    <w:pPr>
      <w:numPr>
        <w:numId w:val="20"/>
      </w:numPr>
    </w:pPr>
  </w:style>
  <w:style w:type="numbering" w:customStyle="1" w:styleId="LFO12">
    <w:name w:val="LFO12"/>
    <w:basedOn w:val="NoList"/>
    <w:rsid w:val="00E9032C"/>
    <w:pPr>
      <w:numPr>
        <w:numId w:val="21"/>
      </w:numPr>
    </w:pPr>
  </w:style>
  <w:style w:type="numbering" w:customStyle="1" w:styleId="LFO13">
    <w:name w:val="LFO13"/>
    <w:basedOn w:val="NoList"/>
    <w:rsid w:val="00E9032C"/>
    <w:pPr>
      <w:numPr>
        <w:numId w:val="22"/>
      </w:numPr>
    </w:pPr>
  </w:style>
  <w:style w:type="numbering" w:customStyle="1" w:styleId="LFO14">
    <w:name w:val="LFO14"/>
    <w:basedOn w:val="NoList"/>
    <w:rsid w:val="00E9032C"/>
    <w:pPr>
      <w:numPr>
        <w:numId w:val="23"/>
      </w:numPr>
    </w:pPr>
  </w:style>
  <w:style w:type="numbering" w:customStyle="1" w:styleId="LFO15">
    <w:name w:val="LFO15"/>
    <w:basedOn w:val="NoList"/>
    <w:rsid w:val="00E9032C"/>
    <w:pPr>
      <w:numPr>
        <w:numId w:val="24"/>
      </w:numPr>
    </w:pPr>
  </w:style>
  <w:style w:type="numbering" w:customStyle="1" w:styleId="LFO16">
    <w:name w:val="LFO16"/>
    <w:basedOn w:val="NoList"/>
    <w:rsid w:val="00E9032C"/>
    <w:pPr>
      <w:numPr>
        <w:numId w:val="25"/>
      </w:numPr>
    </w:pPr>
  </w:style>
  <w:style w:type="numbering" w:customStyle="1" w:styleId="LFO18">
    <w:name w:val="LFO18"/>
    <w:basedOn w:val="NoList"/>
    <w:rsid w:val="00E9032C"/>
    <w:pPr>
      <w:numPr>
        <w:numId w:val="26"/>
      </w:numPr>
    </w:pPr>
  </w:style>
  <w:style w:type="numbering" w:customStyle="1" w:styleId="LFO2">
    <w:name w:val="LFO2"/>
    <w:basedOn w:val="NoList"/>
    <w:rsid w:val="00E9032C"/>
    <w:pPr>
      <w:numPr>
        <w:numId w:val="27"/>
      </w:numPr>
    </w:pPr>
  </w:style>
  <w:style w:type="numbering" w:customStyle="1" w:styleId="LFO20">
    <w:name w:val="LFO20"/>
    <w:basedOn w:val="NoList"/>
    <w:rsid w:val="00E9032C"/>
    <w:pPr>
      <w:numPr>
        <w:numId w:val="28"/>
      </w:numPr>
    </w:pPr>
  </w:style>
  <w:style w:type="numbering" w:customStyle="1" w:styleId="LFO21">
    <w:name w:val="LFO21"/>
    <w:basedOn w:val="NoList"/>
    <w:rsid w:val="00E9032C"/>
    <w:pPr>
      <w:numPr>
        <w:numId w:val="29"/>
      </w:numPr>
    </w:pPr>
  </w:style>
  <w:style w:type="numbering" w:customStyle="1" w:styleId="LFO22">
    <w:name w:val="LFO22"/>
    <w:basedOn w:val="NoList"/>
    <w:rsid w:val="00E9032C"/>
    <w:pPr>
      <w:numPr>
        <w:numId w:val="30"/>
      </w:numPr>
    </w:pPr>
  </w:style>
  <w:style w:type="numbering" w:customStyle="1" w:styleId="LFO24">
    <w:name w:val="LFO24"/>
    <w:basedOn w:val="NoList"/>
    <w:rsid w:val="00E9032C"/>
    <w:pPr>
      <w:numPr>
        <w:numId w:val="31"/>
      </w:numPr>
    </w:pPr>
  </w:style>
  <w:style w:type="numbering" w:customStyle="1" w:styleId="LFO3">
    <w:name w:val="LFO3"/>
    <w:basedOn w:val="NoList"/>
    <w:rsid w:val="00E9032C"/>
    <w:pPr>
      <w:numPr>
        <w:numId w:val="32"/>
      </w:numPr>
    </w:pPr>
  </w:style>
  <w:style w:type="numbering" w:customStyle="1" w:styleId="LFO5">
    <w:name w:val="LFO5"/>
    <w:basedOn w:val="NoList"/>
    <w:rsid w:val="00E9032C"/>
    <w:pPr>
      <w:numPr>
        <w:numId w:val="33"/>
      </w:numPr>
    </w:pPr>
  </w:style>
  <w:style w:type="numbering" w:customStyle="1" w:styleId="LFO6">
    <w:name w:val="LFO6"/>
    <w:basedOn w:val="NoList"/>
    <w:rsid w:val="00E9032C"/>
    <w:pPr>
      <w:numPr>
        <w:numId w:val="34"/>
      </w:numPr>
    </w:pPr>
  </w:style>
  <w:style w:type="numbering" w:customStyle="1" w:styleId="LFO7">
    <w:name w:val="LFO7"/>
    <w:basedOn w:val="NoList"/>
    <w:rsid w:val="00E9032C"/>
    <w:pPr>
      <w:numPr>
        <w:numId w:val="35"/>
      </w:numPr>
    </w:pPr>
  </w:style>
  <w:style w:type="numbering" w:customStyle="1" w:styleId="LFO8">
    <w:name w:val="LFO8"/>
    <w:basedOn w:val="NoList"/>
    <w:rsid w:val="00E9032C"/>
    <w:pPr>
      <w:numPr>
        <w:numId w:val="36"/>
      </w:numPr>
    </w:pPr>
  </w:style>
  <w:style w:type="numbering" w:customStyle="1" w:styleId="LFO9">
    <w:name w:val="LFO9"/>
    <w:basedOn w:val="NoList"/>
    <w:rsid w:val="00E9032C"/>
    <w:pPr>
      <w:numPr>
        <w:numId w:val="37"/>
      </w:numPr>
    </w:pPr>
  </w:style>
  <w:style w:type="table" w:styleId="ListTable2">
    <w:name w:val="List Table 2"/>
    <w:basedOn w:val="TableNormal"/>
    <w:uiPriority w:val="47"/>
    <w:rsid w:val="00E9032C"/>
    <w:rPr>
      <w:rFonts w:ascii="MS Gothic" w:eastAsia="Consolas" w:hAnsi="MS Gothic" w:cs="Consola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E9032C"/>
    <w:rPr>
      <w:rFonts w:ascii="MS Gothic" w:eastAsia="Consolas" w:hAnsi="MS Gothic" w:cs="Consola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
    <w:name w:val="List Table 4"/>
    <w:basedOn w:val="TableNormal"/>
    <w:uiPriority w:val="49"/>
    <w:rsid w:val="00E9032C"/>
    <w:rPr>
      <w:rFonts w:ascii="MS Gothic" w:eastAsia="Consolas" w:hAnsi="MS Gothic" w:cs="Consola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Apx">
    <w:name w:val="Table_Apx"/>
    <w:basedOn w:val="Caption"/>
    <w:link w:val="TableApxChar"/>
    <w:qFormat/>
    <w:rsid w:val="00E9032C"/>
  </w:style>
  <w:style w:type="character" w:customStyle="1" w:styleId="TableApxChar">
    <w:name w:val="Table_Apx Char"/>
    <w:basedOn w:val="CaptionChar"/>
    <w:link w:val="TableApx"/>
    <w:rsid w:val="00E9032C"/>
    <w:rPr>
      <w:rFonts w:ascii="Arial" w:hAnsi="Arial" w:cs="Arial"/>
      <w:b/>
      <w:bCs/>
      <w:sz w:val="22"/>
    </w:rPr>
  </w:style>
  <w:style w:type="paragraph" w:customStyle="1" w:styleId="TermsandConditions">
    <w:name w:val="Terms and Conditions"/>
    <w:basedOn w:val="GHBodytext"/>
    <w:rsid w:val="00E9032C"/>
    <w:pPr>
      <w:pageBreakBefore/>
    </w:pPr>
    <w:rPr>
      <w:color w:val="FF0000"/>
      <w:sz w:val="36"/>
    </w:rPr>
  </w:style>
  <w:style w:type="paragraph" w:customStyle="1" w:styleId="WPDate">
    <w:name w:val="WP Date"/>
    <w:basedOn w:val="AgencyTitle"/>
    <w:rsid w:val="00E9032C"/>
    <w:rPr>
      <w:sz w:val="32"/>
    </w:rPr>
  </w:style>
  <w:style w:type="paragraph" w:customStyle="1" w:styleId="WPSub-Title">
    <w:name w:val="WP Sub-Title"/>
    <w:basedOn w:val="AgencyTitle"/>
    <w:rsid w:val="00E9032C"/>
    <w:rPr>
      <w:sz w:val="32"/>
    </w:rPr>
  </w:style>
  <w:style w:type="paragraph" w:customStyle="1" w:styleId="WPTitle">
    <w:name w:val="WP Title"/>
    <w:basedOn w:val="AgencyTitle"/>
    <w:rsid w:val="00E9032C"/>
    <w:pPr>
      <w:spacing w:after="240"/>
    </w:pPr>
    <w:rPr>
      <w:b/>
      <w:sz w:val="44"/>
    </w:rPr>
  </w:style>
  <w:style w:type="paragraph" w:customStyle="1" w:styleId="WPVersion">
    <w:name w:val="WP Version"/>
    <w:basedOn w:val="AgencyTitle"/>
    <w:rsid w:val="00E9032C"/>
    <w:pPr>
      <w:spacing w:after="240"/>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7377">
      <w:bodyDiv w:val="1"/>
      <w:marLeft w:val="0"/>
      <w:marRight w:val="0"/>
      <w:marTop w:val="0"/>
      <w:marBottom w:val="0"/>
      <w:divBdr>
        <w:top w:val="none" w:sz="0" w:space="0" w:color="auto"/>
        <w:left w:val="none" w:sz="0" w:space="0" w:color="auto"/>
        <w:bottom w:val="none" w:sz="0" w:space="0" w:color="auto"/>
        <w:right w:val="none" w:sz="0" w:space="0" w:color="auto"/>
      </w:divBdr>
      <w:divsChild>
        <w:div w:id="484393440">
          <w:marLeft w:val="0"/>
          <w:marRight w:val="0"/>
          <w:marTop w:val="0"/>
          <w:marBottom w:val="0"/>
          <w:divBdr>
            <w:top w:val="none" w:sz="0" w:space="0" w:color="auto"/>
            <w:left w:val="none" w:sz="0" w:space="0" w:color="auto"/>
            <w:bottom w:val="none" w:sz="0" w:space="0" w:color="auto"/>
            <w:right w:val="none" w:sz="0" w:space="0" w:color="auto"/>
          </w:divBdr>
          <w:divsChild>
            <w:div w:id="327445826">
              <w:marLeft w:val="0"/>
              <w:marRight w:val="0"/>
              <w:marTop w:val="0"/>
              <w:marBottom w:val="0"/>
              <w:divBdr>
                <w:top w:val="none" w:sz="0" w:space="0" w:color="auto"/>
                <w:left w:val="none" w:sz="0" w:space="0" w:color="auto"/>
                <w:bottom w:val="none" w:sz="0" w:space="0" w:color="auto"/>
                <w:right w:val="none" w:sz="0" w:space="0" w:color="auto"/>
              </w:divBdr>
            </w:div>
          </w:divsChild>
        </w:div>
        <w:div w:id="98185911">
          <w:marLeft w:val="0"/>
          <w:marRight w:val="0"/>
          <w:marTop w:val="0"/>
          <w:marBottom w:val="0"/>
          <w:divBdr>
            <w:top w:val="none" w:sz="0" w:space="0" w:color="auto"/>
            <w:left w:val="none" w:sz="0" w:space="0" w:color="auto"/>
            <w:bottom w:val="none" w:sz="0" w:space="0" w:color="auto"/>
            <w:right w:val="none" w:sz="0" w:space="0" w:color="auto"/>
          </w:divBdr>
          <w:divsChild>
            <w:div w:id="1178807636">
              <w:marLeft w:val="0"/>
              <w:marRight w:val="0"/>
              <w:marTop w:val="0"/>
              <w:marBottom w:val="0"/>
              <w:divBdr>
                <w:top w:val="none" w:sz="0" w:space="0" w:color="auto"/>
                <w:left w:val="none" w:sz="0" w:space="0" w:color="auto"/>
                <w:bottom w:val="none" w:sz="0" w:space="0" w:color="auto"/>
                <w:right w:val="none" w:sz="0" w:space="0" w:color="auto"/>
              </w:divBdr>
            </w:div>
          </w:divsChild>
        </w:div>
        <w:div w:id="195509246">
          <w:marLeft w:val="0"/>
          <w:marRight w:val="0"/>
          <w:marTop w:val="0"/>
          <w:marBottom w:val="0"/>
          <w:divBdr>
            <w:top w:val="none" w:sz="0" w:space="0" w:color="auto"/>
            <w:left w:val="none" w:sz="0" w:space="0" w:color="auto"/>
            <w:bottom w:val="none" w:sz="0" w:space="0" w:color="auto"/>
            <w:right w:val="none" w:sz="0" w:space="0" w:color="auto"/>
          </w:divBdr>
          <w:divsChild>
            <w:div w:id="688338107">
              <w:marLeft w:val="0"/>
              <w:marRight w:val="0"/>
              <w:marTop w:val="0"/>
              <w:marBottom w:val="0"/>
              <w:divBdr>
                <w:top w:val="none" w:sz="0" w:space="0" w:color="auto"/>
                <w:left w:val="none" w:sz="0" w:space="0" w:color="auto"/>
                <w:bottom w:val="none" w:sz="0" w:space="0" w:color="auto"/>
                <w:right w:val="none" w:sz="0" w:space="0" w:color="auto"/>
              </w:divBdr>
            </w:div>
          </w:divsChild>
        </w:div>
        <w:div w:id="410542954">
          <w:marLeft w:val="0"/>
          <w:marRight w:val="0"/>
          <w:marTop w:val="0"/>
          <w:marBottom w:val="0"/>
          <w:divBdr>
            <w:top w:val="none" w:sz="0" w:space="0" w:color="auto"/>
            <w:left w:val="none" w:sz="0" w:space="0" w:color="auto"/>
            <w:bottom w:val="none" w:sz="0" w:space="0" w:color="auto"/>
            <w:right w:val="none" w:sz="0" w:space="0" w:color="auto"/>
          </w:divBdr>
          <w:divsChild>
            <w:div w:id="272252756">
              <w:marLeft w:val="0"/>
              <w:marRight w:val="0"/>
              <w:marTop w:val="0"/>
              <w:marBottom w:val="0"/>
              <w:divBdr>
                <w:top w:val="none" w:sz="0" w:space="0" w:color="auto"/>
                <w:left w:val="none" w:sz="0" w:space="0" w:color="auto"/>
                <w:bottom w:val="none" w:sz="0" w:space="0" w:color="auto"/>
                <w:right w:val="none" w:sz="0" w:space="0" w:color="auto"/>
              </w:divBdr>
            </w:div>
          </w:divsChild>
        </w:div>
        <w:div w:id="1566602738">
          <w:marLeft w:val="0"/>
          <w:marRight w:val="0"/>
          <w:marTop w:val="0"/>
          <w:marBottom w:val="0"/>
          <w:divBdr>
            <w:top w:val="none" w:sz="0" w:space="0" w:color="auto"/>
            <w:left w:val="none" w:sz="0" w:space="0" w:color="auto"/>
            <w:bottom w:val="none" w:sz="0" w:space="0" w:color="auto"/>
            <w:right w:val="none" w:sz="0" w:space="0" w:color="auto"/>
          </w:divBdr>
          <w:divsChild>
            <w:div w:id="151725481">
              <w:marLeft w:val="0"/>
              <w:marRight w:val="0"/>
              <w:marTop w:val="0"/>
              <w:marBottom w:val="0"/>
              <w:divBdr>
                <w:top w:val="none" w:sz="0" w:space="0" w:color="auto"/>
                <w:left w:val="none" w:sz="0" w:space="0" w:color="auto"/>
                <w:bottom w:val="none" w:sz="0" w:space="0" w:color="auto"/>
                <w:right w:val="none" w:sz="0" w:space="0" w:color="auto"/>
              </w:divBdr>
            </w:div>
          </w:divsChild>
        </w:div>
        <w:div w:id="248929954">
          <w:marLeft w:val="0"/>
          <w:marRight w:val="0"/>
          <w:marTop w:val="0"/>
          <w:marBottom w:val="0"/>
          <w:divBdr>
            <w:top w:val="none" w:sz="0" w:space="0" w:color="auto"/>
            <w:left w:val="none" w:sz="0" w:space="0" w:color="auto"/>
            <w:bottom w:val="none" w:sz="0" w:space="0" w:color="auto"/>
            <w:right w:val="none" w:sz="0" w:space="0" w:color="auto"/>
          </w:divBdr>
          <w:divsChild>
            <w:div w:id="41642562">
              <w:marLeft w:val="0"/>
              <w:marRight w:val="0"/>
              <w:marTop w:val="0"/>
              <w:marBottom w:val="0"/>
              <w:divBdr>
                <w:top w:val="none" w:sz="0" w:space="0" w:color="auto"/>
                <w:left w:val="none" w:sz="0" w:space="0" w:color="auto"/>
                <w:bottom w:val="none" w:sz="0" w:space="0" w:color="auto"/>
                <w:right w:val="none" w:sz="0" w:space="0" w:color="auto"/>
              </w:divBdr>
            </w:div>
          </w:divsChild>
        </w:div>
        <w:div w:id="489564247">
          <w:marLeft w:val="0"/>
          <w:marRight w:val="0"/>
          <w:marTop w:val="0"/>
          <w:marBottom w:val="0"/>
          <w:divBdr>
            <w:top w:val="none" w:sz="0" w:space="0" w:color="auto"/>
            <w:left w:val="none" w:sz="0" w:space="0" w:color="auto"/>
            <w:bottom w:val="none" w:sz="0" w:space="0" w:color="auto"/>
            <w:right w:val="none" w:sz="0" w:space="0" w:color="auto"/>
          </w:divBdr>
          <w:divsChild>
            <w:div w:id="249512612">
              <w:marLeft w:val="0"/>
              <w:marRight w:val="0"/>
              <w:marTop w:val="0"/>
              <w:marBottom w:val="0"/>
              <w:divBdr>
                <w:top w:val="none" w:sz="0" w:space="0" w:color="auto"/>
                <w:left w:val="none" w:sz="0" w:space="0" w:color="auto"/>
                <w:bottom w:val="none" w:sz="0" w:space="0" w:color="auto"/>
                <w:right w:val="none" w:sz="0" w:space="0" w:color="auto"/>
              </w:divBdr>
            </w:div>
          </w:divsChild>
        </w:div>
        <w:div w:id="1647736941">
          <w:marLeft w:val="0"/>
          <w:marRight w:val="0"/>
          <w:marTop w:val="0"/>
          <w:marBottom w:val="0"/>
          <w:divBdr>
            <w:top w:val="none" w:sz="0" w:space="0" w:color="auto"/>
            <w:left w:val="none" w:sz="0" w:space="0" w:color="auto"/>
            <w:bottom w:val="none" w:sz="0" w:space="0" w:color="auto"/>
            <w:right w:val="none" w:sz="0" w:space="0" w:color="auto"/>
          </w:divBdr>
          <w:divsChild>
            <w:div w:id="642655731">
              <w:marLeft w:val="0"/>
              <w:marRight w:val="0"/>
              <w:marTop w:val="0"/>
              <w:marBottom w:val="0"/>
              <w:divBdr>
                <w:top w:val="none" w:sz="0" w:space="0" w:color="auto"/>
                <w:left w:val="none" w:sz="0" w:space="0" w:color="auto"/>
                <w:bottom w:val="none" w:sz="0" w:space="0" w:color="auto"/>
                <w:right w:val="none" w:sz="0" w:space="0" w:color="auto"/>
              </w:divBdr>
            </w:div>
            <w:div w:id="1995454843">
              <w:marLeft w:val="0"/>
              <w:marRight w:val="0"/>
              <w:marTop w:val="0"/>
              <w:marBottom w:val="0"/>
              <w:divBdr>
                <w:top w:val="none" w:sz="0" w:space="0" w:color="auto"/>
                <w:left w:val="none" w:sz="0" w:space="0" w:color="auto"/>
                <w:bottom w:val="none" w:sz="0" w:space="0" w:color="auto"/>
                <w:right w:val="none" w:sz="0" w:space="0" w:color="auto"/>
              </w:divBdr>
            </w:div>
            <w:div w:id="1253473822">
              <w:marLeft w:val="0"/>
              <w:marRight w:val="0"/>
              <w:marTop w:val="0"/>
              <w:marBottom w:val="0"/>
              <w:divBdr>
                <w:top w:val="none" w:sz="0" w:space="0" w:color="auto"/>
                <w:left w:val="none" w:sz="0" w:space="0" w:color="auto"/>
                <w:bottom w:val="none" w:sz="0" w:space="0" w:color="auto"/>
                <w:right w:val="none" w:sz="0" w:space="0" w:color="auto"/>
              </w:divBdr>
            </w:div>
          </w:divsChild>
        </w:div>
        <w:div w:id="1821650012">
          <w:marLeft w:val="0"/>
          <w:marRight w:val="0"/>
          <w:marTop w:val="0"/>
          <w:marBottom w:val="0"/>
          <w:divBdr>
            <w:top w:val="none" w:sz="0" w:space="0" w:color="auto"/>
            <w:left w:val="none" w:sz="0" w:space="0" w:color="auto"/>
            <w:bottom w:val="none" w:sz="0" w:space="0" w:color="auto"/>
            <w:right w:val="none" w:sz="0" w:space="0" w:color="auto"/>
          </w:divBdr>
          <w:divsChild>
            <w:div w:id="172913825">
              <w:marLeft w:val="0"/>
              <w:marRight w:val="0"/>
              <w:marTop w:val="0"/>
              <w:marBottom w:val="0"/>
              <w:divBdr>
                <w:top w:val="none" w:sz="0" w:space="0" w:color="auto"/>
                <w:left w:val="none" w:sz="0" w:space="0" w:color="auto"/>
                <w:bottom w:val="none" w:sz="0" w:space="0" w:color="auto"/>
                <w:right w:val="none" w:sz="0" w:space="0" w:color="auto"/>
              </w:divBdr>
            </w:div>
          </w:divsChild>
        </w:div>
        <w:div w:id="25524748">
          <w:marLeft w:val="0"/>
          <w:marRight w:val="0"/>
          <w:marTop w:val="0"/>
          <w:marBottom w:val="0"/>
          <w:divBdr>
            <w:top w:val="none" w:sz="0" w:space="0" w:color="auto"/>
            <w:left w:val="none" w:sz="0" w:space="0" w:color="auto"/>
            <w:bottom w:val="none" w:sz="0" w:space="0" w:color="auto"/>
            <w:right w:val="none" w:sz="0" w:space="0" w:color="auto"/>
          </w:divBdr>
          <w:divsChild>
            <w:div w:id="1674457748">
              <w:marLeft w:val="0"/>
              <w:marRight w:val="0"/>
              <w:marTop w:val="0"/>
              <w:marBottom w:val="0"/>
              <w:divBdr>
                <w:top w:val="none" w:sz="0" w:space="0" w:color="auto"/>
                <w:left w:val="none" w:sz="0" w:space="0" w:color="auto"/>
                <w:bottom w:val="none" w:sz="0" w:space="0" w:color="auto"/>
                <w:right w:val="none" w:sz="0" w:space="0" w:color="auto"/>
              </w:divBdr>
            </w:div>
          </w:divsChild>
        </w:div>
        <w:div w:id="2027752401">
          <w:marLeft w:val="0"/>
          <w:marRight w:val="0"/>
          <w:marTop w:val="0"/>
          <w:marBottom w:val="0"/>
          <w:divBdr>
            <w:top w:val="none" w:sz="0" w:space="0" w:color="auto"/>
            <w:left w:val="none" w:sz="0" w:space="0" w:color="auto"/>
            <w:bottom w:val="none" w:sz="0" w:space="0" w:color="auto"/>
            <w:right w:val="none" w:sz="0" w:space="0" w:color="auto"/>
          </w:divBdr>
          <w:divsChild>
            <w:div w:id="1497958022">
              <w:marLeft w:val="0"/>
              <w:marRight w:val="0"/>
              <w:marTop w:val="0"/>
              <w:marBottom w:val="0"/>
              <w:divBdr>
                <w:top w:val="none" w:sz="0" w:space="0" w:color="auto"/>
                <w:left w:val="none" w:sz="0" w:space="0" w:color="auto"/>
                <w:bottom w:val="none" w:sz="0" w:space="0" w:color="auto"/>
                <w:right w:val="none" w:sz="0" w:space="0" w:color="auto"/>
              </w:divBdr>
            </w:div>
            <w:div w:id="1140684992">
              <w:marLeft w:val="0"/>
              <w:marRight w:val="0"/>
              <w:marTop w:val="0"/>
              <w:marBottom w:val="0"/>
              <w:divBdr>
                <w:top w:val="none" w:sz="0" w:space="0" w:color="auto"/>
                <w:left w:val="none" w:sz="0" w:space="0" w:color="auto"/>
                <w:bottom w:val="none" w:sz="0" w:space="0" w:color="auto"/>
                <w:right w:val="none" w:sz="0" w:space="0" w:color="auto"/>
              </w:divBdr>
            </w:div>
          </w:divsChild>
        </w:div>
        <w:div w:id="1514490667">
          <w:marLeft w:val="0"/>
          <w:marRight w:val="0"/>
          <w:marTop w:val="0"/>
          <w:marBottom w:val="0"/>
          <w:divBdr>
            <w:top w:val="none" w:sz="0" w:space="0" w:color="auto"/>
            <w:left w:val="none" w:sz="0" w:space="0" w:color="auto"/>
            <w:bottom w:val="none" w:sz="0" w:space="0" w:color="auto"/>
            <w:right w:val="none" w:sz="0" w:space="0" w:color="auto"/>
          </w:divBdr>
          <w:divsChild>
            <w:div w:id="1484203580">
              <w:marLeft w:val="0"/>
              <w:marRight w:val="0"/>
              <w:marTop w:val="0"/>
              <w:marBottom w:val="0"/>
              <w:divBdr>
                <w:top w:val="none" w:sz="0" w:space="0" w:color="auto"/>
                <w:left w:val="none" w:sz="0" w:space="0" w:color="auto"/>
                <w:bottom w:val="none" w:sz="0" w:space="0" w:color="auto"/>
                <w:right w:val="none" w:sz="0" w:space="0" w:color="auto"/>
              </w:divBdr>
            </w:div>
          </w:divsChild>
        </w:div>
        <w:div w:id="343827693">
          <w:marLeft w:val="0"/>
          <w:marRight w:val="0"/>
          <w:marTop w:val="0"/>
          <w:marBottom w:val="0"/>
          <w:divBdr>
            <w:top w:val="none" w:sz="0" w:space="0" w:color="auto"/>
            <w:left w:val="none" w:sz="0" w:space="0" w:color="auto"/>
            <w:bottom w:val="none" w:sz="0" w:space="0" w:color="auto"/>
            <w:right w:val="none" w:sz="0" w:space="0" w:color="auto"/>
          </w:divBdr>
          <w:divsChild>
            <w:div w:id="1147820396">
              <w:marLeft w:val="0"/>
              <w:marRight w:val="0"/>
              <w:marTop w:val="0"/>
              <w:marBottom w:val="0"/>
              <w:divBdr>
                <w:top w:val="none" w:sz="0" w:space="0" w:color="auto"/>
                <w:left w:val="none" w:sz="0" w:space="0" w:color="auto"/>
                <w:bottom w:val="none" w:sz="0" w:space="0" w:color="auto"/>
                <w:right w:val="none" w:sz="0" w:space="0" w:color="auto"/>
              </w:divBdr>
            </w:div>
          </w:divsChild>
        </w:div>
        <w:div w:id="907226437">
          <w:marLeft w:val="0"/>
          <w:marRight w:val="0"/>
          <w:marTop w:val="0"/>
          <w:marBottom w:val="0"/>
          <w:divBdr>
            <w:top w:val="none" w:sz="0" w:space="0" w:color="auto"/>
            <w:left w:val="none" w:sz="0" w:space="0" w:color="auto"/>
            <w:bottom w:val="none" w:sz="0" w:space="0" w:color="auto"/>
            <w:right w:val="none" w:sz="0" w:space="0" w:color="auto"/>
          </w:divBdr>
          <w:divsChild>
            <w:div w:id="211499212">
              <w:marLeft w:val="0"/>
              <w:marRight w:val="0"/>
              <w:marTop w:val="0"/>
              <w:marBottom w:val="0"/>
              <w:divBdr>
                <w:top w:val="none" w:sz="0" w:space="0" w:color="auto"/>
                <w:left w:val="none" w:sz="0" w:space="0" w:color="auto"/>
                <w:bottom w:val="none" w:sz="0" w:space="0" w:color="auto"/>
                <w:right w:val="none" w:sz="0" w:space="0" w:color="auto"/>
              </w:divBdr>
            </w:div>
            <w:div w:id="1890875578">
              <w:marLeft w:val="0"/>
              <w:marRight w:val="0"/>
              <w:marTop w:val="0"/>
              <w:marBottom w:val="0"/>
              <w:divBdr>
                <w:top w:val="none" w:sz="0" w:space="0" w:color="auto"/>
                <w:left w:val="none" w:sz="0" w:space="0" w:color="auto"/>
                <w:bottom w:val="none" w:sz="0" w:space="0" w:color="auto"/>
                <w:right w:val="none" w:sz="0" w:space="0" w:color="auto"/>
              </w:divBdr>
            </w:div>
            <w:div w:id="665017669">
              <w:marLeft w:val="0"/>
              <w:marRight w:val="0"/>
              <w:marTop w:val="0"/>
              <w:marBottom w:val="0"/>
              <w:divBdr>
                <w:top w:val="none" w:sz="0" w:space="0" w:color="auto"/>
                <w:left w:val="none" w:sz="0" w:space="0" w:color="auto"/>
                <w:bottom w:val="none" w:sz="0" w:space="0" w:color="auto"/>
                <w:right w:val="none" w:sz="0" w:space="0" w:color="auto"/>
              </w:divBdr>
            </w:div>
          </w:divsChild>
        </w:div>
        <w:div w:id="1184129732">
          <w:marLeft w:val="0"/>
          <w:marRight w:val="0"/>
          <w:marTop w:val="0"/>
          <w:marBottom w:val="0"/>
          <w:divBdr>
            <w:top w:val="none" w:sz="0" w:space="0" w:color="auto"/>
            <w:left w:val="none" w:sz="0" w:space="0" w:color="auto"/>
            <w:bottom w:val="none" w:sz="0" w:space="0" w:color="auto"/>
            <w:right w:val="none" w:sz="0" w:space="0" w:color="auto"/>
          </w:divBdr>
          <w:divsChild>
            <w:div w:id="1111440063">
              <w:marLeft w:val="0"/>
              <w:marRight w:val="0"/>
              <w:marTop w:val="0"/>
              <w:marBottom w:val="0"/>
              <w:divBdr>
                <w:top w:val="none" w:sz="0" w:space="0" w:color="auto"/>
                <w:left w:val="none" w:sz="0" w:space="0" w:color="auto"/>
                <w:bottom w:val="none" w:sz="0" w:space="0" w:color="auto"/>
                <w:right w:val="none" w:sz="0" w:space="0" w:color="auto"/>
              </w:divBdr>
            </w:div>
          </w:divsChild>
        </w:div>
        <w:div w:id="1128553065">
          <w:marLeft w:val="0"/>
          <w:marRight w:val="0"/>
          <w:marTop w:val="0"/>
          <w:marBottom w:val="0"/>
          <w:divBdr>
            <w:top w:val="none" w:sz="0" w:space="0" w:color="auto"/>
            <w:left w:val="none" w:sz="0" w:space="0" w:color="auto"/>
            <w:bottom w:val="none" w:sz="0" w:space="0" w:color="auto"/>
            <w:right w:val="none" w:sz="0" w:space="0" w:color="auto"/>
          </w:divBdr>
          <w:divsChild>
            <w:div w:id="502937529">
              <w:marLeft w:val="0"/>
              <w:marRight w:val="0"/>
              <w:marTop w:val="0"/>
              <w:marBottom w:val="0"/>
              <w:divBdr>
                <w:top w:val="none" w:sz="0" w:space="0" w:color="auto"/>
                <w:left w:val="none" w:sz="0" w:space="0" w:color="auto"/>
                <w:bottom w:val="none" w:sz="0" w:space="0" w:color="auto"/>
                <w:right w:val="none" w:sz="0" w:space="0" w:color="auto"/>
              </w:divBdr>
            </w:div>
          </w:divsChild>
        </w:div>
        <w:div w:id="518156128">
          <w:marLeft w:val="0"/>
          <w:marRight w:val="0"/>
          <w:marTop w:val="0"/>
          <w:marBottom w:val="0"/>
          <w:divBdr>
            <w:top w:val="none" w:sz="0" w:space="0" w:color="auto"/>
            <w:left w:val="none" w:sz="0" w:space="0" w:color="auto"/>
            <w:bottom w:val="none" w:sz="0" w:space="0" w:color="auto"/>
            <w:right w:val="none" w:sz="0" w:space="0" w:color="auto"/>
          </w:divBdr>
          <w:divsChild>
            <w:div w:id="179665923">
              <w:marLeft w:val="0"/>
              <w:marRight w:val="0"/>
              <w:marTop w:val="0"/>
              <w:marBottom w:val="0"/>
              <w:divBdr>
                <w:top w:val="none" w:sz="0" w:space="0" w:color="auto"/>
                <w:left w:val="none" w:sz="0" w:space="0" w:color="auto"/>
                <w:bottom w:val="none" w:sz="0" w:space="0" w:color="auto"/>
                <w:right w:val="none" w:sz="0" w:space="0" w:color="auto"/>
              </w:divBdr>
            </w:div>
          </w:divsChild>
        </w:div>
        <w:div w:id="1596666069">
          <w:marLeft w:val="0"/>
          <w:marRight w:val="0"/>
          <w:marTop w:val="0"/>
          <w:marBottom w:val="0"/>
          <w:divBdr>
            <w:top w:val="none" w:sz="0" w:space="0" w:color="auto"/>
            <w:left w:val="none" w:sz="0" w:space="0" w:color="auto"/>
            <w:bottom w:val="none" w:sz="0" w:space="0" w:color="auto"/>
            <w:right w:val="none" w:sz="0" w:space="0" w:color="auto"/>
          </w:divBdr>
          <w:divsChild>
            <w:div w:id="1454397308">
              <w:marLeft w:val="0"/>
              <w:marRight w:val="0"/>
              <w:marTop w:val="0"/>
              <w:marBottom w:val="0"/>
              <w:divBdr>
                <w:top w:val="none" w:sz="0" w:space="0" w:color="auto"/>
                <w:left w:val="none" w:sz="0" w:space="0" w:color="auto"/>
                <w:bottom w:val="none" w:sz="0" w:space="0" w:color="auto"/>
                <w:right w:val="none" w:sz="0" w:space="0" w:color="auto"/>
              </w:divBdr>
            </w:div>
          </w:divsChild>
        </w:div>
        <w:div w:id="1303464777">
          <w:marLeft w:val="0"/>
          <w:marRight w:val="0"/>
          <w:marTop w:val="0"/>
          <w:marBottom w:val="0"/>
          <w:divBdr>
            <w:top w:val="none" w:sz="0" w:space="0" w:color="auto"/>
            <w:left w:val="none" w:sz="0" w:space="0" w:color="auto"/>
            <w:bottom w:val="none" w:sz="0" w:space="0" w:color="auto"/>
            <w:right w:val="none" w:sz="0" w:space="0" w:color="auto"/>
          </w:divBdr>
          <w:divsChild>
            <w:div w:id="1717925458">
              <w:marLeft w:val="0"/>
              <w:marRight w:val="0"/>
              <w:marTop w:val="0"/>
              <w:marBottom w:val="0"/>
              <w:divBdr>
                <w:top w:val="none" w:sz="0" w:space="0" w:color="auto"/>
                <w:left w:val="none" w:sz="0" w:space="0" w:color="auto"/>
                <w:bottom w:val="none" w:sz="0" w:space="0" w:color="auto"/>
                <w:right w:val="none" w:sz="0" w:space="0" w:color="auto"/>
              </w:divBdr>
            </w:div>
          </w:divsChild>
        </w:div>
        <w:div w:id="643586284">
          <w:marLeft w:val="0"/>
          <w:marRight w:val="0"/>
          <w:marTop w:val="0"/>
          <w:marBottom w:val="0"/>
          <w:divBdr>
            <w:top w:val="none" w:sz="0" w:space="0" w:color="auto"/>
            <w:left w:val="none" w:sz="0" w:space="0" w:color="auto"/>
            <w:bottom w:val="none" w:sz="0" w:space="0" w:color="auto"/>
            <w:right w:val="none" w:sz="0" w:space="0" w:color="auto"/>
          </w:divBdr>
          <w:divsChild>
            <w:div w:id="1072115980">
              <w:marLeft w:val="0"/>
              <w:marRight w:val="0"/>
              <w:marTop w:val="0"/>
              <w:marBottom w:val="0"/>
              <w:divBdr>
                <w:top w:val="none" w:sz="0" w:space="0" w:color="auto"/>
                <w:left w:val="none" w:sz="0" w:space="0" w:color="auto"/>
                <w:bottom w:val="none" w:sz="0" w:space="0" w:color="auto"/>
                <w:right w:val="none" w:sz="0" w:space="0" w:color="auto"/>
              </w:divBdr>
            </w:div>
            <w:div w:id="868181198">
              <w:marLeft w:val="0"/>
              <w:marRight w:val="0"/>
              <w:marTop w:val="0"/>
              <w:marBottom w:val="0"/>
              <w:divBdr>
                <w:top w:val="none" w:sz="0" w:space="0" w:color="auto"/>
                <w:left w:val="none" w:sz="0" w:space="0" w:color="auto"/>
                <w:bottom w:val="none" w:sz="0" w:space="0" w:color="auto"/>
                <w:right w:val="none" w:sz="0" w:space="0" w:color="auto"/>
              </w:divBdr>
            </w:div>
            <w:div w:id="1188180486">
              <w:marLeft w:val="0"/>
              <w:marRight w:val="0"/>
              <w:marTop w:val="0"/>
              <w:marBottom w:val="0"/>
              <w:divBdr>
                <w:top w:val="none" w:sz="0" w:space="0" w:color="auto"/>
                <w:left w:val="none" w:sz="0" w:space="0" w:color="auto"/>
                <w:bottom w:val="none" w:sz="0" w:space="0" w:color="auto"/>
                <w:right w:val="none" w:sz="0" w:space="0" w:color="auto"/>
              </w:divBdr>
            </w:div>
          </w:divsChild>
        </w:div>
        <w:div w:id="1992976504">
          <w:marLeft w:val="0"/>
          <w:marRight w:val="0"/>
          <w:marTop w:val="0"/>
          <w:marBottom w:val="0"/>
          <w:divBdr>
            <w:top w:val="none" w:sz="0" w:space="0" w:color="auto"/>
            <w:left w:val="none" w:sz="0" w:space="0" w:color="auto"/>
            <w:bottom w:val="none" w:sz="0" w:space="0" w:color="auto"/>
            <w:right w:val="none" w:sz="0" w:space="0" w:color="auto"/>
          </w:divBdr>
          <w:divsChild>
            <w:div w:id="1939871288">
              <w:marLeft w:val="0"/>
              <w:marRight w:val="0"/>
              <w:marTop w:val="0"/>
              <w:marBottom w:val="0"/>
              <w:divBdr>
                <w:top w:val="none" w:sz="0" w:space="0" w:color="auto"/>
                <w:left w:val="none" w:sz="0" w:space="0" w:color="auto"/>
                <w:bottom w:val="none" w:sz="0" w:space="0" w:color="auto"/>
                <w:right w:val="none" w:sz="0" w:space="0" w:color="auto"/>
              </w:divBdr>
            </w:div>
          </w:divsChild>
        </w:div>
        <w:div w:id="873736798">
          <w:marLeft w:val="0"/>
          <w:marRight w:val="0"/>
          <w:marTop w:val="0"/>
          <w:marBottom w:val="0"/>
          <w:divBdr>
            <w:top w:val="none" w:sz="0" w:space="0" w:color="auto"/>
            <w:left w:val="none" w:sz="0" w:space="0" w:color="auto"/>
            <w:bottom w:val="none" w:sz="0" w:space="0" w:color="auto"/>
            <w:right w:val="none" w:sz="0" w:space="0" w:color="auto"/>
          </w:divBdr>
          <w:divsChild>
            <w:div w:id="1993093171">
              <w:marLeft w:val="0"/>
              <w:marRight w:val="0"/>
              <w:marTop w:val="0"/>
              <w:marBottom w:val="0"/>
              <w:divBdr>
                <w:top w:val="none" w:sz="0" w:space="0" w:color="auto"/>
                <w:left w:val="none" w:sz="0" w:space="0" w:color="auto"/>
                <w:bottom w:val="none" w:sz="0" w:space="0" w:color="auto"/>
                <w:right w:val="none" w:sz="0" w:space="0" w:color="auto"/>
              </w:divBdr>
            </w:div>
          </w:divsChild>
        </w:div>
        <w:div w:id="1923103922">
          <w:marLeft w:val="0"/>
          <w:marRight w:val="0"/>
          <w:marTop w:val="0"/>
          <w:marBottom w:val="0"/>
          <w:divBdr>
            <w:top w:val="none" w:sz="0" w:space="0" w:color="auto"/>
            <w:left w:val="none" w:sz="0" w:space="0" w:color="auto"/>
            <w:bottom w:val="none" w:sz="0" w:space="0" w:color="auto"/>
            <w:right w:val="none" w:sz="0" w:space="0" w:color="auto"/>
          </w:divBdr>
          <w:divsChild>
            <w:div w:id="1793935832">
              <w:marLeft w:val="0"/>
              <w:marRight w:val="0"/>
              <w:marTop w:val="0"/>
              <w:marBottom w:val="0"/>
              <w:divBdr>
                <w:top w:val="none" w:sz="0" w:space="0" w:color="auto"/>
                <w:left w:val="none" w:sz="0" w:space="0" w:color="auto"/>
                <w:bottom w:val="none" w:sz="0" w:space="0" w:color="auto"/>
                <w:right w:val="none" w:sz="0" w:space="0" w:color="auto"/>
              </w:divBdr>
            </w:div>
          </w:divsChild>
        </w:div>
        <w:div w:id="355158850">
          <w:marLeft w:val="0"/>
          <w:marRight w:val="0"/>
          <w:marTop w:val="0"/>
          <w:marBottom w:val="0"/>
          <w:divBdr>
            <w:top w:val="none" w:sz="0" w:space="0" w:color="auto"/>
            <w:left w:val="none" w:sz="0" w:space="0" w:color="auto"/>
            <w:bottom w:val="none" w:sz="0" w:space="0" w:color="auto"/>
            <w:right w:val="none" w:sz="0" w:space="0" w:color="auto"/>
          </w:divBdr>
          <w:divsChild>
            <w:div w:id="9528591">
              <w:marLeft w:val="0"/>
              <w:marRight w:val="0"/>
              <w:marTop w:val="0"/>
              <w:marBottom w:val="0"/>
              <w:divBdr>
                <w:top w:val="none" w:sz="0" w:space="0" w:color="auto"/>
                <w:left w:val="none" w:sz="0" w:space="0" w:color="auto"/>
                <w:bottom w:val="none" w:sz="0" w:space="0" w:color="auto"/>
                <w:right w:val="none" w:sz="0" w:space="0" w:color="auto"/>
              </w:divBdr>
            </w:div>
          </w:divsChild>
        </w:div>
        <w:div w:id="1902516873">
          <w:marLeft w:val="0"/>
          <w:marRight w:val="0"/>
          <w:marTop w:val="0"/>
          <w:marBottom w:val="0"/>
          <w:divBdr>
            <w:top w:val="none" w:sz="0" w:space="0" w:color="auto"/>
            <w:left w:val="none" w:sz="0" w:space="0" w:color="auto"/>
            <w:bottom w:val="none" w:sz="0" w:space="0" w:color="auto"/>
            <w:right w:val="none" w:sz="0" w:space="0" w:color="auto"/>
          </w:divBdr>
          <w:divsChild>
            <w:div w:id="872114800">
              <w:marLeft w:val="0"/>
              <w:marRight w:val="0"/>
              <w:marTop w:val="0"/>
              <w:marBottom w:val="0"/>
              <w:divBdr>
                <w:top w:val="none" w:sz="0" w:space="0" w:color="auto"/>
                <w:left w:val="none" w:sz="0" w:space="0" w:color="auto"/>
                <w:bottom w:val="none" w:sz="0" w:space="0" w:color="auto"/>
                <w:right w:val="none" w:sz="0" w:space="0" w:color="auto"/>
              </w:divBdr>
            </w:div>
          </w:divsChild>
        </w:div>
        <w:div w:id="359478258">
          <w:marLeft w:val="0"/>
          <w:marRight w:val="0"/>
          <w:marTop w:val="0"/>
          <w:marBottom w:val="0"/>
          <w:divBdr>
            <w:top w:val="none" w:sz="0" w:space="0" w:color="auto"/>
            <w:left w:val="none" w:sz="0" w:space="0" w:color="auto"/>
            <w:bottom w:val="none" w:sz="0" w:space="0" w:color="auto"/>
            <w:right w:val="none" w:sz="0" w:space="0" w:color="auto"/>
          </w:divBdr>
          <w:divsChild>
            <w:div w:id="206376467">
              <w:marLeft w:val="0"/>
              <w:marRight w:val="0"/>
              <w:marTop w:val="0"/>
              <w:marBottom w:val="0"/>
              <w:divBdr>
                <w:top w:val="none" w:sz="0" w:space="0" w:color="auto"/>
                <w:left w:val="none" w:sz="0" w:space="0" w:color="auto"/>
                <w:bottom w:val="none" w:sz="0" w:space="0" w:color="auto"/>
                <w:right w:val="none" w:sz="0" w:space="0" w:color="auto"/>
              </w:divBdr>
            </w:div>
            <w:div w:id="1781290574">
              <w:marLeft w:val="0"/>
              <w:marRight w:val="0"/>
              <w:marTop w:val="0"/>
              <w:marBottom w:val="0"/>
              <w:divBdr>
                <w:top w:val="none" w:sz="0" w:space="0" w:color="auto"/>
                <w:left w:val="none" w:sz="0" w:space="0" w:color="auto"/>
                <w:bottom w:val="none" w:sz="0" w:space="0" w:color="auto"/>
                <w:right w:val="none" w:sz="0" w:space="0" w:color="auto"/>
              </w:divBdr>
            </w:div>
          </w:divsChild>
        </w:div>
        <w:div w:id="936400523">
          <w:marLeft w:val="0"/>
          <w:marRight w:val="0"/>
          <w:marTop w:val="0"/>
          <w:marBottom w:val="0"/>
          <w:divBdr>
            <w:top w:val="none" w:sz="0" w:space="0" w:color="auto"/>
            <w:left w:val="none" w:sz="0" w:space="0" w:color="auto"/>
            <w:bottom w:val="none" w:sz="0" w:space="0" w:color="auto"/>
            <w:right w:val="none" w:sz="0" w:space="0" w:color="auto"/>
          </w:divBdr>
          <w:divsChild>
            <w:div w:id="158337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0585">
      <w:bodyDiv w:val="1"/>
      <w:marLeft w:val="0"/>
      <w:marRight w:val="0"/>
      <w:marTop w:val="0"/>
      <w:marBottom w:val="0"/>
      <w:divBdr>
        <w:top w:val="none" w:sz="0" w:space="0" w:color="auto"/>
        <w:left w:val="none" w:sz="0" w:space="0" w:color="auto"/>
        <w:bottom w:val="none" w:sz="0" w:space="0" w:color="auto"/>
        <w:right w:val="none" w:sz="0" w:space="0" w:color="auto"/>
      </w:divBdr>
    </w:div>
    <w:div w:id="38283750">
      <w:bodyDiv w:val="1"/>
      <w:marLeft w:val="0"/>
      <w:marRight w:val="0"/>
      <w:marTop w:val="0"/>
      <w:marBottom w:val="0"/>
      <w:divBdr>
        <w:top w:val="none" w:sz="0" w:space="0" w:color="auto"/>
        <w:left w:val="none" w:sz="0" w:space="0" w:color="auto"/>
        <w:bottom w:val="none" w:sz="0" w:space="0" w:color="auto"/>
        <w:right w:val="none" w:sz="0" w:space="0" w:color="auto"/>
      </w:divBdr>
    </w:div>
    <w:div w:id="48193649">
      <w:bodyDiv w:val="1"/>
      <w:marLeft w:val="0"/>
      <w:marRight w:val="0"/>
      <w:marTop w:val="0"/>
      <w:marBottom w:val="0"/>
      <w:divBdr>
        <w:top w:val="none" w:sz="0" w:space="0" w:color="auto"/>
        <w:left w:val="none" w:sz="0" w:space="0" w:color="auto"/>
        <w:bottom w:val="none" w:sz="0" w:space="0" w:color="auto"/>
        <w:right w:val="none" w:sz="0" w:space="0" w:color="auto"/>
      </w:divBdr>
    </w:div>
    <w:div w:id="52975245">
      <w:bodyDiv w:val="1"/>
      <w:marLeft w:val="0"/>
      <w:marRight w:val="0"/>
      <w:marTop w:val="0"/>
      <w:marBottom w:val="0"/>
      <w:divBdr>
        <w:top w:val="none" w:sz="0" w:space="0" w:color="auto"/>
        <w:left w:val="none" w:sz="0" w:space="0" w:color="auto"/>
        <w:bottom w:val="none" w:sz="0" w:space="0" w:color="auto"/>
        <w:right w:val="none" w:sz="0" w:space="0" w:color="auto"/>
      </w:divBdr>
    </w:div>
    <w:div w:id="84040040">
      <w:bodyDiv w:val="1"/>
      <w:marLeft w:val="0"/>
      <w:marRight w:val="0"/>
      <w:marTop w:val="0"/>
      <w:marBottom w:val="0"/>
      <w:divBdr>
        <w:top w:val="none" w:sz="0" w:space="0" w:color="auto"/>
        <w:left w:val="none" w:sz="0" w:space="0" w:color="auto"/>
        <w:bottom w:val="none" w:sz="0" w:space="0" w:color="auto"/>
        <w:right w:val="none" w:sz="0" w:space="0" w:color="auto"/>
      </w:divBdr>
    </w:div>
    <w:div w:id="96953374">
      <w:bodyDiv w:val="1"/>
      <w:marLeft w:val="0"/>
      <w:marRight w:val="0"/>
      <w:marTop w:val="0"/>
      <w:marBottom w:val="0"/>
      <w:divBdr>
        <w:top w:val="none" w:sz="0" w:space="0" w:color="auto"/>
        <w:left w:val="none" w:sz="0" w:space="0" w:color="auto"/>
        <w:bottom w:val="none" w:sz="0" w:space="0" w:color="auto"/>
        <w:right w:val="none" w:sz="0" w:space="0" w:color="auto"/>
      </w:divBdr>
    </w:div>
    <w:div w:id="113254587">
      <w:bodyDiv w:val="1"/>
      <w:marLeft w:val="0"/>
      <w:marRight w:val="0"/>
      <w:marTop w:val="0"/>
      <w:marBottom w:val="0"/>
      <w:divBdr>
        <w:top w:val="none" w:sz="0" w:space="0" w:color="auto"/>
        <w:left w:val="none" w:sz="0" w:space="0" w:color="auto"/>
        <w:bottom w:val="none" w:sz="0" w:space="0" w:color="auto"/>
        <w:right w:val="none" w:sz="0" w:space="0" w:color="auto"/>
      </w:divBdr>
    </w:div>
    <w:div w:id="129827409">
      <w:bodyDiv w:val="1"/>
      <w:marLeft w:val="0"/>
      <w:marRight w:val="0"/>
      <w:marTop w:val="0"/>
      <w:marBottom w:val="0"/>
      <w:divBdr>
        <w:top w:val="none" w:sz="0" w:space="0" w:color="auto"/>
        <w:left w:val="none" w:sz="0" w:space="0" w:color="auto"/>
        <w:bottom w:val="none" w:sz="0" w:space="0" w:color="auto"/>
        <w:right w:val="none" w:sz="0" w:space="0" w:color="auto"/>
      </w:divBdr>
    </w:div>
    <w:div w:id="213664963">
      <w:bodyDiv w:val="1"/>
      <w:marLeft w:val="0"/>
      <w:marRight w:val="0"/>
      <w:marTop w:val="0"/>
      <w:marBottom w:val="0"/>
      <w:divBdr>
        <w:top w:val="none" w:sz="0" w:space="0" w:color="auto"/>
        <w:left w:val="none" w:sz="0" w:space="0" w:color="auto"/>
        <w:bottom w:val="none" w:sz="0" w:space="0" w:color="auto"/>
        <w:right w:val="none" w:sz="0" w:space="0" w:color="auto"/>
      </w:divBdr>
    </w:div>
    <w:div w:id="278147560">
      <w:bodyDiv w:val="1"/>
      <w:marLeft w:val="0"/>
      <w:marRight w:val="0"/>
      <w:marTop w:val="0"/>
      <w:marBottom w:val="0"/>
      <w:divBdr>
        <w:top w:val="none" w:sz="0" w:space="0" w:color="auto"/>
        <w:left w:val="none" w:sz="0" w:space="0" w:color="auto"/>
        <w:bottom w:val="none" w:sz="0" w:space="0" w:color="auto"/>
        <w:right w:val="none" w:sz="0" w:space="0" w:color="auto"/>
      </w:divBdr>
    </w:div>
    <w:div w:id="312417149">
      <w:bodyDiv w:val="1"/>
      <w:marLeft w:val="0"/>
      <w:marRight w:val="0"/>
      <w:marTop w:val="0"/>
      <w:marBottom w:val="0"/>
      <w:divBdr>
        <w:top w:val="none" w:sz="0" w:space="0" w:color="auto"/>
        <w:left w:val="none" w:sz="0" w:space="0" w:color="auto"/>
        <w:bottom w:val="none" w:sz="0" w:space="0" w:color="auto"/>
        <w:right w:val="none" w:sz="0" w:space="0" w:color="auto"/>
      </w:divBdr>
    </w:div>
    <w:div w:id="340621413">
      <w:bodyDiv w:val="1"/>
      <w:marLeft w:val="0"/>
      <w:marRight w:val="0"/>
      <w:marTop w:val="0"/>
      <w:marBottom w:val="0"/>
      <w:divBdr>
        <w:top w:val="none" w:sz="0" w:space="0" w:color="auto"/>
        <w:left w:val="none" w:sz="0" w:space="0" w:color="auto"/>
        <w:bottom w:val="none" w:sz="0" w:space="0" w:color="auto"/>
        <w:right w:val="none" w:sz="0" w:space="0" w:color="auto"/>
      </w:divBdr>
    </w:div>
    <w:div w:id="359091209">
      <w:bodyDiv w:val="1"/>
      <w:marLeft w:val="0"/>
      <w:marRight w:val="0"/>
      <w:marTop w:val="0"/>
      <w:marBottom w:val="0"/>
      <w:divBdr>
        <w:top w:val="none" w:sz="0" w:space="0" w:color="auto"/>
        <w:left w:val="none" w:sz="0" w:space="0" w:color="auto"/>
        <w:bottom w:val="none" w:sz="0" w:space="0" w:color="auto"/>
        <w:right w:val="none" w:sz="0" w:space="0" w:color="auto"/>
      </w:divBdr>
    </w:div>
    <w:div w:id="363017673">
      <w:bodyDiv w:val="1"/>
      <w:marLeft w:val="0"/>
      <w:marRight w:val="0"/>
      <w:marTop w:val="0"/>
      <w:marBottom w:val="0"/>
      <w:divBdr>
        <w:top w:val="none" w:sz="0" w:space="0" w:color="auto"/>
        <w:left w:val="none" w:sz="0" w:space="0" w:color="auto"/>
        <w:bottom w:val="none" w:sz="0" w:space="0" w:color="auto"/>
        <w:right w:val="none" w:sz="0" w:space="0" w:color="auto"/>
      </w:divBdr>
    </w:div>
    <w:div w:id="385103590">
      <w:bodyDiv w:val="1"/>
      <w:marLeft w:val="0"/>
      <w:marRight w:val="0"/>
      <w:marTop w:val="0"/>
      <w:marBottom w:val="0"/>
      <w:divBdr>
        <w:top w:val="none" w:sz="0" w:space="0" w:color="auto"/>
        <w:left w:val="none" w:sz="0" w:space="0" w:color="auto"/>
        <w:bottom w:val="none" w:sz="0" w:space="0" w:color="auto"/>
        <w:right w:val="none" w:sz="0" w:space="0" w:color="auto"/>
      </w:divBdr>
    </w:div>
    <w:div w:id="466363009">
      <w:bodyDiv w:val="1"/>
      <w:marLeft w:val="0"/>
      <w:marRight w:val="0"/>
      <w:marTop w:val="0"/>
      <w:marBottom w:val="0"/>
      <w:divBdr>
        <w:top w:val="none" w:sz="0" w:space="0" w:color="auto"/>
        <w:left w:val="none" w:sz="0" w:space="0" w:color="auto"/>
        <w:bottom w:val="none" w:sz="0" w:space="0" w:color="auto"/>
        <w:right w:val="none" w:sz="0" w:space="0" w:color="auto"/>
      </w:divBdr>
    </w:div>
    <w:div w:id="501701007">
      <w:bodyDiv w:val="1"/>
      <w:marLeft w:val="0"/>
      <w:marRight w:val="0"/>
      <w:marTop w:val="0"/>
      <w:marBottom w:val="0"/>
      <w:divBdr>
        <w:top w:val="none" w:sz="0" w:space="0" w:color="auto"/>
        <w:left w:val="none" w:sz="0" w:space="0" w:color="auto"/>
        <w:bottom w:val="none" w:sz="0" w:space="0" w:color="auto"/>
        <w:right w:val="none" w:sz="0" w:space="0" w:color="auto"/>
      </w:divBdr>
    </w:div>
    <w:div w:id="526603653">
      <w:bodyDiv w:val="1"/>
      <w:marLeft w:val="0"/>
      <w:marRight w:val="0"/>
      <w:marTop w:val="0"/>
      <w:marBottom w:val="0"/>
      <w:divBdr>
        <w:top w:val="none" w:sz="0" w:space="0" w:color="auto"/>
        <w:left w:val="none" w:sz="0" w:space="0" w:color="auto"/>
        <w:bottom w:val="none" w:sz="0" w:space="0" w:color="auto"/>
        <w:right w:val="none" w:sz="0" w:space="0" w:color="auto"/>
      </w:divBdr>
    </w:div>
    <w:div w:id="608318824">
      <w:bodyDiv w:val="1"/>
      <w:marLeft w:val="0"/>
      <w:marRight w:val="0"/>
      <w:marTop w:val="0"/>
      <w:marBottom w:val="0"/>
      <w:divBdr>
        <w:top w:val="none" w:sz="0" w:space="0" w:color="auto"/>
        <w:left w:val="none" w:sz="0" w:space="0" w:color="auto"/>
        <w:bottom w:val="none" w:sz="0" w:space="0" w:color="auto"/>
        <w:right w:val="none" w:sz="0" w:space="0" w:color="auto"/>
      </w:divBdr>
      <w:divsChild>
        <w:div w:id="1168717322">
          <w:marLeft w:val="0"/>
          <w:marRight w:val="0"/>
          <w:marTop w:val="0"/>
          <w:marBottom w:val="0"/>
          <w:divBdr>
            <w:top w:val="none" w:sz="0" w:space="0" w:color="auto"/>
            <w:left w:val="none" w:sz="0" w:space="0" w:color="auto"/>
            <w:bottom w:val="none" w:sz="0" w:space="0" w:color="auto"/>
            <w:right w:val="none" w:sz="0" w:space="0" w:color="auto"/>
          </w:divBdr>
          <w:divsChild>
            <w:div w:id="10461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662457">
      <w:bodyDiv w:val="1"/>
      <w:marLeft w:val="0"/>
      <w:marRight w:val="0"/>
      <w:marTop w:val="0"/>
      <w:marBottom w:val="0"/>
      <w:divBdr>
        <w:top w:val="none" w:sz="0" w:space="0" w:color="auto"/>
        <w:left w:val="none" w:sz="0" w:space="0" w:color="auto"/>
        <w:bottom w:val="none" w:sz="0" w:space="0" w:color="auto"/>
        <w:right w:val="none" w:sz="0" w:space="0" w:color="auto"/>
      </w:divBdr>
    </w:div>
    <w:div w:id="617418109">
      <w:bodyDiv w:val="1"/>
      <w:marLeft w:val="0"/>
      <w:marRight w:val="0"/>
      <w:marTop w:val="0"/>
      <w:marBottom w:val="0"/>
      <w:divBdr>
        <w:top w:val="none" w:sz="0" w:space="0" w:color="auto"/>
        <w:left w:val="none" w:sz="0" w:space="0" w:color="auto"/>
        <w:bottom w:val="none" w:sz="0" w:space="0" w:color="auto"/>
        <w:right w:val="none" w:sz="0" w:space="0" w:color="auto"/>
      </w:divBdr>
    </w:div>
    <w:div w:id="624579293">
      <w:bodyDiv w:val="1"/>
      <w:marLeft w:val="0"/>
      <w:marRight w:val="0"/>
      <w:marTop w:val="0"/>
      <w:marBottom w:val="0"/>
      <w:divBdr>
        <w:top w:val="none" w:sz="0" w:space="0" w:color="auto"/>
        <w:left w:val="none" w:sz="0" w:space="0" w:color="auto"/>
        <w:bottom w:val="none" w:sz="0" w:space="0" w:color="auto"/>
        <w:right w:val="none" w:sz="0" w:space="0" w:color="auto"/>
      </w:divBdr>
    </w:div>
    <w:div w:id="677734196">
      <w:bodyDiv w:val="1"/>
      <w:marLeft w:val="0"/>
      <w:marRight w:val="0"/>
      <w:marTop w:val="0"/>
      <w:marBottom w:val="0"/>
      <w:divBdr>
        <w:top w:val="none" w:sz="0" w:space="0" w:color="auto"/>
        <w:left w:val="none" w:sz="0" w:space="0" w:color="auto"/>
        <w:bottom w:val="none" w:sz="0" w:space="0" w:color="auto"/>
        <w:right w:val="none" w:sz="0" w:space="0" w:color="auto"/>
      </w:divBdr>
    </w:div>
    <w:div w:id="763378195">
      <w:bodyDiv w:val="1"/>
      <w:marLeft w:val="0"/>
      <w:marRight w:val="0"/>
      <w:marTop w:val="0"/>
      <w:marBottom w:val="0"/>
      <w:divBdr>
        <w:top w:val="none" w:sz="0" w:space="0" w:color="auto"/>
        <w:left w:val="none" w:sz="0" w:space="0" w:color="auto"/>
        <w:bottom w:val="none" w:sz="0" w:space="0" w:color="auto"/>
        <w:right w:val="none" w:sz="0" w:space="0" w:color="auto"/>
      </w:divBdr>
    </w:div>
    <w:div w:id="767851048">
      <w:bodyDiv w:val="1"/>
      <w:marLeft w:val="0"/>
      <w:marRight w:val="0"/>
      <w:marTop w:val="0"/>
      <w:marBottom w:val="0"/>
      <w:divBdr>
        <w:top w:val="none" w:sz="0" w:space="0" w:color="auto"/>
        <w:left w:val="none" w:sz="0" w:space="0" w:color="auto"/>
        <w:bottom w:val="none" w:sz="0" w:space="0" w:color="auto"/>
        <w:right w:val="none" w:sz="0" w:space="0" w:color="auto"/>
      </w:divBdr>
      <w:divsChild>
        <w:div w:id="16516408">
          <w:marLeft w:val="0"/>
          <w:marRight w:val="0"/>
          <w:marTop w:val="0"/>
          <w:marBottom w:val="0"/>
          <w:divBdr>
            <w:top w:val="none" w:sz="0" w:space="0" w:color="auto"/>
            <w:left w:val="none" w:sz="0" w:space="0" w:color="auto"/>
            <w:bottom w:val="none" w:sz="0" w:space="0" w:color="auto"/>
            <w:right w:val="none" w:sz="0" w:space="0" w:color="auto"/>
          </w:divBdr>
        </w:div>
        <w:div w:id="824667984">
          <w:marLeft w:val="0"/>
          <w:marRight w:val="0"/>
          <w:marTop w:val="0"/>
          <w:marBottom w:val="0"/>
          <w:divBdr>
            <w:top w:val="none" w:sz="0" w:space="0" w:color="auto"/>
            <w:left w:val="none" w:sz="0" w:space="0" w:color="auto"/>
            <w:bottom w:val="none" w:sz="0" w:space="0" w:color="auto"/>
            <w:right w:val="none" w:sz="0" w:space="0" w:color="auto"/>
          </w:divBdr>
        </w:div>
        <w:div w:id="1989746775">
          <w:marLeft w:val="0"/>
          <w:marRight w:val="0"/>
          <w:marTop w:val="0"/>
          <w:marBottom w:val="0"/>
          <w:divBdr>
            <w:top w:val="none" w:sz="0" w:space="0" w:color="auto"/>
            <w:left w:val="none" w:sz="0" w:space="0" w:color="auto"/>
            <w:bottom w:val="none" w:sz="0" w:space="0" w:color="auto"/>
            <w:right w:val="none" w:sz="0" w:space="0" w:color="auto"/>
          </w:divBdr>
        </w:div>
      </w:divsChild>
    </w:div>
    <w:div w:id="783768137">
      <w:bodyDiv w:val="1"/>
      <w:marLeft w:val="0"/>
      <w:marRight w:val="0"/>
      <w:marTop w:val="0"/>
      <w:marBottom w:val="0"/>
      <w:divBdr>
        <w:top w:val="none" w:sz="0" w:space="0" w:color="auto"/>
        <w:left w:val="none" w:sz="0" w:space="0" w:color="auto"/>
        <w:bottom w:val="none" w:sz="0" w:space="0" w:color="auto"/>
        <w:right w:val="none" w:sz="0" w:space="0" w:color="auto"/>
      </w:divBdr>
    </w:div>
    <w:div w:id="796408673">
      <w:bodyDiv w:val="1"/>
      <w:marLeft w:val="0"/>
      <w:marRight w:val="0"/>
      <w:marTop w:val="0"/>
      <w:marBottom w:val="0"/>
      <w:divBdr>
        <w:top w:val="none" w:sz="0" w:space="0" w:color="auto"/>
        <w:left w:val="none" w:sz="0" w:space="0" w:color="auto"/>
        <w:bottom w:val="none" w:sz="0" w:space="0" w:color="auto"/>
        <w:right w:val="none" w:sz="0" w:space="0" w:color="auto"/>
      </w:divBdr>
    </w:div>
    <w:div w:id="829641316">
      <w:bodyDiv w:val="1"/>
      <w:marLeft w:val="0"/>
      <w:marRight w:val="0"/>
      <w:marTop w:val="0"/>
      <w:marBottom w:val="0"/>
      <w:divBdr>
        <w:top w:val="none" w:sz="0" w:space="0" w:color="auto"/>
        <w:left w:val="none" w:sz="0" w:space="0" w:color="auto"/>
        <w:bottom w:val="none" w:sz="0" w:space="0" w:color="auto"/>
        <w:right w:val="none" w:sz="0" w:space="0" w:color="auto"/>
      </w:divBdr>
    </w:div>
    <w:div w:id="835532087">
      <w:bodyDiv w:val="1"/>
      <w:marLeft w:val="0"/>
      <w:marRight w:val="0"/>
      <w:marTop w:val="0"/>
      <w:marBottom w:val="0"/>
      <w:divBdr>
        <w:top w:val="none" w:sz="0" w:space="0" w:color="auto"/>
        <w:left w:val="none" w:sz="0" w:space="0" w:color="auto"/>
        <w:bottom w:val="none" w:sz="0" w:space="0" w:color="auto"/>
        <w:right w:val="none" w:sz="0" w:space="0" w:color="auto"/>
      </w:divBdr>
    </w:div>
    <w:div w:id="873930886">
      <w:bodyDiv w:val="1"/>
      <w:marLeft w:val="0"/>
      <w:marRight w:val="0"/>
      <w:marTop w:val="0"/>
      <w:marBottom w:val="0"/>
      <w:divBdr>
        <w:top w:val="none" w:sz="0" w:space="0" w:color="auto"/>
        <w:left w:val="none" w:sz="0" w:space="0" w:color="auto"/>
        <w:bottom w:val="none" w:sz="0" w:space="0" w:color="auto"/>
        <w:right w:val="none" w:sz="0" w:space="0" w:color="auto"/>
      </w:divBdr>
    </w:div>
    <w:div w:id="878980966">
      <w:bodyDiv w:val="1"/>
      <w:marLeft w:val="0"/>
      <w:marRight w:val="0"/>
      <w:marTop w:val="0"/>
      <w:marBottom w:val="0"/>
      <w:divBdr>
        <w:top w:val="none" w:sz="0" w:space="0" w:color="auto"/>
        <w:left w:val="none" w:sz="0" w:space="0" w:color="auto"/>
        <w:bottom w:val="none" w:sz="0" w:space="0" w:color="auto"/>
        <w:right w:val="none" w:sz="0" w:space="0" w:color="auto"/>
      </w:divBdr>
    </w:div>
    <w:div w:id="948241207">
      <w:bodyDiv w:val="1"/>
      <w:marLeft w:val="0"/>
      <w:marRight w:val="0"/>
      <w:marTop w:val="0"/>
      <w:marBottom w:val="0"/>
      <w:divBdr>
        <w:top w:val="none" w:sz="0" w:space="0" w:color="auto"/>
        <w:left w:val="none" w:sz="0" w:space="0" w:color="auto"/>
        <w:bottom w:val="none" w:sz="0" w:space="0" w:color="auto"/>
        <w:right w:val="none" w:sz="0" w:space="0" w:color="auto"/>
      </w:divBdr>
    </w:div>
    <w:div w:id="950630741">
      <w:bodyDiv w:val="1"/>
      <w:marLeft w:val="0"/>
      <w:marRight w:val="0"/>
      <w:marTop w:val="0"/>
      <w:marBottom w:val="0"/>
      <w:divBdr>
        <w:top w:val="none" w:sz="0" w:space="0" w:color="auto"/>
        <w:left w:val="none" w:sz="0" w:space="0" w:color="auto"/>
        <w:bottom w:val="none" w:sz="0" w:space="0" w:color="auto"/>
        <w:right w:val="none" w:sz="0" w:space="0" w:color="auto"/>
      </w:divBdr>
    </w:div>
    <w:div w:id="952519011">
      <w:bodyDiv w:val="1"/>
      <w:marLeft w:val="0"/>
      <w:marRight w:val="0"/>
      <w:marTop w:val="0"/>
      <w:marBottom w:val="0"/>
      <w:divBdr>
        <w:top w:val="none" w:sz="0" w:space="0" w:color="auto"/>
        <w:left w:val="none" w:sz="0" w:space="0" w:color="auto"/>
        <w:bottom w:val="none" w:sz="0" w:space="0" w:color="auto"/>
        <w:right w:val="none" w:sz="0" w:space="0" w:color="auto"/>
      </w:divBdr>
    </w:div>
    <w:div w:id="1028993593">
      <w:bodyDiv w:val="1"/>
      <w:marLeft w:val="0"/>
      <w:marRight w:val="0"/>
      <w:marTop w:val="0"/>
      <w:marBottom w:val="0"/>
      <w:divBdr>
        <w:top w:val="none" w:sz="0" w:space="0" w:color="auto"/>
        <w:left w:val="none" w:sz="0" w:space="0" w:color="auto"/>
        <w:bottom w:val="none" w:sz="0" w:space="0" w:color="auto"/>
        <w:right w:val="none" w:sz="0" w:space="0" w:color="auto"/>
      </w:divBdr>
    </w:div>
    <w:div w:id="1036737860">
      <w:bodyDiv w:val="1"/>
      <w:marLeft w:val="0"/>
      <w:marRight w:val="0"/>
      <w:marTop w:val="0"/>
      <w:marBottom w:val="0"/>
      <w:divBdr>
        <w:top w:val="none" w:sz="0" w:space="0" w:color="auto"/>
        <w:left w:val="none" w:sz="0" w:space="0" w:color="auto"/>
        <w:bottom w:val="none" w:sz="0" w:space="0" w:color="auto"/>
        <w:right w:val="none" w:sz="0" w:space="0" w:color="auto"/>
      </w:divBdr>
    </w:div>
    <w:div w:id="1081947775">
      <w:bodyDiv w:val="1"/>
      <w:marLeft w:val="0"/>
      <w:marRight w:val="0"/>
      <w:marTop w:val="0"/>
      <w:marBottom w:val="0"/>
      <w:divBdr>
        <w:top w:val="none" w:sz="0" w:space="0" w:color="auto"/>
        <w:left w:val="none" w:sz="0" w:space="0" w:color="auto"/>
        <w:bottom w:val="none" w:sz="0" w:space="0" w:color="auto"/>
        <w:right w:val="none" w:sz="0" w:space="0" w:color="auto"/>
      </w:divBdr>
    </w:div>
    <w:div w:id="1144085378">
      <w:bodyDiv w:val="1"/>
      <w:marLeft w:val="0"/>
      <w:marRight w:val="0"/>
      <w:marTop w:val="0"/>
      <w:marBottom w:val="0"/>
      <w:divBdr>
        <w:top w:val="none" w:sz="0" w:space="0" w:color="auto"/>
        <w:left w:val="none" w:sz="0" w:space="0" w:color="auto"/>
        <w:bottom w:val="none" w:sz="0" w:space="0" w:color="auto"/>
        <w:right w:val="none" w:sz="0" w:space="0" w:color="auto"/>
      </w:divBdr>
    </w:div>
    <w:div w:id="1191644799">
      <w:bodyDiv w:val="1"/>
      <w:marLeft w:val="0"/>
      <w:marRight w:val="0"/>
      <w:marTop w:val="0"/>
      <w:marBottom w:val="0"/>
      <w:divBdr>
        <w:top w:val="none" w:sz="0" w:space="0" w:color="auto"/>
        <w:left w:val="none" w:sz="0" w:space="0" w:color="auto"/>
        <w:bottom w:val="none" w:sz="0" w:space="0" w:color="auto"/>
        <w:right w:val="none" w:sz="0" w:space="0" w:color="auto"/>
      </w:divBdr>
    </w:div>
    <w:div w:id="1292633004">
      <w:bodyDiv w:val="1"/>
      <w:marLeft w:val="0"/>
      <w:marRight w:val="0"/>
      <w:marTop w:val="0"/>
      <w:marBottom w:val="0"/>
      <w:divBdr>
        <w:top w:val="none" w:sz="0" w:space="0" w:color="auto"/>
        <w:left w:val="none" w:sz="0" w:space="0" w:color="auto"/>
        <w:bottom w:val="none" w:sz="0" w:space="0" w:color="auto"/>
        <w:right w:val="none" w:sz="0" w:space="0" w:color="auto"/>
      </w:divBdr>
    </w:div>
    <w:div w:id="1352030267">
      <w:bodyDiv w:val="1"/>
      <w:marLeft w:val="0"/>
      <w:marRight w:val="0"/>
      <w:marTop w:val="0"/>
      <w:marBottom w:val="0"/>
      <w:divBdr>
        <w:top w:val="none" w:sz="0" w:space="0" w:color="auto"/>
        <w:left w:val="none" w:sz="0" w:space="0" w:color="auto"/>
        <w:bottom w:val="none" w:sz="0" w:space="0" w:color="auto"/>
        <w:right w:val="none" w:sz="0" w:space="0" w:color="auto"/>
      </w:divBdr>
    </w:div>
    <w:div w:id="1360745011">
      <w:bodyDiv w:val="1"/>
      <w:marLeft w:val="0"/>
      <w:marRight w:val="0"/>
      <w:marTop w:val="0"/>
      <w:marBottom w:val="0"/>
      <w:divBdr>
        <w:top w:val="none" w:sz="0" w:space="0" w:color="auto"/>
        <w:left w:val="none" w:sz="0" w:space="0" w:color="auto"/>
        <w:bottom w:val="none" w:sz="0" w:space="0" w:color="auto"/>
        <w:right w:val="none" w:sz="0" w:space="0" w:color="auto"/>
      </w:divBdr>
    </w:div>
    <w:div w:id="1366172208">
      <w:bodyDiv w:val="1"/>
      <w:marLeft w:val="0"/>
      <w:marRight w:val="0"/>
      <w:marTop w:val="0"/>
      <w:marBottom w:val="0"/>
      <w:divBdr>
        <w:top w:val="none" w:sz="0" w:space="0" w:color="auto"/>
        <w:left w:val="none" w:sz="0" w:space="0" w:color="auto"/>
        <w:bottom w:val="none" w:sz="0" w:space="0" w:color="auto"/>
        <w:right w:val="none" w:sz="0" w:space="0" w:color="auto"/>
      </w:divBdr>
    </w:div>
    <w:div w:id="1412921303">
      <w:bodyDiv w:val="1"/>
      <w:marLeft w:val="0"/>
      <w:marRight w:val="0"/>
      <w:marTop w:val="0"/>
      <w:marBottom w:val="0"/>
      <w:divBdr>
        <w:top w:val="none" w:sz="0" w:space="0" w:color="auto"/>
        <w:left w:val="none" w:sz="0" w:space="0" w:color="auto"/>
        <w:bottom w:val="none" w:sz="0" w:space="0" w:color="auto"/>
        <w:right w:val="none" w:sz="0" w:space="0" w:color="auto"/>
      </w:divBdr>
    </w:div>
    <w:div w:id="1425417549">
      <w:bodyDiv w:val="1"/>
      <w:marLeft w:val="0"/>
      <w:marRight w:val="0"/>
      <w:marTop w:val="0"/>
      <w:marBottom w:val="0"/>
      <w:divBdr>
        <w:top w:val="none" w:sz="0" w:space="0" w:color="auto"/>
        <w:left w:val="none" w:sz="0" w:space="0" w:color="auto"/>
        <w:bottom w:val="none" w:sz="0" w:space="0" w:color="auto"/>
        <w:right w:val="none" w:sz="0" w:space="0" w:color="auto"/>
      </w:divBdr>
      <w:divsChild>
        <w:div w:id="925919050">
          <w:marLeft w:val="0"/>
          <w:marRight w:val="0"/>
          <w:marTop w:val="0"/>
          <w:marBottom w:val="0"/>
          <w:divBdr>
            <w:top w:val="none" w:sz="0" w:space="0" w:color="auto"/>
            <w:left w:val="none" w:sz="0" w:space="0" w:color="auto"/>
            <w:bottom w:val="none" w:sz="0" w:space="0" w:color="auto"/>
            <w:right w:val="none" w:sz="0" w:space="0" w:color="auto"/>
          </w:divBdr>
          <w:divsChild>
            <w:div w:id="656999215">
              <w:marLeft w:val="0"/>
              <w:marRight w:val="0"/>
              <w:marTop w:val="0"/>
              <w:marBottom w:val="0"/>
              <w:divBdr>
                <w:top w:val="none" w:sz="0" w:space="0" w:color="auto"/>
                <w:left w:val="none" w:sz="0" w:space="0" w:color="auto"/>
                <w:bottom w:val="none" w:sz="0" w:space="0" w:color="auto"/>
                <w:right w:val="none" w:sz="0" w:space="0" w:color="auto"/>
              </w:divBdr>
            </w:div>
          </w:divsChild>
        </w:div>
        <w:div w:id="294216155">
          <w:marLeft w:val="0"/>
          <w:marRight w:val="0"/>
          <w:marTop w:val="0"/>
          <w:marBottom w:val="0"/>
          <w:divBdr>
            <w:top w:val="none" w:sz="0" w:space="0" w:color="auto"/>
            <w:left w:val="none" w:sz="0" w:space="0" w:color="auto"/>
            <w:bottom w:val="none" w:sz="0" w:space="0" w:color="auto"/>
            <w:right w:val="none" w:sz="0" w:space="0" w:color="auto"/>
          </w:divBdr>
          <w:divsChild>
            <w:div w:id="530458720">
              <w:marLeft w:val="0"/>
              <w:marRight w:val="0"/>
              <w:marTop w:val="0"/>
              <w:marBottom w:val="0"/>
              <w:divBdr>
                <w:top w:val="none" w:sz="0" w:space="0" w:color="auto"/>
                <w:left w:val="none" w:sz="0" w:space="0" w:color="auto"/>
                <w:bottom w:val="none" w:sz="0" w:space="0" w:color="auto"/>
                <w:right w:val="none" w:sz="0" w:space="0" w:color="auto"/>
              </w:divBdr>
            </w:div>
          </w:divsChild>
        </w:div>
        <w:div w:id="577206535">
          <w:marLeft w:val="0"/>
          <w:marRight w:val="0"/>
          <w:marTop w:val="0"/>
          <w:marBottom w:val="0"/>
          <w:divBdr>
            <w:top w:val="none" w:sz="0" w:space="0" w:color="auto"/>
            <w:left w:val="none" w:sz="0" w:space="0" w:color="auto"/>
            <w:bottom w:val="none" w:sz="0" w:space="0" w:color="auto"/>
            <w:right w:val="none" w:sz="0" w:space="0" w:color="auto"/>
          </w:divBdr>
          <w:divsChild>
            <w:div w:id="1112088756">
              <w:marLeft w:val="0"/>
              <w:marRight w:val="0"/>
              <w:marTop w:val="0"/>
              <w:marBottom w:val="0"/>
              <w:divBdr>
                <w:top w:val="none" w:sz="0" w:space="0" w:color="auto"/>
                <w:left w:val="none" w:sz="0" w:space="0" w:color="auto"/>
                <w:bottom w:val="none" w:sz="0" w:space="0" w:color="auto"/>
                <w:right w:val="none" w:sz="0" w:space="0" w:color="auto"/>
              </w:divBdr>
            </w:div>
          </w:divsChild>
        </w:div>
        <w:div w:id="1876918031">
          <w:marLeft w:val="0"/>
          <w:marRight w:val="0"/>
          <w:marTop w:val="0"/>
          <w:marBottom w:val="0"/>
          <w:divBdr>
            <w:top w:val="none" w:sz="0" w:space="0" w:color="auto"/>
            <w:left w:val="none" w:sz="0" w:space="0" w:color="auto"/>
            <w:bottom w:val="none" w:sz="0" w:space="0" w:color="auto"/>
            <w:right w:val="none" w:sz="0" w:space="0" w:color="auto"/>
          </w:divBdr>
          <w:divsChild>
            <w:div w:id="694845245">
              <w:marLeft w:val="0"/>
              <w:marRight w:val="0"/>
              <w:marTop w:val="0"/>
              <w:marBottom w:val="0"/>
              <w:divBdr>
                <w:top w:val="none" w:sz="0" w:space="0" w:color="auto"/>
                <w:left w:val="none" w:sz="0" w:space="0" w:color="auto"/>
                <w:bottom w:val="none" w:sz="0" w:space="0" w:color="auto"/>
                <w:right w:val="none" w:sz="0" w:space="0" w:color="auto"/>
              </w:divBdr>
            </w:div>
          </w:divsChild>
        </w:div>
        <w:div w:id="954337015">
          <w:marLeft w:val="0"/>
          <w:marRight w:val="0"/>
          <w:marTop w:val="0"/>
          <w:marBottom w:val="0"/>
          <w:divBdr>
            <w:top w:val="none" w:sz="0" w:space="0" w:color="auto"/>
            <w:left w:val="none" w:sz="0" w:space="0" w:color="auto"/>
            <w:bottom w:val="none" w:sz="0" w:space="0" w:color="auto"/>
            <w:right w:val="none" w:sz="0" w:space="0" w:color="auto"/>
          </w:divBdr>
          <w:divsChild>
            <w:div w:id="584001393">
              <w:marLeft w:val="0"/>
              <w:marRight w:val="0"/>
              <w:marTop w:val="0"/>
              <w:marBottom w:val="0"/>
              <w:divBdr>
                <w:top w:val="none" w:sz="0" w:space="0" w:color="auto"/>
                <w:left w:val="none" w:sz="0" w:space="0" w:color="auto"/>
                <w:bottom w:val="none" w:sz="0" w:space="0" w:color="auto"/>
                <w:right w:val="none" w:sz="0" w:space="0" w:color="auto"/>
              </w:divBdr>
            </w:div>
          </w:divsChild>
        </w:div>
        <w:div w:id="1817453504">
          <w:marLeft w:val="0"/>
          <w:marRight w:val="0"/>
          <w:marTop w:val="0"/>
          <w:marBottom w:val="0"/>
          <w:divBdr>
            <w:top w:val="none" w:sz="0" w:space="0" w:color="auto"/>
            <w:left w:val="none" w:sz="0" w:space="0" w:color="auto"/>
            <w:bottom w:val="none" w:sz="0" w:space="0" w:color="auto"/>
            <w:right w:val="none" w:sz="0" w:space="0" w:color="auto"/>
          </w:divBdr>
          <w:divsChild>
            <w:div w:id="1322464386">
              <w:marLeft w:val="0"/>
              <w:marRight w:val="0"/>
              <w:marTop w:val="0"/>
              <w:marBottom w:val="0"/>
              <w:divBdr>
                <w:top w:val="none" w:sz="0" w:space="0" w:color="auto"/>
                <w:left w:val="none" w:sz="0" w:space="0" w:color="auto"/>
                <w:bottom w:val="none" w:sz="0" w:space="0" w:color="auto"/>
                <w:right w:val="none" w:sz="0" w:space="0" w:color="auto"/>
              </w:divBdr>
            </w:div>
          </w:divsChild>
        </w:div>
        <w:div w:id="1956908601">
          <w:marLeft w:val="0"/>
          <w:marRight w:val="0"/>
          <w:marTop w:val="0"/>
          <w:marBottom w:val="0"/>
          <w:divBdr>
            <w:top w:val="none" w:sz="0" w:space="0" w:color="auto"/>
            <w:left w:val="none" w:sz="0" w:space="0" w:color="auto"/>
            <w:bottom w:val="none" w:sz="0" w:space="0" w:color="auto"/>
            <w:right w:val="none" w:sz="0" w:space="0" w:color="auto"/>
          </w:divBdr>
          <w:divsChild>
            <w:div w:id="289482571">
              <w:marLeft w:val="0"/>
              <w:marRight w:val="0"/>
              <w:marTop w:val="0"/>
              <w:marBottom w:val="0"/>
              <w:divBdr>
                <w:top w:val="none" w:sz="0" w:space="0" w:color="auto"/>
                <w:left w:val="none" w:sz="0" w:space="0" w:color="auto"/>
                <w:bottom w:val="none" w:sz="0" w:space="0" w:color="auto"/>
                <w:right w:val="none" w:sz="0" w:space="0" w:color="auto"/>
              </w:divBdr>
            </w:div>
          </w:divsChild>
        </w:div>
        <w:div w:id="2052725184">
          <w:marLeft w:val="0"/>
          <w:marRight w:val="0"/>
          <w:marTop w:val="0"/>
          <w:marBottom w:val="0"/>
          <w:divBdr>
            <w:top w:val="none" w:sz="0" w:space="0" w:color="auto"/>
            <w:left w:val="none" w:sz="0" w:space="0" w:color="auto"/>
            <w:bottom w:val="none" w:sz="0" w:space="0" w:color="auto"/>
            <w:right w:val="none" w:sz="0" w:space="0" w:color="auto"/>
          </w:divBdr>
          <w:divsChild>
            <w:div w:id="594635084">
              <w:marLeft w:val="0"/>
              <w:marRight w:val="0"/>
              <w:marTop w:val="0"/>
              <w:marBottom w:val="0"/>
              <w:divBdr>
                <w:top w:val="none" w:sz="0" w:space="0" w:color="auto"/>
                <w:left w:val="none" w:sz="0" w:space="0" w:color="auto"/>
                <w:bottom w:val="none" w:sz="0" w:space="0" w:color="auto"/>
                <w:right w:val="none" w:sz="0" w:space="0" w:color="auto"/>
              </w:divBdr>
            </w:div>
            <w:div w:id="678890652">
              <w:marLeft w:val="0"/>
              <w:marRight w:val="0"/>
              <w:marTop w:val="0"/>
              <w:marBottom w:val="0"/>
              <w:divBdr>
                <w:top w:val="none" w:sz="0" w:space="0" w:color="auto"/>
                <w:left w:val="none" w:sz="0" w:space="0" w:color="auto"/>
                <w:bottom w:val="none" w:sz="0" w:space="0" w:color="auto"/>
                <w:right w:val="none" w:sz="0" w:space="0" w:color="auto"/>
              </w:divBdr>
            </w:div>
            <w:div w:id="1133251638">
              <w:marLeft w:val="0"/>
              <w:marRight w:val="0"/>
              <w:marTop w:val="0"/>
              <w:marBottom w:val="0"/>
              <w:divBdr>
                <w:top w:val="none" w:sz="0" w:space="0" w:color="auto"/>
                <w:left w:val="none" w:sz="0" w:space="0" w:color="auto"/>
                <w:bottom w:val="none" w:sz="0" w:space="0" w:color="auto"/>
                <w:right w:val="none" w:sz="0" w:space="0" w:color="auto"/>
              </w:divBdr>
            </w:div>
          </w:divsChild>
        </w:div>
        <w:div w:id="86317143">
          <w:marLeft w:val="0"/>
          <w:marRight w:val="0"/>
          <w:marTop w:val="0"/>
          <w:marBottom w:val="0"/>
          <w:divBdr>
            <w:top w:val="none" w:sz="0" w:space="0" w:color="auto"/>
            <w:left w:val="none" w:sz="0" w:space="0" w:color="auto"/>
            <w:bottom w:val="none" w:sz="0" w:space="0" w:color="auto"/>
            <w:right w:val="none" w:sz="0" w:space="0" w:color="auto"/>
          </w:divBdr>
          <w:divsChild>
            <w:div w:id="1721977981">
              <w:marLeft w:val="0"/>
              <w:marRight w:val="0"/>
              <w:marTop w:val="0"/>
              <w:marBottom w:val="0"/>
              <w:divBdr>
                <w:top w:val="none" w:sz="0" w:space="0" w:color="auto"/>
                <w:left w:val="none" w:sz="0" w:space="0" w:color="auto"/>
                <w:bottom w:val="none" w:sz="0" w:space="0" w:color="auto"/>
                <w:right w:val="none" w:sz="0" w:space="0" w:color="auto"/>
              </w:divBdr>
            </w:div>
          </w:divsChild>
        </w:div>
        <w:div w:id="939679971">
          <w:marLeft w:val="0"/>
          <w:marRight w:val="0"/>
          <w:marTop w:val="0"/>
          <w:marBottom w:val="0"/>
          <w:divBdr>
            <w:top w:val="none" w:sz="0" w:space="0" w:color="auto"/>
            <w:left w:val="none" w:sz="0" w:space="0" w:color="auto"/>
            <w:bottom w:val="none" w:sz="0" w:space="0" w:color="auto"/>
            <w:right w:val="none" w:sz="0" w:space="0" w:color="auto"/>
          </w:divBdr>
          <w:divsChild>
            <w:div w:id="1200166361">
              <w:marLeft w:val="0"/>
              <w:marRight w:val="0"/>
              <w:marTop w:val="0"/>
              <w:marBottom w:val="0"/>
              <w:divBdr>
                <w:top w:val="none" w:sz="0" w:space="0" w:color="auto"/>
                <w:left w:val="none" w:sz="0" w:space="0" w:color="auto"/>
                <w:bottom w:val="none" w:sz="0" w:space="0" w:color="auto"/>
                <w:right w:val="none" w:sz="0" w:space="0" w:color="auto"/>
              </w:divBdr>
            </w:div>
          </w:divsChild>
        </w:div>
        <w:div w:id="1003509876">
          <w:marLeft w:val="0"/>
          <w:marRight w:val="0"/>
          <w:marTop w:val="0"/>
          <w:marBottom w:val="0"/>
          <w:divBdr>
            <w:top w:val="none" w:sz="0" w:space="0" w:color="auto"/>
            <w:left w:val="none" w:sz="0" w:space="0" w:color="auto"/>
            <w:bottom w:val="none" w:sz="0" w:space="0" w:color="auto"/>
            <w:right w:val="none" w:sz="0" w:space="0" w:color="auto"/>
          </w:divBdr>
          <w:divsChild>
            <w:div w:id="2032873760">
              <w:marLeft w:val="0"/>
              <w:marRight w:val="0"/>
              <w:marTop w:val="0"/>
              <w:marBottom w:val="0"/>
              <w:divBdr>
                <w:top w:val="none" w:sz="0" w:space="0" w:color="auto"/>
                <w:left w:val="none" w:sz="0" w:space="0" w:color="auto"/>
                <w:bottom w:val="none" w:sz="0" w:space="0" w:color="auto"/>
                <w:right w:val="none" w:sz="0" w:space="0" w:color="auto"/>
              </w:divBdr>
            </w:div>
            <w:div w:id="1008682137">
              <w:marLeft w:val="0"/>
              <w:marRight w:val="0"/>
              <w:marTop w:val="0"/>
              <w:marBottom w:val="0"/>
              <w:divBdr>
                <w:top w:val="none" w:sz="0" w:space="0" w:color="auto"/>
                <w:left w:val="none" w:sz="0" w:space="0" w:color="auto"/>
                <w:bottom w:val="none" w:sz="0" w:space="0" w:color="auto"/>
                <w:right w:val="none" w:sz="0" w:space="0" w:color="auto"/>
              </w:divBdr>
            </w:div>
          </w:divsChild>
        </w:div>
        <w:div w:id="473958235">
          <w:marLeft w:val="0"/>
          <w:marRight w:val="0"/>
          <w:marTop w:val="0"/>
          <w:marBottom w:val="0"/>
          <w:divBdr>
            <w:top w:val="none" w:sz="0" w:space="0" w:color="auto"/>
            <w:left w:val="none" w:sz="0" w:space="0" w:color="auto"/>
            <w:bottom w:val="none" w:sz="0" w:space="0" w:color="auto"/>
            <w:right w:val="none" w:sz="0" w:space="0" w:color="auto"/>
          </w:divBdr>
          <w:divsChild>
            <w:div w:id="1808014529">
              <w:marLeft w:val="0"/>
              <w:marRight w:val="0"/>
              <w:marTop w:val="0"/>
              <w:marBottom w:val="0"/>
              <w:divBdr>
                <w:top w:val="none" w:sz="0" w:space="0" w:color="auto"/>
                <w:left w:val="none" w:sz="0" w:space="0" w:color="auto"/>
                <w:bottom w:val="none" w:sz="0" w:space="0" w:color="auto"/>
                <w:right w:val="none" w:sz="0" w:space="0" w:color="auto"/>
              </w:divBdr>
            </w:div>
          </w:divsChild>
        </w:div>
        <w:div w:id="1442995599">
          <w:marLeft w:val="0"/>
          <w:marRight w:val="0"/>
          <w:marTop w:val="0"/>
          <w:marBottom w:val="0"/>
          <w:divBdr>
            <w:top w:val="none" w:sz="0" w:space="0" w:color="auto"/>
            <w:left w:val="none" w:sz="0" w:space="0" w:color="auto"/>
            <w:bottom w:val="none" w:sz="0" w:space="0" w:color="auto"/>
            <w:right w:val="none" w:sz="0" w:space="0" w:color="auto"/>
          </w:divBdr>
          <w:divsChild>
            <w:div w:id="1197154395">
              <w:marLeft w:val="0"/>
              <w:marRight w:val="0"/>
              <w:marTop w:val="0"/>
              <w:marBottom w:val="0"/>
              <w:divBdr>
                <w:top w:val="none" w:sz="0" w:space="0" w:color="auto"/>
                <w:left w:val="none" w:sz="0" w:space="0" w:color="auto"/>
                <w:bottom w:val="none" w:sz="0" w:space="0" w:color="auto"/>
                <w:right w:val="none" w:sz="0" w:space="0" w:color="auto"/>
              </w:divBdr>
            </w:div>
          </w:divsChild>
        </w:div>
        <w:div w:id="1765493555">
          <w:marLeft w:val="0"/>
          <w:marRight w:val="0"/>
          <w:marTop w:val="0"/>
          <w:marBottom w:val="0"/>
          <w:divBdr>
            <w:top w:val="none" w:sz="0" w:space="0" w:color="auto"/>
            <w:left w:val="none" w:sz="0" w:space="0" w:color="auto"/>
            <w:bottom w:val="none" w:sz="0" w:space="0" w:color="auto"/>
            <w:right w:val="none" w:sz="0" w:space="0" w:color="auto"/>
          </w:divBdr>
          <w:divsChild>
            <w:div w:id="1258252052">
              <w:marLeft w:val="0"/>
              <w:marRight w:val="0"/>
              <w:marTop w:val="0"/>
              <w:marBottom w:val="0"/>
              <w:divBdr>
                <w:top w:val="none" w:sz="0" w:space="0" w:color="auto"/>
                <w:left w:val="none" w:sz="0" w:space="0" w:color="auto"/>
                <w:bottom w:val="none" w:sz="0" w:space="0" w:color="auto"/>
                <w:right w:val="none" w:sz="0" w:space="0" w:color="auto"/>
              </w:divBdr>
            </w:div>
            <w:div w:id="578516531">
              <w:marLeft w:val="0"/>
              <w:marRight w:val="0"/>
              <w:marTop w:val="0"/>
              <w:marBottom w:val="0"/>
              <w:divBdr>
                <w:top w:val="none" w:sz="0" w:space="0" w:color="auto"/>
                <w:left w:val="none" w:sz="0" w:space="0" w:color="auto"/>
                <w:bottom w:val="none" w:sz="0" w:space="0" w:color="auto"/>
                <w:right w:val="none" w:sz="0" w:space="0" w:color="auto"/>
              </w:divBdr>
            </w:div>
            <w:div w:id="496924193">
              <w:marLeft w:val="0"/>
              <w:marRight w:val="0"/>
              <w:marTop w:val="0"/>
              <w:marBottom w:val="0"/>
              <w:divBdr>
                <w:top w:val="none" w:sz="0" w:space="0" w:color="auto"/>
                <w:left w:val="none" w:sz="0" w:space="0" w:color="auto"/>
                <w:bottom w:val="none" w:sz="0" w:space="0" w:color="auto"/>
                <w:right w:val="none" w:sz="0" w:space="0" w:color="auto"/>
              </w:divBdr>
            </w:div>
          </w:divsChild>
        </w:div>
        <w:div w:id="1859199529">
          <w:marLeft w:val="0"/>
          <w:marRight w:val="0"/>
          <w:marTop w:val="0"/>
          <w:marBottom w:val="0"/>
          <w:divBdr>
            <w:top w:val="none" w:sz="0" w:space="0" w:color="auto"/>
            <w:left w:val="none" w:sz="0" w:space="0" w:color="auto"/>
            <w:bottom w:val="none" w:sz="0" w:space="0" w:color="auto"/>
            <w:right w:val="none" w:sz="0" w:space="0" w:color="auto"/>
          </w:divBdr>
          <w:divsChild>
            <w:div w:id="1992975673">
              <w:marLeft w:val="0"/>
              <w:marRight w:val="0"/>
              <w:marTop w:val="0"/>
              <w:marBottom w:val="0"/>
              <w:divBdr>
                <w:top w:val="none" w:sz="0" w:space="0" w:color="auto"/>
                <w:left w:val="none" w:sz="0" w:space="0" w:color="auto"/>
                <w:bottom w:val="none" w:sz="0" w:space="0" w:color="auto"/>
                <w:right w:val="none" w:sz="0" w:space="0" w:color="auto"/>
              </w:divBdr>
            </w:div>
          </w:divsChild>
        </w:div>
        <w:div w:id="2105295166">
          <w:marLeft w:val="0"/>
          <w:marRight w:val="0"/>
          <w:marTop w:val="0"/>
          <w:marBottom w:val="0"/>
          <w:divBdr>
            <w:top w:val="none" w:sz="0" w:space="0" w:color="auto"/>
            <w:left w:val="none" w:sz="0" w:space="0" w:color="auto"/>
            <w:bottom w:val="none" w:sz="0" w:space="0" w:color="auto"/>
            <w:right w:val="none" w:sz="0" w:space="0" w:color="auto"/>
          </w:divBdr>
          <w:divsChild>
            <w:div w:id="509297505">
              <w:marLeft w:val="0"/>
              <w:marRight w:val="0"/>
              <w:marTop w:val="0"/>
              <w:marBottom w:val="0"/>
              <w:divBdr>
                <w:top w:val="none" w:sz="0" w:space="0" w:color="auto"/>
                <w:left w:val="none" w:sz="0" w:space="0" w:color="auto"/>
                <w:bottom w:val="none" w:sz="0" w:space="0" w:color="auto"/>
                <w:right w:val="none" w:sz="0" w:space="0" w:color="auto"/>
              </w:divBdr>
            </w:div>
          </w:divsChild>
        </w:div>
        <w:div w:id="232855374">
          <w:marLeft w:val="0"/>
          <w:marRight w:val="0"/>
          <w:marTop w:val="0"/>
          <w:marBottom w:val="0"/>
          <w:divBdr>
            <w:top w:val="none" w:sz="0" w:space="0" w:color="auto"/>
            <w:left w:val="none" w:sz="0" w:space="0" w:color="auto"/>
            <w:bottom w:val="none" w:sz="0" w:space="0" w:color="auto"/>
            <w:right w:val="none" w:sz="0" w:space="0" w:color="auto"/>
          </w:divBdr>
          <w:divsChild>
            <w:div w:id="73668837">
              <w:marLeft w:val="0"/>
              <w:marRight w:val="0"/>
              <w:marTop w:val="0"/>
              <w:marBottom w:val="0"/>
              <w:divBdr>
                <w:top w:val="none" w:sz="0" w:space="0" w:color="auto"/>
                <w:left w:val="none" w:sz="0" w:space="0" w:color="auto"/>
                <w:bottom w:val="none" w:sz="0" w:space="0" w:color="auto"/>
                <w:right w:val="none" w:sz="0" w:space="0" w:color="auto"/>
              </w:divBdr>
            </w:div>
          </w:divsChild>
        </w:div>
        <w:div w:id="831718808">
          <w:marLeft w:val="0"/>
          <w:marRight w:val="0"/>
          <w:marTop w:val="0"/>
          <w:marBottom w:val="0"/>
          <w:divBdr>
            <w:top w:val="none" w:sz="0" w:space="0" w:color="auto"/>
            <w:left w:val="none" w:sz="0" w:space="0" w:color="auto"/>
            <w:bottom w:val="none" w:sz="0" w:space="0" w:color="auto"/>
            <w:right w:val="none" w:sz="0" w:space="0" w:color="auto"/>
          </w:divBdr>
          <w:divsChild>
            <w:div w:id="752119260">
              <w:marLeft w:val="0"/>
              <w:marRight w:val="0"/>
              <w:marTop w:val="0"/>
              <w:marBottom w:val="0"/>
              <w:divBdr>
                <w:top w:val="none" w:sz="0" w:space="0" w:color="auto"/>
                <w:left w:val="none" w:sz="0" w:space="0" w:color="auto"/>
                <w:bottom w:val="none" w:sz="0" w:space="0" w:color="auto"/>
                <w:right w:val="none" w:sz="0" w:space="0" w:color="auto"/>
              </w:divBdr>
            </w:div>
          </w:divsChild>
        </w:div>
        <w:div w:id="1467696146">
          <w:marLeft w:val="0"/>
          <w:marRight w:val="0"/>
          <w:marTop w:val="0"/>
          <w:marBottom w:val="0"/>
          <w:divBdr>
            <w:top w:val="none" w:sz="0" w:space="0" w:color="auto"/>
            <w:left w:val="none" w:sz="0" w:space="0" w:color="auto"/>
            <w:bottom w:val="none" w:sz="0" w:space="0" w:color="auto"/>
            <w:right w:val="none" w:sz="0" w:space="0" w:color="auto"/>
          </w:divBdr>
          <w:divsChild>
            <w:div w:id="724837127">
              <w:marLeft w:val="0"/>
              <w:marRight w:val="0"/>
              <w:marTop w:val="0"/>
              <w:marBottom w:val="0"/>
              <w:divBdr>
                <w:top w:val="none" w:sz="0" w:space="0" w:color="auto"/>
                <w:left w:val="none" w:sz="0" w:space="0" w:color="auto"/>
                <w:bottom w:val="none" w:sz="0" w:space="0" w:color="auto"/>
                <w:right w:val="none" w:sz="0" w:space="0" w:color="auto"/>
              </w:divBdr>
            </w:div>
          </w:divsChild>
        </w:div>
        <w:div w:id="2055543485">
          <w:marLeft w:val="0"/>
          <w:marRight w:val="0"/>
          <w:marTop w:val="0"/>
          <w:marBottom w:val="0"/>
          <w:divBdr>
            <w:top w:val="none" w:sz="0" w:space="0" w:color="auto"/>
            <w:left w:val="none" w:sz="0" w:space="0" w:color="auto"/>
            <w:bottom w:val="none" w:sz="0" w:space="0" w:color="auto"/>
            <w:right w:val="none" w:sz="0" w:space="0" w:color="auto"/>
          </w:divBdr>
          <w:divsChild>
            <w:div w:id="261913124">
              <w:marLeft w:val="0"/>
              <w:marRight w:val="0"/>
              <w:marTop w:val="0"/>
              <w:marBottom w:val="0"/>
              <w:divBdr>
                <w:top w:val="none" w:sz="0" w:space="0" w:color="auto"/>
                <w:left w:val="none" w:sz="0" w:space="0" w:color="auto"/>
                <w:bottom w:val="none" w:sz="0" w:space="0" w:color="auto"/>
                <w:right w:val="none" w:sz="0" w:space="0" w:color="auto"/>
              </w:divBdr>
            </w:div>
            <w:div w:id="1620449082">
              <w:marLeft w:val="0"/>
              <w:marRight w:val="0"/>
              <w:marTop w:val="0"/>
              <w:marBottom w:val="0"/>
              <w:divBdr>
                <w:top w:val="none" w:sz="0" w:space="0" w:color="auto"/>
                <w:left w:val="none" w:sz="0" w:space="0" w:color="auto"/>
                <w:bottom w:val="none" w:sz="0" w:space="0" w:color="auto"/>
                <w:right w:val="none" w:sz="0" w:space="0" w:color="auto"/>
              </w:divBdr>
            </w:div>
            <w:div w:id="536822218">
              <w:marLeft w:val="0"/>
              <w:marRight w:val="0"/>
              <w:marTop w:val="0"/>
              <w:marBottom w:val="0"/>
              <w:divBdr>
                <w:top w:val="none" w:sz="0" w:space="0" w:color="auto"/>
                <w:left w:val="none" w:sz="0" w:space="0" w:color="auto"/>
                <w:bottom w:val="none" w:sz="0" w:space="0" w:color="auto"/>
                <w:right w:val="none" w:sz="0" w:space="0" w:color="auto"/>
              </w:divBdr>
            </w:div>
          </w:divsChild>
        </w:div>
        <w:div w:id="939072525">
          <w:marLeft w:val="0"/>
          <w:marRight w:val="0"/>
          <w:marTop w:val="0"/>
          <w:marBottom w:val="0"/>
          <w:divBdr>
            <w:top w:val="none" w:sz="0" w:space="0" w:color="auto"/>
            <w:left w:val="none" w:sz="0" w:space="0" w:color="auto"/>
            <w:bottom w:val="none" w:sz="0" w:space="0" w:color="auto"/>
            <w:right w:val="none" w:sz="0" w:space="0" w:color="auto"/>
          </w:divBdr>
          <w:divsChild>
            <w:div w:id="1109740417">
              <w:marLeft w:val="0"/>
              <w:marRight w:val="0"/>
              <w:marTop w:val="0"/>
              <w:marBottom w:val="0"/>
              <w:divBdr>
                <w:top w:val="none" w:sz="0" w:space="0" w:color="auto"/>
                <w:left w:val="none" w:sz="0" w:space="0" w:color="auto"/>
                <w:bottom w:val="none" w:sz="0" w:space="0" w:color="auto"/>
                <w:right w:val="none" w:sz="0" w:space="0" w:color="auto"/>
              </w:divBdr>
            </w:div>
          </w:divsChild>
        </w:div>
        <w:div w:id="1053503141">
          <w:marLeft w:val="0"/>
          <w:marRight w:val="0"/>
          <w:marTop w:val="0"/>
          <w:marBottom w:val="0"/>
          <w:divBdr>
            <w:top w:val="none" w:sz="0" w:space="0" w:color="auto"/>
            <w:left w:val="none" w:sz="0" w:space="0" w:color="auto"/>
            <w:bottom w:val="none" w:sz="0" w:space="0" w:color="auto"/>
            <w:right w:val="none" w:sz="0" w:space="0" w:color="auto"/>
          </w:divBdr>
          <w:divsChild>
            <w:div w:id="886137828">
              <w:marLeft w:val="0"/>
              <w:marRight w:val="0"/>
              <w:marTop w:val="0"/>
              <w:marBottom w:val="0"/>
              <w:divBdr>
                <w:top w:val="none" w:sz="0" w:space="0" w:color="auto"/>
                <w:left w:val="none" w:sz="0" w:space="0" w:color="auto"/>
                <w:bottom w:val="none" w:sz="0" w:space="0" w:color="auto"/>
                <w:right w:val="none" w:sz="0" w:space="0" w:color="auto"/>
              </w:divBdr>
            </w:div>
          </w:divsChild>
        </w:div>
        <w:div w:id="392698683">
          <w:marLeft w:val="0"/>
          <w:marRight w:val="0"/>
          <w:marTop w:val="0"/>
          <w:marBottom w:val="0"/>
          <w:divBdr>
            <w:top w:val="none" w:sz="0" w:space="0" w:color="auto"/>
            <w:left w:val="none" w:sz="0" w:space="0" w:color="auto"/>
            <w:bottom w:val="none" w:sz="0" w:space="0" w:color="auto"/>
            <w:right w:val="none" w:sz="0" w:space="0" w:color="auto"/>
          </w:divBdr>
          <w:divsChild>
            <w:div w:id="250243787">
              <w:marLeft w:val="0"/>
              <w:marRight w:val="0"/>
              <w:marTop w:val="0"/>
              <w:marBottom w:val="0"/>
              <w:divBdr>
                <w:top w:val="none" w:sz="0" w:space="0" w:color="auto"/>
                <w:left w:val="none" w:sz="0" w:space="0" w:color="auto"/>
                <w:bottom w:val="none" w:sz="0" w:space="0" w:color="auto"/>
                <w:right w:val="none" w:sz="0" w:space="0" w:color="auto"/>
              </w:divBdr>
            </w:div>
          </w:divsChild>
        </w:div>
        <w:div w:id="1044217019">
          <w:marLeft w:val="0"/>
          <w:marRight w:val="0"/>
          <w:marTop w:val="0"/>
          <w:marBottom w:val="0"/>
          <w:divBdr>
            <w:top w:val="none" w:sz="0" w:space="0" w:color="auto"/>
            <w:left w:val="none" w:sz="0" w:space="0" w:color="auto"/>
            <w:bottom w:val="none" w:sz="0" w:space="0" w:color="auto"/>
            <w:right w:val="none" w:sz="0" w:space="0" w:color="auto"/>
          </w:divBdr>
          <w:divsChild>
            <w:div w:id="1065101650">
              <w:marLeft w:val="0"/>
              <w:marRight w:val="0"/>
              <w:marTop w:val="0"/>
              <w:marBottom w:val="0"/>
              <w:divBdr>
                <w:top w:val="none" w:sz="0" w:space="0" w:color="auto"/>
                <w:left w:val="none" w:sz="0" w:space="0" w:color="auto"/>
                <w:bottom w:val="none" w:sz="0" w:space="0" w:color="auto"/>
                <w:right w:val="none" w:sz="0" w:space="0" w:color="auto"/>
              </w:divBdr>
            </w:div>
          </w:divsChild>
        </w:div>
        <w:div w:id="38171004">
          <w:marLeft w:val="0"/>
          <w:marRight w:val="0"/>
          <w:marTop w:val="0"/>
          <w:marBottom w:val="0"/>
          <w:divBdr>
            <w:top w:val="none" w:sz="0" w:space="0" w:color="auto"/>
            <w:left w:val="none" w:sz="0" w:space="0" w:color="auto"/>
            <w:bottom w:val="none" w:sz="0" w:space="0" w:color="auto"/>
            <w:right w:val="none" w:sz="0" w:space="0" w:color="auto"/>
          </w:divBdr>
          <w:divsChild>
            <w:div w:id="1041780168">
              <w:marLeft w:val="0"/>
              <w:marRight w:val="0"/>
              <w:marTop w:val="0"/>
              <w:marBottom w:val="0"/>
              <w:divBdr>
                <w:top w:val="none" w:sz="0" w:space="0" w:color="auto"/>
                <w:left w:val="none" w:sz="0" w:space="0" w:color="auto"/>
                <w:bottom w:val="none" w:sz="0" w:space="0" w:color="auto"/>
                <w:right w:val="none" w:sz="0" w:space="0" w:color="auto"/>
              </w:divBdr>
            </w:div>
          </w:divsChild>
        </w:div>
        <w:div w:id="463736674">
          <w:marLeft w:val="0"/>
          <w:marRight w:val="0"/>
          <w:marTop w:val="0"/>
          <w:marBottom w:val="0"/>
          <w:divBdr>
            <w:top w:val="none" w:sz="0" w:space="0" w:color="auto"/>
            <w:left w:val="none" w:sz="0" w:space="0" w:color="auto"/>
            <w:bottom w:val="none" w:sz="0" w:space="0" w:color="auto"/>
            <w:right w:val="none" w:sz="0" w:space="0" w:color="auto"/>
          </w:divBdr>
          <w:divsChild>
            <w:div w:id="1009871889">
              <w:marLeft w:val="0"/>
              <w:marRight w:val="0"/>
              <w:marTop w:val="0"/>
              <w:marBottom w:val="0"/>
              <w:divBdr>
                <w:top w:val="none" w:sz="0" w:space="0" w:color="auto"/>
                <w:left w:val="none" w:sz="0" w:space="0" w:color="auto"/>
                <w:bottom w:val="none" w:sz="0" w:space="0" w:color="auto"/>
                <w:right w:val="none" w:sz="0" w:space="0" w:color="auto"/>
              </w:divBdr>
            </w:div>
            <w:div w:id="1970163108">
              <w:marLeft w:val="0"/>
              <w:marRight w:val="0"/>
              <w:marTop w:val="0"/>
              <w:marBottom w:val="0"/>
              <w:divBdr>
                <w:top w:val="none" w:sz="0" w:space="0" w:color="auto"/>
                <w:left w:val="none" w:sz="0" w:space="0" w:color="auto"/>
                <w:bottom w:val="none" w:sz="0" w:space="0" w:color="auto"/>
                <w:right w:val="none" w:sz="0" w:space="0" w:color="auto"/>
              </w:divBdr>
            </w:div>
          </w:divsChild>
        </w:div>
        <w:div w:id="221453236">
          <w:marLeft w:val="0"/>
          <w:marRight w:val="0"/>
          <w:marTop w:val="0"/>
          <w:marBottom w:val="0"/>
          <w:divBdr>
            <w:top w:val="none" w:sz="0" w:space="0" w:color="auto"/>
            <w:left w:val="none" w:sz="0" w:space="0" w:color="auto"/>
            <w:bottom w:val="none" w:sz="0" w:space="0" w:color="auto"/>
            <w:right w:val="none" w:sz="0" w:space="0" w:color="auto"/>
          </w:divBdr>
          <w:divsChild>
            <w:div w:id="96596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506855">
      <w:bodyDiv w:val="1"/>
      <w:marLeft w:val="0"/>
      <w:marRight w:val="0"/>
      <w:marTop w:val="0"/>
      <w:marBottom w:val="0"/>
      <w:divBdr>
        <w:top w:val="none" w:sz="0" w:space="0" w:color="auto"/>
        <w:left w:val="none" w:sz="0" w:space="0" w:color="auto"/>
        <w:bottom w:val="none" w:sz="0" w:space="0" w:color="auto"/>
        <w:right w:val="none" w:sz="0" w:space="0" w:color="auto"/>
      </w:divBdr>
    </w:div>
    <w:div w:id="1539662789">
      <w:bodyDiv w:val="1"/>
      <w:marLeft w:val="0"/>
      <w:marRight w:val="0"/>
      <w:marTop w:val="0"/>
      <w:marBottom w:val="0"/>
      <w:divBdr>
        <w:top w:val="none" w:sz="0" w:space="0" w:color="auto"/>
        <w:left w:val="none" w:sz="0" w:space="0" w:color="auto"/>
        <w:bottom w:val="none" w:sz="0" w:space="0" w:color="auto"/>
        <w:right w:val="none" w:sz="0" w:space="0" w:color="auto"/>
      </w:divBdr>
    </w:div>
    <w:div w:id="1614365597">
      <w:bodyDiv w:val="1"/>
      <w:marLeft w:val="0"/>
      <w:marRight w:val="0"/>
      <w:marTop w:val="0"/>
      <w:marBottom w:val="0"/>
      <w:divBdr>
        <w:top w:val="none" w:sz="0" w:space="0" w:color="auto"/>
        <w:left w:val="none" w:sz="0" w:space="0" w:color="auto"/>
        <w:bottom w:val="none" w:sz="0" w:space="0" w:color="auto"/>
        <w:right w:val="none" w:sz="0" w:space="0" w:color="auto"/>
      </w:divBdr>
    </w:div>
    <w:div w:id="1625187607">
      <w:bodyDiv w:val="1"/>
      <w:marLeft w:val="0"/>
      <w:marRight w:val="0"/>
      <w:marTop w:val="0"/>
      <w:marBottom w:val="0"/>
      <w:divBdr>
        <w:top w:val="none" w:sz="0" w:space="0" w:color="auto"/>
        <w:left w:val="none" w:sz="0" w:space="0" w:color="auto"/>
        <w:bottom w:val="none" w:sz="0" w:space="0" w:color="auto"/>
        <w:right w:val="none" w:sz="0" w:space="0" w:color="auto"/>
      </w:divBdr>
    </w:div>
    <w:div w:id="1628663882">
      <w:bodyDiv w:val="1"/>
      <w:marLeft w:val="0"/>
      <w:marRight w:val="0"/>
      <w:marTop w:val="0"/>
      <w:marBottom w:val="0"/>
      <w:divBdr>
        <w:top w:val="none" w:sz="0" w:space="0" w:color="auto"/>
        <w:left w:val="none" w:sz="0" w:space="0" w:color="auto"/>
        <w:bottom w:val="none" w:sz="0" w:space="0" w:color="auto"/>
        <w:right w:val="none" w:sz="0" w:space="0" w:color="auto"/>
      </w:divBdr>
    </w:div>
    <w:div w:id="1652710901">
      <w:bodyDiv w:val="1"/>
      <w:marLeft w:val="0"/>
      <w:marRight w:val="0"/>
      <w:marTop w:val="0"/>
      <w:marBottom w:val="0"/>
      <w:divBdr>
        <w:top w:val="none" w:sz="0" w:space="0" w:color="auto"/>
        <w:left w:val="none" w:sz="0" w:space="0" w:color="auto"/>
        <w:bottom w:val="none" w:sz="0" w:space="0" w:color="auto"/>
        <w:right w:val="none" w:sz="0" w:space="0" w:color="auto"/>
      </w:divBdr>
    </w:div>
    <w:div w:id="1666937825">
      <w:bodyDiv w:val="1"/>
      <w:marLeft w:val="0"/>
      <w:marRight w:val="0"/>
      <w:marTop w:val="0"/>
      <w:marBottom w:val="0"/>
      <w:divBdr>
        <w:top w:val="none" w:sz="0" w:space="0" w:color="auto"/>
        <w:left w:val="none" w:sz="0" w:space="0" w:color="auto"/>
        <w:bottom w:val="none" w:sz="0" w:space="0" w:color="auto"/>
        <w:right w:val="none" w:sz="0" w:space="0" w:color="auto"/>
      </w:divBdr>
    </w:div>
    <w:div w:id="1669670403">
      <w:bodyDiv w:val="1"/>
      <w:marLeft w:val="0"/>
      <w:marRight w:val="0"/>
      <w:marTop w:val="0"/>
      <w:marBottom w:val="0"/>
      <w:divBdr>
        <w:top w:val="none" w:sz="0" w:space="0" w:color="auto"/>
        <w:left w:val="none" w:sz="0" w:space="0" w:color="auto"/>
        <w:bottom w:val="none" w:sz="0" w:space="0" w:color="auto"/>
        <w:right w:val="none" w:sz="0" w:space="0" w:color="auto"/>
      </w:divBdr>
    </w:div>
    <w:div w:id="1679308024">
      <w:marLeft w:val="0"/>
      <w:marRight w:val="0"/>
      <w:marTop w:val="0"/>
      <w:marBottom w:val="0"/>
      <w:divBdr>
        <w:top w:val="none" w:sz="0" w:space="0" w:color="auto"/>
        <w:left w:val="none" w:sz="0" w:space="0" w:color="auto"/>
        <w:bottom w:val="none" w:sz="0" w:space="0" w:color="auto"/>
        <w:right w:val="none" w:sz="0" w:space="0" w:color="auto"/>
      </w:divBdr>
    </w:div>
    <w:div w:id="1679308025">
      <w:marLeft w:val="0"/>
      <w:marRight w:val="0"/>
      <w:marTop w:val="0"/>
      <w:marBottom w:val="0"/>
      <w:divBdr>
        <w:top w:val="none" w:sz="0" w:space="0" w:color="auto"/>
        <w:left w:val="none" w:sz="0" w:space="0" w:color="auto"/>
        <w:bottom w:val="none" w:sz="0" w:space="0" w:color="auto"/>
        <w:right w:val="none" w:sz="0" w:space="0" w:color="auto"/>
      </w:divBdr>
    </w:div>
    <w:div w:id="1679308026">
      <w:marLeft w:val="0"/>
      <w:marRight w:val="0"/>
      <w:marTop w:val="0"/>
      <w:marBottom w:val="0"/>
      <w:divBdr>
        <w:top w:val="none" w:sz="0" w:space="0" w:color="auto"/>
        <w:left w:val="none" w:sz="0" w:space="0" w:color="auto"/>
        <w:bottom w:val="none" w:sz="0" w:space="0" w:color="auto"/>
        <w:right w:val="none" w:sz="0" w:space="0" w:color="auto"/>
      </w:divBdr>
    </w:div>
    <w:div w:id="1679308027">
      <w:marLeft w:val="0"/>
      <w:marRight w:val="0"/>
      <w:marTop w:val="0"/>
      <w:marBottom w:val="0"/>
      <w:divBdr>
        <w:top w:val="none" w:sz="0" w:space="0" w:color="auto"/>
        <w:left w:val="none" w:sz="0" w:space="0" w:color="auto"/>
        <w:bottom w:val="none" w:sz="0" w:space="0" w:color="auto"/>
        <w:right w:val="none" w:sz="0" w:space="0" w:color="auto"/>
      </w:divBdr>
    </w:div>
    <w:div w:id="1685328849">
      <w:bodyDiv w:val="1"/>
      <w:marLeft w:val="0"/>
      <w:marRight w:val="0"/>
      <w:marTop w:val="0"/>
      <w:marBottom w:val="0"/>
      <w:divBdr>
        <w:top w:val="none" w:sz="0" w:space="0" w:color="auto"/>
        <w:left w:val="none" w:sz="0" w:space="0" w:color="auto"/>
        <w:bottom w:val="none" w:sz="0" w:space="0" w:color="auto"/>
        <w:right w:val="none" w:sz="0" w:space="0" w:color="auto"/>
      </w:divBdr>
    </w:div>
    <w:div w:id="1710568213">
      <w:bodyDiv w:val="1"/>
      <w:marLeft w:val="0"/>
      <w:marRight w:val="0"/>
      <w:marTop w:val="0"/>
      <w:marBottom w:val="0"/>
      <w:divBdr>
        <w:top w:val="none" w:sz="0" w:space="0" w:color="auto"/>
        <w:left w:val="none" w:sz="0" w:space="0" w:color="auto"/>
        <w:bottom w:val="none" w:sz="0" w:space="0" w:color="auto"/>
        <w:right w:val="none" w:sz="0" w:space="0" w:color="auto"/>
      </w:divBdr>
    </w:div>
    <w:div w:id="1739595972">
      <w:bodyDiv w:val="1"/>
      <w:marLeft w:val="0"/>
      <w:marRight w:val="0"/>
      <w:marTop w:val="0"/>
      <w:marBottom w:val="0"/>
      <w:divBdr>
        <w:top w:val="none" w:sz="0" w:space="0" w:color="auto"/>
        <w:left w:val="none" w:sz="0" w:space="0" w:color="auto"/>
        <w:bottom w:val="none" w:sz="0" w:space="0" w:color="auto"/>
        <w:right w:val="none" w:sz="0" w:space="0" w:color="auto"/>
      </w:divBdr>
    </w:div>
    <w:div w:id="1785690797">
      <w:bodyDiv w:val="1"/>
      <w:marLeft w:val="0"/>
      <w:marRight w:val="0"/>
      <w:marTop w:val="0"/>
      <w:marBottom w:val="0"/>
      <w:divBdr>
        <w:top w:val="none" w:sz="0" w:space="0" w:color="auto"/>
        <w:left w:val="none" w:sz="0" w:space="0" w:color="auto"/>
        <w:bottom w:val="none" w:sz="0" w:space="0" w:color="auto"/>
        <w:right w:val="none" w:sz="0" w:space="0" w:color="auto"/>
      </w:divBdr>
      <w:divsChild>
        <w:div w:id="1097016735">
          <w:marLeft w:val="0"/>
          <w:marRight w:val="0"/>
          <w:marTop w:val="0"/>
          <w:marBottom w:val="0"/>
          <w:divBdr>
            <w:top w:val="none" w:sz="0" w:space="0" w:color="auto"/>
            <w:left w:val="none" w:sz="0" w:space="0" w:color="auto"/>
            <w:bottom w:val="none" w:sz="0" w:space="0" w:color="auto"/>
            <w:right w:val="none" w:sz="0" w:space="0" w:color="auto"/>
          </w:divBdr>
        </w:div>
        <w:div w:id="1258706834">
          <w:marLeft w:val="0"/>
          <w:marRight w:val="0"/>
          <w:marTop w:val="0"/>
          <w:marBottom w:val="0"/>
          <w:divBdr>
            <w:top w:val="none" w:sz="0" w:space="0" w:color="auto"/>
            <w:left w:val="none" w:sz="0" w:space="0" w:color="auto"/>
            <w:bottom w:val="none" w:sz="0" w:space="0" w:color="auto"/>
            <w:right w:val="none" w:sz="0" w:space="0" w:color="auto"/>
          </w:divBdr>
        </w:div>
        <w:div w:id="506361820">
          <w:marLeft w:val="0"/>
          <w:marRight w:val="0"/>
          <w:marTop w:val="0"/>
          <w:marBottom w:val="0"/>
          <w:divBdr>
            <w:top w:val="none" w:sz="0" w:space="0" w:color="auto"/>
            <w:left w:val="none" w:sz="0" w:space="0" w:color="auto"/>
            <w:bottom w:val="none" w:sz="0" w:space="0" w:color="auto"/>
            <w:right w:val="none" w:sz="0" w:space="0" w:color="auto"/>
          </w:divBdr>
        </w:div>
      </w:divsChild>
    </w:div>
    <w:div w:id="1798138719">
      <w:bodyDiv w:val="1"/>
      <w:marLeft w:val="0"/>
      <w:marRight w:val="0"/>
      <w:marTop w:val="0"/>
      <w:marBottom w:val="0"/>
      <w:divBdr>
        <w:top w:val="none" w:sz="0" w:space="0" w:color="auto"/>
        <w:left w:val="none" w:sz="0" w:space="0" w:color="auto"/>
        <w:bottom w:val="none" w:sz="0" w:space="0" w:color="auto"/>
        <w:right w:val="none" w:sz="0" w:space="0" w:color="auto"/>
      </w:divBdr>
    </w:div>
    <w:div w:id="1798912968">
      <w:bodyDiv w:val="1"/>
      <w:marLeft w:val="0"/>
      <w:marRight w:val="0"/>
      <w:marTop w:val="0"/>
      <w:marBottom w:val="0"/>
      <w:divBdr>
        <w:top w:val="none" w:sz="0" w:space="0" w:color="auto"/>
        <w:left w:val="none" w:sz="0" w:space="0" w:color="auto"/>
        <w:bottom w:val="none" w:sz="0" w:space="0" w:color="auto"/>
        <w:right w:val="none" w:sz="0" w:space="0" w:color="auto"/>
      </w:divBdr>
    </w:div>
    <w:div w:id="1890610705">
      <w:bodyDiv w:val="1"/>
      <w:marLeft w:val="0"/>
      <w:marRight w:val="0"/>
      <w:marTop w:val="0"/>
      <w:marBottom w:val="0"/>
      <w:divBdr>
        <w:top w:val="none" w:sz="0" w:space="0" w:color="auto"/>
        <w:left w:val="none" w:sz="0" w:space="0" w:color="auto"/>
        <w:bottom w:val="none" w:sz="0" w:space="0" w:color="auto"/>
        <w:right w:val="none" w:sz="0" w:space="0" w:color="auto"/>
      </w:divBdr>
    </w:div>
    <w:div w:id="1912235409">
      <w:bodyDiv w:val="1"/>
      <w:marLeft w:val="0"/>
      <w:marRight w:val="0"/>
      <w:marTop w:val="0"/>
      <w:marBottom w:val="0"/>
      <w:divBdr>
        <w:top w:val="none" w:sz="0" w:space="0" w:color="auto"/>
        <w:left w:val="none" w:sz="0" w:space="0" w:color="auto"/>
        <w:bottom w:val="none" w:sz="0" w:space="0" w:color="auto"/>
        <w:right w:val="none" w:sz="0" w:space="0" w:color="auto"/>
      </w:divBdr>
    </w:div>
    <w:div w:id="1937013312">
      <w:bodyDiv w:val="1"/>
      <w:marLeft w:val="0"/>
      <w:marRight w:val="0"/>
      <w:marTop w:val="0"/>
      <w:marBottom w:val="0"/>
      <w:divBdr>
        <w:top w:val="none" w:sz="0" w:space="0" w:color="auto"/>
        <w:left w:val="none" w:sz="0" w:space="0" w:color="auto"/>
        <w:bottom w:val="none" w:sz="0" w:space="0" w:color="auto"/>
        <w:right w:val="none" w:sz="0" w:space="0" w:color="auto"/>
      </w:divBdr>
    </w:div>
    <w:div w:id="2011562885">
      <w:bodyDiv w:val="1"/>
      <w:marLeft w:val="0"/>
      <w:marRight w:val="0"/>
      <w:marTop w:val="0"/>
      <w:marBottom w:val="0"/>
      <w:divBdr>
        <w:top w:val="none" w:sz="0" w:space="0" w:color="auto"/>
        <w:left w:val="none" w:sz="0" w:space="0" w:color="auto"/>
        <w:bottom w:val="none" w:sz="0" w:space="0" w:color="auto"/>
        <w:right w:val="none" w:sz="0" w:space="0" w:color="auto"/>
      </w:divBdr>
    </w:div>
    <w:div w:id="2060543869">
      <w:bodyDiv w:val="1"/>
      <w:marLeft w:val="0"/>
      <w:marRight w:val="0"/>
      <w:marTop w:val="0"/>
      <w:marBottom w:val="0"/>
      <w:divBdr>
        <w:top w:val="none" w:sz="0" w:space="0" w:color="auto"/>
        <w:left w:val="none" w:sz="0" w:space="0" w:color="auto"/>
        <w:bottom w:val="none" w:sz="0" w:space="0" w:color="auto"/>
        <w:right w:val="none" w:sz="0" w:space="0" w:color="auto"/>
      </w:divBdr>
    </w:div>
    <w:div w:id="2078476117">
      <w:bodyDiv w:val="1"/>
      <w:marLeft w:val="0"/>
      <w:marRight w:val="0"/>
      <w:marTop w:val="0"/>
      <w:marBottom w:val="0"/>
      <w:divBdr>
        <w:top w:val="none" w:sz="0" w:space="0" w:color="auto"/>
        <w:left w:val="none" w:sz="0" w:space="0" w:color="auto"/>
        <w:bottom w:val="none" w:sz="0" w:space="0" w:color="auto"/>
        <w:right w:val="none" w:sz="0" w:space="0" w:color="auto"/>
      </w:divBdr>
    </w:div>
    <w:div w:id="2094935002">
      <w:bodyDiv w:val="1"/>
      <w:marLeft w:val="0"/>
      <w:marRight w:val="0"/>
      <w:marTop w:val="0"/>
      <w:marBottom w:val="0"/>
      <w:divBdr>
        <w:top w:val="none" w:sz="0" w:space="0" w:color="auto"/>
        <w:left w:val="none" w:sz="0" w:space="0" w:color="auto"/>
        <w:bottom w:val="none" w:sz="0" w:space="0" w:color="auto"/>
        <w:right w:val="none" w:sz="0" w:space="0" w:color="auto"/>
      </w:divBdr>
    </w:div>
    <w:div w:id="2100249844">
      <w:bodyDiv w:val="1"/>
      <w:marLeft w:val="0"/>
      <w:marRight w:val="0"/>
      <w:marTop w:val="0"/>
      <w:marBottom w:val="0"/>
      <w:divBdr>
        <w:top w:val="none" w:sz="0" w:space="0" w:color="auto"/>
        <w:left w:val="none" w:sz="0" w:space="0" w:color="auto"/>
        <w:bottom w:val="none" w:sz="0" w:space="0" w:color="auto"/>
        <w:right w:val="none" w:sz="0" w:space="0" w:color="auto"/>
      </w:divBdr>
    </w:div>
    <w:div w:id="214299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ilsag.info/evaluator-ntg-recommendations-for-2024/" TargetMode="External"/><Relationship Id="rId3" Type="http://schemas.openxmlformats.org/officeDocument/2006/relationships/customXml" Target="../customXml/item3.xml"/><Relationship Id="rId21" Type="http://schemas.openxmlformats.org/officeDocument/2006/relationships/hyperlink" Target="https://www.ilsag.info/wp-content/uploads/Nicor_Gas_NTG_2024_Values_Final_2023-09-27.xlsx"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ilsag.info/evaluator-ntg-recommendations-for-2024/"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ilsag.info/technical-reference-manual.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www.ilsag.info/technical-reference-manual.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west\OneDrive%20-%20Guidehouse\kwest\_2021\Editing-Formatting%20Assignments\1Q\ComEd%20Reporting%20-%20Ali%20Cross\ComEd%20(Program%20Name)%20CY2020%20Impact%20Evaluation%20Report%20Template%202021-02-10.dotx" TargetMode="External"/></Relationships>
</file>

<file path=word/theme/theme1.xml><?xml version="1.0" encoding="utf-8"?>
<a:theme xmlns:a="http://schemas.openxmlformats.org/drawingml/2006/main" name="Office Theme">
  <a:themeElements>
    <a:clrScheme name="Custom 1">
      <a:dk1>
        <a:srgbClr val="000000"/>
      </a:dk1>
      <a:lt1>
        <a:srgbClr val="FFFFFF"/>
      </a:lt1>
      <a:dk2>
        <a:srgbClr val="036479"/>
      </a:dk2>
      <a:lt2>
        <a:srgbClr val="E0E0E0"/>
      </a:lt2>
      <a:accent1>
        <a:srgbClr val="93D500"/>
      </a:accent1>
      <a:accent2>
        <a:srgbClr val="C3EC0C"/>
      </a:accent2>
      <a:accent3>
        <a:srgbClr val="036479"/>
      </a:accent3>
      <a:accent4>
        <a:srgbClr val="9FD4E0"/>
      </a:accent4>
      <a:accent5>
        <a:srgbClr val="68952C"/>
      </a:accent5>
      <a:accent6>
        <a:srgbClr val="F9B723"/>
      </a:accent6>
      <a:hlink>
        <a:srgbClr val="036479"/>
      </a:hlink>
      <a:folHlink>
        <a:srgbClr val="68952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FFE6FE768F1F4ABC2259CAA5A5E2B4" ma:contentTypeVersion="13" ma:contentTypeDescription="Create a new document." ma:contentTypeScope="" ma:versionID="469c4c4e0307451815a61f0e34cce5e8">
  <xsd:schema xmlns:xsd="http://www.w3.org/2001/XMLSchema" xmlns:xs="http://www.w3.org/2001/XMLSchema" xmlns:p="http://schemas.microsoft.com/office/2006/metadata/properties" xmlns:ns1="http://schemas.microsoft.com/sharepoint/v3" xmlns:ns2="b2d023fd-748d-47fb-9def-a48ce366a9e6" xmlns:ns3="c7dbb18a-942d-48ab-becb-8e31551bea5d" targetNamespace="http://schemas.microsoft.com/office/2006/metadata/properties" ma:root="true" ma:fieldsID="596c33163a255ed7cf79ac8af40f4f11" ns1:_="" ns2:_="" ns3:_="">
    <xsd:import namespace="http://schemas.microsoft.com/sharepoint/v3"/>
    <xsd:import namespace="b2d023fd-748d-47fb-9def-a48ce366a9e6"/>
    <xsd:import namespace="c7dbb18a-942d-48ab-becb-8e31551bea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d023fd-748d-47fb-9def-a48ce366a9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3fe8d3c-0f3e-402f-8378-068a6b53444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dbb18a-942d-48ab-becb-8e31551bea5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a3aba95-029a-4762-9ff7-3a5bda2b1289}" ma:internalName="TaxCatchAll" ma:showField="CatchAllData" ma:web="c7dbb18a-942d-48ab-becb-8e31551bea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7dbb18a-942d-48ab-becb-8e31551bea5d" xsi:nil="true"/>
    <lcf76f155ced4ddcb4097134ff3c332f xmlns="b2d023fd-748d-47fb-9def-a48ce366a9e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899A8-66A1-4328-94D7-3321EE3747DC}">
  <ds:schemaRefs>
    <ds:schemaRef ds:uri="http://schemas.microsoft.com/sharepoint/v3/contenttype/forms"/>
  </ds:schemaRefs>
</ds:datastoreItem>
</file>

<file path=customXml/itemProps2.xml><?xml version="1.0" encoding="utf-8"?>
<ds:datastoreItem xmlns:ds="http://schemas.openxmlformats.org/officeDocument/2006/customXml" ds:itemID="{5EDFF812-1D19-4332-8679-6B5995E98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023fd-748d-47fb-9def-a48ce366a9e6"/>
    <ds:schemaRef ds:uri="c7dbb18a-942d-48ab-becb-8e31551be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25650A-257B-4364-81A8-4B0E0938CC7B}">
  <ds:schemaRefs>
    <ds:schemaRef ds:uri="http://schemas.microsoft.com/office/2006/metadata/properties"/>
    <ds:schemaRef ds:uri="http://schemas.microsoft.com/office/infopath/2007/PartnerControls"/>
    <ds:schemaRef ds:uri="http://schemas.microsoft.com/sharepoint/v3"/>
    <ds:schemaRef ds:uri="c7dbb18a-942d-48ab-becb-8e31551bea5d"/>
    <ds:schemaRef ds:uri="b2d023fd-748d-47fb-9def-a48ce366a9e6"/>
  </ds:schemaRefs>
</ds:datastoreItem>
</file>

<file path=customXml/itemProps4.xml><?xml version="1.0" encoding="utf-8"?>
<ds:datastoreItem xmlns:ds="http://schemas.openxmlformats.org/officeDocument/2006/customXml" ds:itemID="{FBF82440-1096-47B3-8CB9-4B98C13B0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ComEd (Program Name) CY2020 Impact Evaluation Report Template 2021-02-10</Template>
  <TotalTime>6074</TotalTime>
  <Pages>13</Pages>
  <Words>2648</Words>
  <Characters>18112</Characters>
  <Application>Microsoft Office Word</Application>
  <DocSecurity>0</DocSecurity>
  <Lines>150</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20719</CharactersWithSpaces>
  <SharedDoc>false</SharedDoc>
  <HLinks>
    <vt:vector size="120" baseType="variant">
      <vt:variant>
        <vt:i4>524369</vt:i4>
      </vt:variant>
      <vt:variant>
        <vt:i4>144</vt:i4>
      </vt:variant>
      <vt:variant>
        <vt:i4>0</vt:i4>
      </vt:variant>
      <vt:variant>
        <vt:i4>5</vt:i4>
      </vt:variant>
      <vt:variant>
        <vt:lpwstr>http://www.ilsag.info/technical-reference-manual.html</vt:lpwstr>
      </vt:variant>
      <vt:variant>
        <vt:lpwstr/>
      </vt:variant>
      <vt:variant>
        <vt:i4>3801209</vt:i4>
      </vt:variant>
      <vt:variant>
        <vt:i4>132</vt:i4>
      </vt:variant>
      <vt:variant>
        <vt:i4>0</vt:i4>
      </vt:variant>
      <vt:variant>
        <vt:i4>5</vt:i4>
      </vt:variant>
      <vt:variant>
        <vt:lpwstr>https://www.ilsag.info/evaluator-ntg-recommendations-for-2024/</vt:lpwstr>
      </vt:variant>
      <vt:variant>
        <vt:lpwstr/>
      </vt:variant>
      <vt:variant>
        <vt:i4>1966129</vt:i4>
      </vt:variant>
      <vt:variant>
        <vt:i4>110</vt:i4>
      </vt:variant>
      <vt:variant>
        <vt:i4>0</vt:i4>
      </vt:variant>
      <vt:variant>
        <vt:i4>5</vt:i4>
      </vt:variant>
      <vt:variant>
        <vt:lpwstr/>
      </vt:variant>
      <vt:variant>
        <vt:lpwstr>_Toc156946234</vt:lpwstr>
      </vt:variant>
      <vt:variant>
        <vt:i4>1966129</vt:i4>
      </vt:variant>
      <vt:variant>
        <vt:i4>104</vt:i4>
      </vt:variant>
      <vt:variant>
        <vt:i4>0</vt:i4>
      </vt:variant>
      <vt:variant>
        <vt:i4>5</vt:i4>
      </vt:variant>
      <vt:variant>
        <vt:lpwstr/>
      </vt:variant>
      <vt:variant>
        <vt:lpwstr>_Toc156946233</vt:lpwstr>
      </vt:variant>
      <vt:variant>
        <vt:i4>2031673</vt:i4>
      </vt:variant>
      <vt:variant>
        <vt:i4>95</vt:i4>
      </vt:variant>
      <vt:variant>
        <vt:i4>0</vt:i4>
      </vt:variant>
      <vt:variant>
        <vt:i4>5</vt:i4>
      </vt:variant>
      <vt:variant>
        <vt:lpwstr/>
      </vt:variant>
      <vt:variant>
        <vt:lpwstr>_Toc189737203</vt:lpwstr>
      </vt:variant>
      <vt:variant>
        <vt:i4>2031673</vt:i4>
      </vt:variant>
      <vt:variant>
        <vt:i4>89</vt:i4>
      </vt:variant>
      <vt:variant>
        <vt:i4>0</vt:i4>
      </vt:variant>
      <vt:variant>
        <vt:i4>5</vt:i4>
      </vt:variant>
      <vt:variant>
        <vt:lpwstr/>
      </vt:variant>
      <vt:variant>
        <vt:lpwstr>_Toc189737202</vt:lpwstr>
      </vt:variant>
      <vt:variant>
        <vt:i4>2031673</vt:i4>
      </vt:variant>
      <vt:variant>
        <vt:i4>83</vt:i4>
      </vt:variant>
      <vt:variant>
        <vt:i4>0</vt:i4>
      </vt:variant>
      <vt:variant>
        <vt:i4>5</vt:i4>
      </vt:variant>
      <vt:variant>
        <vt:lpwstr/>
      </vt:variant>
      <vt:variant>
        <vt:lpwstr>_Toc189737201</vt:lpwstr>
      </vt:variant>
      <vt:variant>
        <vt:i4>2031673</vt:i4>
      </vt:variant>
      <vt:variant>
        <vt:i4>77</vt:i4>
      </vt:variant>
      <vt:variant>
        <vt:i4>0</vt:i4>
      </vt:variant>
      <vt:variant>
        <vt:i4>5</vt:i4>
      </vt:variant>
      <vt:variant>
        <vt:lpwstr/>
      </vt:variant>
      <vt:variant>
        <vt:lpwstr>_Toc189737200</vt:lpwstr>
      </vt:variant>
      <vt:variant>
        <vt:i4>1441850</vt:i4>
      </vt:variant>
      <vt:variant>
        <vt:i4>71</vt:i4>
      </vt:variant>
      <vt:variant>
        <vt:i4>0</vt:i4>
      </vt:variant>
      <vt:variant>
        <vt:i4>5</vt:i4>
      </vt:variant>
      <vt:variant>
        <vt:lpwstr/>
      </vt:variant>
      <vt:variant>
        <vt:lpwstr>_Toc189737199</vt:lpwstr>
      </vt:variant>
      <vt:variant>
        <vt:i4>2031679</vt:i4>
      </vt:variant>
      <vt:variant>
        <vt:i4>62</vt:i4>
      </vt:variant>
      <vt:variant>
        <vt:i4>0</vt:i4>
      </vt:variant>
      <vt:variant>
        <vt:i4>5</vt:i4>
      </vt:variant>
      <vt:variant>
        <vt:lpwstr/>
      </vt:variant>
      <vt:variant>
        <vt:lpwstr>_Toc189741369</vt:lpwstr>
      </vt:variant>
      <vt:variant>
        <vt:i4>2031679</vt:i4>
      </vt:variant>
      <vt:variant>
        <vt:i4>56</vt:i4>
      </vt:variant>
      <vt:variant>
        <vt:i4>0</vt:i4>
      </vt:variant>
      <vt:variant>
        <vt:i4>5</vt:i4>
      </vt:variant>
      <vt:variant>
        <vt:lpwstr/>
      </vt:variant>
      <vt:variant>
        <vt:lpwstr>_Toc189741368</vt:lpwstr>
      </vt:variant>
      <vt:variant>
        <vt:i4>2031679</vt:i4>
      </vt:variant>
      <vt:variant>
        <vt:i4>50</vt:i4>
      </vt:variant>
      <vt:variant>
        <vt:i4>0</vt:i4>
      </vt:variant>
      <vt:variant>
        <vt:i4>5</vt:i4>
      </vt:variant>
      <vt:variant>
        <vt:lpwstr/>
      </vt:variant>
      <vt:variant>
        <vt:lpwstr>_Toc189741367</vt:lpwstr>
      </vt:variant>
      <vt:variant>
        <vt:i4>2031679</vt:i4>
      </vt:variant>
      <vt:variant>
        <vt:i4>44</vt:i4>
      </vt:variant>
      <vt:variant>
        <vt:i4>0</vt:i4>
      </vt:variant>
      <vt:variant>
        <vt:i4>5</vt:i4>
      </vt:variant>
      <vt:variant>
        <vt:lpwstr/>
      </vt:variant>
      <vt:variant>
        <vt:lpwstr>_Toc189741366</vt:lpwstr>
      </vt:variant>
      <vt:variant>
        <vt:i4>2031679</vt:i4>
      </vt:variant>
      <vt:variant>
        <vt:i4>38</vt:i4>
      </vt:variant>
      <vt:variant>
        <vt:i4>0</vt:i4>
      </vt:variant>
      <vt:variant>
        <vt:i4>5</vt:i4>
      </vt:variant>
      <vt:variant>
        <vt:lpwstr/>
      </vt:variant>
      <vt:variant>
        <vt:lpwstr>_Toc189741365</vt:lpwstr>
      </vt:variant>
      <vt:variant>
        <vt:i4>2031679</vt:i4>
      </vt:variant>
      <vt:variant>
        <vt:i4>32</vt:i4>
      </vt:variant>
      <vt:variant>
        <vt:i4>0</vt:i4>
      </vt:variant>
      <vt:variant>
        <vt:i4>5</vt:i4>
      </vt:variant>
      <vt:variant>
        <vt:lpwstr/>
      </vt:variant>
      <vt:variant>
        <vt:lpwstr>_Toc189741364</vt:lpwstr>
      </vt:variant>
      <vt:variant>
        <vt:i4>2031679</vt:i4>
      </vt:variant>
      <vt:variant>
        <vt:i4>26</vt:i4>
      </vt:variant>
      <vt:variant>
        <vt:i4>0</vt:i4>
      </vt:variant>
      <vt:variant>
        <vt:i4>5</vt:i4>
      </vt:variant>
      <vt:variant>
        <vt:lpwstr/>
      </vt:variant>
      <vt:variant>
        <vt:lpwstr>_Toc189741363</vt:lpwstr>
      </vt:variant>
      <vt:variant>
        <vt:i4>2031679</vt:i4>
      </vt:variant>
      <vt:variant>
        <vt:i4>20</vt:i4>
      </vt:variant>
      <vt:variant>
        <vt:i4>0</vt:i4>
      </vt:variant>
      <vt:variant>
        <vt:i4>5</vt:i4>
      </vt:variant>
      <vt:variant>
        <vt:lpwstr/>
      </vt:variant>
      <vt:variant>
        <vt:lpwstr>_Toc189741362</vt:lpwstr>
      </vt:variant>
      <vt:variant>
        <vt:i4>2031679</vt:i4>
      </vt:variant>
      <vt:variant>
        <vt:i4>14</vt:i4>
      </vt:variant>
      <vt:variant>
        <vt:i4>0</vt:i4>
      </vt:variant>
      <vt:variant>
        <vt:i4>5</vt:i4>
      </vt:variant>
      <vt:variant>
        <vt:lpwstr/>
      </vt:variant>
      <vt:variant>
        <vt:lpwstr>_Toc189741361</vt:lpwstr>
      </vt:variant>
      <vt:variant>
        <vt:i4>2031679</vt:i4>
      </vt:variant>
      <vt:variant>
        <vt:i4>8</vt:i4>
      </vt:variant>
      <vt:variant>
        <vt:i4>0</vt:i4>
      </vt:variant>
      <vt:variant>
        <vt:i4>5</vt:i4>
      </vt:variant>
      <vt:variant>
        <vt:lpwstr/>
      </vt:variant>
      <vt:variant>
        <vt:lpwstr>_Toc189741360</vt:lpwstr>
      </vt:variant>
      <vt:variant>
        <vt:i4>1835071</vt:i4>
      </vt:variant>
      <vt:variant>
        <vt:i4>2</vt:i4>
      </vt:variant>
      <vt:variant>
        <vt:i4>0</vt:i4>
      </vt:variant>
      <vt:variant>
        <vt:i4>5</vt:i4>
      </vt:variant>
      <vt:variant>
        <vt:lpwstr/>
      </vt:variant>
      <vt:variant>
        <vt:lpwstr>_Toc189741359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Berry</dc:creator>
  <cp:keywords/>
  <dc:description/>
  <cp:lastModifiedBy>Charles Ampong</cp:lastModifiedBy>
  <cp:revision>69</cp:revision>
  <cp:lastPrinted>2017-10-03T19:32:00Z</cp:lastPrinted>
  <dcterms:created xsi:type="dcterms:W3CDTF">2025-03-04T06:05:00Z</dcterms:created>
  <dcterms:modified xsi:type="dcterms:W3CDTF">2025-03-11T04:18:00Z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0x0101009AFFE6FE768F1F4ABC2259CAA5A5E2B4</vt:lpwstr>
  </property>
  <property fmtid="{D5CDD505-2E9C-101B-9397-08002B2CF9AE}" pid="3" name="MediaServiceImageTags">
    <vt:lpwstr/>
  </property>
  <property fmtid="{D5CDD505-2E9C-101B-9397-08002B2CF9AE}" pid="4" name="Order">
    <vt:r8>1939400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