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1E79" w14:textId="77777777" w:rsidR="00E50E25" w:rsidRPr="006E19BC" w:rsidRDefault="006E19BC" w:rsidP="006E19BC">
      <w:pPr>
        <w:spacing w:after="0" w:line="240" w:lineRule="auto"/>
        <w:jc w:val="center"/>
        <w:rPr>
          <w:b/>
          <w:bCs/>
        </w:rPr>
      </w:pPr>
      <w:r w:rsidRPr="006E19BC">
        <w:rPr>
          <w:b/>
          <w:bCs/>
        </w:rPr>
        <w:t>SAG Policy Manual Subcommittee</w:t>
      </w:r>
    </w:p>
    <w:p w14:paraId="5EAFE4CB" w14:textId="7CC47848" w:rsidR="006E19BC" w:rsidRDefault="006E19BC" w:rsidP="006E19BC">
      <w:pPr>
        <w:spacing w:after="0" w:line="240" w:lineRule="auto"/>
        <w:jc w:val="center"/>
        <w:rPr>
          <w:b/>
          <w:bCs/>
        </w:rPr>
      </w:pPr>
      <w:r w:rsidRPr="006E19BC">
        <w:rPr>
          <w:b/>
          <w:bCs/>
        </w:rPr>
        <w:t xml:space="preserve">NTG for Disadvantaged Areas Policy </w:t>
      </w:r>
      <w:r w:rsidR="00CD29AD">
        <w:rPr>
          <w:b/>
          <w:bCs/>
        </w:rPr>
        <w:t>Follow-Up</w:t>
      </w:r>
    </w:p>
    <w:p w14:paraId="19BE8E80" w14:textId="185B6709" w:rsidR="0077337B" w:rsidRPr="00183E57" w:rsidRDefault="00183E57" w:rsidP="006E19BC">
      <w:pPr>
        <w:spacing w:after="0" w:line="240" w:lineRule="auto"/>
        <w:jc w:val="center"/>
        <w:rPr>
          <w:b/>
          <w:bCs/>
          <w:i/>
          <w:iCs/>
        </w:rPr>
      </w:pPr>
      <w:r w:rsidRPr="00183E57">
        <w:rPr>
          <w:b/>
          <w:bCs/>
          <w:i/>
          <w:iCs/>
        </w:rPr>
        <w:t xml:space="preserve">Provided </w:t>
      </w:r>
      <w:r w:rsidR="0077337B" w:rsidRPr="00183E57">
        <w:rPr>
          <w:b/>
          <w:bCs/>
          <w:i/>
          <w:iCs/>
        </w:rPr>
        <w:t>For Reference, to Inform Discussion at June 1, 2023 Policy Small Group Meeting</w:t>
      </w:r>
    </w:p>
    <w:p w14:paraId="0DFDE073" w14:textId="77777777" w:rsidR="00E90DE6" w:rsidRDefault="00E90DE6" w:rsidP="006E19BC">
      <w:pPr>
        <w:spacing w:after="0" w:line="240" w:lineRule="auto"/>
        <w:jc w:val="center"/>
        <w:rPr>
          <w:b/>
          <w:bCs/>
        </w:rPr>
      </w:pPr>
    </w:p>
    <w:p w14:paraId="3B794583" w14:textId="2F597572" w:rsidR="0077337B" w:rsidRDefault="00E90DE6" w:rsidP="006806C9">
      <w:pPr>
        <w:spacing w:after="0" w:line="240" w:lineRule="auto"/>
      </w:pPr>
      <w:r w:rsidRPr="006806C9">
        <w:t>The Ameren Illinois policy proposal on Net-to-Gross (NTG) for Disadvantaged Areas was last discussed at the May 10, 2023 Policy Manual Subcommittee meeting.</w:t>
      </w:r>
      <w:r w:rsidR="009D521F" w:rsidRPr="006806C9">
        <w:t xml:space="preserve"> Stakeholders requested information from each of the utilities to better understand the impact of this policy proposal</w:t>
      </w:r>
      <w:r w:rsidR="0077337B">
        <w:t>:</w:t>
      </w:r>
    </w:p>
    <w:p w14:paraId="6AC34FAF" w14:textId="28C1EBF1" w:rsidR="0077337B" w:rsidRPr="0077337B" w:rsidRDefault="0077337B" w:rsidP="0077337B">
      <w:pPr>
        <w:pStyle w:val="ListParagraph"/>
        <w:numPr>
          <w:ilvl w:val="0"/>
          <w:numId w:val="1"/>
        </w:numPr>
        <w:spacing w:after="0" w:line="240" w:lineRule="auto"/>
      </w:pPr>
      <w:r w:rsidRPr="0077337B">
        <w:t>Which programs or subsets or programs would this policy apply to, for both residential and business?</w:t>
      </w:r>
    </w:p>
    <w:p w14:paraId="0D19578C" w14:textId="019803CF" w:rsidR="0077337B" w:rsidRDefault="0077337B" w:rsidP="0077337B">
      <w:pPr>
        <w:pStyle w:val="ListParagraph"/>
        <w:numPr>
          <w:ilvl w:val="0"/>
          <w:numId w:val="1"/>
        </w:numPr>
        <w:spacing w:after="0" w:line="240" w:lineRule="auto"/>
      </w:pPr>
      <w:r w:rsidRPr="0077337B">
        <w:t>Provide examples of the types of business customers the policy would apply to under the updated eligibility proposal.</w:t>
      </w:r>
    </w:p>
    <w:p w14:paraId="1C69BAE8" w14:textId="77777777" w:rsidR="00183E57" w:rsidRDefault="00183E57" w:rsidP="00183E57">
      <w:pPr>
        <w:spacing w:after="0" w:line="240" w:lineRule="auto"/>
      </w:pPr>
    </w:p>
    <w:p w14:paraId="1389D7EB" w14:textId="3AE22E77" w:rsidR="00183E57" w:rsidRPr="00183E57" w:rsidRDefault="00183E57" w:rsidP="00183E57">
      <w:pPr>
        <w:spacing w:after="0" w:line="240" w:lineRule="auto"/>
        <w:rPr>
          <w:b/>
          <w:bCs/>
          <w:u w:val="single"/>
        </w:rPr>
      </w:pPr>
      <w:r w:rsidRPr="00183E57">
        <w:rPr>
          <w:b/>
          <w:bCs/>
          <w:u w:val="single"/>
        </w:rPr>
        <w:t>Question 1: Which programs or subsets or programs would this policy apply to, for both residential and business?</w:t>
      </w:r>
    </w:p>
    <w:p w14:paraId="3175E974" w14:textId="77777777" w:rsidR="00183E57" w:rsidRDefault="00183E57" w:rsidP="00183E57">
      <w:pPr>
        <w:spacing w:after="0" w:line="240" w:lineRule="auto"/>
      </w:pPr>
    </w:p>
    <w:p w14:paraId="1EA7AFB2" w14:textId="014FBFF0" w:rsidR="00183E57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Ameren Illinois Response:</w:t>
      </w:r>
    </w:p>
    <w:p w14:paraId="014FE7E0" w14:textId="0F4F0542" w:rsidR="003B4938" w:rsidRPr="003B4938" w:rsidRDefault="003B4938" w:rsidP="00183E57">
      <w:pPr>
        <w:spacing w:after="0" w:line="240" w:lineRule="auto"/>
      </w:pPr>
      <w:r>
        <w:t>Ameren plans to share information</w:t>
      </w:r>
      <w:r w:rsidRPr="003B4938">
        <w:t xml:space="preserve"> during the 6/1 small group meeting presentation.</w:t>
      </w:r>
    </w:p>
    <w:p w14:paraId="1D540892" w14:textId="77777777" w:rsidR="00183E57" w:rsidRPr="00B33A88" w:rsidRDefault="00183E57" w:rsidP="00183E57">
      <w:pPr>
        <w:spacing w:after="0" w:line="240" w:lineRule="auto"/>
        <w:rPr>
          <w:b/>
          <w:bCs/>
        </w:rPr>
      </w:pPr>
    </w:p>
    <w:p w14:paraId="25B7F585" w14:textId="3DCDD882" w:rsidR="00183E57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ComEd Response:</w:t>
      </w:r>
    </w:p>
    <w:p w14:paraId="6A602CE3" w14:textId="77777777" w:rsidR="0089643C" w:rsidRPr="00A60989" w:rsidRDefault="0089643C" w:rsidP="0089643C">
      <w:pPr>
        <w:spacing w:after="0" w:line="240" w:lineRule="auto"/>
      </w:pPr>
      <w:bookmarkStart w:id="0" w:name="_Hlk136441973"/>
      <w:r w:rsidRPr="00A60989">
        <w:t>Business &amp; Public Sector</w:t>
      </w:r>
    </w:p>
    <w:p w14:paraId="06A6F5CE" w14:textId="77777777" w:rsidR="0089643C" w:rsidRPr="00A60989" w:rsidRDefault="0089643C" w:rsidP="0089643C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Incentives</w:t>
      </w:r>
    </w:p>
    <w:p w14:paraId="4E30A48B" w14:textId="77777777" w:rsidR="0089643C" w:rsidRPr="00A60989" w:rsidRDefault="0089643C" w:rsidP="0089643C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Small Business</w:t>
      </w:r>
    </w:p>
    <w:p w14:paraId="3B2557FD" w14:textId="77777777" w:rsidR="0089643C" w:rsidRPr="00A60989" w:rsidRDefault="0089643C" w:rsidP="0089643C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Midstream/Upstream</w:t>
      </w:r>
    </w:p>
    <w:p w14:paraId="22AD698A" w14:textId="77777777" w:rsidR="0089643C" w:rsidRPr="00A60989" w:rsidRDefault="0089643C" w:rsidP="0089643C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Targeted Systems</w:t>
      </w:r>
    </w:p>
    <w:p w14:paraId="71B6AACC" w14:textId="77777777" w:rsidR="0089643C" w:rsidRPr="00A60989" w:rsidRDefault="0089643C" w:rsidP="0089643C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Behavior Bus/Pub</w:t>
      </w:r>
    </w:p>
    <w:p w14:paraId="68C3329F" w14:textId="3D08A8B0" w:rsidR="0089643C" w:rsidRDefault="0089643C" w:rsidP="00581901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New Construction Bus/Pub</w:t>
      </w:r>
    </w:p>
    <w:p w14:paraId="2379EE75" w14:textId="30B41605" w:rsidR="0089643C" w:rsidRDefault="0089643C" w:rsidP="0089643C">
      <w:pPr>
        <w:spacing w:after="0" w:line="240" w:lineRule="auto"/>
      </w:pPr>
      <w:r w:rsidRPr="00A60989">
        <w:t>Res</w:t>
      </w:r>
      <w:r>
        <w:t>idential</w:t>
      </w:r>
      <w:r w:rsidRPr="00A60989">
        <w:t xml:space="preserve"> </w:t>
      </w:r>
      <w:r>
        <w:t>(</w:t>
      </w:r>
      <w:r w:rsidR="00A0539E">
        <w:t xml:space="preserve">would apply to </w:t>
      </w:r>
      <w:r>
        <w:t>non-IQ</w:t>
      </w:r>
      <w:r w:rsidR="00BE789F">
        <w:t xml:space="preserve"> offerings </w:t>
      </w:r>
      <w:r>
        <w:t>within these programs)</w:t>
      </w:r>
    </w:p>
    <w:p w14:paraId="17BDB92D" w14:textId="77777777" w:rsidR="0089643C" w:rsidRDefault="0089643C" w:rsidP="0089643C">
      <w:pPr>
        <w:pStyle w:val="ListParagraph"/>
        <w:numPr>
          <w:ilvl w:val="0"/>
          <w:numId w:val="5"/>
        </w:numPr>
        <w:spacing w:after="0" w:line="240" w:lineRule="auto"/>
      </w:pPr>
      <w:bookmarkStart w:id="1" w:name="_Hlk136427208"/>
      <w:r>
        <w:t>Retail/Online</w:t>
      </w:r>
    </w:p>
    <w:p w14:paraId="6475AF70" w14:textId="77777777" w:rsidR="0089643C" w:rsidRDefault="0089643C" w:rsidP="0089643C">
      <w:pPr>
        <w:pStyle w:val="ListParagraph"/>
        <w:numPr>
          <w:ilvl w:val="0"/>
          <w:numId w:val="5"/>
        </w:numPr>
        <w:spacing w:after="0" w:line="240" w:lineRule="auto"/>
      </w:pPr>
      <w:r>
        <w:t>Product Distribution</w:t>
      </w:r>
    </w:p>
    <w:p w14:paraId="11D84F74" w14:textId="77777777" w:rsidR="0089643C" w:rsidRDefault="0089643C" w:rsidP="0089643C">
      <w:pPr>
        <w:pStyle w:val="ListParagraph"/>
        <w:numPr>
          <w:ilvl w:val="0"/>
          <w:numId w:val="5"/>
        </w:numPr>
        <w:spacing w:after="0" w:line="240" w:lineRule="auto"/>
      </w:pPr>
      <w:r>
        <w:t>Multifamily Upgrades</w:t>
      </w:r>
    </w:p>
    <w:p w14:paraId="326CE0F8" w14:textId="77777777" w:rsidR="0089643C" w:rsidRDefault="0089643C" w:rsidP="0089643C">
      <w:pPr>
        <w:pStyle w:val="ListParagraph"/>
        <w:numPr>
          <w:ilvl w:val="0"/>
          <w:numId w:val="5"/>
        </w:numPr>
        <w:spacing w:after="0" w:line="240" w:lineRule="auto"/>
      </w:pPr>
      <w:r>
        <w:t>Single-Family Upgrades</w:t>
      </w:r>
    </w:p>
    <w:p w14:paraId="15FF5D0B" w14:textId="77777777" w:rsidR="0089643C" w:rsidRDefault="0089643C" w:rsidP="0089643C">
      <w:pPr>
        <w:pStyle w:val="ListParagraph"/>
        <w:numPr>
          <w:ilvl w:val="0"/>
          <w:numId w:val="5"/>
        </w:numPr>
        <w:spacing w:after="0" w:line="240" w:lineRule="auto"/>
      </w:pPr>
      <w:r>
        <w:t>Contractor / Midstream Rebates</w:t>
      </w:r>
    </w:p>
    <w:p w14:paraId="1CF7D2D6" w14:textId="299EC2D0" w:rsidR="0089643C" w:rsidRPr="0089643C" w:rsidRDefault="0089643C" w:rsidP="00183E57">
      <w:pPr>
        <w:pStyle w:val="ListParagraph"/>
        <w:numPr>
          <w:ilvl w:val="0"/>
          <w:numId w:val="5"/>
        </w:numPr>
        <w:spacing w:after="0" w:line="240" w:lineRule="auto"/>
      </w:pPr>
      <w:r>
        <w:t>Electric Home New Construction</w:t>
      </w:r>
      <w:bookmarkEnd w:id="0"/>
      <w:bookmarkEnd w:id="1"/>
    </w:p>
    <w:p w14:paraId="6C2C8D64" w14:textId="77777777" w:rsidR="00183E57" w:rsidRPr="00B33A88" w:rsidRDefault="00183E57" w:rsidP="00183E57">
      <w:pPr>
        <w:spacing w:after="0" w:line="240" w:lineRule="auto"/>
        <w:rPr>
          <w:b/>
          <w:bCs/>
        </w:rPr>
      </w:pPr>
    </w:p>
    <w:p w14:paraId="1F0FD374" w14:textId="59F5E66E" w:rsidR="00183E57" w:rsidRPr="00B33A88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Nicor Gas Response:</w:t>
      </w:r>
    </w:p>
    <w:p w14:paraId="70CD4871" w14:textId="4EEA9542" w:rsidR="00676661" w:rsidRDefault="00676661" w:rsidP="00183E57">
      <w:pPr>
        <w:spacing w:after="0" w:line="240" w:lineRule="auto"/>
      </w:pPr>
      <w:r w:rsidRPr="00676661">
        <w:rPr>
          <w:i/>
          <w:iCs/>
        </w:rPr>
        <w:t>Residential Programs</w:t>
      </w:r>
      <w:r>
        <w:t xml:space="preserve"> (market </w:t>
      </w:r>
      <w:proofErr w:type="spellStart"/>
      <w:r>
        <w:t>rate</w:t>
      </w:r>
      <w:r w:rsidR="005E0722">
        <w:t>G</w:t>
      </w:r>
      <w:proofErr w:type="spellEnd"/>
      <w:r>
        <w:t>)</w:t>
      </w:r>
    </w:p>
    <w:p w14:paraId="6DC51081" w14:textId="04CE1376" w:rsidR="00676661" w:rsidRDefault="00676661" w:rsidP="0067666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Home Energy Savings (HES) </w:t>
      </w:r>
    </w:p>
    <w:p w14:paraId="78255EA4" w14:textId="77777777" w:rsidR="00676661" w:rsidRDefault="00676661" w:rsidP="0067666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Home Energy Efficiency Rebates (HEER) </w:t>
      </w:r>
    </w:p>
    <w:p w14:paraId="28F8E28D" w14:textId="77777777" w:rsidR="00676661" w:rsidRDefault="00676661" w:rsidP="0067666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Multi-family (MF) </w:t>
      </w:r>
    </w:p>
    <w:p w14:paraId="136BD3F6" w14:textId="6F17F2E4" w:rsidR="00C46F63" w:rsidRDefault="00676661" w:rsidP="0067666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Residential New Construction (RNC) </w:t>
      </w:r>
    </w:p>
    <w:p w14:paraId="6704FDAE" w14:textId="6E31F9C2" w:rsidR="00676661" w:rsidRPr="00676661" w:rsidRDefault="00676661" w:rsidP="00676661">
      <w:pPr>
        <w:spacing w:after="0" w:line="240" w:lineRule="auto"/>
        <w:rPr>
          <w:i/>
          <w:iCs/>
        </w:rPr>
      </w:pPr>
      <w:r w:rsidRPr="00676661">
        <w:rPr>
          <w:i/>
          <w:iCs/>
        </w:rPr>
        <w:t>Business Programs</w:t>
      </w:r>
    </w:p>
    <w:p w14:paraId="65E595B8" w14:textId="25AE27F3" w:rsidR="00676661" w:rsidRDefault="00676661" w:rsidP="00676661">
      <w:pPr>
        <w:pStyle w:val="ListParagraph"/>
        <w:numPr>
          <w:ilvl w:val="0"/>
          <w:numId w:val="7"/>
        </w:numPr>
        <w:spacing w:after="0" w:line="240" w:lineRule="auto"/>
      </w:pPr>
      <w:r w:rsidRPr="00676661">
        <w:t>Business Energy Efficiency Rebates (BEER)</w:t>
      </w:r>
    </w:p>
    <w:p w14:paraId="0BE776F9" w14:textId="5DB0509E" w:rsidR="00676661" w:rsidRDefault="00676661" w:rsidP="00676661">
      <w:pPr>
        <w:pStyle w:val="ListParagraph"/>
        <w:numPr>
          <w:ilvl w:val="0"/>
          <w:numId w:val="7"/>
        </w:numPr>
        <w:spacing w:after="0" w:line="240" w:lineRule="auto"/>
      </w:pPr>
      <w:r>
        <w:t>Custom Incentives (Custom)</w:t>
      </w:r>
    </w:p>
    <w:p w14:paraId="046D1E10" w14:textId="07E187F5" w:rsidR="00676661" w:rsidRDefault="00676661" w:rsidP="00676661">
      <w:pPr>
        <w:pStyle w:val="ListParagraph"/>
        <w:numPr>
          <w:ilvl w:val="0"/>
          <w:numId w:val="7"/>
        </w:numPr>
        <w:spacing w:after="0" w:line="240" w:lineRule="auto"/>
      </w:pPr>
      <w:r>
        <w:t>Small Business (SB)</w:t>
      </w:r>
    </w:p>
    <w:p w14:paraId="4179CF0E" w14:textId="02A6F940" w:rsidR="00676661" w:rsidRPr="00C46F63" w:rsidRDefault="00676661" w:rsidP="00676661">
      <w:pPr>
        <w:pStyle w:val="ListParagraph"/>
        <w:numPr>
          <w:ilvl w:val="0"/>
          <w:numId w:val="7"/>
        </w:numPr>
        <w:spacing w:after="0" w:line="240" w:lineRule="auto"/>
      </w:pPr>
      <w:r>
        <w:t>Commercial and Industrial New Construction (CINC)</w:t>
      </w:r>
    </w:p>
    <w:p w14:paraId="585DDF49" w14:textId="24A3AE4C" w:rsidR="00B33A88" w:rsidRPr="00976FC1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Peoples Gas/North Shore Gas Response:</w:t>
      </w:r>
    </w:p>
    <w:p w14:paraId="2B8154DD" w14:textId="77777777" w:rsidR="00B33A88" w:rsidRDefault="00B33A88" w:rsidP="00B33A88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14:ligatures w14:val="none"/>
        </w:rPr>
      </w:pPr>
      <w:r>
        <w:rPr>
          <w14:ligatures w14:val="none"/>
        </w:rPr>
        <w:t>Single Family Offerings</w:t>
      </w:r>
    </w:p>
    <w:p w14:paraId="1BA16559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lastRenderedPageBreak/>
        <w:t>Home Energy Assessment</w:t>
      </w:r>
    </w:p>
    <w:p w14:paraId="19B9D09D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Home Energy Rebates (HVAC/</w:t>
      </w:r>
      <w:proofErr w:type="spellStart"/>
      <w:r>
        <w:rPr>
          <w14:ligatures w14:val="none"/>
        </w:rPr>
        <w:t>Wx</w:t>
      </w:r>
      <w:proofErr w:type="spellEnd"/>
      <w:r>
        <w:rPr>
          <w14:ligatures w14:val="none"/>
        </w:rPr>
        <w:t>/Smart Stats)</w:t>
      </w:r>
    </w:p>
    <w:p w14:paraId="0884E33E" w14:textId="77777777" w:rsidR="00B33A88" w:rsidRDefault="00B33A88" w:rsidP="00B33A88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14:ligatures w14:val="none"/>
        </w:rPr>
      </w:pPr>
      <w:r>
        <w:rPr>
          <w14:ligatures w14:val="none"/>
        </w:rPr>
        <w:t>Multi-Family Offerings</w:t>
      </w:r>
    </w:p>
    <w:p w14:paraId="6D0E6A95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Market Rate Multi-Family Energy Savings</w:t>
      </w:r>
    </w:p>
    <w:p w14:paraId="5D1BC4A6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Prescriptive</w:t>
      </w:r>
    </w:p>
    <w:p w14:paraId="0D53EB26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Custom</w:t>
      </w:r>
    </w:p>
    <w:p w14:paraId="6770D849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Partner Trade Ally</w:t>
      </w:r>
    </w:p>
    <w:p w14:paraId="6F264D4C" w14:textId="77777777" w:rsidR="00B33A88" w:rsidRDefault="00B33A88" w:rsidP="00B33A88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14:ligatures w14:val="none"/>
        </w:rPr>
      </w:pPr>
      <w:r>
        <w:rPr>
          <w14:ligatures w14:val="none"/>
        </w:rPr>
        <w:t>Kit Offerings</w:t>
      </w:r>
    </w:p>
    <w:p w14:paraId="2B704237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Market Rate Education Kits</w:t>
      </w:r>
    </w:p>
    <w:p w14:paraId="0CA8F726" w14:textId="77777777" w:rsidR="00B33A88" w:rsidRDefault="00B33A88" w:rsidP="00B33A88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14:ligatures w14:val="none"/>
        </w:rPr>
      </w:pPr>
      <w:r>
        <w:rPr>
          <w14:ligatures w14:val="none"/>
        </w:rPr>
        <w:t xml:space="preserve">Business Program Offerings (SC2 – multi-family, business and public sector customers with usage of less than 41,000 </w:t>
      </w:r>
      <w:proofErr w:type="spellStart"/>
      <w:r>
        <w:rPr>
          <w14:ligatures w14:val="none"/>
        </w:rPr>
        <w:t>therms</w:t>
      </w:r>
      <w:proofErr w:type="spellEnd"/>
      <w:r>
        <w:rPr>
          <w14:ligatures w14:val="none"/>
        </w:rPr>
        <w:t>/month on average)</w:t>
      </w:r>
    </w:p>
    <w:p w14:paraId="491E2500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Small and Midsize Business (Prescriptive and Custom)</w:t>
      </w:r>
    </w:p>
    <w:p w14:paraId="247E53AF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Public Sector (Prescriptive and Custom)</w:t>
      </w:r>
    </w:p>
    <w:p w14:paraId="40925135" w14:textId="77777777" w:rsidR="00183E57" w:rsidRDefault="00183E57" w:rsidP="00183E57">
      <w:pPr>
        <w:spacing w:after="0" w:line="240" w:lineRule="auto"/>
      </w:pPr>
    </w:p>
    <w:p w14:paraId="145AE5E2" w14:textId="7FFABF23" w:rsidR="00183E57" w:rsidRPr="00183E57" w:rsidRDefault="00183E57" w:rsidP="00183E57">
      <w:pPr>
        <w:spacing w:after="0" w:line="240" w:lineRule="auto"/>
        <w:rPr>
          <w:b/>
          <w:bCs/>
          <w:u w:val="single"/>
        </w:rPr>
      </w:pPr>
      <w:r w:rsidRPr="00183E57">
        <w:rPr>
          <w:b/>
          <w:bCs/>
          <w:u w:val="single"/>
        </w:rPr>
        <w:t>Question 2: Provide examples of the types of business customers the policy would apply to under the updated eligibility proposal.</w:t>
      </w:r>
    </w:p>
    <w:p w14:paraId="2CF37EF9" w14:textId="77777777" w:rsidR="00183E57" w:rsidRDefault="00183E57" w:rsidP="00183E57">
      <w:pPr>
        <w:spacing w:after="0" w:line="240" w:lineRule="auto"/>
      </w:pPr>
    </w:p>
    <w:p w14:paraId="2C8CAAD2" w14:textId="77777777" w:rsidR="00183E57" w:rsidRPr="00B33A88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Ameren Illinois Response:</w:t>
      </w:r>
    </w:p>
    <w:p w14:paraId="2F69EC86" w14:textId="6783C374" w:rsidR="003B4938" w:rsidRPr="003B4938" w:rsidRDefault="003B4938" w:rsidP="003B4938">
      <w:pPr>
        <w:spacing w:after="0" w:line="240" w:lineRule="auto"/>
      </w:pPr>
      <w:r>
        <w:t>Ameren plans to share information</w:t>
      </w:r>
      <w:r w:rsidRPr="003B4938">
        <w:t xml:space="preserve"> during the 6/1 small group meeting presentation.</w:t>
      </w:r>
    </w:p>
    <w:p w14:paraId="2B81FC87" w14:textId="77777777" w:rsidR="00183E57" w:rsidRPr="00B33A88" w:rsidRDefault="00183E57" w:rsidP="00183E57">
      <w:pPr>
        <w:spacing w:after="0" w:line="240" w:lineRule="auto"/>
        <w:rPr>
          <w:b/>
          <w:bCs/>
        </w:rPr>
      </w:pPr>
    </w:p>
    <w:p w14:paraId="34C19066" w14:textId="77777777" w:rsidR="00183E57" w:rsidRPr="00B33A88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ComEd Response:</w:t>
      </w:r>
    </w:p>
    <w:p w14:paraId="0AC5B3FF" w14:textId="128211FD" w:rsidR="0089643C" w:rsidRDefault="0089643C" w:rsidP="00183E57">
      <w:pPr>
        <w:spacing w:after="0" w:line="240" w:lineRule="auto"/>
      </w:pPr>
      <w:r w:rsidRPr="0089643C">
        <w:t>This policy would apply to small and medium business customer</w:t>
      </w:r>
      <w:r>
        <w:t xml:space="preserve">s </w:t>
      </w:r>
      <w:r w:rsidR="00BE0174">
        <w:t xml:space="preserve">with an electrical peak demand under 400 kW </w:t>
      </w:r>
      <w:r w:rsidR="00FC4208">
        <w:t>according to the</w:t>
      </w:r>
      <w:r w:rsidR="00BE0174">
        <w:t xml:space="preserve"> </w:t>
      </w:r>
      <w:r>
        <w:t>rate class</w:t>
      </w:r>
      <w:r w:rsidR="00BE0174">
        <w:t>es</w:t>
      </w:r>
      <w:r>
        <w:t xml:space="preserve"> below. </w:t>
      </w:r>
      <w:r w:rsidR="004B3865">
        <w:t>Examples</w:t>
      </w:r>
      <w:r w:rsidR="00F421D7">
        <w:t xml:space="preserve"> of businesses</w:t>
      </w:r>
      <w:r w:rsidR="004B3865">
        <w:t xml:space="preserve"> </w:t>
      </w:r>
      <w:r w:rsidR="00036887">
        <w:t xml:space="preserve">and facilities </w:t>
      </w:r>
      <w:r w:rsidR="004B3865">
        <w:t xml:space="preserve">include retail stores, warehouses, convenience stores, low rise offices, restaurants, </w:t>
      </w:r>
      <w:r w:rsidR="00403470">
        <w:t xml:space="preserve">fire department, park districts, libraries, learning institutions, etc. </w:t>
      </w:r>
    </w:p>
    <w:p w14:paraId="35548F71" w14:textId="77777777" w:rsidR="00403470" w:rsidRPr="0089643C" w:rsidRDefault="00403470" w:rsidP="00183E5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814"/>
      </w:tblGrid>
      <w:tr w:rsidR="0089643C" w14:paraId="26C424A0" w14:textId="77777777" w:rsidTr="008F07B9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AE4F" w14:textId="77777777" w:rsidR="0089643C" w:rsidRDefault="0089643C" w:rsidP="008F07B9">
            <w:r>
              <w:t>C28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EBDB" w14:textId="77777777" w:rsidR="0089643C" w:rsidRDefault="0089643C" w:rsidP="008F07B9">
            <w:r>
              <w:t>Small (0-100 kW)</w:t>
            </w:r>
          </w:p>
        </w:tc>
      </w:tr>
      <w:tr w:rsidR="0089643C" w14:paraId="1C88C690" w14:textId="77777777" w:rsidTr="008F07B9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CF76" w14:textId="77777777" w:rsidR="0089643C" w:rsidRDefault="0089643C" w:rsidP="008F07B9">
            <w:r>
              <w:t>C29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CAB2" w14:textId="77777777" w:rsidR="0089643C" w:rsidRDefault="0089643C" w:rsidP="008F07B9">
            <w:r>
              <w:t>Medium (100-400 kW)</w:t>
            </w:r>
          </w:p>
        </w:tc>
      </w:tr>
    </w:tbl>
    <w:p w14:paraId="2FECD7C4" w14:textId="77777777" w:rsidR="0089643C" w:rsidRPr="00B33A88" w:rsidRDefault="0089643C" w:rsidP="00183E57">
      <w:pPr>
        <w:spacing w:after="0" w:line="240" w:lineRule="auto"/>
        <w:rPr>
          <w:b/>
          <w:bCs/>
        </w:rPr>
      </w:pPr>
    </w:p>
    <w:p w14:paraId="63BDB85F" w14:textId="77777777" w:rsidR="00183E57" w:rsidRPr="00B33A88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Nicor Gas Response:</w:t>
      </w:r>
    </w:p>
    <w:p w14:paraId="00570369" w14:textId="3F5F574E" w:rsidR="00183E57" w:rsidRDefault="00676661" w:rsidP="00183E57">
      <w:pPr>
        <w:spacing w:after="0" w:line="240" w:lineRule="auto"/>
      </w:pPr>
      <w:r>
        <w:t xml:space="preserve">This policy would apply to all businesses within the define disadvantaged area. </w:t>
      </w:r>
    </w:p>
    <w:p w14:paraId="2BB2A79B" w14:textId="77777777" w:rsidR="00C46F63" w:rsidRPr="00B33A88" w:rsidRDefault="00C46F63" w:rsidP="00183E57">
      <w:pPr>
        <w:spacing w:after="0" w:line="240" w:lineRule="auto"/>
        <w:rPr>
          <w:b/>
          <w:bCs/>
        </w:rPr>
      </w:pPr>
    </w:p>
    <w:p w14:paraId="252A8B7E" w14:textId="77777777" w:rsidR="00183E57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Peoples Gas/North Shore Gas Response:</w:t>
      </w:r>
    </w:p>
    <w:p w14:paraId="04487667" w14:textId="6AF2FECB" w:rsidR="00203E89" w:rsidRPr="00B33A88" w:rsidRDefault="00203E89" w:rsidP="00183E57">
      <w:pPr>
        <w:spacing w:after="0" w:line="240" w:lineRule="auto"/>
        <w:rPr>
          <w:b/>
          <w:bCs/>
        </w:rPr>
      </w:pPr>
      <w:r w:rsidRPr="002B7389">
        <w:rPr>
          <w:bCs/>
        </w:rPr>
        <w:t xml:space="preserve">This policy would apply to small business customers in our Service Class 2 (SC2). SC2 </w:t>
      </w:r>
      <w:r>
        <w:rPr>
          <w:bCs/>
        </w:rPr>
        <w:t>applies to customers using</w:t>
      </w:r>
      <w:r w:rsidRPr="002B7389">
        <w:rPr>
          <w:bCs/>
        </w:rPr>
        <w:t xml:space="preserve"> less than 41,000 </w:t>
      </w:r>
      <w:proofErr w:type="spellStart"/>
      <w:r w:rsidRPr="002B7389">
        <w:rPr>
          <w:bCs/>
        </w:rPr>
        <w:t>therms</w:t>
      </w:r>
      <w:proofErr w:type="spellEnd"/>
      <w:r w:rsidRPr="002B7389">
        <w:rPr>
          <w:bCs/>
        </w:rPr>
        <w:t xml:space="preserve"> per month</w:t>
      </w:r>
      <w:r>
        <w:rPr>
          <w:bCs/>
        </w:rPr>
        <w:t xml:space="preserve"> on average</w:t>
      </w:r>
      <w:r w:rsidRPr="002B7389">
        <w:rPr>
          <w:bCs/>
        </w:rPr>
        <w:t xml:space="preserve">. Examples of types of business customers include coffee shops, fast food restaurants, convenience stores, pharmacies, hair salons, </w:t>
      </w:r>
      <w:r>
        <w:rPr>
          <w:bCs/>
        </w:rPr>
        <w:t xml:space="preserve">laundromats, </w:t>
      </w:r>
      <w:r w:rsidRPr="002B7389">
        <w:rPr>
          <w:bCs/>
        </w:rPr>
        <w:t>small office buildings</w:t>
      </w:r>
      <w:r>
        <w:rPr>
          <w:bCs/>
        </w:rPr>
        <w:t>, etc</w:t>
      </w:r>
      <w:r w:rsidRPr="002B7389">
        <w:rPr>
          <w:bCs/>
        </w:rPr>
        <w:t>.</w:t>
      </w:r>
    </w:p>
    <w:p w14:paraId="5896CEE9" w14:textId="77777777" w:rsidR="00183E57" w:rsidRPr="0077337B" w:rsidRDefault="00183E57" w:rsidP="00183E57">
      <w:pPr>
        <w:spacing w:after="0" w:line="240" w:lineRule="auto"/>
      </w:pPr>
    </w:p>
    <w:sectPr w:rsidR="00183E57" w:rsidRPr="00773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544" w14:textId="77777777" w:rsidR="00C84943" w:rsidRDefault="00C84943" w:rsidP="00C84943">
      <w:pPr>
        <w:spacing w:after="0" w:line="240" w:lineRule="auto"/>
      </w:pPr>
      <w:r>
        <w:separator/>
      </w:r>
    </w:p>
  </w:endnote>
  <w:endnote w:type="continuationSeparator" w:id="0">
    <w:p w14:paraId="557A467F" w14:textId="77777777" w:rsidR="00C84943" w:rsidRDefault="00C84943" w:rsidP="00C8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C268" w14:textId="77777777" w:rsidR="00C84943" w:rsidRDefault="00C84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722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AF3EA" w14:textId="6791DF3F" w:rsidR="00C84943" w:rsidRDefault="00C84943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F5C06" w14:textId="77777777" w:rsidR="00C84943" w:rsidRDefault="00C84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75ED" w14:textId="77777777" w:rsidR="00C84943" w:rsidRDefault="00C8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B47A" w14:textId="77777777" w:rsidR="00C84943" w:rsidRDefault="00C84943" w:rsidP="00C84943">
      <w:pPr>
        <w:spacing w:after="0" w:line="240" w:lineRule="auto"/>
      </w:pPr>
      <w:r>
        <w:separator/>
      </w:r>
    </w:p>
  </w:footnote>
  <w:footnote w:type="continuationSeparator" w:id="0">
    <w:p w14:paraId="3FA0B5E8" w14:textId="77777777" w:rsidR="00C84943" w:rsidRDefault="00C84943" w:rsidP="00C8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BA41" w14:textId="77777777" w:rsidR="00C84943" w:rsidRDefault="00C84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9F98" w14:textId="77777777" w:rsidR="00C84943" w:rsidRDefault="00C84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6821" w14:textId="77777777" w:rsidR="00C84943" w:rsidRDefault="00C84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C87"/>
    <w:multiLevelType w:val="hybridMultilevel"/>
    <w:tmpl w:val="58EC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25C2"/>
    <w:multiLevelType w:val="hybridMultilevel"/>
    <w:tmpl w:val="58ECC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C18FD"/>
    <w:multiLevelType w:val="multilevel"/>
    <w:tmpl w:val="8F1E0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49365173"/>
    <w:multiLevelType w:val="hybridMultilevel"/>
    <w:tmpl w:val="CA20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A5473"/>
    <w:multiLevelType w:val="hybridMultilevel"/>
    <w:tmpl w:val="EB26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36E7C"/>
    <w:multiLevelType w:val="hybridMultilevel"/>
    <w:tmpl w:val="AE7E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90C98"/>
    <w:multiLevelType w:val="hybridMultilevel"/>
    <w:tmpl w:val="D07C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60704">
    <w:abstractNumId w:val="0"/>
  </w:num>
  <w:num w:numId="2" w16cid:durableId="860555971">
    <w:abstractNumId w:val="1"/>
  </w:num>
  <w:num w:numId="3" w16cid:durableId="1672677151">
    <w:abstractNumId w:val="2"/>
  </w:num>
  <w:num w:numId="4" w16cid:durableId="1988514908">
    <w:abstractNumId w:val="3"/>
  </w:num>
  <w:num w:numId="5" w16cid:durableId="61103950">
    <w:abstractNumId w:val="5"/>
  </w:num>
  <w:num w:numId="6" w16cid:durableId="1518932375">
    <w:abstractNumId w:val="6"/>
  </w:num>
  <w:num w:numId="7" w16cid:durableId="426728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BC"/>
    <w:rsid w:val="00036887"/>
    <w:rsid w:val="00183E57"/>
    <w:rsid w:val="00186403"/>
    <w:rsid w:val="00203E89"/>
    <w:rsid w:val="00333D76"/>
    <w:rsid w:val="003B4938"/>
    <w:rsid w:val="00403470"/>
    <w:rsid w:val="004B3865"/>
    <w:rsid w:val="00573D27"/>
    <w:rsid w:val="00581901"/>
    <w:rsid w:val="00584F38"/>
    <w:rsid w:val="005E0722"/>
    <w:rsid w:val="006609C6"/>
    <w:rsid w:val="006737EF"/>
    <w:rsid w:val="00676661"/>
    <w:rsid w:val="006806C9"/>
    <w:rsid w:val="006913B9"/>
    <w:rsid w:val="006E19BC"/>
    <w:rsid w:val="007328A7"/>
    <w:rsid w:val="0077337B"/>
    <w:rsid w:val="007E50BB"/>
    <w:rsid w:val="0089643C"/>
    <w:rsid w:val="008E36C1"/>
    <w:rsid w:val="00976FC1"/>
    <w:rsid w:val="009D521F"/>
    <w:rsid w:val="009F3DB2"/>
    <w:rsid w:val="00A0539E"/>
    <w:rsid w:val="00B12298"/>
    <w:rsid w:val="00B33A88"/>
    <w:rsid w:val="00BE0174"/>
    <w:rsid w:val="00BE789F"/>
    <w:rsid w:val="00C46F63"/>
    <w:rsid w:val="00C84943"/>
    <w:rsid w:val="00CD29AD"/>
    <w:rsid w:val="00E20AFC"/>
    <w:rsid w:val="00E90DE6"/>
    <w:rsid w:val="00F421D7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0FF647"/>
  <w15:chartTrackingRefBased/>
  <w15:docId w15:val="{A489CAFF-DD28-428B-A8C2-783761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43"/>
  </w:style>
  <w:style w:type="paragraph" w:styleId="Footer">
    <w:name w:val="footer"/>
    <w:basedOn w:val="Normal"/>
    <w:link w:val="FooterChar"/>
    <w:uiPriority w:val="99"/>
    <w:unhideWhenUsed/>
    <w:rsid w:val="00C8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9D51-F427-4BF2-9005-8C9C3591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2</cp:revision>
  <dcterms:created xsi:type="dcterms:W3CDTF">2023-06-01T19:14:00Z</dcterms:created>
  <dcterms:modified xsi:type="dcterms:W3CDTF">2023-06-01T19:14:00Z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2023-05-31T21:39:03Z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c8ab81b1-7ed3-4217-91a2-706521f99661</vt:lpwstr>
  </property>
  <property fmtid="{D5CDD505-2E9C-101B-9397-08002B2CF9AE}" pid="8" name="MSIP_Label_c968b3d1-e05f-4796-9c23-acaf26d588cb_ContentBits">
    <vt:lpwstr>0</vt:lpwstr>
  </property>
  <property fmtid="{D5CDD505-2E9C-101B-9397-08002B2CF9AE}" pid="9" name="MSIP_Label_ed3826ce-7c18-471d-9596-93de5bae332e_Enabled">
    <vt:lpwstr>true</vt:lpwstr>
  </property>
  <property fmtid="{D5CDD505-2E9C-101B-9397-08002B2CF9AE}" pid="10" name="MSIP_Label_ed3826ce-7c18-471d-9596-93de5bae332e_SetDate">
    <vt:lpwstr>2023-06-01T18:13:55Z</vt:lpwstr>
  </property>
  <property fmtid="{D5CDD505-2E9C-101B-9397-08002B2CF9AE}" pid="11" name="MSIP_Label_ed3826ce-7c18-471d-9596-93de5bae332e_Method">
    <vt:lpwstr>Standard</vt:lpwstr>
  </property>
  <property fmtid="{D5CDD505-2E9C-101B-9397-08002B2CF9AE}" pid="12" name="MSIP_Label_ed3826ce-7c18-471d-9596-93de5bae332e_Name">
    <vt:lpwstr>Internal</vt:lpwstr>
  </property>
  <property fmtid="{D5CDD505-2E9C-101B-9397-08002B2CF9AE}" pid="13" name="MSIP_Label_ed3826ce-7c18-471d-9596-93de5bae332e_SiteId">
    <vt:lpwstr>c0a02e2d-1186-410a-8895-0a4a252ebf17</vt:lpwstr>
  </property>
  <property fmtid="{D5CDD505-2E9C-101B-9397-08002B2CF9AE}" pid="14" name="MSIP_Label_ed3826ce-7c18-471d-9596-93de5bae332e_ActionId">
    <vt:lpwstr>db1cedc8-9d14-4828-a6a2-97861374a014</vt:lpwstr>
  </property>
  <property fmtid="{D5CDD505-2E9C-101B-9397-08002B2CF9AE}" pid="15" name="MSIP_Label_ed3826ce-7c18-471d-9596-93de5bae332e_ContentBits">
    <vt:lpwstr>0</vt:lpwstr>
  </property>
</Properties>
</file>