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5531" w14:textId="07F0A088" w:rsidR="00B47F2E" w:rsidRDefault="00B47F2E" w:rsidP="00B47F2E">
      <w:pPr>
        <w:pStyle w:val="Heading1ALT"/>
      </w:pPr>
      <w:bookmarkStart w:id="0" w:name="_Hlk4751752"/>
      <w:r>
        <w:t xml:space="preserve">Market Transformation - Proposed options and evaluation considerations for Stretch </w:t>
      </w:r>
      <w:r w:rsidR="008B0D5B">
        <w:t xml:space="preserve">ENERGY </w:t>
      </w:r>
      <w:r>
        <w:t>Codes</w:t>
      </w:r>
    </w:p>
    <w:p w14:paraId="78B2B575" w14:textId="7F674369" w:rsidR="00B47F2E" w:rsidRDefault="00B47F2E" w:rsidP="009D5FDC">
      <w:pPr>
        <w:pStyle w:val="Bodysansserif"/>
      </w:pPr>
      <w:r w:rsidRPr="00B47F2E">
        <w:rPr>
          <w:b/>
          <w:bCs/>
        </w:rPr>
        <w:t xml:space="preserve">Developed by: </w:t>
      </w:r>
      <w:r>
        <w:t xml:space="preserve">Slipstream </w:t>
      </w:r>
      <w:r w:rsidR="009D5FDC">
        <w:t xml:space="preserve">| </w:t>
      </w:r>
      <w:r>
        <w:t xml:space="preserve">MEEA </w:t>
      </w:r>
      <w:r w:rsidR="009D5FDC">
        <w:t xml:space="preserve">| </w:t>
      </w:r>
      <w:r>
        <w:t xml:space="preserve">Guidehouse </w:t>
      </w:r>
    </w:p>
    <w:p w14:paraId="3C1FC973" w14:textId="77777777" w:rsidR="00B47F2E" w:rsidRDefault="00B47F2E" w:rsidP="00B47F2E">
      <w:pPr>
        <w:pStyle w:val="Heading2ALT"/>
      </w:pPr>
      <w:r>
        <w:t xml:space="preserve">Background: </w:t>
      </w:r>
    </w:p>
    <w:p w14:paraId="2A800E54" w14:textId="45464AB7" w:rsidR="00B47F2E" w:rsidRDefault="00B47F2E" w:rsidP="00B47F2E">
      <w:pPr>
        <w:pStyle w:val="Bodysansserif"/>
      </w:pPr>
      <w:r>
        <w:t>This document serves as a working document to propose key elements of evaluation for market transformation of stretch code program and building performance standard</w:t>
      </w:r>
      <w:r w:rsidR="00BA5725">
        <w:t xml:space="preserve"> (BPS)</w:t>
      </w:r>
      <w:r>
        <w:t>.</w:t>
      </w:r>
      <w:r w:rsidR="009854D4">
        <w:t xml:space="preserve"> The Slipstream/MEEA team presented to the IL SAG on March 17</w:t>
      </w:r>
      <w:r w:rsidR="009854D4" w:rsidRPr="009854D4">
        <w:rPr>
          <w:vertAlign w:val="superscript"/>
        </w:rPr>
        <w:t>th</w:t>
      </w:r>
      <w:r w:rsidR="009854D4">
        <w:t xml:space="preserve"> on</w:t>
      </w:r>
      <w:r w:rsidR="003C34AD">
        <w:t xml:space="preserve"> stretch codes and BPS, in relation to how utilities might be able to claim savings for policy advancement and policy support.  </w:t>
      </w:r>
      <w:r w:rsidR="008D1D86">
        <w:t>The team was asked to convene with a smaller SAG working group. The smaller group met on May 7</w:t>
      </w:r>
      <w:r w:rsidR="008D1D86" w:rsidRPr="008D1D86">
        <w:rPr>
          <w:vertAlign w:val="superscript"/>
        </w:rPr>
        <w:t>th</w:t>
      </w:r>
      <w:r w:rsidR="008D1D86">
        <w:t xml:space="preserve"> to discuss pathways for utilities to claim savings.  Out of that meeting, the MEEA/Slipstream team was tasked to collaborat</w:t>
      </w:r>
      <w:r w:rsidR="00A934EA">
        <w:t>e</w:t>
      </w:r>
      <w:r w:rsidR="008D1D86">
        <w:t xml:space="preserve"> with the evaluation teams (Guidehouse and Opinion Dynamics Corporation) </w:t>
      </w:r>
      <w:r w:rsidR="0079524E">
        <w:t xml:space="preserve">to develop evaluation pathways for the SAG Market Transformation Working Group to consider.  </w:t>
      </w:r>
    </w:p>
    <w:p w14:paraId="0DB28648" w14:textId="77777777" w:rsidR="00B47F2E" w:rsidRDefault="00B47F2E" w:rsidP="004914C8">
      <w:pPr>
        <w:pStyle w:val="Heading3ALT"/>
      </w:pPr>
      <w:r>
        <w:t xml:space="preserve">Definitions </w:t>
      </w:r>
    </w:p>
    <w:p w14:paraId="14D642DD" w14:textId="12913D88" w:rsidR="00B47F2E" w:rsidRDefault="00B47F2E" w:rsidP="008F5F1C">
      <w:pPr>
        <w:pStyle w:val="Bodysansserif"/>
      </w:pPr>
      <w:r w:rsidRPr="005C1167">
        <w:rPr>
          <w:b/>
          <w:bCs/>
        </w:rPr>
        <w:t>Stretch code:</w:t>
      </w:r>
      <w:r>
        <w:t xml:space="preserve"> </w:t>
      </w:r>
      <w:r w:rsidR="00A962F9" w:rsidRPr="00A962F9">
        <w:t>A stretch code, also known as a “reach code”, is a locally mandated code or alternative compliance path that defines a higher level of energy efficiency or sustainability than the adopted base code.</w:t>
      </w:r>
      <w:r w:rsidR="0079524E">
        <w:t xml:space="preserve"> For purposes of this document, we are only considering stretch codes for commercial new construction or major renovations. We exclude residential because state law prohibits building energy codes beyond the </w:t>
      </w:r>
      <w:r w:rsidR="00537486">
        <w:t>base</w:t>
      </w:r>
      <w:r w:rsidR="0079524E">
        <w:t xml:space="preserve"> code in that building sector. </w:t>
      </w:r>
    </w:p>
    <w:p w14:paraId="6C615397" w14:textId="6686D072" w:rsidR="0079524E" w:rsidRDefault="0079524E" w:rsidP="008F5F1C">
      <w:pPr>
        <w:pStyle w:val="Bodysansserif"/>
      </w:pPr>
      <w:r>
        <w:t>Currently, stretch codes policies do not exist in Illinois</w:t>
      </w:r>
      <w:r w:rsidR="002435CA">
        <w:rPr>
          <w:rStyle w:val="FootnoteReference"/>
        </w:rPr>
        <w:footnoteReference w:id="2"/>
      </w:r>
      <w:r>
        <w:t xml:space="preserve">. Municipalities are allowed to define their own stretch </w:t>
      </w:r>
      <w:r w:rsidR="001308EC">
        <w:t xml:space="preserve">energy </w:t>
      </w:r>
      <w:r>
        <w:t xml:space="preserve">code for their commercial buildings, but no municipalities have taken that step to date.  However, statewide legislation </w:t>
      </w:r>
      <w:r w:rsidR="004C411A">
        <w:t>was</w:t>
      </w:r>
      <w:r>
        <w:t xml:space="preserve"> introduced </w:t>
      </w:r>
      <w:r w:rsidR="004C411A">
        <w:t>during the 2020-2021 Legislative Session</w:t>
      </w:r>
      <w:r>
        <w:t xml:space="preserve"> to provide us with a preview of potential options. </w:t>
      </w:r>
      <w:r w:rsidR="003F6A42">
        <w:t xml:space="preserve">The stretch code as introduced would </w:t>
      </w:r>
      <w:r w:rsidR="00A253E5">
        <w:t xml:space="preserve">require the state to </w:t>
      </w:r>
      <w:r w:rsidR="00F0627E">
        <w:t>create a stretch code option</w:t>
      </w:r>
      <w:r w:rsidR="00C84EB1">
        <w:t>,</w:t>
      </w:r>
      <w:r w:rsidR="00F0627E">
        <w:t xml:space="preserve"> which </w:t>
      </w:r>
      <w:r w:rsidR="00C84EB1">
        <w:t>w</w:t>
      </w:r>
      <w:r w:rsidR="00F0627E">
        <w:t>ould then become the required energy code for jurisdictions that chose to adopt it. Having a</w:t>
      </w:r>
      <w:r w:rsidR="00EA28CE">
        <w:t xml:space="preserve"> state-created stretch code </w:t>
      </w:r>
      <w:r w:rsidR="00582E90">
        <w:t>provides consistency</w:t>
      </w:r>
      <w:r w:rsidR="00EA28CE">
        <w:t xml:space="preserve"> </w:t>
      </w:r>
      <w:r w:rsidR="00786086">
        <w:t>among</w:t>
      </w:r>
      <w:r w:rsidR="00804F3D">
        <w:t xml:space="preserve">st jurisdictions (only two energy code options rather than </w:t>
      </w:r>
      <w:r w:rsidR="00953ADC">
        <w:t>an unlimited amount if each jurisdiction creates and adopts their own)</w:t>
      </w:r>
      <w:r w:rsidR="00E73C7A">
        <w:t xml:space="preserve"> </w:t>
      </w:r>
      <w:r w:rsidR="002B4154">
        <w:t>and</w:t>
      </w:r>
      <w:r w:rsidR="00953ADC">
        <w:t xml:space="preserve"> allows flexibility for jurisdictions to choose or not choose to adopt it.</w:t>
      </w:r>
      <w:r w:rsidR="00EA28CE">
        <w:t xml:space="preserve"> </w:t>
      </w:r>
      <w:r>
        <w:t>The evaluation pathways will reflect th</w:t>
      </w:r>
      <w:r w:rsidR="004C411A">
        <w:t>at</w:t>
      </w:r>
      <w:r>
        <w:t xml:space="preserve"> </w:t>
      </w:r>
      <w:r>
        <w:lastRenderedPageBreak/>
        <w:t xml:space="preserve">specific policy; in our overview below, we highlight areas where the evaluation options vary based on stretch code policy defined.  </w:t>
      </w:r>
    </w:p>
    <w:p w14:paraId="6BF91855" w14:textId="557DC680" w:rsidR="008F5F1C" w:rsidRDefault="00BA5725" w:rsidP="00A80DFC">
      <w:pPr>
        <w:pStyle w:val="Bodysansserif"/>
      </w:pPr>
      <w:r>
        <w:rPr>
          <w:b/>
          <w:bCs/>
        </w:rPr>
        <w:t>Building Performance Standard (</w:t>
      </w:r>
      <w:r w:rsidR="00B47F2E" w:rsidRPr="005C1167">
        <w:rPr>
          <w:b/>
          <w:bCs/>
        </w:rPr>
        <w:t>BPS</w:t>
      </w:r>
      <w:r>
        <w:rPr>
          <w:b/>
          <w:bCs/>
        </w:rPr>
        <w:t>)</w:t>
      </w:r>
      <w:r w:rsidR="00B47F2E" w:rsidRPr="005C1167">
        <w:rPr>
          <w:b/>
          <w:bCs/>
        </w:rPr>
        <w:t>:</w:t>
      </w:r>
      <w:r w:rsidR="004914C8">
        <w:rPr>
          <w:b/>
          <w:bCs/>
        </w:rPr>
        <w:t xml:space="preserve"> </w:t>
      </w:r>
      <w:r w:rsidR="005C1167">
        <w:t>Policy that s</w:t>
      </w:r>
      <w:r w:rsidR="005C1167" w:rsidRPr="005C1167">
        <w:t>et</w:t>
      </w:r>
      <w:r w:rsidR="005C1167">
        <w:t>s</w:t>
      </w:r>
      <w:r w:rsidR="005C1167" w:rsidRPr="005C1167">
        <w:t xml:space="preserve"> energy use or carbon emissions thresholds for commercial buildings within a jurisdiction.</w:t>
      </w:r>
      <w:r>
        <w:t xml:space="preserve"> </w:t>
      </w:r>
      <w:r w:rsidR="00A80DFC">
        <w:t>Typically</w:t>
      </w:r>
      <w:r w:rsidR="002B4154">
        <w:t>,</w:t>
      </w:r>
      <w:r>
        <w:t xml:space="preserve"> this policy is a progression from benchmarking ordinances that require a subset of commercial building properties to benchmark and disclose their energy performance. </w:t>
      </w:r>
      <w:r w:rsidR="00A80DFC">
        <w:t xml:space="preserve"> In Illinois, there currently are only two jurisdictions with benchmarking ordinances (Chicago and Evanston) and no municipalities that have enacted BPS.   </w:t>
      </w:r>
      <w:r w:rsidR="00577785">
        <w:t xml:space="preserve"> </w:t>
      </w:r>
    </w:p>
    <w:p w14:paraId="3E1C1066" w14:textId="77777777" w:rsidR="00A80DFC" w:rsidRDefault="00A80DFC" w:rsidP="00A80DFC">
      <w:pPr>
        <w:pStyle w:val="Heading3ALT"/>
      </w:pPr>
      <w:r>
        <w:t xml:space="preserve">Focus of this document: </w:t>
      </w:r>
    </w:p>
    <w:p w14:paraId="6A7C64B6" w14:textId="5534FAC2" w:rsidR="008F5F1C" w:rsidRDefault="008F5F1C" w:rsidP="007A49CB">
      <w:pPr>
        <w:pStyle w:val="Bodysansserif"/>
      </w:pPr>
      <w:r>
        <w:t xml:space="preserve">For the first draft of this document, we primarily focus on evaluation pathways for </w:t>
      </w:r>
      <w:r w:rsidR="002B4154">
        <w:t>stretch</w:t>
      </w:r>
      <w:r>
        <w:t xml:space="preserve"> codes. Once we have agreement on stretch code pathways, we can apply similar approaches for BPS.  </w:t>
      </w:r>
    </w:p>
    <w:p w14:paraId="53E4C0DE" w14:textId="7CBA188D" w:rsidR="00B47F2E" w:rsidRDefault="00B47F2E" w:rsidP="005C1167">
      <w:pPr>
        <w:pStyle w:val="Heading2ALT"/>
      </w:pPr>
      <w:r>
        <w:t xml:space="preserve">Market </w:t>
      </w:r>
      <w:r w:rsidRPr="005C1167">
        <w:t>Transformation</w:t>
      </w:r>
      <w:r>
        <w:t xml:space="preserve"> Overview </w:t>
      </w:r>
    </w:p>
    <w:p w14:paraId="03270218" w14:textId="52D34548" w:rsidR="00547956" w:rsidRDefault="00D8682D" w:rsidP="00D8682D">
      <w:pPr>
        <w:pStyle w:val="Bodysansserif"/>
      </w:pPr>
      <w:r>
        <w:t xml:space="preserve">Per discussion </w:t>
      </w:r>
      <w:r w:rsidR="00444934">
        <w:t xml:space="preserve">on stretch codes and BPS </w:t>
      </w:r>
      <w:r>
        <w:t>in earlier SAG meetings,</w:t>
      </w:r>
      <w:r w:rsidR="00BD0F4B">
        <w:t xml:space="preserve"> stretch codes and BPS policies should be considered as Market Transformation (MT) initiatives.  While there </w:t>
      </w:r>
      <w:r w:rsidR="00486DFA">
        <w:t>may be</w:t>
      </w:r>
      <w:r w:rsidR="00BD0F4B">
        <w:t xml:space="preserve"> </w:t>
      </w:r>
      <w:r w:rsidR="00F45721">
        <w:t>elements</w:t>
      </w:r>
      <w:r w:rsidR="00BD0F4B">
        <w:t xml:space="preserve"> of Resource Acquisition Programs (RAP), </w:t>
      </w:r>
      <w:r w:rsidR="00547956">
        <w:t xml:space="preserve">there are a number of characteristics of such programs that  follow </w:t>
      </w:r>
      <w:r w:rsidR="00B62A7F">
        <w:t xml:space="preserve">the </w:t>
      </w:r>
      <w:r w:rsidR="00547956">
        <w:t xml:space="preserve">MT framework.  </w:t>
      </w:r>
      <w:r w:rsidR="005E55D4">
        <w:t xml:space="preserve">Based on Attachment C of the IL Technical </w:t>
      </w:r>
      <w:r w:rsidR="007D6056">
        <w:t>Resource</w:t>
      </w:r>
      <w:r w:rsidR="005E55D4">
        <w:t xml:space="preserve"> Manual (TRM), we provide </w:t>
      </w:r>
      <w:r w:rsidR="001C12DB">
        <w:t xml:space="preserve">characteristics of stretch code and BPS programs that follow the Market </w:t>
      </w:r>
      <w:r w:rsidR="007D6056">
        <w:t xml:space="preserve">Transformation </w:t>
      </w:r>
      <w:r w:rsidR="001C12DB">
        <w:t>Theory Umbrella.</w:t>
      </w:r>
    </w:p>
    <w:p w14:paraId="47909C2C" w14:textId="1E8984CC" w:rsidR="00A033CA" w:rsidRDefault="00A033CA" w:rsidP="00A033CA">
      <w:pPr>
        <w:pStyle w:val="Caption"/>
        <w:keepNext/>
      </w:pPr>
      <w:r>
        <w:t xml:space="preserve">Table </w:t>
      </w:r>
      <w:fldSimple w:instr=" SEQ Table \* ARABIC ">
        <w:r>
          <w:rPr>
            <w:noProof/>
          </w:rPr>
          <w:t>1</w:t>
        </w:r>
      </w:fldSimple>
      <w:r>
        <w:t>: Stretch code policies and market transformation characteristics</w:t>
      </w:r>
    </w:p>
    <w:tbl>
      <w:tblPr>
        <w:tblStyle w:val="ListTable4"/>
        <w:tblW w:w="0" w:type="auto"/>
        <w:tblLook w:val="04A0" w:firstRow="1" w:lastRow="0" w:firstColumn="1" w:lastColumn="0" w:noHBand="0" w:noVBand="1"/>
      </w:tblPr>
      <w:tblGrid>
        <w:gridCol w:w="4495"/>
        <w:gridCol w:w="4675"/>
      </w:tblGrid>
      <w:tr w:rsidR="007D6056" w14:paraId="3167CBC8" w14:textId="77777777" w:rsidTr="00A157D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95" w:type="dxa"/>
          </w:tcPr>
          <w:p w14:paraId="4D98AA3D" w14:textId="00C8F600" w:rsidR="007D6056" w:rsidRDefault="007D6056" w:rsidP="00D8682D">
            <w:pPr>
              <w:pStyle w:val="Bodysansserif"/>
            </w:pPr>
          </w:p>
        </w:tc>
        <w:tc>
          <w:tcPr>
            <w:tcW w:w="4675" w:type="dxa"/>
          </w:tcPr>
          <w:p w14:paraId="74C7D5F3" w14:textId="710388D1" w:rsidR="007D6056" w:rsidRDefault="007D6056" w:rsidP="00D8682D">
            <w:pPr>
              <w:pStyle w:val="Bodysansserif"/>
              <w:cnfStyle w:val="100000000000" w:firstRow="1" w:lastRow="0" w:firstColumn="0" w:lastColumn="0" w:oddVBand="0" w:evenVBand="0" w:oddHBand="0" w:evenHBand="0" w:firstRowFirstColumn="0" w:firstRowLastColumn="0" w:lastRowFirstColumn="0" w:lastRowLastColumn="0"/>
            </w:pPr>
            <w:r>
              <w:t>Market Transformation Characteristic</w:t>
            </w:r>
          </w:p>
        </w:tc>
      </w:tr>
      <w:tr w:rsidR="007D6056" w14:paraId="5A04F7DA" w14:textId="77777777" w:rsidTr="00B16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76017EE9" w14:textId="1F9DA140" w:rsidR="007D6056" w:rsidRDefault="007D6056" w:rsidP="00A7393B">
            <w:pPr>
              <w:pStyle w:val="Bodysansserif"/>
              <w:jc w:val="right"/>
            </w:pPr>
            <w:r>
              <w:t>Scale</w:t>
            </w:r>
          </w:p>
        </w:tc>
        <w:tc>
          <w:tcPr>
            <w:tcW w:w="4675" w:type="dxa"/>
          </w:tcPr>
          <w:p w14:paraId="326EA6E2" w14:textId="5F8697B8" w:rsidR="007D6056" w:rsidRDefault="007D6056" w:rsidP="007A49CB">
            <w:pPr>
              <w:pStyle w:val="Bodysansserif"/>
              <w:cnfStyle w:val="000000100000" w:firstRow="0" w:lastRow="0" w:firstColumn="0" w:lastColumn="0" w:oddVBand="0" w:evenVBand="0" w:oddHBand="1" w:evenHBand="0" w:firstRowFirstColumn="0" w:firstRowLastColumn="0" w:lastRowFirstColumn="0" w:lastRowLastColumn="0"/>
            </w:pPr>
            <w:r>
              <w:t>Entire new construction commercial market</w:t>
            </w:r>
          </w:p>
        </w:tc>
      </w:tr>
      <w:tr w:rsidR="007D6056" w14:paraId="4A82BB30" w14:textId="77777777" w:rsidTr="00B16F62">
        <w:tc>
          <w:tcPr>
            <w:cnfStyle w:val="001000000000" w:firstRow="0" w:lastRow="0" w:firstColumn="1" w:lastColumn="0" w:oddVBand="0" w:evenVBand="0" w:oddHBand="0" w:evenHBand="0" w:firstRowFirstColumn="0" w:firstRowLastColumn="0" w:lastRowFirstColumn="0" w:lastRowLastColumn="0"/>
            <w:tcW w:w="4495" w:type="dxa"/>
          </w:tcPr>
          <w:p w14:paraId="0BA5588A" w14:textId="5729120F" w:rsidR="007D6056" w:rsidRDefault="007D6056" w:rsidP="00A7393B">
            <w:pPr>
              <w:pStyle w:val="Bodysansserif"/>
              <w:jc w:val="right"/>
            </w:pPr>
            <w:r>
              <w:t>Target</w:t>
            </w:r>
          </w:p>
        </w:tc>
        <w:tc>
          <w:tcPr>
            <w:tcW w:w="4675" w:type="dxa"/>
          </w:tcPr>
          <w:p w14:paraId="614260A6" w14:textId="0FC07C84" w:rsidR="007D6056" w:rsidRPr="007D6056" w:rsidRDefault="007D6056" w:rsidP="007A49CB">
            <w:pPr>
              <w:pStyle w:val="Bodysansserif"/>
              <w:cnfStyle w:val="000000000000" w:firstRow="0" w:lastRow="0" w:firstColumn="0" w:lastColumn="0" w:oddVBand="0" w:evenVBand="0" w:oddHBand="0" w:evenHBand="0" w:firstRowFirstColumn="0" w:firstRowLastColumn="0" w:lastRowFirstColumn="0" w:lastRowLastColumn="0"/>
              <w:rPr>
                <w:b/>
                <w:bCs/>
              </w:rPr>
            </w:pPr>
            <w:r>
              <w:t>All consumers of the new construction commercial market</w:t>
            </w:r>
          </w:p>
        </w:tc>
      </w:tr>
      <w:tr w:rsidR="007D6056" w14:paraId="4A1C4FBE" w14:textId="77777777" w:rsidTr="00B16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1453F615" w14:textId="3BAEDF78" w:rsidR="007D6056" w:rsidRDefault="007D6056" w:rsidP="00A7393B">
            <w:pPr>
              <w:pStyle w:val="Bodysansserif"/>
              <w:jc w:val="right"/>
            </w:pPr>
            <w:r>
              <w:t>Goal</w:t>
            </w:r>
          </w:p>
        </w:tc>
        <w:tc>
          <w:tcPr>
            <w:tcW w:w="4675" w:type="dxa"/>
          </w:tcPr>
          <w:p w14:paraId="74144EB4" w14:textId="1EAA6261" w:rsidR="007D6056" w:rsidRDefault="007D6056" w:rsidP="007A49CB">
            <w:pPr>
              <w:pStyle w:val="Bodysansserif"/>
              <w:cnfStyle w:val="000000100000" w:firstRow="0" w:lastRow="0" w:firstColumn="0" w:lastColumn="0" w:oddVBand="0" w:evenVBand="0" w:oddHBand="1" w:evenHBand="0" w:firstRowFirstColumn="0" w:firstRowLastColumn="0" w:lastRowFirstColumn="0" w:lastRowLastColumn="0"/>
            </w:pPr>
            <w:r>
              <w:t xml:space="preserve">Structural changes in the market leading to long term savings </w:t>
            </w:r>
          </w:p>
        </w:tc>
      </w:tr>
      <w:tr w:rsidR="007D6056" w14:paraId="161093DE" w14:textId="77777777" w:rsidTr="00B16F62">
        <w:tc>
          <w:tcPr>
            <w:cnfStyle w:val="001000000000" w:firstRow="0" w:lastRow="0" w:firstColumn="1" w:lastColumn="0" w:oddVBand="0" w:evenVBand="0" w:oddHBand="0" w:evenHBand="0" w:firstRowFirstColumn="0" w:firstRowLastColumn="0" w:lastRowFirstColumn="0" w:lastRowLastColumn="0"/>
            <w:tcW w:w="4495" w:type="dxa"/>
          </w:tcPr>
          <w:p w14:paraId="3B2C0BB5" w14:textId="516FBA7D" w:rsidR="007D6056" w:rsidRDefault="007D6056" w:rsidP="00A7393B">
            <w:pPr>
              <w:pStyle w:val="Bodysansserif"/>
              <w:jc w:val="right"/>
            </w:pPr>
            <w:r>
              <w:t>Scope of Effort</w:t>
            </w:r>
          </w:p>
        </w:tc>
        <w:tc>
          <w:tcPr>
            <w:tcW w:w="4675" w:type="dxa"/>
          </w:tcPr>
          <w:p w14:paraId="23C9F6DF" w14:textId="35BE74BB" w:rsidR="007D6056" w:rsidRDefault="007A49CB" w:rsidP="007A49CB">
            <w:pPr>
              <w:pStyle w:val="Bodysansserif"/>
              <w:cnfStyle w:val="000000000000" w:firstRow="0" w:lastRow="0" w:firstColumn="0" w:lastColumn="0" w:oddVBand="0" w:evenVBand="0" w:oddHBand="0" w:evenHBand="0" w:firstRowFirstColumn="0" w:firstRowLastColumn="0" w:lastRowFirstColumn="0" w:lastRowLastColumn="0"/>
            </w:pPr>
            <w:r>
              <w:t>There are multiple levels of utility engagement</w:t>
            </w:r>
          </w:p>
        </w:tc>
      </w:tr>
      <w:tr w:rsidR="007D6056" w14:paraId="21CA114F" w14:textId="77777777" w:rsidTr="00B16F62">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495" w:type="dxa"/>
          </w:tcPr>
          <w:p w14:paraId="150570BC" w14:textId="3EBFD237" w:rsidR="007D6056" w:rsidRDefault="007D6056" w:rsidP="00A7393B">
            <w:pPr>
              <w:pStyle w:val="Bodysansserif"/>
              <w:jc w:val="right"/>
            </w:pPr>
            <w:r>
              <w:t>Level of Program Administrator Control</w:t>
            </w:r>
          </w:p>
        </w:tc>
        <w:tc>
          <w:tcPr>
            <w:tcW w:w="4675" w:type="dxa"/>
          </w:tcPr>
          <w:p w14:paraId="0CC2A1E9" w14:textId="3FC023B2" w:rsidR="007D6056" w:rsidRDefault="00F05E3F" w:rsidP="007A49CB">
            <w:pPr>
              <w:pStyle w:val="Bodysansserif"/>
              <w:cnfStyle w:val="000000100000" w:firstRow="0" w:lastRow="0" w:firstColumn="0" w:lastColumn="0" w:oddVBand="0" w:evenVBand="0" w:oddHBand="1" w:evenHBand="0" w:firstRowFirstColumn="0" w:firstRowLastColumn="0" w:lastRowFirstColumn="0" w:lastRowLastColumn="0"/>
            </w:pPr>
            <w:r>
              <w:t xml:space="preserve">PA’s are only one set of actors. </w:t>
            </w:r>
          </w:p>
        </w:tc>
      </w:tr>
      <w:tr w:rsidR="007D6056" w14:paraId="02CFF0A6" w14:textId="77777777" w:rsidTr="00B16F62">
        <w:tc>
          <w:tcPr>
            <w:cnfStyle w:val="001000000000" w:firstRow="0" w:lastRow="0" w:firstColumn="1" w:lastColumn="0" w:oddVBand="0" w:evenVBand="0" w:oddHBand="0" w:evenHBand="0" w:firstRowFirstColumn="0" w:firstRowLastColumn="0" w:lastRowFirstColumn="0" w:lastRowLastColumn="0"/>
            <w:tcW w:w="4495" w:type="dxa"/>
          </w:tcPr>
          <w:p w14:paraId="6006B6E0" w14:textId="14855AA7" w:rsidR="007D6056" w:rsidRDefault="007D6056" w:rsidP="00A7393B">
            <w:pPr>
              <w:pStyle w:val="Bodysansserif"/>
              <w:jc w:val="right"/>
            </w:pPr>
            <w:r>
              <w:t>Evaluation and Measurement</w:t>
            </w:r>
          </w:p>
        </w:tc>
        <w:tc>
          <w:tcPr>
            <w:tcW w:w="4675" w:type="dxa"/>
          </w:tcPr>
          <w:p w14:paraId="7CA28B89" w14:textId="20B08B7B" w:rsidR="007D6056" w:rsidRDefault="00F05E3F" w:rsidP="007A49CB">
            <w:pPr>
              <w:pStyle w:val="Bodysansserif"/>
              <w:cnfStyle w:val="000000000000" w:firstRow="0" w:lastRow="0" w:firstColumn="0" w:lastColumn="0" w:oddVBand="0" w:evenVBand="0" w:oddHBand="0" w:evenHBand="0" w:firstRowFirstColumn="0" w:firstRowLastColumn="0" w:lastRowFirstColumn="0" w:lastRowLastColumn="0"/>
            </w:pPr>
            <w:r>
              <w:t xml:space="preserve">Interim and long-term indicators of market progress and structural changes, attribution </w:t>
            </w:r>
            <w:r>
              <w:lastRenderedPageBreak/>
              <w:t xml:space="preserve">to the program and cumulative energy impacts </w:t>
            </w:r>
          </w:p>
        </w:tc>
      </w:tr>
      <w:tr w:rsidR="007D6056" w14:paraId="42330B78" w14:textId="77777777" w:rsidTr="00B16F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5" w:type="dxa"/>
          </w:tcPr>
          <w:p w14:paraId="1EBEA76D" w14:textId="5FE9516E" w:rsidR="007D6056" w:rsidRDefault="007D6056" w:rsidP="00A7393B">
            <w:pPr>
              <w:pStyle w:val="Bodysansserif"/>
              <w:jc w:val="right"/>
            </w:pPr>
            <w:r>
              <w:lastRenderedPageBreak/>
              <w:t xml:space="preserve">Timeframe for planning, savings </w:t>
            </w:r>
            <w:r w:rsidR="00A7393B">
              <w:t>measurement,</w:t>
            </w:r>
            <w:r>
              <w:t xml:space="preserve"> and cost-effectiveness</w:t>
            </w:r>
          </w:p>
        </w:tc>
        <w:tc>
          <w:tcPr>
            <w:tcW w:w="4675" w:type="dxa"/>
          </w:tcPr>
          <w:p w14:paraId="1329B5E0" w14:textId="728A3CFA" w:rsidR="007D6056" w:rsidRDefault="00A7393B" w:rsidP="007A49CB">
            <w:pPr>
              <w:pStyle w:val="Bodysansserif"/>
              <w:cnfStyle w:val="000000100000" w:firstRow="0" w:lastRow="0" w:firstColumn="0" w:lastColumn="0" w:oddVBand="0" w:evenVBand="0" w:oddHBand="1" w:evenHBand="0" w:firstRowFirstColumn="0" w:firstRowLastColumn="0" w:lastRowFirstColumn="0" w:lastRowLastColumn="0"/>
            </w:pPr>
            <w:r w:rsidRPr="00675C00">
              <w:rPr>
                <w:rFonts w:cstheme="minorHAnsi"/>
                <w:color w:val="000000"/>
                <w:szCs w:val="20"/>
              </w:rPr>
              <w:t>Typically planned and implemented over a 10-20 year timeframe</w:t>
            </w:r>
          </w:p>
        </w:tc>
      </w:tr>
    </w:tbl>
    <w:p w14:paraId="6F663792" w14:textId="77777777" w:rsidR="007D6056" w:rsidRDefault="007D6056" w:rsidP="00D8682D">
      <w:pPr>
        <w:pStyle w:val="Bodysansserif"/>
      </w:pPr>
    </w:p>
    <w:p w14:paraId="6C5DA093" w14:textId="1F0B4FD6" w:rsidR="00705AF0" w:rsidRDefault="00705AF0" w:rsidP="00705AF0">
      <w:pPr>
        <w:pStyle w:val="Bodysansserif"/>
      </w:pPr>
      <w:r>
        <w:t xml:space="preserve">Attachment C of the IL TRM outlines three key factors when estimating MT savings:  </w:t>
      </w:r>
    </w:p>
    <w:p w14:paraId="5EE62222" w14:textId="77777777" w:rsidR="00705AF0" w:rsidRDefault="00705AF0" w:rsidP="00705AF0">
      <w:pPr>
        <w:pStyle w:val="Bodysansserif"/>
        <w:numPr>
          <w:ilvl w:val="0"/>
          <w:numId w:val="14"/>
        </w:numPr>
      </w:pPr>
      <w:r>
        <w:t xml:space="preserve">Total market savings that result from the entire market adoption of a stretch code or BPS </w:t>
      </w:r>
    </w:p>
    <w:p w14:paraId="3DB86092" w14:textId="223AAA6E" w:rsidR="00705AF0" w:rsidRDefault="00705AF0" w:rsidP="00705AF0">
      <w:pPr>
        <w:pStyle w:val="Bodysansserif"/>
        <w:numPr>
          <w:ilvl w:val="0"/>
          <w:numId w:val="14"/>
        </w:numPr>
      </w:pPr>
      <w:r>
        <w:t>Natural Market Baseline</w:t>
      </w:r>
      <w:r w:rsidR="00BE4A98">
        <w:t>, or Naturally Occurring Market Adoption</w:t>
      </w:r>
      <w:r w:rsidR="00A50AA5">
        <w:t xml:space="preserve"> (NOMAD),</w:t>
      </w:r>
      <w:r>
        <w:t xml:space="preserve"> which is an estimate of the market as if there were not utility-funded activities to support a stretch code or BPS </w:t>
      </w:r>
    </w:p>
    <w:p w14:paraId="655DA24B" w14:textId="77777777" w:rsidR="00705AF0" w:rsidRDefault="00705AF0" w:rsidP="00705AF0">
      <w:pPr>
        <w:pStyle w:val="Bodysansserif"/>
        <w:numPr>
          <w:ilvl w:val="0"/>
          <w:numId w:val="14"/>
        </w:numPr>
      </w:pPr>
      <w:r>
        <w:t xml:space="preserve">Removal of Resource Acquisition Program (RAP) operating in the same market to avoid double counting. </w:t>
      </w:r>
    </w:p>
    <w:p w14:paraId="54280E9B" w14:textId="444D6174" w:rsidR="00705AF0" w:rsidRDefault="00705AF0" w:rsidP="00705AF0">
      <w:pPr>
        <w:pStyle w:val="Bodysansserif"/>
      </w:pPr>
      <w:r>
        <w:t xml:space="preserve">The chart </w:t>
      </w:r>
      <w:r w:rsidR="006377E2">
        <w:t xml:space="preserve">in </w:t>
      </w:r>
      <w:r w:rsidR="006377E2">
        <w:fldChar w:fldCharType="begin"/>
      </w:r>
      <w:r w:rsidR="006377E2">
        <w:instrText xml:space="preserve"> REF _Ref77864272 \h </w:instrText>
      </w:r>
      <w:r w:rsidR="006377E2">
        <w:fldChar w:fldCharType="separate"/>
      </w:r>
      <w:r w:rsidR="006377E2">
        <w:t xml:space="preserve">Figure </w:t>
      </w:r>
      <w:r w:rsidR="006377E2">
        <w:rPr>
          <w:noProof/>
        </w:rPr>
        <w:t>1</w:t>
      </w:r>
      <w:r w:rsidR="006377E2">
        <w:fldChar w:fldCharType="end"/>
      </w:r>
      <w:r w:rsidR="00F16988">
        <w:t xml:space="preserve"> </w:t>
      </w:r>
      <w:r>
        <w:t xml:space="preserve">below provides an overview of how market transformation is approached and measured. </w:t>
      </w:r>
    </w:p>
    <w:p w14:paraId="5E8BD053" w14:textId="27FA1E36" w:rsidR="006377E2" w:rsidRDefault="006377E2" w:rsidP="006377E2">
      <w:pPr>
        <w:pStyle w:val="Caption"/>
        <w:keepNext/>
      </w:pPr>
      <w:bookmarkStart w:id="1" w:name="_Ref77864272"/>
      <w:r>
        <w:t xml:space="preserve">Figure </w:t>
      </w:r>
      <w:fldSimple w:instr=" SEQ Figure \* ARABIC ">
        <w:r>
          <w:rPr>
            <w:noProof/>
          </w:rPr>
          <w:t>1</w:t>
        </w:r>
      </w:fldSimple>
      <w:bookmarkEnd w:id="1"/>
      <w:r>
        <w:t>: Framework for Market Transformation Savings</w:t>
      </w:r>
    </w:p>
    <w:p w14:paraId="1FC537B6" w14:textId="5B0027AC" w:rsidR="00705AF0" w:rsidRDefault="00705AF0" w:rsidP="00705AF0">
      <w:pPr>
        <w:pStyle w:val="Bodysansserif"/>
      </w:pPr>
      <w:r w:rsidRPr="00AB5FF2">
        <w:rPr>
          <w:noProof/>
        </w:rPr>
        <w:drawing>
          <wp:inline distT="0" distB="0" distL="0" distR="0" wp14:anchorId="7FE390EB" wp14:editId="583B7331">
            <wp:extent cx="4467853" cy="2514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13881" cy="2540506"/>
                    </a:xfrm>
                    <a:prstGeom prst="rect">
                      <a:avLst/>
                    </a:prstGeom>
                    <a:noFill/>
                    <a:ln>
                      <a:noFill/>
                    </a:ln>
                  </pic:spPr>
                </pic:pic>
              </a:graphicData>
            </a:graphic>
          </wp:inline>
        </w:drawing>
      </w:r>
    </w:p>
    <w:p w14:paraId="66C249C1" w14:textId="25F853C1" w:rsidR="009450F1" w:rsidRDefault="00705AF0" w:rsidP="00B33B2B">
      <w:pPr>
        <w:pStyle w:val="Bodysansserif"/>
      </w:pPr>
      <w:r>
        <w:t>As described in Attachment C, MT evaluation relies on Theory-Based Evaluation (TBE) which is based on a theory of how an intervention is expected to produce results. Theory-based evaluation, as described in the Attachment C, “</w:t>
      </w:r>
      <w:r w:rsidRPr="0063228D">
        <w:t>1) attempts to understand if observed changes in the market are consistent with those that would be expected if the initiative were successful, and 2) seeks to understand an intervention’s contribution to those market changes.</w:t>
      </w:r>
      <w:r>
        <w:t xml:space="preserve">” The </w:t>
      </w:r>
      <w:r>
        <w:lastRenderedPageBreak/>
        <w:t xml:space="preserve">evaluation framework differs from a traditional RAP evaluation that is conducted on a regular basis in that the evaluators are quantifying market effects using information that is not always easily quantifiable and requires the use of the preponderance of evidence approach, rather than proof.  </w:t>
      </w:r>
      <w:r w:rsidR="000F0878">
        <w:t xml:space="preserve">For most MT initiatives, </w:t>
      </w:r>
      <w:r w:rsidR="006B7FB8">
        <w:t xml:space="preserve">NOMAD and </w:t>
      </w:r>
      <w:r w:rsidR="000F0878">
        <w:t xml:space="preserve">attribution can only be established qualitatively, even while effort to quantify impacts should be made.  </w:t>
      </w:r>
      <w:r>
        <w:t xml:space="preserve">As stressed in Attachment C, MT interventions may have different levels of certainty compared to RAPs. </w:t>
      </w:r>
      <w:r w:rsidR="002E1BEC">
        <w:t>For this reason, it is important to come to consensus on approach and maintain transparency around the limits of both the qualitative and quantitative aspects of this evaluation.</w:t>
      </w:r>
      <w:r w:rsidR="009E6756">
        <w:t xml:space="preserve"> </w:t>
      </w:r>
    </w:p>
    <w:p w14:paraId="2D536B1C" w14:textId="01A309F9" w:rsidR="00B47F2E" w:rsidRDefault="00B47F2E" w:rsidP="009450F1">
      <w:pPr>
        <w:pStyle w:val="Heading2ALT"/>
      </w:pPr>
      <w:r>
        <w:t xml:space="preserve">Utility Involvement </w:t>
      </w:r>
    </w:p>
    <w:p w14:paraId="3E7997AA" w14:textId="526A7C61" w:rsidR="005C1167" w:rsidRPr="00EC24FF" w:rsidRDefault="0075611B" w:rsidP="00B47F2E">
      <w:pPr>
        <w:pStyle w:val="Bodysansserif"/>
        <w:rPr>
          <w:b/>
          <w:bCs/>
          <w:i/>
          <w:iCs/>
        </w:rPr>
      </w:pPr>
      <w:r>
        <w:t>For purpose</w:t>
      </w:r>
      <w:r w:rsidR="00C83F31">
        <w:t>s</w:t>
      </w:r>
      <w:r>
        <w:t xml:space="preserve"> of this discussion, we consider two primary ways that utilities can be involved in these policies with intent to claim savings for their efforts:1) Policy influence/advancement </w:t>
      </w:r>
      <w:r w:rsidR="00D03F68">
        <w:t>and/</w:t>
      </w:r>
      <w:r>
        <w:t xml:space="preserve">or 2) Program support for </w:t>
      </w:r>
      <w:r w:rsidR="0059385B">
        <w:t xml:space="preserve">stretch code and base code </w:t>
      </w:r>
      <w:r>
        <w:t>compliance</w:t>
      </w:r>
      <w:r w:rsidR="00C41954">
        <w:t xml:space="preserve">. </w:t>
      </w:r>
      <w:r w:rsidR="00A033CA">
        <w:t xml:space="preserve">As will be described further below, these two activities should be evaluated separately to quantify overall energy savings. </w:t>
      </w:r>
      <w:r w:rsidR="00EC24FF" w:rsidRPr="00EC24FF">
        <w:rPr>
          <w:b/>
          <w:bCs/>
          <w:i/>
          <w:iCs/>
        </w:rPr>
        <w:t xml:space="preserve"> </w:t>
      </w:r>
    </w:p>
    <w:p w14:paraId="7440E5EA" w14:textId="20F6FDF6" w:rsidR="00B47F2E" w:rsidRDefault="00B47F2E" w:rsidP="00AD70BE">
      <w:pPr>
        <w:pStyle w:val="Heading3ALT"/>
      </w:pPr>
      <w:r>
        <w:t>Claim savings for policy influence/advancement</w:t>
      </w:r>
    </w:p>
    <w:p w14:paraId="78C12C8D" w14:textId="428E48DB" w:rsidR="00B47F2E" w:rsidRDefault="0075611B" w:rsidP="0075611B">
      <w:pPr>
        <w:pStyle w:val="Bodysansserif"/>
      </w:pPr>
      <w:r>
        <w:t>Utilities can be involved in influencing</w:t>
      </w:r>
      <w:r w:rsidR="008532BF">
        <w:t xml:space="preserve"> or advancing</w:t>
      </w:r>
      <w:r>
        <w:t xml:space="preserve"> the policy</w:t>
      </w:r>
      <w:r w:rsidR="008532BF">
        <w:t xml:space="preserve"> in a few ways, described below</w:t>
      </w:r>
      <w:r w:rsidR="00E25F07">
        <w:t xml:space="preserve">: </w:t>
      </w:r>
    </w:p>
    <w:p w14:paraId="208CE174" w14:textId="7AC80546" w:rsidR="002735EF" w:rsidRDefault="00B47F2E" w:rsidP="00A31C7E">
      <w:pPr>
        <w:pStyle w:val="Bodysansserif"/>
        <w:numPr>
          <w:ilvl w:val="0"/>
          <w:numId w:val="35"/>
        </w:numPr>
      </w:pPr>
      <w:r>
        <w:t>Development of a study report</w:t>
      </w:r>
      <w:r w:rsidR="002735EF">
        <w:t xml:space="preserve"> that includes: </w:t>
      </w:r>
    </w:p>
    <w:p w14:paraId="6F97B977" w14:textId="1A8E43D2" w:rsidR="00DC6212" w:rsidRDefault="000E2E70" w:rsidP="00A31C7E">
      <w:pPr>
        <w:pStyle w:val="Bodysansserif"/>
        <w:numPr>
          <w:ilvl w:val="1"/>
          <w:numId w:val="35"/>
        </w:numPr>
      </w:pPr>
      <w:r>
        <w:t>Market Analysis</w:t>
      </w:r>
      <w:r w:rsidR="001E715A">
        <w:t xml:space="preserve">. </w:t>
      </w:r>
      <w:r w:rsidR="001E715A" w:rsidRPr="001E715A">
        <w:t xml:space="preserve">Includes </w:t>
      </w:r>
      <w:r w:rsidR="001E715A">
        <w:t>m</w:t>
      </w:r>
      <w:r w:rsidR="001E715A" w:rsidRPr="001E715A">
        <w:t xml:space="preserve">arket </w:t>
      </w:r>
      <w:r w:rsidR="001E715A">
        <w:t>s</w:t>
      </w:r>
      <w:r w:rsidR="001E715A" w:rsidRPr="001E715A">
        <w:t xml:space="preserve">tructure, </w:t>
      </w:r>
      <w:r w:rsidR="001E715A">
        <w:t>t</w:t>
      </w:r>
      <w:r w:rsidR="001E715A" w:rsidRPr="001E715A">
        <w:t xml:space="preserve">echnical </w:t>
      </w:r>
      <w:r w:rsidR="001E715A">
        <w:t>f</w:t>
      </w:r>
      <w:r w:rsidR="001E715A" w:rsidRPr="001E715A">
        <w:t xml:space="preserve">easibility, </w:t>
      </w:r>
      <w:r w:rsidR="001E715A">
        <w:t>m</w:t>
      </w:r>
      <w:r w:rsidR="001E715A" w:rsidRPr="001E715A">
        <w:t xml:space="preserve">arket </w:t>
      </w:r>
      <w:r w:rsidR="001E715A">
        <w:t>a</w:t>
      </w:r>
      <w:r w:rsidR="001E715A" w:rsidRPr="001E715A">
        <w:t xml:space="preserve">vailability, </w:t>
      </w:r>
      <w:r w:rsidR="001E715A">
        <w:t>c</w:t>
      </w:r>
      <w:r w:rsidR="001E715A" w:rsidRPr="001E715A">
        <w:t xml:space="preserve">urrent </w:t>
      </w:r>
      <w:r w:rsidR="001E715A">
        <w:t>pr</w:t>
      </w:r>
      <w:r w:rsidR="001E715A" w:rsidRPr="001E715A">
        <w:t xml:space="preserve">actices, </w:t>
      </w:r>
      <w:r w:rsidR="001E715A">
        <w:t>m</w:t>
      </w:r>
      <w:r w:rsidR="001E715A" w:rsidRPr="001E715A">
        <w:t xml:space="preserve">arket </w:t>
      </w:r>
      <w:r w:rsidR="001E715A">
        <w:t>i</w:t>
      </w:r>
      <w:r w:rsidR="001E715A" w:rsidRPr="001E715A">
        <w:t xml:space="preserve">mpacts, </w:t>
      </w:r>
      <w:r w:rsidR="001E715A">
        <w:t>e</w:t>
      </w:r>
      <w:r w:rsidR="001E715A" w:rsidRPr="001E715A">
        <w:t xml:space="preserve">conomic </w:t>
      </w:r>
      <w:r w:rsidR="001E715A">
        <w:t>a</w:t>
      </w:r>
      <w:r w:rsidR="001E715A" w:rsidRPr="001E715A">
        <w:t xml:space="preserve">ssessments, </w:t>
      </w:r>
      <w:r w:rsidR="001E715A">
        <w:t>or e</w:t>
      </w:r>
      <w:r w:rsidR="001E715A" w:rsidRPr="001E715A">
        <w:t>conomic</w:t>
      </w:r>
      <w:r w:rsidR="001E715A">
        <w:t xml:space="preserve"> i</w:t>
      </w:r>
      <w:r w:rsidR="001E715A" w:rsidRPr="001E715A">
        <w:t>mpacts</w:t>
      </w:r>
    </w:p>
    <w:p w14:paraId="3FCB37D7" w14:textId="690054EC" w:rsidR="00FB63F7" w:rsidRDefault="004B6005" w:rsidP="00A31C7E">
      <w:pPr>
        <w:pStyle w:val="Bodysansserif"/>
        <w:numPr>
          <w:ilvl w:val="1"/>
          <w:numId w:val="35"/>
        </w:numPr>
      </w:pPr>
      <w:r>
        <w:t>Energy Analysis</w:t>
      </w:r>
      <w:r w:rsidR="00C36114">
        <w:t xml:space="preserve"> </w:t>
      </w:r>
      <w:r w:rsidR="001C10F2">
        <w:t>including that quantify statewide energy savings potential. The Phase 1 report includes an initial estimate of energy savings if a stretch code policy were in place.</w:t>
      </w:r>
      <w:r w:rsidR="00B47F2E">
        <w:t xml:space="preserve"> </w:t>
      </w:r>
    </w:p>
    <w:p w14:paraId="5C53EDDD" w14:textId="77777777" w:rsidR="00B33B2B" w:rsidRDefault="00FE27EA" w:rsidP="00A31C7E">
      <w:pPr>
        <w:pStyle w:val="Bodysansserif"/>
        <w:numPr>
          <w:ilvl w:val="0"/>
          <w:numId w:val="35"/>
        </w:numPr>
      </w:pPr>
      <w:r>
        <w:t>Participate in or influence adoption of stretch code at municipal level</w:t>
      </w:r>
    </w:p>
    <w:p w14:paraId="33AF272D" w14:textId="03793787" w:rsidR="00B33B2B" w:rsidRDefault="005C7C3D" w:rsidP="00A31C7E">
      <w:pPr>
        <w:pStyle w:val="Bodysansserif"/>
        <w:numPr>
          <w:ilvl w:val="0"/>
          <w:numId w:val="35"/>
        </w:numPr>
      </w:pPr>
      <w:r>
        <w:t>Participati</w:t>
      </w:r>
      <w:r w:rsidR="00FD7C01">
        <w:t>on</w:t>
      </w:r>
      <w:r>
        <w:t xml:space="preserve"> in policy</w:t>
      </w:r>
      <w:r w:rsidR="00C3286D">
        <w:t xml:space="preserve"> development</w:t>
      </w:r>
      <w:r w:rsidR="004E7163">
        <w:t xml:space="preserve"> </w:t>
      </w:r>
      <w:r w:rsidR="00DE3C79">
        <w:t>process</w:t>
      </w:r>
      <w:r w:rsidR="000477F4">
        <w:t xml:space="preserve">es </w:t>
      </w:r>
      <w:r w:rsidR="00565B51">
        <w:t>either statewide and/or municipal level</w:t>
      </w:r>
      <w:r w:rsidR="00565B51" w:rsidDel="005C7C3D">
        <w:t xml:space="preserve"> </w:t>
      </w:r>
    </w:p>
    <w:p w14:paraId="65FA9C60" w14:textId="1D0714A1" w:rsidR="00C41954" w:rsidRDefault="00B47F2E" w:rsidP="00AD70BE">
      <w:pPr>
        <w:pStyle w:val="Heading3ALT"/>
      </w:pPr>
      <w:r>
        <w:t xml:space="preserve">Claim savings for program support or </w:t>
      </w:r>
      <w:r w:rsidR="00962272">
        <w:t xml:space="preserve">stretch code (or base code) </w:t>
      </w:r>
      <w:r>
        <w:t xml:space="preserve">compliance  </w:t>
      </w:r>
    </w:p>
    <w:p w14:paraId="0F8FAFF0" w14:textId="43D1C9AA" w:rsidR="00B47F2E" w:rsidRDefault="00C41954" w:rsidP="00C41954">
      <w:pPr>
        <w:pStyle w:val="Bodysansserif"/>
      </w:pPr>
      <w:r>
        <w:t>C</w:t>
      </w:r>
      <w:r w:rsidRPr="00C41954">
        <w:t>omplying with an above-code policy that has been passed by the local jurisdiction</w:t>
      </w:r>
      <w:r w:rsidR="00224949">
        <w:t xml:space="preserve"> (where it </w:t>
      </w:r>
      <w:r w:rsidR="00E337AD">
        <w:t>would then become the minimum</w:t>
      </w:r>
      <w:r w:rsidR="00D36E43">
        <w:t xml:space="preserve"> code</w:t>
      </w:r>
      <w:r w:rsidR="00932D62">
        <w:t>)</w:t>
      </w:r>
      <w:r w:rsidRPr="00C41954">
        <w:t>. The opportunity for compliance/support</w:t>
      </w:r>
      <w:r w:rsidR="008F5DD1">
        <w:t xml:space="preserve"> with a stretch code</w:t>
      </w:r>
      <w:r w:rsidRPr="00C41954">
        <w:t xml:space="preserve"> does not occur until a policy is passed by a local jurisdiction.</w:t>
      </w:r>
      <w:r w:rsidR="008F5DD1" w:rsidRPr="008F5DD1">
        <w:t xml:space="preserve"> </w:t>
      </w:r>
      <w:r w:rsidR="008F5DD1">
        <w:t>Compliance</w:t>
      </w:r>
      <w:r w:rsidRPr="00C41954">
        <w:t xml:space="preserve"> with the state </w:t>
      </w:r>
      <w:r w:rsidR="00537486">
        <w:t>base</w:t>
      </w:r>
      <w:r w:rsidRPr="00C41954">
        <w:t xml:space="preserve"> energy code</w:t>
      </w:r>
      <w:r w:rsidR="00233918">
        <w:t xml:space="preserve">, if a program existed </w:t>
      </w:r>
      <w:r w:rsidR="00810914">
        <w:t xml:space="preserve">to address the </w:t>
      </w:r>
      <w:r w:rsidR="00537486">
        <w:t>base</w:t>
      </w:r>
      <w:r w:rsidR="00810914">
        <w:t xml:space="preserve"> energy code, would be calculated separately</w:t>
      </w:r>
      <w:r w:rsidRPr="00C41954">
        <w:t>.</w:t>
      </w:r>
      <w:r w:rsidR="0029568D">
        <w:t xml:space="preserve"> </w:t>
      </w:r>
      <w:r w:rsidR="00EB38EB">
        <w:t xml:space="preserve">Examples of program support activities could include: </w:t>
      </w:r>
    </w:p>
    <w:p w14:paraId="46C52E82" w14:textId="3D07E8F3" w:rsidR="00351AB8" w:rsidRDefault="00B47F2E" w:rsidP="00A31C7E">
      <w:pPr>
        <w:pStyle w:val="Bodysansserif"/>
        <w:numPr>
          <w:ilvl w:val="0"/>
          <w:numId w:val="36"/>
        </w:numPr>
      </w:pPr>
      <w:r>
        <w:lastRenderedPageBreak/>
        <w:t>Training program target</w:t>
      </w:r>
      <w:r w:rsidR="005E6395">
        <w:t>ing</w:t>
      </w:r>
      <w:r>
        <w:t xml:space="preserve"> code officials, contractors or city staff</w:t>
      </w:r>
      <w:r w:rsidR="00EB38EB">
        <w:t xml:space="preserve"> to address knowledge gaps about specific measures and/or ways to comply with stretch code </w:t>
      </w:r>
      <w:r w:rsidR="009A067A">
        <w:t xml:space="preserve">. </w:t>
      </w:r>
      <w:r w:rsidR="009A067A" w:rsidRPr="009A067A">
        <w:t>These training session</w:t>
      </w:r>
      <w:r w:rsidR="009A067A">
        <w:t>s</w:t>
      </w:r>
      <w:r w:rsidR="009A067A" w:rsidRPr="009A067A">
        <w:t xml:space="preserve"> can highlight new additions to the code, explain more confusing aspects of the code, or demonstrate test techniques for determining compliance.  Utilizing baseline studies, training sessions can target historically low-compliance, potentially high-impact areas.</w:t>
      </w:r>
    </w:p>
    <w:p w14:paraId="71E63389" w14:textId="06FF68DD" w:rsidR="00B47F2E" w:rsidRDefault="00B47F2E" w:rsidP="00A31C7E">
      <w:pPr>
        <w:pStyle w:val="Bodysansserif"/>
        <w:numPr>
          <w:ilvl w:val="0"/>
          <w:numId w:val="36"/>
        </w:numPr>
      </w:pPr>
      <w:r>
        <w:t xml:space="preserve">Technical assistance </w:t>
      </w:r>
      <w:r w:rsidR="009D59FB">
        <w:t xml:space="preserve">for professionals that may be </w:t>
      </w:r>
      <w:r w:rsidR="0042354B" w:rsidRPr="0042354B">
        <w:t>unsure of how to comply with or assess the compliance of a specific code requirement</w:t>
      </w:r>
      <w:r w:rsidR="005377CE">
        <w:t xml:space="preserve">. This could include: </w:t>
      </w:r>
    </w:p>
    <w:p w14:paraId="62EF0F3A" w14:textId="77777777" w:rsidR="000E3FA2" w:rsidRPr="000E3FA2" w:rsidRDefault="000E3FA2" w:rsidP="00A31C7E">
      <w:pPr>
        <w:pStyle w:val="Bodysansserif"/>
        <w:numPr>
          <w:ilvl w:val="1"/>
          <w:numId w:val="36"/>
        </w:numPr>
      </w:pPr>
      <w:r w:rsidRPr="000E3FA2">
        <w:t xml:space="preserve">Technical support answering code-related questions via email or over the phone, with responses being tracked annually and provided to evaluators </w:t>
      </w:r>
    </w:p>
    <w:p w14:paraId="08280EEC" w14:textId="77777777" w:rsidR="000E3FA2" w:rsidRPr="000E3FA2" w:rsidRDefault="000E3FA2" w:rsidP="00A31C7E">
      <w:pPr>
        <w:pStyle w:val="Bodysansserif"/>
        <w:numPr>
          <w:ilvl w:val="1"/>
          <w:numId w:val="36"/>
        </w:numPr>
      </w:pPr>
      <w:r w:rsidRPr="000E3FA2">
        <w:t>Engagement by participation in industry groups</w:t>
      </w:r>
    </w:p>
    <w:p w14:paraId="03D127F7" w14:textId="77777777" w:rsidR="000E3FA2" w:rsidRPr="000E3FA2" w:rsidRDefault="000E3FA2" w:rsidP="00A31C7E">
      <w:pPr>
        <w:pStyle w:val="Bodysansserif"/>
        <w:numPr>
          <w:ilvl w:val="1"/>
          <w:numId w:val="36"/>
        </w:numPr>
      </w:pPr>
      <w:r w:rsidRPr="000E3FA2">
        <w:t>Resource development and delivery for checklists, field guides, FAQs, bulletins, pocket guides, online tools</w:t>
      </w:r>
    </w:p>
    <w:p w14:paraId="3E8210A3" w14:textId="39FFA632" w:rsidR="00351AB8" w:rsidRDefault="000E3FA2" w:rsidP="00A31C7E">
      <w:pPr>
        <w:pStyle w:val="Bodysansserif"/>
        <w:numPr>
          <w:ilvl w:val="1"/>
          <w:numId w:val="36"/>
        </w:numPr>
      </w:pPr>
      <w:r>
        <w:t>Circuit rider specialist</w:t>
      </w:r>
      <w:r w:rsidRPr="000E3FA2">
        <w:t xml:space="preserve"> support in code compliance, possibly employing third-party experts</w:t>
      </w:r>
    </w:p>
    <w:p w14:paraId="2753FBDE" w14:textId="65AAAA01" w:rsidR="00B47F2E" w:rsidRDefault="00B47F2E" w:rsidP="00A31C7E">
      <w:pPr>
        <w:pStyle w:val="Bodysansserif"/>
        <w:numPr>
          <w:ilvl w:val="0"/>
          <w:numId w:val="36"/>
        </w:numPr>
      </w:pPr>
      <w:r>
        <w:t xml:space="preserve">Development of </w:t>
      </w:r>
      <w:r w:rsidR="000E3FA2">
        <w:t xml:space="preserve">energy efficiency resource </w:t>
      </w:r>
      <w:r>
        <w:t xml:space="preserve"> hub</w:t>
      </w:r>
      <w:r w:rsidR="000E3FA2">
        <w:t xml:space="preserve"> to provide one place where information can be accessed. </w:t>
      </w:r>
    </w:p>
    <w:p w14:paraId="00BB2AC3" w14:textId="1AD928FD" w:rsidR="00B47F2E" w:rsidRDefault="00AD70BE" w:rsidP="005C1167">
      <w:pPr>
        <w:pStyle w:val="Heading2ALT"/>
      </w:pPr>
      <w:r>
        <w:t>E</w:t>
      </w:r>
      <w:r w:rsidR="00B47F2E">
        <w:t xml:space="preserve">valuation </w:t>
      </w:r>
      <w:r w:rsidR="00EA3017">
        <w:t>F</w:t>
      </w:r>
      <w:r w:rsidR="00B47F2E">
        <w:t xml:space="preserve">ramework </w:t>
      </w:r>
    </w:p>
    <w:p w14:paraId="428C8DA4" w14:textId="7626B97E" w:rsidR="005A0BD2" w:rsidRDefault="00B80AF4" w:rsidP="005A0398">
      <w:pPr>
        <w:pStyle w:val="Bodysansserif"/>
      </w:pPr>
      <w:r>
        <w:t>For each</w:t>
      </w:r>
      <w:r w:rsidR="00D26BEB">
        <w:t xml:space="preserve"> of the two ways that utilities can be involved, there are related but different efforts to evaluat</w:t>
      </w:r>
      <w:r w:rsidR="000A0188">
        <w:t>e</w:t>
      </w:r>
      <w:r w:rsidR="00D26BEB">
        <w:t xml:space="preserve"> impact and attribute savings to that utility effort.  </w:t>
      </w:r>
      <w:r w:rsidR="00692B44">
        <w:t xml:space="preserve">The first evaluation framework we present below addresses evaluation of </w:t>
      </w:r>
      <w:r w:rsidR="00692B44" w:rsidRPr="00995C0C">
        <w:rPr>
          <w:b/>
          <w:bCs/>
          <w:i/>
          <w:iCs/>
        </w:rPr>
        <w:t>policy advancement</w:t>
      </w:r>
      <w:r w:rsidR="00692B44">
        <w:t xml:space="preserve"> efforts and how those efforts move the market over time.  The second evaluation framework specifically looks at </w:t>
      </w:r>
      <w:r w:rsidR="00982FD5" w:rsidRPr="00995C0C">
        <w:rPr>
          <w:b/>
          <w:bCs/>
          <w:i/>
          <w:iCs/>
        </w:rPr>
        <w:t xml:space="preserve">code support programs </w:t>
      </w:r>
      <w:r w:rsidR="00982FD5">
        <w:t xml:space="preserve">that may increase code compliance with the </w:t>
      </w:r>
      <w:r w:rsidR="0064625D">
        <w:t xml:space="preserve">state </w:t>
      </w:r>
      <w:r w:rsidR="00982FD5">
        <w:t xml:space="preserve">base code or with the stretch code.  These evaluations should happen concurrently, although the elements </w:t>
      </w:r>
      <w:r w:rsidR="005A0BD2">
        <w:t xml:space="preserve">of each are different and are outlined below.  </w:t>
      </w:r>
    </w:p>
    <w:p w14:paraId="69576499" w14:textId="77777777" w:rsidR="00EA3017" w:rsidRDefault="00EA3017" w:rsidP="00EA3017">
      <w:pPr>
        <w:pStyle w:val="Heading3ALT"/>
      </w:pPr>
      <w:r>
        <w:t xml:space="preserve">Timing of claimed savings </w:t>
      </w:r>
    </w:p>
    <w:p w14:paraId="1DF525F3" w14:textId="142BFF18" w:rsidR="00EA3017" w:rsidRDefault="00EA3017" w:rsidP="00EA3017">
      <w:pPr>
        <w:pStyle w:val="Bodysansserif"/>
      </w:pPr>
      <w:r>
        <w:t>When the energy savings can be claimed is an important consideration for this evaluation framework. For this straw proposal, e</w:t>
      </w:r>
      <w:r w:rsidRPr="003F2123">
        <w:t>nergy savings can start being claimed retroactively after the first year a</w:t>
      </w:r>
      <w:r>
        <w:t>n</w:t>
      </w:r>
      <w:r w:rsidRPr="003F2123">
        <w:t xml:space="preserve"> MT program is in place</w:t>
      </w:r>
      <w:r>
        <w:t xml:space="preserve">. The claimed savings could technically end when the market is transformed, i.e. for stretch codes, when the NOMAD meets (and achieves 100% compliance with?) the stretch code goal. However, since the evaluators will be considering NOMAD every 3 years or during a code cycle update, the </w:t>
      </w:r>
      <w:r w:rsidR="001812AA">
        <w:t xml:space="preserve">end date for </w:t>
      </w:r>
      <w:r>
        <w:t>claimed savings can also be reevaluated at that time</w:t>
      </w:r>
      <w:r w:rsidR="00BA7BF9">
        <w:t xml:space="preserve">, but we suggest unless evidence shows substantial differences in NOMAD, the end date for claiming savings should be constant. </w:t>
      </w:r>
    </w:p>
    <w:p w14:paraId="40684A89" w14:textId="77777777" w:rsidR="001812AA" w:rsidRDefault="001812AA" w:rsidP="00EA3017">
      <w:pPr>
        <w:pStyle w:val="Bodysansserif"/>
      </w:pPr>
    </w:p>
    <w:p w14:paraId="2FCCF941" w14:textId="77777777" w:rsidR="001812AA" w:rsidRDefault="001812AA" w:rsidP="00EA3017">
      <w:pPr>
        <w:pStyle w:val="Bodysansserif"/>
      </w:pPr>
    </w:p>
    <w:p w14:paraId="3B474EB5" w14:textId="77777777" w:rsidR="00EA3017" w:rsidRDefault="00EA3017" w:rsidP="00EA3017">
      <w:pPr>
        <w:pStyle w:val="Heading2ALT"/>
      </w:pPr>
      <w:r>
        <w:t xml:space="preserve">Evaluation of Policy Advancement </w:t>
      </w:r>
    </w:p>
    <w:p w14:paraId="473B2573" w14:textId="503D66D3" w:rsidR="00884765" w:rsidRDefault="00251D5C" w:rsidP="00884765">
      <w:pPr>
        <w:pStyle w:val="Bodysansserif"/>
      </w:pPr>
      <w:r>
        <w:fldChar w:fldCharType="begin"/>
      </w:r>
      <w:r>
        <w:instrText xml:space="preserve"> REF _Ref77851188 \h </w:instrText>
      </w:r>
      <w:r>
        <w:fldChar w:fldCharType="separate"/>
      </w:r>
      <w:r w:rsidR="00BD6F2C">
        <w:t xml:space="preserve">Figure </w:t>
      </w:r>
      <w:r w:rsidR="00BD6F2C">
        <w:rPr>
          <w:noProof/>
        </w:rPr>
        <w:t>2</w:t>
      </w:r>
      <w:r>
        <w:fldChar w:fldCharType="end"/>
      </w:r>
      <w:r>
        <w:t xml:space="preserve"> is the overarching framework for each piece of evaluating policy advancement of stretch codes, with each piece described in further detail below. </w:t>
      </w:r>
    </w:p>
    <w:p w14:paraId="4749AD9B" w14:textId="5B2960AB" w:rsidR="00251D5C" w:rsidRDefault="00251D5C" w:rsidP="00251D5C">
      <w:pPr>
        <w:pStyle w:val="Caption"/>
        <w:keepNext/>
      </w:pPr>
      <w:bookmarkStart w:id="2" w:name="_Ref77851188"/>
      <w:r>
        <w:t xml:space="preserve">Figure </w:t>
      </w:r>
      <w:fldSimple w:instr=" SEQ Figure \* ARABIC ">
        <w:r w:rsidR="00BD6F2C">
          <w:rPr>
            <w:noProof/>
          </w:rPr>
          <w:t>2</w:t>
        </w:r>
      </w:fldSimple>
      <w:bookmarkEnd w:id="2"/>
      <w:r>
        <w:t>: Process for Evaluating Policy Advancement</w:t>
      </w:r>
    </w:p>
    <w:p w14:paraId="1DB662B8" w14:textId="2EEDB73B" w:rsidR="00884765" w:rsidRPr="00884765" w:rsidRDefault="00884765" w:rsidP="00884765">
      <w:pPr>
        <w:pStyle w:val="Bodysansserif"/>
      </w:pPr>
      <w:r>
        <w:rPr>
          <w:noProof/>
        </w:rPr>
        <w:drawing>
          <wp:inline distT="0" distB="0" distL="0" distR="0" wp14:anchorId="709B2381" wp14:editId="0AADFA3C">
            <wp:extent cx="5886450" cy="1319917"/>
            <wp:effectExtent l="38100" t="0" r="1905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990E841" w14:textId="382D41EF" w:rsidR="00B47F2E" w:rsidRDefault="00B47F2E" w:rsidP="0033527A">
      <w:pPr>
        <w:pStyle w:val="Heading3ALT"/>
      </w:pPr>
      <w:r>
        <w:t>Gross Technical Potential</w:t>
      </w:r>
    </w:p>
    <w:p w14:paraId="4458710F" w14:textId="2C33A554" w:rsidR="005A128A" w:rsidRPr="008D56F1" w:rsidRDefault="00885658" w:rsidP="0007557E">
      <w:pPr>
        <w:pStyle w:val="Bodysansserif"/>
        <w:rPr>
          <w:b/>
          <w:bCs/>
          <w:i/>
          <w:iCs/>
        </w:rPr>
      </w:pPr>
      <w:r>
        <w:t>The first step in a MT evaluation is to calculate the overall or gross technical potential of the market</w:t>
      </w:r>
      <w:r w:rsidR="00C514A6">
        <w:t xml:space="preserve">. </w:t>
      </w:r>
      <w:r>
        <w:t xml:space="preserve">  For stretch codes, this would include the new construction market, while for BPS, this would include existing commercial buildings that would be affected by a BPS policy.</w:t>
      </w:r>
      <w:r w:rsidR="003832ED" w:rsidRPr="003832ED">
        <w:rPr>
          <w:b/>
          <w:bCs/>
          <w:i/>
          <w:iCs/>
        </w:rPr>
        <w:t xml:space="preserve"> </w:t>
      </w:r>
      <w:r w:rsidR="005D5997" w:rsidRPr="00404A9D">
        <w:rPr>
          <w:b/>
          <w:bCs/>
          <w:i/>
          <w:iCs/>
        </w:rPr>
        <w:t xml:space="preserve"> </w:t>
      </w:r>
      <w:r w:rsidR="0007557E" w:rsidRPr="0007557E">
        <w:t xml:space="preserve">Geographic boundaries of the technical potential are dependent on the stretch code policy, whether it is statewide or adopted by each municipality. </w:t>
      </w:r>
      <w:r w:rsidR="003C5D9F">
        <w:t xml:space="preserve">We expect the geographic boundaries to ultimately be statewide, even if no statewide policy is enacted, as more and more municipalities adopt stretch code policies.  </w:t>
      </w:r>
      <w:r w:rsidR="008F0F13">
        <w:t xml:space="preserve">However, the evaluation would only apply to geographic boundaries affected by the current policy, such as the cities that adopt the stretch code. If the stretch code policy later gets adopted statewide, </w:t>
      </w:r>
      <w:r w:rsidR="0018319C">
        <w:t>there would be a new</w:t>
      </w:r>
      <w:r w:rsidR="008F0F13">
        <w:t xml:space="preserve"> evaluation to determine the utility contribution to the statewide code adoption.</w:t>
      </w:r>
    </w:p>
    <w:p w14:paraId="6B2EBEA4" w14:textId="553FA33B" w:rsidR="0007557E" w:rsidRDefault="0007557E" w:rsidP="0007557E">
      <w:pPr>
        <w:pStyle w:val="Bodysansserif"/>
      </w:pPr>
      <w:r>
        <w:t xml:space="preserve">Stretch codes policies may require buildings to meet codes through </w:t>
      </w:r>
      <w:r w:rsidR="005A128A">
        <w:t xml:space="preserve">prescriptive </w:t>
      </w:r>
      <w:r>
        <w:t xml:space="preserve">measures or through a whole-building reduction in energy. </w:t>
      </w:r>
      <w:r w:rsidR="005A128A">
        <w:t>The way the policy is written will drive methods of estimating gross technical potential.</w:t>
      </w:r>
    </w:p>
    <w:p w14:paraId="1346237C" w14:textId="367321DB" w:rsidR="00A24D60" w:rsidRDefault="00A24D60" w:rsidP="0007557E">
      <w:pPr>
        <w:pStyle w:val="Bodysansserif"/>
      </w:pPr>
      <w:r>
        <w:t xml:space="preserve">For Slipstream/MEEA’s Phase 1 Report of </w:t>
      </w:r>
      <w:r w:rsidRPr="00434E2A">
        <w:t>Energy Stretch Code &amp; Building Performance Standard Programs for Illinois</w:t>
      </w:r>
      <w:r>
        <w:t xml:space="preserve"> (presented to IL SAG</w:t>
      </w:r>
      <w:r w:rsidR="001812AA">
        <w:t xml:space="preserve"> MT Savings Working Group</w:t>
      </w:r>
      <w:r>
        <w:t xml:space="preserve"> on March </w:t>
      </w:r>
      <w:r w:rsidR="001812AA">
        <w:t>17</w:t>
      </w:r>
      <w:r w:rsidR="001812AA" w:rsidRPr="001812AA">
        <w:rPr>
          <w:vertAlign w:val="superscript"/>
        </w:rPr>
        <w:t>th</w:t>
      </w:r>
      <w:r w:rsidR="001812AA">
        <w:t>, 2021</w:t>
      </w:r>
      <w:r>
        <w:t xml:space="preserve">), we presented methods and calculations of gross technical savings that reflects </w:t>
      </w:r>
      <w:r w:rsidR="008D56F1">
        <w:t xml:space="preserve">similar </w:t>
      </w:r>
      <w:r w:rsidR="008D56F1">
        <w:lastRenderedPageBreak/>
        <w:t xml:space="preserve">methods provided here, with </w:t>
      </w:r>
      <w:r>
        <w:t xml:space="preserve">utility specific potential </w:t>
      </w:r>
      <w:r w:rsidR="008D56F1">
        <w:t>and</w:t>
      </w:r>
      <w:r>
        <w:t xml:space="preserve"> whole-building </w:t>
      </w:r>
      <w:r w:rsidR="008D56F1">
        <w:t xml:space="preserve">energy reduction </w:t>
      </w:r>
      <w:r>
        <w:t>approach</w:t>
      </w:r>
      <w:r w:rsidR="008D56F1">
        <w:t>.</w:t>
      </w:r>
      <w:r w:rsidR="002E3FA8">
        <w:rPr>
          <w:rStyle w:val="FootnoteReference"/>
        </w:rPr>
        <w:footnoteReference w:id="3"/>
      </w:r>
      <w:r w:rsidR="008D56F1">
        <w:t xml:space="preserve"> </w:t>
      </w:r>
    </w:p>
    <w:p w14:paraId="08ADB552" w14:textId="6CA8CA10" w:rsidR="006E0CE5" w:rsidRPr="00885658" w:rsidRDefault="006E0CE5" w:rsidP="0007557E">
      <w:pPr>
        <w:pStyle w:val="Bodysansserif"/>
      </w:pPr>
      <w:r>
        <w:t>Below are the key pieces of evaluation activities to estimate gross technical potential</w:t>
      </w:r>
      <w:r w:rsidR="00C514A6">
        <w:t xml:space="preserve">, which </w:t>
      </w:r>
      <w:r w:rsidR="007B4972">
        <w:t xml:space="preserve">include the Unit Energy Savings estimation and the number of applicable units in the commercial new construction market: </w:t>
      </w:r>
      <w:r w:rsidR="005D5997" w:rsidRPr="005D5997">
        <w:rPr>
          <w:i/>
          <w:iCs/>
        </w:rPr>
        <w:t xml:space="preserve"> </w:t>
      </w:r>
      <w:r>
        <w:t xml:space="preserve"> </w:t>
      </w:r>
    </w:p>
    <w:p w14:paraId="572ADC91" w14:textId="1654B4B4" w:rsidR="00B47F2E" w:rsidRDefault="00B47F2E" w:rsidP="00333AEE">
      <w:pPr>
        <w:pStyle w:val="Bodysansserif"/>
        <w:numPr>
          <w:ilvl w:val="0"/>
          <w:numId w:val="15"/>
        </w:numPr>
      </w:pPr>
      <w:r w:rsidRPr="00EB1415">
        <w:rPr>
          <w:b/>
          <w:bCs/>
        </w:rPr>
        <w:t>Review of Primary Sources:</w:t>
      </w:r>
      <w:r>
        <w:t xml:space="preserve"> </w:t>
      </w:r>
      <w:r w:rsidR="00333AEE">
        <w:t>U</w:t>
      </w:r>
      <w:r>
        <w:t xml:space="preserve">tility documentation provides the starting point for these analyses. </w:t>
      </w:r>
      <w:r w:rsidR="00C67CF0">
        <w:t xml:space="preserve"> They may include the study reports, described above, as well as documentation detailing utility actions supporting code advancement. </w:t>
      </w:r>
      <w:r>
        <w:t xml:space="preserve"> Documents provided may include Excel workbooks, relevant research materials, market data sets, or memos explaining methods and assumptions</w:t>
      </w:r>
      <w:r w:rsidR="00517FFB">
        <w:t>.</w:t>
      </w:r>
    </w:p>
    <w:p w14:paraId="225C8BD5" w14:textId="324CE68E" w:rsidR="00B47F2E" w:rsidRDefault="00B47F2E" w:rsidP="00333AEE">
      <w:pPr>
        <w:pStyle w:val="Bodysansserif"/>
        <w:numPr>
          <w:ilvl w:val="0"/>
          <w:numId w:val="15"/>
        </w:numPr>
      </w:pPr>
      <w:r w:rsidRPr="00EB1415">
        <w:rPr>
          <w:b/>
          <w:bCs/>
        </w:rPr>
        <w:t>Gap Analysis:</w:t>
      </w:r>
      <w:r>
        <w:t xml:space="preserve"> Evaluators may request</w:t>
      </w:r>
      <w:r w:rsidR="00EB1415">
        <w:t xml:space="preserve"> or seek out</w:t>
      </w:r>
      <w:r>
        <w:t xml:space="preserve"> additional data where utility documentation appears incomplete</w:t>
      </w:r>
      <w:r w:rsidR="00EB1415">
        <w:t xml:space="preserve">. </w:t>
      </w:r>
    </w:p>
    <w:p w14:paraId="536D2619" w14:textId="6B16C35A" w:rsidR="00B47F2E" w:rsidRDefault="00B47F2E" w:rsidP="00333AEE">
      <w:pPr>
        <w:pStyle w:val="Bodysansserif"/>
        <w:numPr>
          <w:ilvl w:val="0"/>
          <w:numId w:val="15"/>
        </w:numPr>
      </w:pPr>
      <w:r w:rsidRPr="00EB1415">
        <w:rPr>
          <w:b/>
          <w:bCs/>
        </w:rPr>
        <w:t>Unit Savings Evaluation:</w:t>
      </w:r>
      <w:r>
        <w:t xml:space="preserve"> Evaluator reviews engineering algorithm or energy model inputs, assumptions, and methodology to determine accuracy of utility estimates.  Where necessary, evaluators pursue secondary research and recreate unit savings to develop their own UES estimates.</w:t>
      </w:r>
      <w:r w:rsidR="00B21D52">
        <w:t xml:space="preserve"> If </w:t>
      </w:r>
      <w:r w:rsidR="00FF13A6">
        <w:t>stretch code policies are prescriptive in nature, each measure should be evaluated independently</w:t>
      </w:r>
      <w:r w:rsidR="005D69B1">
        <w:t>, while a whole-building energy reduction approach would be evaluated</w:t>
      </w:r>
      <w:r w:rsidR="00E37D74">
        <w:t xml:space="preserve"> once per code update cycle.</w:t>
      </w:r>
    </w:p>
    <w:p w14:paraId="55322CCC" w14:textId="151102F4" w:rsidR="00B47F2E" w:rsidRDefault="00B47F2E" w:rsidP="00333AEE">
      <w:pPr>
        <w:pStyle w:val="Bodysansserif"/>
        <w:numPr>
          <w:ilvl w:val="0"/>
          <w:numId w:val="15"/>
        </w:numPr>
      </w:pPr>
      <w:r w:rsidRPr="00EB1415">
        <w:rPr>
          <w:b/>
          <w:bCs/>
        </w:rPr>
        <w:t>Unit Quantity Evaluation:</w:t>
      </w:r>
      <w:r>
        <w:t xml:space="preserve"> Reputable third-party sources may be brought in here to supply market data allowing for consistent new construction predictions. Dodge Data may be employed to arrive at market data.</w:t>
      </w:r>
    </w:p>
    <w:p w14:paraId="00ED5F30" w14:textId="6F93B071" w:rsidR="00B47F2E" w:rsidRDefault="00B47F2E" w:rsidP="0033527A">
      <w:pPr>
        <w:pStyle w:val="Heading3ALT"/>
      </w:pPr>
      <w:r>
        <w:t xml:space="preserve">Gross Energy Savings </w:t>
      </w:r>
    </w:p>
    <w:p w14:paraId="3B796D1F" w14:textId="5B7DA2A6" w:rsidR="00814509" w:rsidRDefault="00B47F2E" w:rsidP="00B47F2E">
      <w:pPr>
        <w:pStyle w:val="Bodysansserif"/>
      </w:pPr>
      <w:r>
        <w:t>Evaluators</w:t>
      </w:r>
      <w:r w:rsidR="00AB73AD">
        <w:t xml:space="preserve"> next estimate the energy savings that results from </w:t>
      </w:r>
      <w:r w:rsidR="00814509">
        <w:t>policy</w:t>
      </w:r>
      <w:r w:rsidR="00AB73AD">
        <w:t xml:space="preserve"> advancement </w:t>
      </w:r>
      <w:r w:rsidR="00814509">
        <w:t>or influence</w:t>
      </w:r>
      <w:r w:rsidR="003374C5">
        <w:t>.</w:t>
      </w:r>
      <w:r w:rsidR="000927D9">
        <w:t xml:space="preserve"> </w:t>
      </w:r>
      <w:r w:rsidR="00365FE2">
        <w:t xml:space="preserve">This includes primary data collection </w:t>
      </w:r>
      <w:r w:rsidR="00686D55">
        <w:t>to understand what effect the policy advancement has had on the market.  In the case of stretch codes, the evaluators need to understand if the</w:t>
      </w:r>
      <w:r w:rsidR="009F4E4E">
        <w:t xml:space="preserve"> policy adoption has led to the market adoption of</w:t>
      </w:r>
      <w:r w:rsidR="00F90AC6">
        <w:t xml:space="preserve"> the more advanced building codes</w:t>
      </w:r>
      <w:r w:rsidR="009F4E4E">
        <w:t xml:space="preserve">. Because code </w:t>
      </w:r>
      <w:r w:rsidR="004277E8">
        <w:t>compl</w:t>
      </w:r>
      <w:r w:rsidR="004277E8" w:rsidDel="00B3610E">
        <w:t>i</w:t>
      </w:r>
      <w:r w:rsidR="004277E8">
        <w:t>ance</w:t>
      </w:r>
      <w:r w:rsidR="009F4E4E">
        <w:t xml:space="preserve"> studies have shown that not every building </w:t>
      </w:r>
      <w:r w:rsidR="00056307">
        <w:t xml:space="preserve">adheres to the </w:t>
      </w:r>
      <w:r w:rsidR="00537486">
        <w:t>base</w:t>
      </w:r>
      <w:r w:rsidR="00056307">
        <w:t xml:space="preserve"> codes, we expect that not every building would </w:t>
      </w:r>
      <w:r w:rsidR="00B3610E">
        <w:t xml:space="preserve">immediately achieve 100% compliance with </w:t>
      </w:r>
      <w:r w:rsidR="00056307">
        <w:t>stretch code strategies</w:t>
      </w:r>
      <w:r w:rsidR="00B3610E">
        <w:t xml:space="preserve"> where adopted</w:t>
      </w:r>
      <w:r w:rsidR="00F90AC6">
        <w:t>, and therefore compliance with the stretch code needs to be incorporate</w:t>
      </w:r>
      <w:r w:rsidR="00B3610E">
        <w:t>d</w:t>
      </w:r>
      <w:r w:rsidR="00F90AC6">
        <w:t xml:space="preserve"> in</w:t>
      </w:r>
      <w:r w:rsidR="00B3610E">
        <w:t>to</w:t>
      </w:r>
      <w:r w:rsidR="00F90AC6">
        <w:t xml:space="preserve"> the energy savings calculations </w:t>
      </w:r>
      <w:r w:rsidR="00B3610E">
        <w:t>(and claimed savings timeline)</w:t>
      </w:r>
      <w:r w:rsidR="00056307">
        <w:t>.</w:t>
      </w:r>
      <w:r w:rsidR="00F90AC6">
        <w:t xml:space="preserve"> </w:t>
      </w:r>
      <w:r w:rsidR="00056307">
        <w:t xml:space="preserve"> </w:t>
      </w:r>
    </w:p>
    <w:p w14:paraId="2D695615" w14:textId="740AB972" w:rsidR="00B47F2E" w:rsidRDefault="00B47F2E" w:rsidP="00B47F2E">
      <w:pPr>
        <w:pStyle w:val="Bodysansserif"/>
      </w:pPr>
      <w:r>
        <w:t>The data collection process</w:t>
      </w:r>
      <w:r w:rsidR="0028067D">
        <w:t xml:space="preserve"> begins with a sampling plan which will stratify the market by building type and size,</w:t>
      </w:r>
      <w:r>
        <w:t xml:space="preserve"> </w:t>
      </w:r>
      <w:r w:rsidR="0028067D" w:rsidRPr="0028067D">
        <w:t xml:space="preserve">with buildings weighted by presence in the market and potential energy </w:t>
      </w:r>
      <w:r w:rsidR="0028067D" w:rsidRPr="0028067D">
        <w:lastRenderedPageBreak/>
        <w:t xml:space="preserve">savings. </w:t>
      </w:r>
      <w:r w:rsidR="00320919">
        <w:t>Once the sample plan is created, the evaluators would seek out the following information to generate estimate of gross energy savings</w:t>
      </w:r>
      <w:r>
        <w:t>:</w:t>
      </w:r>
    </w:p>
    <w:p w14:paraId="636E7F1F" w14:textId="319D4599" w:rsidR="00B47F2E" w:rsidRDefault="00B47F2E" w:rsidP="00320919">
      <w:pPr>
        <w:pStyle w:val="Bodysansserif"/>
        <w:numPr>
          <w:ilvl w:val="0"/>
          <w:numId w:val="16"/>
        </w:numPr>
        <w:rPr>
          <w:b/>
          <w:bCs/>
        </w:rPr>
      </w:pPr>
      <w:r w:rsidRPr="00EB1415">
        <w:rPr>
          <w:b/>
          <w:bCs/>
        </w:rPr>
        <w:t>Research of Building Department Records</w:t>
      </w:r>
    </w:p>
    <w:p w14:paraId="032DA399" w14:textId="77777777" w:rsidR="00EE7FCA" w:rsidRPr="00EE7FCA" w:rsidRDefault="00EE7FCA" w:rsidP="00EE7FCA">
      <w:pPr>
        <w:pStyle w:val="Bodysansserif"/>
        <w:numPr>
          <w:ilvl w:val="1"/>
          <w:numId w:val="16"/>
        </w:numPr>
      </w:pPr>
      <w:r w:rsidRPr="00EE7FCA">
        <w:t>Architectural, electrical, and mechanical drawings</w:t>
      </w:r>
    </w:p>
    <w:p w14:paraId="2CEC8ADC" w14:textId="32951C43" w:rsidR="00EE7FCA" w:rsidRPr="00EE7FCA" w:rsidRDefault="00EE7FCA" w:rsidP="00EE7FCA">
      <w:pPr>
        <w:pStyle w:val="Bodysansserif"/>
        <w:numPr>
          <w:ilvl w:val="1"/>
          <w:numId w:val="16"/>
        </w:numPr>
      </w:pPr>
      <w:r w:rsidRPr="00EE7FCA">
        <w:t>Construction details and specification books</w:t>
      </w:r>
    </w:p>
    <w:p w14:paraId="53602772" w14:textId="77777777" w:rsidR="00EE7FCA" w:rsidRDefault="00B47F2E" w:rsidP="00320919">
      <w:pPr>
        <w:pStyle w:val="Bodysansserif"/>
        <w:numPr>
          <w:ilvl w:val="0"/>
          <w:numId w:val="16"/>
        </w:numPr>
        <w:rPr>
          <w:b/>
          <w:bCs/>
        </w:rPr>
      </w:pPr>
      <w:r w:rsidRPr="00EB1415">
        <w:rPr>
          <w:b/>
          <w:bCs/>
        </w:rPr>
        <w:t>Site Data Collection</w:t>
      </w:r>
      <w:r w:rsidR="00EE7FCA">
        <w:rPr>
          <w:b/>
          <w:bCs/>
        </w:rPr>
        <w:t xml:space="preserve"> </w:t>
      </w:r>
    </w:p>
    <w:p w14:paraId="7CC7D817" w14:textId="77777777" w:rsidR="00EE7FCA" w:rsidRPr="00EE7FCA" w:rsidRDefault="00EE7FCA" w:rsidP="00EE7FCA">
      <w:pPr>
        <w:pStyle w:val="Bodysansserif"/>
        <w:numPr>
          <w:ilvl w:val="1"/>
          <w:numId w:val="16"/>
        </w:numPr>
      </w:pPr>
      <w:r w:rsidRPr="00EE7FCA">
        <w:t>Building configuration, footprint dimensions, orientation, and area of each activity type (square footage)</w:t>
      </w:r>
    </w:p>
    <w:p w14:paraId="19B9EE28" w14:textId="77777777" w:rsidR="00EE7FCA" w:rsidRPr="00EE7FCA" w:rsidRDefault="00EE7FCA" w:rsidP="00EE7FCA">
      <w:pPr>
        <w:pStyle w:val="Bodysansserif"/>
        <w:numPr>
          <w:ilvl w:val="1"/>
          <w:numId w:val="16"/>
        </w:numPr>
      </w:pPr>
      <w:r w:rsidRPr="00EE7FCA">
        <w:t>HVAC equipment and distribution system specifications (type, quantities, and efficiency rating)</w:t>
      </w:r>
    </w:p>
    <w:p w14:paraId="0CF23B7E" w14:textId="77777777" w:rsidR="00EE7FCA" w:rsidRPr="00EE7FCA" w:rsidRDefault="00EE7FCA" w:rsidP="00EE7FCA">
      <w:pPr>
        <w:pStyle w:val="Bodysansserif"/>
        <w:numPr>
          <w:ilvl w:val="1"/>
          <w:numId w:val="16"/>
        </w:numPr>
      </w:pPr>
      <w:r w:rsidRPr="00EE7FCA">
        <w:t>Envelope insulation material and thickness (R-value)</w:t>
      </w:r>
    </w:p>
    <w:p w14:paraId="741E713F" w14:textId="68B3B84E" w:rsidR="00EE7FCA" w:rsidRPr="00EE7FCA" w:rsidRDefault="00EE7FCA" w:rsidP="00EE7FCA">
      <w:pPr>
        <w:pStyle w:val="Bodysansserif"/>
        <w:numPr>
          <w:ilvl w:val="1"/>
          <w:numId w:val="16"/>
        </w:numPr>
      </w:pPr>
      <w:r w:rsidRPr="00EE7FCA">
        <w:t>Lighting densities and control types.</w:t>
      </w:r>
    </w:p>
    <w:p w14:paraId="7422FF11" w14:textId="7E5029C0" w:rsidR="00B47F2E" w:rsidRDefault="00EB1415" w:rsidP="00320919">
      <w:pPr>
        <w:pStyle w:val="Bodysansserif"/>
        <w:numPr>
          <w:ilvl w:val="0"/>
          <w:numId w:val="16"/>
        </w:numPr>
        <w:rPr>
          <w:b/>
          <w:bCs/>
        </w:rPr>
      </w:pPr>
      <w:r w:rsidRPr="00EB1415">
        <w:rPr>
          <w:b/>
          <w:bCs/>
        </w:rPr>
        <w:t xml:space="preserve"> </w:t>
      </w:r>
      <w:r w:rsidR="00B47F2E" w:rsidRPr="00EB1415">
        <w:rPr>
          <w:b/>
          <w:bCs/>
        </w:rPr>
        <w:t xml:space="preserve">Interviews with </w:t>
      </w:r>
      <w:r>
        <w:rPr>
          <w:b/>
          <w:bCs/>
        </w:rPr>
        <w:t>F</w:t>
      </w:r>
      <w:r w:rsidR="00B47F2E" w:rsidRPr="00EB1415">
        <w:rPr>
          <w:b/>
          <w:bCs/>
        </w:rPr>
        <w:t xml:space="preserve">acility </w:t>
      </w:r>
      <w:r w:rsidR="00EE132B">
        <w:rPr>
          <w:b/>
          <w:bCs/>
        </w:rPr>
        <w:t>Pe</w:t>
      </w:r>
      <w:r w:rsidR="00EE132B" w:rsidRPr="00EB1415">
        <w:rPr>
          <w:b/>
          <w:bCs/>
        </w:rPr>
        <w:t>rsonnel</w:t>
      </w:r>
      <w:r w:rsidR="00B47F2E" w:rsidRPr="00EB1415">
        <w:rPr>
          <w:b/>
          <w:bCs/>
        </w:rPr>
        <w:t xml:space="preserve"> </w:t>
      </w:r>
    </w:p>
    <w:p w14:paraId="01EAF495" w14:textId="4FBB0A11" w:rsidR="00B47F2E" w:rsidRDefault="00B47F2E" w:rsidP="008D1922">
      <w:pPr>
        <w:pStyle w:val="Heading3ALT"/>
      </w:pPr>
      <w:r>
        <w:t xml:space="preserve">Net Savings </w:t>
      </w:r>
    </w:p>
    <w:p w14:paraId="3EA9D4C2" w14:textId="19046D31" w:rsidR="000465DA" w:rsidRDefault="004338A4" w:rsidP="000465DA">
      <w:pPr>
        <w:pStyle w:val="Bodysansserif"/>
      </w:pPr>
      <w:r>
        <w:t xml:space="preserve">Evaluators need to calculate net savings through the determination of </w:t>
      </w:r>
      <w:r w:rsidR="00B47F2E">
        <w:t xml:space="preserve">Naturally Occurring Market Adoption </w:t>
      </w:r>
      <w:r w:rsidR="000D6A7D">
        <w:t>(NOMAD)</w:t>
      </w:r>
      <w:r>
        <w:t>. This phrase is used interchangeably with Natural Market Baseline</w:t>
      </w:r>
      <w:r w:rsidR="00024AF9">
        <w:t xml:space="preserve"> and refers to the approximation of what would happen in the market if a program or policy were not in place. </w:t>
      </w:r>
      <w:r w:rsidR="000465DA">
        <w:t>As described in the Attachment C of the IL TRM, NOMAD needs to be removed from the gross energy savings so that savings are not counted that would have naturally happened even without utility interventions.</w:t>
      </w:r>
      <w:r w:rsidR="00E84429">
        <w:t xml:space="preserve">   There is a recognition that </w:t>
      </w:r>
      <w:r w:rsidR="00EF5C1D">
        <w:t xml:space="preserve">calculating NOMAD is </w:t>
      </w:r>
      <w:r w:rsidR="008C2B40">
        <w:t>“</w:t>
      </w:r>
      <w:r w:rsidR="008C2B40" w:rsidRPr="005F75ED">
        <w:rPr>
          <w:rFonts w:cstheme="minorHAnsi"/>
        </w:rPr>
        <w:t xml:space="preserve">probably the most challenging piece of estimating savings from MT because it is a prediction of the future that </w:t>
      </w:r>
      <w:r w:rsidR="008C2B40">
        <w:rPr>
          <w:rFonts w:cstheme="minorHAnsi"/>
        </w:rPr>
        <w:t>will never actually exist and therefore can’t be measured</w:t>
      </w:r>
      <w:r w:rsidR="008C2B40" w:rsidRPr="005F75ED">
        <w:rPr>
          <w:rFonts w:cstheme="minorHAnsi"/>
        </w:rPr>
        <w:t>.</w:t>
      </w:r>
      <w:r w:rsidR="008C2B40">
        <w:rPr>
          <w:rFonts w:cstheme="minorHAnsi"/>
        </w:rPr>
        <w:t xml:space="preserve">”  </w:t>
      </w:r>
      <w:r w:rsidR="00DC3AFD">
        <w:rPr>
          <w:rFonts w:cstheme="minorHAnsi"/>
        </w:rPr>
        <w:t xml:space="preserve">The IL TRM encourages </w:t>
      </w:r>
      <w:r w:rsidR="00E75BD2">
        <w:rPr>
          <w:rFonts w:cstheme="minorHAnsi"/>
        </w:rPr>
        <w:t>involving evaluators and stakeholders throughout this process to ensure transparency</w:t>
      </w:r>
      <w:r w:rsidR="00FF3B12">
        <w:rPr>
          <w:rFonts w:cstheme="minorHAnsi"/>
        </w:rPr>
        <w:t xml:space="preserve"> in the methods and judgement used to </w:t>
      </w:r>
      <w:r w:rsidR="00006293">
        <w:rPr>
          <w:rFonts w:cstheme="minorHAnsi"/>
        </w:rPr>
        <w:t xml:space="preserve">estimate the total policy advancement impact. </w:t>
      </w:r>
      <w:r w:rsidR="00E75BD2">
        <w:rPr>
          <w:rFonts w:cstheme="minorHAnsi"/>
        </w:rPr>
        <w:t xml:space="preserve"> </w:t>
      </w:r>
    </w:p>
    <w:p w14:paraId="4F296617" w14:textId="33B47472" w:rsidR="000D6A7D" w:rsidRDefault="00EF5C1D" w:rsidP="000D6A7D">
      <w:pPr>
        <w:pStyle w:val="Bodysansserif"/>
      </w:pPr>
      <w:r>
        <w:t xml:space="preserve">As done in other jurisdictions, such as California, </w:t>
      </w:r>
      <w:r w:rsidR="00FD75F4">
        <w:t xml:space="preserve">we recommend leveraging subject matter experts to determine NOMAD. This </w:t>
      </w:r>
      <w:r w:rsidR="00BE6040">
        <w:t>approach</w:t>
      </w:r>
      <w:r w:rsidR="00FD75F4">
        <w:t xml:space="preserve">, called a Delphi Panel, </w:t>
      </w:r>
      <w:r w:rsidR="00782F60">
        <w:t xml:space="preserve">employs a group of experts to review existing data and quantify </w:t>
      </w:r>
      <w:r w:rsidR="00623CBE">
        <w:t xml:space="preserve">the natural market baseline. </w:t>
      </w:r>
    </w:p>
    <w:p w14:paraId="61CE7882" w14:textId="407F276E" w:rsidR="00B47F2E" w:rsidRDefault="00454CD1" w:rsidP="00B47F2E">
      <w:pPr>
        <w:pStyle w:val="Bodysansserif"/>
      </w:pPr>
      <w:r>
        <w:t xml:space="preserve">For this evaluation, we recommend </w:t>
      </w:r>
      <w:r w:rsidR="00674AB0">
        <w:t xml:space="preserve">the evaluator as a Delphi facilitator </w:t>
      </w:r>
      <w:r w:rsidR="003A383B">
        <w:t>who is</w:t>
      </w:r>
      <w:r w:rsidR="00B47F2E">
        <w:t xml:space="preserve"> impartial and most familiar with research and data collection</w:t>
      </w:r>
      <w:r w:rsidR="00674AB0">
        <w:t xml:space="preserve">. The panel of experts should all have </w:t>
      </w:r>
      <w:r w:rsidR="00B47F2E">
        <w:t>relevant knowledge and</w:t>
      </w:r>
      <w:r w:rsidR="002521A9" w:rsidRPr="002521A9">
        <w:rPr>
          <w:rFonts w:ascii="Times New Roman" w:hAnsi="Times New Roman" w:cs="Times New Roman"/>
          <w:sz w:val="24"/>
        </w:rPr>
        <w:t xml:space="preserve"> </w:t>
      </w:r>
      <w:r w:rsidR="00B47F2E">
        <w:t>experience for NOMAD.</w:t>
      </w:r>
      <w:r w:rsidR="00674AB0">
        <w:t xml:space="preserve"> There would be three rounds of questions relating to the NOMAD, with questions progressing </w:t>
      </w:r>
      <w:r w:rsidR="00B47F2E">
        <w:t>from general questions to specific questions to decision making.</w:t>
      </w:r>
      <w:r w:rsidR="00674AB0">
        <w:t xml:space="preserve"> The p</w:t>
      </w:r>
      <w:r w:rsidR="000D6A7D">
        <w:t xml:space="preserve">anel determines other market mechanisms and level of influence </w:t>
      </w:r>
      <w:r w:rsidR="00674AB0">
        <w:t xml:space="preserve">that drives the policy advancement. This may include: </w:t>
      </w:r>
    </w:p>
    <w:p w14:paraId="48F20950" w14:textId="1330FD8E" w:rsidR="00B47F2E" w:rsidRDefault="00B47F2E" w:rsidP="008D1922">
      <w:pPr>
        <w:pStyle w:val="Bodysansserif"/>
        <w:numPr>
          <w:ilvl w:val="0"/>
          <w:numId w:val="6"/>
        </w:numPr>
      </w:pPr>
      <w:r w:rsidRPr="000D6A7D">
        <w:rPr>
          <w:b/>
          <w:bCs/>
        </w:rPr>
        <w:lastRenderedPageBreak/>
        <w:t>Non-Utility EE Advocacy:</w:t>
      </w:r>
      <w:r>
        <w:t xml:space="preserve"> Usually run in parallel to utility activities, such as MEEA.</w:t>
      </w:r>
    </w:p>
    <w:p w14:paraId="085C2618" w14:textId="597BF19F" w:rsidR="00B47F2E" w:rsidRDefault="00B47F2E" w:rsidP="008D1922">
      <w:pPr>
        <w:pStyle w:val="Bodysansserif"/>
        <w:numPr>
          <w:ilvl w:val="0"/>
          <w:numId w:val="6"/>
        </w:numPr>
      </w:pPr>
      <w:r w:rsidRPr="000D6A7D">
        <w:rPr>
          <w:b/>
          <w:bCs/>
        </w:rPr>
        <w:t>Utility Incentive Programs</w:t>
      </w:r>
      <w:r>
        <w:t>: Quantifying the effect of resource acquisition programs.</w:t>
      </w:r>
    </w:p>
    <w:p w14:paraId="231685AE" w14:textId="77777777" w:rsidR="00D3369D" w:rsidRDefault="00B47F2E" w:rsidP="00D3369D">
      <w:pPr>
        <w:pStyle w:val="Bodysansserif"/>
        <w:numPr>
          <w:ilvl w:val="0"/>
          <w:numId w:val="6"/>
        </w:numPr>
      </w:pPr>
      <w:r w:rsidRPr="000D6A7D">
        <w:rPr>
          <w:b/>
          <w:bCs/>
        </w:rPr>
        <w:t>Statewide Base Code:</w:t>
      </w:r>
      <w:r>
        <w:t xml:space="preserve"> Advances in the statewide code may affect NOMAD.</w:t>
      </w:r>
    </w:p>
    <w:p w14:paraId="1648888D" w14:textId="0C081DFA" w:rsidR="00D3369D" w:rsidRDefault="00B47F2E" w:rsidP="00D3369D">
      <w:pPr>
        <w:pStyle w:val="Bodysansserif"/>
        <w:numPr>
          <w:ilvl w:val="0"/>
          <w:numId w:val="6"/>
        </w:numPr>
      </w:pPr>
      <w:r w:rsidRPr="00D3369D">
        <w:rPr>
          <w:b/>
          <w:bCs/>
        </w:rPr>
        <w:t>Compliance Intervention:</w:t>
      </w:r>
      <w:r>
        <w:t xml:space="preserve"> If </w:t>
      </w:r>
      <w:r w:rsidR="00DE2175">
        <w:t>stakeholders</w:t>
      </w:r>
      <w:r>
        <w:t xml:space="preserve"> are actively engaging in code compliance</w:t>
      </w:r>
      <w:r w:rsidR="009B7DA8">
        <w:t xml:space="preserve"> </w:t>
      </w:r>
      <w:r w:rsidR="004277E8">
        <w:t>support</w:t>
      </w:r>
      <w:r w:rsidR="009B7DA8">
        <w:t xml:space="preserve">. </w:t>
      </w:r>
    </w:p>
    <w:p w14:paraId="09B5DAB1" w14:textId="1573CB3C" w:rsidR="00B47F2E" w:rsidRDefault="00B47F2E" w:rsidP="008D1922">
      <w:pPr>
        <w:pStyle w:val="Heading3ALT"/>
      </w:pPr>
      <w:r>
        <w:t xml:space="preserve">Net Program Savings </w:t>
      </w:r>
    </w:p>
    <w:p w14:paraId="20937179" w14:textId="6606B9C8" w:rsidR="00B47F2E" w:rsidRPr="00677485" w:rsidRDefault="0091606E" w:rsidP="00B47F2E">
      <w:pPr>
        <w:pStyle w:val="Bodysansserif"/>
      </w:pPr>
      <w:r>
        <w:t xml:space="preserve">The </w:t>
      </w:r>
      <w:r w:rsidR="001A0595">
        <w:t>next</w:t>
      </w:r>
      <w:r>
        <w:t xml:space="preserve"> analytic step takes the net savings value determined above and applies an attribution factor to </w:t>
      </w:r>
      <w:r w:rsidR="00151779">
        <w:t xml:space="preserve">the </w:t>
      </w:r>
      <w:r w:rsidR="00EE6421">
        <w:t>utility</w:t>
      </w:r>
      <w:r w:rsidR="00151779">
        <w:t xml:space="preserve"> </w:t>
      </w:r>
      <w:r w:rsidR="00EE6421">
        <w:t>involvement. This a</w:t>
      </w:r>
      <w:r w:rsidR="00B47F2E">
        <w:t xml:space="preserve">ttribution factor </w:t>
      </w:r>
      <w:r w:rsidR="00EE6421">
        <w:t xml:space="preserve">is </w:t>
      </w:r>
      <w:r w:rsidR="00967F53">
        <w:t xml:space="preserve">developed </w:t>
      </w:r>
      <w:r w:rsidR="00967F53" w:rsidRPr="00687860">
        <w:t xml:space="preserve">by </w:t>
      </w:r>
      <w:r w:rsidR="00687860" w:rsidRPr="00687860">
        <w:t xml:space="preserve">a panel of experts.  The panel is presented with the relevant </w:t>
      </w:r>
      <w:r w:rsidR="00D3369D">
        <w:t>evidenc</w:t>
      </w:r>
      <w:r w:rsidR="00687860" w:rsidRPr="00687860">
        <w:t>e, including rulemaking dockets, activity and role reports from utilities, and stakeholder interviews. If the weight</w:t>
      </w:r>
      <w:r w:rsidR="00677485">
        <w:t>ed</w:t>
      </w:r>
      <w:r w:rsidR="00687860" w:rsidRPr="00687860">
        <w:t xml:space="preserve"> scores differ by more than 10% than the utility estimates, the impact evaluators conduct additional research.</w:t>
      </w:r>
      <w:r w:rsidR="00687860" w:rsidRPr="00687860">
        <w:rPr>
          <w:b/>
          <w:bCs/>
        </w:rPr>
        <w:t xml:space="preserve"> </w:t>
      </w:r>
      <w:r w:rsidR="00677485">
        <w:t>The weighted score</w:t>
      </w:r>
      <w:r w:rsidR="00925D97">
        <w:t xml:space="preserve"> is a fixed percentage </w:t>
      </w:r>
      <w:r w:rsidR="0003365F">
        <w:t xml:space="preserve">determined </w:t>
      </w:r>
      <w:r w:rsidR="0023408E">
        <w:t xml:space="preserve">for the entirety of the program. </w:t>
      </w:r>
      <w:r w:rsidR="00687860">
        <w:rPr>
          <w:b/>
          <w:bCs/>
        </w:rPr>
        <w:t xml:space="preserve"> </w:t>
      </w:r>
      <w:r w:rsidR="00677485" w:rsidRPr="00677485">
        <w:t>The weights and scores are developed in three areas:</w:t>
      </w:r>
      <w:r w:rsidR="00B47F2E" w:rsidRPr="00677485">
        <w:t xml:space="preserve">  </w:t>
      </w:r>
    </w:p>
    <w:p w14:paraId="5374F923" w14:textId="4C7F89F1" w:rsidR="00B47F2E" w:rsidRPr="0012505C" w:rsidRDefault="00B47F2E" w:rsidP="008D1922">
      <w:pPr>
        <w:pStyle w:val="Bodysansserif"/>
        <w:numPr>
          <w:ilvl w:val="0"/>
          <w:numId w:val="6"/>
        </w:numPr>
        <w:rPr>
          <w:b/>
          <w:bCs/>
        </w:rPr>
      </w:pPr>
      <w:r w:rsidRPr="0012505C">
        <w:rPr>
          <w:b/>
          <w:bCs/>
        </w:rPr>
        <w:t>Development</w:t>
      </w:r>
      <w:r>
        <w:t xml:space="preserve"> </w:t>
      </w:r>
      <w:r w:rsidRPr="0012505C">
        <w:rPr>
          <w:b/>
          <w:bCs/>
        </w:rPr>
        <w:t>of Compliance Determination Methods</w:t>
      </w:r>
    </w:p>
    <w:p w14:paraId="498686CF" w14:textId="1EC6B549" w:rsidR="00B47F2E" w:rsidRDefault="00B47F2E" w:rsidP="008D1922">
      <w:pPr>
        <w:pStyle w:val="Bodysansserif"/>
        <w:numPr>
          <w:ilvl w:val="1"/>
          <w:numId w:val="6"/>
        </w:numPr>
      </w:pPr>
      <w:r>
        <w:t>Investigates development of reliable test methods for energy consumption, the assessment of existing test methods to use for code measures and the development of reliable methods for estimating performance</w:t>
      </w:r>
      <w:r w:rsidR="00F51125">
        <w:t xml:space="preserve">. </w:t>
      </w:r>
      <w:r w:rsidR="00874E19">
        <w:t>For example, if stretch code increases HVAC fan efficiency</w:t>
      </w:r>
      <w:r w:rsidR="00731A2E">
        <w:t>, the utility could d</w:t>
      </w:r>
      <w:r w:rsidR="00E02B87">
        <w:t xml:space="preserve">evelop a measurement and verification protocol, including </w:t>
      </w:r>
      <w:r w:rsidR="000D592F">
        <w:t xml:space="preserve">a sampling protocol. </w:t>
      </w:r>
      <w:r w:rsidR="00831593">
        <w:t xml:space="preserve">Then </w:t>
      </w:r>
      <w:r w:rsidR="002E3429">
        <w:t xml:space="preserve">the utility could </w:t>
      </w:r>
      <w:r w:rsidR="00831593">
        <w:t>establish a methodology</w:t>
      </w:r>
      <w:r w:rsidR="002E3429">
        <w:t xml:space="preserve"> or software</w:t>
      </w:r>
      <w:r w:rsidR="00831593">
        <w:t xml:space="preserve"> to apply measurements t</w:t>
      </w:r>
      <w:r w:rsidR="00726F1B">
        <w:t>o an annualized energy consumption pattern</w:t>
      </w:r>
      <w:r w:rsidR="002E3429">
        <w:t xml:space="preserve"> across various building types</w:t>
      </w:r>
      <w:r w:rsidR="00726F1B">
        <w:t>.</w:t>
      </w:r>
      <w:r w:rsidR="000D48FE">
        <w:t xml:space="preserve"> If </w:t>
      </w:r>
      <w:r w:rsidR="004445A6">
        <w:t xml:space="preserve">the stretch code policy requires a whole-building approach, rather than prescriptive measures, this would be verified by the </w:t>
      </w:r>
      <w:r w:rsidR="0061488C">
        <w:t xml:space="preserve">compliance documentation necessary for that approach. </w:t>
      </w:r>
    </w:p>
    <w:p w14:paraId="48EE9DE6" w14:textId="017CB0A3" w:rsidR="00B47F2E" w:rsidRDefault="00B47F2E" w:rsidP="008D1922">
      <w:pPr>
        <w:pStyle w:val="Bodysansserif"/>
        <w:numPr>
          <w:ilvl w:val="1"/>
          <w:numId w:val="6"/>
        </w:numPr>
      </w:pPr>
      <w:r>
        <w:t>Investigates the development of a method for estimating energy savings including algorithms for calculating those energy savings, and development of compliance software or modules capable of accurate analysis</w:t>
      </w:r>
      <w:r w:rsidR="00F34494">
        <w:t xml:space="preserve">. </w:t>
      </w:r>
    </w:p>
    <w:p w14:paraId="052C4D36" w14:textId="665E83E2" w:rsidR="00B47F2E" w:rsidRPr="0012505C" w:rsidRDefault="00B47F2E" w:rsidP="008D1922">
      <w:pPr>
        <w:pStyle w:val="Bodysansserif"/>
        <w:numPr>
          <w:ilvl w:val="0"/>
          <w:numId w:val="6"/>
        </w:numPr>
        <w:rPr>
          <w:b/>
          <w:bCs/>
        </w:rPr>
      </w:pPr>
      <w:r w:rsidRPr="0012505C">
        <w:rPr>
          <w:b/>
          <w:bCs/>
        </w:rPr>
        <w:t>Development of Technical Information</w:t>
      </w:r>
    </w:p>
    <w:p w14:paraId="0F9ABD21" w14:textId="36220E01" w:rsidR="00B47F2E" w:rsidRDefault="00B47F2E" w:rsidP="008D1922">
      <w:pPr>
        <w:pStyle w:val="Bodysansserif"/>
        <w:numPr>
          <w:ilvl w:val="1"/>
          <w:numId w:val="6"/>
        </w:numPr>
      </w:pPr>
      <w:r>
        <w:t>Investigates the definition of the measure, drafting standard language and presenting ideas or recommendations on the standard</w:t>
      </w:r>
      <w:r w:rsidR="00944819">
        <w:t>.</w:t>
      </w:r>
    </w:p>
    <w:p w14:paraId="0F71C3E4" w14:textId="538011A1" w:rsidR="00B47F2E" w:rsidRDefault="00B47F2E" w:rsidP="00B47F2E">
      <w:pPr>
        <w:pStyle w:val="Bodysansserif"/>
        <w:numPr>
          <w:ilvl w:val="1"/>
          <w:numId w:val="6"/>
        </w:numPr>
      </w:pPr>
      <w:r>
        <w:t>Calculates the energy and peak demand savings by market studies, engineering studies, and energy modeling calculations determines the costs and cost-effectiveness via cost research and cost</w:t>
      </w:r>
      <w:r>
        <w:rPr>
          <w:rFonts w:cs="Adobe Caslon Pro"/>
        </w:rPr>
        <w:t>‐</w:t>
      </w:r>
      <w:r>
        <w:t>effectiveness analysis</w:t>
      </w:r>
      <w:r w:rsidR="00944819">
        <w:t>.</w:t>
      </w:r>
    </w:p>
    <w:p w14:paraId="1A74AD37" w14:textId="65771333" w:rsidR="00B47F2E" w:rsidRPr="0012505C" w:rsidRDefault="00B47F2E" w:rsidP="008D1922">
      <w:pPr>
        <w:pStyle w:val="Bodysansserif"/>
        <w:numPr>
          <w:ilvl w:val="0"/>
          <w:numId w:val="6"/>
        </w:numPr>
        <w:rPr>
          <w:b/>
          <w:bCs/>
        </w:rPr>
      </w:pPr>
      <w:r w:rsidRPr="0012505C">
        <w:rPr>
          <w:b/>
          <w:bCs/>
        </w:rPr>
        <w:t>Feasibility of Meeting the Standard</w:t>
      </w:r>
    </w:p>
    <w:p w14:paraId="0925D0FB" w14:textId="4C2FD28A" w:rsidR="00B47F2E" w:rsidRDefault="00B47F2E" w:rsidP="008D1922">
      <w:pPr>
        <w:pStyle w:val="Bodysansserif"/>
        <w:numPr>
          <w:ilvl w:val="1"/>
          <w:numId w:val="6"/>
        </w:numPr>
      </w:pPr>
      <w:r>
        <w:t>Documenting the market readiness of the standard</w:t>
      </w:r>
    </w:p>
    <w:p w14:paraId="0ACED0EE" w14:textId="61ACD27F" w:rsidR="00B47F2E" w:rsidRDefault="00B47F2E" w:rsidP="008D1922">
      <w:pPr>
        <w:pStyle w:val="Bodysansserif"/>
        <w:numPr>
          <w:ilvl w:val="1"/>
          <w:numId w:val="6"/>
        </w:numPr>
      </w:pPr>
      <w:r>
        <w:lastRenderedPageBreak/>
        <w:t>Documenting that the standard does not impose unreasonable and avoidable costs to end users</w:t>
      </w:r>
    </w:p>
    <w:p w14:paraId="0373D988" w14:textId="6CC44796" w:rsidR="00B47F2E" w:rsidRDefault="00B47F2E" w:rsidP="00B47F2E">
      <w:pPr>
        <w:pStyle w:val="Bodysansserif"/>
        <w:numPr>
          <w:ilvl w:val="1"/>
          <w:numId w:val="6"/>
        </w:numPr>
      </w:pPr>
      <w:r>
        <w:t>Documenting no significant health and environmental externalities</w:t>
      </w:r>
    </w:p>
    <w:p w14:paraId="6DAD7BCD" w14:textId="77777777" w:rsidR="00AD13D8" w:rsidRDefault="00B47F2E" w:rsidP="00AD13D8">
      <w:pPr>
        <w:pStyle w:val="Bodysansserif"/>
      </w:pPr>
      <w:r>
        <w:t xml:space="preserve">A panel of experts convene to determine attribution scores. The panel is presented with the relevant evidence, including rulemaking dockets, activity and role reports from utilities, and stakeholder interviews. If the weighting scores differ by more than 10% than the utility estimates, the impact evaluators conduct additional research. </w:t>
      </w:r>
    </w:p>
    <w:p w14:paraId="6089A744" w14:textId="3016970C" w:rsidR="00921AF2" w:rsidRDefault="00921AF2" w:rsidP="00AD13D8">
      <w:pPr>
        <w:pStyle w:val="Heading3ALT"/>
      </w:pPr>
      <w:r>
        <w:t xml:space="preserve">Allocation </w:t>
      </w:r>
    </w:p>
    <w:p w14:paraId="598E960A" w14:textId="7E17EEEF" w:rsidR="00B47F2E" w:rsidRDefault="00233950" w:rsidP="00B47F2E">
      <w:pPr>
        <w:pStyle w:val="Bodysansserif"/>
      </w:pPr>
      <w:r>
        <w:t>The estimated level of savings will be allocated to individual utilities for those utilities to claim savings for policy advancement and policy support.</w:t>
      </w:r>
      <w:bookmarkEnd w:id="0"/>
      <w:r w:rsidR="00002C1E">
        <w:t xml:space="preserve"> Since the geographic territory for a statewide policy would be larger than any one individual</w:t>
      </w:r>
      <w:r w:rsidR="00847C79">
        <w:t xml:space="preserve"> </w:t>
      </w:r>
      <w:r w:rsidR="000658F8">
        <w:t>utility territory</w:t>
      </w:r>
      <w:r w:rsidR="00002C1E">
        <w:t xml:space="preserve">, we recommend allocating energy savings to </w:t>
      </w:r>
      <w:r w:rsidR="00355E11">
        <w:t xml:space="preserve">individual utility sponsors based on </w:t>
      </w:r>
      <w:r w:rsidR="001A33C5">
        <w:t>proportion of s</w:t>
      </w:r>
      <w:r w:rsidR="001A33C5" w:rsidRPr="001A33C5">
        <w:t xml:space="preserve">ponsor </w:t>
      </w:r>
      <w:r w:rsidR="001A33C5">
        <w:t>f</w:t>
      </w:r>
      <w:r w:rsidR="001A33C5" w:rsidRPr="001A33C5">
        <w:t>unding</w:t>
      </w:r>
      <w:r w:rsidR="00847C79">
        <w:t xml:space="preserve">. </w:t>
      </w:r>
      <w:r w:rsidR="00E057F4">
        <w:t>This method</w:t>
      </w:r>
      <w:r w:rsidR="00847C79">
        <w:t xml:space="preserve">, similar to how California allocates claimed savings, </w:t>
      </w:r>
      <w:r w:rsidR="009B1528">
        <w:t>allocates</w:t>
      </w:r>
      <w:r w:rsidR="00E057F4">
        <w:t xml:space="preserve"> the market adoption of stretch code or BPS policies </w:t>
      </w:r>
      <w:r w:rsidR="009B1528">
        <w:t xml:space="preserve">based on the share of </w:t>
      </w:r>
      <w:r w:rsidR="001B7C49">
        <w:t xml:space="preserve">funding spent by </w:t>
      </w:r>
      <w:r w:rsidR="009B1528">
        <w:t>the sponsoring utilities service territories.</w:t>
      </w:r>
      <w:r w:rsidR="008B3214">
        <w:t xml:space="preserve"> </w:t>
      </w:r>
    </w:p>
    <w:p w14:paraId="5619F9AD" w14:textId="3294D879" w:rsidR="00877661" w:rsidRDefault="00877661" w:rsidP="002C67D8">
      <w:pPr>
        <w:pStyle w:val="Heading2ALT"/>
      </w:pPr>
      <w:r>
        <w:t xml:space="preserve">Evaluation of Code Support Programs </w:t>
      </w:r>
    </w:p>
    <w:p w14:paraId="54B8691E" w14:textId="4D1878F9" w:rsidR="007B4267" w:rsidRDefault="000D0184" w:rsidP="00E643EC">
      <w:pPr>
        <w:pStyle w:val="Bodysansserif"/>
      </w:pPr>
      <w:r>
        <w:t xml:space="preserve">The evaluation of the code support program would examine utility activities that explicitly address helping customers meet the stretch code. If the stretch code is not universally adopted across Illinois, these code support programs could also help customers comply with </w:t>
      </w:r>
      <w:r w:rsidR="00F32142">
        <w:t xml:space="preserve">state base </w:t>
      </w:r>
      <w:r>
        <w:t>energy code.</w:t>
      </w:r>
      <w:r w:rsidR="00B3645E">
        <w:t xml:space="preserve"> The activities such as technical assistance, training programs or the development of an energy efficiency hub all increase </w:t>
      </w:r>
      <w:r w:rsidR="007B4267">
        <w:t xml:space="preserve">the compliance rates of either the </w:t>
      </w:r>
      <w:r w:rsidR="00C138ED">
        <w:t xml:space="preserve">state </w:t>
      </w:r>
      <w:r w:rsidR="007B4267">
        <w:t xml:space="preserve">base or stretch codes.  </w:t>
      </w:r>
    </w:p>
    <w:p w14:paraId="6F75E860" w14:textId="6A4E50D2" w:rsidR="00E643EC" w:rsidRPr="00E643EC" w:rsidRDefault="007B4267" w:rsidP="00E643EC">
      <w:pPr>
        <w:pStyle w:val="Bodysansserif"/>
      </w:pPr>
      <w:r>
        <w:t xml:space="preserve">These savings need to be </w:t>
      </w:r>
      <w:r w:rsidR="00E643EC" w:rsidRPr="00E643EC">
        <w:t>evaluated whenever the statewide or stretch code is updated. However, additional evaluations can take place in between code update cycles, especially if utilities are introducing new methods to increase code compliance. The evaluation itself would be divided into three parts</w:t>
      </w:r>
      <w:r w:rsidR="0013126B">
        <w:t>:</w:t>
      </w:r>
    </w:p>
    <w:p w14:paraId="253A659B" w14:textId="13712851" w:rsidR="00133E5C" w:rsidRPr="00133E5C" w:rsidRDefault="00133E5C" w:rsidP="00133E5C">
      <w:pPr>
        <w:pStyle w:val="Bodysansserif"/>
        <w:numPr>
          <w:ilvl w:val="0"/>
          <w:numId w:val="29"/>
        </w:numPr>
      </w:pPr>
      <w:r w:rsidRPr="00133E5C">
        <w:rPr>
          <w:b/>
          <w:bCs/>
        </w:rPr>
        <w:t xml:space="preserve">Baseline Identification: </w:t>
      </w:r>
      <w:r w:rsidRPr="00133E5C">
        <w:t xml:space="preserve">Compliance baseline is </w:t>
      </w:r>
      <w:r w:rsidR="007B4267">
        <w:t xml:space="preserve">ascertained through the baseline study that reviews construction practices of a sample set of buildings. </w:t>
      </w:r>
    </w:p>
    <w:p w14:paraId="4C58B9C2" w14:textId="77777777" w:rsidR="00133E5C" w:rsidRPr="00133E5C" w:rsidRDefault="00133E5C" w:rsidP="00133E5C">
      <w:pPr>
        <w:pStyle w:val="Bodysansserif"/>
        <w:numPr>
          <w:ilvl w:val="0"/>
          <w:numId w:val="29"/>
        </w:numPr>
      </w:pPr>
      <w:r w:rsidRPr="00133E5C">
        <w:rPr>
          <w:b/>
          <w:bCs/>
        </w:rPr>
        <w:t>Gross Technical Potential:</w:t>
      </w:r>
      <w:r w:rsidRPr="00133E5C">
        <w:t xml:space="preserve"> Calculated gross technical potential per unit as well as projecting the future new construction market.</w:t>
      </w:r>
    </w:p>
    <w:p w14:paraId="02DB2823" w14:textId="77777777" w:rsidR="00133E5C" w:rsidRDefault="00133E5C" w:rsidP="00133E5C">
      <w:pPr>
        <w:pStyle w:val="Bodysansserif"/>
        <w:numPr>
          <w:ilvl w:val="0"/>
          <w:numId w:val="29"/>
        </w:numPr>
      </w:pPr>
      <w:r w:rsidRPr="00133E5C">
        <w:rPr>
          <w:b/>
          <w:bCs/>
        </w:rPr>
        <w:t xml:space="preserve">Portion of Gross Technical Potential Savings Achieved: </w:t>
      </w:r>
      <w:r w:rsidRPr="00133E5C">
        <w:t xml:space="preserve">Evaluators assemble a Delphi panel to determine the impact of compliance program efforts. </w:t>
      </w:r>
    </w:p>
    <w:p w14:paraId="2DCA5610" w14:textId="74CBB55A" w:rsidR="004A5CBB" w:rsidRDefault="00520B8C" w:rsidP="002C67D8">
      <w:pPr>
        <w:pStyle w:val="Heading3ALT"/>
      </w:pPr>
      <w:r>
        <w:lastRenderedPageBreak/>
        <w:t xml:space="preserve">Compliance Baseline </w:t>
      </w:r>
    </w:p>
    <w:p w14:paraId="1F1ADE21" w14:textId="642D1E43" w:rsidR="004C1465" w:rsidRPr="004C1465" w:rsidRDefault="004C1465" w:rsidP="004C1465">
      <w:pPr>
        <w:pStyle w:val="Bodysansserif"/>
        <w:numPr>
          <w:ilvl w:val="0"/>
          <w:numId w:val="30"/>
        </w:numPr>
      </w:pPr>
      <w:r w:rsidRPr="004C1465">
        <w:t>Evaluators must determine a compliance baseline from which they can assess the impacts of utility activities</w:t>
      </w:r>
      <w:r w:rsidR="00B16D05">
        <w:t>.</w:t>
      </w:r>
    </w:p>
    <w:p w14:paraId="64C848D7" w14:textId="19C566B2" w:rsidR="004C1465" w:rsidRPr="004C1465" w:rsidRDefault="004C1465" w:rsidP="004C1465">
      <w:pPr>
        <w:pStyle w:val="Bodysansserif"/>
        <w:numPr>
          <w:ilvl w:val="0"/>
          <w:numId w:val="30"/>
        </w:numPr>
      </w:pPr>
      <w:r w:rsidRPr="004C1465">
        <w:t>Baseline calculations should take advantage of existing market data, and with sufficient funding utilities may also undertake compliance studies of their own</w:t>
      </w:r>
      <w:r w:rsidR="00B16D05">
        <w:t>.</w:t>
      </w:r>
    </w:p>
    <w:p w14:paraId="729F4A6D" w14:textId="4FBA52AD" w:rsidR="004C1465" w:rsidRDefault="004C1465" w:rsidP="004C1465">
      <w:pPr>
        <w:pStyle w:val="Bodysansserif"/>
        <w:numPr>
          <w:ilvl w:val="0"/>
          <w:numId w:val="30"/>
        </w:numPr>
      </w:pPr>
      <w:r w:rsidRPr="004C1465">
        <w:t>Where knowledge gaps still exist, Delphi panels or other determination strategies may be used to estimate compliance rates</w:t>
      </w:r>
      <w:r w:rsidR="00B16D05">
        <w:t>.</w:t>
      </w:r>
    </w:p>
    <w:p w14:paraId="3A029E8D" w14:textId="3C6924CB" w:rsidR="00FC2395" w:rsidRPr="004C1465" w:rsidRDefault="00FC2395" w:rsidP="004C1465">
      <w:pPr>
        <w:pStyle w:val="Bodysansserif"/>
        <w:numPr>
          <w:ilvl w:val="0"/>
          <w:numId w:val="30"/>
        </w:numPr>
      </w:pPr>
      <w:r>
        <w:t xml:space="preserve">Ideally, compliance baseline should be completed every code cycle update. </w:t>
      </w:r>
      <w:r w:rsidR="00D7640A">
        <w:t>However, there is existing precedent of conducting a baseline field study every 6 years, with a Delphi panel employed during the third year when a code is updated. This can defer the costs of a compliance study being needed every code cycle update</w:t>
      </w:r>
      <w:r w:rsidR="0060172D">
        <w:t xml:space="preserve">. </w:t>
      </w:r>
    </w:p>
    <w:p w14:paraId="7B77C7A1" w14:textId="5587CFAE" w:rsidR="00520B8C" w:rsidRPr="00520B8C" w:rsidRDefault="00133E5C" w:rsidP="002C67D8">
      <w:pPr>
        <w:pStyle w:val="Heading3ALT"/>
      </w:pPr>
      <w:r w:rsidRPr="00133E5C">
        <w:rPr>
          <w:rFonts w:eastAsiaTheme="minorEastAsia"/>
        </w:rPr>
        <w:t>Gross Technical Potential</w:t>
      </w:r>
    </w:p>
    <w:p w14:paraId="25717C9A" w14:textId="77777777" w:rsidR="006D7BFF" w:rsidRPr="006D7BFF" w:rsidRDefault="006D7BFF" w:rsidP="006D7BFF">
      <w:pPr>
        <w:pStyle w:val="Bodysansserif"/>
        <w:numPr>
          <w:ilvl w:val="0"/>
          <w:numId w:val="31"/>
        </w:numPr>
      </w:pPr>
      <w:r w:rsidRPr="006D7BFF">
        <w:t xml:space="preserve">The potential energy savings must be assessed before assigning credit for utility activities </w:t>
      </w:r>
    </w:p>
    <w:p w14:paraId="0DC5F358" w14:textId="77777777" w:rsidR="006D7BFF" w:rsidRPr="006D7BFF" w:rsidRDefault="006D7BFF" w:rsidP="006D7BFF">
      <w:pPr>
        <w:pStyle w:val="Bodysansserif"/>
        <w:numPr>
          <w:ilvl w:val="0"/>
          <w:numId w:val="31"/>
        </w:numPr>
      </w:pPr>
      <w:r w:rsidRPr="006D7BFF">
        <w:t>Baseline studies and compliance studies are combined with code requirements and expected construction data to determine the total energy left on the table due to non-compliance with the current codes</w:t>
      </w:r>
    </w:p>
    <w:p w14:paraId="7E1530CF" w14:textId="6E3DED48" w:rsidR="006D7BFF" w:rsidRPr="006D7BFF" w:rsidRDefault="006D7BFF" w:rsidP="006D7BFF">
      <w:pPr>
        <w:pStyle w:val="Bodysansserif"/>
        <w:numPr>
          <w:ilvl w:val="0"/>
          <w:numId w:val="31"/>
        </w:numPr>
      </w:pPr>
      <w:r w:rsidRPr="006D7BFF">
        <w:t xml:space="preserve">Building energy simulations for prototypical buildings are used to generate potential savings values for each code sub-section such as lighting LPD, lighting controls, insulation, etc. Savings provided on a per-unit or per-sf basis individually for each measure. </w:t>
      </w:r>
    </w:p>
    <w:p w14:paraId="0163E059" w14:textId="3A8E99CE" w:rsidR="00520B8C" w:rsidRDefault="00693269" w:rsidP="002C67D8">
      <w:pPr>
        <w:pStyle w:val="Heading3ALT"/>
      </w:pPr>
      <w:r>
        <w:t xml:space="preserve">Delphi Panel </w:t>
      </w:r>
    </w:p>
    <w:p w14:paraId="7A100AB4" w14:textId="77777777" w:rsidR="006326CB" w:rsidRPr="006326CB" w:rsidRDefault="006326CB" w:rsidP="006326CB">
      <w:pPr>
        <w:pStyle w:val="Bodysansserif"/>
      </w:pPr>
      <w:r w:rsidRPr="006326CB">
        <w:t>Evaluators assemble a Delphi panel to determine the impact of compliance program efforts.  The panel may be comprised of industry experts including building plans examiners, building commissioners, architects, design engineers, mechanical engineers, consultants, or academics.</w:t>
      </w:r>
    </w:p>
    <w:p w14:paraId="54779A8B" w14:textId="77777777" w:rsidR="006326CB" w:rsidRPr="006326CB" w:rsidRDefault="006326CB" w:rsidP="006326CB">
      <w:pPr>
        <w:pStyle w:val="Bodysansserif"/>
      </w:pPr>
      <w:r w:rsidRPr="006326CB">
        <w:t>This panel then determines energy code compliance levels under two scenarios:</w:t>
      </w:r>
    </w:p>
    <w:p w14:paraId="0B70A9C8" w14:textId="75355763" w:rsidR="006326CB" w:rsidRPr="006326CB" w:rsidRDefault="003C2871" w:rsidP="00E704A4">
      <w:pPr>
        <w:pStyle w:val="Bodysansserif"/>
        <w:numPr>
          <w:ilvl w:val="0"/>
          <w:numId w:val="32"/>
        </w:numPr>
      </w:pPr>
      <w:r>
        <w:t xml:space="preserve">Current </w:t>
      </w:r>
      <w:r w:rsidR="00E1180C">
        <w:t xml:space="preserve">code compliance once the </w:t>
      </w:r>
      <w:r w:rsidR="003416C1">
        <w:t>code support program is in effect.</w:t>
      </w:r>
    </w:p>
    <w:p w14:paraId="7C2E049E" w14:textId="64E31DDE" w:rsidR="006326CB" w:rsidRDefault="006326CB" w:rsidP="00E704A4">
      <w:pPr>
        <w:pStyle w:val="Bodysansserif"/>
        <w:numPr>
          <w:ilvl w:val="0"/>
          <w:numId w:val="32"/>
        </w:numPr>
      </w:pPr>
      <w:r w:rsidRPr="006326CB">
        <w:t xml:space="preserve">Assuming </w:t>
      </w:r>
      <w:r w:rsidR="003416C1">
        <w:t>there was never a</w:t>
      </w:r>
      <w:r w:rsidR="008D2D03">
        <w:t xml:space="preserve"> code</w:t>
      </w:r>
      <w:r w:rsidRPr="006326CB">
        <w:t xml:space="preserve"> compliance </w:t>
      </w:r>
      <w:r w:rsidR="008D2D03">
        <w:t>support</w:t>
      </w:r>
      <w:r w:rsidR="008D2D03" w:rsidRPr="006326CB">
        <w:t xml:space="preserve"> </w:t>
      </w:r>
      <w:r w:rsidRPr="006326CB">
        <w:t>effort</w:t>
      </w:r>
      <w:r w:rsidR="008D2D03">
        <w:t>.</w:t>
      </w:r>
    </w:p>
    <w:p w14:paraId="2FA42854" w14:textId="7CE15E50" w:rsidR="001871B3" w:rsidRPr="006326CB" w:rsidRDefault="00102D96" w:rsidP="001871B3">
      <w:pPr>
        <w:pStyle w:val="Bodysansserif"/>
      </w:pPr>
      <w:r>
        <w:fldChar w:fldCharType="begin"/>
      </w:r>
      <w:r>
        <w:instrText xml:space="preserve"> REF _Ref77932960 \h </w:instrText>
      </w:r>
      <w:r>
        <w:fldChar w:fldCharType="separate"/>
      </w:r>
      <w:r>
        <w:t xml:space="preserve">Figure </w:t>
      </w:r>
      <w:r>
        <w:rPr>
          <w:noProof/>
        </w:rPr>
        <w:t>3</w:t>
      </w:r>
      <w:r>
        <w:fldChar w:fldCharType="end"/>
      </w:r>
      <w:r>
        <w:t xml:space="preserve"> </w:t>
      </w:r>
      <w:r w:rsidR="006E6813">
        <w:t xml:space="preserve">illustrates the process that the Delphi panel takes to determine </w:t>
      </w:r>
      <w:r w:rsidR="00CE5F07">
        <w:t xml:space="preserve">code compliance effects and program impacts.  </w:t>
      </w:r>
    </w:p>
    <w:p w14:paraId="33ACE22A" w14:textId="46DE78BF" w:rsidR="007E609E" w:rsidRDefault="007E609E" w:rsidP="007E609E">
      <w:pPr>
        <w:pStyle w:val="Caption"/>
        <w:keepNext/>
      </w:pPr>
      <w:bookmarkStart w:id="3" w:name="_Ref77932960"/>
      <w:r>
        <w:lastRenderedPageBreak/>
        <w:t xml:space="preserve">Figure </w:t>
      </w:r>
      <w:r w:rsidR="00BC4F38">
        <w:fldChar w:fldCharType="begin"/>
      </w:r>
      <w:r w:rsidR="00BC4F38">
        <w:instrText xml:space="preserve"> SEQ </w:instrText>
      </w:r>
      <w:r w:rsidR="00BC4F38">
        <w:instrText xml:space="preserve">Figure \* ARABIC </w:instrText>
      </w:r>
      <w:r w:rsidR="00BC4F38">
        <w:fldChar w:fldCharType="separate"/>
      </w:r>
      <w:r w:rsidR="006E6813">
        <w:rPr>
          <w:noProof/>
        </w:rPr>
        <w:t>3</w:t>
      </w:r>
      <w:r w:rsidR="00BC4F38">
        <w:rPr>
          <w:noProof/>
        </w:rPr>
        <w:fldChar w:fldCharType="end"/>
      </w:r>
      <w:bookmarkEnd w:id="3"/>
      <w:r>
        <w:t>: Process for energy code compliance determination by Delphi panel</w:t>
      </w:r>
    </w:p>
    <w:p w14:paraId="5E18C4F8" w14:textId="714E866B" w:rsidR="00693269" w:rsidRDefault="00DA3CCB" w:rsidP="004A5CBB">
      <w:pPr>
        <w:pStyle w:val="Bodysansserif"/>
      </w:pPr>
      <w:r>
        <w:rPr>
          <w:noProof/>
        </w:rPr>
        <w:drawing>
          <wp:inline distT="0" distB="0" distL="0" distR="0" wp14:anchorId="2346AF1C" wp14:editId="14AAD8AF">
            <wp:extent cx="5969479" cy="1250830"/>
            <wp:effectExtent l="0" t="0" r="12700" b="6985"/>
            <wp:docPr id="9" name="Diagram 9">
              <a:extLst xmlns:a="http://schemas.openxmlformats.org/drawingml/2006/main">
                <a:ext uri="{FF2B5EF4-FFF2-40B4-BE49-F238E27FC236}">
                  <a16:creationId xmlns:a16="http://schemas.microsoft.com/office/drawing/2014/main" id="{D9C53CC7-C276-4BE5-B6B6-2984773BDC3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B0DF0E3" w14:textId="06D7BB25" w:rsidR="007353C6" w:rsidRDefault="004630E9" w:rsidP="00696F74">
      <w:pPr>
        <w:pStyle w:val="Bodysansserif"/>
      </w:pPr>
      <w:r w:rsidRPr="004630E9">
        <w:t>The difference between the two compliance estimates generated by the Delphi Panel determines the percent of overall compliance attributable to utility program efforts.  These estimates should be broken down into individual estimates for sub-sections</w:t>
      </w:r>
      <w:r w:rsidR="00C37BA0">
        <w:t xml:space="preserve"> of the code such as </w:t>
      </w:r>
      <w:r w:rsidR="00672BD4">
        <w:t>lighting power density, thermal shell insulation</w:t>
      </w:r>
      <w:r w:rsidR="00455C21">
        <w:t>, mechanical controls, etc</w:t>
      </w:r>
      <w:r w:rsidRPr="004630E9">
        <w:t>.</w:t>
      </w:r>
      <w:r w:rsidR="007353C6">
        <w:t xml:space="preserve"> </w:t>
      </w:r>
      <w:r w:rsidR="00102D96">
        <w:fldChar w:fldCharType="begin"/>
      </w:r>
      <w:r w:rsidR="00102D96">
        <w:instrText xml:space="preserve"> REF _Ref77932952 \h </w:instrText>
      </w:r>
      <w:r w:rsidR="00102D96">
        <w:fldChar w:fldCharType="separate"/>
      </w:r>
      <w:r w:rsidR="00102D96">
        <w:t xml:space="preserve">Figure </w:t>
      </w:r>
      <w:r w:rsidR="00102D96">
        <w:rPr>
          <w:noProof/>
        </w:rPr>
        <w:t>4</w:t>
      </w:r>
      <w:r w:rsidR="00102D96">
        <w:fldChar w:fldCharType="end"/>
      </w:r>
      <w:r w:rsidR="00102D96">
        <w:t xml:space="preserve"> </w:t>
      </w:r>
      <w:r w:rsidR="006E6813">
        <w:t>illustrates how the Delphi Panel fits into the overall program</w:t>
      </w:r>
      <w:r w:rsidR="000C1910">
        <w:t xml:space="preserve"> evaluation</w:t>
      </w:r>
      <w:r w:rsidR="00102D96">
        <w:t xml:space="preserve">, in an example from Massachusetts’s code compliance support program. </w:t>
      </w:r>
    </w:p>
    <w:p w14:paraId="64AB66AC" w14:textId="6B8FFBAF" w:rsidR="006E6813" w:rsidRDefault="006E6813" w:rsidP="006E6813">
      <w:pPr>
        <w:pStyle w:val="Caption"/>
        <w:keepNext/>
      </w:pPr>
      <w:bookmarkStart w:id="4" w:name="_Ref77932952"/>
      <w:r>
        <w:t xml:space="preserve">Figure </w:t>
      </w:r>
      <w:fldSimple w:instr=" SEQ Figure \* ARABIC ">
        <w:r>
          <w:rPr>
            <w:noProof/>
          </w:rPr>
          <w:t>4</w:t>
        </w:r>
      </w:fldSimple>
      <w:bookmarkEnd w:id="4"/>
      <w:r>
        <w:t>: Example graphical flow of Delphi Panel for Massachusetts</w:t>
      </w:r>
    </w:p>
    <w:p w14:paraId="456D95EF" w14:textId="4800785C" w:rsidR="007353C6" w:rsidRPr="000C1910" w:rsidRDefault="006E6813" w:rsidP="00696F74">
      <w:pPr>
        <w:pStyle w:val="Bodysansserif"/>
      </w:pPr>
      <w:r w:rsidRPr="00756363">
        <w:rPr>
          <w:noProof/>
        </w:rPr>
        <w:drawing>
          <wp:inline distT="0" distB="0" distL="0" distR="0" wp14:anchorId="65465ADA" wp14:editId="57185A8D">
            <wp:extent cx="5943600" cy="1939925"/>
            <wp:effectExtent l="0" t="0" r="0" b="3175"/>
            <wp:docPr id="5" name="Picture 4">
              <a:extLst xmlns:a="http://schemas.openxmlformats.org/drawingml/2006/main">
                <a:ext uri="{FF2B5EF4-FFF2-40B4-BE49-F238E27FC236}">
                  <a16:creationId xmlns:a16="http://schemas.microsoft.com/office/drawing/2014/main" id="{83B42B63-F5F8-4C99-9903-B03E39B1AC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3B42B63-F5F8-4C99-9903-B03E39B1ACBF}"/>
                        </a:ext>
                      </a:extLst>
                    </pic:cNvPr>
                    <pic:cNvPicPr>
                      <a:picLocks noChangeAspect="1"/>
                    </pic:cNvPicPr>
                  </pic:nvPicPr>
                  <pic:blipFill>
                    <a:blip r:embed="rId22"/>
                    <a:stretch>
                      <a:fillRect/>
                    </a:stretch>
                  </pic:blipFill>
                  <pic:spPr>
                    <a:xfrm>
                      <a:off x="0" y="0"/>
                      <a:ext cx="5943600" cy="1939925"/>
                    </a:xfrm>
                    <a:prstGeom prst="rect">
                      <a:avLst/>
                    </a:prstGeom>
                  </pic:spPr>
                </pic:pic>
              </a:graphicData>
            </a:graphic>
          </wp:inline>
        </w:drawing>
      </w:r>
    </w:p>
    <w:p w14:paraId="22BF3613" w14:textId="109E1B14" w:rsidR="001B7A93" w:rsidRDefault="001B7A93" w:rsidP="000658F8">
      <w:pPr>
        <w:pStyle w:val="Heading2ALT"/>
      </w:pPr>
      <w:r>
        <w:t xml:space="preserve">Policy </w:t>
      </w:r>
      <w:r w:rsidR="00B315F7">
        <w:t>Considerations</w:t>
      </w:r>
      <w:r w:rsidR="00BE6040">
        <w:t xml:space="preserve"> On Stretch codes </w:t>
      </w:r>
    </w:p>
    <w:p w14:paraId="43B54215" w14:textId="40B244EA" w:rsidR="008D4030" w:rsidRDefault="003A4046" w:rsidP="003A4046">
      <w:pPr>
        <w:pStyle w:val="Bodysansserif"/>
      </w:pPr>
      <w:r>
        <w:t xml:space="preserve">There are different policy mechanism and timelines available in Illinois. These may affect the evaluation and attribution process in addition to the program support elements themselves. Below are a few considerations. </w:t>
      </w:r>
    </w:p>
    <w:p w14:paraId="3101A484" w14:textId="754224A2" w:rsidR="00C4755F" w:rsidRDefault="00C4755F" w:rsidP="00B315F7">
      <w:pPr>
        <w:pStyle w:val="Heading3ALT"/>
      </w:pPr>
      <w:r>
        <w:t>On</w:t>
      </w:r>
      <w:r w:rsidR="00127541">
        <w:t>e</w:t>
      </w:r>
      <w:r>
        <w:t>-off Stretch Codes</w:t>
      </w:r>
    </w:p>
    <w:p w14:paraId="6AC623B0" w14:textId="67AF4C22" w:rsidR="00C4755F" w:rsidRPr="00C4755F" w:rsidRDefault="002F19A4" w:rsidP="000658F8">
      <w:pPr>
        <w:pStyle w:val="Bodysansserif"/>
      </w:pPr>
      <w:r>
        <w:t xml:space="preserve">Stretch codes may be adopted </w:t>
      </w:r>
      <w:r w:rsidR="00985131">
        <w:t>on a typical code cycle and also updated on a typical code cycle (e.g., every three years), but they may also be adopted only one time. In the case that a stretch code is adopted as a on</w:t>
      </w:r>
      <w:r w:rsidR="00127541">
        <w:t>e</w:t>
      </w:r>
      <w:r w:rsidR="00985131">
        <w:t>-off stretch code, it is important to ensure that the state base energy code does not eventually surpass the stretch code</w:t>
      </w:r>
      <w:r w:rsidR="00F93BD7">
        <w:t xml:space="preserve"> in efficiency</w:t>
      </w:r>
      <w:r w:rsidR="008338FE">
        <w:t xml:space="preserve">. This should be considered in </w:t>
      </w:r>
      <w:r w:rsidR="001360B4">
        <w:lastRenderedPageBreak/>
        <w:t xml:space="preserve">policy creation, </w:t>
      </w:r>
      <w:r w:rsidR="008338FE">
        <w:t>evaluation</w:t>
      </w:r>
      <w:r w:rsidR="007D04DD">
        <w:t xml:space="preserve"> and adoption. Best practice would be to adopt a </w:t>
      </w:r>
      <w:r w:rsidR="003D5591">
        <w:t xml:space="preserve">step code or </w:t>
      </w:r>
      <w:r w:rsidR="001360B4">
        <w:t>mandate</w:t>
      </w:r>
      <w:r w:rsidR="00AB6252">
        <w:t xml:space="preserve"> an </w:t>
      </w:r>
      <w:r w:rsidR="00CC08B4">
        <w:t xml:space="preserve">automatic </w:t>
      </w:r>
      <w:r w:rsidR="001360B4">
        <w:t>update happens every three years, like the state base code in Illinois.</w:t>
      </w:r>
    </w:p>
    <w:p w14:paraId="61E33306" w14:textId="193C1516" w:rsidR="0079052A" w:rsidRPr="007A49CB" w:rsidRDefault="0079052A" w:rsidP="000658F8">
      <w:pPr>
        <w:pStyle w:val="Heading3ALT"/>
      </w:pPr>
      <w:r>
        <w:t xml:space="preserve">Step </w:t>
      </w:r>
      <w:r w:rsidR="003C1FD9" w:rsidRPr="007A49CB">
        <w:t>Codes</w:t>
      </w:r>
    </w:p>
    <w:p w14:paraId="2A6BCDDF" w14:textId="0C77BFE5" w:rsidR="003C1FD9" w:rsidRDefault="003C1FD9" w:rsidP="003E49D9">
      <w:pPr>
        <w:pStyle w:val="Bodysansserif"/>
      </w:pPr>
      <w:r>
        <w:t>If the state develops</w:t>
      </w:r>
      <w:r w:rsidR="00011690">
        <w:t>, or a jurisdiction creates,</w:t>
      </w:r>
      <w:r>
        <w:t xml:space="preserve"> a “step” code, future </w:t>
      </w:r>
      <w:r w:rsidR="004C7598">
        <w:t>code changes can be predicted</w:t>
      </w:r>
      <w:r w:rsidR="00962693">
        <w:t xml:space="preserve">. For example, the </w:t>
      </w:r>
      <w:r w:rsidR="00C3073F">
        <w:t xml:space="preserve">current </w:t>
      </w:r>
      <w:r w:rsidR="00962693">
        <w:t>language i</w:t>
      </w:r>
      <w:r w:rsidR="00C3073F">
        <w:t>n the</w:t>
      </w:r>
      <w:r w:rsidR="00962693">
        <w:t xml:space="preserve"> CEJA</w:t>
      </w:r>
      <w:r w:rsidR="00C3073F">
        <w:t xml:space="preserve"> bill</w:t>
      </w:r>
      <w:r w:rsidR="00962693">
        <w:t xml:space="preserve"> denotes that the energy efficiency increase</w:t>
      </w:r>
      <w:r w:rsidR="00D91EAD">
        <w:t>s</w:t>
      </w:r>
      <w:r w:rsidR="00962693">
        <w:t xml:space="preserve"> each three-year code cycle so that it </w:t>
      </w:r>
      <w:r w:rsidR="0013126B">
        <w:t xml:space="preserve">eventually </w:t>
      </w:r>
      <w:r w:rsidR="00962693">
        <w:t xml:space="preserve">meets </w:t>
      </w:r>
      <w:r w:rsidR="0013126B">
        <w:t>a site energy index no greater than 0.25 of the 2006 International Energy Conservation Code</w:t>
      </w:r>
      <w:r w:rsidR="00C44FC7">
        <w:t xml:space="preserve"> by 20</w:t>
      </w:r>
      <w:r w:rsidR="0013126B">
        <w:t>31.</w:t>
      </w:r>
      <w:r w:rsidR="00011690">
        <w:t xml:space="preserve">This can assist with </w:t>
      </w:r>
      <w:r w:rsidR="004C1843">
        <w:t xml:space="preserve">predicting potential energy </w:t>
      </w:r>
      <w:r w:rsidR="008D14AD">
        <w:t>savings.</w:t>
      </w:r>
    </w:p>
    <w:p w14:paraId="3829299E" w14:textId="684464DB" w:rsidR="00B315F7" w:rsidRDefault="00C3073F" w:rsidP="008019BD">
      <w:pPr>
        <w:pStyle w:val="Heading3ALT"/>
      </w:pPr>
      <w:r>
        <w:t xml:space="preserve">Jurisdiction </w:t>
      </w:r>
      <w:r w:rsidR="00E664B0">
        <w:t xml:space="preserve">Creating Their Own </w:t>
      </w:r>
      <w:r>
        <w:t xml:space="preserve">Commercial </w:t>
      </w:r>
      <w:r w:rsidR="00E664B0">
        <w:t xml:space="preserve">Stretch </w:t>
      </w:r>
      <w:r>
        <w:t>Codes</w:t>
      </w:r>
      <w:r w:rsidR="0091604A">
        <w:rPr>
          <w:rStyle w:val="FootnoteReference"/>
        </w:rPr>
        <w:footnoteReference w:id="4"/>
      </w:r>
    </w:p>
    <w:p w14:paraId="5B544E64" w14:textId="4D47D117" w:rsidR="004E5D6F" w:rsidRPr="004E5D6F" w:rsidRDefault="00474182" w:rsidP="004E5D6F">
      <w:pPr>
        <w:pStyle w:val="Bodysansserif"/>
      </w:pPr>
      <w:r>
        <w:t>Currently a</w:t>
      </w:r>
      <w:r w:rsidR="008019BD">
        <w:t xml:space="preserve"> jurisdiction can choose to create its own commercial stretch code that is more stringent that the </w:t>
      </w:r>
      <w:r w:rsidR="005D3D53">
        <w:t>state base energy code.</w:t>
      </w:r>
      <w:r w:rsidR="0072623C">
        <w:t xml:space="preserve"> In this case, if the utility has been involved, that </w:t>
      </w:r>
      <w:r w:rsidR="006F48B5">
        <w:t xml:space="preserve">jurisdiction may have to be evaluated separately. That jurisdiction passing an ordinance may also end up influencing other jurisdictions to </w:t>
      </w:r>
      <w:r w:rsidR="009F53BF">
        <w:t xml:space="preserve">either adopt similar standards or create their own; </w:t>
      </w:r>
      <w:r w:rsidR="00A507CA">
        <w:t xml:space="preserve">that influence should be awarded to utilities in some fashion, even if they did not directly </w:t>
      </w:r>
      <w:r w:rsidR="008769B6">
        <w:t>participate in the new ordinance adoption process.</w:t>
      </w:r>
    </w:p>
    <w:p w14:paraId="783BD3B0" w14:textId="40A7CA15" w:rsidR="00867799" w:rsidRDefault="00867799" w:rsidP="00867799">
      <w:pPr>
        <w:pStyle w:val="Heading3ALT"/>
      </w:pPr>
      <w:r>
        <w:t>Jurisdictions Adopting a State-created Stretch Code</w:t>
      </w:r>
    </w:p>
    <w:p w14:paraId="158D4FA4" w14:textId="02A7538A" w:rsidR="007A49CB" w:rsidRPr="007A49CB" w:rsidRDefault="00632B48" w:rsidP="003E49D9">
      <w:pPr>
        <w:pStyle w:val="Bodysansserif"/>
      </w:pPr>
      <w:r>
        <w:t>The stretch code as introduced in CEJA would require the state to create a stretch code option, which would then become the required energy code for jurisdictions that cho</w:t>
      </w:r>
      <w:r w:rsidR="003E6F33">
        <w:t>o</w:t>
      </w:r>
      <w:r>
        <w:t xml:space="preserve">se to adopt it. The state could also choose to create a stretch code through its </w:t>
      </w:r>
      <w:r w:rsidR="00094A51">
        <w:t>typical code adoption cycle</w:t>
      </w:r>
      <w:r w:rsidR="006632F5">
        <w:rPr>
          <w:rStyle w:val="FootnoteReference"/>
        </w:rPr>
        <w:footnoteReference w:id="5"/>
      </w:r>
      <w:r w:rsidR="00A924E8">
        <w:t xml:space="preserve"> </w:t>
      </w:r>
      <w:r w:rsidR="00094A51">
        <w:t>as an optional Appendix chapter</w:t>
      </w:r>
      <w:r w:rsidR="006632F5">
        <w:t xml:space="preserve">. </w:t>
      </w:r>
      <w:r>
        <w:t>Having a state-created stretch code provides consistency amongst jurisdictions (only two energy code options rather than an unlimited amount if each jurisdiction creates and adopts their own</w:t>
      </w:r>
      <w:r w:rsidR="00C2238A">
        <w:t>)</w:t>
      </w:r>
      <w:r w:rsidR="00866B4B">
        <w:t xml:space="preserve"> </w:t>
      </w:r>
      <w:r>
        <w:t>and allows flexibility for jurisdictions to choose or not choose to adopt it.</w:t>
      </w:r>
      <w:r w:rsidR="00866B4B">
        <w:t xml:space="preserve"> A state-created stretch code also helps with predicting </w:t>
      </w:r>
      <w:r w:rsidR="004C1843">
        <w:t xml:space="preserve">potential </w:t>
      </w:r>
      <w:r w:rsidR="00866B4B">
        <w:t>energy savings.</w:t>
      </w:r>
    </w:p>
    <w:sectPr w:rsidR="007A49CB" w:rsidRPr="007A49CB" w:rsidSect="00EE082E">
      <w:headerReference w:type="default"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0824B" w14:textId="77777777" w:rsidR="007A3D9E" w:rsidRDefault="007A3D9E" w:rsidP="00E12CE4">
      <w:r>
        <w:separator/>
      </w:r>
    </w:p>
  </w:endnote>
  <w:endnote w:type="continuationSeparator" w:id="0">
    <w:p w14:paraId="2D1C8082" w14:textId="77777777" w:rsidR="007A3D9E" w:rsidRDefault="007A3D9E" w:rsidP="00E12CE4">
      <w:r>
        <w:continuationSeparator/>
      </w:r>
    </w:p>
  </w:endnote>
  <w:endnote w:type="continuationNotice" w:id="1">
    <w:p w14:paraId="357B3F4F" w14:textId="77777777" w:rsidR="007A3D9E" w:rsidRDefault="007A3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AC8E" w14:textId="53E798A6" w:rsidR="00AF69BC" w:rsidRPr="00AE10FF" w:rsidRDefault="00DC5CE6" w:rsidP="006B2A3D">
    <w:pPr>
      <w:pStyle w:val="Footer"/>
      <w:tabs>
        <w:tab w:val="left" w:pos="3510"/>
      </w:tabs>
      <w:jc w:val="right"/>
    </w:pPr>
    <w:r w:rsidRPr="00DC5CE6">
      <w:rPr>
        <w:noProof/>
      </w:rPr>
      <w:drawing>
        <wp:anchor distT="0" distB="0" distL="114300" distR="114300" simplePos="0" relativeHeight="251658241" behindDoc="0" locked="0" layoutInCell="1" allowOverlap="1" wp14:anchorId="40D8E732" wp14:editId="3CCE6718">
          <wp:simplePos x="0" y="0"/>
          <wp:positionH relativeFrom="column">
            <wp:posOffset>603250</wp:posOffset>
          </wp:positionH>
          <wp:positionV relativeFrom="paragraph">
            <wp:posOffset>-17394</wp:posOffset>
          </wp:positionV>
          <wp:extent cx="202565" cy="2622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565" cy="262255"/>
                  </a:xfrm>
                  <a:prstGeom prst="rect">
                    <a:avLst/>
                  </a:prstGeom>
                </pic:spPr>
              </pic:pic>
            </a:graphicData>
          </a:graphic>
          <wp14:sizeRelH relativeFrom="page">
            <wp14:pctWidth>0</wp14:pctWidth>
          </wp14:sizeRelH>
          <wp14:sizeRelV relativeFrom="page">
            <wp14:pctHeight>0</wp14:pctHeight>
          </wp14:sizeRelV>
        </wp:anchor>
      </w:drawing>
    </w:r>
    <w:r w:rsidRPr="0030143F">
      <w:rPr>
        <w:noProof/>
      </w:rPr>
      <w:drawing>
        <wp:anchor distT="0" distB="0" distL="114300" distR="114300" simplePos="0" relativeHeight="251658240" behindDoc="1" locked="0" layoutInCell="1" allowOverlap="1" wp14:anchorId="62B14580" wp14:editId="5CC3ECFD">
          <wp:simplePos x="0" y="0"/>
          <wp:positionH relativeFrom="column">
            <wp:posOffset>308831</wp:posOffset>
          </wp:positionH>
          <wp:positionV relativeFrom="paragraph">
            <wp:posOffset>-19989</wp:posOffset>
          </wp:positionV>
          <wp:extent cx="169771" cy="219075"/>
          <wp:effectExtent l="0" t="0" r="1905" b="0"/>
          <wp:wrapTight wrapText="bothSides">
            <wp:wrapPolygon edited="0">
              <wp:start x="7281" y="0"/>
              <wp:lineTo x="0" y="5635"/>
              <wp:lineTo x="0" y="16904"/>
              <wp:lineTo x="7281" y="18783"/>
              <wp:lineTo x="16989" y="18783"/>
              <wp:lineTo x="19416" y="16904"/>
              <wp:lineTo x="19416" y="0"/>
              <wp:lineTo x="7281" y="0"/>
            </wp:wrapPolygon>
          </wp:wrapTight>
          <wp:docPr id="7" name="Picture 2">
            <a:extLst xmlns:a="http://schemas.openxmlformats.org/drawingml/2006/main">
              <a:ext uri="{FF2B5EF4-FFF2-40B4-BE49-F238E27FC236}">
                <a16:creationId xmlns:a16="http://schemas.microsoft.com/office/drawing/2014/main" id="{82461961-4054-451A-8EB1-40073852D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82461961-4054-451A-8EB1-40073852DD4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73074"/>
                  <a:stretch/>
                </pic:blipFill>
                <pic:spPr bwMode="auto">
                  <a:xfrm flipH="1">
                    <a:off x="0" y="0"/>
                    <a:ext cx="169771" cy="219075"/>
                  </a:xfrm>
                  <a:prstGeom prst="rect">
                    <a:avLst/>
                  </a:prstGeom>
                  <a:noFill/>
                </pic:spPr>
              </pic:pic>
            </a:graphicData>
          </a:graphic>
          <wp14:sizeRelH relativeFrom="page">
            <wp14:pctWidth>0</wp14:pctWidth>
          </wp14:sizeRelH>
          <wp14:sizeRelV relativeFrom="page">
            <wp14:pctHeight>0</wp14:pctHeight>
          </wp14:sizeRelV>
        </wp:anchor>
      </w:drawing>
    </w:r>
    <w:r w:rsidR="00AE10FF">
      <w:rPr>
        <w:noProof/>
      </w:rPr>
      <w:drawing>
        <wp:anchor distT="0" distB="0" distL="114300" distR="114300" simplePos="0" relativeHeight="251658242" behindDoc="0" locked="0" layoutInCell="1" allowOverlap="1" wp14:anchorId="0550971B" wp14:editId="7B515081">
          <wp:simplePos x="0" y="0"/>
          <wp:positionH relativeFrom="column">
            <wp:posOffset>0</wp:posOffset>
          </wp:positionH>
          <wp:positionV relativeFrom="paragraph">
            <wp:posOffset>22225</wp:posOffset>
          </wp:positionV>
          <wp:extent cx="182880" cy="11874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pstream_mark_solid dark orchid.png"/>
                  <pic:cNvPicPr/>
                </pic:nvPicPr>
                <pic:blipFill>
                  <a:blip r:embed="rId3">
                    <a:extLst>
                      <a:ext uri="{28A0092B-C50C-407E-A947-70E740481C1C}">
                        <a14:useLocalDpi xmlns:a14="http://schemas.microsoft.com/office/drawing/2010/main" val="0"/>
                      </a:ext>
                    </a:extLst>
                  </a:blip>
                  <a:stretch>
                    <a:fillRect/>
                  </a:stretch>
                </pic:blipFill>
                <pic:spPr>
                  <a:xfrm>
                    <a:off x="0" y="0"/>
                    <a:ext cx="182880" cy="118745"/>
                  </a:xfrm>
                  <a:prstGeom prst="rect">
                    <a:avLst/>
                  </a:prstGeom>
                </pic:spPr>
              </pic:pic>
            </a:graphicData>
          </a:graphic>
          <wp14:sizeRelH relativeFrom="page">
            <wp14:pctWidth>0</wp14:pctWidth>
          </wp14:sizeRelH>
          <wp14:sizeRelV relativeFrom="page">
            <wp14:pctHeight>0</wp14:pctHeight>
          </wp14:sizeRelV>
        </wp:anchor>
      </w:drawing>
    </w:r>
    <w:r w:rsidR="00AE10FF">
      <w:tab/>
    </w:r>
    <w:r w:rsidR="00596F87" w:rsidRPr="00596F87">
      <w:rPr>
        <w:color w:val="808080" w:themeColor="background1" w:themeShade="80"/>
        <w:sz w:val="20"/>
        <w:szCs w:val="20"/>
      </w:rPr>
      <w:t>DRAFT</w:t>
    </w:r>
    <w:r w:rsidR="00596F87">
      <w:rPr>
        <w:color w:val="808080" w:themeColor="background1" w:themeShade="80"/>
        <w:sz w:val="20"/>
        <w:szCs w:val="20"/>
      </w:rPr>
      <w:t xml:space="preserve"> – Proposed Evaluation Pathways for IL Stretch Codes</w:t>
    </w:r>
    <w:r w:rsidR="006B2A3D">
      <w:rPr>
        <w:color w:val="808080" w:themeColor="background1" w:themeShade="80"/>
        <w:sz w:val="20"/>
        <w:szCs w:val="20"/>
      </w:rPr>
      <w:t xml:space="preserve">  </w:t>
    </w:r>
    <w:r w:rsidR="00AE10FF">
      <w:tab/>
    </w:r>
    <w:r w:rsidR="00AE10FF" w:rsidRPr="008F3AC2">
      <w:rPr>
        <w:rFonts w:ascii="Adobe Caslon Pro" w:hAnsi="Adobe Caslon Pro"/>
        <w:sz w:val="22"/>
        <w:szCs w:val="22"/>
      </w:rPr>
      <w:fldChar w:fldCharType="begin"/>
    </w:r>
    <w:r w:rsidR="00AE10FF" w:rsidRPr="008F3AC2">
      <w:rPr>
        <w:rFonts w:ascii="Adobe Caslon Pro" w:hAnsi="Adobe Caslon Pro"/>
        <w:sz w:val="22"/>
        <w:szCs w:val="22"/>
      </w:rPr>
      <w:instrText xml:space="preserve"> PAGE   \* MERGEFORMAT </w:instrText>
    </w:r>
    <w:r w:rsidR="00AE10FF" w:rsidRPr="008F3AC2">
      <w:rPr>
        <w:rFonts w:ascii="Adobe Caslon Pro" w:hAnsi="Adobe Caslon Pro"/>
        <w:sz w:val="22"/>
        <w:szCs w:val="22"/>
      </w:rPr>
      <w:fldChar w:fldCharType="separate"/>
    </w:r>
    <w:r w:rsidR="005E6134">
      <w:rPr>
        <w:rFonts w:ascii="Adobe Caslon Pro" w:hAnsi="Adobe Caslon Pro"/>
        <w:sz w:val="22"/>
        <w:szCs w:val="22"/>
      </w:rPr>
      <w:t>1</w:t>
    </w:r>
    <w:r w:rsidR="00AE10FF" w:rsidRPr="008F3AC2">
      <w:rPr>
        <w:rFonts w:ascii="Adobe Caslon Pro" w:hAnsi="Adobe Caslon Pr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5869" w14:textId="77777777" w:rsidR="007A3D9E" w:rsidRDefault="007A3D9E" w:rsidP="00E12CE4">
      <w:r>
        <w:separator/>
      </w:r>
    </w:p>
  </w:footnote>
  <w:footnote w:type="continuationSeparator" w:id="0">
    <w:p w14:paraId="74F6F05C" w14:textId="77777777" w:rsidR="007A3D9E" w:rsidRDefault="007A3D9E" w:rsidP="00E12CE4">
      <w:r>
        <w:continuationSeparator/>
      </w:r>
    </w:p>
  </w:footnote>
  <w:footnote w:type="continuationNotice" w:id="1">
    <w:p w14:paraId="1F0DEBCF" w14:textId="77777777" w:rsidR="007A3D9E" w:rsidRDefault="007A3D9E">
      <w:pPr>
        <w:spacing w:after="0" w:line="240" w:lineRule="auto"/>
      </w:pPr>
    </w:p>
  </w:footnote>
  <w:footnote w:id="2">
    <w:p w14:paraId="01B60AD2" w14:textId="16AE67F7" w:rsidR="002435CA" w:rsidRDefault="002435CA">
      <w:pPr>
        <w:pStyle w:val="FootnoteText"/>
      </w:pPr>
      <w:r>
        <w:rPr>
          <w:rStyle w:val="FootnoteReference"/>
        </w:rPr>
        <w:footnoteRef/>
      </w:r>
      <w:r>
        <w:t xml:space="preserve"> </w:t>
      </w:r>
      <w:r w:rsidR="008869CE">
        <w:t>Chicago ha</w:t>
      </w:r>
      <w:r w:rsidR="001122E3">
        <w:t>d</w:t>
      </w:r>
      <w:r w:rsidR="008869CE">
        <w:t xml:space="preserve"> an additional cool roof provision for some new commercial buildings, which can be considered a “stretch code” </w:t>
      </w:r>
      <w:r w:rsidR="001122E3">
        <w:t>by</w:t>
      </w:r>
      <w:r w:rsidR="008869CE">
        <w:t xml:space="preserve"> some </w:t>
      </w:r>
      <w:r w:rsidR="001122E3">
        <w:t>definitions</w:t>
      </w:r>
      <w:r w:rsidR="008869CE">
        <w:t>.</w:t>
      </w:r>
    </w:p>
  </w:footnote>
  <w:footnote w:id="3">
    <w:p w14:paraId="2DE958CF" w14:textId="47240F46" w:rsidR="002E3FA8" w:rsidRDefault="002E3FA8">
      <w:pPr>
        <w:pStyle w:val="FootnoteText"/>
      </w:pPr>
      <w:r>
        <w:rPr>
          <w:rStyle w:val="FootnoteReference"/>
        </w:rPr>
        <w:footnoteRef/>
      </w:r>
      <w:r>
        <w:t xml:space="preserve"> </w:t>
      </w:r>
      <w:r w:rsidRPr="002E3FA8">
        <w:t>https://ilsag.s3.amazonaws.com/IL-Utility-Stretch-Codes-BPS-Phase-1-Report-Oct-2020.pdf</w:t>
      </w:r>
    </w:p>
  </w:footnote>
  <w:footnote w:id="4">
    <w:p w14:paraId="22DE1CD9" w14:textId="778FBA89" w:rsidR="0091604A" w:rsidRDefault="0091604A">
      <w:pPr>
        <w:pStyle w:val="FootnoteText"/>
      </w:pPr>
      <w:r>
        <w:rPr>
          <w:rStyle w:val="FootnoteReference"/>
        </w:rPr>
        <w:footnoteRef/>
      </w:r>
      <w:r>
        <w:t xml:space="preserve"> </w:t>
      </w:r>
      <w:r w:rsidR="00B648BC">
        <w:t>If a municipality wants to have a single-family residential stretch code, it must first be created through the state or legislatively.</w:t>
      </w:r>
    </w:p>
  </w:footnote>
  <w:footnote w:id="5">
    <w:p w14:paraId="7E5A5954" w14:textId="38A6D7C0" w:rsidR="006632F5" w:rsidRDefault="006632F5">
      <w:pPr>
        <w:pStyle w:val="FootnoteText"/>
      </w:pPr>
      <w:r>
        <w:rPr>
          <w:rStyle w:val="FootnoteReference"/>
        </w:rPr>
        <w:footnoteRef/>
      </w:r>
      <w:r>
        <w:t xml:space="preserve"> The</w:t>
      </w:r>
      <w:r w:rsidR="0073605E">
        <w:t xml:space="preserve"> IL Capital Development Board has currently begun the IL Energy Code Adoption Process as of June 30, 2021, and the new code is expected to be </w:t>
      </w:r>
      <w:r w:rsidR="00875079">
        <w:t>effect</w:t>
      </w:r>
      <w:r w:rsidR="0072519C">
        <w:t>ive</w:t>
      </w:r>
      <w:r w:rsidR="00875079">
        <w:t xml:space="preserve"> by June 2022.</w:t>
      </w:r>
      <w:r w:rsidR="0073605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C07C" w14:textId="77777777" w:rsidR="00FC051E" w:rsidRDefault="00FC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B43D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B4D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3454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AC8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263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DA6D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D87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06D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BA7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A8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816D0"/>
    <w:multiLevelType w:val="hybridMultilevel"/>
    <w:tmpl w:val="EE9688FC"/>
    <w:lvl w:ilvl="0" w:tplc="F3604DC4">
      <w:numFmt w:val="bullet"/>
      <w:lvlText w:val="•"/>
      <w:lvlJc w:val="left"/>
      <w:pPr>
        <w:ind w:left="1080" w:hanging="720"/>
      </w:pPr>
      <w:rPr>
        <w:rFonts w:ascii="Adobe Caslon Pro" w:eastAsiaTheme="minorEastAsia" w:hAnsi="Adobe Caslon Pro" w:cs="Adobe Caslon Pro" w:hint="default"/>
      </w:rPr>
    </w:lvl>
    <w:lvl w:ilvl="1" w:tplc="80DE429C">
      <w:numFmt w:val="bullet"/>
      <w:lvlText w:val="–"/>
      <w:lvlJc w:val="left"/>
      <w:pPr>
        <w:ind w:left="1800" w:hanging="720"/>
      </w:pPr>
      <w:rPr>
        <w:rFonts w:ascii="Adobe Caslon Pro" w:eastAsiaTheme="minorEastAsia"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1" w15:restartNumberingAfterBreak="0">
    <w:nsid w:val="07F731D4"/>
    <w:multiLevelType w:val="hybridMultilevel"/>
    <w:tmpl w:val="BD2E2096"/>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2" w15:restartNumberingAfterBreak="0">
    <w:nsid w:val="0F3A5AF9"/>
    <w:multiLevelType w:val="hybridMultilevel"/>
    <w:tmpl w:val="884AE712"/>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3" w15:restartNumberingAfterBreak="0">
    <w:nsid w:val="18675214"/>
    <w:multiLevelType w:val="hybridMultilevel"/>
    <w:tmpl w:val="40FE9F88"/>
    <w:lvl w:ilvl="0" w:tplc="CCA8F91C">
      <w:start w:val="1"/>
      <w:numFmt w:val="bullet"/>
      <w:lvlText w:val="•"/>
      <w:lvlJc w:val="left"/>
      <w:pPr>
        <w:tabs>
          <w:tab w:val="num" w:pos="720"/>
        </w:tabs>
        <w:ind w:left="720" w:hanging="360"/>
      </w:pPr>
      <w:rPr>
        <w:rFonts w:ascii="Arial" w:hAnsi="Arial" w:hint="default"/>
      </w:rPr>
    </w:lvl>
    <w:lvl w:ilvl="1" w:tplc="3B5A4A94" w:tentative="1">
      <w:start w:val="1"/>
      <w:numFmt w:val="bullet"/>
      <w:lvlText w:val="•"/>
      <w:lvlJc w:val="left"/>
      <w:pPr>
        <w:tabs>
          <w:tab w:val="num" w:pos="1440"/>
        </w:tabs>
        <w:ind w:left="1440" w:hanging="360"/>
      </w:pPr>
      <w:rPr>
        <w:rFonts w:ascii="Arial" w:hAnsi="Arial" w:hint="default"/>
      </w:rPr>
    </w:lvl>
    <w:lvl w:ilvl="2" w:tplc="89CA84B4" w:tentative="1">
      <w:start w:val="1"/>
      <w:numFmt w:val="bullet"/>
      <w:lvlText w:val="•"/>
      <w:lvlJc w:val="left"/>
      <w:pPr>
        <w:tabs>
          <w:tab w:val="num" w:pos="2160"/>
        </w:tabs>
        <w:ind w:left="2160" w:hanging="360"/>
      </w:pPr>
      <w:rPr>
        <w:rFonts w:ascii="Arial" w:hAnsi="Arial" w:hint="default"/>
      </w:rPr>
    </w:lvl>
    <w:lvl w:ilvl="3" w:tplc="8EE2FB34" w:tentative="1">
      <w:start w:val="1"/>
      <w:numFmt w:val="bullet"/>
      <w:lvlText w:val="•"/>
      <w:lvlJc w:val="left"/>
      <w:pPr>
        <w:tabs>
          <w:tab w:val="num" w:pos="2880"/>
        </w:tabs>
        <w:ind w:left="2880" w:hanging="360"/>
      </w:pPr>
      <w:rPr>
        <w:rFonts w:ascii="Arial" w:hAnsi="Arial" w:hint="default"/>
      </w:rPr>
    </w:lvl>
    <w:lvl w:ilvl="4" w:tplc="86FE1D84" w:tentative="1">
      <w:start w:val="1"/>
      <w:numFmt w:val="bullet"/>
      <w:lvlText w:val="•"/>
      <w:lvlJc w:val="left"/>
      <w:pPr>
        <w:tabs>
          <w:tab w:val="num" w:pos="3600"/>
        </w:tabs>
        <w:ind w:left="3600" w:hanging="360"/>
      </w:pPr>
      <w:rPr>
        <w:rFonts w:ascii="Arial" w:hAnsi="Arial" w:hint="default"/>
      </w:rPr>
    </w:lvl>
    <w:lvl w:ilvl="5" w:tplc="B750F5F4" w:tentative="1">
      <w:start w:val="1"/>
      <w:numFmt w:val="bullet"/>
      <w:lvlText w:val="•"/>
      <w:lvlJc w:val="left"/>
      <w:pPr>
        <w:tabs>
          <w:tab w:val="num" w:pos="4320"/>
        </w:tabs>
        <w:ind w:left="4320" w:hanging="360"/>
      </w:pPr>
      <w:rPr>
        <w:rFonts w:ascii="Arial" w:hAnsi="Arial" w:hint="default"/>
      </w:rPr>
    </w:lvl>
    <w:lvl w:ilvl="6" w:tplc="464E953E" w:tentative="1">
      <w:start w:val="1"/>
      <w:numFmt w:val="bullet"/>
      <w:lvlText w:val="•"/>
      <w:lvlJc w:val="left"/>
      <w:pPr>
        <w:tabs>
          <w:tab w:val="num" w:pos="5040"/>
        </w:tabs>
        <w:ind w:left="5040" w:hanging="360"/>
      </w:pPr>
      <w:rPr>
        <w:rFonts w:ascii="Arial" w:hAnsi="Arial" w:hint="default"/>
      </w:rPr>
    </w:lvl>
    <w:lvl w:ilvl="7" w:tplc="E71EE674" w:tentative="1">
      <w:start w:val="1"/>
      <w:numFmt w:val="bullet"/>
      <w:lvlText w:val="•"/>
      <w:lvlJc w:val="left"/>
      <w:pPr>
        <w:tabs>
          <w:tab w:val="num" w:pos="5760"/>
        </w:tabs>
        <w:ind w:left="5760" w:hanging="360"/>
      </w:pPr>
      <w:rPr>
        <w:rFonts w:ascii="Arial" w:hAnsi="Arial" w:hint="default"/>
      </w:rPr>
    </w:lvl>
    <w:lvl w:ilvl="8" w:tplc="6D2C9F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CF6503E"/>
    <w:multiLevelType w:val="hybridMultilevel"/>
    <w:tmpl w:val="5684893C"/>
    <w:lvl w:ilvl="0" w:tplc="3DCAC76A">
      <w:start w:val="1"/>
      <w:numFmt w:val="bullet"/>
      <w:lvlText w:val="•"/>
      <w:lvlJc w:val="left"/>
      <w:pPr>
        <w:tabs>
          <w:tab w:val="num" w:pos="720"/>
        </w:tabs>
        <w:ind w:left="720" w:hanging="360"/>
      </w:pPr>
      <w:rPr>
        <w:rFonts w:ascii="Arial" w:hAnsi="Arial" w:hint="default"/>
      </w:rPr>
    </w:lvl>
    <w:lvl w:ilvl="1" w:tplc="B9F0AEAC" w:tentative="1">
      <w:start w:val="1"/>
      <w:numFmt w:val="bullet"/>
      <w:lvlText w:val="•"/>
      <w:lvlJc w:val="left"/>
      <w:pPr>
        <w:tabs>
          <w:tab w:val="num" w:pos="1440"/>
        </w:tabs>
        <w:ind w:left="1440" w:hanging="360"/>
      </w:pPr>
      <w:rPr>
        <w:rFonts w:ascii="Arial" w:hAnsi="Arial" w:hint="default"/>
      </w:rPr>
    </w:lvl>
    <w:lvl w:ilvl="2" w:tplc="A74A3F6E" w:tentative="1">
      <w:start w:val="1"/>
      <w:numFmt w:val="bullet"/>
      <w:lvlText w:val="•"/>
      <w:lvlJc w:val="left"/>
      <w:pPr>
        <w:tabs>
          <w:tab w:val="num" w:pos="2160"/>
        </w:tabs>
        <w:ind w:left="2160" w:hanging="360"/>
      </w:pPr>
      <w:rPr>
        <w:rFonts w:ascii="Arial" w:hAnsi="Arial" w:hint="default"/>
      </w:rPr>
    </w:lvl>
    <w:lvl w:ilvl="3" w:tplc="CBBA1A2C" w:tentative="1">
      <w:start w:val="1"/>
      <w:numFmt w:val="bullet"/>
      <w:lvlText w:val="•"/>
      <w:lvlJc w:val="left"/>
      <w:pPr>
        <w:tabs>
          <w:tab w:val="num" w:pos="2880"/>
        </w:tabs>
        <w:ind w:left="2880" w:hanging="360"/>
      </w:pPr>
      <w:rPr>
        <w:rFonts w:ascii="Arial" w:hAnsi="Arial" w:hint="default"/>
      </w:rPr>
    </w:lvl>
    <w:lvl w:ilvl="4" w:tplc="70D03CCE" w:tentative="1">
      <w:start w:val="1"/>
      <w:numFmt w:val="bullet"/>
      <w:lvlText w:val="•"/>
      <w:lvlJc w:val="left"/>
      <w:pPr>
        <w:tabs>
          <w:tab w:val="num" w:pos="3600"/>
        </w:tabs>
        <w:ind w:left="3600" w:hanging="360"/>
      </w:pPr>
      <w:rPr>
        <w:rFonts w:ascii="Arial" w:hAnsi="Arial" w:hint="default"/>
      </w:rPr>
    </w:lvl>
    <w:lvl w:ilvl="5" w:tplc="194A93C6" w:tentative="1">
      <w:start w:val="1"/>
      <w:numFmt w:val="bullet"/>
      <w:lvlText w:val="•"/>
      <w:lvlJc w:val="left"/>
      <w:pPr>
        <w:tabs>
          <w:tab w:val="num" w:pos="4320"/>
        </w:tabs>
        <w:ind w:left="4320" w:hanging="360"/>
      </w:pPr>
      <w:rPr>
        <w:rFonts w:ascii="Arial" w:hAnsi="Arial" w:hint="default"/>
      </w:rPr>
    </w:lvl>
    <w:lvl w:ilvl="6" w:tplc="839C5632" w:tentative="1">
      <w:start w:val="1"/>
      <w:numFmt w:val="bullet"/>
      <w:lvlText w:val="•"/>
      <w:lvlJc w:val="left"/>
      <w:pPr>
        <w:tabs>
          <w:tab w:val="num" w:pos="5040"/>
        </w:tabs>
        <w:ind w:left="5040" w:hanging="360"/>
      </w:pPr>
      <w:rPr>
        <w:rFonts w:ascii="Arial" w:hAnsi="Arial" w:hint="default"/>
      </w:rPr>
    </w:lvl>
    <w:lvl w:ilvl="7" w:tplc="30D6EA20" w:tentative="1">
      <w:start w:val="1"/>
      <w:numFmt w:val="bullet"/>
      <w:lvlText w:val="•"/>
      <w:lvlJc w:val="left"/>
      <w:pPr>
        <w:tabs>
          <w:tab w:val="num" w:pos="5760"/>
        </w:tabs>
        <w:ind w:left="5760" w:hanging="360"/>
      </w:pPr>
      <w:rPr>
        <w:rFonts w:ascii="Arial" w:hAnsi="Arial" w:hint="default"/>
      </w:rPr>
    </w:lvl>
    <w:lvl w:ilvl="8" w:tplc="6C1285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F02085"/>
    <w:multiLevelType w:val="hybridMultilevel"/>
    <w:tmpl w:val="91B8E932"/>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6" w15:restartNumberingAfterBreak="0">
    <w:nsid w:val="2DEC64E8"/>
    <w:multiLevelType w:val="hybridMultilevel"/>
    <w:tmpl w:val="71BEFF18"/>
    <w:lvl w:ilvl="0" w:tplc="04090001">
      <w:start w:val="1"/>
      <w:numFmt w:val="bullet"/>
      <w:lvlText w:val=""/>
      <w:lvlJc w:val="left"/>
      <w:pPr>
        <w:ind w:left="2160" w:hanging="360"/>
      </w:pPr>
      <w:rPr>
        <w:rFonts w:ascii="Adobe Caslon Pro" w:hAnsi="Adobe Caslon Pro" w:hint="default"/>
      </w:rPr>
    </w:lvl>
    <w:lvl w:ilvl="1" w:tplc="CC08E31A">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17" w15:restartNumberingAfterBreak="0">
    <w:nsid w:val="32BF0CD2"/>
    <w:multiLevelType w:val="hybridMultilevel"/>
    <w:tmpl w:val="F624757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8" w15:restartNumberingAfterBreak="0">
    <w:nsid w:val="32EF29FB"/>
    <w:multiLevelType w:val="hybridMultilevel"/>
    <w:tmpl w:val="81A401E2"/>
    <w:lvl w:ilvl="0" w:tplc="04090001">
      <w:start w:val="1"/>
      <w:numFmt w:val="bullet"/>
      <w:lvlText w:val=""/>
      <w:lvlJc w:val="left"/>
      <w:pPr>
        <w:ind w:left="1440" w:hanging="360"/>
      </w:pPr>
      <w:rPr>
        <w:rFonts w:ascii="Adobe Caslon Pro" w:hAnsi="Adobe Caslon Pro" w:hint="default"/>
      </w:rPr>
    </w:lvl>
    <w:lvl w:ilvl="1" w:tplc="04090003">
      <w:start w:val="1"/>
      <w:numFmt w:val="bullet"/>
      <w:lvlText w:val="o"/>
      <w:lvlJc w:val="left"/>
      <w:pPr>
        <w:ind w:left="2160" w:hanging="360"/>
      </w:pPr>
      <w:rPr>
        <w:rFonts w:ascii="Adobe Caslon Pro" w:hAnsi="Adobe Caslon Pro" w:cs="Adobe Caslon Pro" w:hint="default"/>
      </w:rPr>
    </w:lvl>
    <w:lvl w:ilvl="2" w:tplc="04090005" w:tentative="1">
      <w:start w:val="1"/>
      <w:numFmt w:val="bullet"/>
      <w:lvlText w:val=""/>
      <w:lvlJc w:val="left"/>
      <w:pPr>
        <w:ind w:left="2880" w:hanging="360"/>
      </w:pPr>
      <w:rPr>
        <w:rFonts w:ascii="Adobe Caslon Pro" w:hAnsi="Adobe Caslon Pro" w:hint="default"/>
      </w:rPr>
    </w:lvl>
    <w:lvl w:ilvl="3" w:tplc="04090001" w:tentative="1">
      <w:start w:val="1"/>
      <w:numFmt w:val="bullet"/>
      <w:lvlText w:val=""/>
      <w:lvlJc w:val="left"/>
      <w:pPr>
        <w:ind w:left="3600" w:hanging="360"/>
      </w:pPr>
      <w:rPr>
        <w:rFonts w:ascii="Adobe Caslon Pro" w:hAnsi="Adobe Caslon Pro" w:hint="default"/>
      </w:rPr>
    </w:lvl>
    <w:lvl w:ilvl="4" w:tplc="04090003" w:tentative="1">
      <w:start w:val="1"/>
      <w:numFmt w:val="bullet"/>
      <w:lvlText w:val="o"/>
      <w:lvlJc w:val="left"/>
      <w:pPr>
        <w:ind w:left="4320" w:hanging="360"/>
      </w:pPr>
      <w:rPr>
        <w:rFonts w:ascii="Adobe Caslon Pro" w:hAnsi="Adobe Caslon Pro" w:cs="Adobe Caslon Pro" w:hint="default"/>
      </w:rPr>
    </w:lvl>
    <w:lvl w:ilvl="5" w:tplc="04090005" w:tentative="1">
      <w:start w:val="1"/>
      <w:numFmt w:val="bullet"/>
      <w:lvlText w:val=""/>
      <w:lvlJc w:val="left"/>
      <w:pPr>
        <w:ind w:left="5040" w:hanging="360"/>
      </w:pPr>
      <w:rPr>
        <w:rFonts w:ascii="Adobe Caslon Pro" w:hAnsi="Adobe Caslon Pro" w:hint="default"/>
      </w:rPr>
    </w:lvl>
    <w:lvl w:ilvl="6" w:tplc="04090001" w:tentative="1">
      <w:start w:val="1"/>
      <w:numFmt w:val="bullet"/>
      <w:lvlText w:val=""/>
      <w:lvlJc w:val="left"/>
      <w:pPr>
        <w:ind w:left="5760" w:hanging="360"/>
      </w:pPr>
      <w:rPr>
        <w:rFonts w:ascii="Adobe Caslon Pro" w:hAnsi="Adobe Caslon Pro" w:hint="default"/>
      </w:rPr>
    </w:lvl>
    <w:lvl w:ilvl="7" w:tplc="04090003" w:tentative="1">
      <w:start w:val="1"/>
      <w:numFmt w:val="bullet"/>
      <w:lvlText w:val="o"/>
      <w:lvlJc w:val="left"/>
      <w:pPr>
        <w:ind w:left="6480" w:hanging="360"/>
      </w:pPr>
      <w:rPr>
        <w:rFonts w:ascii="Adobe Caslon Pro" w:hAnsi="Adobe Caslon Pro" w:cs="Adobe Caslon Pro" w:hint="default"/>
      </w:rPr>
    </w:lvl>
    <w:lvl w:ilvl="8" w:tplc="04090005" w:tentative="1">
      <w:start w:val="1"/>
      <w:numFmt w:val="bullet"/>
      <w:lvlText w:val=""/>
      <w:lvlJc w:val="left"/>
      <w:pPr>
        <w:ind w:left="7200" w:hanging="360"/>
      </w:pPr>
      <w:rPr>
        <w:rFonts w:ascii="Adobe Caslon Pro" w:hAnsi="Adobe Caslon Pro" w:hint="default"/>
      </w:rPr>
    </w:lvl>
  </w:abstractNum>
  <w:abstractNum w:abstractNumId="19" w15:restartNumberingAfterBreak="0">
    <w:nsid w:val="35647DF5"/>
    <w:multiLevelType w:val="hybridMultilevel"/>
    <w:tmpl w:val="0564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24699"/>
    <w:multiLevelType w:val="hybridMultilevel"/>
    <w:tmpl w:val="4260C38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1" w15:restartNumberingAfterBreak="0">
    <w:nsid w:val="3B3A4DC6"/>
    <w:multiLevelType w:val="hybridMultilevel"/>
    <w:tmpl w:val="A49A26CE"/>
    <w:lvl w:ilvl="0" w:tplc="04090001">
      <w:start w:val="1"/>
      <w:numFmt w:val="bullet"/>
      <w:lvlText w:val=""/>
      <w:lvlJc w:val="left"/>
      <w:pPr>
        <w:ind w:left="2160" w:hanging="360"/>
      </w:pPr>
      <w:rPr>
        <w:rFonts w:ascii="Adobe Caslon Pro" w:hAnsi="Adobe Caslon Pro" w:hint="default"/>
      </w:rPr>
    </w:lvl>
    <w:lvl w:ilvl="1" w:tplc="1870F738">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2" w15:restartNumberingAfterBreak="0">
    <w:nsid w:val="3C8D27D0"/>
    <w:multiLevelType w:val="hybridMultilevel"/>
    <w:tmpl w:val="2AD8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37818"/>
    <w:multiLevelType w:val="hybridMultilevel"/>
    <w:tmpl w:val="E94E180C"/>
    <w:lvl w:ilvl="0" w:tplc="DBAE30B2">
      <w:start w:val="1"/>
      <w:numFmt w:val="decimal"/>
      <w:lvlText w:val="%1."/>
      <w:lvlJc w:val="left"/>
      <w:pPr>
        <w:tabs>
          <w:tab w:val="num" w:pos="720"/>
        </w:tabs>
        <w:ind w:left="720" w:hanging="360"/>
      </w:pPr>
    </w:lvl>
    <w:lvl w:ilvl="1" w:tplc="9B126B84">
      <w:start w:val="1"/>
      <w:numFmt w:val="decimal"/>
      <w:lvlText w:val="%2."/>
      <w:lvlJc w:val="left"/>
      <w:pPr>
        <w:tabs>
          <w:tab w:val="num" w:pos="1440"/>
        </w:tabs>
        <w:ind w:left="1440" w:hanging="360"/>
      </w:pPr>
    </w:lvl>
    <w:lvl w:ilvl="2" w:tplc="4554F358" w:tentative="1">
      <w:start w:val="1"/>
      <w:numFmt w:val="decimal"/>
      <w:lvlText w:val="%3."/>
      <w:lvlJc w:val="left"/>
      <w:pPr>
        <w:tabs>
          <w:tab w:val="num" w:pos="2160"/>
        </w:tabs>
        <w:ind w:left="2160" w:hanging="360"/>
      </w:pPr>
    </w:lvl>
    <w:lvl w:ilvl="3" w:tplc="FAE6DF16" w:tentative="1">
      <w:start w:val="1"/>
      <w:numFmt w:val="decimal"/>
      <w:lvlText w:val="%4."/>
      <w:lvlJc w:val="left"/>
      <w:pPr>
        <w:tabs>
          <w:tab w:val="num" w:pos="2880"/>
        </w:tabs>
        <w:ind w:left="2880" w:hanging="360"/>
      </w:pPr>
    </w:lvl>
    <w:lvl w:ilvl="4" w:tplc="FFE828D2" w:tentative="1">
      <w:start w:val="1"/>
      <w:numFmt w:val="decimal"/>
      <w:lvlText w:val="%5."/>
      <w:lvlJc w:val="left"/>
      <w:pPr>
        <w:tabs>
          <w:tab w:val="num" w:pos="3600"/>
        </w:tabs>
        <w:ind w:left="3600" w:hanging="360"/>
      </w:pPr>
    </w:lvl>
    <w:lvl w:ilvl="5" w:tplc="4FB653FA" w:tentative="1">
      <w:start w:val="1"/>
      <w:numFmt w:val="decimal"/>
      <w:lvlText w:val="%6."/>
      <w:lvlJc w:val="left"/>
      <w:pPr>
        <w:tabs>
          <w:tab w:val="num" w:pos="4320"/>
        </w:tabs>
        <w:ind w:left="4320" w:hanging="360"/>
      </w:pPr>
    </w:lvl>
    <w:lvl w:ilvl="6" w:tplc="EDA0B0EA" w:tentative="1">
      <w:start w:val="1"/>
      <w:numFmt w:val="decimal"/>
      <w:lvlText w:val="%7."/>
      <w:lvlJc w:val="left"/>
      <w:pPr>
        <w:tabs>
          <w:tab w:val="num" w:pos="5040"/>
        </w:tabs>
        <w:ind w:left="5040" w:hanging="360"/>
      </w:pPr>
    </w:lvl>
    <w:lvl w:ilvl="7" w:tplc="84427510" w:tentative="1">
      <w:start w:val="1"/>
      <w:numFmt w:val="decimal"/>
      <w:lvlText w:val="%8."/>
      <w:lvlJc w:val="left"/>
      <w:pPr>
        <w:tabs>
          <w:tab w:val="num" w:pos="5760"/>
        </w:tabs>
        <w:ind w:left="5760" w:hanging="360"/>
      </w:pPr>
    </w:lvl>
    <w:lvl w:ilvl="8" w:tplc="70B68E9A" w:tentative="1">
      <w:start w:val="1"/>
      <w:numFmt w:val="decimal"/>
      <w:lvlText w:val="%9."/>
      <w:lvlJc w:val="left"/>
      <w:pPr>
        <w:tabs>
          <w:tab w:val="num" w:pos="6480"/>
        </w:tabs>
        <w:ind w:left="6480" w:hanging="360"/>
      </w:pPr>
    </w:lvl>
  </w:abstractNum>
  <w:abstractNum w:abstractNumId="24" w15:restartNumberingAfterBreak="0">
    <w:nsid w:val="4DE053F5"/>
    <w:multiLevelType w:val="hybridMultilevel"/>
    <w:tmpl w:val="D6841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D3083"/>
    <w:multiLevelType w:val="hybridMultilevel"/>
    <w:tmpl w:val="424834F8"/>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6" w15:restartNumberingAfterBreak="0">
    <w:nsid w:val="55D75370"/>
    <w:multiLevelType w:val="hybridMultilevel"/>
    <w:tmpl w:val="4F98CFC4"/>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7" w15:restartNumberingAfterBreak="0">
    <w:nsid w:val="599D14AE"/>
    <w:multiLevelType w:val="hybridMultilevel"/>
    <w:tmpl w:val="F8823E24"/>
    <w:lvl w:ilvl="0" w:tplc="1A962C44">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8" w15:restartNumberingAfterBreak="0">
    <w:nsid w:val="59B82DEB"/>
    <w:multiLevelType w:val="hybridMultilevel"/>
    <w:tmpl w:val="9D2E7D6C"/>
    <w:lvl w:ilvl="0" w:tplc="34D6835A">
      <w:start w:val="1"/>
      <w:numFmt w:val="bullet"/>
      <w:lvlText w:val="–"/>
      <w:lvlJc w:val="left"/>
      <w:pPr>
        <w:tabs>
          <w:tab w:val="num" w:pos="720"/>
        </w:tabs>
        <w:ind w:left="720" w:hanging="360"/>
      </w:pPr>
      <w:rPr>
        <w:rFonts w:ascii="Adobe Caslon Pro" w:hAnsi="Adobe Caslon Pro" w:hint="default"/>
      </w:rPr>
    </w:lvl>
    <w:lvl w:ilvl="1" w:tplc="A6ACB5FC">
      <w:start w:val="1"/>
      <w:numFmt w:val="bullet"/>
      <w:lvlText w:val="–"/>
      <w:lvlJc w:val="left"/>
      <w:pPr>
        <w:tabs>
          <w:tab w:val="num" w:pos="1440"/>
        </w:tabs>
        <w:ind w:left="1440" w:hanging="360"/>
      </w:pPr>
      <w:rPr>
        <w:rFonts w:ascii="Adobe Caslon Pro" w:hAnsi="Adobe Caslon Pro" w:hint="default"/>
      </w:rPr>
    </w:lvl>
    <w:lvl w:ilvl="2" w:tplc="02BAE19A" w:tentative="1">
      <w:start w:val="1"/>
      <w:numFmt w:val="bullet"/>
      <w:lvlText w:val="–"/>
      <w:lvlJc w:val="left"/>
      <w:pPr>
        <w:tabs>
          <w:tab w:val="num" w:pos="2160"/>
        </w:tabs>
        <w:ind w:left="2160" w:hanging="360"/>
      </w:pPr>
      <w:rPr>
        <w:rFonts w:ascii="Adobe Caslon Pro" w:hAnsi="Adobe Caslon Pro" w:hint="default"/>
      </w:rPr>
    </w:lvl>
    <w:lvl w:ilvl="3" w:tplc="6AE89F74" w:tentative="1">
      <w:start w:val="1"/>
      <w:numFmt w:val="bullet"/>
      <w:lvlText w:val="–"/>
      <w:lvlJc w:val="left"/>
      <w:pPr>
        <w:tabs>
          <w:tab w:val="num" w:pos="2880"/>
        </w:tabs>
        <w:ind w:left="2880" w:hanging="360"/>
      </w:pPr>
      <w:rPr>
        <w:rFonts w:ascii="Adobe Caslon Pro" w:hAnsi="Adobe Caslon Pro" w:hint="default"/>
      </w:rPr>
    </w:lvl>
    <w:lvl w:ilvl="4" w:tplc="AD763298" w:tentative="1">
      <w:start w:val="1"/>
      <w:numFmt w:val="bullet"/>
      <w:lvlText w:val="–"/>
      <w:lvlJc w:val="left"/>
      <w:pPr>
        <w:tabs>
          <w:tab w:val="num" w:pos="3600"/>
        </w:tabs>
        <w:ind w:left="3600" w:hanging="360"/>
      </w:pPr>
      <w:rPr>
        <w:rFonts w:ascii="Adobe Caslon Pro" w:hAnsi="Adobe Caslon Pro" w:hint="default"/>
      </w:rPr>
    </w:lvl>
    <w:lvl w:ilvl="5" w:tplc="733C3434" w:tentative="1">
      <w:start w:val="1"/>
      <w:numFmt w:val="bullet"/>
      <w:lvlText w:val="–"/>
      <w:lvlJc w:val="left"/>
      <w:pPr>
        <w:tabs>
          <w:tab w:val="num" w:pos="4320"/>
        </w:tabs>
        <w:ind w:left="4320" w:hanging="360"/>
      </w:pPr>
      <w:rPr>
        <w:rFonts w:ascii="Adobe Caslon Pro" w:hAnsi="Adobe Caslon Pro" w:hint="default"/>
      </w:rPr>
    </w:lvl>
    <w:lvl w:ilvl="6" w:tplc="2E0ABBD0" w:tentative="1">
      <w:start w:val="1"/>
      <w:numFmt w:val="bullet"/>
      <w:lvlText w:val="–"/>
      <w:lvlJc w:val="left"/>
      <w:pPr>
        <w:tabs>
          <w:tab w:val="num" w:pos="5040"/>
        </w:tabs>
        <w:ind w:left="5040" w:hanging="360"/>
      </w:pPr>
      <w:rPr>
        <w:rFonts w:ascii="Adobe Caslon Pro" w:hAnsi="Adobe Caslon Pro" w:hint="default"/>
      </w:rPr>
    </w:lvl>
    <w:lvl w:ilvl="7" w:tplc="CDB8A954" w:tentative="1">
      <w:start w:val="1"/>
      <w:numFmt w:val="bullet"/>
      <w:lvlText w:val="–"/>
      <w:lvlJc w:val="left"/>
      <w:pPr>
        <w:tabs>
          <w:tab w:val="num" w:pos="5760"/>
        </w:tabs>
        <w:ind w:left="5760" w:hanging="360"/>
      </w:pPr>
      <w:rPr>
        <w:rFonts w:ascii="Adobe Caslon Pro" w:hAnsi="Adobe Caslon Pro" w:hint="default"/>
      </w:rPr>
    </w:lvl>
    <w:lvl w:ilvl="8" w:tplc="770EC040" w:tentative="1">
      <w:start w:val="1"/>
      <w:numFmt w:val="bullet"/>
      <w:lvlText w:val="–"/>
      <w:lvlJc w:val="left"/>
      <w:pPr>
        <w:tabs>
          <w:tab w:val="num" w:pos="6480"/>
        </w:tabs>
        <w:ind w:left="6480" w:hanging="360"/>
      </w:pPr>
      <w:rPr>
        <w:rFonts w:ascii="Adobe Caslon Pro" w:hAnsi="Adobe Caslon Pro" w:hint="default"/>
      </w:rPr>
    </w:lvl>
  </w:abstractNum>
  <w:abstractNum w:abstractNumId="29" w15:restartNumberingAfterBreak="0">
    <w:nsid w:val="5CE21AD6"/>
    <w:multiLevelType w:val="hybridMultilevel"/>
    <w:tmpl w:val="6C5C7B58"/>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0" w15:restartNumberingAfterBreak="0">
    <w:nsid w:val="5FFE4F96"/>
    <w:multiLevelType w:val="hybridMultilevel"/>
    <w:tmpl w:val="02921130"/>
    <w:lvl w:ilvl="0" w:tplc="9D4AA8F0">
      <w:start w:val="1"/>
      <w:numFmt w:val="bullet"/>
      <w:lvlText w:val="•"/>
      <w:lvlJc w:val="left"/>
      <w:pPr>
        <w:tabs>
          <w:tab w:val="num" w:pos="720"/>
        </w:tabs>
        <w:ind w:left="720" w:hanging="360"/>
      </w:pPr>
      <w:rPr>
        <w:rFonts w:ascii="Arial" w:hAnsi="Arial" w:hint="default"/>
      </w:rPr>
    </w:lvl>
    <w:lvl w:ilvl="1" w:tplc="8F92759E" w:tentative="1">
      <w:start w:val="1"/>
      <w:numFmt w:val="bullet"/>
      <w:lvlText w:val="•"/>
      <w:lvlJc w:val="left"/>
      <w:pPr>
        <w:tabs>
          <w:tab w:val="num" w:pos="1440"/>
        </w:tabs>
        <w:ind w:left="1440" w:hanging="360"/>
      </w:pPr>
      <w:rPr>
        <w:rFonts w:ascii="Arial" w:hAnsi="Arial" w:hint="default"/>
      </w:rPr>
    </w:lvl>
    <w:lvl w:ilvl="2" w:tplc="886AE35C" w:tentative="1">
      <w:start w:val="1"/>
      <w:numFmt w:val="bullet"/>
      <w:lvlText w:val="•"/>
      <w:lvlJc w:val="left"/>
      <w:pPr>
        <w:tabs>
          <w:tab w:val="num" w:pos="2160"/>
        </w:tabs>
        <w:ind w:left="2160" w:hanging="360"/>
      </w:pPr>
      <w:rPr>
        <w:rFonts w:ascii="Arial" w:hAnsi="Arial" w:hint="default"/>
      </w:rPr>
    </w:lvl>
    <w:lvl w:ilvl="3" w:tplc="F27C015C" w:tentative="1">
      <w:start w:val="1"/>
      <w:numFmt w:val="bullet"/>
      <w:lvlText w:val="•"/>
      <w:lvlJc w:val="left"/>
      <w:pPr>
        <w:tabs>
          <w:tab w:val="num" w:pos="2880"/>
        </w:tabs>
        <w:ind w:left="2880" w:hanging="360"/>
      </w:pPr>
      <w:rPr>
        <w:rFonts w:ascii="Arial" w:hAnsi="Arial" w:hint="default"/>
      </w:rPr>
    </w:lvl>
    <w:lvl w:ilvl="4" w:tplc="A200808E" w:tentative="1">
      <w:start w:val="1"/>
      <w:numFmt w:val="bullet"/>
      <w:lvlText w:val="•"/>
      <w:lvlJc w:val="left"/>
      <w:pPr>
        <w:tabs>
          <w:tab w:val="num" w:pos="3600"/>
        </w:tabs>
        <w:ind w:left="3600" w:hanging="360"/>
      </w:pPr>
      <w:rPr>
        <w:rFonts w:ascii="Arial" w:hAnsi="Arial" w:hint="default"/>
      </w:rPr>
    </w:lvl>
    <w:lvl w:ilvl="5" w:tplc="3B9418F8" w:tentative="1">
      <w:start w:val="1"/>
      <w:numFmt w:val="bullet"/>
      <w:lvlText w:val="•"/>
      <w:lvlJc w:val="left"/>
      <w:pPr>
        <w:tabs>
          <w:tab w:val="num" w:pos="4320"/>
        </w:tabs>
        <w:ind w:left="4320" w:hanging="360"/>
      </w:pPr>
      <w:rPr>
        <w:rFonts w:ascii="Arial" w:hAnsi="Arial" w:hint="default"/>
      </w:rPr>
    </w:lvl>
    <w:lvl w:ilvl="6" w:tplc="3134F012" w:tentative="1">
      <w:start w:val="1"/>
      <w:numFmt w:val="bullet"/>
      <w:lvlText w:val="•"/>
      <w:lvlJc w:val="left"/>
      <w:pPr>
        <w:tabs>
          <w:tab w:val="num" w:pos="5040"/>
        </w:tabs>
        <w:ind w:left="5040" w:hanging="360"/>
      </w:pPr>
      <w:rPr>
        <w:rFonts w:ascii="Arial" w:hAnsi="Arial" w:hint="default"/>
      </w:rPr>
    </w:lvl>
    <w:lvl w:ilvl="7" w:tplc="7D26A23E" w:tentative="1">
      <w:start w:val="1"/>
      <w:numFmt w:val="bullet"/>
      <w:lvlText w:val="•"/>
      <w:lvlJc w:val="left"/>
      <w:pPr>
        <w:tabs>
          <w:tab w:val="num" w:pos="5760"/>
        </w:tabs>
        <w:ind w:left="5760" w:hanging="360"/>
      </w:pPr>
      <w:rPr>
        <w:rFonts w:ascii="Arial" w:hAnsi="Arial" w:hint="default"/>
      </w:rPr>
    </w:lvl>
    <w:lvl w:ilvl="8" w:tplc="A5B833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40543D"/>
    <w:multiLevelType w:val="hybridMultilevel"/>
    <w:tmpl w:val="F58EDB4E"/>
    <w:lvl w:ilvl="0" w:tplc="E8325AC2">
      <w:start w:val="1"/>
      <w:numFmt w:val="bullet"/>
      <w:lvlText w:val="•"/>
      <w:lvlJc w:val="left"/>
      <w:pPr>
        <w:tabs>
          <w:tab w:val="num" w:pos="720"/>
        </w:tabs>
        <w:ind w:left="720" w:hanging="360"/>
      </w:pPr>
      <w:rPr>
        <w:rFonts w:ascii="Arial" w:hAnsi="Arial" w:hint="default"/>
      </w:rPr>
    </w:lvl>
    <w:lvl w:ilvl="1" w:tplc="618CB1BA" w:tentative="1">
      <w:start w:val="1"/>
      <w:numFmt w:val="bullet"/>
      <w:lvlText w:val="•"/>
      <w:lvlJc w:val="left"/>
      <w:pPr>
        <w:tabs>
          <w:tab w:val="num" w:pos="1440"/>
        </w:tabs>
        <w:ind w:left="1440" w:hanging="360"/>
      </w:pPr>
      <w:rPr>
        <w:rFonts w:ascii="Arial" w:hAnsi="Arial" w:hint="default"/>
      </w:rPr>
    </w:lvl>
    <w:lvl w:ilvl="2" w:tplc="D3725F42" w:tentative="1">
      <w:start w:val="1"/>
      <w:numFmt w:val="bullet"/>
      <w:lvlText w:val="•"/>
      <w:lvlJc w:val="left"/>
      <w:pPr>
        <w:tabs>
          <w:tab w:val="num" w:pos="2160"/>
        </w:tabs>
        <w:ind w:left="2160" w:hanging="360"/>
      </w:pPr>
      <w:rPr>
        <w:rFonts w:ascii="Arial" w:hAnsi="Arial" w:hint="default"/>
      </w:rPr>
    </w:lvl>
    <w:lvl w:ilvl="3" w:tplc="F7262F82" w:tentative="1">
      <w:start w:val="1"/>
      <w:numFmt w:val="bullet"/>
      <w:lvlText w:val="•"/>
      <w:lvlJc w:val="left"/>
      <w:pPr>
        <w:tabs>
          <w:tab w:val="num" w:pos="2880"/>
        </w:tabs>
        <w:ind w:left="2880" w:hanging="360"/>
      </w:pPr>
      <w:rPr>
        <w:rFonts w:ascii="Arial" w:hAnsi="Arial" w:hint="default"/>
      </w:rPr>
    </w:lvl>
    <w:lvl w:ilvl="4" w:tplc="0D34D5B6" w:tentative="1">
      <w:start w:val="1"/>
      <w:numFmt w:val="bullet"/>
      <w:lvlText w:val="•"/>
      <w:lvlJc w:val="left"/>
      <w:pPr>
        <w:tabs>
          <w:tab w:val="num" w:pos="3600"/>
        </w:tabs>
        <w:ind w:left="3600" w:hanging="360"/>
      </w:pPr>
      <w:rPr>
        <w:rFonts w:ascii="Arial" w:hAnsi="Arial" w:hint="default"/>
      </w:rPr>
    </w:lvl>
    <w:lvl w:ilvl="5" w:tplc="22A4647C" w:tentative="1">
      <w:start w:val="1"/>
      <w:numFmt w:val="bullet"/>
      <w:lvlText w:val="•"/>
      <w:lvlJc w:val="left"/>
      <w:pPr>
        <w:tabs>
          <w:tab w:val="num" w:pos="4320"/>
        </w:tabs>
        <w:ind w:left="4320" w:hanging="360"/>
      </w:pPr>
      <w:rPr>
        <w:rFonts w:ascii="Arial" w:hAnsi="Arial" w:hint="default"/>
      </w:rPr>
    </w:lvl>
    <w:lvl w:ilvl="6" w:tplc="55B09DC2" w:tentative="1">
      <w:start w:val="1"/>
      <w:numFmt w:val="bullet"/>
      <w:lvlText w:val="•"/>
      <w:lvlJc w:val="left"/>
      <w:pPr>
        <w:tabs>
          <w:tab w:val="num" w:pos="5040"/>
        </w:tabs>
        <w:ind w:left="5040" w:hanging="360"/>
      </w:pPr>
      <w:rPr>
        <w:rFonts w:ascii="Arial" w:hAnsi="Arial" w:hint="default"/>
      </w:rPr>
    </w:lvl>
    <w:lvl w:ilvl="7" w:tplc="C05046B4" w:tentative="1">
      <w:start w:val="1"/>
      <w:numFmt w:val="bullet"/>
      <w:lvlText w:val="•"/>
      <w:lvlJc w:val="left"/>
      <w:pPr>
        <w:tabs>
          <w:tab w:val="num" w:pos="5760"/>
        </w:tabs>
        <w:ind w:left="5760" w:hanging="360"/>
      </w:pPr>
      <w:rPr>
        <w:rFonts w:ascii="Arial" w:hAnsi="Arial" w:hint="default"/>
      </w:rPr>
    </w:lvl>
    <w:lvl w:ilvl="8" w:tplc="F1F272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FC5E92"/>
    <w:multiLevelType w:val="hybridMultilevel"/>
    <w:tmpl w:val="A30EDAC0"/>
    <w:lvl w:ilvl="0" w:tplc="9EE2B568">
      <w:start w:val="1"/>
      <w:numFmt w:val="bullet"/>
      <w:lvlText w:val="•"/>
      <w:lvlJc w:val="left"/>
      <w:pPr>
        <w:tabs>
          <w:tab w:val="num" w:pos="720"/>
        </w:tabs>
        <w:ind w:left="720" w:hanging="360"/>
      </w:pPr>
      <w:rPr>
        <w:rFonts w:ascii="Arial" w:hAnsi="Arial" w:hint="default"/>
      </w:rPr>
    </w:lvl>
    <w:lvl w:ilvl="1" w:tplc="062C38D6" w:tentative="1">
      <w:start w:val="1"/>
      <w:numFmt w:val="bullet"/>
      <w:lvlText w:val="•"/>
      <w:lvlJc w:val="left"/>
      <w:pPr>
        <w:tabs>
          <w:tab w:val="num" w:pos="1440"/>
        </w:tabs>
        <w:ind w:left="1440" w:hanging="360"/>
      </w:pPr>
      <w:rPr>
        <w:rFonts w:ascii="Arial" w:hAnsi="Arial" w:hint="default"/>
      </w:rPr>
    </w:lvl>
    <w:lvl w:ilvl="2" w:tplc="B6649E5E" w:tentative="1">
      <w:start w:val="1"/>
      <w:numFmt w:val="bullet"/>
      <w:lvlText w:val="•"/>
      <w:lvlJc w:val="left"/>
      <w:pPr>
        <w:tabs>
          <w:tab w:val="num" w:pos="2160"/>
        </w:tabs>
        <w:ind w:left="2160" w:hanging="360"/>
      </w:pPr>
      <w:rPr>
        <w:rFonts w:ascii="Arial" w:hAnsi="Arial" w:hint="default"/>
      </w:rPr>
    </w:lvl>
    <w:lvl w:ilvl="3" w:tplc="2D243C9A" w:tentative="1">
      <w:start w:val="1"/>
      <w:numFmt w:val="bullet"/>
      <w:lvlText w:val="•"/>
      <w:lvlJc w:val="left"/>
      <w:pPr>
        <w:tabs>
          <w:tab w:val="num" w:pos="2880"/>
        </w:tabs>
        <w:ind w:left="2880" w:hanging="360"/>
      </w:pPr>
      <w:rPr>
        <w:rFonts w:ascii="Arial" w:hAnsi="Arial" w:hint="default"/>
      </w:rPr>
    </w:lvl>
    <w:lvl w:ilvl="4" w:tplc="55840BD2" w:tentative="1">
      <w:start w:val="1"/>
      <w:numFmt w:val="bullet"/>
      <w:lvlText w:val="•"/>
      <w:lvlJc w:val="left"/>
      <w:pPr>
        <w:tabs>
          <w:tab w:val="num" w:pos="3600"/>
        </w:tabs>
        <w:ind w:left="3600" w:hanging="360"/>
      </w:pPr>
      <w:rPr>
        <w:rFonts w:ascii="Arial" w:hAnsi="Arial" w:hint="default"/>
      </w:rPr>
    </w:lvl>
    <w:lvl w:ilvl="5" w:tplc="B694FAEA" w:tentative="1">
      <w:start w:val="1"/>
      <w:numFmt w:val="bullet"/>
      <w:lvlText w:val="•"/>
      <w:lvlJc w:val="left"/>
      <w:pPr>
        <w:tabs>
          <w:tab w:val="num" w:pos="4320"/>
        </w:tabs>
        <w:ind w:left="4320" w:hanging="360"/>
      </w:pPr>
      <w:rPr>
        <w:rFonts w:ascii="Arial" w:hAnsi="Arial" w:hint="default"/>
      </w:rPr>
    </w:lvl>
    <w:lvl w:ilvl="6" w:tplc="82289914" w:tentative="1">
      <w:start w:val="1"/>
      <w:numFmt w:val="bullet"/>
      <w:lvlText w:val="•"/>
      <w:lvlJc w:val="left"/>
      <w:pPr>
        <w:tabs>
          <w:tab w:val="num" w:pos="5040"/>
        </w:tabs>
        <w:ind w:left="5040" w:hanging="360"/>
      </w:pPr>
      <w:rPr>
        <w:rFonts w:ascii="Arial" w:hAnsi="Arial" w:hint="default"/>
      </w:rPr>
    </w:lvl>
    <w:lvl w:ilvl="7" w:tplc="115AEDDE" w:tentative="1">
      <w:start w:val="1"/>
      <w:numFmt w:val="bullet"/>
      <w:lvlText w:val="•"/>
      <w:lvlJc w:val="left"/>
      <w:pPr>
        <w:tabs>
          <w:tab w:val="num" w:pos="5760"/>
        </w:tabs>
        <w:ind w:left="5760" w:hanging="360"/>
      </w:pPr>
      <w:rPr>
        <w:rFonts w:ascii="Arial" w:hAnsi="Arial" w:hint="default"/>
      </w:rPr>
    </w:lvl>
    <w:lvl w:ilvl="8" w:tplc="E2988F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7875E1"/>
    <w:multiLevelType w:val="hybridMultilevel"/>
    <w:tmpl w:val="169012E2"/>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4" w15:restartNumberingAfterBreak="0">
    <w:nsid w:val="743A19D6"/>
    <w:multiLevelType w:val="hybridMultilevel"/>
    <w:tmpl w:val="C25CB6AA"/>
    <w:lvl w:ilvl="0" w:tplc="103ABF44">
      <w:start w:val="1"/>
      <w:numFmt w:val="bullet"/>
      <w:lvlText w:val="–"/>
      <w:lvlJc w:val="left"/>
      <w:pPr>
        <w:tabs>
          <w:tab w:val="num" w:pos="720"/>
        </w:tabs>
        <w:ind w:left="720" w:hanging="360"/>
      </w:pPr>
      <w:rPr>
        <w:rFonts w:ascii="Adobe Caslon Pro" w:hAnsi="Adobe Caslon Pro" w:hint="default"/>
      </w:rPr>
    </w:lvl>
    <w:lvl w:ilvl="1" w:tplc="0B0E6C04">
      <w:start w:val="1"/>
      <w:numFmt w:val="bullet"/>
      <w:lvlText w:val="–"/>
      <w:lvlJc w:val="left"/>
      <w:pPr>
        <w:tabs>
          <w:tab w:val="num" w:pos="1440"/>
        </w:tabs>
        <w:ind w:left="1440" w:hanging="360"/>
      </w:pPr>
      <w:rPr>
        <w:rFonts w:ascii="Adobe Caslon Pro" w:hAnsi="Adobe Caslon Pro" w:hint="default"/>
      </w:rPr>
    </w:lvl>
    <w:lvl w:ilvl="2" w:tplc="52D08E38" w:tentative="1">
      <w:start w:val="1"/>
      <w:numFmt w:val="bullet"/>
      <w:lvlText w:val="–"/>
      <w:lvlJc w:val="left"/>
      <w:pPr>
        <w:tabs>
          <w:tab w:val="num" w:pos="2160"/>
        </w:tabs>
        <w:ind w:left="2160" w:hanging="360"/>
      </w:pPr>
      <w:rPr>
        <w:rFonts w:ascii="Adobe Caslon Pro" w:hAnsi="Adobe Caslon Pro" w:hint="default"/>
      </w:rPr>
    </w:lvl>
    <w:lvl w:ilvl="3" w:tplc="7114709E" w:tentative="1">
      <w:start w:val="1"/>
      <w:numFmt w:val="bullet"/>
      <w:lvlText w:val="–"/>
      <w:lvlJc w:val="left"/>
      <w:pPr>
        <w:tabs>
          <w:tab w:val="num" w:pos="2880"/>
        </w:tabs>
        <w:ind w:left="2880" w:hanging="360"/>
      </w:pPr>
      <w:rPr>
        <w:rFonts w:ascii="Adobe Caslon Pro" w:hAnsi="Adobe Caslon Pro" w:hint="default"/>
      </w:rPr>
    </w:lvl>
    <w:lvl w:ilvl="4" w:tplc="FFE6E2F4" w:tentative="1">
      <w:start w:val="1"/>
      <w:numFmt w:val="bullet"/>
      <w:lvlText w:val="–"/>
      <w:lvlJc w:val="left"/>
      <w:pPr>
        <w:tabs>
          <w:tab w:val="num" w:pos="3600"/>
        </w:tabs>
        <w:ind w:left="3600" w:hanging="360"/>
      </w:pPr>
      <w:rPr>
        <w:rFonts w:ascii="Adobe Caslon Pro" w:hAnsi="Adobe Caslon Pro" w:hint="default"/>
      </w:rPr>
    </w:lvl>
    <w:lvl w:ilvl="5" w:tplc="24C61A06" w:tentative="1">
      <w:start w:val="1"/>
      <w:numFmt w:val="bullet"/>
      <w:lvlText w:val="–"/>
      <w:lvlJc w:val="left"/>
      <w:pPr>
        <w:tabs>
          <w:tab w:val="num" w:pos="4320"/>
        </w:tabs>
        <w:ind w:left="4320" w:hanging="360"/>
      </w:pPr>
      <w:rPr>
        <w:rFonts w:ascii="Adobe Caslon Pro" w:hAnsi="Adobe Caslon Pro" w:hint="default"/>
      </w:rPr>
    </w:lvl>
    <w:lvl w:ilvl="6" w:tplc="A81259EA" w:tentative="1">
      <w:start w:val="1"/>
      <w:numFmt w:val="bullet"/>
      <w:lvlText w:val="–"/>
      <w:lvlJc w:val="left"/>
      <w:pPr>
        <w:tabs>
          <w:tab w:val="num" w:pos="5040"/>
        </w:tabs>
        <w:ind w:left="5040" w:hanging="360"/>
      </w:pPr>
      <w:rPr>
        <w:rFonts w:ascii="Adobe Caslon Pro" w:hAnsi="Adobe Caslon Pro" w:hint="default"/>
      </w:rPr>
    </w:lvl>
    <w:lvl w:ilvl="7" w:tplc="B7A8277E" w:tentative="1">
      <w:start w:val="1"/>
      <w:numFmt w:val="bullet"/>
      <w:lvlText w:val="–"/>
      <w:lvlJc w:val="left"/>
      <w:pPr>
        <w:tabs>
          <w:tab w:val="num" w:pos="5760"/>
        </w:tabs>
        <w:ind w:left="5760" w:hanging="360"/>
      </w:pPr>
      <w:rPr>
        <w:rFonts w:ascii="Adobe Caslon Pro" w:hAnsi="Adobe Caslon Pro" w:hint="default"/>
      </w:rPr>
    </w:lvl>
    <w:lvl w:ilvl="8" w:tplc="678CF762" w:tentative="1">
      <w:start w:val="1"/>
      <w:numFmt w:val="bullet"/>
      <w:lvlText w:val="–"/>
      <w:lvlJc w:val="left"/>
      <w:pPr>
        <w:tabs>
          <w:tab w:val="num" w:pos="6480"/>
        </w:tabs>
        <w:ind w:left="6480" w:hanging="360"/>
      </w:pPr>
      <w:rPr>
        <w:rFonts w:ascii="Adobe Caslon Pro" w:hAnsi="Adobe Caslon Pro" w:hint="default"/>
      </w:rPr>
    </w:lvl>
  </w:abstractNum>
  <w:abstractNum w:abstractNumId="35" w15:restartNumberingAfterBreak="0">
    <w:nsid w:val="77386C19"/>
    <w:multiLevelType w:val="hybridMultilevel"/>
    <w:tmpl w:val="6F569F60"/>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num w:numId="1">
    <w:abstractNumId w:val="27"/>
  </w:num>
  <w:num w:numId="2">
    <w:abstractNumId w:val="21"/>
  </w:num>
  <w:num w:numId="3">
    <w:abstractNumId w:val="16"/>
  </w:num>
  <w:num w:numId="4">
    <w:abstractNumId w:val="33"/>
  </w:num>
  <w:num w:numId="5">
    <w:abstractNumId w:val="11"/>
  </w:num>
  <w:num w:numId="6">
    <w:abstractNumId w:val="10"/>
  </w:num>
  <w:num w:numId="7">
    <w:abstractNumId w:val="20"/>
  </w:num>
  <w:num w:numId="8">
    <w:abstractNumId w:val="12"/>
  </w:num>
  <w:num w:numId="9">
    <w:abstractNumId w:val="26"/>
  </w:num>
  <w:num w:numId="10">
    <w:abstractNumId w:val="35"/>
  </w:num>
  <w:num w:numId="11">
    <w:abstractNumId w:val="17"/>
  </w:num>
  <w:num w:numId="12">
    <w:abstractNumId w:val="29"/>
  </w:num>
  <w:num w:numId="13">
    <w:abstractNumId w:val="25"/>
  </w:num>
  <w:num w:numId="14">
    <w:abstractNumId w:val="24"/>
  </w:num>
  <w:num w:numId="15">
    <w:abstractNumId w:val="15"/>
  </w:num>
  <w:num w:numId="16">
    <w:abstractNumId w:val="18"/>
  </w:num>
  <w:num w:numId="17">
    <w:abstractNumId w:val="34"/>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30"/>
  </w:num>
  <w:num w:numId="31">
    <w:abstractNumId w:val="31"/>
  </w:num>
  <w:num w:numId="32">
    <w:abstractNumId w:val="23"/>
  </w:num>
  <w:num w:numId="33">
    <w:abstractNumId w:val="14"/>
  </w:num>
  <w:num w:numId="34">
    <w:abstractNumId w:val="32"/>
  </w:num>
  <w:num w:numId="35">
    <w:abstractNumId w:val="2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8"/>
    <w:rsid w:val="00002C1E"/>
    <w:rsid w:val="00002D6E"/>
    <w:rsid w:val="00006293"/>
    <w:rsid w:val="000075DD"/>
    <w:rsid w:val="00011690"/>
    <w:rsid w:val="00014C52"/>
    <w:rsid w:val="00020EF1"/>
    <w:rsid w:val="00023CE4"/>
    <w:rsid w:val="000240AE"/>
    <w:rsid w:val="00024AF9"/>
    <w:rsid w:val="000258B8"/>
    <w:rsid w:val="00032342"/>
    <w:rsid w:val="000331E8"/>
    <w:rsid w:val="0003365F"/>
    <w:rsid w:val="00033FCA"/>
    <w:rsid w:val="00037E51"/>
    <w:rsid w:val="00041852"/>
    <w:rsid w:val="00044F3A"/>
    <w:rsid w:val="000465DA"/>
    <w:rsid w:val="00046657"/>
    <w:rsid w:val="000477F4"/>
    <w:rsid w:val="0005059D"/>
    <w:rsid w:val="0005122E"/>
    <w:rsid w:val="00052031"/>
    <w:rsid w:val="0005221D"/>
    <w:rsid w:val="00053E89"/>
    <w:rsid w:val="00053F92"/>
    <w:rsid w:val="000562F2"/>
    <w:rsid w:val="00056307"/>
    <w:rsid w:val="00056D26"/>
    <w:rsid w:val="00060DCA"/>
    <w:rsid w:val="00063B8C"/>
    <w:rsid w:val="00064F9C"/>
    <w:rsid w:val="000658F8"/>
    <w:rsid w:val="00070B99"/>
    <w:rsid w:val="000713E5"/>
    <w:rsid w:val="0007197B"/>
    <w:rsid w:val="00075004"/>
    <w:rsid w:val="0007557E"/>
    <w:rsid w:val="00075D32"/>
    <w:rsid w:val="0007729D"/>
    <w:rsid w:val="0007760B"/>
    <w:rsid w:val="00080DAB"/>
    <w:rsid w:val="00084F35"/>
    <w:rsid w:val="00085898"/>
    <w:rsid w:val="00086373"/>
    <w:rsid w:val="00087BE8"/>
    <w:rsid w:val="000927D9"/>
    <w:rsid w:val="0009306D"/>
    <w:rsid w:val="00094A51"/>
    <w:rsid w:val="00094CAE"/>
    <w:rsid w:val="000A0188"/>
    <w:rsid w:val="000A05C7"/>
    <w:rsid w:val="000A1A71"/>
    <w:rsid w:val="000A1C13"/>
    <w:rsid w:val="000A2683"/>
    <w:rsid w:val="000A4942"/>
    <w:rsid w:val="000A7F66"/>
    <w:rsid w:val="000B0D03"/>
    <w:rsid w:val="000B0FCF"/>
    <w:rsid w:val="000B6B35"/>
    <w:rsid w:val="000B7977"/>
    <w:rsid w:val="000C1910"/>
    <w:rsid w:val="000C3942"/>
    <w:rsid w:val="000C59E6"/>
    <w:rsid w:val="000C62A4"/>
    <w:rsid w:val="000D0184"/>
    <w:rsid w:val="000D25B5"/>
    <w:rsid w:val="000D48FE"/>
    <w:rsid w:val="000D592F"/>
    <w:rsid w:val="000D5C0F"/>
    <w:rsid w:val="000D6A7D"/>
    <w:rsid w:val="000E2E70"/>
    <w:rsid w:val="000E3FA2"/>
    <w:rsid w:val="000E5AFC"/>
    <w:rsid w:val="000F0034"/>
    <w:rsid w:val="000F0878"/>
    <w:rsid w:val="000F453E"/>
    <w:rsid w:val="000F64C1"/>
    <w:rsid w:val="000F661A"/>
    <w:rsid w:val="000F662A"/>
    <w:rsid w:val="000F752B"/>
    <w:rsid w:val="000F7713"/>
    <w:rsid w:val="00102D96"/>
    <w:rsid w:val="00102ED9"/>
    <w:rsid w:val="001051FE"/>
    <w:rsid w:val="00107A5B"/>
    <w:rsid w:val="00111397"/>
    <w:rsid w:val="001122E3"/>
    <w:rsid w:val="001131A0"/>
    <w:rsid w:val="00113918"/>
    <w:rsid w:val="00120870"/>
    <w:rsid w:val="00120A1B"/>
    <w:rsid w:val="00124F9B"/>
    <w:rsid w:val="0012505C"/>
    <w:rsid w:val="00127541"/>
    <w:rsid w:val="001304C3"/>
    <w:rsid w:val="001308EC"/>
    <w:rsid w:val="0013126B"/>
    <w:rsid w:val="00133E5C"/>
    <w:rsid w:val="001360B4"/>
    <w:rsid w:val="00141E35"/>
    <w:rsid w:val="00142AAD"/>
    <w:rsid w:val="00143B1E"/>
    <w:rsid w:val="0014412F"/>
    <w:rsid w:val="00144130"/>
    <w:rsid w:val="00144868"/>
    <w:rsid w:val="00151779"/>
    <w:rsid w:val="0015525E"/>
    <w:rsid w:val="00162BEC"/>
    <w:rsid w:val="0016395C"/>
    <w:rsid w:val="00166050"/>
    <w:rsid w:val="00167BAE"/>
    <w:rsid w:val="00170034"/>
    <w:rsid w:val="0017144D"/>
    <w:rsid w:val="0017218F"/>
    <w:rsid w:val="001735C6"/>
    <w:rsid w:val="00174376"/>
    <w:rsid w:val="0017665D"/>
    <w:rsid w:val="001812AA"/>
    <w:rsid w:val="001813A9"/>
    <w:rsid w:val="001816BD"/>
    <w:rsid w:val="001820D6"/>
    <w:rsid w:val="0018319C"/>
    <w:rsid w:val="0018462E"/>
    <w:rsid w:val="00184A74"/>
    <w:rsid w:val="001871B3"/>
    <w:rsid w:val="0019029F"/>
    <w:rsid w:val="001912DE"/>
    <w:rsid w:val="001923E8"/>
    <w:rsid w:val="00193B77"/>
    <w:rsid w:val="00194AD9"/>
    <w:rsid w:val="001A0595"/>
    <w:rsid w:val="001A33C5"/>
    <w:rsid w:val="001A440E"/>
    <w:rsid w:val="001A47FE"/>
    <w:rsid w:val="001A5CF7"/>
    <w:rsid w:val="001B0792"/>
    <w:rsid w:val="001B1416"/>
    <w:rsid w:val="001B141C"/>
    <w:rsid w:val="001B1A6E"/>
    <w:rsid w:val="001B4582"/>
    <w:rsid w:val="001B7A93"/>
    <w:rsid w:val="001B7C49"/>
    <w:rsid w:val="001C10F2"/>
    <w:rsid w:val="001C12DB"/>
    <w:rsid w:val="001C4862"/>
    <w:rsid w:val="001D3EB6"/>
    <w:rsid w:val="001D41F7"/>
    <w:rsid w:val="001E0C06"/>
    <w:rsid w:val="001E2FA2"/>
    <w:rsid w:val="001E527F"/>
    <w:rsid w:val="001E715A"/>
    <w:rsid w:val="001F2FF5"/>
    <w:rsid w:val="001F35AD"/>
    <w:rsid w:val="001F4C2D"/>
    <w:rsid w:val="00200607"/>
    <w:rsid w:val="0020195F"/>
    <w:rsid w:val="00203193"/>
    <w:rsid w:val="002037E2"/>
    <w:rsid w:val="0020604E"/>
    <w:rsid w:val="00213E3A"/>
    <w:rsid w:val="0021677E"/>
    <w:rsid w:val="00224072"/>
    <w:rsid w:val="00224949"/>
    <w:rsid w:val="002276CF"/>
    <w:rsid w:val="00233918"/>
    <w:rsid w:val="00233950"/>
    <w:rsid w:val="0023408E"/>
    <w:rsid w:val="00234C6A"/>
    <w:rsid w:val="002435CA"/>
    <w:rsid w:val="002456AF"/>
    <w:rsid w:val="00251D5C"/>
    <w:rsid w:val="002521A9"/>
    <w:rsid w:val="00255362"/>
    <w:rsid w:val="0026175C"/>
    <w:rsid w:val="00262789"/>
    <w:rsid w:val="00264C09"/>
    <w:rsid w:val="00266CAA"/>
    <w:rsid w:val="0026742B"/>
    <w:rsid w:val="0027245E"/>
    <w:rsid w:val="002735EF"/>
    <w:rsid w:val="00277F69"/>
    <w:rsid w:val="0028067D"/>
    <w:rsid w:val="00281201"/>
    <w:rsid w:val="00282B69"/>
    <w:rsid w:val="00283E54"/>
    <w:rsid w:val="002855A4"/>
    <w:rsid w:val="00290C76"/>
    <w:rsid w:val="00290EEC"/>
    <w:rsid w:val="0029103B"/>
    <w:rsid w:val="00291613"/>
    <w:rsid w:val="0029568D"/>
    <w:rsid w:val="0029628B"/>
    <w:rsid w:val="00296C99"/>
    <w:rsid w:val="002A5810"/>
    <w:rsid w:val="002A5CC7"/>
    <w:rsid w:val="002A6F17"/>
    <w:rsid w:val="002A7FC7"/>
    <w:rsid w:val="002B039A"/>
    <w:rsid w:val="002B2243"/>
    <w:rsid w:val="002B4154"/>
    <w:rsid w:val="002C0EF2"/>
    <w:rsid w:val="002C1F3E"/>
    <w:rsid w:val="002C67D8"/>
    <w:rsid w:val="002D6043"/>
    <w:rsid w:val="002D7AE2"/>
    <w:rsid w:val="002E1BEC"/>
    <w:rsid w:val="002E3429"/>
    <w:rsid w:val="002E3FA8"/>
    <w:rsid w:val="002F01FA"/>
    <w:rsid w:val="002F19A4"/>
    <w:rsid w:val="002F31BA"/>
    <w:rsid w:val="002F6812"/>
    <w:rsid w:val="002F79FA"/>
    <w:rsid w:val="0030143F"/>
    <w:rsid w:val="003068BD"/>
    <w:rsid w:val="0030712D"/>
    <w:rsid w:val="00307DAF"/>
    <w:rsid w:val="00310464"/>
    <w:rsid w:val="00311A5A"/>
    <w:rsid w:val="003152FA"/>
    <w:rsid w:val="0031627A"/>
    <w:rsid w:val="00320919"/>
    <w:rsid w:val="00324242"/>
    <w:rsid w:val="00331238"/>
    <w:rsid w:val="0033245B"/>
    <w:rsid w:val="00333AEE"/>
    <w:rsid w:val="0033527A"/>
    <w:rsid w:val="00335474"/>
    <w:rsid w:val="003356EE"/>
    <w:rsid w:val="003374C5"/>
    <w:rsid w:val="00337713"/>
    <w:rsid w:val="00337DA5"/>
    <w:rsid w:val="003416C1"/>
    <w:rsid w:val="0034184C"/>
    <w:rsid w:val="0034397C"/>
    <w:rsid w:val="00345B5A"/>
    <w:rsid w:val="00346177"/>
    <w:rsid w:val="00351AB8"/>
    <w:rsid w:val="0035401E"/>
    <w:rsid w:val="00355E11"/>
    <w:rsid w:val="00364B47"/>
    <w:rsid w:val="00365825"/>
    <w:rsid w:val="00365FE2"/>
    <w:rsid w:val="00370515"/>
    <w:rsid w:val="003706A6"/>
    <w:rsid w:val="00371283"/>
    <w:rsid w:val="00374F4B"/>
    <w:rsid w:val="0037507D"/>
    <w:rsid w:val="00375778"/>
    <w:rsid w:val="00375B60"/>
    <w:rsid w:val="003800E1"/>
    <w:rsid w:val="00381405"/>
    <w:rsid w:val="003832ED"/>
    <w:rsid w:val="003837C4"/>
    <w:rsid w:val="003838E9"/>
    <w:rsid w:val="00384DBF"/>
    <w:rsid w:val="003916B7"/>
    <w:rsid w:val="00392791"/>
    <w:rsid w:val="003955D7"/>
    <w:rsid w:val="003A091F"/>
    <w:rsid w:val="003A383B"/>
    <w:rsid w:val="003A4046"/>
    <w:rsid w:val="003A608B"/>
    <w:rsid w:val="003A7DAF"/>
    <w:rsid w:val="003B0861"/>
    <w:rsid w:val="003B0923"/>
    <w:rsid w:val="003B278C"/>
    <w:rsid w:val="003B2C82"/>
    <w:rsid w:val="003B5A5A"/>
    <w:rsid w:val="003C05D9"/>
    <w:rsid w:val="003C1FD9"/>
    <w:rsid w:val="003C2871"/>
    <w:rsid w:val="003C34AD"/>
    <w:rsid w:val="003C3672"/>
    <w:rsid w:val="003C5D9F"/>
    <w:rsid w:val="003C5FF5"/>
    <w:rsid w:val="003C70D5"/>
    <w:rsid w:val="003C73B2"/>
    <w:rsid w:val="003C7C55"/>
    <w:rsid w:val="003D013D"/>
    <w:rsid w:val="003D14A4"/>
    <w:rsid w:val="003D2ECD"/>
    <w:rsid w:val="003D2EDE"/>
    <w:rsid w:val="003D404B"/>
    <w:rsid w:val="003D5591"/>
    <w:rsid w:val="003E3C73"/>
    <w:rsid w:val="003E49D9"/>
    <w:rsid w:val="003E5B2C"/>
    <w:rsid w:val="003E5DE6"/>
    <w:rsid w:val="003E6F33"/>
    <w:rsid w:val="003F1960"/>
    <w:rsid w:val="003F2123"/>
    <w:rsid w:val="003F42C1"/>
    <w:rsid w:val="003F6A42"/>
    <w:rsid w:val="00402790"/>
    <w:rsid w:val="00402FB2"/>
    <w:rsid w:val="00404A9D"/>
    <w:rsid w:val="00404C2E"/>
    <w:rsid w:val="00407778"/>
    <w:rsid w:val="00411B06"/>
    <w:rsid w:val="00413418"/>
    <w:rsid w:val="0041376B"/>
    <w:rsid w:val="0041507E"/>
    <w:rsid w:val="00415B52"/>
    <w:rsid w:val="00416B1C"/>
    <w:rsid w:val="004204BA"/>
    <w:rsid w:val="0042133D"/>
    <w:rsid w:val="00421871"/>
    <w:rsid w:val="0042354B"/>
    <w:rsid w:val="004240DA"/>
    <w:rsid w:val="00424782"/>
    <w:rsid w:val="004269EB"/>
    <w:rsid w:val="004277E8"/>
    <w:rsid w:val="00427A3F"/>
    <w:rsid w:val="00431867"/>
    <w:rsid w:val="0043383C"/>
    <w:rsid w:val="004338A4"/>
    <w:rsid w:val="00434E2A"/>
    <w:rsid w:val="0043794F"/>
    <w:rsid w:val="00437ACD"/>
    <w:rsid w:val="00437B44"/>
    <w:rsid w:val="00437E39"/>
    <w:rsid w:val="00437F65"/>
    <w:rsid w:val="0044141D"/>
    <w:rsid w:val="00441993"/>
    <w:rsid w:val="004445A6"/>
    <w:rsid w:val="00444934"/>
    <w:rsid w:val="004459C4"/>
    <w:rsid w:val="0044744F"/>
    <w:rsid w:val="00447CC8"/>
    <w:rsid w:val="004500A6"/>
    <w:rsid w:val="004508D4"/>
    <w:rsid w:val="0045092F"/>
    <w:rsid w:val="004518F6"/>
    <w:rsid w:val="00452B08"/>
    <w:rsid w:val="00452DE6"/>
    <w:rsid w:val="00453344"/>
    <w:rsid w:val="0045353D"/>
    <w:rsid w:val="00453DF4"/>
    <w:rsid w:val="00454CD1"/>
    <w:rsid w:val="00455C21"/>
    <w:rsid w:val="00457A02"/>
    <w:rsid w:val="004630E9"/>
    <w:rsid w:val="004646D0"/>
    <w:rsid w:val="0047262B"/>
    <w:rsid w:val="00473138"/>
    <w:rsid w:val="0047367D"/>
    <w:rsid w:val="00474182"/>
    <w:rsid w:val="00477439"/>
    <w:rsid w:val="00482790"/>
    <w:rsid w:val="00485A20"/>
    <w:rsid w:val="00486DFA"/>
    <w:rsid w:val="004914C8"/>
    <w:rsid w:val="0049400D"/>
    <w:rsid w:val="0049448B"/>
    <w:rsid w:val="00497D35"/>
    <w:rsid w:val="004A0355"/>
    <w:rsid w:val="004A0706"/>
    <w:rsid w:val="004A1736"/>
    <w:rsid w:val="004A392D"/>
    <w:rsid w:val="004A5C2E"/>
    <w:rsid w:val="004A5CBB"/>
    <w:rsid w:val="004A683C"/>
    <w:rsid w:val="004B11C4"/>
    <w:rsid w:val="004B3F4C"/>
    <w:rsid w:val="004B557D"/>
    <w:rsid w:val="004B6005"/>
    <w:rsid w:val="004C0FC1"/>
    <w:rsid w:val="004C1264"/>
    <w:rsid w:val="004C1465"/>
    <w:rsid w:val="004C1843"/>
    <w:rsid w:val="004C411A"/>
    <w:rsid w:val="004C7598"/>
    <w:rsid w:val="004D5681"/>
    <w:rsid w:val="004E0C36"/>
    <w:rsid w:val="004E2570"/>
    <w:rsid w:val="004E5D6F"/>
    <w:rsid w:val="004E6AF6"/>
    <w:rsid w:val="004E7163"/>
    <w:rsid w:val="004F2591"/>
    <w:rsid w:val="004F2749"/>
    <w:rsid w:val="00500E43"/>
    <w:rsid w:val="005017E6"/>
    <w:rsid w:val="005024DC"/>
    <w:rsid w:val="005034CD"/>
    <w:rsid w:val="00503968"/>
    <w:rsid w:val="005046FA"/>
    <w:rsid w:val="00505970"/>
    <w:rsid w:val="00512E77"/>
    <w:rsid w:val="0051524E"/>
    <w:rsid w:val="005164C7"/>
    <w:rsid w:val="00517FFB"/>
    <w:rsid w:val="00520B8C"/>
    <w:rsid w:val="00522277"/>
    <w:rsid w:val="00522F79"/>
    <w:rsid w:val="00533454"/>
    <w:rsid w:val="00536974"/>
    <w:rsid w:val="00537486"/>
    <w:rsid w:val="005377CE"/>
    <w:rsid w:val="00547956"/>
    <w:rsid w:val="00550498"/>
    <w:rsid w:val="005504A1"/>
    <w:rsid w:val="005512C7"/>
    <w:rsid w:val="0055326C"/>
    <w:rsid w:val="00553767"/>
    <w:rsid w:val="00553ED8"/>
    <w:rsid w:val="00555BF8"/>
    <w:rsid w:val="00557F05"/>
    <w:rsid w:val="0056361E"/>
    <w:rsid w:val="00565B51"/>
    <w:rsid w:val="00565DF8"/>
    <w:rsid w:val="00571333"/>
    <w:rsid w:val="00572D82"/>
    <w:rsid w:val="00573CB8"/>
    <w:rsid w:val="005754A4"/>
    <w:rsid w:val="005759B6"/>
    <w:rsid w:val="00577785"/>
    <w:rsid w:val="00580811"/>
    <w:rsid w:val="0058233A"/>
    <w:rsid w:val="00582E90"/>
    <w:rsid w:val="00583CDA"/>
    <w:rsid w:val="00584568"/>
    <w:rsid w:val="00587897"/>
    <w:rsid w:val="00591A88"/>
    <w:rsid w:val="00591C33"/>
    <w:rsid w:val="0059385B"/>
    <w:rsid w:val="00596F87"/>
    <w:rsid w:val="00597EF7"/>
    <w:rsid w:val="005A0398"/>
    <w:rsid w:val="005A0A60"/>
    <w:rsid w:val="005A0BD2"/>
    <w:rsid w:val="005A0E98"/>
    <w:rsid w:val="005A128A"/>
    <w:rsid w:val="005A7448"/>
    <w:rsid w:val="005B4506"/>
    <w:rsid w:val="005C1167"/>
    <w:rsid w:val="005C1523"/>
    <w:rsid w:val="005C5672"/>
    <w:rsid w:val="005C7C3D"/>
    <w:rsid w:val="005D3D53"/>
    <w:rsid w:val="005D5997"/>
    <w:rsid w:val="005D641B"/>
    <w:rsid w:val="005D69B1"/>
    <w:rsid w:val="005E2F00"/>
    <w:rsid w:val="005E3685"/>
    <w:rsid w:val="005E55D4"/>
    <w:rsid w:val="005E6134"/>
    <w:rsid w:val="005E6395"/>
    <w:rsid w:val="005E75B5"/>
    <w:rsid w:val="005F28CD"/>
    <w:rsid w:val="005F2C85"/>
    <w:rsid w:val="005F6758"/>
    <w:rsid w:val="005F77B7"/>
    <w:rsid w:val="0060172D"/>
    <w:rsid w:val="006051BD"/>
    <w:rsid w:val="0060580F"/>
    <w:rsid w:val="00610633"/>
    <w:rsid w:val="00611CE9"/>
    <w:rsid w:val="0061488C"/>
    <w:rsid w:val="00615033"/>
    <w:rsid w:val="006151FC"/>
    <w:rsid w:val="00621002"/>
    <w:rsid w:val="00623CBE"/>
    <w:rsid w:val="00624DB3"/>
    <w:rsid w:val="0063228D"/>
    <w:rsid w:val="006326CB"/>
    <w:rsid w:val="00632B48"/>
    <w:rsid w:val="00632D6B"/>
    <w:rsid w:val="00633504"/>
    <w:rsid w:val="006344F6"/>
    <w:rsid w:val="006377E2"/>
    <w:rsid w:val="00640359"/>
    <w:rsid w:val="0064215C"/>
    <w:rsid w:val="00645025"/>
    <w:rsid w:val="0064625D"/>
    <w:rsid w:val="006523DE"/>
    <w:rsid w:val="006558C1"/>
    <w:rsid w:val="006570B9"/>
    <w:rsid w:val="00657454"/>
    <w:rsid w:val="006607C7"/>
    <w:rsid w:val="0066119B"/>
    <w:rsid w:val="00661411"/>
    <w:rsid w:val="006632F5"/>
    <w:rsid w:val="00665375"/>
    <w:rsid w:val="006665F5"/>
    <w:rsid w:val="00667712"/>
    <w:rsid w:val="00672BD4"/>
    <w:rsid w:val="006734EA"/>
    <w:rsid w:val="00674135"/>
    <w:rsid w:val="00674AB0"/>
    <w:rsid w:val="00674E69"/>
    <w:rsid w:val="00675DDC"/>
    <w:rsid w:val="006769A9"/>
    <w:rsid w:val="00677485"/>
    <w:rsid w:val="00677B22"/>
    <w:rsid w:val="006850E7"/>
    <w:rsid w:val="00686D55"/>
    <w:rsid w:val="00687860"/>
    <w:rsid w:val="00692B44"/>
    <w:rsid w:val="00693269"/>
    <w:rsid w:val="00693FE3"/>
    <w:rsid w:val="00694CAD"/>
    <w:rsid w:val="00694FB3"/>
    <w:rsid w:val="00696F74"/>
    <w:rsid w:val="00697F5C"/>
    <w:rsid w:val="006A3C82"/>
    <w:rsid w:val="006A4239"/>
    <w:rsid w:val="006A484E"/>
    <w:rsid w:val="006A5F04"/>
    <w:rsid w:val="006A7456"/>
    <w:rsid w:val="006A7660"/>
    <w:rsid w:val="006B119C"/>
    <w:rsid w:val="006B125E"/>
    <w:rsid w:val="006B1C85"/>
    <w:rsid w:val="006B212C"/>
    <w:rsid w:val="006B2A3D"/>
    <w:rsid w:val="006B7A22"/>
    <w:rsid w:val="006B7FB8"/>
    <w:rsid w:val="006C21A5"/>
    <w:rsid w:val="006D1CDB"/>
    <w:rsid w:val="006D5386"/>
    <w:rsid w:val="006D7BFF"/>
    <w:rsid w:val="006E0CE5"/>
    <w:rsid w:val="006E46BA"/>
    <w:rsid w:val="006E6813"/>
    <w:rsid w:val="006F43A8"/>
    <w:rsid w:val="006F48B5"/>
    <w:rsid w:val="006F6465"/>
    <w:rsid w:val="006F676C"/>
    <w:rsid w:val="00705AF0"/>
    <w:rsid w:val="007113C4"/>
    <w:rsid w:val="00711826"/>
    <w:rsid w:val="007153D4"/>
    <w:rsid w:val="00715C8B"/>
    <w:rsid w:val="00715CD1"/>
    <w:rsid w:val="007169C1"/>
    <w:rsid w:val="00717D4A"/>
    <w:rsid w:val="007217E2"/>
    <w:rsid w:val="00724018"/>
    <w:rsid w:val="00724F36"/>
    <w:rsid w:val="0072519C"/>
    <w:rsid w:val="00725706"/>
    <w:rsid w:val="0072623C"/>
    <w:rsid w:val="00726F1B"/>
    <w:rsid w:val="007276AC"/>
    <w:rsid w:val="00731A2E"/>
    <w:rsid w:val="0073262C"/>
    <w:rsid w:val="007348BE"/>
    <w:rsid w:val="007353C6"/>
    <w:rsid w:val="00735438"/>
    <w:rsid w:val="0073545C"/>
    <w:rsid w:val="0073605E"/>
    <w:rsid w:val="0073664F"/>
    <w:rsid w:val="00744E84"/>
    <w:rsid w:val="0074516D"/>
    <w:rsid w:val="00746B8F"/>
    <w:rsid w:val="007515C6"/>
    <w:rsid w:val="007542D2"/>
    <w:rsid w:val="0075451D"/>
    <w:rsid w:val="0075611B"/>
    <w:rsid w:val="007561E6"/>
    <w:rsid w:val="00756363"/>
    <w:rsid w:val="007578F5"/>
    <w:rsid w:val="00760D14"/>
    <w:rsid w:val="00760F21"/>
    <w:rsid w:val="00767E35"/>
    <w:rsid w:val="0077170B"/>
    <w:rsid w:val="00771A45"/>
    <w:rsid w:val="007751CC"/>
    <w:rsid w:val="00777096"/>
    <w:rsid w:val="00782F60"/>
    <w:rsid w:val="00786086"/>
    <w:rsid w:val="007902CC"/>
    <w:rsid w:val="0079052A"/>
    <w:rsid w:val="007928AF"/>
    <w:rsid w:val="00793976"/>
    <w:rsid w:val="0079524E"/>
    <w:rsid w:val="00795807"/>
    <w:rsid w:val="007A1BD1"/>
    <w:rsid w:val="007A3D9E"/>
    <w:rsid w:val="007A49CB"/>
    <w:rsid w:val="007A5965"/>
    <w:rsid w:val="007B0398"/>
    <w:rsid w:val="007B1B05"/>
    <w:rsid w:val="007B2E96"/>
    <w:rsid w:val="007B3A12"/>
    <w:rsid w:val="007B4267"/>
    <w:rsid w:val="007B4972"/>
    <w:rsid w:val="007B5C33"/>
    <w:rsid w:val="007B5EF3"/>
    <w:rsid w:val="007C1797"/>
    <w:rsid w:val="007D04DD"/>
    <w:rsid w:val="007D3968"/>
    <w:rsid w:val="007D445B"/>
    <w:rsid w:val="007D6056"/>
    <w:rsid w:val="007D74ED"/>
    <w:rsid w:val="007E0D5C"/>
    <w:rsid w:val="007E31F6"/>
    <w:rsid w:val="007E609E"/>
    <w:rsid w:val="007F01C3"/>
    <w:rsid w:val="007F6092"/>
    <w:rsid w:val="008017A4"/>
    <w:rsid w:val="008019BD"/>
    <w:rsid w:val="00802858"/>
    <w:rsid w:val="008030BC"/>
    <w:rsid w:val="00804891"/>
    <w:rsid w:val="00804F3D"/>
    <w:rsid w:val="00805DFB"/>
    <w:rsid w:val="00807465"/>
    <w:rsid w:val="008077A1"/>
    <w:rsid w:val="00807AC5"/>
    <w:rsid w:val="00810914"/>
    <w:rsid w:val="00811D4C"/>
    <w:rsid w:val="00814509"/>
    <w:rsid w:val="00816A98"/>
    <w:rsid w:val="00820937"/>
    <w:rsid w:val="00826093"/>
    <w:rsid w:val="0082769C"/>
    <w:rsid w:val="00830792"/>
    <w:rsid w:val="00831593"/>
    <w:rsid w:val="008338FE"/>
    <w:rsid w:val="00835EA6"/>
    <w:rsid w:val="00836B49"/>
    <w:rsid w:val="00841312"/>
    <w:rsid w:val="008439CC"/>
    <w:rsid w:val="00844E57"/>
    <w:rsid w:val="00845583"/>
    <w:rsid w:val="00845DC5"/>
    <w:rsid w:val="00846AE5"/>
    <w:rsid w:val="00847C79"/>
    <w:rsid w:val="00847F4A"/>
    <w:rsid w:val="008532BF"/>
    <w:rsid w:val="008537AA"/>
    <w:rsid w:val="008541E2"/>
    <w:rsid w:val="00854FBC"/>
    <w:rsid w:val="00861658"/>
    <w:rsid w:val="00861CB5"/>
    <w:rsid w:val="00862B75"/>
    <w:rsid w:val="00863EE1"/>
    <w:rsid w:val="00864FED"/>
    <w:rsid w:val="00866B4B"/>
    <w:rsid w:val="00867799"/>
    <w:rsid w:val="008709B2"/>
    <w:rsid w:val="0087111C"/>
    <w:rsid w:val="0087212C"/>
    <w:rsid w:val="00874E19"/>
    <w:rsid w:val="00875079"/>
    <w:rsid w:val="008769B6"/>
    <w:rsid w:val="00876F10"/>
    <w:rsid w:val="00877661"/>
    <w:rsid w:val="0088080E"/>
    <w:rsid w:val="00882F20"/>
    <w:rsid w:val="008834D1"/>
    <w:rsid w:val="008843FF"/>
    <w:rsid w:val="00884765"/>
    <w:rsid w:val="00885658"/>
    <w:rsid w:val="00885824"/>
    <w:rsid w:val="00885DA9"/>
    <w:rsid w:val="008869CE"/>
    <w:rsid w:val="00886D8C"/>
    <w:rsid w:val="0089315C"/>
    <w:rsid w:val="008948B7"/>
    <w:rsid w:val="00896D1D"/>
    <w:rsid w:val="008A14BE"/>
    <w:rsid w:val="008A6986"/>
    <w:rsid w:val="008A6BC0"/>
    <w:rsid w:val="008B0D5B"/>
    <w:rsid w:val="008B0D6C"/>
    <w:rsid w:val="008B1944"/>
    <w:rsid w:val="008B3214"/>
    <w:rsid w:val="008B3F20"/>
    <w:rsid w:val="008B6D00"/>
    <w:rsid w:val="008C00B1"/>
    <w:rsid w:val="008C2B40"/>
    <w:rsid w:val="008C78EE"/>
    <w:rsid w:val="008C7C03"/>
    <w:rsid w:val="008D14AD"/>
    <w:rsid w:val="008D1922"/>
    <w:rsid w:val="008D1D86"/>
    <w:rsid w:val="008D2D03"/>
    <w:rsid w:val="008D4030"/>
    <w:rsid w:val="008D56F1"/>
    <w:rsid w:val="008D6647"/>
    <w:rsid w:val="008D7ACF"/>
    <w:rsid w:val="008E049F"/>
    <w:rsid w:val="008E3884"/>
    <w:rsid w:val="008E61D0"/>
    <w:rsid w:val="008E6871"/>
    <w:rsid w:val="008E6BF3"/>
    <w:rsid w:val="008E7EA4"/>
    <w:rsid w:val="008F0F13"/>
    <w:rsid w:val="008F2A14"/>
    <w:rsid w:val="008F3AC2"/>
    <w:rsid w:val="008F3EB6"/>
    <w:rsid w:val="008F4759"/>
    <w:rsid w:val="008F5DD1"/>
    <w:rsid w:val="008F5F1C"/>
    <w:rsid w:val="0090311E"/>
    <w:rsid w:val="0090338D"/>
    <w:rsid w:val="00903E62"/>
    <w:rsid w:val="0090476F"/>
    <w:rsid w:val="009140FA"/>
    <w:rsid w:val="00914E14"/>
    <w:rsid w:val="0091604A"/>
    <w:rsid w:val="0091606E"/>
    <w:rsid w:val="0091633F"/>
    <w:rsid w:val="009174A1"/>
    <w:rsid w:val="00917E1C"/>
    <w:rsid w:val="00921AF2"/>
    <w:rsid w:val="00925D97"/>
    <w:rsid w:val="00925EC5"/>
    <w:rsid w:val="00926AE2"/>
    <w:rsid w:val="009273DA"/>
    <w:rsid w:val="00930912"/>
    <w:rsid w:val="00932401"/>
    <w:rsid w:val="00932D62"/>
    <w:rsid w:val="00933A14"/>
    <w:rsid w:val="009409D6"/>
    <w:rsid w:val="009429BC"/>
    <w:rsid w:val="009439F2"/>
    <w:rsid w:val="00943FFB"/>
    <w:rsid w:val="00944819"/>
    <w:rsid w:val="009450F1"/>
    <w:rsid w:val="00945EDE"/>
    <w:rsid w:val="009472D0"/>
    <w:rsid w:val="009519FB"/>
    <w:rsid w:val="00952509"/>
    <w:rsid w:val="00953ADC"/>
    <w:rsid w:val="00956937"/>
    <w:rsid w:val="00962272"/>
    <w:rsid w:val="00962693"/>
    <w:rsid w:val="00964326"/>
    <w:rsid w:val="00966F16"/>
    <w:rsid w:val="00967CD4"/>
    <w:rsid w:val="00967F53"/>
    <w:rsid w:val="00970D16"/>
    <w:rsid w:val="009728A4"/>
    <w:rsid w:val="0097300D"/>
    <w:rsid w:val="00973A90"/>
    <w:rsid w:val="00974AC5"/>
    <w:rsid w:val="00976EDC"/>
    <w:rsid w:val="00980F7C"/>
    <w:rsid w:val="00982FD5"/>
    <w:rsid w:val="009831C9"/>
    <w:rsid w:val="00984386"/>
    <w:rsid w:val="00985131"/>
    <w:rsid w:val="009854D4"/>
    <w:rsid w:val="0099043C"/>
    <w:rsid w:val="00995C0C"/>
    <w:rsid w:val="009962AC"/>
    <w:rsid w:val="0099634E"/>
    <w:rsid w:val="00996697"/>
    <w:rsid w:val="009970B0"/>
    <w:rsid w:val="009974E8"/>
    <w:rsid w:val="009A067A"/>
    <w:rsid w:val="009A4100"/>
    <w:rsid w:val="009A46A1"/>
    <w:rsid w:val="009A49FA"/>
    <w:rsid w:val="009A7542"/>
    <w:rsid w:val="009B006D"/>
    <w:rsid w:val="009B0417"/>
    <w:rsid w:val="009B1528"/>
    <w:rsid w:val="009B697C"/>
    <w:rsid w:val="009B7024"/>
    <w:rsid w:val="009B7DA8"/>
    <w:rsid w:val="009C14F7"/>
    <w:rsid w:val="009C4264"/>
    <w:rsid w:val="009C4E13"/>
    <w:rsid w:val="009C58D8"/>
    <w:rsid w:val="009D372A"/>
    <w:rsid w:val="009D3DF1"/>
    <w:rsid w:val="009D59FB"/>
    <w:rsid w:val="009D5FDC"/>
    <w:rsid w:val="009D71AA"/>
    <w:rsid w:val="009E139B"/>
    <w:rsid w:val="009E2A7C"/>
    <w:rsid w:val="009E2E9D"/>
    <w:rsid w:val="009E4D22"/>
    <w:rsid w:val="009E6756"/>
    <w:rsid w:val="009E7B4D"/>
    <w:rsid w:val="009F37B6"/>
    <w:rsid w:val="009F3A9E"/>
    <w:rsid w:val="009F4E4E"/>
    <w:rsid w:val="009F53BF"/>
    <w:rsid w:val="00A033CA"/>
    <w:rsid w:val="00A03FD3"/>
    <w:rsid w:val="00A05DA4"/>
    <w:rsid w:val="00A064AA"/>
    <w:rsid w:val="00A076E1"/>
    <w:rsid w:val="00A14230"/>
    <w:rsid w:val="00A157D5"/>
    <w:rsid w:val="00A160CB"/>
    <w:rsid w:val="00A23B59"/>
    <w:rsid w:val="00A24D60"/>
    <w:rsid w:val="00A253E5"/>
    <w:rsid w:val="00A30114"/>
    <w:rsid w:val="00A31C7E"/>
    <w:rsid w:val="00A33B13"/>
    <w:rsid w:val="00A41651"/>
    <w:rsid w:val="00A42617"/>
    <w:rsid w:val="00A45558"/>
    <w:rsid w:val="00A507CA"/>
    <w:rsid w:val="00A50AA5"/>
    <w:rsid w:val="00A5475F"/>
    <w:rsid w:val="00A550DC"/>
    <w:rsid w:val="00A60E8A"/>
    <w:rsid w:val="00A615E3"/>
    <w:rsid w:val="00A7263F"/>
    <w:rsid w:val="00A7393B"/>
    <w:rsid w:val="00A80DFC"/>
    <w:rsid w:val="00A80FCD"/>
    <w:rsid w:val="00A82B64"/>
    <w:rsid w:val="00A83A10"/>
    <w:rsid w:val="00A83A96"/>
    <w:rsid w:val="00A83D1C"/>
    <w:rsid w:val="00A8549F"/>
    <w:rsid w:val="00A924E8"/>
    <w:rsid w:val="00A934EA"/>
    <w:rsid w:val="00A962F9"/>
    <w:rsid w:val="00AA02C1"/>
    <w:rsid w:val="00AA0C18"/>
    <w:rsid w:val="00AA2AE3"/>
    <w:rsid w:val="00AA3155"/>
    <w:rsid w:val="00AA4A3E"/>
    <w:rsid w:val="00AA6018"/>
    <w:rsid w:val="00AA7F2D"/>
    <w:rsid w:val="00AB0A4A"/>
    <w:rsid w:val="00AB1CCC"/>
    <w:rsid w:val="00AB2CC6"/>
    <w:rsid w:val="00AB2D93"/>
    <w:rsid w:val="00AB5169"/>
    <w:rsid w:val="00AB6252"/>
    <w:rsid w:val="00AB73AD"/>
    <w:rsid w:val="00AC08D2"/>
    <w:rsid w:val="00AC0C4C"/>
    <w:rsid w:val="00AC110D"/>
    <w:rsid w:val="00AC7BB3"/>
    <w:rsid w:val="00AD13D8"/>
    <w:rsid w:val="00AD4402"/>
    <w:rsid w:val="00AD70BE"/>
    <w:rsid w:val="00AD7AE8"/>
    <w:rsid w:val="00AE10FF"/>
    <w:rsid w:val="00AE5D0F"/>
    <w:rsid w:val="00AE708F"/>
    <w:rsid w:val="00AE74FF"/>
    <w:rsid w:val="00AF0079"/>
    <w:rsid w:val="00AF0374"/>
    <w:rsid w:val="00AF1D7F"/>
    <w:rsid w:val="00AF48E7"/>
    <w:rsid w:val="00AF558C"/>
    <w:rsid w:val="00AF5F2C"/>
    <w:rsid w:val="00AF69BC"/>
    <w:rsid w:val="00B01AA1"/>
    <w:rsid w:val="00B106F2"/>
    <w:rsid w:val="00B10DF4"/>
    <w:rsid w:val="00B12801"/>
    <w:rsid w:val="00B15D0D"/>
    <w:rsid w:val="00B16D05"/>
    <w:rsid w:val="00B16F62"/>
    <w:rsid w:val="00B170FA"/>
    <w:rsid w:val="00B17E19"/>
    <w:rsid w:val="00B21D52"/>
    <w:rsid w:val="00B22909"/>
    <w:rsid w:val="00B22EA1"/>
    <w:rsid w:val="00B22ED5"/>
    <w:rsid w:val="00B245D7"/>
    <w:rsid w:val="00B251DB"/>
    <w:rsid w:val="00B315F7"/>
    <w:rsid w:val="00B33B2B"/>
    <w:rsid w:val="00B3610E"/>
    <w:rsid w:val="00B3645E"/>
    <w:rsid w:val="00B4324F"/>
    <w:rsid w:val="00B43EEE"/>
    <w:rsid w:val="00B46E2E"/>
    <w:rsid w:val="00B46F43"/>
    <w:rsid w:val="00B475FE"/>
    <w:rsid w:val="00B47F2E"/>
    <w:rsid w:val="00B504D5"/>
    <w:rsid w:val="00B513FC"/>
    <w:rsid w:val="00B557C5"/>
    <w:rsid w:val="00B55CEE"/>
    <w:rsid w:val="00B570D5"/>
    <w:rsid w:val="00B62A7F"/>
    <w:rsid w:val="00B63A15"/>
    <w:rsid w:val="00B648BC"/>
    <w:rsid w:val="00B65EB5"/>
    <w:rsid w:val="00B675E6"/>
    <w:rsid w:val="00B67965"/>
    <w:rsid w:val="00B722E3"/>
    <w:rsid w:val="00B72DDC"/>
    <w:rsid w:val="00B755B3"/>
    <w:rsid w:val="00B759FC"/>
    <w:rsid w:val="00B75A1F"/>
    <w:rsid w:val="00B76506"/>
    <w:rsid w:val="00B80AF4"/>
    <w:rsid w:val="00B81964"/>
    <w:rsid w:val="00B845BB"/>
    <w:rsid w:val="00B84AED"/>
    <w:rsid w:val="00B85443"/>
    <w:rsid w:val="00B95199"/>
    <w:rsid w:val="00B96746"/>
    <w:rsid w:val="00B97238"/>
    <w:rsid w:val="00B97424"/>
    <w:rsid w:val="00BA14E1"/>
    <w:rsid w:val="00BA255F"/>
    <w:rsid w:val="00BA432B"/>
    <w:rsid w:val="00BA5725"/>
    <w:rsid w:val="00BA6A9D"/>
    <w:rsid w:val="00BA7BF9"/>
    <w:rsid w:val="00BB538A"/>
    <w:rsid w:val="00BB66C0"/>
    <w:rsid w:val="00BC02A8"/>
    <w:rsid w:val="00BC0490"/>
    <w:rsid w:val="00BC1C95"/>
    <w:rsid w:val="00BC24D3"/>
    <w:rsid w:val="00BC2B48"/>
    <w:rsid w:val="00BC47CA"/>
    <w:rsid w:val="00BC4F38"/>
    <w:rsid w:val="00BC6651"/>
    <w:rsid w:val="00BC6AAB"/>
    <w:rsid w:val="00BC6B6F"/>
    <w:rsid w:val="00BD01EE"/>
    <w:rsid w:val="00BD0AA2"/>
    <w:rsid w:val="00BD0F4B"/>
    <w:rsid w:val="00BD100B"/>
    <w:rsid w:val="00BD6F2C"/>
    <w:rsid w:val="00BD745E"/>
    <w:rsid w:val="00BE3301"/>
    <w:rsid w:val="00BE4A98"/>
    <w:rsid w:val="00BE4B90"/>
    <w:rsid w:val="00BE5D4C"/>
    <w:rsid w:val="00BE6040"/>
    <w:rsid w:val="00BE61CA"/>
    <w:rsid w:val="00BF785C"/>
    <w:rsid w:val="00C06D2E"/>
    <w:rsid w:val="00C11E22"/>
    <w:rsid w:val="00C129A1"/>
    <w:rsid w:val="00C138ED"/>
    <w:rsid w:val="00C13A98"/>
    <w:rsid w:val="00C13FD4"/>
    <w:rsid w:val="00C21C7C"/>
    <w:rsid w:val="00C2238A"/>
    <w:rsid w:val="00C24601"/>
    <w:rsid w:val="00C257CD"/>
    <w:rsid w:val="00C3073F"/>
    <w:rsid w:val="00C3286D"/>
    <w:rsid w:val="00C3339E"/>
    <w:rsid w:val="00C35244"/>
    <w:rsid w:val="00C36114"/>
    <w:rsid w:val="00C3625F"/>
    <w:rsid w:val="00C379DC"/>
    <w:rsid w:val="00C37BA0"/>
    <w:rsid w:val="00C41954"/>
    <w:rsid w:val="00C42F31"/>
    <w:rsid w:val="00C44FC7"/>
    <w:rsid w:val="00C46A22"/>
    <w:rsid w:val="00C46B00"/>
    <w:rsid w:val="00C4755F"/>
    <w:rsid w:val="00C514A6"/>
    <w:rsid w:val="00C518D3"/>
    <w:rsid w:val="00C554D9"/>
    <w:rsid w:val="00C56250"/>
    <w:rsid w:val="00C6193B"/>
    <w:rsid w:val="00C6247E"/>
    <w:rsid w:val="00C678F8"/>
    <w:rsid w:val="00C67CF0"/>
    <w:rsid w:val="00C75B4C"/>
    <w:rsid w:val="00C77F82"/>
    <w:rsid w:val="00C80413"/>
    <w:rsid w:val="00C81C4E"/>
    <w:rsid w:val="00C821F9"/>
    <w:rsid w:val="00C82FEF"/>
    <w:rsid w:val="00C83F31"/>
    <w:rsid w:val="00C846B7"/>
    <w:rsid w:val="00C84EB1"/>
    <w:rsid w:val="00C91833"/>
    <w:rsid w:val="00C935BA"/>
    <w:rsid w:val="00C94914"/>
    <w:rsid w:val="00C97F34"/>
    <w:rsid w:val="00CA3275"/>
    <w:rsid w:val="00CA70DB"/>
    <w:rsid w:val="00CA7E3A"/>
    <w:rsid w:val="00CB0925"/>
    <w:rsid w:val="00CB4ED2"/>
    <w:rsid w:val="00CB72C6"/>
    <w:rsid w:val="00CC08B4"/>
    <w:rsid w:val="00CC475E"/>
    <w:rsid w:val="00CC51B4"/>
    <w:rsid w:val="00CD7926"/>
    <w:rsid w:val="00CD7C0C"/>
    <w:rsid w:val="00CE04A0"/>
    <w:rsid w:val="00CE3249"/>
    <w:rsid w:val="00CE5F07"/>
    <w:rsid w:val="00CE6827"/>
    <w:rsid w:val="00CE6C5D"/>
    <w:rsid w:val="00CE701A"/>
    <w:rsid w:val="00CF00EE"/>
    <w:rsid w:val="00CF2B8F"/>
    <w:rsid w:val="00CF3F6F"/>
    <w:rsid w:val="00CF54DE"/>
    <w:rsid w:val="00D00B6E"/>
    <w:rsid w:val="00D03057"/>
    <w:rsid w:val="00D030BB"/>
    <w:rsid w:val="00D03F68"/>
    <w:rsid w:val="00D05311"/>
    <w:rsid w:val="00D149AE"/>
    <w:rsid w:val="00D25E88"/>
    <w:rsid w:val="00D26BEB"/>
    <w:rsid w:val="00D2791A"/>
    <w:rsid w:val="00D30425"/>
    <w:rsid w:val="00D308FF"/>
    <w:rsid w:val="00D3369D"/>
    <w:rsid w:val="00D33B2E"/>
    <w:rsid w:val="00D342C7"/>
    <w:rsid w:val="00D36874"/>
    <w:rsid w:val="00D36E43"/>
    <w:rsid w:val="00D375BA"/>
    <w:rsid w:val="00D41867"/>
    <w:rsid w:val="00D435B0"/>
    <w:rsid w:val="00D45E8E"/>
    <w:rsid w:val="00D46149"/>
    <w:rsid w:val="00D477B8"/>
    <w:rsid w:val="00D52005"/>
    <w:rsid w:val="00D643CD"/>
    <w:rsid w:val="00D71B61"/>
    <w:rsid w:val="00D734A1"/>
    <w:rsid w:val="00D74EFE"/>
    <w:rsid w:val="00D75274"/>
    <w:rsid w:val="00D7640A"/>
    <w:rsid w:val="00D82662"/>
    <w:rsid w:val="00D8682D"/>
    <w:rsid w:val="00D91EAD"/>
    <w:rsid w:val="00D9244D"/>
    <w:rsid w:val="00D928D2"/>
    <w:rsid w:val="00D939D1"/>
    <w:rsid w:val="00DA3CCB"/>
    <w:rsid w:val="00DB0869"/>
    <w:rsid w:val="00DB3964"/>
    <w:rsid w:val="00DB4662"/>
    <w:rsid w:val="00DC0067"/>
    <w:rsid w:val="00DC3555"/>
    <w:rsid w:val="00DC3AFD"/>
    <w:rsid w:val="00DC51DC"/>
    <w:rsid w:val="00DC5AB3"/>
    <w:rsid w:val="00DC5CE6"/>
    <w:rsid w:val="00DC6212"/>
    <w:rsid w:val="00DD14E6"/>
    <w:rsid w:val="00DD16B1"/>
    <w:rsid w:val="00DD2D4F"/>
    <w:rsid w:val="00DD39EF"/>
    <w:rsid w:val="00DD4B99"/>
    <w:rsid w:val="00DD781C"/>
    <w:rsid w:val="00DE2175"/>
    <w:rsid w:val="00DE27D8"/>
    <w:rsid w:val="00DE29C3"/>
    <w:rsid w:val="00DE2B21"/>
    <w:rsid w:val="00DE3C79"/>
    <w:rsid w:val="00DE66C7"/>
    <w:rsid w:val="00E01197"/>
    <w:rsid w:val="00E01818"/>
    <w:rsid w:val="00E02B87"/>
    <w:rsid w:val="00E04B04"/>
    <w:rsid w:val="00E057F4"/>
    <w:rsid w:val="00E058AB"/>
    <w:rsid w:val="00E10EC5"/>
    <w:rsid w:val="00E1180C"/>
    <w:rsid w:val="00E12CE4"/>
    <w:rsid w:val="00E16274"/>
    <w:rsid w:val="00E177C8"/>
    <w:rsid w:val="00E216ED"/>
    <w:rsid w:val="00E23341"/>
    <w:rsid w:val="00E2511D"/>
    <w:rsid w:val="00E25F07"/>
    <w:rsid w:val="00E262F6"/>
    <w:rsid w:val="00E275E8"/>
    <w:rsid w:val="00E315CA"/>
    <w:rsid w:val="00E337AD"/>
    <w:rsid w:val="00E37D74"/>
    <w:rsid w:val="00E405E9"/>
    <w:rsid w:val="00E42211"/>
    <w:rsid w:val="00E4263D"/>
    <w:rsid w:val="00E523CE"/>
    <w:rsid w:val="00E5593E"/>
    <w:rsid w:val="00E565D4"/>
    <w:rsid w:val="00E5772A"/>
    <w:rsid w:val="00E57B9C"/>
    <w:rsid w:val="00E6077A"/>
    <w:rsid w:val="00E612EE"/>
    <w:rsid w:val="00E61518"/>
    <w:rsid w:val="00E631C8"/>
    <w:rsid w:val="00E643EC"/>
    <w:rsid w:val="00E66176"/>
    <w:rsid w:val="00E664B0"/>
    <w:rsid w:val="00E67BCF"/>
    <w:rsid w:val="00E704A4"/>
    <w:rsid w:val="00E71EA6"/>
    <w:rsid w:val="00E7336A"/>
    <w:rsid w:val="00E73C7A"/>
    <w:rsid w:val="00E75BD2"/>
    <w:rsid w:val="00E778A4"/>
    <w:rsid w:val="00E84429"/>
    <w:rsid w:val="00E9423D"/>
    <w:rsid w:val="00E96665"/>
    <w:rsid w:val="00E97433"/>
    <w:rsid w:val="00E97945"/>
    <w:rsid w:val="00EA28CE"/>
    <w:rsid w:val="00EA2CE2"/>
    <w:rsid w:val="00EA3017"/>
    <w:rsid w:val="00EA57A9"/>
    <w:rsid w:val="00EA5ABE"/>
    <w:rsid w:val="00EA7853"/>
    <w:rsid w:val="00EB0082"/>
    <w:rsid w:val="00EB1415"/>
    <w:rsid w:val="00EB17D3"/>
    <w:rsid w:val="00EB2734"/>
    <w:rsid w:val="00EB38EB"/>
    <w:rsid w:val="00EB3D2A"/>
    <w:rsid w:val="00EB5FC6"/>
    <w:rsid w:val="00EB789C"/>
    <w:rsid w:val="00EC1770"/>
    <w:rsid w:val="00EC24FF"/>
    <w:rsid w:val="00EC2630"/>
    <w:rsid w:val="00EC2AC7"/>
    <w:rsid w:val="00EC3DDB"/>
    <w:rsid w:val="00EC509D"/>
    <w:rsid w:val="00EC6D6A"/>
    <w:rsid w:val="00EC7493"/>
    <w:rsid w:val="00ED16DC"/>
    <w:rsid w:val="00ED2872"/>
    <w:rsid w:val="00ED6156"/>
    <w:rsid w:val="00EE0D0C"/>
    <w:rsid w:val="00EE132B"/>
    <w:rsid w:val="00EE1B95"/>
    <w:rsid w:val="00EE2700"/>
    <w:rsid w:val="00EE2B4B"/>
    <w:rsid w:val="00EE612E"/>
    <w:rsid w:val="00EE6421"/>
    <w:rsid w:val="00EE7025"/>
    <w:rsid w:val="00EE7895"/>
    <w:rsid w:val="00EE7FCA"/>
    <w:rsid w:val="00EF2FDD"/>
    <w:rsid w:val="00EF4710"/>
    <w:rsid w:val="00EF5C1D"/>
    <w:rsid w:val="00EF649A"/>
    <w:rsid w:val="00F02940"/>
    <w:rsid w:val="00F02E63"/>
    <w:rsid w:val="00F05766"/>
    <w:rsid w:val="00F05E3F"/>
    <w:rsid w:val="00F0627E"/>
    <w:rsid w:val="00F10824"/>
    <w:rsid w:val="00F12FC9"/>
    <w:rsid w:val="00F1483D"/>
    <w:rsid w:val="00F15B81"/>
    <w:rsid w:val="00F16988"/>
    <w:rsid w:val="00F21403"/>
    <w:rsid w:val="00F23BC3"/>
    <w:rsid w:val="00F26E6F"/>
    <w:rsid w:val="00F27E1E"/>
    <w:rsid w:val="00F32142"/>
    <w:rsid w:val="00F32D72"/>
    <w:rsid w:val="00F32EF3"/>
    <w:rsid w:val="00F339C6"/>
    <w:rsid w:val="00F34494"/>
    <w:rsid w:val="00F36AD5"/>
    <w:rsid w:val="00F45721"/>
    <w:rsid w:val="00F45F09"/>
    <w:rsid w:val="00F51125"/>
    <w:rsid w:val="00F51C16"/>
    <w:rsid w:val="00F6240A"/>
    <w:rsid w:val="00F631D8"/>
    <w:rsid w:val="00F641D2"/>
    <w:rsid w:val="00F6570F"/>
    <w:rsid w:val="00F67E02"/>
    <w:rsid w:val="00F70F39"/>
    <w:rsid w:val="00F72AE7"/>
    <w:rsid w:val="00F77C36"/>
    <w:rsid w:val="00F807D1"/>
    <w:rsid w:val="00F8091E"/>
    <w:rsid w:val="00F8763C"/>
    <w:rsid w:val="00F87B88"/>
    <w:rsid w:val="00F90AC6"/>
    <w:rsid w:val="00F93BD7"/>
    <w:rsid w:val="00F948FF"/>
    <w:rsid w:val="00F94DEA"/>
    <w:rsid w:val="00FA154E"/>
    <w:rsid w:val="00FA60E5"/>
    <w:rsid w:val="00FA7115"/>
    <w:rsid w:val="00FB01B9"/>
    <w:rsid w:val="00FB048F"/>
    <w:rsid w:val="00FB0B84"/>
    <w:rsid w:val="00FB2A63"/>
    <w:rsid w:val="00FB2D27"/>
    <w:rsid w:val="00FB403D"/>
    <w:rsid w:val="00FB4B46"/>
    <w:rsid w:val="00FB5F97"/>
    <w:rsid w:val="00FB63F7"/>
    <w:rsid w:val="00FB701A"/>
    <w:rsid w:val="00FB70E6"/>
    <w:rsid w:val="00FC030D"/>
    <w:rsid w:val="00FC051E"/>
    <w:rsid w:val="00FC2395"/>
    <w:rsid w:val="00FD06C1"/>
    <w:rsid w:val="00FD077F"/>
    <w:rsid w:val="00FD2364"/>
    <w:rsid w:val="00FD75F4"/>
    <w:rsid w:val="00FD7C01"/>
    <w:rsid w:val="00FE27EA"/>
    <w:rsid w:val="00FE3320"/>
    <w:rsid w:val="00FE3ADD"/>
    <w:rsid w:val="00FE4D96"/>
    <w:rsid w:val="00FE5F83"/>
    <w:rsid w:val="00FE66F7"/>
    <w:rsid w:val="00FE68DA"/>
    <w:rsid w:val="00FE7593"/>
    <w:rsid w:val="00FF13A6"/>
    <w:rsid w:val="00FF15FC"/>
    <w:rsid w:val="00FF2801"/>
    <w:rsid w:val="00FF3B12"/>
    <w:rsid w:val="00FF4186"/>
    <w:rsid w:val="06E9C888"/>
    <w:rsid w:val="080129DA"/>
    <w:rsid w:val="11390E7D"/>
    <w:rsid w:val="1285CF5A"/>
    <w:rsid w:val="14CE88A3"/>
    <w:rsid w:val="1B2A95D9"/>
    <w:rsid w:val="1CDC151C"/>
    <w:rsid w:val="1F28974F"/>
    <w:rsid w:val="2210F277"/>
    <w:rsid w:val="24A1CB6B"/>
    <w:rsid w:val="2A68B76D"/>
    <w:rsid w:val="2D7E3FF7"/>
    <w:rsid w:val="315B817E"/>
    <w:rsid w:val="3580EFCF"/>
    <w:rsid w:val="368875E7"/>
    <w:rsid w:val="402E2B23"/>
    <w:rsid w:val="489F1FD0"/>
    <w:rsid w:val="4A8470E5"/>
    <w:rsid w:val="540C7DA1"/>
    <w:rsid w:val="566F8459"/>
    <w:rsid w:val="5B18CF54"/>
    <w:rsid w:val="600F7C32"/>
    <w:rsid w:val="64AD2588"/>
    <w:rsid w:val="659DCC6E"/>
    <w:rsid w:val="6B195FF9"/>
    <w:rsid w:val="6CE77413"/>
    <w:rsid w:val="6D959251"/>
    <w:rsid w:val="6E12A8A5"/>
    <w:rsid w:val="78C721FC"/>
    <w:rsid w:val="7BA8C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98507"/>
  <w15:chartTrackingRefBased/>
  <w15:docId w15:val="{0C3016CB-5E8F-4958-B40C-21FD2402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16"/>
    <w:pPr>
      <w:spacing w:line="256" w:lineRule="auto"/>
    </w:pPr>
    <w:rPr>
      <w:rFonts w:asciiTheme="minorHAnsi" w:hAnsiTheme="minorHAnsi"/>
      <w:sz w:val="22"/>
      <w:szCs w:val="22"/>
    </w:rPr>
  </w:style>
  <w:style w:type="paragraph" w:styleId="Heading1">
    <w:name w:val="heading 1"/>
    <w:basedOn w:val="Normal"/>
    <w:next w:val="Normal"/>
    <w:link w:val="Heading1Char"/>
    <w:uiPriority w:val="9"/>
    <w:rsid w:val="002456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456A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6A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12CE4"/>
    <w:pPr>
      <w:spacing w:after="360" w:line="240" w:lineRule="auto"/>
      <w:contextualSpacing/>
    </w:pPr>
    <w:rPr>
      <w:rFonts w:ascii="Adobe Caslon Pro" w:eastAsiaTheme="majorEastAsia" w:hAnsi="Adobe Caslon Pro" w:cstheme="majorBidi"/>
      <w:color w:val="13406A"/>
      <w:spacing w:val="-10"/>
      <w:kern w:val="28"/>
      <w:sz w:val="44"/>
      <w:szCs w:val="56"/>
    </w:rPr>
  </w:style>
  <w:style w:type="character" w:customStyle="1" w:styleId="TitleChar">
    <w:name w:val="Title Char"/>
    <w:basedOn w:val="DefaultParagraphFont"/>
    <w:link w:val="Title"/>
    <w:uiPriority w:val="10"/>
    <w:rsid w:val="00E12CE4"/>
    <w:rPr>
      <w:rFonts w:ascii="Adobe Caslon Pro" w:eastAsiaTheme="majorEastAsia" w:hAnsi="Adobe Caslon Pro" w:cstheme="majorBidi"/>
      <w:color w:val="13406A"/>
      <w:spacing w:val="-10"/>
      <w:kern w:val="28"/>
      <w:sz w:val="44"/>
      <w:szCs w:val="56"/>
    </w:rPr>
  </w:style>
  <w:style w:type="paragraph" w:styleId="Subtitle">
    <w:name w:val="Subtitle"/>
    <w:basedOn w:val="Normal"/>
    <w:next w:val="Normal"/>
    <w:link w:val="SubtitleChar"/>
    <w:uiPriority w:val="11"/>
    <w:rsid w:val="00BB66C0"/>
    <w:pPr>
      <w:numPr>
        <w:ilvl w:val="1"/>
      </w:numPr>
      <w:spacing w:line="240" w:lineRule="auto"/>
    </w:pPr>
    <w:rPr>
      <w:rFonts w:ascii="Adobe Caslon Pro" w:eastAsiaTheme="minorEastAsia" w:hAnsi="Adobe Caslon Pro"/>
      <w:color w:val="13406A"/>
      <w:spacing w:val="15"/>
      <w:sz w:val="32"/>
      <w:szCs w:val="24"/>
    </w:rPr>
  </w:style>
  <w:style w:type="character" w:customStyle="1" w:styleId="SubtitleChar">
    <w:name w:val="Subtitle Char"/>
    <w:basedOn w:val="DefaultParagraphFont"/>
    <w:link w:val="Subtitle"/>
    <w:uiPriority w:val="11"/>
    <w:rsid w:val="00BB66C0"/>
    <w:rPr>
      <w:rFonts w:ascii="Adobe Caslon Pro" w:eastAsiaTheme="minorEastAsia" w:hAnsi="Adobe Caslon Pro"/>
      <w:color w:val="13406A"/>
      <w:spacing w:val="15"/>
      <w:sz w:val="32"/>
    </w:rPr>
  </w:style>
  <w:style w:type="paragraph" w:styleId="Header">
    <w:name w:val="header"/>
    <w:basedOn w:val="Normal"/>
    <w:link w:val="Head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E12CE4"/>
    <w:rPr>
      <w:rFonts w:asciiTheme="minorHAnsi" w:hAnsiTheme="minorHAnsi"/>
    </w:rPr>
  </w:style>
  <w:style w:type="paragraph" w:styleId="Footer">
    <w:name w:val="footer"/>
    <w:basedOn w:val="Normal"/>
    <w:link w:val="Foot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12CE4"/>
    <w:rPr>
      <w:rFonts w:asciiTheme="minorHAnsi" w:hAnsiTheme="minorHAnsi"/>
    </w:rPr>
  </w:style>
  <w:style w:type="paragraph" w:customStyle="1" w:styleId="Bodysansserif">
    <w:name w:val="Body sans serif"/>
    <w:qFormat/>
    <w:rsid w:val="004E2570"/>
    <w:pPr>
      <w:spacing w:after="100" w:afterAutospacing="1" w:line="276" w:lineRule="auto"/>
    </w:pPr>
    <w:rPr>
      <w:rFonts w:ascii="Adobe Caslon Pro" w:eastAsiaTheme="minorEastAsia" w:hAnsi="Adobe Caslon Pro"/>
      <w:sz w:val="22"/>
    </w:rPr>
  </w:style>
  <w:style w:type="paragraph" w:customStyle="1" w:styleId="Heading1ALT">
    <w:name w:val="Heading 1 ALT"/>
    <w:basedOn w:val="Heading1"/>
    <w:next w:val="Bodysansserif"/>
    <w:qFormat/>
    <w:rsid w:val="00B96746"/>
    <w:pPr>
      <w:keepNext w:val="0"/>
      <w:keepLines w:val="0"/>
      <w:spacing w:before="480" w:after="240"/>
      <w:contextualSpacing/>
    </w:pPr>
    <w:rPr>
      <w:rFonts w:ascii="Adobe Caslon Pro" w:hAnsi="Adobe Caslon Pro"/>
      <w:b/>
      <w:bCs/>
      <w:caps/>
      <w:color w:val="13406A"/>
      <w:sz w:val="28"/>
      <w:szCs w:val="28"/>
    </w:rPr>
  </w:style>
  <w:style w:type="paragraph" w:customStyle="1" w:styleId="Heading2ALT">
    <w:name w:val="Heading 2 ALT"/>
    <w:basedOn w:val="Heading2"/>
    <w:next w:val="Bodysansserif"/>
    <w:qFormat/>
    <w:rsid w:val="00BE3301"/>
    <w:pPr>
      <w:keepNext w:val="0"/>
      <w:keepLines w:val="0"/>
      <w:spacing w:before="480" w:after="120"/>
    </w:pPr>
    <w:rPr>
      <w:rFonts w:ascii="Adobe Caslon Pro" w:hAnsi="Adobe Caslon Pro"/>
      <w:b/>
      <w:bCs/>
      <w:caps/>
      <w:color w:val="13406A"/>
      <w:sz w:val="24"/>
    </w:rPr>
  </w:style>
  <w:style w:type="paragraph" w:customStyle="1" w:styleId="Heading3ALT">
    <w:name w:val="Heading 3 ALT"/>
    <w:basedOn w:val="Heading3"/>
    <w:next w:val="Bodysansserif"/>
    <w:qFormat/>
    <w:rsid w:val="00BE3301"/>
    <w:pPr>
      <w:keepNext w:val="0"/>
      <w:keepLines w:val="0"/>
      <w:spacing w:before="360"/>
    </w:pPr>
    <w:rPr>
      <w:rFonts w:ascii="Adobe Caslon Pro" w:hAnsi="Adobe Caslon Pro"/>
      <w:b/>
      <w:bCs/>
      <w:color w:val="13406A"/>
      <w:szCs w:val="22"/>
    </w:rPr>
  </w:style>
  <w:style w:type="character" w:customStyle="1" w:styleId="Heading1Char">
    <w:name w:val="Heading 1 Char"/>
    <w:basedOn w:val="DefaultParagraphFont"/>
    <w:link w:val="Heading1"/>
    <w:uiPriority w:val="9"/>
    <w:rsid w:val="00245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56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56AF"/>
    <w:rPr>
      <w:rFonts w:asciiTheme="majorHAnsi" w:eastAsiaTheme="majorEastAsia" w:hAnsiTheme="majorHAnsi" w:cstheme="majorBidi"/>
      <w:color w:val="1F3763" w:themeColor="accent1" w:themeShade="7F"/>
      <w:szCs w:val="24"/>
    </w:rPr>
  </w:style>
  <w:style w:type="character" w:styleId="SubtleReference">
    <w:name w:val="Subtle Reference"/>
    <w:basedOn w:val="DefaultParagraphFont"/>
    <w:uiPriority w:val="31"/>
    <w:rsid w:val="0034184C"/>
    <w:rPr>
      <w:smallCaps/>
      <w:color w:val="5A5A5A" w:themeColor="text1" w:themeTint="A5"/>
    </w:rPr>
  </w:style>
  <w:style w:type="table" w:styleId="TableGrid">
    <w:name w:val="Table Grid"/>
    <w:basedOn w:val="TableNormal"/>
    <w:uiPriority w:val="39"/>
    <w:rsid w:val="00A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7169C1"/>
    <w:pPr>
      <w:spacing w:after="0" w:line="240" w:lineRule="auto"/>
    </w:pPr>
    <w:rPr>
      <w:rFonts w:ascii="Adobe Caslon Pro" w:hAnsi="Adobe Caslon Pro"/>
      <w:sz w:val="20"/>
    </w:rPr>
    <w:tblPr/>
  </w:style>
  <w:style w:type="paragraph" w:styleId="Caption">
    <w:name w:val="caption"/>
    <w:basedOn w:val="Normal"/>
    <w:next w:val="Normal"/>
    <w:uiPriority w:val="35"/>
    <w:unhideWhenUsed/>
    <w:qFormat/>
    <w:rsid w:val="007169C1"/>
    <w:pPr>
      <w:spacing w:after="200" w:line="240" w:lineRule="auto"/>
    </w:pPr>
    <w:rPr>
      <w:rFonts w:ascii="Adobe Caslon Pro" w:hAnsi="Adobe Caslon Pro"/>
      <w:iCs/>
      <w:color w:val="44546A" w:themeColor="text2"/>
      <w:sz w:val="20"/>
      <w:szCs w:val="18"/>
    </w:rPr>
  </w:style>
  <w:style w:type="paragraph" w:styleId="NormalWeb">
    <w:name w:val="Normal (Web)"/>
    <w:basedOn w:val="Normal"/>
    <w:uiPriority w:val="99"/>
    <w:semiHidden/>
    <w:unhideWhenUsed/>
    <w:rsid w:val="005034CD"/>
    <w:pPr>
      <w:spacing w:before="100" w:beforeAutospacing="1" w:after="100" w:afterAutospacing="1" w:line="240" w:lineRule="auto"/>
    </w:pPr>
    <w:rPr>
      <w:rFonts w:ascii="Adobe Caslon Pro" w:hAnsi="Adobe Caslon Pro" w:cs="Adobe Caslon Pro"/>
    </w:rPr>
  </w:style>
  <w:style w:type="character" w:styleId="CommentReference">
    <w:name w:val="annotation reference"/>
    <w:basedOn w:val="DefaultParagraphFont"/>
    <w:uiPriority w:val="99"/>
    <w:semiHidden/>
    <w:unhideWhenUsed/>
    <w:rsid w:val="00962272"/>
    <w:rPr>
      <w:sz w:val="16"/>
      <w:szCs w:val="16"/>
    </w:rPr>
  </w:style>
  <w:style w:type="paragraph" w:styleId="CommentText">
    <w:name w:val="annotation text"/>
    <w:basedOn w:val="Normal"/>
    <w:link w:val="CommentTextChar"/>
    <w:uiPriority w:val="99"/>
    <w:unhideWhenUsed/>
    <w:rsid w:val="00962272"/>
    <w:pPr>
      <w:spacing w:line="240" w:lineRule="auto"/>
    </w:pPr>
    <w:rPr>
      <w:sz w:val="20"/>
      <w:szCs w:val="20"/>
    </w:rPr>
  </w:style>
  <w:style w:type="character" w:customStyle="1" w:styleId="CommentTextChar">
    <w:name w:val="Comment Text Char"/>
    <w:basedOn w:val="DefaultParagraphFont"/>
    <w:link w:val="CommentText"/>
    <w:uiPriority w:val="99"/>
    <w:rsid w:val="0096227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62272"/>
    <w:rPr>
      <w:b/>
      <w:bCs/>
    </w:rPr>
  </w:style>
  <w:style w:type="character" w:customStyle="1" w:styleId="CommentSubjectChar">
    <w:name w:val="Comment Subject Char"/>
    <w:basedOn w:val="CommentTextChar"/>
    <w:link w:val="CommentSubject"/>
    <w:uiPriority w:val="99"/>
    <w:semiHidden/>
    <w:rsid w:val="00962272"/>
    <w:rPr>
      <w:rFonts w:asciiTheme="minorHAnsi" w:hAnsiTheme="minorHAnsi"/>
      <w:b/>
      <w:bCs/>
      <w:sz w:val="20"/>
      <w:szCs w:val="20"/>
    </w:rPr>
  </w:style>
  <w:style w:type="table" w:styleId="ListTable7Colorful">
    <w:name w:val="List Table 7 Colorful"/>
    <w:basedOn w:val="TableNormal"/>
    <w:uiPriority w:val="52"/>
    <w:rsid w:val="007D60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A739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FA7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115"/>
    <w:rPr>
      <w:rFonts w:asciiTheme="minorHAnsi" w:hAnsiTheme="minorHAnsi"/>
      <w:sz w:val="20"/>
      <w:szCs w:val="20"/>
    </w:rPr>
  </w:style>
  <w:style w:type="character" w:styleId="FootnoteReference">
    <w:name w:val="footnote reference"/>
    <w:basedOn w:val="DefaultParagraphFont"/>
    <w:uiPriority w:val="99"/>
    <w:semiHidden/>
    <w:unhideWhenUsed/>
    <w:rsid w:val="00FA7115"/>
    <w:rPr>
      <w:vertAlign w:val="superscript"/>
    </w:rPr>
  </w:style>
  <w:style w:type="paragraph" w:styleId="BalloonText">
    <w:name w:val="Balloon Text"/>
    <w:basedOn w:val="Normal"/>
    <w:link w:val="BalloonTextChar"/>
    <w:uiPriority w:val="99"/>
    <w:semiHidden/>
    <w:unhideWhenUsed/>
    <w:rsid w:val="003F42C1"/>
    <w:pPr>
      <w:spacing w:after="0" w:line="240" w:lineRule="auto"/>
    </w:pPr>
    <w:rPr>
      <w:rFonts w:ascii="Adobe Caslon Pro" w:hAnsi="Adobe Caslon Pro" w:cs="Adobe Caslon Pro"/>
      <w:sz w:val="18"/>
      <w:szCs w:val="18"/>
    </w:rPr>
  </w:style>
  <w:style w:type="character" w:customStyle="1" w:styleId="BalloonTextChar">
    <w:name w:val="Balloon Text Char"/>
    <w:basedOn w:val="DefaultParagraphFont"/>
    <w:link w:val="BalloonText"/>
    <w:uiPriority w:val="99"/>
    <w:semiHidden/>
    <w:rsid w:val="003F42C1"/>
    <w:rPr>
      <w:rFonts w:ascii="Adobe Caslon Pro" w:hAnsi="Adobe Caslon Pro" w:cs="Adobe Caslon Pro"/>
      <w:sz w:val="18"/>
      <w:szCs w:val="18"/>
    </w:rPr>
  </w:style>
  <w:style w:type="table" w:styleId="ListTable4">
    <w:name w:val="List Table 4"/>
    <w:basedOn w:val="TableNormal"/>
    <w:uiPriority w:val="49"/>
    <w:rsid w:val="00B16F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C051E"/>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60">
      <w:bodyDiv w:val="1"/>
      <w:marLeft w:val="0"/>
      <w:marRight w:val="0"/>
      <w:marTop w:val="0"/>
      <w:marBottom w:val="0"/>
      <w:divBdr>
        <w:top w:val="none" w:sz="0" w:space="0" w:color="auto"/>
        <w:left w:val="none" w:sz="0" w:space="0" w:color="auto"/>
        <w:bottom w:val="none" w:sz="0" w:space="0" w:color="auto"/>
        <w:right w:val="none" w:sz="0" w:space="0" w:color="auto"/>
      </w:divBdr>
    </w:div>
    <w:div w:id="121845536">
      <w:bodyDiv w:val="1"/>
      <w:marLeft w:val="0"/>
      <w:marRight w:val="0"/>
      <w:marTop w:val="0"/>
      <w:marBottom w:val="0"/>
      <w:divBdr>
        <w:top w:val="none" w:sz="0" w:space="0" w:color="auto"/>
        <w:left w:val="none" w:sz="0" w:space="0" w:color="auto"/>
        <w:bottom w:val="none" w:sz="0" w:space="0" w:color="auto"/>
        <w:right w:val="none" w:sz="0" w:space="0" w:color="auto"/>
      </w:divBdr>
      <w:divsChild>
        <w:div w:id="756828752">
          <w:marLeft w:val="720"/>
          <w:marRight w:val="0"/>
          <w:marTop w:val="134"/>
          <w:marBottom w:val="0"/>
          <w:divBdr>
            <w:top w:val="none" w:sz="0" w:space="0" w:color="auto"/>
            <w:left w:val="none" w:sz="0" w:space="0" w:color="auto"/>
            <w:bottom w:val="none" w:sz="0" w:space="0" w:color="auto"/>
            <w:right w:val="none" w:sz="0" w:space="0" w:color="auto"/>
          </w:divBdr>
        </w:div>
      </w:divsChild>
    </w:div>
    <w:div w:id="223177443">
      <w:bodyDiv w:val="1"/>
      <w:marLeft w:val="0"/>
      <w:marRight w:val="0"/>
      <w:marTop w:val="0"/>
      <w:marBottom w:val="0"/>
      <w:divBdr>
        <w:top w:val="none" w:sz="0" w:space="0" w:color="auto"/>
        <w:left w:val="none" w:sz="0" w:space="0" w:color="auto"/>
        <w:bottom w:val="none" w:sz="0" w:space="0" w:color="auto"/>
        <w:right w:val="none" w:sz="0" w:space="0" w:color="auto"/>
      </w:divBdr>
      <w:divsChild>
        <w:div w:id="1071587618">
          <w:marLeft w:val="576"/>
          <w:marRight w:val="0"/>
          <w:marTop w:val="80"/>
          <w:marBottom w:val="0"/>
          <w:divBdr>
            <w:top w:val="none" w:sz="0" w:space="0" w:color="auto"/>
            <w:left w:val="none" w:sz="0" w:space="0" w:color="auto"/>
            <w:bottom w:val="none" w:sz="0" w:space="0" w:color="auto"/>
            <w:right w:val="none" w:sz="0" w:space="0" w:color="auto"/>
          </w:divBdr>
        </w:div>
        <w:div w:id="2034259704">
          <w:marLeft w:val="576"/>
          <w:marRight w:val="0"/>
          <w:marTop w:val="80"/>
          <w:marBottom w:val="0"/>
          <w:divBdr>
            <w:top w:val="none" w:sz="0" w:space="0" w:color="auto"/>
            <w:left w:val="none" w:sz="0" w:space="0" w:color="auto"/>
            <w:bottom w:val="none" w:sz="0" w:space="0" w:color="auto"/>
            <w:right w:val="none" w:sz="0" w:space="0" w:color="auto"/>
          </w:divBdr>
        </w:div>
      </w:divsChild>
    </w:div>
    <w:div w:id="231165969">
      <w:bodyDiv w:val="1"/>
      <w:marLeft w:val="0"/>
      <w:marRight w:val="0"/>
      <w:marTop w:val="0"/>
      <w:marBottom w:val="0"/>
      <w:divBdr>
        <w:top w:val="none" w:sz="0" w:space="0" w:color="auto"/>
        <w:left w:val="none" w:sz="0" w:space="0" w:color="auto"/>
        <w:bottom w:val="none" w:sz="0" w:space="0" w:color="auto"/>
        <w:right w:val="none" w:sz="0" w:space="0" w:color="auto"/>
      </w:divBdr>
      <w:divsChild>
        <w:div w:id="1251701397">
          <w:marLeft w:val="288"/>
          <w:marRight w:val="0"/>
          <w:marTop w:val="240"/>
          <w:marBottom w:val="0"/>
          <w:divBdr>
            <w:top w:val="none" w:sz="0" w:space="0" w:color="auto"/>
            <w:left w:val="none" w:sz="0" w:space="0" w:color="auto"/>
            <w:bottom w:val="none" w:sz="0" w:space="0" w:color="auto"/>
            <w:right w:val="none" w:sz="0" w:space="0" w:color="auto"/>
          </w:divBdr>
        </w:div>
        <w:div w:id="143161280">
          <w:marLeft w:val="288"/>
          <w:marRight w:val="0"/>
          <w:marTop w:val="240"/>
          <w:marBottom w:val="0"/>
          <w:divBdr>
            <w:top w:val="none" w:sz="0" w:space="0" w:color="auto"/>
            <w:left w:val="none" w:sz="0" w:space="0" w:color="auto"/>
            <w:bottom w:val="none" w:sz="0" w:space="0" w:color="auto"/>
            <w:right w:val="none" w:sz="0" w:space="0" w:color="auto"/>
          </w:divBdr>
        </w:div>
        <w:div w:id="757822289">
          <w:marLeft w:val="288"/>
          <w:marRight w:val="0"/>
          <w:marTop w:val="240"/>
          <w:marBottom w:val="0"/>
          <w:divBdr>
            <w:top w:val="none" w:sz="0" w:space="0" w:color="auto"/>
            <w:left w:val="none" w:sz="0" w:space="0" w:color="auto"/>
            <w:bottom w:val="none" w:sz="0" w:space="0" w:color="auto"/>
            <w:right w:val="none" w:sz="0" w:space="0" w:color="auto"/>
          </w:divBdr>
        </w:div>
      </w:divsChild>
    </w:div>
    <w:div w:id="275992689">
      <w:bodyDiv w:val="1"/>
      <w:marLeft w:val="0"/>
      <w:marRight w:val="0"/>
      <w:marTop w:val="0"/>
      <w:marBottom w:val="0"/>
      <w:divBdr>
        <w:top w:val="none" w:sz="0" w:space="0" w:color="auto"/>
        <w:left w:val="none" w:sz="0" w:space="0" w:color="auto"/>
        <w:bottom w:val="none" w:sz="0" w:space="0" w:color="auto"/>
        <w:right w:val="none" w:sz="0" w:space="0" w:color="auto"/>
      </w:divBdr>
    </w:div>
    <w:div w:id="438069333">
      <w:bodyDiv w:val="1"/>
      <w:marLeft w:val="0"/>
      <w:marRight w:val="0"/>
      <w:marTop w:val="0"/>
      <w:marBottom w:val="0"/>
      <w:divBdr>
        <w:top w:val="none" w:sz="0" w:space="0" w:color="auto"/>
        <w:left w:val="none" w:sz="0" w:space="0" w:color="auto"/>
        <w:bottom w:val="none" w:sz="0" w:space="0" w:color="auto"/>
        <w:right w:val="none" w:sz="0" w:space="0" w:color="auto"/>
      </w:divBdr>
    </w:div>
    <w:div w:id="491800232">
      <w:bodyDiv w:val="1"/>
      <w:marLeft w:val="0"/>
      <w:marRight w:val="0"/>
      <w:marTop w:val="0"/>
      <w:marBottom w:val="0"/>
      <w:divBdr>
        <w:top w:val="none" w:sz="0" w:space="0" w:color="auto"/>
        <w:left w:val="none" w:sz="0" w:space="0" w:color="auto"/>
        <w:bottom w:val="none" w:sz="0" w:space="0" w:color="auto"/>
        <w:right w:val="none" w:sz="0" w:space="0" w:color="auto"/>
      </w:divBdr>
    </w:div>
    <w:div w:id="583995577">
      <w:bodyDiv w:val="1"/>
      <w:marLeft w:val="0"/>
      <w:marRight w:val="0"/>
      <w:marTop w:val="0"/>
      <w:marBottom w:val="0"/>
      <w:divBdr>
        <w:top w:val="none" w:sz="0" w:space="0" w:color="auto"/>
        <w:left w:val="none" w:sz="0" w:space="0" w:color="auto"/>
        <w:bottom w:val="none" w:sz="0" w:space="0" w:color="auto"/>
        <w:right w:val="none" w:sz="0" w:space="0" w:color="auto"/>
      </w:divBdr>
      <w:divsChild>
        <w:div w:id="1447189552">
          <w:marLeft w:val="288"/>
          <w:marRight w:val="0"/>
          <w:marTop w:val="240"/>
          <w:marBottom w:val="0"/>
          <w:divBdr>
            <w:top w:val="none" w:sz="0" w:space="0" w:color="auto"/>
            <w:left w:val="none" w:sz="0" w:space="0" w:color="auto"/>
            <w:bottom w:val="none" w:sz="0" w:space="0" w:color="auto"/>
            <w:right w:val="none" w:sz="0" w:space="0" w:color="auto"/>
          </w:divBdr>
        </w:div>
        <w:div w:id="95829750">
          <w:marLeft w:val="288"/>
          <w:marRight w:val="0"/>
          <w:marTop w:val="240"/>
          <w:marBottom w:val="0"/>
          <w:divBdr>
            <w:top w:val="none" w:sz="0" w:space="0" w:color="auto"/>
            <w:left w:val="none" w:sz="0" w:space="0" w:color="auto"/>
            <w:bottom w:val="none" w:sz="0" w:space="0" w:color="auto"/>
            <w:right w:val="none" w:sz="0" w:space="0" w:color="auto"/>
          </w:divBdr>
        </w:div>
        <w:div w:id="2023438170">
          <w:marLeft w:val="288"/>
          <w:marRight w:val="0"/>
          <w:marTop w:val="240"/>
          <w:marBottom w:val="0"/>
          <w:divBdr>
            <w:top w:val="none" w:sz="0" w:space="0" w:color="auto"/>
            <w:left w:val="none" w:sz="0" w:space="0" w:color="auto"/>
            <w:bottom w:val="none" w:sz="0" w:space="0" w:color="auto"/>
            <w:right w:val="none" w:sz="0" w:space="0" w:color="auto"/>
          </w:divBdr>
        </w:div>
        <w:div w:id="1452162613">
          <w:marLeft w:val="288"/>
          <w:marRight w:val="0"/>
          <w:marTop w:val="240"/>
          <w:marBottom w:val="0"/>
          <w:divBdr>
            <w:top w:val="none" w:sz="0" w:space="0" w:color="auto"/>
            <w:left w:val="none" w:sz="0" w:space="0" w:color="auto"/>
            <w:bottom w:val="none" w:sz="0" w:space="0" w:color="auto"/>
            <w:right w:val="none" w:sz="0" w:space="0" w:color="auto"/>
          </w:divBdr>
        </w:div>
      </w:divsChild>
    </w:div>
    <w:div w:id="596907922">
      <w:bodyDiv w:val="1"/>
      <w:marLeft w:val="0"/>
      <w:marRight w:val="0"/>
      <w:marTop w:val="0"/>
      <w:marBottom w:val="0"/>
      <w:divBdr>
        <w:top w:val="none" w:sz="0" w:space="0" w:color="auto"/>
        <w:left w:val="none" w:sz="0" w:space="0" w:color="auto"/>
        <w:bottom w:val="none" w:sz="0" w:space="0" w:color="auto"/>
        <w:right w:val="none" w:sz="0" w:space="0" w:color="auto"/>
      </w:divBdr>
      <w:divsChild>
        <w:div w:id="1997950645">
          <w:marLeft w:val="821"/>
          <w:marRight w:val="0"/>
          <w:marTop w:val="80"/>
          <w:marBottom w:val="0"/>
          <w:divBdr>
            <w:top w:val="none" w:sz="0" w:space="0" w:color="auto"/>
            <w:left w:val="none" w:sz="0" w:space="0" w:color="auto"/>
            <w:bottom w:val="none" w:sz="0" w:space="0" w:color="auto"/>
            <w:right w:val="none" w:sz="0" w:space="0" w:color="auto"/>
          </w:divBdr>
        </w:div>
        <w:div w:id="868642371">
          <w:marLeft w:val="821"/>
          <w:marRight w:val="0"/>
          <w:marTop w:val="80"/>
          <w:marBottom w:val="0"/>
          <w:divBdr>
            <w:top w:val="none" w:sz="0" w:space="0" w:color="auto"/>
            <w:left w:val="none" w:sz="0" w:space="0" w:color="auto"/>
            <w:bottom w:val="none" w:sz="0" w:space="0" w:color="auto"/>
            <w:right w:val="none" w:sz="0" w:space="0" w:color="auto"/>
          </w:divBdr>
        </w:div>
      </w:divsChild>
    </w:div>
    <w:div w:id="729617905">
      <w:bodyDiv w:val="1"/>
      <w:marLeft w:val="0"/>
      <w:marRight w:val="0"/>
      <w:marTop w:val="0"/>
      <w:marBottom w:val="0"/>
      <w:divBdr>
        <w:top w:val="none" w:sz="0" w:space="0" w:color="auto"/>
        <w:left w:val="none" w:sz="0" w:space="0" w:color="auto"/>
        <w:bottom w:val="none" w:sz="0" w:space="0" w:color="auto"/>
        <w:right w:val="none" w:sz="0" w:space="0" w:color="auto"/>
      </w:divBdr>
      <w:divsChild>
        <w:div w:id="1686245879">
          <w:marLeft w:val="576"/>
          <w:marRight w:val="0"/>
          <w:marTop w:val="80"/>
          <w:marBottom w:val="0"/>
          <w:divBdr>
            <w:top w:val="none" w:sz="0" w:space="0" w:color="auto"/>
            <w:left w:val="none" w:sz="0" w:space="0" w:color="auto"/>
            <w:bottom w:val="none" w:sz="0" w:space="0" w:color="auto"/>
            <w:right w:val="none" w:sz="0" w:space="0" w:color="auto"/>
          </w:divBdr>
        </w:div>
        <w:div w:id="1964849437">
          <w:marLeft w:val="576"/>
          <w:marRight w:val="0"/>
          <w:marTop w:val="80"/>
          <w:marBottom w:val="0"/>
          <w:divBdr>
            <w:top w:val="none" w:sz="0" w:space="0" w:color="auto"/>
            <w:left w:val="none" w:sz="0" w:space="0" w:color="auto"/>
            <w:bottom w:val="none" w:sz="0" w:space="0" w:color="auto"/>
            <w:right w:val="none" w:sz="0" w:space="0" w:color="auto"/>
          </w:divBdr>
        </w:div>
      </w:divsChild>
    </w:div>
    <w:div w:id="771047689">
      <w:bodyDiv w:val="1"/>
      <w:marLeft w:val="0"/>
      <w:marRight w:val="0"/>
      <w:marTop w:val="0"/>
      <w:marBottom w:val="0"/>
      <w:divBdr>
        <w:top w:val="none" w:sz="0" w:space="0" w:color="auto"/>
        <w:left w:val="none" w:sz="0" w:space="0" w:color="auto"/>
        <w:bottom w:val="none" w:sz="0" w:space="0" w:color="auto"/>
        <w:right w:val="none" w:sz="0" w:space="0" w:color="auto"/>
      </w:divBdr>
    </w:div>
    <w:div w:id="870915203">
      <w:bodyDiv w:val="1"/>
      <w:marLeft w:val="0"/>
      <w:marRight w:val="0"/>
      <w:marTop w:val="0"/>
      <w:marBottom w:val="0"/>
      <w:divBdr>
        <w:top w:val="none" w:sz="0" w:space="0" w:color="auto"/>
        <w:left w:val="none" w:sz="0" w:space="0" w:color="auto"/>
        <w:bottom w:val="none" w:sz="0" w:space="0" w:color="auto"/>
        <w:right w:val="none" w:sz="0" w:space="0" w:color="auto"/>
      </w:divBdr>
      <w:divsChild>
        <w:div w:id="450517927">
          <w:marLeft w:val="288"/>
          <w:marRight w:val="0"/>
          <w:marTop w:val="240"/>
          <w:marBottom w:val="0"/>
          <w:divBdr>
            <w:top w:val="none" w:sz="0" w:space="0" w:color="auto"/>
            <w:left w:val="none" w:sz="0" w:space="0" w:color="auto"/>
            <w:bottom w:val="none" w:sz="0" w:space="0" w:color="auto"/>
            <w:right w:val="none" w:sz="0" w:space="0" w:color="auto"/>
          </w:divBdr>
        </w:div>
        <w:div w:id="1942298193">
          <w:marLeft w:val="288"/>
          <w:marRight w:val="0"/>
          <w:marTop w:val="240"/>
          <w:marBottom w:val="0"/>
          <w:divBdr>
            <w:top w:val="none" w:sz="0" w:space="0" w:color="auto"/>
            <w:left w:val="none" w:sz="0" w:space="0" w:color="auto"/>
            <w:bottom w:val="none" w:sz="0" w:space="0" w:color="auto"/>
            <w:right w:val="none" w:sz="0" w:space="0" w:color="auto"/>
          </w:divBdr>
        </w:div>
        <w:div w:id="883248515">
          <w:marLeft w:val="288"/>
          <w:marRight w:val="0"/>
          <w:marTop w:val="240"/>
          <w:marBottom w:val="0"/>
          <w:divBdr>
            <w:top w:val="none" w:sz="0" w:space="0" w:color="auto"/>
            <w:left w:val="none" w:sz="0" w:space="0" w:color="auto"/>
            <w:bottom w:val="none" w:sz="0" w:space="0" w:color="auto"/>
            <w:right w:val="none" w:sz="0" w:space="0" w:color="auto"/>
          </w:divBdr>
        </w:div>
      </w:divsChild>
    </w:div>
    <w:div w:id="1099523015">
      <w:bodyDiv w:val="1"/>
      <w:marLeft w:val="0"/>
      <w:marRight w:val="0"/>
      <w:marTop w:val="0"/>
      <w:marBottom w:val="0"/>
      <w:divBdr>
        <w:top w:val="none" w:sz="0" w:space="0" w:color="auto"/>
        <w:left w:val="none" w:sz="0" w:space="0" w:color="auto"/>
        <w:bottom w:val="none" w:sz="0" w:space="0" w:color="auto"/>
        <w:right w:val="none" w:sz="0" w:space="0" w:color="auto"/>
      </w:divBdr>
    </w:div>
    <w:div w:id="1176190084">
      <w:bodyDiv w:val="1"/>
      <w:marLeft w:val="0"/>
      <w:marRight w:val="0"/>
      <w:marTop w:val="0"/>
      <w:marBottom w:val="0"/>
      <w:divBdr>
        <w:top w:val="none" w:sz="0" w:space="0" w:color="auto"/>
        <w:left w:val="none" w:sz="0" w:space="0" w:color="auto"/>
        <w:bottom w:val="none" w:sz="0" w:space="0" w:color="auto"/>
        <w:right w:val="none" w:sz="0" w:space="0" w:color="auto"/>
      </w:divBdr>
      <w:divsChild>
        <w:div w:id="1502157901">
          <w:marLeft w:val="288"/>
          <w:marRight w:val="0"/>
          <w:marTop w:val="240"/>
          <w:marBottom w:val="0"/>
          <w:divBdr>
            <w:top w:val="none" w:sz="0" w:space="0" w:color="auto"/>
            <w:left w:val="none" w:sz="0" w:space="0" w:color="auto"/>
            <w:bottom w:val="none" w:sz="0" w:space="0" w:color="auto"/>
            <w:right w:val="none" w:sz="0" w:space="0" w:color="auto"/>
          </w:divBdr>
        </w:div>
      </w:divsChild>
    </w:div>
    <w:div w:id="1277329235">
      <w:bodyDiv w:val="1"/>
      <w:marLeft w:val="0"/>
      <w:marRight w:val="0"/>
      <w:marTop w:val="0"/>
      <w:marBottom w:val="0"/>
      <w:divBdr>
        <w:top w:val="none" w:sz="0" w:space="0" w:color="auto"/>
        <w:left w:val="none" w:sz="0" w:space="0" w:color="auto"/>
        <w:bottom w:val="none" w:sz="0" w:space="0" w:color="auto"/>
        <w:right w:val="none" w:sz="0" w:space="0" w:color="auto"/>
      </w:divBdr>
    </w:div>
    <w:div w:id="1428114631">
      <w:bodyDiv w:val="1"/>
      <w:marLeft w:val="0"/>
      <w:marRight w:val="0"/>
      <w:marTop w:val="0"/>
      <w:marBottom w:val="0"/>
      <w:divBdr>
        <w:top w:val="none" w:sz="0" w:space="0" w:color="auto"/>
        <w:left w:val="none" w:sz="0" w:space="0" w:color="auto"/>
        <w:bottom w:val="none" w:sz="0" w:space="0" w:color="auto"/>
        <w:right w:val="none" w:sz="0" w:space="0" w:color="auto"/>
      </w:divBdr>
      <w:divsChild>
        <w:div w:id="1845322725">
          <w:marLeft w:val="576"/>
          <w:marRight w:val="0"/>
          <w:marTop w:val="80"/>
          <w:marBottom w:val="0"/>
          <w:divBdr>
            <w:top w:val="none" w:sz="0" w:space="0" w:color="auto"/>
            <w:left w:val="none" w:sz="0" w:space="0" w:color="auto"/>
            <w:bottom w:val="none" w:sz="0" w:space="0" w:color="auto"/>
            <w:right w:val="none" w:sz="0" w:space="0" w:color="auto"/>
          </w:divBdr>
        </w:div>
        <w:div w:id="1943955501">
          <w:marLeft w:val="576"/>
          <w:marRight w:val="0"/>
          <w:marTop w:val="80"/>
          <w:marBottom w:val="0"/>
          <w:divBdr>
            <w:top w:val="none" w:sz="0" w:space="0" w:color="auto"/>
            <w:left w:val="none" w:sz="0" w:space="0" w:color="auto"/>
            <w:bottom w:val="none" w:sz="0" w:space="0" w:color="auto"/>
            <w:right w:val="none" w:sz="0" w:space="0" w:color="auto"/>
          </w:divBdr>
        </w:div>
        <w:div w:id="669715143">
          <w:marLeft w:val="576"/>
          <w:marRight w:val="0"/>
          <w:marTop w:val="80"/>
          <w:marBottom w:val="0"/>
          <w:divBdr>
            <w:top w:val="none" w:sz="0" w:space="0" w:color="auto"/>
            <w:left w:val="none" w:sz="0" w:space="0" w:color="auto"/>
            <w:bottom w:val="none" w:sz="0" w:space="0" w:color="auto"/>
            <w:right w:val="none" w:sz="0" w:space="0" w:color="auto"/>
          </w:divBdr>
        </w:div>
        <w:div w:id="205528785">
          <w:marLeft w:val="576"/>
          <w:marRight w:val="0"/>
          <w:marTop w:val="80"/>
          <w:marBottom w:val="0"/>
          <w:divBdr>
            <w:top w:val="none" w:sz="0" w:space="0" w:color="auto"/>
            <w:left w:val="none" w:sz="0" w:space="0" w:color="auto"/>
            <w:bottom w:val="none" w:sz="0" w:space="0" w:color="auto"/>
            <w:right w:val="none" w:sz="0" w:space="0" w:color="auto"/>
          </w:divBdr>
        </w:div>
      </w:divsChild>
    </w:div>
    <w:div w:id="1739858008">
      <w:bodyDiv w:val="1"/>
      <w:marLeft w:val="0"/>
      <w:marRight w:val="0"/>
      <w:marTop w:val="0"/>
      <w:marBottom w:val="0"/>
      <w:divBdr>
        <w:top w:val="none" w:sz="0" w:space="0" w:color="auto"/>
        <w:left w:val="none" w:sz="0" w:space="0" w:color="auto"/>
        <w:bottom w:val="none" w:sz="0" w:space="0" w:color="auto"/>
        <w:right w:val="none" w:sz="0" w:space="0" w:color="auto"/>
      </w:divBdr>
      <w:divsChild>
        <w:div w:id="1685981844">
          <w:marLeft w:val="288"/>
          <w:marRight w:val="0"/>
          <w:marTop w:val="240"/>
          <w:marBottom w:val="0"/>
          <w:divBdr>
            <w:top w:val="none" w:sz="0" w:space="0" w:color="auto"/>
            <w:left w:val="none" w:sz="0" w:space="0" w:color="auto"/>
            <w:bottom w:val="none" w:sz="0" w:space="0" w:color="auto"/>
            <w:right w:val="none" w:sz="0" w:space="0" w:color="auto"/>
          </w:divBdr>
        </w:div>
        <w:div w:id="591477925">
          <w:marLeft w:val="288"/>
          <w:marRight w:val="0"/>
          <w:marTop w:val="240"/>
          <w:marBottom w:val="0"/>
          <w:divBdr>
            <w:top w:val="none" w:sz="0" w:space="0" w:color="auto"/>
            <w:left w:val="none" w:sz="0" w:space="0" w:color="auto"/>
            <w:bottom w:val="none" w:sz="0" w:space="0" w:color="auto"/>
            <w:right w:val="none" w:sz="0" w:space="0" w:color="auto"/>
          </w:divBdr>
        </w:div>
        <w:div w:id="847065364">
          <w:marLeft w:val="288"/>
          <w:marRight w:val="0"/>
          <w:marTop w:val="240"/>
          <w:marBottom w:val="0"/>
          <w:divBdr>
            <w:top w:val="none" w:sz="0" w:space="0" w:color="auto"/>
            <w:left w:val="none" w:sz="0" w:space="0" w:color="auto"/>
            <w:bottom w:val="none" w:sz="0" w:space="0" w:color="auto"/>
            <w:right w:val="none" w:sz="0" w:space="0" w:color="auto"/>
          </w:divBdr>
        </w:div>
      </w:divsChild>
    </w:div>
    <w:div w:id="1775519311">
      <w:bodyDiv w:val="1"/>
      <w:marLeft w:val="0"/>
      <w:marRight w:val="0"/>
      <w:marTop w:val="0"/>
      <w:marBottom w:val="0"/>
      <w:divBdr>
        <w:top w:val="none" w:sz="0" w:space="0" w:color="auto"/>
        <w:left w:val="none" w:sz="0" w:space="0" w:color="auto"/>
        <w:bottom w:val="none" w:sz="0" w:space="0" w:color="auto"/>
        <w:right w:val="none" w:sz="0" w:space="0" w:color="auto"/>
      </w:divBdr>
    </w:div>
    <w:div w:id="1918444486">
      <w:bodyDiv w:val="1"/>
      <w:marLeft w:val="0"/>
      <w:marRight w:val="0"/>
      <w:marTop w:val="0"/>
      <w:marBottom w:val="0"/>
      <w:divBdr>
        <w:top w:val="none" w:sz="0" w:space="0" w:color="auto"/>
        <w:left w:val="none" w:sz="0" w:space="0" w:color="auto"/>
        <w:bottom w:val="none" w:sz="0" w:space="0" w:color="auto"/>
        <w:right w:val="none" w:sz="0" w:space="0" w:color="auto"/>
      </w:divBdr>
    </w:div>
    <w:div w:id="1964265424">
      <w:bodyDiv w:val="1"/>
      <w:marLeft w:val="0"/>
      <w:marRight w:val="0"/>
      <w:marTop w:val="0"/>
      <w:marBottom w:val="0"/>
      <w:divBdr>
        <w:top w:val="none" w:sz="0" w:space="0" w:color="auto"/>
        <w:left w:val="none" w:sz="0" w:space="0" w:color="auto"/>
        <w:bottom w:val="none" w:sz="0" w:space="0" w:color="auto"/>
        <w:right w:val="none" w:sz="0" w:space="0" w:color="auto"/>
      </w:divBdr>
      <w:divsChild>
        <w:div w:id="1875455777">
          <w:marLeft w:val="576"/>
          <w:marRight w:val="0"/>
          <w:marTop w:val="80"/>
          <w:marBottom w:val="0"/>
          <w:divBdr>
            <w:top w:val="none" w:sz="0" w:space="0" w:color="auto"/>
            <w:left w:val="none" w:sz="0" w:space="0" w:color="auto"/>
            <w:bottom w:val="none" w:sz="0" w:space="0" w:color="auto"/>
            <w:right w:val="none" w:sz="0" w:space="0" w:color="auto"/>
          </w:divBdr>
        </w:div>
        <w:div w:id="508953320">
          <w:marLeft w:val="576"/>
          <w:marRight w:val="0"/>
          <w:marTop w:val="8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zaks\Downloads\Slipstream%20Report%20Template%20sans%20serif%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B74C2A-0754-43D2-9A99-8731505363E9}" type="doc">
      <dgm:prSet loTypeId="urn:microsoft.com/office/officeart/2005/8/layout/process1" loCatId="process" qsTypeId="urn:microsoft.com/office/officeart/2005/8/quickstyle/simple1" qsCatId="simple" csTypeId="urn:microsoft.com/office/officeart/2005/8/colors/accent0_2" csCatId="mainScheme" phldr="1"/>
      <dgm:spPr/>
    </dgm:pt>
    <dgm:pt modelId="{1247B28F-6318-4BC1-B885-6DC5DFA109E5}">
      <dgm:prSet phldrT="[Text]"/>
      <dgm:spPr/>
      <dgm:t>
        <a:bodyPr/>
        <a:lstStyle/>
        <a:p>
          <a:r>
            <a:rPr lang="en-US"/>
            <a:t>Gross Energy Savings 	</a:t>
          </a:r>
        </a:p>
      </dgm:t>
    </dgm:pt>
    <dgm:pt modelId="{03F4FF80-D49D-4E20-A8DE-F3021B4B339C}" type="parTrans" cxnId="{3A171119-19FD-4B82-9B33-9BEF9B3E5F17}">
      <dgm:prSet/>
      <dgm:spPr/>
      <dgm:t>
        <a:bodyPr/>
        <a:lstStyle/>
        <a:p>
          <a:endParaRPr lang="en-US"/>
        </a:p>
      </dgm:t>
    </dgm:pt>
    <dgm:pt modelId="{7D487E3F-CFB2-4E0A-83ED-DACF251C2424}" type="sibTrans" cxnId="{3A171119-19FD-4B82-9B33-9BEF9B3E5F17}">
      <dgm:prSet/>
      <dgm:spPr/>
      <dgm:t>
        <a:bodyPr/>
        <a:lstStyle/>
        <a:p>
          <a:endParaRPr lang="en-US"/>
        </a:p>
      </dgm:t>
    </dgm:pt>
    <dgm:pt modelId="{03C00EFC-95B4-479D-A331-3C350D55B524}">
      <dgm:prSet phldrT="[Text]"/>
      <dgm:spPr/>
      <dgm:t>
        <a:bodyPr/>
        <a:lstStyle/>
        <a:p>
          <a:r>
            <a:rPr lang="en-US"/>
            <a:t>Net Energy Savings</a:t>
          </a:r>
        </a:p>
      </dgm:t>
    </dgm:pt>
    <dgm:pt modelId="{8B509424-3FBA-4116-8F64-CDCB65A68116}" type="parTrans" cxnId="{79A93F8B-8D85-4713-BB42-5E1F457EF0FB}">
      <dgm:prSet/>
      <dgm:spPr/>
      <dgm:t>
        <a:bodyPr/>
        <a:lstStyle/>
        <a:p>
          <a:endParaRPr lang="en-US"/>
        </a:p>
      </dgm:t>
    </dgm:pt>
    <dgm:pt modelId="{187F59F7-D7CD-41ED-9606-AB730EAFAA50}" type="sibTrans" cxnId="{79A93F8B-8D85-4713-BB42-5E1F457EF0FB}">
      <dgm:prSet/>
      <dgm:spPr/>
      <dgm:t>
        <a:bodyPr/>
        <a:lstStyle/>
        <a:p>
          <a:endParaRPr lang="en-US"/>
        </a:p>
      </dgm:t>
    </dgm:pt>
    <dgm:pt modelId="{94F75992-F400-4ADC-BCAE-970245EC8171}">
      <dgm:prSet phldrT="[Text]"/>
      <dgm:spPr/>
      <dgm:t>
        <a:bodyPr/>
        <a:lstStyle/>
        <a:p>
          <a:r>
            <a:rPr lang="en-US"/>
            <a:t>Net Program Savings</a:t>
          </a:r>
        </a:p>
      </dgm:t>
    </dgm:pt>
    <dgm:pt modelId="{A673D95B-F1AD-44FE-B8DD-57435872B08B}" type="parTrans" cxnId="{ABFFEDE2-0919-4162-8829-66C0E474316E}">
      <dgm:prSet/>
      <dgm:spPr/>
      <dgm:t>
        <a:bodyPr/>
        <a:lstStyle/>
        <a:p>
          <a:endParaRPr lang="en-US"/>
        </a:p>
      </dgm:t>
    </dgm:pt>
    <dgm:pt modelId="{56C22062-4AEE-4BB6-B9F3-948829006EED}" type="sibTrans" cxnId="{ABFFEDE2-0919-4162-8829-66C0E474316E}">
      <dgm:prSet/>
      <dgm:spPr/>
      <dgm:t>
        <a:bodyPr/>
        <a:lstStyle/>
        <a:p>
          <a:endParaRPr lang="en-US"/>
        </a:p>
      </dgm:t>
    </dgm:pt>
    <dgm:pt modelId="{365FE207-4D03-4483-8E2A-71017E18F882}">
      <dgm:prSet phldrT="[Text]"/>
      <dgm:spPr/>
      <dgm:t>
        <a:bodyPr/>
        <a:lstStyle/>
        <a:p>
          <a:r>
            <a:rPr lang="en-US"/>
            <a:t>Savings By Utility </a:t>
          </a:r>
        </a:p>
      </dgm:t>
    </dgm:pt>
    <dgm:pt modelId="{B8BC5B5C-F4F9-492C-B226-A686212A0F37}" type="parTrans" cxnId="{A1315630-87D9-4FE1-9CA1-0F176A75FB44}">
      <dgm:prSet/>
      <dgm:spPr/>
      <dgm:t>
        <a:bodyPr/>
        <a:lstStyle/>
        <a:p>
          <a:endParaRPr lang="en-US"/>
        </a:p>
      </dgm:t>
    </dgm:pt>
    <dgm:pt modelId="{B60274A4-ED3E-4877-8778-3C1DDAC029C0}" type="sibTrans" cxnId="{A1315630-87D9-4FE1-9CA1-0F176A75FB44}">
      <dgm:prSet/>
      <dgm:spPr/>
      <dgm:t>
        <a:bodyPr/>
        <a:lstStyle/>
        <a:p>
          <a:endParaRPr lang="en-US"/>
        </a:p>
      </dgm:t>
    </dgm:pt>
    <dgm:pt modelId="{33434434-8928-4C2C-9215-D2222147D28F}">
      <dgm:prSet phldrT="[Text]"/>
      <dgm:spPr/>
      <dgm:t>
        <a:bodyPr/>
        <a:lstStyle/>
        <a:p>
          <a:r>
            <a:rPr lang="en-US"/>
            <a:t>Estimate NOMAD</a:t>
          </a:r>
        </a:p>
      </dgm:t>
    </dgm:pt>
    <dgm:pt modelId="{EE670B20-9BBF-47EF-83D5-320436B9697D}" type="parTrans" cxnId="{22AB51A4-F275-4C11-91BD-E91F25130B60}">
      <dgm:prSet/>
      <dgm:spPr/>
      <dgm:t>
        <a:bodyPr/>
        <a:lstStyle/>
        <a:p>
          <a:endParaRPr lang="en-US"/>
        </a:p>
      </dgm:t>
    </dgm:pt>
    <dgm:pt modelId="{71318E07-A065-4E54-8A3B-AD4999965E24}" type="sibTrans" cxnId="{22AB51A4-F275-4C11-91BD-E91F25130B60}">
      <dgm:prSet/>
      <dgm:spPr/>
      <dgm:t>
        <a:bodyPr/>
        <a:lstStyle/>
        <a:p>
          <a:endParaRPr lang="en-US"/>
        </a:p>
      </dgm:t>
    </dgm:pt>
    <dgm:pt modelId="{75635372-D57C-4889-8688-0D3C39A3B505}">
      <dgm:prSet phldrT="[Text]"/>
      <dgm:spPr/>
      <dgm:t>
        <a:bodyPr/>
        <a:lstStyle/>
        <a:p>
          <a:r>
            <a:rPr lang="en-US"/>
            <a:t>Allocation </a:t>
          </a:r>
        </a:p>
      </dgm:t>
    </dgm:pt>
    <dgm:pt modelId="{AD3D24A6-E4E2-40F1-BBAC-F740C0E0662F}" type="parTrans" cxnId="{209AB49F-18F4-4CFE-9BB3-77128F89AF4E}">
      <dgm:prSet/>
      <dgm:spPr/>
      <dgm:t>
        <a:bodyPr/>
        <a:lstStyle/>
        <a:p>
          <a:endParaRPr lang="en-US"/>
        </a:p>
      </dgm:t>
    </dgm:pt>
    <dgm:pt modelId="{85276432-CFD9-4FB2-80B6-70C4F50CA8AC}" type="sibTrans" cxnId="{209AB49F-18F4-4CFE-9BB3-77128F89AF4E}">
      <dgm:prSet/>
      <dgm:spPr/>
      <dgm:t>
        <a:bodyPr/>
        <a:lstStyle/>
        <a:p>
          <a:endParaRPr lang="en-US"/>
        </a:p>
      </dgm:t>
    </dgm:pt>
    <dgm:pt modelId="{64BF6502-6FBD-430C-915D-48AD15AA4103}">
      <dgm:prSet phldrT="[Text]"/>
      <dgm:spPr/>
      <dgm:t>
        <a:bodyPr/>
        <a:lstStyle/>
        <a:p>
          <a:r>
            <a:rPr lang="en-US"/>
            <a:t> Attribution </a:t>
          </a:r>
        </a:p>
      </dgm:t>
    </dgm:pt>
    <dgm:pt modelId="{008F6D33-9141-49A1-AA0C-DC570714353C}" type="parTrans" cxnId="{9C57F560-1FC5-4412-8E3F-875EEBC4BC09}">
      <dgm:prSet/>
      <dgm:spPr/>
      <dgm:t>
        <a:bodyPr/>
        <a:lstStyle/>
        <a:p>
          <a:endParaRPr lang="en-US"/>
        </a:p>
      </dgm:t>
    </dgm:pt>
    <dgm:pt modelId="{6D67AB03-DEB9-4DFF-AFD5-2E2EBF8859EC}" type="sibTrans" cxnId="{9C57F560-1FC5-4412-8E3F-875EEBC4BC09}">
      <dgm:prSet/>
      <dgm:spPr/>
      <dgm:t>
        <a:bodyPr/>
        <a:lstStyle/>
        <a:p>
          <a:endParaRPr lang="en-US"/>
        </a:p>
      </dgm:t>
    </dgm:pt>
    <dgm:pt modelId="{292DD958-385B-4052-B6CC-B2AA753F7FF9}">
      <dgm:prSet phldrT="[Text]"/>
      <dgm:spPr/>
      <dgm:t>
        <a:bodyPr/>
        <a:lstStyle/>
        <a:p>
          <a:r>
            <a:rPr lang="en-US"/>
            <a:t>Predict what compliance will look like over time</a:t>
          </a:r>
        </a:p>
      </dgm:t>
    </dgm:pt>
    <dgm:pt modelId="{3D3D1046-35C3-4B26-92FF-26E333B5229B}" type="sibTrans" cxnId="{234C5FBE-A593-4392-90FF-E0EB0F0DE224}">
      <dgm:prSet/>
      <dgm:spPr/>
      <dgm:t>
        <a:bodyPr/>
        <a:lstStyle/>
        <a:p>
          <a:endParaRPr lang="en-US"/>
        </a:p>
      </dgm:t>
    </dgm:pt>
    <dgm:pt modelId="{FB1F37BD-AE0E-4F67-B505-61D78778FA2D}" type="parTrans" cxnId="{234C5FBE-A593-4392-90FF-E0EB0F0DE224}">
      <dgm:prSet/>
      <dgm:spPr/>
      <dgm:t>
        <a:bodyPr/>
        <a:lstStyle/>
        <a:p>
          <a:endParaRPr lang="en-US"/>
        </a:p>
      </dgm:t>
    </dgm:pt>
    <dgm:pt modelId="{A5B2F5DC-F0AB-46C3-A87A-865C8F435153}">
      <dgm:prSet phldrT="[Text]"/>
      <dgm:spPr/>
      <dgm:t>
        <a:bodyPr/>
        <a:lstStyle/>
        <a:p>
          <a:r>
            <a:rPr lang="en-US"/>
            <a:t>Gross Technical Potential </a:t>
          </a:r>
        </a:p>
      </dgm:t>
    </dgm:pt>
    <dgm:pt modelId="{762F1BAD-DF50-4602-A789-642AE804FCC9}" type="sibTrans" cxnId="{CC23CDFE-9DA5-4656-B09D-773900E94950}">
      <dgm:prSet/>
      <dgm:spPr/>
      <dgm:t>
        <a:bodyPr/>
        <a:lstStyle/>
        <a:p>
          <a:endParaRPr lang="en-US"/>
        </a:p>
      </dgm:t>
    </dgm:pt>
    <dgm:pt modelId="{1D31D245-5D0A-441A-8587-2440F84DE696}" type="parTrans" cxnId="{CC23CDFE-9DA5-4656-B09D-773900E94950}">
      <dgm:prSet/>
      <dgm:spPr/>
      <dgm:t>
        <a:bodyPr/>
        <a:lstStyle/>
        <a:p>
          <a:endParaRPr lang="en-US"/>
        </a:p>
      </dgm:t>
    </dgm:pt>
    <dgm:pt modelId="{5BD022FC-6183-4F3D-8E0B-5F572E561F2F}">
      <dgm:prSet phldrT="[Text]"/>
      <dgm:spPr/>
      <dgm:t>
        <a:bodyPr/>
        <a:lstStyle/>
        <a:p>
          <a:r>
            <a:rPr lang="en-US"/>
            <a:t>Market Size </a:t>
          </a:r>
        </a:p>
      </dgm:t>
    </dgm:pt>
    <dgm:pt modelId="{C5FA407C-C65A-4346-8F2F-0BA6F52EF66C}" type="sibTrans" cxnId="{0B474E1F-BCC4-421C-BD9D-59F952B1408C}">
      <dgm:prSet/>
      <dgm:spPr/>
      <dgm:t>
        <a:bodyPr/>
        <a:lstStyle/>
        <a:p>
          <a:endParaRPr lang="en-US"/>
        </a:p>
      </dgm:t>
    </dgm:pt>
    <dgm:pt modelId="{A851D32D-D1E6-47DE-9167-E8089AA07548}" type="parTrans" cxnId="{0B474E1F-BCC4-421C-BD9D-59F952B1408C}">
      <dgm:prSet/>
      <dgm:spPr/>
      <dgm:t>
        <a:bodyPr/>
        <a:lstStyle/>
        <a:p>
          <a:endParaRPr lang="en-US"/>
        </a:p>
      </dgm:t>
    </dgm:pt>
    <dgm:pt modelId="{CBEAF237-F57A-4C6D-8757-8CBB56DB171A}">
      <dgm:prSet phldrT="[Text]"/>
      <dgm:spPr/>
      <dgm:t>
        <a:bodyPr/>
        <a:lstStyle/>
        <a:p>
          <a:r>
            <a:rPr lang="en-US"/>
            <a:t>Unit Energy Savings </a:t>
          </a:r>
        </a:p>
      </dgm:t>
    </dgm:pt>
    <dgm:pt modelId="{F08C95F8-64EF-4A19-AB48-9F0ADE75CEE7}" type="sibTrans" cxnId="{77639949-4EA5-46A6-BFD8-6151F4D444D7}">
      <dgm:prSet/>
      <dgm:spPr/>
      <dgm:t>
        <a:bodyPr/>
        <a:lstStyle/>
        <a:p>
          <a:endParaRPr lang="en-US"/>
        </a:p>
      </dgm:t>
    </dgm:pt>
    <dgm:pt modelId="{F0FE8947-76DA-499E-A08D-E3A02F9E0390}" type="parTrans" cxnId="{77639949-4EA5-46A6-BFD8-6151F4D444D7}">
      <dgm:prSet/>
      <dgm:spPr/>
      <dgm:t>
        <a:bodyPr/>
        <a:lstStyle/>
        <a:p>
          <a:endParaRPr lang="en-US"/>
        </a:p>
      </dgm:t>
    </dgm:pt>
    <dgm:pt modelId="{D05EE52A-9075-4D73-83B7-9E70D347BD30}" type="pres">
      <dgm:prSet presAssocID="{74B74C2A-0754-43D2-9A99-8731505363E9}" presName="Name0" presStyleCnt="0">
        <dgm:presLayoutVars>
          <dgm:dir/>
          <dgm:resizeHandles val="exact"/>
        </dgm:presLayoutVars>
      </dgm:prSet>
      <dgm:spPr/>
    </dgm:pt>
    <dgm:pt modelId="{FD6695C4-6F37-44AF-979F-5B0A89697F7F}" type="pres">
      <dgm:prSet presAssocID="{A5B2F5DC-F0AB-46C3-A87A-865C8F435153}" presName="node" presStyleLbl="node1" presStyleIdx="0" presStyleCnt="5">
        <dgm:presLayoutVars>
          <dgm:bulletEnabled val="1"/>
        </dgm:presLayoutVars>
      </dgm:prSet>
      <dgm:spPr/>
    </dgm:pt>
    <dgm:pt modelId="{38499706-C86D-4EB9-BAB9-2E2BEFFDBAC9}" type="pres">
      <dgm:prSet presAssocID="{762F1BAD-DF50-4602-A789-642AE804FCC9}" presName="sibTrans" presStyleLbl="sibTrans2D1" presStyleIdx="0" presStyleCnt="4"/>
      <dgm:spPr/>
    </dgm:pt>
    <dgm:pt modelId="{183A6800-0BA6-4520-9C74-233E1FF72800}" type="pres">
      <dgm:prSet presAssocID="{762F1BAD-DF50-4602-A789-642AE804FCC9}" presName="connectorText" presStyleLbl="sibTrans2D1" presStyleIdx="0" presStyleCnt="4"/>
      <dgm:spPr/>
    </dgm:pt>
    <dgm:pt modelId="{72C5AF58-50EE-408F-8DCB-888AF60DA6B1}" type="pres">
      <dgm:prSet presAssocID="{1247B28F-6318-4BC1-B885-6DC5DFA109E5}" presName="node" presStyleLbl="node1" presStyleIdx="1" presStyleCnt="5">
        <dgm:presLayoutVars>
          <dgm:bulletEnabled val="1"/>
        </dgm:presLayoutVars>
      </dgm:prSet>
      <dgm:spPr/>
    </dgm:pt>
    <dgm:pt modelId="{7D827A58-5A6E-4EF7-AEA8-61DE8C08A068}" type="pres">
      <dgm:prSet presAssocID="{7D487E3F-CFB2-4E0A-83ED-DACF251C2424}" presName="sibTrans" presStyleLbl="sibTrans2D1" presStyleIdx="1" presStyleCnt="4"/>
      <dgm:spPr/>
    </dgm:pt>
    <dgm:pt modelId="{8EC37578-60FE-4C1A-82D2-35BB9D4D8495}" type="pres">
      <dgm:prSet presAssocID="{7D487E3F-CFB2-4E0A-83ED-DACF251C2424}" presName="connectorText" presStyleLbl="sibTrans2D1" presStyleIdx="1" presStyleCnt="4"/>
      <dgm:spPr/>
    </dgm:pt>
    <dgm:pt modelId="{492095E9-7814-4CF0-B062-274C0CAA3777}" type="pres">
      <dgm:prSet presAssocID="{03C00EFC-95B4-479D-A331-3C350D55B524}" presName="node" presStyleLbl="node1" presStyleIdx="2" presStyleCnt="5">
        <dgm:presLayoutVars>
          <dgm:bulletEnabled val="1"/>
        </dgm:presLayoutVars>
      </dgm:prSet>
      <dgm:spPr/>
    </dgm:pt>
    <dgm:pt modelId="{0AB6C405-F2AA-4281-8DB1-3B5FA4590B46}" type="pres">
      <dgm:prSet presAssocID="{187F59F7-D7CD-41ED-9606-AB730EAFAA50}" presName="sibTrans" presStyleLbl="sibTrans2D1" presStyleIdx="2" presStyleCnt="4"/>
      <dgm:spPr/>
    </dgm:pt>
    <dgm:pt modelId="{E907D2D8-28A6-47ED-92F2-23FB8686E677}" type="pres">
      <dgm:prSet presAssocID="{187F59F7-D7CD-41ED-9606-AB730EAFAA50}" presName="connectorText" presStyleLbl="sibTrans2D1" presStyleIdx="2" presStyleCnt="4"/>
      <dgm:spPr/>
    </dgm:pt>
    <dgm:pt modelId="{B86F3485-A917-43CD-A88B-E6E429BF1A4A}" type="pres">
      <dgm:prSet presAssocID="{94F75992-F400-4ADC-BCAE-970245EC8171}" presName="node" presStyleLbl="node1" presStyleIdx="3" presStyleCnt="5">
        <dgm:presLayoutVars>
          <dgm:bulletEnabled val="1"/>
        </dgm:presLayoutVars>
      </dgm:prSet>
      <dgm:spPr/>
    </dgm:pt>
    <dgm:pt modelId="{B8C5D170-2A36-4CB8-9AF3-E232E70217E3}" type="pres">
      <dgm:prSet presAssocID="{56C22062-4AEE-4BB6-B9F3-948829006EED}" presName="sibTrans" presStyleLbl="sibTrans2D1" presStyleIdx="3" presStyleCnt="4"/>
      <dgm:spPr/>
    </dgm:pt>
    <dgm:pt modelId="{2C9B5932-4E01-4019-8AED-91DE02DF964F}" type="pres">
      <dgm:prSet presAssocID="{56C22062-4AEE-4BB6-B9F3-948829006EED}" presName="connectorText" presStyleLbl="sibTrans2D1" presStyleIdx="3" presStyleCnt="4"/>
      <dgm:spPr/>
    </dgm:pt>
    <dgm:pt modelId="{884D6144-3F8C-4CDF-BCB2-8D51278F1F62}" type="pres">
      <dgm:prSet presAssocID="{365FE207-4D03-4483-8E2A-71017E18F882}" presName="node" presStyleLbl="node1" presStyleIdx="4" presStyleCnt="5">
        <dgm:presLayoutVars>
          <dgm:bulletEnabled val="1"/>
        </dgm:presLayoutVars>
      </dgm:prSet>
      <dgm:spPr/>
    </dgm:pt>
  </dgm:ptLst>
  <dgm:cxnLst>
    <dgm:cxn modelId="{08CDFC14-7180-4445-B39E-5073B4232394}" type="presOf" srcId="{1247B28F-6318-4BC1-B885-6DC5DFA109E5}" destId="{72C5AF58-50EE-408F-8DCB-888AF60DA6B1}" srcOrd="0" destOrd="0" presId="urn:microsoft.com/office/officeart/2005/8/layout/process1"/>
    <dgm:cxn modelId="{3A171119-19FD-4B82-9B33-9BEF9B3E5F17}" srcId="{74B74C2A-0754-43D2-9A99-8731505363E9}" destId="{1247B28F-6318-4BC1-B885-6DC5DFA109E5}" srcOrd="1" destOrd="0" parTransId="{03F4FF80-D49D-4E20-A8DE-F3021B4B339C}" sibTransId="{7D487E3F-CFB2-4E0A-83ED-DACF251C2424}"/>
    <dgm:cxn modelId="{EBB23C1F-BE30-434C-8D29-C625F1E8B0B5}" type="presOf" srcId="{64BF6502-6FBD-430C-915D-48AD15AA4103}" destId="{B86F3485-A917-43CD-A88B-E6E429BF1A4A}" srcOrd="0" destOrd="1" presId="urn:microsoft.com/office/officeart/2005/8/layout/process1"/>
    <dgm:cxn modelId="{0B474E1F-BCC4-421C-BD9D-59F952B1408C}" srcId="{A5B2F5DC-F0AB-46C3-A87A-865C8F435153}" destId="{5BD022FC-6183-4F3D-8E0B-5F572E561F2F}" srcOrd="0" destOrd="0" parTransId="{A851D32D-D1E6-47DE-9167-E8089AA07548}" sibTransId="{C5FA407C-C65A-4346-8F2F-0BA6F52EF66C}"/>
    <dgm:cxn modelId="{0399B725-E487-42C2-97BD-0ABD697792BB}" type="presOf" srcId="{5BD022FC-6183-4F3D-8E0B-5F572E561F2F}" destId="{FD6695C4-6F37-44AF-979F-5B0A89697F7F}" srcOrd="0" destOrd="1" presId="urn:microsoft.com/office/officeart/2005/8/layout/process1"/>
    <dgm:cxn modelId="{A1315630-87D9-4FE1-9CA1-0F176A75FB44}" srcId="{74B74C2A-0754-43D2-9A99-8731505363E9}" destId="{365FE207-4D03-4483-8E2A-71017E18F882}" srcOrd="4" destOrd="0" parTransId="{B8BC5B5C-F4F9-492C-B226-A686212A0F37}" sibTransId="{B60274A4-ED3E-4877-8778-3C1DDAC029C0}"/>
    <dgm:cxn modelId="{FAFD6F5E-5C02-4AFA-8C25-AB6362604BEC}" type="presOf" srcId="{187F59F7-D7CD-41ED-9606-AB730EAFAA50}" destId="{0AB6C405-F2AA-4281-8DB1-3B5FA4590B46}" srcOrd="0" destOrd="0" presId="urn:microsoft.com/office/officeart/2005/8/layout/process1"/>
    <dgm:cxn modelId="{9C57F560-1FC5-4412-8E3F-875EEBC4BC09}" srcId="{94F75992-F400-4ADC-BCAE-970245EC8171}" destId="{64BF6502-6FBD-430C-915D-48AD15AA4103}" srcOrd="0" destOrd="0" parTransId="{008F6D33-9141-49A1-AA0C-DC570714353C}" sibTransId="{6D67AB03-DEB9-4DFF-AFD5-2E2EBF8859EC}"/>
    <dgm:cxn modelId="{77639949-4EA5-46A6-BFD8-6151F4D444D7}" srcId="{A5B2F5DC-F0AB-46C3-A87A-865C8F435153}" destId="{CBEAF237-F57A-4C6D-8757-8CBB56DB171A}" srcOrd="1" destOrd="0" parTransId="{F0FE8947-76DA-499E-A08D-E3A02F9E0390}" sibTransId="{F08C95F8-64EF-4A19-AB48-9F0ADE75CEE7}"/>
    <dgm:cxn modelId="{24C5BA4F-178F-4CBC-8F3E-56CD5CA85191}" type="presOf" srcId="{56C22062-4AEE-4BB6-B9F3-948829006EED}" destId="{2C9B5932-4E01-4019-8AED-91DE02DF964F}" srcOrd="1" destOrd="0" presId="urn:microsoft.com/office/officeart/2005/8/layout/process1"/>
    <dgm:cxn modelId="{A0456F50-A314-48D3-8FE0-2B514A7B8B41}" type="presOf" srcId="{365FE207-4D03-4483-8E2A-71017E18F882}" destId="{884D6144-3F8C-4CDF-BCB2-8D51278F1F62}" srcOrd="0" destOrd="0" presId="urn:microsoft.com/office/officeart/2005/8/layout/process1"/>
    <dgm:cxn modelId="{E480AC52-60DD-46D7-A6AA-6BE2C4B27D54}" type="presOf" srcId="{A5B2F5DC-F0AB-46C3-A87A-865C8F435153}" destId="{FD6695C4-6F37-44AF-979F-5B0A89697F7F}" srcOrd="0" destOrd="0" presId="urn:microsoft.com/office/officeart/2005/8/layout/process1"/>
    <dgm:cxn modelId="{FB26A054-C479-4363-A10E-061B87D7348C}" type="presOf" srcId="{75635372-D57C-4889-8688-0D3C39A3B505}" destId="{884D6144-3F8C-4CDF-BCB2-8D51278F1F62}" srcOrd="0" destOrd="1" presId="urn:microsoft.com/office/officeart/2005/8/layout/process1"/>
    <dgm:cxn modelId="{AC3CD67E-27E9-436E-9C71-0655119B3BC7}" type="presOf" srcId="{CBEAF237-F57A-4C6D-8757-8CBB56DB171A}" destId="{FD6695C4-6F37-44AF-979F-5B0A89697F7F}" srcOrd="0" destOrd="2" presId="urn:microsoft.com/office/officeart/2005/8/layout/process1"/>
    <dgm:cxn modelId="{B60E7187-9885-4BBC-B96F-760726683E40}" type="presOf" srcId="{762F1BAD-DF50-4602-A789-642AE804FCC9}" destId="{183A6800-0BA6-4520-9C74-233E1FF72800}" srcOrd="1" destOrd="0" presId="urn:microsoft.com/office/officeart/2005/8/layout/process1"/>
    <dgm:cxn modelId="{3CE7C287-0130-4A43-9014-F121FD3DCA40}" type="presOf" srcId="{762F1BAD-DF50-4602-A789-642AE804FCC9}" destId="{38499706-C86D-4EB9-BAB9-2E2BEFFDBAC9}" srcOrd="0" destOrd="0" presId="urn:microsoft.com/office/officeart/2005/8/layout/process1"/>
    <dgm:cxn modelId="{79A93F8B-8D85-4713-BB42-5E1F457EF0FB}" srcId="{74B74C2A-0754-43D2-9A99-8731505363E9}" destId="{03C00EFC-95B4-479D-A331-3C350D55B524}" srcOrd="2" destOrd="0" parTransId="{8B509424-3FBA-4116-8F64-CDCB65A68116}" sibTransId="{187F59F7-D7CD-41ED-9606-AB730EAFAA50}"/>
    <dgm:cxn modelId="{C96CEB9D-BBFB-447C-BD35-4ED9C2FA142E}" type="presOf" srcId="{7D487E3F-CFB2-4E0A-83ED-DACF251C2424}" destId="{7D827A58-5A6E-4EF7-AEA8-61DE8C08A068}" srcOrd="0" destOrd="0" presId="urn:microsoft.com/office/officeart/2005/8/layout/process1"/>
    <dgm:cxn modelId="{209AB49F-18F4-4CFE-9BB3-77128F89AF4E}" srcId="{365FE207-4D03-4483-8E2A-71017E18F882}" destId="{75635372-D57C-4889-8688-0D3C39A3B505}" srcOrd="0" destOrd="0" parTransId="{AD3D24A6-E4E2-40F1-BBAC-F740C0E0662F}" sibTransId="{85276432-CFD9-4FB2-80B6-70C4F50CA8AC}"/>
    <dgm:cxn modelId="{22AB51A4-F275-4C11-91BD-E91F25130B60}" srcId="{03C00EFC-95B4-479D-A331-3C350D55B524}" destId="{33434434-8928-4C2C-9215-D2222147D28F}" srcOrd="0" destOrd="0" parTransId="{EE670B20-9BBF-47EF-83D5-320436B9697D}" sibTransId="{71318E07-A065-4E54-8A3B-AD4999965E24}"/>
    <dgm:cxn modelId="{A24705A8-3674-4CBE-A27B-D4B8D8A772DE}" type="presOf" srcId="{292DD958-385B-4052-B6CC-B2AA753F7FF9}" destId="{72C5AF58-50EE-408F-8DCB-888AF60DA6B1}" srcOrd="0" destOrd="1" presId="urn:microsoft.com/office/officeart/2005/8/layout/process1"/>
    <dgm:cxn modelId="{421EA0B7-E5F5-46E5-8CFE-BCC4F50EC5DC}" type="presOf" srcId="{56C22062-4AEE-4BB6-B9F3-948829006EED}" destId="{B8C5D170-2A36-4CB8-9AF3-E232E70217E3}" srcOrd="0" destOrd="0" presId="urn:microsoft.com/office/officeart/2005/8/layout/process1"/>
    <dgm:cxn modelId="{B1F5D0BB-B34F-43EB-8306-A552316A4D2E}" type="presOf" srcId="{187F59F7-D7CD-41ED-9606-AB730EAFAA50}" destId="{E907D2D8-28A6-47ED-92F2-23FB8686E677}" srcOrd="1" destOrd="0" presId="urn:microsoft.com/office/officeart/2005/8/layout/process1"/>
    <dgm:cxn modelId="{234C5FBE-A593-4392-90FF-E0EB0F0DE224}" srcId="{1247B28F-6318-4BC1-B885-6DC5DFA109E5}" destId="{292DD958-385B-4052-B6CC-B2AA753F7FF9}" srcOrd="0" destOrd="0" parTransId="{FB1F37BD-AE0E-4F67-B505-61D78778FA2D}" sibTransId="{3D3D1046-35C3-4B26-92FF-26E333B5229B}"/>
    <dgm:cxn modelId="{B86791C0-3798-44E9-BC76-08524FC3D3DB}" type="presOf" srcId="{94F75992-F400-4ADC-BCAE-970245EC8171}" destId="{B86F3485-A917-43CD-A88B-E6E429BF1A4A}" srcOrd="0" destOrd="0" presId="urn:microsoft.com/office/officeart/2005/8/layout/process1"/>
    <dgm:cxn modelId="{D4497ECD-42CA-42D2-9433-46490C613A7E}" type="presOf" srcId="{74B74C2A-0754-43D2-9A99-8731505363E9}" destId="{D05EE52A-9075-4D73-83B7-9E70D347BD30}" srcOrd="0" destOrd="0" presId="urn:microsoft.com/office/officeart/2005/8/layout/process1"/>
    <dgm:cxn modelId="{797FE6D1-7F6B-4F93-A0F3-7D9DE913CAD2}" type="presOf" srcId="{33434434-8928-4C2C-9215-D2222147D28F}" destId="{492095E9-7814-4CF0-B062-274C0CAA3777}" srcOrd="0" destOrd="1" presId="urn:microsoft.com/office/officeart/2005/8/layout/process1"/>
    <dgm:cxn modelId="{ABFFEDE2-0919-4162-8829-66C0E474316E}" srcId="{74B74C2A-0754-43D2-9A99-8731505363E9}" destId="{94F75992-F400-4ADC-BCAE-970245EC8171}" srcOrd="3" destOrd="0" parTransId="{A673D95B-F1AD-44FE-B8DD-57435872B08B}" sibTransId="{56C22062-4AEE-4BB6-B9F3-948829006EED}"/>
    <dgm:cxn modelId="{CC23CDFE-9DA5-4656-B09D-773900E94950}" srcId="{74B74C2A-0754-43D2-9A99-8731505363E9}" destId="{A5B2F5DC-F0AB-46C3-A87A-865C8F435153}" srcOrd="0" destOrd="0" parTransId="{1D31D245-5D0A-441A-8587-2440F84DE696}" sibTransId="{762F1BAD-DF50-4602-A789-642AE804FCC9}"/>
    <dgm:cxn modelId="{B689DCFE-A015-4AC1-8A49-D5CDA149D256}" type="presOf" srcId="{7D487E3F-CFB2-4E0A-83ED-DACF251C2424}" destId="{8EC37578-60FE-4C1A-82D2-35BB9D4D8495}" srcOrd="1" destOrd="0" presId="urn:microsoft.com/office/officeart/2005/8/layout/process1"/>
    <dgm:cxn modelId="{398E59FF-0404-4786-8492-31D2324252ED}" type="presOf" srcId="{03C00EFC-95B4-479D-A331-3C350D55B524}" destId="{492095E9-7814-4CF0-B062-274C0CAA3777}" srcOrd="0" destOrd="0" presId="urn:microsoft.com/office/officeart/2005/8/layout/process1"/>
    <dgm:cxn modelId="{097351F4-653F-408C-B6C5-7B08BFDB3B04}" type="presParOf" srcId="{D05EE52A-9075-4D73-83B7-9E70D347BD30}" destId="{FD6695C4-6F37-44AF-979F-5B0A89697F7F}" srcOrd="0" destOrd="0" presId="urn:microsoft.com/office/officeart/2005/8/layout/process1"/>
    <dgm:cxn modelId="{B0549D0E-095D-441C-AB80-5AE50605C030}" type="presParOf" srcId="{D05EE52A-9075-4D73-83B7-9E70D347BD30}" destId="{38499706-C86D-4EB9-BAB9-2E2BEFFDBAC9}" srcOrd="1" destOrd="0" presId="urn:microsoft.com/office/officeart/2005/8/layout/process1"/>
    <dgm:cxn modelId="{BB017A31-205D-4A51-BFE6-6B8CCBBF0F91}" type="presParOf" srcId="{38499706-C86D-4EB9-BAB9-2E2BEFFDBAC9}" destId="{183A6800-0BA6-4520-9C74-233E1FF72800}" srcOrd="0" destOrd="0" presId="urn:microsoft.com/office/officeart/2005/8/layout/process1"/>
    <dgm:cxn modelId="{B65153F4-8EB2-4AC3-BEB0-C4BEF28ADFB3}" type="presParOf" srcId="{D05EE52A-9075-4D73-83B7-9E70D347BD30}" destId="{72C5AF58-50EE-408F-8DCB-888AF60DA6B1}" srcOrd="2" destOrd="0" presId="urn:microsoft.com/office/officeart/2005/8/layout/process1"/>
    <dgm:cxn modelId="{A3490BEA-E340-4707-BC19-57F9971D1BA7}" type="presParOf" srcId="{D05EE52A-9075-4D73-83B7-9E70D347BD30}" destId="{7D827A58-5A6E-4EF7-AEA8-61DE8C08A068}" srcOrd="3" destOrd="0" presId="urn:microsoft.com/office/officeart/2005/8/layout/process1"/>
    <dgm:cxn modelId="{FA903999-167F-4D60-8512-FE7BB758AE20}" type="presParOf" srcId="{7D827A58-5A6E-4EF7-AEA8-61DE8C08A068}" destId="{8EC37578-60FE-4C1A-82D2-35BB9D4D8495}" srcOrd="0" destOrd="0" presId="urn:microsoft.com/office/officeart/2005/8/layout/process1"/>
    <dgm:cxn modelId="{9507380B-45B1-4564-8B52-D6B2841A6C5B}" type="presParOf" srcId="{D05EE52A-9075-4D73-83B7-9E70D347BD30}" destId="{492095E9-7814-4CF0-B062-274C0CAA3777}" srcOrd="4" destOrd="0" presId="urn:microsoft.com/office/officeart/2005/8/layout/process1"/>
    <dgm:cxn modelId="{19C14E27-F9F1-4866-90AE-08DC145596C2}" type="presParOf" srcId="{D05EE52A-9075-4D73-83B7-9E70D347BD30}" destId="{0AB6C405-F2AA-4281-8DB1-3B5FA4590B46}" srcOrd="5" destOrd="0" presId="urn:microsoft.com/office/officeart/2005/8/layout/process1"/>
    <dgm:cxn modelId="{444A7E4F-5F72-41C7-B9AF-B0B955C99C5B}" type="presParOf" srcId="{0AB6C405-F2AA-4281-8DB1-3B5FA4590B46}" destId="{E907D2D8-28A6-47ED-92F2-23FB8686E677}" srcOrd="0" destOrd="0" presId="urn:microsoft.com/office/officeart/2005/8/layout/process1"/>
    <dgm:cxn modelId="{31545379-9028-4548-9F49-E5DE3CE3459D}" type="presParOf" srcId="{D05EE52A-9075-4D73-83B7-9E70D347BD30}" destId="{B86F3485-A917-43CD-A88B-E6E429BF1A4A}" srcOrd="6" destOrd="0" presId="urn:microsoft.com/office/officeart/2005/8/layout/process1"/>
    <dgm:cxn modelId="{7F0BF7FB-4E88-483E-8853-B93BD3CB0C82}" type="presParOf" srcId="{D05EE52A-9075-4D73-83B7-9E70D347BD30}" destId="{B8C5D170-2A36-4CB8-9AF3-E232E70217E3}" srcOrd="7" destOrd="0" presId="urn:microsoft.com/office/officeart/2005/8/layout/process1"/>
    <dgm:cxn modelId="{4965B253-B8A7-45C8-B6E5-94324CC803AD}" type="presParOf" srcId="{B8C5D170-2A36-4CB8-9AF3-E232E70217E3}" destId="{2C9B5932-4E01-4019-8AED-91DE02DF964F}" srcOrd="0" destOrd="0" presId="urn:microsoft.com/office/officeart/2005/8/layout/process1"/>
    <dgm:cxn modelId="{9201F1FC-011D-4C8D-8819-9C7ECCC7B257}" type="presParOf" srcId="{D05EE52A-9075-4D73-83B7-9E70D347BD30}" destId="{884D6144-3F8C-4CDF-BCB2-8D51278F1F62}" srcOrd="8"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883928E-AEAA-435F-B6B1-1CB395D7B966}" type="doc">
      <dgm:prSet loTypeId="urn:microsoft.com/office/officeart/2005/8/layout/process1" loCatId="process" qsTypeId="urn:microsoft.com/office/officeart/2005/8/quickstyle/simple1" qsCatId="simple" csTypeId="urn:microsoft.com/office/officeart/2005/8/colors/accent0_1" csCatId="mainScheme" phldr="1"/>
      <dgm:spPr/>
    </dgm:pt>
    <dgm:pt modelId="{FDE558D4-1268-4493-AD6E-7CBABD17CC53}">
      <dgm:prSet phldrT="[Text]" custT="1"/>
      <dgm:spPr/>
      <dgm:t>
        <a:bodyPr/>
        <a:lstStyle/>
        <a:p>
          <a:r>
            <a:rPr lang="en-US" sz="1100"/>
            <a:t>Panelists review materials and generate initial estimates</a:t>
          </a:r>
        </a:p>
      </dgm:t>
    </dgm:pt>
    <dgm:pt modelId="{3E50F049-455E-464C-983A-6D9609B3A758}" type="parTrans" cxnId="{843214CD-FD5C-498A-B510-ED5BE176F9D0}">
      <dgm:prSet/>
      <dgm:spPr/>
      <dgm:t>
        <a:bodyPr/>
        <a:lstStyle/>
        <a:p>
          <a:endParaRPr lang="en-US" sz="1400"/>
        </a:p>
      </dgm:t>
    </dgm:pt>
    <dgm:pt modelId="{98F759CF-24A8-48FF-94E4-18163854B0A6}" type="sibTrans" cxnId="{843214CD-FD5C-498A-B510-ED5BE176F9D0}">
      <dgm:prSet custT="1"/>
      <dgm:spPr/>
      <dgm:t>
        <a:bodyPr/>
        <a:lstStyle/>
        <a:p>
          <a:endParaRPr lang="en-US" sz="1000"/>
        </a:p>
      </dgm:t>
    </dgm:pt>
    <dgm:pt modelId="{50790185-B743-4776-9E69-0915783A9778}">
      <dgm:prSet phldrT="[Text]" custT="1"/>
      <dgm:spPr/>
      <dgm:t>
        <a:bodyPr/>
        <a:lstStyle/>
        <a:p>
          <a:r>
            <a:rPr lang="en-US" sz="1100"/>
            <a:t>Evaluators distribute Round 1 estimates and explanations to panelists </a:t>
          </a:r>
        </a:p>
      </dgm:t>
    </dgm:pt>
    <dgm:pt modelId="{4BA4C026-C814-4A4A-9FB8-A520A8371431}" type="parTrans" cxnId="{ACC752F7-41CA-44F6-99E5-6AFBB081E057}">
      <dgm:prSet/>
      <dgm:spPr/>
      <dgm:t>
        <a:bodyPr/>
        <a:lstStyle/>
        <a:p>
          <a:endParaRPr lang="en-US" sz="1400"/>
        </a:p>
      </dgm:t>
    </dgm:pt>
    <dgm:pt modelId="{A0B29B0E-06E2-41E9-A4F6-AFFA56E1D5B8}" type="sibTrans" cxnId="{ACC752F7-41CA-44F6-99E5-6AFBB081E057}">
      <dgm:prSet custT="1"/>
      <dgm:spPr/>
      <dgm:t>
        <a:bodyPr/>
        <a:lstStyle/>
        <a:p>
          <a:endParaRPr lang="en-US" sz="1000"/>
        </a:p>
      </dgm:t>
    </dgm:pt>
    <dgm:pt modelId="{8B2ADE29-178E-4250-8E3D-F8D39BE9B09D}">
      <dgm:prSet phldrT="[Text]" custT="1"/>
      <dgm:spPr/>
      <dgm:t>
        <a:bodyPr/>
        <a:lstStyle/>
        <a:p>
          <a:r>
            <a:rPr lang="en-US" sz="1100"/>
            <a:t>Panelists review estimates of other experts and revise answers</a:t>
          </a:r>
        </a:p>
      </dgm:t>
    </dgm:pt>
    <dgm:pt modelId="{724EDC6D-6B84-401A-9139-7A5C1E442E83}" type="parTrans" cxnId="{910B07BE-7045-4E0B-B92C-7D48C126F4F4}">
      <dgm:prSet/>
      <dgm:spPr/>
      <dgm:t>
        <a:bodyPr/>
        <a:lstStyle/>
        <a:p>
          <a:endParaRPr lang="en-US" sz="1400"/>
        </a:p>
      </dgm:t>
    </dgm:pt>
    <dgm:pt modelId="{7079B398-DCD7-4B2B-B08A-3D73CB37F245}" type="sibTrans" cxnId="{910B07BE-7045-4E0B-B92C-7D48C126F4F4}">
      <dgm:prSet custT="1"/>
      <dgm:spPr/>
      <dgm:t>
        <a:bodyPr/>
        <a:lstStyle/>
        <a:p>
          <a:endParaRPr lang="en-US" sz="1000"/>
        </a:p>
      </dgm:t>
    </dgm:pt>
    <dgm:pt modelId="{1A22E86E-C8BE-4588-8453-C85D28F26371}">
      <dgm:prSet phldrT="[Text]" custT="1"/>
      <dgm:spPr/>
      <dgm:t>
        <a:bodyPr/>
        <a:lstStyle/>
        <a:p>
          <a:r>
            <a:rPr lang="en-US" sz="1100"/>
            <a:t>Evaluators aggregate estimates, eliminate outliers, and determine averages</a:t>
          </a:r>
        </a:p>
      </dgm:t>
    </dgm:pt>
    <dgm:pt modelId="{74841AB8-0416-45F9-B8A7-E2D57751104F}" type="parTrans" cxnId="{F46372D3-5B64-428C-8F51-92BC570F44D9}">
      <dgm:prSet/>
      <dgm:spPr/>
      <dgm:t>
        <a:bodyPr/>
        <a:lstStyle/>
        <a:p>
          <a:endParaRPr lang="en-US" sz="1400"/>
        </a:p>
      </dgm:t>
    </dgm:pt>
    <dgm:pt modelId="{A9A80B18-5B26-4A65-A63C-37A6BC41621A}" type="sibTrans" cxnId="{F46372D3-5B64-428C-8F51-92BC570F44D9}">
      <dgm:prSet/>
      <dgm:spPr/>
      <dgm:t>
        <a:bodyPr/>
        <a:lstStyle/>
        <a:p>
          <a:endParaRPr lang="en-US" sz="1400"/>
        </a:p>
      </dgm:t>
    </dgm:pt>
    <dgm:pt modelId="{39AA4070-DEAA-4A59-8768-59937B886C12}" type="pres">
      <dgm:prSet presAssocID="{5883928E-AEAA-435F-B6B1-1CB395D7B966}" presName="Name0" presStyleCnt="0">
        <dgm:presLayoutVars>
          <dgm:dir/>
          <dgm:resizeHandles val="exact"/>
        </dgm:presLayoutVars>
      </dgm:prSet>
      <dgm:spPr/>
    </dgm:pt>
    <dgm:pt modelId="{B9B06784-9F81-4DDF-917E-69C4191786CD}" type="pres">
      <dgm:prSet presAssocID="{FDE558D4-1268-4493-AD6E-7CBABD17CC53}" presName="node" presStyleLbl="node1" presStyleIdx="0" presStyleCnt="4">
        <dgm:presLayoutVars>
          <dgm:bulletEnabled val="1"/>
        </dgm:presLayoutVars>
      </dgm:prSet>
      <dgm:spPr/>
    </dgm:pt>
    <dgm:pt modelId="{3044DDB9-6F08-461F-BBDD-9CE0968807CB}" type="pres">
      <dgm:prSet presAssocID="{98F759CF-24A8-48FF-94E4-18163854B0A6}" presName="sibTrans" presStyleLbl="sibTrans2D1" presStyleIdx="0" presStyleCnt="3"/>
      <dgm:spPr/>
    </dgm:pt>
    <dgm:pt modelId="{75A3357A-8B9C-45E9-A579-840634A4239F}" type="pres">
      <dgm:prSet presAssocID="{98F759CF-24A8-48FF-94E4-18163854B0A6}" presName="connectorText" presStyleLbl="sibTrans2D1" presStyleIdx="0" presStyleCnt="3"/>
      <dgm:spPr/>
    </dgm:pt>
    <dgm:pt modelId="{AD8F7CA2-A8E7-4B56-BC6F-CFB9D3717359}" type="pres">
      <dgm:prSet presAssocID="{50790185-B743-4776-9E69-0915783A9778}" presName="node" presStyleLbl="node1" presStyleIdx="1" presStyleCnt="4">
        <dgm:presLayoutVars>
          <dgm:bulletEnabled val="1"/>
        </dgm:presLayoutVars>
      </dgm:prSet>
      <dgm:spPr/>
    </dgm:pt>
    <dgm:pt modelId="{B5FC538B-69AC-4DEB-A088-AC7C42E06A8B}" type="pres">
      <dgm:prSet presAssocID="{A0B29B0E-06E2-41E9-A4F6-AFFA56E1D5B8}" presName="sibTrans" presStyleLbl="sibTrans2D1" presStyleIdx="1" presStyleCnt="3"/>
      <dgm:spPr/>
    </dgm:pt>
    <dgm:pt modelId="{737F1D56-FE61-4926-9E16-E74B0EE35636}" type="pres">
      <dgm:prSet presAssocID="{A0B29B0E-06E2-41E9-A4F6-AFFA56E1D5B8}" presName="connectorText" presStyleLbl="sibTrans2D1" presStyleIdx="1" presStyleCnt="3"/>
      <dgm:spPr/>
    </dgm:pt>
    <dgm:pt modelId="{270A843D-8600-42E0-AE24-EF27546E5852}" type="pres">
      <dgm:prSet presAssocID="{8B2ADE29-178E-4250-8E3D-F8D39BE9B09D}" presName="node" presStyleLbl="node1" presStyleIdx="2" presStyleCnt="4">
        <dgm:presLayoutVars>
          <dgm:bulletEnabled val="1"/>
        </dgm:presLayoutVars>
      </dgm:prSet>
      <dgm:spPr/>
    </dgm:pt>
    <dgm:pt modelId="{DC1C2FC9-57A4-4ECC-A104-D630250EF3D8}" type="pres">
      <dgm:prSet presAssocID="{7079B398-DCD7-4B2B-B08A-3D73CB37F245}" presName="sibTrans" presStyleLbl="sibTrans2D1" presStyleIdx="2" presStyleCnt="3"/>
      <dgm:spPr/>
    </dgm:pt>
    <dgm:pt modelId="{DFCB8C99-B7C7-4D89-A377-D2E43247052E}" type="pres">
      <dgm:prSet presAssocID="{7079B398-DCD7-4B2B-B08A-3D73CB37F245}" presName="connectorText" presStyleLbl="sibTrans2D1" presStyleIdx="2" presStyleCnt="3"/>
      <dgm:spPr/>
    </dgm:pt>
    <dgm:pt modelId="{FA2C70B8-CF95-4AF3-8CD1-A36BDEA13628}" type="pres">
      <dgm:prSet presAssocID="{1A22E86E-C8BE-4588-8453-C85D28F26371}" presName="node" presStyleLbl="node1" presStyleIdx="3" presStyleCnt="4">
        <dgm:presLayoutVars>
          <dgm:bulletEnabled val="1"/>
        </dgm:presLayoutVars>
      </dgm:prSet>
      <dgm:spPr/>
    </dgm:pt>
  </dgm:ptLst>
  <dgm:cxnLst>
    <dgm:cxn modelId="{6EDB390D-24FA-4C5E-BC51-38C145523EBF}" type="presOf" srcId="{7079B398-DCD7-4B2B-B08A-3D73CB37F245}" destId="{DFCB8C99-B7C7-4D89-A377-D2E43247052E}" srcOrd="1" destOrd="0" presId="urn:microsoft.com/office/officeart/2005/8/layout/process1"/>
    <dgm:cxn modelId="{03F2AE1F-A30F-4E54-9946-EE91CAAF1275}" type="presOf" srcId="{98F759CF-24A8-48FF-94E4-18163854B0A6}" destId="{75A3357A-8B9C-45E9-A579-840634A4239F}" srcOrd="1" destOrd="0" presId="urn:microsoft.com/office/officeart/2005/8/layout/process1"/>
    <dgm:cxn modelId="{16E5A138-910C-4B16-9911-9EE85830D256}" type="presOf" srcId="{FDE558D4-1268-4493-AD6E-7CBABD17CC53}" destId="{B9B06784-9F81-4DDF-917E-69C4191786CD}" srcOrd="0" destOrd="0" presId="urn:microsoft.com/office/officeart/2005/8/layout/process1"/>
    <dgm:cxn modelId="{84A9984B-0D43-4E63-8805-EAAC9C2ED87D}" type="presOf" srcId="{1A22E86E-C8BE-4588-8453-C85D28F26371}" destId="{FA2C70B8-CF95-4AF3-8CD1-A36BDEA13628}" srcOrd="0" destOrd="0" presId="urn:microsoft.com/office/officeart/2005/8/layout/process1"/>
    <dgm:cxn modelId="{910F9454-EED1-4B4F-9E7D-B995B80E3611}" type="presOf" srcId="{8B2ADE29-178E-4250-8E3D-F8D39BE9B09D}" destId="{270A843D-8600-42E0-AE24-EF27546E5852}" srcOrd="0" destOrd="0" presId="urn:microsoft.com/office/officeart/2005/8/layout/process1"/>
    <dgm:cxn modelId="{2B6A9856-6FD4-4A67-A3D6-00CC72FB7962}" type="presOf" srcId="{A0B29B0E-06E2-41E9-A4F6-AFFA56E1D5B8}" destId="{737F1D56-FE61-4926-9E16-E74B0EE35636}" srcOrd="1" destOrd="0" presId="urn:microsoft.com/office/officeart/2005/8/layout/process1"/>
    <dgm:cxn modelId="{9C0B7959-06A8-4F58-B702-AF380CBF2EB8}" type="presOf" srcId="{7079B398-DCD7-4B2B-B08A-3D73CB37F245}" destId="{DC1C2FC9-57A4-4ECC-A104-D630250EF3D8}" srcOrd="0" destOrd="0" presId="urn:microsoft.com/office/officeart/2005/8/layout/process1"/>
    <dgm:cxn modelId="{E2AFE07F-95BC-43D2-BB95-25F96E25FD9C}" type="presOf" srcId="{5883928E-AEAA-435F-B6B1-1CB395D7B966}" destId="{39AA4070-DEAA-4A59-8768-59937B886C12}" srcOrd="0" destOrd="0" presId="urn:microsoft.com/office/officeart/2005/8/layout/process1"/>
    <dgm:cxn modelId="{2C6EE68C-18A4-457A-986F-286E4E92D4A6}" type="presOf" srcId="{A0B29B0E-06E2-41E9-A4F6-AFFA56E1D5B8}" destId="{B5FC538B-69AC-4DEB-A088-AC7C42E06A8B}" srcOrd="0" destOrd="0" presId="urn:microsoft.com/office/officeart/2005/8/layout/process1"/>
    <dgm:cxn modelId="{910B07BE-7045-4E0B-B92C-7D48C126F4F4}" srcId="{5883928E-AEAA-435F-B6B1-1CB395D7B966}" destId="{8B2ADE29-178E-4250-8E3D-F8D39BE9B09D}" srcOrd="2" destOrd="0" parTransId="{724EDC6D-6B84-401A-9139-7A5C1E442E83}" sibTransId="{7079B398-DCD7-4B2B-B08A-3D73CB37F245}"/>
    <dgm:cxn modelId="{843214CD-FD5C-498A-B510-ED5BE176F9D0}" srcId="{5883928E-AEAA-435F-B6B1-1CB395D7B966}" destId="{FDE558D4-1268-4493-AD6E-7CBABD17CC53}" srcOrd="0" destOrd="0" parTransId="{3E50F049-455E-464C-983A-6D9609B3A758}" sibTransId="{98F759CF-24A8-48FF-94E4-18163854B0A6}"/>
    <dgm:cxn modelId="{F46372D3-5B64-428C-8F51-92BC570F44D9}" srcId="{5883928E-AEAA-435F-B6B1-1CB395D7B966}" destId="{1A22E86E-C8BE-4588-8453-C85D28F26371}" srcOrd="3" destOrd="0" parTransId="{74841AB8-0416-45F9-B8A7-E2D57751104F}" sibTransId="{A9A80B18-5B26-4A65-A63C-37A6BC41621A}"/>
    <dgm:cxn modelId="{ACC752F7-41CA-44F6-99E5-6AFBB081E057}" srcId="{5883928E-AEAA-435F-B6B1-1CB395D7B966}" destId="{50790185-B743-4776-9E69-0915783A9778}" srcOrd="1" destOrd="0" parTransId="{4BA4C026-C814-4A4A-9FB8-A520A8371431}" sibTransId="{A0B29B0E-06E2-41E9-A4F6-AFFA56E1D5B8}"/>
    <dgm:cxn modelId="{76C331F9-9239-4E97-AC55-DC56C955F46B}" type="presOf" srcId="{50790185-B743-4776-9E69-0915783A9778}" destId="{AD8F7CA2-A8E7-4B56-BC6F-CFB9D3717359}" srcOrd="0" destOrd="0" presId="urn:microsoft.com/office/officeart/2005/8/layout/process1"/>
    <dgm:cxn modelId="{E04D6FFB-9378-4E43-9B62-4F63DA2A585B}" type="presOf" srcId="{98F759CF-24A8-48FF-94E4-18163854B0A6}" destId="{3044DDB9-6F08-461F-BBDD-9CE0968807CB}" srcOrd="0" destOrd="0" presId="urn:microsoft.com/office/officeart/2005/8/layout/process1"/>
    <dgm:cxn modelId="{9D02B16F-F767-4365-AA05-893BE3F61760}" type="presParOf" srcId="{39AA4070-DEAA-4A59-8768-59937B886C12}" destId="{B9B06784-9F81-4DDF-917E-69C4191786CD}" srcOrd="0" destOrd="0" presId="urn:microsoft.com/office/officeart/2005/8/layout/process1"/>
    <dgm:cxn modelId="{C8C33F38-3917-47E5-8F93-2986B9756505}" type="presParOf" srcId="{39AA4070-DEAA-4A59-8768-59937B886C12}" destId="{3044DDB9-6F08-461F-BBDD-9CE0968807CB}" srcOrd="1" destOrd="0" presId="urn:microsoft.com/office/officeart/2005/8/layout/process1"/>
    <dgm:cxn modelId="{2DC24225-A03D-4358-8D50-60F207E0A38C}" type="presParOf" srcId="{3044DDB9-6F08-461F-BBDD-9CE0968807CB}" destId="{75A3357A-8B9C-45E9-A579-840634A4239F}" srcOrd="0" destOrd="0" presId="urn:microsoft.com/office/officeart/2005/8/layout/process1"/>
    <dgm:cxn modelId="{E2345383-E5CC-41C1-BF69-BD293884F1D9}" type="presParOf" srcId="{39AA4070-DEAA-4A59-8768-59937B886C12}" destId="{AD8F7CA2-A8E7-4B56-BC6F-CFB9D3717359}" srcOrd="2" destOrd="0" presId="urn:microsoft.com/office/officeart/2005/8/layout/process1"/>
    <dgm:cxn modelId="{6C124F77-6C6C-44E5-B8F4-A7622F2FBD23}" type="presParOf" srcId="{39AA4070-DEAA-4A59-8768-59937B886C12}" destId="{B5FC538B-69AC-4DEB-A088-AC7C42E06A8B}" srcOrd="3" destOrd="0" presId="urn:microsoft.com/office/officeart/2005/8/layout/process1"/>
    <dgm:cxn modelId="{D8CCDF64-430F-420B-9BC6-93820FF10979}" type="presParOf" srcId="{B5FC538B-69AC-4DEB-A088-AC7C42E06A8B}" destId="{737F1D56-FE61-4926-9E16-E74B0EE35636}" srcOrd="0" destOrd="0" presId="urn:microsoft.com/office/officeart/2005/8/layout/process1"/>
    <dgm:cxn modelId="{F0EEEA12-DD4A-4C0C-93AF-29E0964E19EE}" type="presParOf" srcId="{39AA4070-DEAA-4A59-8768-59937B886C12}" destId="{270A843D-8600-42E0-AE24-EF27546E5852}" srcOrd="4" destOrd="0" presId="urn:microsoft.com/office/officeart/2005/8/layout/process1"/>
    <dgm:cxn modelId="{5AD76F6B-7E65-43E1-B7DA-A13073CF7924}" type="presParOf" srcId="{39AA4070-DEAA-4A59-8768-59937B886C12}" destId="{DC1C2FC9-57A4-4ECC-A104-D630250EF3D8}" srcOrd="5" destOrd="0" presId="urn:microsoft.com/office/officeart/2005/8/layout/process1"/>
    <dgm:cxn modelId="{7E23FD8A-4036-43B4-B17D-A3EECBDE945D}" type="presParOf" srcId="{DC1C2FC9-57A4-4ECC-A104-D630250EF3D8}" destId="{DFCB8C99-B7C7-4D89-A377-D2E43247052E}" srcOrd="0" destOrd="0" presId="urn:microsoft.com/office/officeart/2005/8/layout/process1"/>
    <dgm:cxn modelId="{8E5F2439-3272-4DDE-B647-41F7AEB62397}" type="presParOf" srcId="{39AA4070-DEAA-4A59-8768-59937B886C12}" destId="{FA2C70B8-CF95-4AF3-8CD1-A36BDEA13628}" srcOrd="6"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6695C4-6F37-44AF-979F-5B0A89697F7F}">
      <dsp:nvSpPr>
        <dsp:cNvPr id="0" name=""/>
        <dsp:cNvSpPr/>
      </dsp:nvSpPr>
      <dsp:spPr>
        <a:xfrm>
          <a:off x="2874" y="51605"/>
          <a:ext cx="891015" cy="121670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Gross Technical Potential </a:t>
          </a:r>
        </a:p>
        <a:p>
          <a:pPr marL="57150" lvl="1" indent="-57150" algn="l" defTabSz="400050">
            <a:lnSpc>
              <a:spcPct val="90000"/>
            </a:lnSpc>
            <a:spcBef>
              <a:spcPct val="0"/>
            </a:spcBef>
            <a:spcAft>
              <a:spcPct val="15000"/>
            </a:spcAft>
            <a:buChar char="•"/>
          </a:pPr>
          <a:r>
            <a:rPr lang="en-US" sz="900" kern="1200"/>
            <a:t>Market Size </a:t>
          </a:r>
        </a:p>
        <a:p>
          <a:pPr marL="57150" lvl="1" indent="-57150" algn="l" defTabSz="400050">
            <a:lnSpc>
              <a:spcPct val="90000"/>
            </a:lnSpc>
            <a:spcBef>
              <a:spcPct val="0"/>
            </a:spcBef>
            <a:spcAft>
              <a:spcPct val="15000"/>
            </a:spcAft>
            <a:buChar char="•"/>
          </a:pPr>
          <a:r>
            <a:rPr lang="en-US" sz="900" kern="1200"/>
            <a:t>Unit Energy Savings </a:t>
          </a:r>
        </a:p>
      </dsp:txBody>
      <dsp:txXfrm>
        <a:off x="28971" y="77702"/>
        <a:ext cx="838821" cy="1164511"/>
      </dsp:txXfrm>
    </dsp:sp>
    <dsp:sp modelId="{38499706-C86D-4EB9-BAB9-2E2BEFFDBAC9}">
      <dsp:nvSpPr>
        <dsp:cNvPr id="0" name=""/>
        <dsp:cNvSpPr/>
      </dsp:nvSpPr>
      <dsp:spPr>
        <a:xfrm>
          <a:off x="982991" y="549472"/>
          <a:ext cx="188895" cy="2209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982991" y="593666"/>
        <a:ext cx="132227" cy="132583"/>
      </dsp:txXfrm>
    </dsp:sp>
    <dsp:sp modelId="{72C5AF58-50EE-408F-8DCB-888AF60DA6B1}">
      <dsp:nvSpPr>
        <dsp:cNvPr id="0" name=""/>
        <dsp:cNvSpPr/>
      </dsp:nvSpPr>
      <dsp:spPr>
        <a:xfrm>
          <a:off x="1250295" y="51605"/>
          <a:ext cx="891015" cy="121670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Gross Energy Savings 	</a:t>
          </a:r>
        </a:p>
        <a:p>
          <a:pPr marL="57150" lvl="1" indent="-57150" algn="l" defTabSz="400050">
            <a:lnSpc>
              <a:spcPct val="90000"/>
            </a:lnSpc>
            <a:spcBef>
              <a:spcPct val="0"/>
            </a:spcBef>
            <a:spcAft>
              <a:spcPct val="15000"/>
            </a:spcAft>
            <a:buChar char="•"/>
          </a:pPr>
          <a:r>
            <a:rPr lang="en-US" sz="900" kern="1200"/>
            <a:t>Predict what compliance will look like over time</a:t>
          </a:r>
        </a:p>
      </dsp:txBody>
      <dsp:txXfrm>
        <a:off x="1276392" y="77702"/>
        <a:ext cx="838821" cy="1164511"/>
      </dsp:txXfrm>
    </dsp:sp>
    <dsp:sp modelId="{7D827A58-5A6E-4EF7-AEA8-61DE8C08A068}">
      <dsp:nvSpPr>
        <dsp:cNvPr id="0" name=""/>
        <dsp:cNvSpPr/>
      </dsp:nvSpPr>
      <dsp:spPr>
        <a:xfrm>
          <a:off x="2230412" y="549472"/>
          <a:ext cx="188895" cy="2209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230412" y="593666"/>
        <a:ext cx="132227" cy="132583"/>
      </dsp:txXfrm>
    </dsp:sp>
    <dsp:sp modelId="{492095E9-7814-4CF0-B062-274C0CAA3777}">
      <dsp:nvSpPr>
        <dsp:cNvPr id="0" name=""/>
        <dsp:cNvSpPr/>
      </dsp:nvSpPr>
      <dsp:spPr>
        <a:xfrm>
          <a:off x="2497717" y="51605"/>
          <a:ext cx="891015" cy="121670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Net Energy Savings</a:t>
          </a:r>
        </a:p>
        <a:p>
          <a:pPr marL="57150" lvl="1" indent="-57150" algn="l" defTabSz="400050">
            <a:lnSpc>
              <a:spcPct val="90000"/>
            </a:lnSpc>
            <a:spcBef>
              <a:spcPct val="0"/>
            </a:spcBef>
            <a:spcAft>
              <a:spcPct val="15000"/>
            </a:spcAft>
            <a:buChar char="•"/>
          </a:pPr>
          <a:r>
            <a:rPr lang="en-US" sz="900" kern="1200"/>
            <a:t>Estimate NOMAD</a:t>
          </a:r>
        </a:p>
      </dsp:txBody>
      <dsp:txXfrm>
        <a:off x="2523814" y="77702"/>
        <a:ext cx="838821" cy="1164511"/>
      </dsp:txXfrm>
    </dsp:sp>
    <dsp:sp modelId="{0AB6C405-F2AA-4281-8DB1-3B5FA4590B46}">
      <dsp:nvSpPr>
        <dsp:cNvPr id="0" name=""/>
        <dsp:cNvSpPr/>
      </dsp:nvSpPr>
      <dsp:spPr>
        <a:xfrm>
          <a:off x="3477834" y="549472"/>
          <a:ext cx="188895" cy="2209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3477834" y="593666"/>
        <a:ext cx="132227" cy="132583"/>
      </dsp:txXfrm>
    </dsp:sp>
    <dsp:sp modelId="{B86F3485-A917-43CD-A88B-E6E429BF1A4A}">
      <dsp:nvSpPr>
        <dsp:cNvPr id="0" name=""/>
        <dsp:cNvSpPr/>
      </dsp:nvSpPr>
      <dsp:spPr>
        <a:xfrm>
          <a:off x="3745138" y="51605"/>
          <a:ext cx="891015" cy="121670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Net Program Savings</a:t>
          </a:r>
        </a:p>
        <a:p>
          <a:pPr marL="57150" lvl="1" indent="-57150" algn="l" defTabSz="400050">
            <a:lnSpc>
              <a:spcPct val="90000"/>
            </a:lnSpc>
            <a:spcBef>
              <a:spcPct val="0"/>
            </a:spcBef>
            <a:spcAft>
              <a:spcPct val="15000"/>
            </a:spcAft>
            <a:buChar char="•"/>
          </a:pPr>
          <a:r>
            <a:rPr lang="en-US" sz="900" kern="1200"/>
            <a:t> Attribution </a:t>
          </a:r>
        </a:p>
      </dsp:txBody>
      <dsp:txXfrm>
        <a:off x="3771235" y="77702"/>
        <a:ext cx="838821" cy="1164511"/>
      </dsp:txXfrm>
    </dsp:sp>
    <dsp:sp modelId="{B8C5D170-2A36-4CB8-9AF3-E232E70217E3}">
      <dsp:nvSpPr>
        <dsp:cNvPr id="0" name=""/>
        <dsp:cNvSpPr/>
      </dsp:nvSpPr>
      <dsp:spPr>
        <a:xfrm>
          <a:off x="4725255" y="549472"/>
          <a:ext cx="188895" cy="22097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725255" y="593666"/>
        <a:ext cx="132227" cy="132583"/>
      </dsp:txXfrm>
    </dsp:sp>
    <dsp:sp modelId="{884D6144-3F8C-4CDF-BCB2-8D51278F1F62}">
      <dsp:nvSpPr>
        <dsp:cNvPr id="0" name=""/>
        <dsp:cNvSpPr/>
      </dsp:nvSpPr>
      <dsp:spPr>
        <a:xfrm>
          <a:off x="4992560" y="51605"/>
          <a:ext cx="891015" cy="121670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Savings By Utility </a:t>
          </a:r>
        </a:p>
        <a:p>
          <a:pPr marL="57150" lvl="1" indent="-57150" algn="l" defTabSz="400050">
            <a:lnSpc>
              <a:spcPct val="90000"/>
            </a:lnSpc>
            <a:spcBef>
              <a:spcPct val="0"/>
            </a:spcBef>
            <a:spcAft>
              <a:spcPct val="15000"/>
            </a:spcAft>
            <a:buChar char="•"/>
          </a:pPr>
          <a:r>
            <a:rPr lang="en-US" sz="900" kern="1200"/>
            <a:t>Allocation </a:t>
          </a:r>
        </a:p>
      </dsp:txBody>
      <dsp:txXfrm>
        <a:off x="5018657" y="77702"/>
        <a:ext cx="838821" cy="11645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06784-9F81-4DDF-917E-69C4191786CD}">
      <dsp:nvSpPr>
        <dsp:cNvPr id="0" name=""/>
        <dsp:cNvSpPr/>
      </dsp:nvSpPr>
      <dsp:spPr>
        <a:xfrm>
          <a:off x="2623"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Panelists review materials and generate initial estimates</a:t>
          </a:r>
        </a:p>
      </dsp:txBody>
      <dsp:txXfrm>
        <a:off x="36217" y="44501"/>
        <a:ext cx="1079779" cy="1161826"/>
      </dsp:txXfrm>
    </dsp:sp>
    <dsp:sp modelId="{3044DDB9-6F08-461F-BBDD-9CE0968807CB}">
      <dsp:nvSpPr>
        <dsp:cNvPr id="0" name=""/>
        <dsp:cNvSpPr/>
      </dsp:nvSpPr>
      <dsp:spPr>
        <a:xfrm>
          <a:off x="1264287" y="483190"/>
          <a:ext cx="243157" cy="2844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264287" y="540080"/>
        <a:ext cx="170210" cy="170668"/>
      </dsp:txXfrm>
    </dsp:sp>
    <dsp:sp modelId="{AD8F7CA2-A8E7-4B56-BC6F-CFB9D3717359}">
      <dsp:nvSpPr>
        <dsp:cNvPr id="0" name=""/>
        <dsp:cNvSpPr/>
      </dsp:nvSpPr>
      <dsp:spPr>
        <a:xfrm>
          <a:off x="1608378"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Evaluators distribute Round 1 estimates and explanations to panelists </a:t>
          </a:r>
        </a:p>
      </dsp:txBody>
      <dsp:txXfrm>
        <a:off x="1641972" y="44501"/>
        <a:ext cx="1079779" cy="1161826"/>
      </dsp:txXfrm>
    </dsp:sp>
    <dsp:sp modelId="{B5FC538B-69AC-4DEB-A088-AC7C42E06A8B}">
      <dsp:nvSpPr>
        <dsp:cNvPr id="0" name=""/>
        <dsp:cNvSpPr/>
      </dsp:nvSpPr>
      <dsp:spPr>
        <a:xfrm>
          <a:off x="2870042" y="483190"/>
          <a:ext cx="243157" cy="2844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870042" y="540080"/>
        <a:ext cx="170210" cy="170668"/>
      </dsp:txXfrm>
    </dsp:sp>
    <dsp:sp modelId="{270A843D-8600-42E0-AE24-EF27546E5852}">
      <dsp:nvSpPr>
        <dsp:cNvPr id="0" name=""/>
        <dsp:cNvSpPr/>
      </dsp:nvSpPr>
      <dsp:spPr>
        <a:xfrm>
          <a:off x="3214133"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Panelists review estimates of other experts and revise answers</a:t>
          </a:r>
        </a:p>
      </dsp:txBody>
      <dsp:txXfrm>
        <a:off x="3247727" y="44501"/>
        <a:ext cx="1079779" cy="1161826"/>
      </dsp:txXfrm>
    </dsp:sp>
    <dsp:sp modelId="{DC1C2FC9-57A4-4ECC-A104-D630250EF3D8}">
      <dsp:nvSpPr>
        <dsp:cNvPr id="0" name=""/>
        <dsp:cNvSpPr/>
      </dsp:nvSpPr>
      <dsp:spPr>
        <a:xfrm>
          <a:off x="4475797" y="483190"/>
          <a:ext cx="243157" cy="28444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475797" y="540080"/>
        <a:ext cx="170210" cy="170668"/>
      </dsp:txXfrm>
    </dsp:sp>
    <dsp:sp modelId="{FA2C70B8-CF95-4AF3-8CD1-A36BDEA13628}">
      <dsp:nvSpPr>
        <dsp:cNvPr id="0" name=""/>
        <dsp:cNvSpPr/>
      </dsp:nvSpPr>
      <dsp:spPr>
        <a:xfrm>
          <a:off x="4819887" y="10907"/>
          <a:ext cx="1146967" cy="12290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Evaluators aggregate estimates, eliminate outliers, and determine averages</a:t>
          </a:r>
        </a:p>
      </dsp:txBody>
      <dsp:txXfrm>
        <a:off x="4853481" y="44501"/>
        <a:ext cx="1079779" cy="11618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3E78B2F71CD46B69241FF64C1FB19" ma:contentTypeVersion="11" ma:contentTypeDescription="Create a new document." ma:contentTypeScope="" ma:versionID="ecd689aebbbed39d10da0c36f465e3b3">
  <xsd:schema xmlns:xsd="http://www.w3.org/2001/XMLSchema" xmlns:xs="http://www.w3.org/2001/XMLSchema" xmlns:p="http://schemas.microsoft.com/office/2006/metadata/properties" xmlns:ns2="7647826f-7279-4b82-a912-0b6dbb803e70" xmlns:ns3="5af32336-147d-4ef9-a042-c04575c21ba0" targetNamespace="http://schemas.microsoft.com/office/2006/metadata/properties" ma:root="true" ma:fieldsID="3efa781117e76e17e1a70b306c5e6b2d" ns2:_="" ns3:_="">
    <xsd:import namespace="7647826f-7279-4b82-a912-0b6dbb803e70"/>
    <xsd:import namespace="5af32336-147d-4ef9-a042-c04575c2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826f-7279-4b82-a912-0b6dbb803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32336-147d-4ef9-a042-c04575c21b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4DCE7-80ED-489A-B44B-B3B1DAEC6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826f-7279-4b82-a912-0b6dbb803e70"/>
    <ds:schemaRef ds:uri="5af32336-147d-4ef9-a042-c04575c2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1BFC0-710D-4797-A178-48A0501F7EDF}">
  <ds:schemaRefs>
    <ds:schemaRef ds:uri="http://schemas.openxmlformats.org/officeDocument/2006/bibliography"/>
  </ds:schemaRefs>
</ds:datastoreItem>
</file>

<file path=customXml/itemProps3.xml><?xml version="1.0" encoding="utf-8"?>
<ds:datastoreItem xmlns:ds="http://schemas.openxmlformats.org/officeDocument/2006/customXml" ds:itemID="{9EA652C5-1F3D-423C-8D05-FF7D5F7A00F6}">
  <ds:schemaRefs>
    <ds:schemaRef ds:uri="http://schemas.microsoft.com/sharepoint/v3/contenttype/forms"/>
  </ds:schemaRefs>
</ds:datastoreItem>
</file>

<file path=customXml/itemProps4.xml><?xml version="1.0" encoding="utf-8"?>
<ds:datastoreItem xmlns:ds="http://schemas.openxmlformats.org/officeDocument/2006/customXml" ds:itemID="{AB7CC500-A7D4-4D48-9EAC-52378F620E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Slipstream Report Template sans serif (1)</Template>
  <TotalTime>0</TotalTime>
  <Pages>13</Pages>
  <Words>3983</Words>
  <Characters>22708</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Slipstream Report Template sans serif</dc:title>
  <dc:subject/>
  <dc:creator>Jeannette LeZaks</dc:creator>
  <cp:keywords/>
  <dc:description/>
  <cp:lastModifiedBy>Celia Johnson</cp:lastModifiedBy>
  <cp:revision>2</cp:revision>
  <dcterms:created xsi:type="dcterms:W3CDTF">2021-07-23T18:17:00Z</dcterms:created>
  <dcterms:modified xsi:type="dcterms:W3CDTF">2021-07-23T18:17:00Z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onSparky">
    <vt:bool>true</vt:bool>
  </property>
  <property fmtid="{D5CDD505-2E9C-101B-9397-08002B2CF9AE}" pid="3" name="ContentTypeId">
    <vt:lpwstr>0x010100C393E78B2F71CD46B69241FF64C1FB19</vt:lpwstr>
  </property>
</Properties>
</file>