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40" w:type="dxa"/>
        <w:jc w:val="center"/>
        <w:tblLook w:val="04A0" w:firstRow="1" w:lastRow="0" w:firstColumn="1" w:lastColumn="0" w:noHBand="0" w:noVBand="1"/>
      </w:tblPr>
      <w:tblGrid>
        <w:gridCol w:w="3480"/>
        <w:gridCol w:w="1320"/>
        <w:gridCol w:w="6140"/>
      </w:tblGrid>
      <w:tr w:rsidR="00E53B1B" w:rsidRPr="00E53B1B" w14:paraId="4D2D2389" w14:textId="77777777" w:rsidTr="00E53B1B">
        <w:trPr>
          <w:trHeight w:val="310"/>
          <w:jc w:val="center"/>
        </w:trPr>
        <w:tc>
          <w:tcPr>
            <w:tcW w:w="3480" w:type="dxa"/>
            <w:vMerge w:val="restart"/>
            <w:tcBorders>
              <w:top w:val="nil"/>
              <w:left w:val="nil"/>
              <w:bottom w:val="nil"/>
              <w:right w:val="single" w:sz="4" w:space="0" w:color="auto"/>
            </w:tcBorders>
            <w:shd w:val="clear" w:color="auto" w:fill="auto"/>
            <w:vAlign w:val="center"/>
            <w:hideMark/>
          </w:tcPr>
          <w:p w14:paraId="185D9EEE" w14:textId="77777777" w:rsidR="00E53B1B" w:rsidRPr="00E53B1B" w:rsidRDefault="00E53B1B" w:rsidP="00E53B1B">
            <w:pPr>
              <w:spacing w:after="0" w:line="240" w:lineRule="auto"/>
              <w:jc w:val="center"/>
              <w:rPr>
                <w:rFonts w:ascii="Arial" w:eastAsia="Times New Roman" w:hAnsi="Arial" w:cs="Arial"/>
                <w:b/>
                <w:bCs/>
                <w:color w:val="000000"/>
                <w:sz w:val="38"/>
                <w:szCs w:val="38"/>
              </w:rPr>
            </w:pPr>
            <w:r w:rsidRPr="00E53B1B">
              <w:rPr>
                <w:rFonts w:ascii="Arial" w:eastAsia="Times New Roman" w:hAnsi="Arial" w:cs="Arial"/>
                <w:b/>
                <w:bCs/>
                <w:color w:val="000000"/>
                <w:sz w:val="38"/>
                <w:szCs w:val="38"/>
              </w:rPr>
              <w:t>Illinois EE Stakeholder Advisory Group (SAG) Meeting:</w:t>
            </w:r>
            <w:r w:rsidRPr="00E53B1B">
              <w:rPr>
                <w:rFonts w:ascii="Arial" w:eastAsia="Times New Roman" w:hAnsi="Arial" w:cs="Arial"/>
                <w:b/>
                <w:bCs/>
                <w:color w:val="000000"/>
                <w:sz w:val="38"/>
                <w:szCs w:val="38"/>
              </w:rPr>
              <w:br/>
              <w:t>Tuesday, May 14, 2024</w:t>
            </w:r>
            <w:r w:rsidRPr="00E53B1B">
              <w:rPr>
                <w:rFonts w:ascii="Arial" w:eastAsia="Times New Roman" w:hAnsi="Arial" w:cs="Arial"/>
                <w:b/>
                <w:bCs/>
                <w:color w:val="000000"/>
                <w:sz w:val="38"/>
                <w:szCs w:val="38"/>
              </w:rPr>
              <w:br/>
            </w:r>
            <w:r w:rsidRPr="00E53B1B">
              <w:rPr>
                <w:rFonts w:ascii="Arial" w:eastAsia="Times New Roman" w:hAnsi="Arial" w:cs="Arial"/>
                <w:b/>
                <w:bCs/>
                <w:color w:val="000000"/>
                <w:sz w:val="38"/>
                <w:szCs w:val="38"/>
              </w:rPr>
              <w:br/>
              <w:t>Utility Responses to Submitted Energy Efficiency Ideas</w:t>
            </w:r>
          </w:p>
        </w:tc>
        <w:tc>
          <w:tcPr>
            <w:tcW w:w="7460"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5AA6D458" w14:textId="77777777" w:rsidR="00E53B1B" w:rsidRPr="00E53B1B" w:rsidRDefault="00E53B1B" w:rsidP="00E53B1B">
            <w:pPr>
              <w:spacing w:after="0" w:line="240" w:lineRule="auto"/>
              <w:jc w:val="center"/>
              <w:rPr>
                <w:rFonts w:ascii="Arial" w:eastAsia="Times New Roman" w:hAnsi="Arial" w:cs="Arial"/>
                <w:b/>
                <w:bCs/>
                <w:sz w:val="24"/>
                <w:szCs w:val="24"/>
              </w:rPr>
            </w:pPr>
            <w:r w:rsidRPr="00E53B1B">
              <w:rPr>
                <w:rFonts w:ascii="Arial" w:eastAsia="Times New Roman" w:hAnsi="Arial" w:cs="Arial"/>
                <w:b/>
                <w:bCs/>
                <w:sz w:val="24"/>
                <w:szCs w:val="24"/>
              </w:rPr>
              <w:t>Color Codes for Utility Responses</w:t>
            </w:r>
          </w:p>
        </w:tc>
      </w:tr>
      <w:tr w:rsidR="00E53B1B" w:rsidRPr="00E53B1B" w14:paraId="4E3ED6DA" w14:textId="77777777" w:rsidTr="00E53B1B">
        <w:trPr>
          <w:trHeight w:val="750"/>
          <w:jc w:val="center"/>
        </w:trPr>
        <w:tc>
          <w:tcPr>
            <w:tcW w:w="3480" w:type="dxa"/>
            <w:vMerge/>
            <w:tcBorders>
              <w:top w:val="nil"/>
              <w:left w:val="nil"/>
              <w:bottom w:val="nil"/>
              <w:right w:val="single" w:sz="4" w:space="0" w:color="auto"/>
            </w:tcBorders>
            <w:vAlign w:val="center"/>
            <w:hideMark/>
          </w:tcPr>
          <w:p w14:paraId="57B92A5E" w14:textId="77777777" w:rsidR="00E53B1B" w:rsidRPr="00E53B1B" w:rsidRDefault="00E53B1B" w:rsidP="00E53B1B">
            <w:pPr>
              <w:spacing w:after="0" w:line="240" w:lineRule="auto"/>
              <w:rPr>
                <w:rFonts w:ascii="Arial" w:eastAsia="Times New Roman" w:hAnsi="Arial" w:cs="Arial"/>
                <w:b/>
                <w:bCs/>
                <w:color w:val="000000"/>
                <w:sz w:val="32"/>
                <w:szCs w:val="32"/>
              </w:rPr>
            </w:pPr>
          </w:p>
        </w:tc>
        <w:tc>
          <w:tcPr>
            <w:tcW w:w="1320" w:type="dxa"/>
            <w:tcBorders>
              <w:top w:val="nil"/>
              <w:left w:val="nil"/>
              <w:bottom w:val="single" w:sz="4" w:space="0" w:color="auto"/>
              <w:right w:val="single" w:sz="4" w:space="0" w:color="auto"/>
            </w:tcBorders>
            <w:shd w:val="clear" w:color="000000" w:fill="C6E0B4"/>
            <w:noWrap/>
            <w:vAlign w:val="center"/>
            <w:hideMark/>
          </w:tcPr>
          <w:p w14:paraId="759B2BB1" w14:textId="77777777" w:rsidR="00E53B1B" w:rsidRPr="00E53B1B" w:rsidRDefault="00E53B1B" w:rsidP="00E53B1B">
            <w:pPr>
              <w:spacing w:after="0" w:line="240" w:lineRule="auto"/>
              <w:jc w:val="center"/>
              <w:rPr>
                <w:rFonts w:ascii="Arial" w:eastAsia="Times New Roman" w:hAnsi="Arial" w:cs="Arial"/>
                <w:b/>
                <w:bCs/>
              </w:rPr>
            </w:pPr>
            <w:r w:rsidRPr="00E53B1B">
              <w:rPr>
                <w:rFonts w:ascii="Arial" w:eastAsia="Times New Roman" w:hAnsi="Arial" w:cs="Arial"/>
                <w:b/>
                <w:bCs/>
              </w:rPr>
              <w:t>Green</w:t>
            </w:r>
          </w:p>
        </w:tc>
        <w:tc>
          <w:tcPr>
            <w:tcW w:w="6140" w:type="dxa"/>
            <w:tcBorders>
              <w:top w:val="single" w:sz="4" w:space="0" w:color="auto"/>
              <w:left w:val="nil"/>
              <w:bottom w:val="single" w:sz="4" w:space="0" w:color="auto"/>
              <w:right w:val="single" w:sz="4" w:space="0" w:color="auto"/>
            </w:tcBorders>
            <w:shd w:val="clear" w:color="000000" w:fill="C6E0B4"/>
            <w:vAlign w:val="center"/>
            <w:hideMark/>
          </w:tcPr>
          <w:p w14:paraId="5CE81372" w14:textId="77777777" w:rsidR="00E53B1B" w:rsidRPr="00E53B1B" w:rsidRDefault="00E53B1B" w:rsidP="00E53B1B">
            <w:pPr>
              <w:spacing w:after="0" w:line="240" w:lineRule="auto"/>
              <w:rPr>
                <w:rFonts w:ascii="Arial" w:eastAsia="Times New Roman" w:hAnsi="Arial" w:cs="Arial"/>
                <w:color w:val="000000"/>
              </w:rPr>
            </w:pPr>
            <w:r w:rsidRPr="00E53B1B">
              <w:rPr>
                <w:rFonts w:ascii="Arial" w:eastAsia="Times New Roman" w:hAnsi="Arial" w:cs="Arial"/>
                <w:color w:val="000000"/>
              </w:rPr>
              <w:t>Utility is interested in exploring further; will follow-up with idea submitter with any questions</w:t>
            </w:r>
          </w:p>
        </w:tc>
      </w:tr>
      <w:tr w:rsidR="00E53B1B" w:rsidRPr="00E53B1B" w14:paraId="7F7C1BB6" w14:textId="77777777" w:rsidTr="00E53B1B">
        <w:trPr>
          <w:trHeight w:val="710"/>
          <w:jc w:val="center"/>
        </w:trPr>
        <w:tc>
          <w:tcPr>
            <w:tcW w:w="3480" w:type="dxa"/>
            <w:vMerge/>
            <w:tcBorders>
              <w:top w:val="nil"/>
              <w:left w:val="nil"/>
              <w:bottom w:val="nil"/>
              <w:right w:val="single" w:sz="4" w:space="0" w:color="auto"/>
            </w:tcBorders>
            <w:vAlign w:val="center"/>
            <w:hideMark/>
          </w:tcPr>
          <w:p w14:paraId="5BC54C40" w14:textId="77777777" w:rsidR="00E53B1B" w:rsidRPr="00E53B1B" w:rsidRDefault="00E53B1B" w:rsidP="00E53B1B">
            <w:pPr>
              <w:spacing w:after="0" w:line="240" w:lineRule="auto"/>
              <w:rPr>
                <w:rFonts w:ascii="Arial" w:eastAsia="Times New Roman" w:hAnsi="Arial" w:cs="Arial"/>
                <w:b/>
                <w:bCs/>
                <w:color w:val="000000"/>
                <w:sz w:val="32"/>
                <w:szCs w:val="32"/>
              </w:rPr>
            </w:pPr>
          </w:p>
        </w:tc>
        <w:tc>
          <w:tcPr>
            <w:tcW w:w="1320" w:type="dxa"/>
            <w:tcBorders>
              <w:top w:val="nil"/>
              <w:left w:val="nil"/>
              <w:bottom w:val="single" w:sz="4" w:space="0" w:color="auto"/>
              <w:right w:val="single" w:sz="4" w:space="0" w:color="auto"/>
            </w:tcBorders>
            <w:shd w:val="clear" w:color="000000" w:fill="E2EFDA"/>
            <w:vAlign w:val="center"/>
            <w:hideMark/>
          </w:tcPr>
          <w:p w14:paraId="3B0B1209" w14:textId="77777777" w:rsidR="00E53B1B" w:rsidRPr="00E53B1B" w:rsidRDefault="00E53B1B" w:rsidP="00E53B1B">
            <w:pPr>
              <w:spacing w:after="0" w:line="240" w:lineRule="auto"/>
              <w:jc w:val="center"/>
              <w:rPr>
                <w:rFonts w:ascii="Arial" w:eastAsia="Times New Roman" w:hAnsi="Arial" w:cs="Arial"/>
                <w:b/>
                <w:bCs/>
              </w:rPr>
            </w:pPr>
            <w:r w:rsidRPr="00E53B1B">
              <w:rPr>
                <w:rFonts w:ascii="Arial" w:eastAsia="Times New Roman" w:hAnsi="Arial" w:cs="Arial"/>
                <w:b/>
                <w:bCs/>
              </w:rPr>
              <w:t>Light Green</w:t>
            </w:r>
          </w:p>
        </w:tc>
        <w:tc>
          <w:tcPr>
            <w:tcW w:w="6140" w:type="dxa"/>
            <w:tcBorders>
              <w:top w:val="single" w:sz="4" w:space="0" w:color="auto"/>
              <w:left w:val="nil"/>
              <w:bottom w:val="single" w:sz="4" w:space="0" w:color="auto"/>
              <w:right w:val="single" w:sz="4" w:space="0" w:color="auto"/>
            </w:tcBorders>
            <w:shd w:val="clear" w:color="000000" w:fill="E2EFDA"/>
            <w:vAlign w:val="center"/>
            <w:hideMark/>
          </w:tcPr>
          <w:p w14:paraId="32BFB47E" w14:textId="77777777" w:rsidR="00E53B1B" w:rsidRPr="00E53B1B" w:rsidRDefault="00E53B1B" w:rsidP="00E53B1B">
            <w:pPr>
              <w:spacing w:after="0" w:line="240" w:lineRule="auto"/>
              <w:rPr>
                <w:rFonts w:ascii="Arial" w:eastAsia="Times New Roman" w:hAnsi="Arial" w:cs="Arial"/>
                <w:color w:val="000000"/>
              </w:rPr>
            </w:pPr>
            <w:r w:rsidRPr="00E53B1B">
              <w:rPr>
                <w:rFonts w:ascii="Arial" w:eastAsia="Times New Roman" w:hAnsi="Arial" w:cs="Arial"/>
                <w:color w:val="000000"/>
              </w:rPr>
              <w:t>Utility is already offering EE idea proposed + plans to include in next EE Plans</w:t>
            </w:r>
          </w:p>
        </w:tc>
      </w:tr>
      <w:tr w:rsidR="00E53B1B" w:rsidRPr="00E53B1B" w14:paraId="23635D78" w14:textId="77777777" w:rsidTr="00E53B1B">
        <w:trPr>
          <w:trHeight w:val="760"/>
          <w:jc w:val="center"/>
        </w:trPr>
        <w:tc>
          <w:tcPr>
            <w:tcW w:w="3480" w:type="dxa"/>
            <w:vMerge/>
            <w:tcBorders>
              <w:top w:val="nil"/>
              <w:left w:val="nil"/>
              <w:bottom w:val="nil"/>
              <w:right w:val="single" w:sz="4" w:space="0" w:color="auto"/>
            </w:tcBorders>
            <w:vAlign w:val="center"/>
            <w:hideMark/>
          </w:tcPr>
          <w:p w14:paraId="5740226E" w14:textId="77777777" w:rsidR="00E53B1B" w:rsidRPr="00E53B1B" w:rsidRDefault="00E53B1B" w:rsidP="00E53B1B">
            <w:pPr>
              <w:spacing w:after="0" w:line="240" w:lineRule="auto"/>
              <w:rPr>
                <w:rFonts w:ascii="Arial" w:eastAsia="Times New Roman" w:hAnsi="Arial" w:cs="Arial"/>
                <w:b/>
                <w:bCs/>
                <w:color w:val="000000"/>
                <w:sz w:val="32"/>
                <w:szCs w:val="32"/>
              </w:rPr>
            </w:pPr>
          </w:p>
        </w:tc>
        <w:tc>
          <w:tcPr>
            <w:tcW w:w="1320" w:type="dxa"/>
            <w:tcBorders>
              <w:top w:val="nil"/>
              <w:left w:val="nil"/>
              <w:bottom w:val="single" w:sz="4" w:space="0" w:color="auto"/>
              <w:right w:val="single" w:sz="4" w:space="0" w:color="auto"/>
            </w:tcBorders>
            <w:shd w:val="clear" w:color="000000" w:fill="F1FB97"/>
            <w:noWrap/>
            <w:vAlign w:val="center"/>
            <w:hideMark/>
          </w:tcPr>
          <w:p w14:paraId="5275C5FA" w14:textId="77777777" w:rsidR="00E53B1B" w:rsidRPr="00E53B1B" w:rsidRDefault="00E53B1B" w:rsidP="00E53B1B">
            <w:pPr>
              <w:spacing w:after="0" w:line="240" w:lineRule="auto"/>
              <w:jc w:val="center"/>
              <w:rPr>
                <w:rFonts w:ascii="Arial" w:eastAsia="Times New Roman" w:hAnsi="Arial" w:cs="Arial"/>
                <w:b/>
                <w:bCs/>
              </w:rPr>
            </w:pPr>
            <w:r w:rsidRPr="00E53B1B">
              <w:rPr>
                <w:rFonts w:ascii="Arial" w:eastAsia="Times New Roman" w:hAnsi="Arial" w:cs="Arial"/>
                <w:b/>
                <w:bCs/>
              </w:rPr>
              <w:t>Yellow</w:t>
            </w:r>
          </w:p>
        </w:tc>
        <w:tc>
          <w:tcPr>
            <w:tcW w:w="6140" w:type="dxa"/>
            <w:tcBorders>
              <w:top w:val="single" w:sz="4" w:space="0" w:color="auto"/>
              <w:left w:val="nil"/>
              <w:bottom w:val="single" w:sz="4" w:space="0" w:color="auto"/>
              <w:right w:val="single" w:sz="4" w:space="0" w:color="auto"/>
            </w:tcBorders>
            <w:shd w:val="clear" w:color="000000" w:fill="F1FB97"/>
            <w:vAlign w:val="center"/>
            <w:hideMark/>
          </w:tcPr>
          <w:p w14:paraId="0B38F6DE" w14:textId="77777777" w:rsidR="00E53B1B" w:rsidRPr="00E53B1B" w:rsidRDefault="00E53B1B" w:rsidP="00E53B1B">
            <w:pPr>
              <w:spacing w:after="0" w:line="240" w:lineRule="auto"/>
              <w:rPr>
                <w:rFonts w:ascii="Arial" w:eastAsia="Times New Roman" w:hAnsi="Arial" w:cs="Arial"/>
                <w:color w:val="000000"/>
              </w:rPr>
            </w:pPr>
            <w:r w:rsidRPr="00E53B1B">
              <w:rPr>
                <w:rFonts w:ascii="Arial" w:eastAsia="Times New Roman" w:hAnsi="Arial" w:cs="Arial"/>
                <w:color w:val="000000"/>
              </w:rPr>
              <w:t>Utility thinks further analysis is needed; may require follow-up discussion or input from additional parties</w:t>
            </w:r>
          </w:p>
        </w:tc>
      </w:tr>
      <w:tr w:rsidR="00E53B1B" w:rsidRPr="00E53B1B" w14:paraId="59A6F0FC" w14:textId="77777777" w:rsidTr="00E53B1B">
        <w:trPr>
          <w:trHeight w:val="740"/>
          <w:jc w:val="center"/>
        </w:trPr>
        <w:tc>
          <w:tcPr>
            <w:tcW w:w="3480" w:type="dxa"/>
            <w:vMerge/>
            <w:tcBorders>
              <w:top w:val="nil"/>
              <w:left w:val="nil"/>
              <w:bottom w:val="nil"/>
              <w:right w:val="single" w:sz="4" w:space="0" w:color="auto"/>
            </w:tcBorders>
            <w:vAlign w:val="center"/>
            <w:hideMark/>
          </w:tcPr>
          <w:p w14:paraId="36058EA0" w14:textId="77777777" w:rsidR="00E53B1B" w:rsidRPr="00E53B1B" w:rsidRDefault="00E53B1B" w:rsidP="00E53B1B">
            <w:pPr>
              <w:spacing w:after="0" w:line="240" w:lineRule="auto"/>
              <w:rPr>
                <w:rFonts w:ascii="Arial" w:eastAsia="Times New Roman" w:hAnsi="Arial" w:cs="Arial"/>
                <w:b/>
                <w:bCs/>
                <w:color w:val="000000"/>
                <w:sz w:val="32"/>
                <w:szCs w:val="32"/>
              </w:rPr>
            </w:pPr>
          </w:p>
        </w:tc>
        <w:tc>
          <w:tcPr>
            <w:tcW w:w="1320" w:type="dxa"/>
            <w:tcBorders>
              <w:top w:val="nil"/>
              <w:left w:val="nil"/>
              <w:bottom w:val="single" w:sz="4" w:space="0" w:color="auto"/>
              <w:right w:val="single" w:sz="4" w:space="0" w:color="auto"/>
            </w:tcBorders>
            <w:shd w:val="clear" w:color="000000" w:fill="FB8C89"/>
            <w:noWrap/>
            <w:vAlign w:val="center"/>
            <w:hideMark/>
          </w:tcPr>
          <w:p w14:paraId="0E3D554A" w14:textId="77777777" w:rsidR="00E53B1B" w:rsidRPr="00E53B1B" w:rsidRDefault="00E53B1B" w:rsidP="00E53B1B">
            <w:pPr>
              <w:spacing w:after="0" w:line="240" w:lineRule="auto"/>
              <w:jc w:val="center"/>
              <w:rPr>
                <w:rFonts w:ascii="Arial" w:eastAsia="Times New Roman" w:hAnsi="Arial" w:cs="Arial"/>
                <w:b/>
                <w:bCs/>
              </w:rPr>
            </w:pPr>
            <w:r w:rsidRPr="00E53B1B">
              <w:rPr>
                <w:rFonts w:ascii="Arial" w:eastAsia="Times New Roman" w:hAnsi="Arial" w:cs="Arial"/>
                <w:b/>
                <w:bCs/>
              </w:rPr>
              <w:t>Red</w:t>
            </w:r>
          </w:p>
        </w:tc>
        <w:tc>
          <w:tcPr>
            <w:tcW w:w="6140" w:type="dxa"/>
            <w:tcBorders>
              <w:top w:val="single" w:sz="4" w:space="0" w:color="auto"/>
              <w:left w:val="nil"/>
              <w:bottom w:val="single" w:sz="4" w:space="0" w:color="auto"/>
              <w:right w:val="single" w:sz="4" w:space="0" w:color="auto"/>
            </w:tcBorders>
            <w:shd w:val="clear" w:color="000000" w:fill="FB8C89"/>
            <w:vAlign w:val="center"/>
            <w:hideMark/>
          </w:tcPr>
          <w:p w14:paraId="61FD9E18" w14:textId="77777777" w:rsidR="00E53B1B" w:rsidRPr="00E53B1B" w:rsidRDefault="00E53B1B" w:rsidP="00E53B1B">
            <w:pPr>
              <w:spacing w:after="0" w:line="240" w:lineRule="auto"/>
              <w:rPr>
                <w:rFonts w:ascii="Arial" w:eastAsia="Times New Roman" w:hAnsi="Arial" w:cs="Arial"/>
                <w:color w:val="000000"/>
              </w:rPr>
            </w:pPr>
            <w:r w:rsidRPr="00E53B1B">
              <w:rPr>
                <w:rFonts w:ascii="Arial" w:eastAsia="Times New Roman" w:hAnsi="Arial" w:cs="Arial"/>
                <w:color w:val="000000"/>
              </w:rPr>
              <w:t>Utility has concerns about the idea proposal + not interested in pursuing</w:t>
            </w:r>
          </w:p>
        </w:tc>
      </w:tr>
      <w:tr w:rsidR="00E53B1B" w:rsidRPr="00E53B1B" w14:paraId="24E1C69C" w14:textId="77777777" w:rsidTr="00E53B1B">
        <w:trPr>
          <w:trHeight w:val="1530"/>
          <w:jc w:val="center"/>
        </w:trPr>
        <w:tc>
          <w:tcPr>
            <w:tcW w:w="3480" w:type="dxa"/>
            <w:vMerge/>
            <w:tcBorders>
              <w:top w:val="nil"/>
              <w:left w:val="nil"/>
              <w:bottom w:val="nil"/>
              <w:right w:val="single" w:sz="4" w:space="0" w:color="auto"/>
            </w:tcBorders>
            <w:vAlign w:val="center"/>
            <w:hideMark/>
          </w:tcPr>
          <w:p w14:paraId="7477CD75" w14:textId="77777777" w:rsidR="00E53B1B" w:rsidRPr="00E53B1B" w:rsidRDefault="00E53B1B" w:rsidP="00E53B1B">
            <w:pPr>
              <w:spacing w:after="0" w:line="240" w:lineRule="auto"/>
              <w:rPr>
                <w:rFonts w:ascii="Arial" w:eastAsia="Times New Roman" w:hAnsi="Arial" w:cs="Arial"/>
                <w:b/>
                <w:bCs/>
                <w:color w:val="000000"/>
                <w:sz w:val="32"/>
                <w:szCs w:val="32"/>
              </w:rPr>
            </w:pPr>
          </w:p>
        </w:tc>
        <w:tc>
          <w:tcPr>
            <w:tcW w:w="1320" w:type="dxa"/>
            <w:tcBorders>
              <w:top w:val="nil"/>
              <w:left w:val="nil"/>
              <w:bottom w:val="single" w:sz="4" w:space="0" w:color="auto"/>
              <w:right w:val="single" w:sz="4" w:space="0" w:color="auto"/>
            </w:tcBorders>
            <w:shd w:val="clear" w:color="000000" w:fill="B4C6E7"/>
            <w:noWrap/>
            <w:vAlign w:val="center"/>
            <w:hideMark/>
          </w:tcPr>
          <w:p w14:paraId="33120082" w14:textId="77777777" w:rsidR="00E53B1B" w:rsidRPr="00E53B1B" w:rsidRDefault="00E53B1B" w:rsidP="00E53B1B">
            <w:pPr>
              <w:spacing w:after="0" w:line="240" w:lineRule="auto"/>
              <w:jc w:val="center"/>
              <w:rPr>
                <w:rFonts w:ascii="Arial" w:eastAsia="Times New Roman" w:hAnsi="Arial" w:cs="Arial"/>
                <w:b/>
                <w:bCs/>
              </w:rPr>
            </w:pPr>
            <w:r w:rsidRPr="00E53B1B">
              <w:rPr>
                <w:rFonts w:ascii="Arial" w:eastAsia="Times New Roman" w:hAnsi="Arial" w:cs="Arial"/>
                <w:b/>
                <w:bCs/>
              </w:rPr>
              <w:t>Blue</w:t>
            </w:r>
          </w:p>
        </w:tc>
        <w:tc>
          <w:tcPr>
            <w:tcW w:w="6140" w:type="dxa"/>
            <w:tcBorders>
              <w:top w:val="single" w:sz="4" w:space="0" w:color="auto"/>
              <w:left w:val="nil"/>
              <w:bottom w:val="single" w:sz="4" w:space="0" w:color="auto"/>
              <w:right w:val="single" w:sz="4" w:space="0" w:color="000000"/>
            </w:tcBorders>
            <w:shd w:val="clear" w:color="000000" w:fill="B4C6E7"/>
            <w:vAlign w:val="center"/>
            <w:hideMark/>
          </w:tcPr>
          <w:p w14:paraId="54AA5092" w14:textId="77777777" w:rsidR="00E53B1B" w:rsidRPr="00E53B1B" w:rsidRDefault="00E53B1B" w:rsidP="00E53B1B">
            <w:pPr>
              <w:spacing w:after="0" w:line="240" w:lineRule="auto"/>
              <w:rPr>
                <w:rFonts w:ascii="Arial" w:eastAsia="Times New Roman" w:hAnsi="Arial" w:cs="Arial"/>
                <w:color w:val="000000"/>
              </w:rPr>
            </w:pPr>
            <w:r w:rsidRPr="00E53B1B">
              <w:rPr>
                <w:rFonts w:ascii="Arial" w:eastAsia="Times New Roman" w:hAnsi="Arial" w:cs="Arial"/>
                <w:color w:val="000000"/>
              </w:rPr>
              <w:t>Idea should be submitted now through current utility Research &amp; Development (R&amp;D) process (if applicable), or utility thinks further analysis is needed - idea could be considered within Breakthrough Equipment &amp; Device (BED) program; or the idea could be considered as a pilot program</w:t>
            </w:r>
          </w:p>
        </w:tc>
      </w:tr>
      <w:tr w:rsidR="00E53B1B" w:rsidRPr="00E53B1B" w14:paraId="001B835C" w14:textId="77777777" w:rsidTr="00E53B1B">
        <w:trPr>
          <w:trHeight w:val="290"/>
          <w:jc w:val="center"/>
        </w:trPr>
        <w:tc>
          <w:tcPr>
            <w:tcW w:w="3480" w:type="dxa"/>
            <w:vMerge/>
            <w:tcBorders>
              <w:top w:val="nil"/>
              <w:left w:val="nil"/>
              <w:bottom w:val="nil"/>
              <w:right w:val="single" w:sz="4" w:space="0" w:color="auto"/>
            </w:tcBorders>
            <w:vAlign w:val="center"/>
            <w:hideMark/>
          </w:tcPr>
          <w:p w14:paraId="048D12C9" w14:textId="77777777" w:rsidR="00E53B1B" w:rsidRPr="00E53B1B" w:rsidRDefault="00E53B1B" w:rsidP="00E53B1B">
            <w:pPr>
              <w:spacing w:after="0" w:line="240" w:lineRule="auto"/>
              <w:rPr>
                <w:rFonts w:ascii="Arial" w:eastAsia="Times New Roman" w:hAnsi="Arial" w:cs="Arial"/>
                <w:b/>
                <w:bCs/>
                <w:color w:val="000000"/>
                <w:sz w:val="32"/>
                <w:szCs w:val="32"/>
              </w:rPr>
            </w:pPr>
          </w:p>
        </w:tc>
        <w:tc>
          <w:tcPr>
            <w:tcW w:w="1320" w:type="dxa"/>
            <w:tcBorders>
              <w:top w:val="nil"/>
              <w:left w:val="nil"/>
              <w:bottom w:val="single" w:sz="4" w:space="0" w:color="auto"/>
              <w:right w:val="single" w:sz="4" w:space="0" w:color="auto"/>
            </w:tcBorders>
            <w:shd w:val="clear" w:color="000000" w:fill="BFBFBF"/>
            <w:noWrap/>
            <w:vAlign w:val="center"/>
            <w:hideMark/>
          </w:tcPr>
          <w:p w14:paraId="331660C4" w14:textId="77777777" w:rsidR="00E53B1B" w:rsidRPr="00E53B1B" w:rsidRDefault="00E53B1B" w:rsidP="00E53B1B">
            <w:pPr>
              <w:spacing w:after="0" w:line="240" w:lineRule="auto"/>
              <w:jc w:val="center"/>
              <w:rPr>
                <w:rFonts w:ascii="Arial" w:eastAsia="Times New Roman" w:hAnsi="Arial" w:cs="Arial"/>
                <w:b/>
                <w:bCs/>
              </w:rPr>
            </w:pPr>
            <w:r w:rsidRPr="00E53B1B">
              <w:rPr>
                <w:rFonts w:ascii="Arial" w:eastAsia="Times New Roman" w:hAnsi="Arial" w:cs="Arial"/>
                <w:b/>
                <w:bCs/>
              </w:rPr>
              <w:t>Gray</w:t>
            </w:r>
          </w:p>
        </w:tc>
        <w:tc>
          <w:tcPr>
            <w:tcW w:w="6140" w:type="dxa"/>
            <w:tcBorders>
              <w:top w:val="single" w:sz="4" w:space="0" w:color="auto"/>
              <w:left w:val="nil"/>
              <w:bottom w:val="single" w:sz="4" w:space="0" w:color="auto"/>
              <w:right w:val="single" w:sz="4" w:space="0" w:color="auto"/>
            </w:tcBorders>
            <w:shd w:val="clear" w:color="000000" w:fill="BFBFBF"/>
            <w:vAlign w:val="center"/>
            <w:hideMark/>
          </w:tcPr>
          <w:p w14:paraId="7C8B1E6F" w14:textId="77777777" w:rsidR="00E53B1B" w:rsidRPr="00E53B1B" w:rsidRDefault="00E53B1B" w:rsidP="00E53B1B">
            <w:pPr>
              <w:spacing w:after="0" w:line="240" w:lineRule="auto"/>
              <w:rPr>
                <w:rFonts w:ascii="Arial" w:eastAsia="Times New Roman" w:hAnsi="Arial" w:cs="Arial"/>
                <w:color w:val="000000"/>
              </w:rPr>
            </w:pPr>
            <w:r w:rsidRPr="00E53B1B">
              <w:rPr>
                <w:rFonts w:ascii="Arial" w:eastAsia="Times New Roman" w:hAnsi="Arial" w:cs="Arial"/>
                <w:color w:val="000000"/>
              </w:rPr>
              <w:t>Not applicable to utility</w:t>
            </w:r>
          </w:p>
        </w:tc>
      </w:tr>
      <w:tr w:rsidR="00E53B1B" w:rsidRPr="00E53B1B" w14:paraId="06839108" w14:textId="77777777" w:rsidTr="00E53B1B">
        <w:trPr>
          <w:trHeight w:val="290"/>
          <w:jc w:val="center"/>
        </w:trPr>
        <w:tc>
          <w:tcPr>
            <w:tcW w:w="3480" w:type="dxa"/>
            <w:vMerge/>
            <w:tcBorders>
              <w:top w:val="nil"/>
              <w:left w:val="nil"/>
              <w:bottom w:val="nil"/>
              <w:right w:val="single" w:sz="4" w:space="0" w:color="auto"/>
            </w:tcBorders>
            <w:vAlign w:val="center"/>
            <w:hideMark/>
          </w:tcPr>
          <w:p w14:paraId="3A8B1DCA" w14:textId="77777777" w:rsidR="00E53B1B" w:rsidRPr="00E53B1B" w:rsidRDefault="00E53B1B" w:rsidP="00E53B1B">
            <w:pPr>
              <w:spacing w:after="0" w:line="240" w:lineRule="auto"/>
              <w:rPr>
                <w:rFonts w:ascii="Arial" w:eastAsia="Times New Roman" w:hAnsi="Arial" w:cs="Arial"/>
                <w:b/>
                <w:bCs/>
                <w:color w:val="000000"/>
                <w:sz w:val="32"/>
                <w:szCs w:val="32"/>
              </w:rPr>
            </w:pPr>
          </w:p>
        </w:tc>
        <w:tc>
          <w:tcPr>
            <w:tcW w:w="1320" w:type="dxa"/>
            <w:tcBorders>
              <w:top w:val="nil"/>
              <w:left w:val="nil"/>
              <w:bottom w:val="single" w:sz="4" w:space="0" w:color="auto"/>
              <w:right w:val="single" w:sz="4" w:space="0" w:color="auto"/>
            </w:tcBorders>
            <w:shd w:val="clear" w:color="000000" w:fill="F8DCF3"/>
            <w:noWrap/>
            <w:vAlign w:val="center"/>
            <w:hideMark/>
          </w:tcPr>
          <w:p w14:paraId="06029F29" w14:textId="77777777" w:rsidR="00E53B1B" w:rsidRPr="00E53B1B" w:rsidRDefault="00E53B1B" w:rsidP="00E53B1B">
            <w:pPr>
              <w:spacing w:after="0" w:line="240" w:lineRule="auto"/>
              <w:jc w:val="center"/>
              <w:rPr>
                <w:rFonts w:ascii="Arial" w:eastAsia="Times New Roman" w:hAnsi="Arial" w:cs="Arial"/>
                <w:b/>
                <w:bCs/>
                <w:color w:val="000000"/>
              </w:rPr>
            </w:pPr>
            <w:r w:rsidRPr="00E53B1B">
              <w:rPr>
                <w:rFonts w:ascii="Arial" w:eastAsia="Times New Roman" w:hAnsi="Arial" w:cs="Arial"/>
                <w:b/>
                <w:bCs/>
                <w:color w:val="000000"/>
              </w:rPr>
              <w:t>Purple</w:t>
            </w:r>
          </w:p>
        </w:tc>
        <w:tc>
          <w:tcPr>
            <w:tcW w:w="6140" w:type="dxa"/>
            <w:tcBorders>
              <w:top w:val="single" w:sz="4" w:space="0" w:color="auto"/>
              <w:left w:val="nil"/>
              <w:bottom w:val="single" w:sz="4" w:space="0" w:color="auto"/>
              <w:right w:val="single" w:sz="4" w:space="0" w:color="auto"/>
            </w:tcBorders>
            <w:shd w:val="clear" w:color="000000" w:fill="F8DCF3"/>
            <w:noWrap/>
            <w:vAlign w:val="center"/>
            <w:hideMark/>
          </w:tcPr>
          <w:p w14:paraId="2DA0A26A" w14:textId="77777777" w:rsidR="00E53B1B" w:rsidRPr="00E53B1B" w:rsidRDefault="00E53B1B" w:rsidP="00E53B1B">
            <w:pPr>
              <w:spacing w:after="0" w:line="240" w:lineRule="auto"/>
              <w:rPr>
                <w:rFonts w:ascii="Arial" w:eastAsia="Times New Roman" w:hAnsi="Arial" w:cs="Arial"/>
                <w:color w:val="000000"/>
              </w:rPr>
            </w:pPr>
            <w:r w:rsidRPr="00E53B1B">
              <w:rPr>
                <w:rFonts w:ascii="Arial" w:eastAsia="Times New Roman" w:hAnsi="Arial" w:cs="Arial"/>
                <w:color w:val="000000"/>
              </w:rPr>
              <w:t>Outside scope of EE</w:t>
            </w:r>
          </w:p>
        </w:tc>
      </w:tr>
    </w:tbl>
    <w:p w14:paraId="33C9AB59" w14:textId="77777777" w:rsidR="00F671AD" w:rsidRDefault="00F671AD" w:rsidP="00E53B1B">
      <w:pPr>
        <w:spacing w:after="0" w:line="240" w:lineRule="auto"/>
        <w:rPr>
          <w:rFonts w:ascii="Arial" w:hAnsi="Arial" w:cs="Arial"/>
          <w:b/>
          <w:bCs/>
          <w:sz w:val="28"/>
          <w:szCs w:val="28"/>
        </w:rPr>
      </w:pPr>
    </w:p>
    <w:p w14:paraId="308C9326" w14:textId="77777777" w:rsidR="00F671AD" w:rsidRPr="00F671AD" w:rsidRDefault="00F671AD" w:rsidP="00E53B1B">
      <w:pPr>
        <w:spacing w:after="0" w:line="240" w:lineRule="auto"/>
        <w:ind w:left="-576"/>
        <w:contextualSpacing/>
        <w:rPr>
          <w:rFonts w:ascii="Arial" w:eastAsia="Calibri" w:hAnsi="Arial" w:cs="Arial"/>
          <w:b/>
          <w:sz w:val="26"/>
          <w:szCs w:val="26"/>
          <w:u w:val="single"/>
        </w:rPr>
      </w:pPr>
      <w:r w:rsidRPr="00F671AD">
        <w:rPr>
          <w:rFonts w:ascii="Arial" w:eastAsia="Calibri" w:hAnsi="Arial" w:cs="Arial"/>
          <w:b/>
          <w:sz w:val="26"/>
          <w:szCs w:val="26"/>
          <w:u w:val="single"/>
        </w:rPr>
        <w:t>Utilities Respond to April 9 Energy Efficiency Ideas</w:t>
      </w:r>
    </w:p>
    <w:p w14:paraId="43200FFF" w14:textId="77777777" w:rsidR="00F671AD" w:rsidRPr="00082097" w:rsidRDefault="00F671AD" w:rsidP="00E53B1B">
      <w:pPr>
        <w:spacing w:after="0" w:line="240" w:lineRule="auto"/>
        <w:ind w:left="-576"/>
        <w:rPr>
          <w:rFonts w:ascii="Arial" w:eastAsia="Calibri" w:hAnsi="Arial" w:cs="Arial"/>
          <w:bCs/>
        </w:rPr>
      </w:pPr>
      <w:r w:rsidRPr="00082097">
        <w:rPr>
          <w:rFonts w:ascii="Arial" w:eastAsia="Calibri" w:hAnsi="Arial" w:cs="Arial"/>
          <w:bCs/>
        </w:rPr>
        <w:t xml:space="preserve">Illinois utilities respond to EE Ideas presented to SAG on </w:t>
      </w:r>
      <w:hyperlink r:id="rId8" w:history="1">
        <w:r w:rsidRPr="00082097">
          <w:rPr>
            <w:rStyle w:val="Hyperlink"/>
            <w:rFonts w:ascii="Arial" w:eastAsia="Calibri" w:hAnsi="Arial" w:cs="Arial"/>
            <w:bCs/>
          </w:rPr>
          <w:t>April 9</w:t>
        </w:r>
      </w:hyperlink>
      <w:r w:rsidRPr="00082097">
        <w:rPr>
          <w:rFonts w:ascii="Arial" w:eastAsia="Calibri" w:hAnsi="Arial" w:cs="Arial"/>
          <w:bCs/>
        </w:rPr>
        <w:t>, referenced below</w:t>
      </w:r>
    </w:p>
    <w:p w14:paraId="451422EC" w14:textId="77777777" w:rsidR="00F671AD" w:rsidRDefault="00F671AD" w:rsidP="00F671AD">
      <w:pPr>
        <w:spacing w:after="0" w:line="240" w:lineRule="auto"/>
        <w:rPr>
          <w:rFonts w:ascii="Arial" w:hAnsi="Arial" w:cs="Arial"/>
          <w:b/>
          <w:bCs/>
          <w:sz w:val="28"/>
          <w:szCs w:val="28"/>
        </w:rPr>
      </w:pPr>
    </w:p>
    <w:p w14:paraId="18289E1F" w14:textId="02E0BB00" w:rsidR="00792913" w:rsidRDefault="00F671AD" w:rsidP="005D07A4">
      <w:pPr>
        <w:spacing w:after="0" w:line="240" w:lineRule="auto"/>
        <w:ind w:left="-576"/>
        <w:rPr>
          <w:rFonts w:ascii="Arial" w:eastAsia="Calibri" w:hAnsi="Arial" w:cs="Arial"/>
          <w:bCs/>
          <w:sz w:val="24"/>
          <w:szCs w:val="24"/>
        </w:rPr>
      </w:pPr>
      <w:r w:rsidRPr="00F761C0">
        <w:rPr>
          <w:rFonts w:ascii="Arial" w:eastAsia="Calibri" w:hAnsi="Arial" w:cs="Arial"/>
          <w:b/>
          <w:sz w:val="24"/>
          <w:szCs w:val="24"/>
        </w:rPr>
        <w:t>Recurve EE Idea</w:t>
      </w:r>
      <w:r w:rsidR="00F01DA8">
        <w:rPr>
          <w:rFonts w:ascii="Arial" w:eastAsia="Calibri" w:hAnsi="Arial" w:cs="Arial"/>
          <w:b/>
          <w:sz w:val="24"/>
          <w:szCs w:val="24"/>
        </w:rPr>
        <w:t>s</w:t>
      </w:r>
      <w:r w:rsidR="0067468F" w:rsidRPr="00F761C0">
        <w:rPr>
          <w:rFonts w:ascii="Arial" w:eastAsia="Calibri" w:hAnsi="Arial" w:cs="Arial"/>
          <w:b/>
          <w:sz w:val="24"/>
          <w:szCs w:val="24"/>
        </w:rPr>
        <w:t xml:space="preserve">: </w:t>
      </w:r>
    </w:p>
    <w:tbl>
      <w:tblPr>
        <w:tblW w:w="14276" w:type="dxa"/>
        <w:tblInd w:w="-545" w:type="dxa"/>
        <w:tblCellMar>
          <w:top w:w="15" w:type="dxa"/>
        </w:tblCellMar>
        <w:tblLook w:val="04A0" w:firstRow="1" w:lastRow="0" w:firstColumn="1" w:lastColumn="0" w:noHBand="0" w:noVBand="1"/>
      </w:tblPr>
      <w:tblGrid>
        <w:gridCol w:w="2520"/>
        <w:gridCol w:w="2610"/>
        <w:gridCol w:w="4680"/>
        <w:gridCol w:w="1530"/>
        <w:gridCol w:w="2700"/>
        <w:gridCol w:w="236"/>
      </w:tblGrid>
      <w:tr w:rsidR="00792913" w:rsidRPr="00792913" w14:paraId="55768B2D" w14:textId="77777777" w:rsidTr="005A68FE">
        <w:trPr>
          <w:gridAfter w:val="1"/>
          <w:wAfter w:w="236" w:type="dxa"/>
          <w:trHeight w:val="510"/>
          <w:tblHeader/>
        </w:trPr>
        <w:tc>
          <w:tcPr>
            <w:tcW w:w="252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29516130" w14:textId="77777777" w:rsidR="00792913" w:rsidRPr="00792913" w:rsidRDefault="00792913" w:rsidP="00792913">
            <w:pPr>
              <w:spacing w:after="0" w:line="240" w:lineRule="auto"/>
              <w:jc w:val="center"/>
              <w:rPr>
                <w:rFonts w:ascii="Arial" w:eastAsia="Times New Roman" w:hAnsi="Arial" w:cs="Arial"/>
                <w:b/>
                <w:bCs/>
                <w:color w:val="000000"/>
                <w:sz w:val="20"/>
                <w:szCs w:val="20"/>
              </w:rPr>
            </w:pPr>
            <w:r w:rsidRPr="00792913">
              <w:rPr>
                <w:rFonts w:ascii="Arial" w:eastAsia="Times New Roman" w:hAnsi="Arial" w:cs="Arial"/>
                <w:b/>
                <w:bCs/>
                <w:color w:val="000000"/>
                <w:sz w:val="20"/>
                <w:szCs w:val="20"/>
              </w:rPr>
              <w:t>Recurve EE Ideas</w:t>
            </w:r>
          </w:p>
        </w:tc>
        <w:tc>
          <w:tcPr>
            <w:tcW w:w="2610" w:type="dxa"/>
            <w:tcBorders>
              <w:top w:val="single" w:sz="4" w:space="0" w:color="auto"/>
              <w:left w:val="nil"/>
              <w:bottom w:val="single" w:sz="4" w:space="0" w:color="auto"/>
              <w:right w:val="single" w:sz="4" w:space="0" w:color="auto"/>
            </w:tcBorders>
            <w:shd w:val="clear" w:color="CFE2F3" w:fill="DDEBF7"/>
            <w:vAlign w:val="center"/>
            <w:hideMark/>
          </w:tcPr>
          <w:p w14:paraId="320A3240" w14:textId="77777777" w:rsidR="00792913" w:rsidRPr="00792913" w:rsidRDefault="00792913" w:rsidP="00792913">
            <w:pPr>
              <w:spacing w:after="0" w:line="240" w:lineRule="auto"/>
              <w:jc w:val="center"/>
              <w:rPr>
                <w:rFonts w:ascii="Arial" w:eastAsia="Times New Roman" w:hAnsi="Arial" w:cs="Arial"/>
                <w:b/>
                <w:bCs/>
                <w:color w:val="000000"/>
                <w:sz w:val="20"/>
                <w:szCs w:val="20"/>
              </w:rPr>
            </w:pPr>
            <w:r w:rsidRPr="00792913">
              <w:rPr>
                <w:rFonts w:ascii="Arial" w:eastAsia="Times New Roman" w:hAnsi="Arial" w:cs="Arial"/>
                <w:b/>
                <w:bCs/>
                <w:color w:val="000000"/>
                <w:sz w:val="20"/>
                <w:szCs w:val="20"/>
              </w:rPr>
              <w:t xml:space="preserve">Ameren IL Response </w:t>
            </w:r>
          </w:p>
        </w:tc>
        <w:tc>
          <w:tcPr>
            <w:tcW w:w="4680" w:type="dxa"/>
            <w:tcBorders>
              <w:top w:val="single" w:sz="4" w:space="0" w:color="auto"/>
              <w:left w:val="nil"/>
              <w:bottom w:val="single" w:sz="4" w:space="0" w:color="auto"/>
              <w:right w:val="single" w:sz="4" w:space="0" w:color="auto"/>
            </w:tcBorders>
            <w:shd w:val="clear" w:color="CFE2F3" w:fill="DDEBF7"/>
            <w:vAlign w:val="center"/>
            <w:hideMark/>
          </w:tcPr>
          <w:p w14:paraId="4C36837C" w14:textId="77777777" w:rsidR="00792913" w:rsidRPr="00792913" w:rsidRDefault="00792913" w:rsidP="00792913">
            <w:pPr>
              <w:spacing w:after="0" w:line="240" w:lineRule="auto"/>
              <w:jc w:val="center"/>
              <w:rPr>
                <w:rFonts w:ascii="Arial" w:eastAsia="Times New Roman" w:hAnsi="Arial" w:cs="Arial"/>
                <w:b/>
                <w:bCs/>
                <w:color w:val="000000"/>
                <w:sz w:val="20"/>
                <w:szCs w:val="20"/>
              </w:rPr>
            </w:pPr>
            <w:r w:rsidRPr="00792913">
              <w:rPr>
                <w:rFonts w:ascii="Arial" w:eastAsia="Times New Roman" w:hAnsi="Arial" w:cs="Arial"/>
                <w:b/>
                <w:bCs/>
                <w:color w:val="000000"/>
                <w:sz w:val="20"/>
                <w:szCs w:val="20"/>
              </w:rPr>
              <w:t xml:space="preserve">ComEd Response </w:t>
            </w:r>
          </w:p>
        </w:tc>
        <w:tc>
          <w:tcPr>
            <w:tcW w:w="1530" w:type="dxa"/>
            <w:tcBorders>
              <w:top w:val="single" w:sz="4" w:space="0" w:color="auto"/>
              <w:left w:val="nil"/>
              <w:bottom w:val="single" w:sz="4" w:space="0" w:color="auto"/>
              <w:right w:val="single" w:sz="4" w:space="0" w:color="auto"/>
            </w:tcBorders>
            <w:shd w:val="clear" w:color="CFE2F3" w:fill="DDEBF7"/>
            <w:vAlign w:val="center"/>
            <w:hideMark/>
          </w:tcPr>
          <w:p w14:paraId="625F1BC3" w14:textId="77777777" w:rsidR="00792913" w:rsidRPr="00792913" w:rsidRDefault="00792913" w:rsidP="00792913">
            <w:pPr>
              <w:spacing w:after="0" w:line="240" w:lineRule="auto"/>
              <w:jc w:val="center"/>
              <w:rPr>
                <w:rFonts w:ascii="Arial" w:eastAsia="Times New Roman" w:hAnsi="Arial" w:cs="Arial"/>
                <w:b/>
                <w:bCs/>
                <w:color w:val="000000"/>
                <w:sz w:val="20"/>
                <w:szCs w:val="20"/>
              </w:rPr>
            </w:pPr>
            <w:r w:rsidRPr="00792913">
              <w:rPr>
                <w:rFonts w:ascii="Arial" w:eastAsia="Times New Roman" w:hAnsi="Arial" w:cs="Arial"/>
                <w:b/>
                <w:bCs/>
                <w:color w:val="000000"/>
                <w:sz w:val="20"/>
                <w:szCs w:val="20"/>
              </w:rPr>
              <w:t xml:space="preserve">Nicor Gas Response </w:t>
            </w:r>
          </w:p>
        </w:tc>
        <w:tc>
          <w:tcPr>
            <w:tcW w:w="2700" w:type="dxa"/>
            <w:tcBorders>
              <w:top w:val="single" w:sz="4" w:space="0" w:color="auto"/>
              <w:left w:val="nil"/>
              <w:bottom w:val="single" w:sz="4" w:space="0" w:color="auto"/>
              <w:right w:val="single" w:sz="4" w:space="0" w:color="auto"/>
            </w:tcBorders>
            <w:shd w:val="clear" w:color="CFE2F3" w:fill="DDEBF7"/>
            <w:vAlign w:val="center"/>
            <w:hideMark/>
          </w:tcPr>
          <w:p w14:paraId="75B9015F" w14:textId="77777777" w:rsidR="00792913" w:rsidRPr="00792913" w:rsidRDefault="00792913" w:rsidP="00792913">
            <w:pPr>
              <w:spacing w:after="0" w:line="240" w:lineRule="auto"/>
              <w:jc w:val="center"/>
              <w:rPr>
                <w:rFonts w:ascii="Arial" w:eastAsia="Times New Roman" w:hAnsi="Arial" w:cs="Arial"/>
                <w:b/>
                <w:bCs/>
                <w:color w:val="000000"/>
                <w:sz w:val="20"/>
                <w:szCs w:val="20"/>
              </w:rPr>
            </w:pPr>
            <w:r w:rsidRPr="00792913">
              <w:rPr>
                <w:rFonts w:ascii="Arial" w:eastAsia="Times New Roman" w:hAnsi="Arial" w:cs="Arial"/>
                <w:b/>
                <w:bCs/>
                <w:color w:val="000000"/>
                <w:sz w:val="20"/>
                <w:szCs w:val="20"/>
              </w:rPr>
              <w:t xml:space="preserve">PG &amp; NSG Response </w:t>
            </w:r>
          </w:p>
        </w:tc>
      </w:tr>
      <w:tr w:rsidR="00792913" w:rsidRPr="00792913" w14:paraId="140C6010" w14:textId="77777777" w:rsidTr="005A68FE">
        <w:trPr>
          <w:gridAfter w:val="1"/>
          <w:wAfter w:w="236" w:type="dxa"/>
          <w:trHeight w:val="450"/>
        </w:trPr>
        <w:tc>
          <w:tcPr>
            <w:tcW w:w="2520" w:type="dxa"/>
            <w:vMerge w:val="restart"/>
            <w:tcBorders>
              <w:top w:val="nil"/>
              <w:left w:val="single" w:sz="4" w:space="0" w:color="auto"/>
              <w:bottom w:val="single" w:sz="4" w:space="0" w:color="auto"/>
              <w:right w:val="single" w:sz="4" w:space="0" w:color="auto"/>
            </w:tcBorders>
            <w:shd w:val="clear" w:color="auto" w:fill="auto"/>
            <w:vAlign w:val="center"/>
            <w:hideMark/>
          </w:tcPr>
          <w:p w14:paraId="3FC62C51" w14:textId="77777777" w:rsidR="00792913" w:rsidRPr="00792913" w:rsidRDefault="00792913" w:rsidP="00792913">
            <w:pPr>
              <w:spacing w:after="0" w:line="240" w:lineRule="auto"/>
              <w:rPr>
                <w:rFonts w:ascii="Arial" w:eastAsia="Times New Roman" w:hAnsi="Arial" w:cs="Arial"/>
                <w:color w:val="000000"/>
                <w:sz w:val="20"/>
                <w:szCs w:val="20"/>
              </w:rPr>
            </w:pPr>
            <w:r w:rsidRPr="00792913">
              <w:rPr>
                <w:rFonts w:ascii="Arial" w:eastAsia="Times New Roman" w:hAnsi="Arial" w:cs="Arial"/>
                <w:color w:val="000000"/>
                <w:sz w:val="20"/>
                <w:szCs w:val="20"/>
              </w:rPr>
              <w:t>Electrification Targeting Analysis (rows 53-56)</w:t>
            </w:r>
          </w:p>
        </w:tc>
        <w:tc>
          <w:tcPr>
            <w:tcW w:w="2610" w:type="dxa"/>
            <w:vMerge w:val="restart"/>
            <w:tcBorders>
              <w:top w:val="nil"/>
              <w:left w:val="single" w:sz="4" w:space="0" w:color="auto"/>
              <w:bottom w:val="single" w:sz="4" w:space="0" w:color="auto"/>
              <w:right w:val="single" w:sz="4" w:space="0" w:color="auto"/>
            </w:tcBorders>
            <w:shd w:val="clear" w:color="000000" w:fill="E2EFDA"/>
            <w:vAlign w:val="center"/>
            <w:hideMark/>
          </w:tcPr>
          <w:p w14:paraId="309EF9A4" w14:textId="77777777" w:rsidR="00792913" w:rsidRPr="00792913" w:rsidRDefault="00792913" w:rsidP="00792913">
            <w:pPr>
              <w:spacing w:after="0" w:line="240" w:lineRule="auto"/>
              <w:rPr>
                <w:rFonts w:ascii="Arial" w:eastAsia="Times New Roman" w:hAnsi="Arial" w:cs="Arial"/>
                <w:color w:val="000000"/>
                <w:sz w:val="20"/>
                <w:szCs w:val="20"/>
              </w:rPr>
            </w:pPr>
            <w:r w:rsidRPr="00792913">
              <w:rPr>
                <w:rFonts w:ascii="Arial" w:eastAsia="Times New Roman" w:hAnsi="Arial" w:cs="Arial"/>
                <w:color w:val="000000"/>
                <w:sz w:val="20"/>
                <w:szCs w:val="20"/>
              </w:rPr>
              <w:t>AIC already has the ability to target customers for electrification projects.  No further input necessary at this time.</w:t>
            </w:r>
          </w:p>
        </w:tc>
        <w:tc>
          <w:tcPr>
            <w:tcW w:w="4680" w:type="dxa"/>
            <w:vMerge w:val="restart"/>
            <w:tcBorders>
              <w:top w:val="nil"/>
              <w:left w:val="single" w:sz="4" w:space="0" w:color="auto"/>
              <w:bottom w:val="single" w:sz="4" w:space="0" w:color="auto"/>
              <w:right w:val="single" w:sz="4" w:space="0" w:color="auto"/>
            </w:tcBorders>
            <w:shd w:val="clear" w:color="000000" w:fill="B4C6E7"/>
            <w:vAlign w:val="center"/>
            <w:hideMark/>
          </w:tcPr>
          <w:p w14:paraId="5DDBD6BA" w14:textId="77777777" w:rsidR="00792913" w:rsidRPr="00792913" w:rsidRDefault="00792913" w:rsidP="00792913">
            <w:pPr>
              <w:spacing w:after="0" w:line="240" w:lineRule="auto"/>
              <w:rPr>
                <w:rFonts w:ascii="Arial" w:eastAsia="Times New Roman" w:hAnsi="Arial" w:cs="Arial"/>
                <w:color w:val="000000"/>
                <w:sz w:val="20"/>
                <w:szCs w:val="20"/>
              </w:rPr>
            </w:pPr>
            <w:r w:rsidRPr="00792913">
              <w:rPr>
                <w:rFonts w:ascii="Arial" w:eastAsia="Times New Roman" w:hAnsi="Arial" w:cs="Arial"/>
                <w:color w:val="000000"/>
                <w:sz w:val="20"/>
                <w:szCs w:val="20"/>
              </w:rPr>
              <w:t xml:space="preserve">ComEd does not understand the value proposition of this Idea and interprets this idea as a means for a private company to solicit business through this process. We do not feel this is the proper forum for such consideration and encourage any such ideas to be submitted through our R&amp;D process. </w:t>
            </w:r>
          </w:p>
        </w:tc>
        <w:tc>
          <w:tcPr>
            <w:tcW w:w="1530"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55C988B7" w14:textId="77777777" w:rsidR="00792913" w:rsidRPr="00792913" w:rsidRDefault="00792913" w:rsidP="00792913">
            <w:pPr>
              <w:spacing w:after="0" w:line="240" w:lineRule="auto"/>
              <w:jc w:val="center"/>
              <w:rPr>
                <w:rFonts w:ascii="Arial" w:eastAsia="Times New Roman" w:hAnsi="Arial" w:cs="Arial"/>
                <w:color w:val="000000"/>
                <w:sz w:val="20"/>
                <w:szCs w:val="20"/>
              </w:rPr>
            </w:pPr>
            <w:r w:rsidRPr="00792913">
              <w:rPr>
                <w:rFonts w:ascii="Arial" w:eastAsia="Times New Roman" w:hAnsi="Arial" w:cs="Arial"/>
                <w:color w:val="000000"/>
                <w:sz w:val="20"/>
                <w:szCs w:val="20"/>
              </w:rPr>
              <w:t>N/A</w:t>
            </w:r>
          </w:p>
        </w:tc>
        <w:tc>
          <w:tcPr>
            <w:tcW w:w="2700" w:type="dxa"/>
            <w:vMerge w:val="restart"/>
            <w:tcBorders>
              <w:top w:val="nil"/>
              <w:left w:val="single" w:sz="4" w:space="0" w:color="auto"/>
              <w:bottom w:val="single" w:sz="4" w:space="0" w:color="auto"/>
              <w:right w:val="single" w:sz="4" w:space="0" w:color="auto"/>
            </w:tcBorders>
            <w:shd w:val="clear" w:color="000000" w:fill="FFFF00"/>
            <w:vAlign w:val="center"/>
            <w:hideMark/>
          </w:tcPr>
          <w:p w14:paraId="2F8ECAF2" w14:textId="77777777" w:rsidR="00792913" w:rsidRPr="00792913" w:rsidRDefault="00792913" w:rsidP="00792913">
            <w:pPr>
              <w:spacing w:after="0" w:line="240" w:lineRule="auto"/>
              <w:rPr>
                <w:rFonts w:ascii="Arial" w:eastAsia="Times New Roman" w:hAnsi="Arial" w:cs="Arial"/>
                <w:sz w:val="20"/>
                <w:szCs w:val="20"/>
              </w:rPr>
            </w:pPr>
            <w:r w:rsidRPr="00792913">
              <w:rPr>
                <w:rFonts w:ascii="Arial" w:eastAsia="Times New Roman" w:hAnsi="Arial" w:cs="Arial"/>
                <w:sz w:val="20"/>
                <w:szCs w:val="20"/>
              </w:rPr>
              <w:t>PGL/NSG suggests vendor product proposals be submitted though business development or RFP processes.</w:t>
            </w:r>
          </w:p>
        </w:tc>
      </w:tr>
      <w:tr w:rsidR="00792913" w:rsidRPr="00792913" w14:paraId="1CFC93C5" w14:textId="77777777" w:rsidTr="005A68FE">
        <w:trPr>
          <w:trHeight w:val="290"/>
        </w:trPr>
        <w:tc>
          <w:tcPr>
            <w:tcW w:w="2520" w:type="dxa"/>
            <w:vMerge/>
            <w:tcBorders>
              <w:top w:val="nil"/>
              <w:left w:val="single" w:sz="4" w:space="0" w:color="auto"/>
              <w:bottom w:val="single" w:sz="4" w:space="0" w:color="auto"/>
              <w:right w:val="single" w:sz="4" w:space="0" w:color="auto"/>
            </w:tcBorders>
            <w:vAlign w:val="center"/>
            <w:hideMark/>
          </w:tcPr>
          <w:p w14:paraId="39CDF77E" w14:textId="77777777" w:rsidR="00792913" w:rsidRPr="00792913" w:rsidRDefault="00792913" w:rsidP="00792913">
            <w:pPr>
              <w:spacing w:after="0" w:line="240" w:lineRule="auto"/>
              <w:rPr>
                <w:rFonts w:ascii="Arial" w:eastAsia="Times New Roman" w:hAnsi="Arial" w:cs="Arial"/>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14:paraId="2D9C60A9" w14:textId="77777777" w:rsidR="00792913" w:rsidRPr="00792913" w:rsidRDefault="00792913" w:rsidP="00792913">
            <w:pPr>
              <w:spacing w:after="0" w:line="240" w:lineRule="auto"/>
              <w:rPr>
                <w:rFonts w:ascii="Arial" w:eastAsia="Times New Roman" w:hAnsi="Arial" w:cs="Arial"/>
                <w:color w:val="000000"/>
                <w:sz w:val="20"/>
                <w:szCs w:val="20"/>
              </w:rPr>
            </w:pPr>
          </w:p>
        </w:tc>
        <w:tc>
          <w:tcPr>
            <w:tcW w:w="4680" w:type="dxa"/>
            <w:vMerge/>
            <w:tcBorders>
              <w:top w:val="nil"/>
              <w:left w:val="single" w:sz="4" w:space="0" w:color="auto"/>
              <w:bottom w:val="single" w:sz="4" w:space="0" w:color="auto"/>
              <w:right w:val="single" w:sz="4" w:space="0" w:color="auto"/>
            </w:tcBorders>
            <w:vAlign w:val="center"/>
            <w:hideMark/>
          </w:tcPr>
          <w:p w14:paraId="6334FC99" w14:textId="77777777" w:rsidR="00792913" w:rsidRPr="00792913" w:rsidRDefault="00792913" w:rsidP="00792913">
            <w:pPr>
              <w:spacing w:after="0" w:line="240" w:lineRule="auto"/>
              <w:rPr>
                <w:rFonts w:ascii="Arial" w:eastAsia="Times New Roman" w:hAnsi="Arial" w:cs="Arial"/>
                <w:color w:val="000000"/>
                <w:sz w:val="20"/>
                <w:szCs w:val="20"/>
              </w:rPr>
            </w:pPr>
          </w:p>
        </w:tc>
        <w:tc>
          <w:tcPr>
            <w:tcW w:w="1530" w:type="dxa"/>
            <w:vMerge/>
            <w:tcBorders>
              <w:top w:val="nil"/>
              <w:left w:val="single" w:sz="4" w:space="0" w:color="auto"/>
              <w:bottom w:val="single" w:sz="4" w:space="0" w:color="auto"/>
              <w:right w:val="single" w:sz="4" w:space="0" w:color="auto"/>
            </w:tcBorders>
            <w:vAlign w:val="center"/>
            <w:hideMark/>
          </w:tcPr>
          <w:p w14:paraId="02CB652F" w14:textId="77777777" w:rsidR="00792913" w:rsidRPr="00792913" w:rsidRDefault="00792913" w:rsidP="00792913">
            <w:pPr>
              <w:spacing w:after="0" w:line="240" w:lineRule="auto"/>
              <w:rPr>
                <w:rFonts w:ascii="Arial" w:eastAsia="Times New Roman" w:hAnsi="Arial" w:cs="Arial"/>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14:paraId="4FF56941" w14:textId="77777777" w:rsidR="00792913" w:rsidRPr="00792913" w:rsidRDefault="00792913" w:rsidP="00792913">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14:paraId="14D3D0C3" w14:textId="77777777" w:rsidR="00792913" w:rsidRPr="00792913" w:rsidRDefault="00792913" w:rsidP="00792913">
            <w:pPr>
              <w:spacing w:after="0" w:line="240" w:lineRule="auto"/>
              <w:rPr>
                <w:rFonts w:ascii="Arial" w:eastAsia="Times New Roman" w:hAnsi="Arial" w:cs="Arial"/>
                <w:sz w:val="20"/>
                <w:szCs w:val="20"/>
              </w:rPr>
            </w:pPr>
          </w:p>
        </w:tc>
      </w:tr>
      <w:tr w:rsidR="00792913" w:rsidRPr="00792913" w14:paraId="0CADCBFC" w14:textId="77777777" w:rsidTr="005A68FE">
        <w:trPr>
          <w:trHeight w:val="620"/>
        </w:trPr>
        <w:tc>
          <w:tcPr>
            <w:tcW w:w="2520" w:type="dxa"/>
            <w:vMerge/>
            <w:tcBorders>
              <w:top w:val="nil"/>
              <w:left w:val="single" w:sz="4" w:space="0" w:color="auto"/>
              <w:bottom w:val="single" w:sz="4" w:space="0" w:color="auto"/>
              <w:right w:val="single" w:sz="4" w:space="0" w:color="auto"/>
            </w:tcBorders>
            <w:vAlign w:val="center"/>
            <w:hideMark/>
          </w:tcPr>
          <w:p w14:paraId="20BDB89F" w14:textId="77777777" w:rsidR="00792913" w:rsidRPr="00792913" w:rsidRDefault="00792913" w:rsidP="00792913">
            <w:pPr>
              <w:spacing w:after="0" w:line="240" w:lineRule="auto"/>
              <w:rPr>
                <w:rFonts w:ascii="Arial" w:eastAsia="Times New Roman" w:hAnsi="Arial" w:cs="Arial"/>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14:paraId="29606D40" w14:textId="77777777" w:rsidR="00792913" w:rsidRPr="00792913" w:rsidRDefault="00792913" w:rsidP="00792913">
            <w:pPr>
              <w:spacing w:after="0" w:line="240" w:lineRule="auto"/>
              <w:rPr>
                <w:rFonts w:ascii="Arial" w:eastAsia="Times New Roman" w:hAnsi="Arial" w:cs="Arial"/>
                <w:color w:val="000000"/>
                <w:sz w:val="20"/>
                <w:szCs w:val="20"/>
              </w:rPr>
            </w:pPr>
          </w:p>
        </w:tc>
        <w:tc>
          <w:tcPr>
            <w:tcW w:w="4680" w:type="dxa"/>
            <w:vMerge/>
            <w:tcBorders>
              <w:top w:val="nil"/>
              <w:left w:val="single" w:sz="4" w:space="0" w:color="auto"/>
              <w:bottom w:val="single" w:sz="4" w:space="0" w:color="auto"/>
              <w:right w:val="single" w:sz="4" w:space="0" w:color="auto"/>
            </w:tcBorders>
            <w:vAlign w:val="center"/>
            <w:hideMark/>
          </w:tcPr>
          <w:p w14:paraId="734C00A5" w14:textId="77777777" w:rsidR="00792913" w:rsidRPr="00792913" w:rsidRDefault="00792913" w:rsidP="00792913">
            <w:pPr>
              <w:spacing w:after="0" w:line="240" w:lineRule="auto"/>
              <w:rPr>
                <w:rFonts w:ascii="Arial" w:eastAsia="Times New Roman" w:hAnsi="Arial" w:cs="Arial"/>
                <w:color w:val="000000"/>
                <w:sz w:val="20"/>
                <w:szCs w:val="20"/>
              </w:rPr>
            </w:pPr>
          </w:p>
        </w:tc>
        <w:tc>
          <w:tcPr>
            <w:tcW w:w="1530" w:type="dxa"/>
            <w:vMerge/>
            <w:tcBorders>
              <w:top w:val="nil"/>
              <w:left w:val="single" w:sz="4" w:space="0" w:color="auto"/>
              <w:bottom w:val="single" w:sz="4" w:space="0" w:color="auto"/>
              <w:right w:val="single" w:sz="4" w:space="0" w:color="auto"/>
            </w:tcBorders>
            <w:vAlign w:val="center"/>
            <w:hideMark/>
          </w:tcPr>
          <w:p w14:paraId="45C1B653" w14:textId="77777777" w:rsidR="00792913" w:rsidRPr="00792913" w:rsidRDefault="00792913" w:rsidP="00792913">
            <w:pPr>
              <w:spacing w:after="0" w:line="240" w:lineRule="auto"/>
              <w:rPr>
                <w:rFonts w:ascii="Arial" w:eastAsia="Times New Roman" w:hAnsi="Arial" w:cs="Arial"/>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14:paraId="337C55B6" w14:textId="77777777" w:rsidR="00792913" w:rsidRPr="00792913" w:rsidRDefault="00792913" w:rsidP="00792913">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14:paraId="43F0EC80" w14:textId="77777777" w:rsidR="00792913" w:rsidRPr="00792913" w:rsidRDefault="00792913" w:rsidP="00792913">
            <w:pPr>
              <w:spacing w:after="0" w:line="240" w:lineRule="auto"/>
              <w:rPr>
                <w:rFonts w:ascii="Times New Roman" w:eastAsia="Times New Roman" w:hAnsi="Times New Roman" w:cs="Times New Roman"/>
                <w:sz w:val="20"/>
                <w:szCs w:val="20"/>
              </w:rPr>
            </w:pPr>
          </w:p>
        </w:tc>
      </w:tr>
      <w:tr w:rsidR="00792913" w:rsidRPr="00792913" w14:paraId="7B0B35F2" w14:textId="77777777" w:rsidTr="005A68FE">
        <w:trPr>
          <w:trHeight w:val="165"/>
        </w:trPr>
        <w:tc>
          <w:tcPr>
            <w:tcW w:w="2520" w:type="dxa"/>
            <w:vMerge/>
            <w:tcBorders>
              <w:top w:val="nil"/>
              <w:left w:val="single" w:sz="4" w:space="0" w:color="auto"/>
              <w:bottom w:val="single" w:sz="4" w:space="0" w:color="auto"/>
              <w:right w:val="single" w:sz="4" w:space="0" w:color="auto"/>
            </w:tcBorders>
            <w:vAlign w:val="center"/>
            <w:hideMark/>
          </w:tcPr>
          <w:p w14:paraId="02774217" w14:textId="77777777" w:rsidR="00792913" w:rsidRPr="00792913" w:rsidRDefault="00792913" w:rsidP="00792913">
            <w:pPr>
              <w:spacing w:after="0" w:line="240" w:lineRule="auto"/>
              <w:rPr>
                <w:rFonts w:ascii="Arial" w:eastAsia="Times New Roman" w:hAnsi="Arial" w:cs="Arial"/>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14:paraId="342F2108" w14:textId="77777777" w:rsidR="00792913" w:rsidRPr="00792913" w:rsidRDefault="00792913" w:rsidP="00792913">
            <w:pPr>
              <w:spacing w:after="0" w:line="240" w:lineRule="auto"/>
              <w:rPr>
                <w:rFonts w:ascii="Arial" w:eastAsia="Times New Roman" w:hAnsi="Arial" w:cs="Arial"/>
                <w:color w:val="000000"/>
                <w:sz w:val="20"/>
                <w:szCs w:val="20"/>
              </w:rPr>
            </w:pPr>
          </w:p>
        </w:tc>
        <w:tc>
          <w:tcPr>
            <w:tcW w:w="4680" w:type="dxa"/>
            <w:vMerge/>
            <w:tcBorders>
              <w:top w:val="nil"/>
              <w:left w:val="single" w:sz="4" w:space="0" w:color="auto"/>
              <w:bottom w:val="single" w:sz="4" w:space="0" w:color="auto"/>
              <w:right w:val="single" w:sz="4" w:space="0" w:color="auto"/>
            </w:tcBorders>
            <w:vAlign w:val="center"/>
            <w:hideMark/>
          </w:tcPr>
          <w:p w14:paraId="0F12FDFD" w14:textId="77777777" w:rsidR="00792913" w:rsidRPr="00792913" w:rsidRDefault="00792913" w:rsidP="00792913">
            <w:pPr>
              <w:spacing w:after="0" w:line="240" w:lineRule="auto"/>
              <w:rPr>
                <w:rFonts w:ascii="Arial" w:eastAsia="Times New Roman" w:hAnsi="Arial" w:cs="Arial"/>
                <w:color w:val="000000"/>
                <w:sz w:val="20"/>
                <w:szCs w:val="20"/>
              </w:rPr>
            </w:pPr>
          </w:p>
        </w:tc>
        <w:tc>
          <w:tcPr>
            <w:tcW w:w="1530" w:type="dxa"/>
            <w:vMerge/>
            <w:tcBorders>
              <w:top w:val="nil"/>
              <w:left w:val="single" w:sz="4" w:space="0" w:color="auto"/>
              <w:bottom w:val="single" w:sz="4" w:space="0" w:color="auto"/>
              <w:right w:val="single" w:sz="4" w:space="0" w:color="auto"/>
            </w:tcBorders>
            <w:vAlign w:val="center"/>
            <w:hideMark/>
          </w:tcPr>
          <w:p w14:paraId="66A6815D" w14:textId="77777777" w:rsidR="00792913" w:rsidRPr="00792913" w:rsidRDefault="00792913" w:rsidP="00792913">
            <w:pPr>
              <w:spacing w:after="0" w:line="240" w:lineRule="auto"/>
              <w:rPr>
                <w:rFonts w:ascii="Arial" w:eastAsia="Times New Roman" w:hAnsi="Arial" w:cs="Arial"/>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14:paraId="1CBDBE4E" w14:textId="77777777" w:rsidR="00792913" w:rsidRPr="00792913" w:rsidRDefault="00792913" w:rsidP="00792913">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14:paraId="363A70EE" w14:textId="77777777" w:rsidR="00792913" w:rsidRPr="00792913" w:rsidRDefault="00792913" w:rsidP="00792913">
            <w:pPr>
              <w:spacing w:after="0" w:line="240" w:lineRule="auto"/>
              <w:rPr>
                <w:rFonts w:ascii="Times New Roman" w:eastAsia="Times New Roman" w:hAnsi="Times New Roman" w:cs="Times New Roman"/>
                <w:sz w:val="20"/>
                <w:szCs w:val="20"/>
              </w:rPr>
            </w:pPr>
          </w:p>
        </w:tc>
      </w:tr>
      <w:tr w:rsidR="00792913" w:rsidRPr="00792913" w14:paraId="3905C22E" w14:textId="77777777" w:rsidTr="005A68FE">
        <w:trPr>
          <w:trHeight w:val="290"/>
        </w:trPr>
        <w:tc>
          <w:tcPr>
            <w:tcW w:w="2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217CCC" w14:textId="77777777" w:rsidR="00792913" w:rsidRPr="00792913" w:rsidRDefault="00792913" w:rsidP="00792913">
            <w:pPr>
              <w:spacing w:after="0" w:line="240" w:lineRule="auto"/>
              <w:rPr>
                <w:rFonts w:ascii="Arial" w:eastAsia="Times New Roman" w:hAnsi="Arial" w:cs="Arial"/>
                <w:color w:val="000000"/>
                <w:sz w:val="20"/>
                <w:szCs w:val="20"/>
              </w:rPr>
            </w:pPr>
            <w:proofErr w:type="spellStart"/>
            <w:r w:rsidRPr="00792913">
              <w:rPr>
                <w:rFonts w:ascii="Arial" w:eastAsia="Times New Roman" w:hAnsi="Arial" w:cs="Arial"/>
                <w:color w:val="000000"/>
                <w:sz w:val="20"/>
                <w:szCs w:val="20"/>
              </w:rPr>
              <w:lastRenderedPageBreak/>
              <w:t>FLEXMarket</w:t>
            </w:r>
            <w:proofErr w:type="spellEnd"/>
            <w:r w:rsidRPr="00792913">
              <w:rPr>
                <w:rFonts w:ascii="Arial" w:eastAsia="Times New Roman" w:hAnsi="Arial" w:cs="Arial"/>
                <w:color w:val="000000"/>
                <w:sz w:val="20"/>
                <w:szCs w:val="20"/>
              </w:rPr>
              <w:t xml:space="preserve"> (rows 57-60)</w:t>
            </w:r>
          </w:p>
        </w:tc>
        <w:tc>
          <w:tcPr>
            <w:tcW w:w="2610" w:type="dxa"/>
            <w:vMerge w:val="restart"/>
            <w:tcBorders>
              <w:top w:val="nil"/>
              <w:left w:val="single" w:sz="4" w:space="0" w:color="auto"/>
              <w:bottom w:val="single" w:sz="4" w:space="0" w:color="auto"/>
              <w:right w:val="single" w:sz="4" w:space="0" w:color="auto"/>
            </w:tcBorders>
            <w:shd w:val="clear" w:color="000000" w:fill="FB8C89"/>
            <w:vAlign w:val="center"/>
            <w:hideMark/>
          </w:tcPr>
          <w:p w14:paraId="37BD8FED" w14:textId="77777777" w:rsidR="00792913" w:rsidRPr="00792913" w:rsidRDefault="00792913" w:rsidP="00792913">
            <w:pPr>
              <w:spacing w:after="0" w:line="240" w:lineRule="auto"/>
              <w:rPr>
                <w:rFonts w:ascii="Arial" w:eastAsia="Times New Roman" w:hAnsi="Arial" w:cs="Arial"/>
                <w:color w:val="000000"/>
                <w:sz w:val="20"/>
                <w:szCs w:val="20"/>
              </w:rPr>
            </w:pPr>
            <w:r w:rsidRPr="00792913">
              <w:rPr>
                <w:rFonts w:ascii="Arial" w:eastAsia="Times New Roman" w:hAnsi="Arial" w:cs="Arial"/>
                <w:color w:val="000000"/>
                <w:sz w:val="20"/>
                <w:szCs w:val="20"/>
              </w:rPr>
              <w:t>AIC does not believe this idea assists utilities in achieving the goals required by CEJA.</w:t>
            </w:r>
          </w:p>
        </w:tc>
        <w:tc>
          <w:tcPr>
            <w:tcW w:w="4680" w:type="dxa"/>
            <w:vMerge w:val="restart"/>
            <w:tcBorders>
              <w:top w:val="nil"/>
              <w:left w:val="single" w:sz="4" w:space="0" w:color="auto"/>
              <w:bottom w:val="single" w:sz="4" w:space="0" w:color="auto"/>
              <w:right w:val="single" w:sz="4" w:space="0" w:color="auto"/>
            </w:tcBorders>
            <w:shd w:val="clear" w:color="000000" w:fill="B4C6E7"/>
            <w:vAlign w:val="center"/>
            <w:hideMark/>
          </w:tcPr>
          <w:p w14:paraId="7E474DA3" w14:textId="77777777" w:rsidR="00792913" w:rsidRPr="00792913" w:rsidRDefault="00792913" w:rsidP="00792913">
            <w:pPr>
              <w:spacing w:after="0" w:line="240" w:lineRule="auto"/>
              <w:rPr>
                <w:rFonts w:ascii="Arial" w:eastAsia="Times New Roman" w:hAnsi="Arial" w:cs="Arial"/>
                <w:color w:val="000000"/>
                <w:sz w:val="20"/>
                <w:szCs w:val="20"/>
              </w:rPr>
            </w:pPr>
            <w:r w:rsidRPr="00792913">
              <w:rPr>
                <w:rFonts w:ascii="Arial" w:eastAsia="Times New Roman" w:hAnsi="Arial" w:cs="Arial"/>
                <w:color w:val="000000"/>
                <w:sz w:val="20"/>
                <w:szCs w:val="20"/>
              </w:rPr>
              <w:t xml:space="preserve">ComEd does not understand the value proposition of this Idea and interprets this idea as a means for a private company to solicit business through this process. We do not feel this is the proper forum for such consideration and encourage any such ideas to be submitted through our R&amp;D process. </w:t>
            </w:r>
          </w:p>
        </w:tc>
        <w:tc>
          <w:tcPr>
            <w:tcW w:w="1530"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107A5E8E" w14:textId="77777777" w:rsidR="00792913" w:rsidRPr="00792913" w:rsidRDefault="00792913" w:rsidP="00792913">
            <w:pPr>
              <w:spacing w:after="0" w:line="240" w:lineRule="auto"/>
              <w:jc w:val="center"/>
              <w:rPr>
                <w:rFonts w:ascii="Arial" w:eastAsia="Times New Roman" w:hAnsi="Arial" w:cs="Arial"/>
                <w:color w:val="000000"/>
                <w:sz w:val="20"/>
                <w:szCs w:val="20"/>
              </w:rPr>
            </w:pPr>
            <w:r w:rsidRPr="00792913">
              <w:rPr>
                <w:rFonts w:ascii="Arial" w:eastAsia="Times New Roman" w:hAnsi="Arial" w:cs="Arial"/>
                <w:color w:val="000000"/>
                <w:sz w:val="20"/>
                <w:szCs w:val="20"/>
              </w:rPr>
              <w:t>N/A</w:t>
            </w:r>
          </w:p>
        </w:tc>
        <w:tc>
          <w:tcPr>
            <w:tcW w:w="2700" w:type="dxa"/>
            <w:vMerge w:val="restart"/>
            <w:tcBorders>
              <w:top w:val="nil"/>
              <w:left w:val="single" w:sz="4" w:space="0" w:color="auto"/>
              <w:bottom w:val="single" w:sz="4" w:space="0" w:color="auto"/>
              <w:right w:val="single" w:sz="4" w:space="0" w:color="auto"/>
            </w:tcBorders>
            <w:shd w:val="clear" w:color="000000" w:fill="FFFF00"/>
            <w:vAlign w:val="center"/>
            <w:hideMark/>
          </w:tcPr>
          <w:p w14:paraId="418A1646" w14:textId="77777777" w:rsidR="00792913" w:rsidRPr="00792913" w:rsidRDefault="00792913" w:rsidP="00792913">
            <w:pPr>
              <w:spacing w:after="0" w:line="240" w:lineRule="auto"/>
              <w:rPr>
                <w:rFonts w:ascii="Arial" w:eastAsia="Times New Roman" w:hAnsi="Arial" w:cs="Arial"/>
                <w:sz w:val="20"/>
                <w:szCs w:val="20"/>
              </w:rPr>
            </w:pPr>
            <w:r w:rsidRPr="00792913">
              <w:rPr>
                <w:rFonts w:ascii="Arial" w:eastAsia="Times New Roman" w:hAnsi="Arial" w:cs="Arial"/>
                <w:sz w:val="20"/>
                <w:szCs w:val="20"/>
              </w:rPr>
              <w:t>PGL/NSG suggests vendor product proposals be submitted though business development or RFP processes.</w:t>
            </w:r>
          </w:p>
        </w:tc>
        <w:tc>
          <w:tcPr>
            <w:tcW w:w="236" w:type="dxa"/>
            <w:vAlign w:val="center"/>
            <w:hideMark/>
          </w:tcPr>
          <w:p w14:paraId="6985471B" w14:textId="77777777" w:rsidR="00792913" w:rsidRPr="00792913" w:rsidRDefault="00792913" w:rsidP="00792913">
            <w:pPr>
              <w:spacing w:after="0" w:line="240" w:lineRule="auto"/>
              <w:rPr>
                <w:rFonts w:ascii="Times New Roman" w:eastAsia="Times New Roman" w:hAnsi="Times New Roman" w:cs="Times New Roman"/>
                <w:sz w:val="20"/>
                <w:szCs w:val="20"/>
              </w:rPr>
            </w:pPr>
          </w:p>
        </w:tc>
      </w:tr>
      <w:tr w:rsidR="00792913" w:rsidRPr="00792913" w14:paraId="4E3EF507" w14:textId="77777777" w:rsidTr="005A68FE">
        <w:trPr>
          <w:trHeight w:val="220"/>
        </w:trPr>
        <w:tc>
          <w:tcPr>
            <w:tcW w:w="2520" w:type="dxa"/>
            <w:vMerge/>
            <w:tcBorders>
              <w:top w:val="nil"/>
              <w:left w:val="single" w:sz="4" w:space="0" w:color="auto"/>
              <w:bottom w:val="single" w:sz="4" w:space="0" w:color="auto"/>
              <w:right w:val="single" w:sz="4" w:space="0" w:color="auto"/>
            </w:tcBorders>
            <w:vAlign w:val="center"/>
            <w:hideMark/>
          </w:tcPr>
          <w:p w14:paraId="2CF743B7" w14:textId="77777777" w:rsidR="00792913" w:rsidRPr="00792913" w:rsidRDefault="00792913" w:rsidP="00792913">
            <w:pPr>
              <w:spacing w:after="0" w:line="240" w:lineRule="auto"/>
              <w:rPr>
                <w:rFonts w:ascii="Arial" w:eastAsia="Times New Roman" w:hAnsi="Arial" w:cs="Arial"/>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14:paraId="24ED97A0" w14:textId="77777777" w:rsidR="00792913" w:rsidRPr="00792913" w:rsidRDefault="00792913" w:rsidP="00792913">
            <w:pPr>
              <w:spacing w:after="0" w:line="240" w:lineRule="auto"/>
              <w:rPr>
                <w:rFonts w:ascii="Arial" w:eastAsia="Times New Roman" w:hAnsi="Arial" w:cs="Arial"/>
                <w:color w:val="000000"/>
                <w:sz w:val="20"/>
                <w:szCs w:val="20"/>
              </w:rPr>
            </w:pPr>
          </w:p>
        </w:tc>
        <w:tc>
          <w:tcPr>
            <w:tcW w:w="4680" w:type="dxa"/>
            <w:vMerge/>
            <w:tcBorders>
              <w:top w:val="nil"/>
              <w:left w:val="single" w:sz="4" w:space="0" w:color="auto"/>
              <w:bottom w:val="single" w:sz="4" w:space="0" w:color="auto"/>
              <w:right w:val="single" w:sz="4" w:space="0" w:color="auto"/>
            </w:tcBorders>
            <w:vAlign w:val="center"/>
            <w:hideMark/>
          </w:tcPr>
          <w:p w14:paraId="49DEAE4A" w14:textId="77777777" w:rsidR="00792913" w:rsidRPr="00792913" w:rsidRDefault="00792913" w:rsidP="00792913">
            <w:pPr>
              <w:spacing w:after="0" w:line="240" w:lineRule="auto"/>
              <w:rPr>
                <w:rFonts w:ascii="Arial" w:eastAsia="Times New Roman" w:hAnsi="Arial" w:cs="Arial"/>
                <w:color w:val="000000"/>
                <w:sz w:val="20"/>
                <w:szCs w:val="20"/>
              </w:rPr>
            </w:pPr>
          </w:p>
        </w:tc>
        <w:tc>
          <w:tcPr>
            <w:tcW w:w="1530" w:type="dxa"/>
            <w:vMerge/>
            <w:tcBorders>
              <w:top w:val="nil"/>
              <w:left w:val="single" w:sz="4" w:space="0" w:color="auto"/>
              <w:bottom w:val="single" w:sz="4" w:space="0" w:color="auto"/>
              <w:right w:val="single" w:sz="4" w:space="0" w:color="auto"/>
            </w:tcBorders>
            <w:vAlign w:val="center"/>
            <w:hideMark/>
          </w:tcPr>
          <w:p w14:paraId="7ED12C90" w14:textId="77777777" w:rsidR="00792913" w:rsidRPr="00792913" w:rsidRDefault="00792913" w:rsidP="00792913">
            <w:pPr>
              <w:spacing w:after="0" w:line="240" w:lineRule="auto"/>
              <w:rPr>
                <w:rFonts w:ascii="Arial" w:eastAsia="Times New Roman" w:hAnsi="Arial" w:cs="Arial"/>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14:paraId="39A78ECB" w14:textId="77777777" w:rsidR="00792913" w:rsidRPr="00792913" w:rsidRDefault="00792913" w:rsidP="00792913">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14:paraId="6C1DCC99" w14:textId="77777777" w:rsidR="00792913" w:rsidRPr="00792913" w:rsidRDefault="00792913" w:rsidP="00792913">
            <w:pPr>
              <w:spacing w:after="0" w:line="240" w:lineRule="auto"/>
              <w:rPr>
                <w:rFonts w:ascii="Arial" w:eastAsia="Times New Roman" w:hAnsi="Arial" w:cs="Arial"/>
                <w:sz w:val="20"/>
                <w:szCs w:val="20"/>
              </w:rPr>
            </w:pPr>
          </w:p>
        </w:tc>
      </w:tr>
      <w:tr w:rsidR="00792913" w:rsidRPr="00792913" w14:paraId="0CD466A8" w14:textId="77777777" w:rsidTr="005A68FE">
        <w:trPr>
          <w:trHeight w:val="710"/>
        </w:trPr>
        <w:tc>
          <w:tcPr>
            <w:tcW w:w="2520" w:type="dxa"/>
            <w:vMerge/>
            <w:tcBorders>
              <w:top w:val="nil"/>
              <w:left w:val="single" w:sz="4" w:space="0" w:color="auto"/>
              <w:bottom w:val="single" w:sz="4" w:space="0" w:color="auto"/>
              <w:right w:val="single" w:sz="4" w:space="0" w:color="auto"/>
            </w:tcBorders>
            <w:vAlign w:val="center"/>
            <w:hideMark/>
          </w:tcPr>
          <w:p w14:paraId="604AF9AA" w14:textId="77777777" w:rsidR="00792913" w:rsidRPr="00792913" w:rsidRDefault="00792913" w:rsidP="00792913">
            <w:pPr>
              <w:spacing w:after="0" w:line="240" w:lineRule="auto"/>
              <w:rPr>
                <w:rFonts w:ascii="Arial" w:eastAsia="Times New Roman" w:hAnsi="Arial" w:cs="Arial"/>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14:paraId="3758CCB8" w14:textId="77777777" w:rsidR="00792913" w:rsidRPr="00792913" w:rsidRDefault="00792913" w:rsidP="00792913">
            <w:pPr>
              <w:spacing w:after="0" w:line="240" w:lineRule="auto"/>
              <w:rPr>
                <w:rFonts w:ascii="Arial" w:eastAsia="Times New Roman" w:hAnsi="Arial" w:cs="Arial"/>
                <w:color w:val="000000"/>
                <w:sz w:val="20"/>
                <w:szCs w:val="20"/>
              </w:rPr>
            </w:pPr>
          </w:p>
        </w:tc>
        <w:tc>
          <w:tcPr>
            <w:tcW w:w="4680" w:type="dxa"/>
            <w:vMerge/>
            <w:tcBorders>
              <w:top w:val="nil"/>
              <w:left w:val="single" w:sz="4" w:space="0" w:color="auto"/>
              <w:bottom w:val="single" w:sz="4" w:space="0" w:color="auto"/>
              <w:right w:val="single" w:sz="4" w:space="0" w:color="auto"/>
            </w:tcBorders>
            <w:vAlign w:val="center"/>
            <w:hideMark/>
          </w:tcPr>
          <w:p w14:paraId="64B28024" w14:textId="77777777" w:rsidR="00792913" w:rsidRPr="00792913" w:rsidRDefault="00792913" w:rsidP="00792913">
            <w:pPr>
              <w:spacing w:after="0" w:line="240" w:lineRule="auto"/>
              <w:rPr>
                <w:rFonts w:ascii="Arial" w:eastAsia="Times New Roman" w:hAnsi="Arial" w:cs="Arial"/>
                <w:color w:val="000000"/>
                <w:sz w:val="20"/>
                <w:szCs w:val="20"/>
              </w:rPr>
            </w:pPr>
          </w:p>
        </w:tc>
        <w:tc>
          <w:tcPr>
            <w:tcW w:w="1530" w:type="dxa"/>
            <w:vMerge/>
            <w:tcBorders>
              <w:top w:val="nil"/>
              <w:left w:val="single" w:sz="4" w:space="0" w:color="auto"/>
              <w:bottom w:val="single" w:sz="4" w:space="0" w:color="auto"/>
              <w:right w:val="single" w:sz="4" w:space="0" w:color="auto"/>
            </w:tcBorders>
            <w:vAlign w:val="center"/>
            <w:hideMark/>
          </w:tcPr>
          <w:p w14:paraId="2EEAC1FE" w14:textId="77777777" w:rsidR="00792913" w:rsidRPr="00792913" w:rsidRDefault="00792913" w:rsidP="00792913">
            <w:pPr>
              <w:spacing w:after="0" w:line="240" w:lineRule="auto"/>
              <w:rPr>
                <w:rFonts w:ascii="Arial" w:eastAsia="Times New Roman" w:hAnsi="Arial" w:cs="Arial"/>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14:paraId="7F20E9BD" w14:textId="77777777" w:rsidR="00792913" w:rsidRPr="00792913" w:rsidRDefault="00792913" w:rsidP="00792913">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14:paraId="2CB3E7E7" w14:textId="77777777" w:rsidR="00792913" w:rsidRPr="00792913" w:rsidRDefault="00792913" w:rsidP="00792913">
            <w:pPr>
              <w:spacing w:after="0" w:line="240" w:lineRule="auto"/>
              <w:rPr>
                <w:rFonts w:ascii="Times New Roman" w:eastAsia="Times New Roman" w:hAnsi="Times New Roman" w:cs="Times New Roman"/>
                <w:sz w:val="20"/>
                <w:szCs w:val="20"/>
              </w:rPr>
            </w:pPr>
          </w:p>
        </w:tc>
      </w:tr>
      <w:tr w:rsidR="00792913" w:rsidRPr="00792913" w14:paraId="24054553" w14:textId="77777777" w:rsidTr="005A68FE">
        <w:trPr>
          <w:trHeight w:val="290"/>
        </w:trPr>
        <w:tc>
          <w:tcPr>
            <w:tcW w:w="2520" w:type="dxa"/>
            <w:vMerge/>
            <w:tcBorders>
              <w:top w:val="nil"/>
              <w:left w:val="single" w:sz="4" w:space="0" w:color="auto"/>
              <w:bottom w:val="single" w:sz="4" w:space="0" w:color="auto"/>
              <w:right w:val="single" w:sz="4" w:space="0" w:color="auto"/>
            </w:tcBorders>
            <w:vAlign w:val="center"/>
            <w:hideMark/>
          </w:tcPr>
          <w:p w14:paraId="4B72F76C" w14:textId="77777777" w:rsidR="00792913" w:rsidRPr="00792913" w:rsidRDefault="00792913" w:rsidP="00792913">
            <w:pPr>
              <w:spacing w:after="0" w:line="240" w:lineRule="auto"/>
              <w:rPr>
                <w:rFonts w:ascii="Arial" w:eastAsia="Times New Roman" w:hAnsi="Arial" w:cs="Arial"/>
                <w:color w:val="000000"/>
                <w:sz w:val="20"/>
                <w:szCs w:val="20"/>
              </w:rPr>
            </w:pPr>
          </w:p>
        </w:tc>
        <w:tc>
          <w:tcPr>
            <w:tcW w:w="2610" w:type="dxa"/>
            <w:vMerge/>
            <w:tcBorders>
              <w:top w:val="nil"/>
              <w:left w:val="single" w:sz="4" w:space="0" w:color="auto"/>
              <w:bottom w:val="single" w:sz="4" w:space="0" w:color="auto"/>
              <w:right w:val="single" w:sz="4" w:space="0" w:color="auto"/>
            </w:tcBorders>
            <w:vAlign w:val="center"/>
            <w:hideMark/>
          </w:tcPr>
          <w:p w14:paraId="148AD383" w14:textId="77777777" w:rsidR="00792913" w:rsidRPr="00792913" w:rsidRDefault="00792913" w:rsidP="00792913">
            <w:pPr>
              <w:spacing w:after="0" w:line="240" w:lineRule="auto"/>
              <w:rPr>
                <w:rFonts w:ascii="Arial" w:eastAsia="Times New Roman" w:hAnsi="Arial" w:cs="Arial"/>
                <w:color w:val="000000"/>
                <w:sz w:val="20"/>
                <w:szCs w:val="20"/>
              </w:rPr>
            </w:pPr>
          </w:p>
        </w:tc>
        <w:tc>
          <w:tcPr>
            <w:tcW w:w="4680" w:type="dxa"/>
            <w:vMerge/>
            <w:tcBorders>
              <w:top w:val="nil"/>
              <w:left w:val="single" w:sz="4" w:space="0" w:color="auto"/>
              <w:bottom w:val="single" w:sz="4" w:space="0" w:color="auto"/>
              <w:right w:val="single" w:sz="4" w:space="0" w:color="auto"/>
            </w:tcBorders>
            <w:vAlign w:val="center"/>
            <w:hideMark/>
          </w:tcPr>
          <w:p w14:paraId="2CE103EF" w14:textId="77777777" w:rsidR="00792913" w:rsidRPr="00792913" w:rsidRDefault="00792913" w:rsidP="00792913">
            <w:pPr>
              <w:spacing w:after="0" w:line="240" w:lineRule="auto"/>
              <w:rPr>
                <w:rFonts w:ascii="Arial" w:eastAsia="Times New Roman" w:hAnsi="Arial" w:cs="Arial"/>
                <w:color w:val="000000"/>
                <w:sz w:val="20"/>
                <w:szCs w:val="20"/>
              </w:rPr>
            </w:pPr>
          </w:p>
        </w:tc>
        <w:tc>
          <w:tcPr>
            <w:tcW w:w="1530" w:type="dxa"/>
            <w:vMerge/>
            <w:tcBorders>
              <w:top w:val="nil"/>
              <w:left w:val="single" w:sz="4" w:space="0" w:color="auto"/>
              <w:bottom w:val="single" w:sz="4" w:space="0" w:color="auto"/>
              <w:right w:val="single" w:sz="4" w:space="0" w:color="auto"/>
            </w:tcBorders>
            <w:vAlign w:val="center"/>
            <w:hideMark/>
          </w:tcPr>
          <w:p w14:paraId="4F60BC45" w14:textId="77777777" w:rsidR="00792913" w:rsidRPr="00792913" w:rsidRDefault="00792913" w:rsidP="00792913">
            <w:pPr>
              <w:spacing w:after="0" w:line="240" w:lineRule="auto"/>
              <w:rPr>
                <w:rFonts w:ascii="Arial" w:eastAsia="Times New Roman" w:hAnsi="Arial" w:cs="Arial"/>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14:paraId="4D2371BE" w14:textId="77777777" w:rsidR="00792913" w:rsidRPr="00792913" w:rsidRDefault="00792913" w:rsidP="00792913">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14:paraId="63CF5539" w14:textId="77777777" w:rsidR="00792913" w:rsidRPr="00792913" w:rsidRDefault="00792913" w:rsidP="00792913">
            <w:pPr>
              <w:spacing w:after="0" w:line="240" w:lineRule="auto"/>
              <w:rPr>
                <w:rFonts w:ascii="Times New Roman" w:eastAsia="Times New Roman" w:hAnsi="Times New Roman" w:cs="Times New Roman"/>
                <w:sz w:val="20"/>
                <w:szCs w:val="20"/>
              </w:rPr>
            </w:pPr>
          </w:p>
        </w:tc>
      </w:tr>
    </w:tbl>
    <w:p w14:paraId="5C4390FC" w14:textId="77777777" w:rsidR="00792913" w:rsidRDefault="00792913" w:rsidP="00792913">
      <w:pPr>
        <w:spacing w:after="0" w:line="240" w:lineRule="auto"/>
        <w:rPr>
          <w:rFonts w:ascii="Arial" w:eastAsia="Calibri" w:hAnsi="Arial" w:cs="Arial"/>
          <w:bCs/>
          <w:sz w:val="24"/>
          <w:szCs w:val="24"/>
        </w:rPr>
      </w:pPr>
    </w:p>
    <w:p w14:paraId="5E4141C7" w14:textId="0A1667B5" w:rsidR="0087628F" w:rsidRDefault="00F671AD" w:rsidP="00841AB5">
      <w:pPr>
        <w:spacing w:after="0" w:line="240" w:lineRule="auto"/>
        <w:ind w:left="-576"/>
        <w:rPr>
          <w:rFonts w:ascii="Arial" w:eastAsia="Calibri" w:hAnsi="Arial" w:cs="Arial"/>
          <w:b/>
          <w:sz w:val="24"/>
          <w:szCs w:val="24"/>
        </w:rPr>
      </w:pPr>
      <w:r w:rsidRPr="00F761C0">
        <w:rPr>
          <w:rFonts w:ascii="Arial" w:eastAsia="Calibri" w:hAnsi="Arial" w:cs="Arial"/>
          <w:b/>
          <w:sz w:val="24"/>
          <w:szCs w:val="24"/>
        </w:rPr>
        <w:t>Joint Stakeholder Small Business EE Idea</w:t>
      </w:r>
      <w:r w:rsidR="00BD6585">
        <w:rPr>
          <w:rFonts w:ascii="Arial" w:eastAsia="Calibri" w:hAnsi="Arial" w:cs="Arial"/>
          <w:b/>
          <w:sz w:val="24"/>
          <w:szCs w:val="24"/>
        </w:rPr>
        <w:t>s</w:t>
      </w:r>
      <w:r w:rsidR="00DF0C79">
        <w:rPr>
          <w:rFonts w:ascii="Arial" w:eastAsia="Calibri" w:hAnsi="Arial" w:cs="Arial"/>
          <w:b/>
          <w:sz w:val="24"/>
          <w:szCs w:val="24"/>
        </w:rPr>
        <w:t>:</w:t>
      </w:r>
      <w:r w:rsidR="00622C74">
        <w:rPr>
          <w:rFonts w:ascii="Arial" w:eastAsia="Calibri" w:hAnsi="Arial" w:cs="Arial"/>
          <w:b/>
          <w:sz w:val="24"/>
          <w:szCs w:val="24"/>
        </w:rPr>
        <w:t xml:space="preserve"> </w:t>
      </w:r>
    </w:p>
    <w:p w14:paraId="0CCFE165" w14:textId="77777777" w:rsidR="00794EEA" w:rsidRDefault="00794EEA" w:rsidP="00F671AD">
      <w:pPr>
        <w:spacing w:after="0" w:line="240" w:lineRule="auto"/>
        <w:rPr>
          <w:rFonts w:ascii="Arial" w:eastAsia="Calibri" w:hAnsi="Arial" w:cs="Arial"/>
          <w:bCs/>
          <w:sz w:val="24"/>
          <w:szCs w:val="24"/>
        </w:rPr>
      </w:pPr>
    </w:p>
    <w:tbl>
      <w:tblPr>
        <w:tblW w:w="14220" w:type="dxa"/>
        <w:tblInd w:w="-545" w:type="dxa"/>
        <w:tblLook w:val="04A0" w:firstRow="1" w:lastRow="0" w:firstColumn="1" w:lastColumn="0" w:noHBand="0" w:noVBand="1"/>
      </w:tblPr>
      <w:tblGrid>
        <w:gridCol w:w="2700"/>
        <w:gridCol w:w="2700"/>
        <w:gridCol w:w="4590"/>
        <w:gridCol w:w="1800"/>
        <w:gridCol w:w="2430"/>
      </w:tblGrid>
      <w:tr w:rsidR="00EA02BC" w:rsidRPr="00EA02BC" w14:paraId="2C6979B1" w14:textId="77777777" w:rsidTr="00EA02BC">
        <w:trPr>
          <w:trHeight w:val="290"/>
        </w:trPr>
        <w:tc>
          <w:tcPr>
            <w:tcW w:w="270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7899138" w14:textId="77777777" w:rsidR="00EA02BC" w:rsidRPr="00EA02BC" w:rsidRDefault="00EA02BC" w:rsidP="00EA02BC">
            <w:pPr>
              <w:spacing w:after="0" w:line="240" w:lineRule="auto"/>
              <w:jc w:val="center"/>
              <w:rPr>
                <w:rFonts w:ascii="Calibri" w:eastAsia="Times New Roman" w:hAnsi="Calibri" w:cs="Calibri"/>
                <w:b/>
                <w:bCs/>
                <w:color w:val="000000"/>
              </w:rPr>
            </w:pPr>
            <w:r w:rsidRPr="00EA02BC">
              <w:rPr>
                <w:rFonts w:ascii="Calibri" w:eastAsia="Times New Roman" w:hAnsi="Calibri" w:cs="Calibri"/>
                <w:b/>
                <w:bCs/>
                <w:color w:val="000000"/>
              </w:rPr>
              <w:t>Small Business EE Idea</w:t>
            </w:r>
          </w:p>
        </w:tc>
        <w:tc>
          <w:tcPr>
            <w:tcW w:w="2700" w:type="dxa"/>
            <w:tcBorders>
              <w:top w:val="single" w:sz="4" w:space="0" w:color="auto"/>
              <w:left w:val="nil"/>
              <w:bottom w:val="single" w:sz="4" w:space="0" w:color="auto"/>
              <w:right w:val="single" w:sz="4" w:space="0" w:color="auto"/>
            </w:tcBorders>
            <w:shd w:val="clear" w:color="CFE2F3" w:fill="DDEBF7"/>
            <w:vAlign w:val="center"/>
            <w:hideMark/>
          </w:tcPr>
          <w:p w14:paraId="739507E1" w14:textId="77777777" w:rsidR="00EA02BC" w:rsidRPr="00EA02BC" w:rsidRDefault="00EA02BC" w:rsidP="00EA02BC">
            <w:pPr>
              <w:spacing w:after="0" w:line="240" w:lineRule="auto"/>
              <w:jc w:val="center"/>
              <w:rPr>
                <w:rFonts w:ascii="Arial" w:eastAsia="Times New Roman" w:hAnsi="Arial" w:cs="Arial"/>
                <w:b/>
                <w:bCs/>
                <w:color w:val="000000"/>
                <w:sz w:val="20"/>
                <w:szCs w:val="20"/>
              </w:rPr>
            </w:pPr>
            <w:r w:rsidRPr="00EA02BC">
              <w:rPr>
                <w:rFonts w:ascii="Arial" w:eastAsia="Times New Roman" w:hAnsi="Arial" w:cs="Arial"/>
                <w:b/>
                <w:bCs/>
                <w:color w:val="000000"/>
                <w:sz w:val="20"/>
                <w:szCs w:val="20"/>
              </w:rPr>
              <w:t xml:space="preserve">Ameren IL Response </w:t>
            </w:r>
          </w:p>
        </w:tc>
        <w:tc>
          <w:tcPr>
            <w:tcW w:w="4590" w:type="dxa"/>
            <w:tcBorders>
              <w:top w:val="single" w:sz="4" w:space="0" w:color="auto"/>
              <w:left w:val="nil"/>
              <w:bottom w:val="single" w:sz="4" w:space="0" w:color="auto"/>
              <w:right w:val="single" w:sz="4" w:space="0" w:color="auto"/>
            </w:tcBorders>
            <w:shd w:val="clear" w:color="CFE2F3" w:fill="DDEBF7"/>
            <w:vAlign w:val="center"/>
            <w:hideMark/>
          </w:tcPr>
          <w:p w14:paraId="375C2A5D" w14:textId="77777777" w:rsidR="00EA02BC" w:rsidRPr="00EA02BC" w:rsidRDefault="00EA02BC" w:rsidP="00EA02BC">
            <w:pPr>
              <w:spacing w:after="0" w:line="240" w:lineRule="auto"/>
              <w:jc w:val="center"/>
              <w:rPr>
                <w:rFonts w:ascii="Arial" w:eastAsia="Times New Roman" w:hAnsi="Arial" w:cs="Arial"/>
                <w:b/>
                <w:bCs/>
                <w:color w:val="000000"/>
                <w:sz w:val="20"/>
                <w:szCs w:val="20"/>
              </w:rPr>
            </w:pPr>
            <w:r w:rsidRPr="00EA02BC">
              <w:rPr>
                <w:rFonts w:ascii="Arial" w:eastAsia="Times New Roman" w:hAnsi="Arial" w:cs="Arial"/>
                <w:b/>
                <w:bCs/>
                <w:color w:val="000000"/>
                <w:sz w:val="20"/>
                <w:szCs w:val="20"/>
              </w:rPr>
              <w:t xml:space="preserve">ComEd Response </w:t>
            </w:r>
          </w:p>
        </w:tc>
        <w:tc>
          <w:tcPr>
            <w:tcW w:w="1800" w:type="dxa"/>
            <w:tcBorders>
              <w:top w:val="single" w:sz="4" w:space="0" w:color="auto"/>
              <w:left w:val="nil"/>
              <w:bottom w:val="single" w:sz="4" w:space="0" w:color="auto"/>
              <w:right w:val="single" w:sz="4" w:space="0" w:color="auto"/>
            </w:tcBorders>
            <w:shd w:val="clear" w:color="CFE2F3" w:fill="DDEBF7"/>
            <w:vAlign w:val="center"/>
            <w:hideMark/>
          </w:tcPr>
          <w:p w14:paraId="65D213B7" w14:textId="77777777" w:rsidR="00EA02BC" w:rsidRPr="00EA02BC" w:rsidRDefault="00EA02BC" w:rsidP="00EA02BC">
            <w:pPr>
              <w:spacing w:after="0" w:line="240" w:lineRule="auto"/>
              <w:jc w:val="center"/>
              <w:rPr>
                <w:rFonts w:ascii="Arial" w:eastAsia="Times New Roman" w:hAnsi="Arial" w:cs="Arial"/>
                <w:b/>
                <w:bCs/>
                <w:color w:val="000000"/>
                <w:sz w:val="20"/>
                <w:szCs w:val="20"/>
              </w:rPr>
            </w:pPr>
            <w:r w:rsidRPr="00EA02BC">
              <w:rPr>
                <w:rFonts w:ascii="Arial" w:eastAsia="Times New Roman" w:hAnsi="Arial" w:cs="Arial"/>
                <w:b/>
                <w:bCs/>
                <w:color w:val="000000"/>
                <w:sz w:val="20"/>
                <w:szCs w:val="20"/>
              </w:rPr>
              <w:t xml:space="preserve">Nicor Gas Response </w:t>
            </w:r>
          </w:p>
        </w:tc>
        <w:tc>
          <w:tcPr>
            <w:tcW w:w="2430" w:type="dxa"/>
            <w:tcBorders>
              <w:top w:val="single" w:sz="4" w:space="0" w:color="auto"/>
              <w:left w:val="nil"/>
              <w:bottom w:val="single" w:sz="4" w:space="0" w:color="auto"/>
              <w:right w:val="single" w:sz="4" w:space="0" w:color="auto"/>
            </w:tcBorders>
            <w:shd w:val="clear" w:color="CFE2F3" w:fill="DDEBF7"/>
            <w:vAlign w:val="center"/>
            <w:hideMark/>
          </w:tcPr>
          <w:p w14:paraId="474B3CD4" w14:textId="77777777" w:rsidR="00EA02BC" w:rsidRPr="00EA02BC" w:rsidRDefault="00EA02BC" w:rsidP="00EA02BC">
            <w:pPr>
              <w:spacing w:after="0" w:line="240" w:lineRule="auto"/>
              <w:jc w:val="center"/>
              <w:rPr>
                <w:rFonts w:ascii="Arial" w:eastAsia="Times New Roman" w:hAnsi="Arial" w:cs="Arial"/>
                <w:b/>
                <w:bCs/>
                <w:color w:val="000000"/>
                <w:sz w:val="20"/>
                <w:szCs w:val="20"/>
              </w:rPr>
            </w:pPr>
            <w:r w:rsidRPr="00EA02BC">
              <w:rPr>
                <w:rFonts w:ascii="Arial" w:eastAsia="Times New Roman" w:hAnsi="Arial" w:cs="Arial"/>
                <w:b/>
                <w:bCs/>
                <w:color w:val="000000"/>
                <w:sz w:val="20"/>
                <w:szCs w:val="20"/>
              </w:rPr>
              <w:t xml:space="preserve">PG &amp; NSG Response </w:t>
            </w:r>
          </w:p>
        </w:tc>
      </w:tr>
      <w:tr w:rsidR="00EA02BC" w:rsidRPr="00EA02BC" w14:paraId="62C6E615" w14:textId="77777777" w:rsidTr="00EA02BC">
        <w:trPr>
          <w:trHeight w:val="3203"/>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656E4B9F" w14:textId="77777777" w:rsidR="00EA02BC" w:rsidRPr="00EA02BC" w:rsidRDefault="00EA02BC" w:rsidP="00EA02BC">
            <w:pPr>
              <w:spacing w:after="0" w:line="240" w:lineRule="auto"/>
              <w:rPr>
                <w:rFonts w:ascii="Arial" w:eastAsia="Times New Roman" w:hAnsi="Arial" w:cs="Arial"/>
                <w:color w:val="000000"/>
                <w:sz w:val="20"/>
                <w:szCs w:val="20"/>
              </w:rPr>
            </w:pPr>
            <w:r w:rsidRPr="00EA02BC">
              <w:rPr>
                <w:rFonts w:ascii="Arial" w:eastAsia="Times New Roman" w:hAnsi="Arial" w:cs="Arial"/>
                <w:color w:val="000000"/>
                <w:sz w:val="20"/>
                <w:szCs w:val="20"/>
              </w:rPr>
              <w:t>Customize small biz DI delivery services for strategic market segments, with vendors that can address unique needs (e.g., food service, refrigeration, laundry, etc.) (row 34)</w:t>
            </w:r>
          </w:p>
        </w:tc>
        <w:tc>
          <w:tcPr>
            <w:tcW w:w="2700" w:type="dxa"/>
            <w:tcBorders>
              <w:top w:val="nil"/>
              <w:left w:val="nil"/>
              <w:bottom w:val="single" w:sz="4" w:space="0" w:color="auto"/>
              <w:right w:val="single" w:sz="4" w:space="0" w:color="auto"/>
            </w:tcBorders>
            <w:shd w:val="clear" w:color="000000" w:fill="C6E0B4"/>
            <w:vAlign w:val="center"/>
            <w:hideMark/>
          </w:tcPr>
          <w:p w14:paraId="5358082C" w14:textId="77777777" w:rsidR="00EA02BC" w:rsidRPr="00EA02BC" w:rsidRDefault="00EA02BC" w:rsidP="00EA02BC">
            <w:pPr>
              <w:spacing w:after="0" w:line="240" w:lineRule="auto"/>
              <w:rPr>
                <w:rFonts w:ascii="Arial" w:eastAsia="Times New Roman" w:hAnsi="Arial" w:cs="Arial"/>
                <w:color w:val="000000"/>
                <w:sz w:val="20"/>
                <w:szCs w:val="20"/>
              </w:rPr>
            </w:pPr>
            <w:r w:rsidRPr="00EA02BC">
              <w:rPr>
                <w:rFonts w:ascii="Arial" w:eastAsia="Times New Roman" w:hAnsi="Arial" w:cs="Arial"/>
                <w:color w:val="000000"/>
                <w:sz w:val="20"/>
                <w:szCs w:val="20"/>
              </w:rPr>
              <w:t>AIC will consider as part of program design/delivery with next plan.  No further input necessary at this time.</w:t>
            </w:r>
          </w:p>
        </w:tc>
        <w:tc>
          <w:tcPr>
            <w:tcW w:w="4590" w:type="dxa"/>
            <w:tcBorders>
              <w:top w:val="nil"/>
              <w:left w:val="nil"/>
              <w:bottom w:val="single" w:sz="4" w:space="0" w:color="auto"/>
              <w:right w:val="single" w:sz="4" w:space="0" w:color="auto"/>
            </w:tcBorders>
            <w:shd w:val="clear" w:color="D9E1F2" w:fill="FFFF00"/>
            <w:vAlign w:val="center"/>
            <w:hideMark/>
          </w:tcPr>
          <w:p w14:paraId="733E7206" w14:textId="77777777" w:rsidR="00EA02BC" w:rsidRPr="00EA02BC" w:rsidRDefault="00EA02BC" w:rsidP="00EA02BC">
            <w:pPr>
              <w:spacing w:after="0" w:line="240" w:lineRule="auto"/>
              <w:rPr>
                <w:rFonts w:ascii="Arial" w:eastAsia="Times New Roman" w:hAnsi="Arial" w:cs="Arial"/>
                <w:color w:val="000000"/>
                <w:sz w:val="20"/>
                <w:szCs w:val="20"/>
              </w:rPr>
            </w:pPr>
            <w:r w:rsidRPr="00EA02BC">
              <w:rPr>
                <w:rFonts w:ascii="Arial" w:eastAsia="Times New Roman" w:hAnsi="Arial" w:cs="Arial"/>
                <w:color w:val="000000"/>
                <w:sz w:val="20"/>
                <w:szCs w:val="20"/>
              </w:rPr>
              <w:t xml:space="preserve">ComEd has experience with segment programs (e.g. Grocery, Agriculture, Telecom) in Plan 5. However, given the market confusion and costs we folded these programs to our existing offerings.  We will continue to explore this delivery approach to understand </w:t>
            </w:r>
            <w:proofErr w:type="spellStart"/>
            <w:r w:rsidRPr="00EA02BC">
              <w:rPr>
                <w:rFonts w:ascii="Arial" w:eastAsia="Times New Roman" w:hAnsi="Arial" w:cs="Arial"/>
                <w:color w:val="000000"/>
                <w:sz w:val="20"/>
                <w:szCs w:val="20"/>
              </w:rPr>
              <w:t>it's</w:t>
            </w:r>
            <w:proofErr w:type="spellEnd"/>
            <w:r w:rsidRPr="00EA02BC">
              <w:rPr>
                <w:rFonts w:ascii="Arial" w:eastAsia="Times New Roman" w:hAnsi="Arial" w:cs="Arial"/>
                <w:color w:val="000000"/>
                <w:sz w:val="20"/>
                <w:szCs w:val="20"/>
              </w:rPr>
              <w:t xml:space="preserve"> effectiveness in bring in new specialized vendors that can identify and implement more savings opportunities, instead of having the same EESPs participate in multiple segments.  Additionally, it should be noted we don't believe a separate food service delivery channel is needed as we already have joint utility funded Commercial Kitchen Program</w:t>
            </w:r>
          </w:p>
        </w:tc>
        <w:tc>
          <w:tcPr>
            <w:tcW w:w="1800" w:type="dxa"/>
            <w:tcBorders>
              <w:top w:val="nil"/>
              <w:left w:val="nil"/>
              <w:bottom w:val="single" w:sz="4" w:space="0" w:color="auto"/>
              <w:right w:val="single" w:sz="4" w:space="0" w:color="auto"/>
            </w:tcBorders>
            <w:shd w:val="clear" w:color="000000" w:fill="FFFF00"/>
            <w:vAlign w:val="center"/>
            <w:hideMark/>
          </w:tcPr>
          <w:p w14:paraId="3DA93B8D" w14:textId="77777777" w:rsidR="00EA02BC" w:rsidRPr="00EA02BC" w:rsidRDefault="00EA02BC" w:rsidP="00EA02BC">
            <w:pPr>
              <w:spacing w:after="0" w:line="240" w:lineRule="auto"/>
              <w:rPr>
                <w:rFonts w:ascii="Arial" w:eastAsia="Times New Roman" w:hAnsi="Arial" w:cs="Arial"/>
                <w:color w:val="000000"/>
                <w:sz w:val="20"/>
                <w:szCs w:val="20"/>
              </w:rPr>
            </w:pPr>
            <w:r w:rsidRPr="00EA02BC">
              <w:rPr>
                <w:rFonts w:ascii="Arial" w:eastAsia="Times New Roman" w:hAnsi="Arial" w:cs="Arial"/>
                <w:color w:val="000000"/>
                <w:sz w:val="20"/>
                <w:szCs w:val="20"/>
              </w:rPr>
              <w:t>Will consider but for gas segments where this is practicable.</w:t>
            </w:r>
          </w:p>
        </w:tc>
        <w:tc>
          <w:tcPr>
            <w:tcW w:w="2430" w:type="dxa"/>
            <w:tcBorders>
              <w:top w:val="nil"/>
              <w:left w:val="nil"/>
              <w:bottom w:val="single" w:sz="4" w:space="0" w:color="auto"/>
              <w:right w:val="single" w:sz="4" w:space="0" w:color="auto"/>
            </w:tcBorders>
            <w:shd w:val="clear" w:color="000000" w:fill="DAF2D0"/>
            <w:vAlign w:val="center"/>
            <w:hideMark/>
          </w:tcPr>
          <w:p w14:paraId="205E754E" w14:textId="77777777" w:rsidR="00EA02BC" w:rsidRPr="00EA02BC" w:rsidRDefault="00EA02BC" w:rsidP="00EA02BC">
            <w:pPr>
              <w:spacing w:after="0" w:line="240" w:lineRule="auto"/>
              <w:rPr>
                <w:rFonts w:ascii="Arial" w:eastAsia="Times New Roman" w:hAnsi="Arial" w:cs="Arial"/>
                <w:sz w:val="20"/>
                <w:szCs w:val="20"/>
              </w:rPr>
            </w:pPr>
            <w:r w:rsidRPr="00EA02BC">
              <w:rPr>
                <w:rFonts w:ascii="Arial" w:eastAsia="Times New Roman" w:hAnsi="Arial" w:cs="Arial"/>
                <w:sz w:val="20"/>
                <w:szCs w:val="20"/>
              </w:rPr>
              <w:t xml:space="preserve">PGL/NSG provides comprehensive solutions leveraging specialized contractors for our small business customers. </w:t>
            </w:r>
          </w:p>
        </w:tc>
      </w:tr>
      <w:tr w:rsidR="00EA02BC" w:rsidRPr="00EA02BC" w14:paraId="3799232F" w14:textId="77777777" w:rsidTr="00EA02BC">
        <w:trPr>
          <w:trHeight w:val="175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0375AF0A" w14:textId="77777777" w:rsidR="00EA02BC" w:rsidRPr="00EA02BC" w:rsidRDefault="00EA02BC" w:rsidP="00EA02BC">
            <w:pPr>
              <w:spacing w:after="0" w:line="240" w:lineRule="auto"/>
              <w:rPr>
                <w:rFonts w:ascii="Arial" w:eastAsia="Times New Roman" w:hAnsi="Arial" w:cs="Arial"/>
                <w:color w:val="000000"/>
                <w:sz w:val="20"/>
                <w:szCs w:val="20"/>
              </w:rPr>
            </w:pPr>
            <w:r w:rsidRPr="00EA02BC">
              <w:rPr>
                <w:rFonts w:ascii="Arial" w:eastAsia="Times New Roman" w:hAnsi="Arial" w:cs="Arial"/>
                <w:color w:val="000000"/>
                <w:sz w:val="20"/>
                <w:szCs w:val="20"/>
              </w:rPr>
              <w:t>Expand small business DI programs to promote more comprehensive treatment of larger (non-lighting) savings opportunities, including weatherization where applicable (row 33)</w:t>
            </w:r>
          </w:p>
        </w:tc>
        <w:tc>
          <w:tcPr>
            <w:tcW w:w="2700" w:type="dxa"/>
            <w:tcBorders>
              <w:top w:val="nil"/>
              <w:left w:val="nil"/>
              <w:bottom w:val="single" w:sz="4" w:space="0" w:color="auto"/>
              <w:right w:val="single" w:sz="4" w:space="0" w:color="auto"/>
            </w:tcBorders>
            <w:shd w:val="clear" w:color="000000" w:fill="E2EFDA"/>
            <w:vAlign w:val="center"/>
            <w:hideMark/>
          </w:tcPr>
          <w:p w14:paraId="54C8CC54" w14:textId="77777777" w:rsidR="00EA02BC" w:rsidRPr="00EA02BC" w:rsidRDefault="00EA02BC" w:rsidP="00EA02BC">
            <w:pPr>
              <w:spacing w:after="0" w:line="240" w:lineRule="auto"/>
              <w:rPr>
                <w:rFonts w:ascii="Arial" w:eastAsia="Times New Roman" w:hAnsi="Arial" w:cs="Arial"/>
                <w:color w:val="000000"/>
                <w:sz w:val="20"/>
                <w:szCs w:val="20"/>
              </w:rPr>
            </w:pPr>
            <w:r w:rsidRPr="00EA02BC">
              <w:rPr>
                <w:rFonts w:ascii="Arial" w:eastAsia="Times New Roman" w:hAnsi="Arial" w:cs="Arial"/>
                <w:color w:val="000000"/>
                <w:sz w:val="20"/>
                <w:szCs w:val="20"/>
              </w:rPr>
              <w:t>Ameren is working to add and expand standardized weatherization rebates</w:t>
            </w:r>
          </w:p>
        </w:tc>
        <w:tc>
          <w:tcPr>
            <w:tcW w:w="4590" w:type="dxa"/>
            <w:tcBorders>
              <w:top w:val="nil"/>
              <w:left w:val="nil"/>
              <w:bottom w:val="single" w:sz="4" w:space="0" w:color="auto"/>
              <w:right w:val="single" w:sz="4" w:space="0" w:color="auto"/>
            </w:tcBorders>
            <w:shd w:val="clear" w:color="D9E1F2" w:fill="E2EFDA"/>
            <w:vAlign w:val="center"/>
            <w:hideMark/>
          </w:tcPr>
          <w:p w14:paraId="3653871C" w14:textId="77777777" w:rsidR="00EA02BC" w:rsidRPr="00EA02BC" w:rsidRDefault="00EA02BC" w:rsidP="00EA02BC">
            <w:pPr>
              <w:spacing w:after="0" w:line="240" w:lineRule="auto"/>
              <w:rPr>
                <w:rFonts w:ascii="Arial" w:eastAsia="Times New Roman" w:hAnsi="Arial" w:cs="Arial"/>
                <w:color w:val="000000"/>
                <w:sz w:val="20"/>
                <w:szCs w:val="20"/>
              </w:rPr>
            </w:pPr>
            <w:r w:rsidRPr="00EA02BC">
              <w:rPr>
                <w:rFonts w:ascii="Arial" w:eastAsia="Times New Roman" w:hAnsi="Arial" w:cs="Arial"/>
                <w:color w:val="000000"/>
                <w:sz w:val="20"/>
                <w:szCs w:val="20"/>
              </w:rPr>
              <w:t xml:space="preserve">ComEd is committed to promoting comprehensive energy savings opportunities for customers. </w:t>
            </w:r>
            <w:proofErr w:type="spellStart"/>
            <w:r w:rsidRPr="00EA02BC">
              <w:rPr>
                <w:rFonts w:ascii="Arial" w:eastAsia="Times New Roman" w:hAnsi="Arial" w:cs="Arial"/>
                <w:color w:val="000000"/>
                <w:sz w:val="20"/>
                <w:szCs w:val="20"/>
              </w:rPr>
              <w:t>ComEd's</w:t>
            </w:r>
            <w:proofErr w:type="spellEnd"/>
            <w:r w:rsidRPr="00EA02BC">
              <w:rPr>
                <w:rFonts w:ascii="Arial" w:eastAsia="Times New Roman" w:hAnsi="Arial" w:cs="Arial"/>
                <w:color w:val="000000"/>
                <w:sz w:val="20"/>
                <w:szCs w:val="20"/>
              </w:rPr>
              <w:t xml:space="preserve"> small business program already identifies and incentives non-lighting opportunities, including weather stripping.  We are constantly working to improve measure comprehensiveness in our programs. </w:t>
            </w:r>
          </w:p>
        </w:tc>
        <w:tc>
          <w:tcPr>
            <w:tcW w:w="1800" w:type="dxa"/>
            <w:tcBorders>
              <w:top w:val="nil"/>
              <w:left w:val="nil"/>
              <w:bottom w:val="single" w:sz="4" w:space="0" w:color="auto"/>
              <w:right w:val="single" w:sz="4" w:space="0" w:color="auto"/>
            </w:tcBorders>
            <w:shd w:val="clear" w:color="000000" w:fill="FFFF00"/>
            <w:vAlign w:val="center"/>
            <w:hideMark/>
          </w:tcPr>
          <w:p w14:paraId="3D7319C9" w14:textId="77777777" w:rsidR="00EA02BC" w:rsidRPr="00EA02BC" w:rsidRDefault="00EA02BC" w:rsidP="00EA02BC">
            <w:pPr>
              <w:spacing w:after="0" w:line="240" w:lineRule="auto"/>
              <w:rPr>
                <w:rFonts w:ascii="Arial" w:eastAsia="Times New Roman" w:hAnsi="Arial" w:cs="Arial"/>
                <w:color w:val="000000"/>
                <w:sz w:val="20"/>
                <w:szCs w:val="20"/>
              </w:rPr>
            </w:pPr>
            <w:r w:rsidRPr="00EA02BC">
              <w:rPr>
                <w:rFonts w:ascii="Arial" w:eastAsia="Times New Roman" w:hAnsi="Arial" w:cs="Arial"/>
                <w:color w:val="000000"/>
                <w:sz w:val="20"/>
                <w:szCs w:val="20"/>
              </w:rPr>
              <w:t>We're assessing the size and costs of the program. Our BOP is starting to address this issue. We need examples.</w:t>
            </w:r>
          </w:p>
        </w:tc>
        <w:tc>
          <w:tcPr>
            <w:tcW w:w="2430" w:type="dxa"/>
            <w:tcBorders>
              <w:top w:val="nil"/>
              <w:left w:val="nil"/>
              <w:bottom w:val="single" w:sz="4" w:space="0" w:color="auto"/>
              <w:right w:val="single" w:sz="4" w:space="0" w:color="auto"/>
            </w:tcBorders>
            <w:shd w:val="clear" w:color="000000" w:fill="DAF2D0"/>
            <w:vAlign w:val="center"/>
            <w:hideMark/>
          </w:tcPr>
          <w:p w14:paraId="03B0FAFB" w14:textId="77777777" w:rsidR="00EA02BC" w:rsidRPr="00EA02BC" w:rsidRDefault="00EA02BC" w:rsidP="00EA02BC">
            <w:pPr>
              <w:spacing w:after="0" w:line="240" w:lineRule="auto"/>
              <w:rPr>
                <w:rFonts w:ascii="Arial" w:eastAsia="Times New Roman" w:hAnsi="Arial" w:cs="Arial"/>
                <w:sz w:val="20"/>
                <w:szCs w:val="20"/>
              </w:rPr>
            </w:pPr>
            <w:r w:rsidRPr="00EA02BC">
              <w:rPr>
                <w:rFonts w:ascii="Arial" w:eastAsia="Times New Roman" w:hAnsi="Arial" w:cs="Arial"/>
                <w:sz w:val="20"/>
                <w:szCs w:val="20"/>
              </w:rPr>
              <w:t xml:space="preserve">PGL/NSG provides comprehensive solutions for our small business customers. </w:t>
            </w:r>
          </w:p>
        </w:tc>
      </w:tr>
    </w:tbl>
    <w:p w14:paraId="11AB0FAF" w14:textId="77777777" w:rsidR="0087628F" w:rsidRDefault="0087628F" w:rsidP="00F671AD">
      <w:pPr>
        <w:spacing w:after="0" w:line="240" w:lineRule="auto"/>
        <w:rPr>
          <w:rFonts w:ascii="Arial" w:eastAsia="Calibri" w:hAnsi="Arial" w:cs="Arial"/>
          <w:bCs/>
          <w:sz w:val="24"/>
          <w:szCs w:val="24"/>
        </w:rPr>
      </w:pPr>
    </w:p>
    <w:p w14:paraId="195E08EC" w14:textId="77777777" w:rsidR="0087628F" w:rsidRDefault="0087628F" w:rsidP="00F671AD">
      <w:pPr>
        <w:spacing w:after="0" w:line="240" w:lineRule="auto"/>
        <w:rPr>
          <w:rFonts w:ascii="Arial" w:eastAsia="Calibri" w:hAnsi="Arial" w:cs="Arial"/>
          <w:bCs/>
          <w:sz w:val="24"/>
          <w:szCs w:val="24"/>
        </w:rPr>
      </w:pPr>
    </w:p>
    <w:p w14:paraId="1BFD9D4F" w14:textId="77777777" w:rsidR="00D9048A" w:rsidRDefault="00D9048A" w:rsidP="00F671AD">
      <w:pPr>
        <w:spacing w:after="0" w:line="240" w:lineRule="auto"/>
        <w:rPr>
          <w:rFonts w:ascii="Arial" w:eastAsia="Calibri" w:hAnsi="Arial" w:cs="Arial"/>
          <w:bCs/>
          <w:sz w:val="24"/>
          <w:szCs w:val="24"/>
        </w:rPr>
      </w:pPr>
    </w:p>
    <w:p w14:paraId="0C44AFE7" w14:textId="69F5F67A" w:rsidR="00F671AD" w:rsidRPr="00532A95" w:rsidRDefault="00F671AD" w:rsidP="00E655FA">
      <w:pPr>
        <w:spacing w:after="0" w:line="240" w:lineRule="auto"/>
        <w:ind w:left="-720"/>
        <w:rPr>
          <w:rFonts w:ascii="Arial" w:eastAsia="Calibri" w:hAnsi="Arial" w:cs="Arial"/>
          <w:b/>
          <w:sz w:val="24"/>
          <w:szCs w:val="24"/>
        </w:rPr>
      </w:pPr>
      <w:r w:rsidRPr="00532A95">
        <w:rPr>
          <w:rFonts w:ascii="Arial" w:eastAsia="Calibri" w:hAnsi="Arial" w:cs="Arial"/>
          <w:b/>
          <w:sz w:val="24"/>
          <w:szCs w:val="24"/>
        </w:rPr>
        <w:lastRenderedPageBreak/>
        <w:t xml:space="preserve">Joint Stakeholder C&amp;I </w:t>
      </w:r>
      <w:r w:rsidR="00DA1D80">
        <w:rPr>
          <w:rFonts w:ascii="Arial" w:eastAsia="Calibri" w:hAnsi="Arial" w:cs="Arial"/>
          <w:b/>
          <w:sz w:val="24"/>
          <w:szCs w:val="24"/>
        </w:rPr>
        <w:t xml:space="preserve">Lighting </w:t>
      </w:r>
      <w:r w:rsidRPr="00532A95">
        <w:rPr>
          <w:rFonts w:ascii="Arial" w:eastAsia="Calibri" w:hAnsi="Arial" w:cs="Arial"/>
          <w:b/>
          <w:sz w:val="24"/>
          <w:szCs w:val="24"/>
        </w:rPr>
        <w:t>EE Idea</w:t>
      </w:r>
      <w:r w:rsidR="00DA1D80">
        <w:rPr>
          <w:rFonts w:ascii="Arial" w:eastAsia="Calibri" w:hAnsi="Arial" w:cs="Arial"/>
          <w:b/>
          <w:sz w:val="24"/>
          <w:szCs w:val="24"/>
        </w:rPr>
        <w:t>s</w:t>
      </w:r>
      <w:r w:rsidR="00532A95" w:rsidRPr="00532A95">
        <w:rPr>
          <w:rFonts w:ascii="Arial" w:eastAsia="Calibri" w:hAnsi="Arial" w:cs="Arial"/>
          <w:b/>
          <w:sz w:val="24"/>
          <w:szCs w:val="24"/>
        </w:rPr>
        <w:t>:</w:t>
      </w:r>
    </w:p>
    <w:p w14:paraId="1B6A3BDE" w14:textId="77777777" w:rsidR="00266815" w:rsidRDefault="00266815" w:rsidP="00532A95">
      <w:pPr>
        <w:spacing w:after="0" w:line="240" w:lineRule="auto"/>
        <w:rPr>
          <w:rFonts w:ascii="Arial" w:hAnsi="Arial" w:cs="Arial"/>
          <w:sz w:val="21"/>
          <w:szCs w:val="21"/>
        </w:rPr>
      </w:pPr>
    </w:p>
    <w:tbl>
      <w:tblPr>
        <w:tblW w:w="14490" w:type="dxa"/>
        <w:tblInd w:w="-725" w:type="dxa"/>
        <w:tblLook w:val="04A0" w:firstRow="1" w:lastRow="0" w:firstColumn="1" w:lastColumn="0" w:noHBand="0" w:noVBand="1"/>
      </w:tblPr>
      <w:tblGrid>
        <w:gridCol w:w="2520"/>
        <w:gridCol w:w="3330"/>
        <w:gridCol w:w="5670"/>
        <w:gridCol w:w="1350"/>
        <w:gridCol w:w="1620"/>
      </w:tblGrid>
      <w:tr w:rsidR="000F46C4" w:rsidRPr="000F46C4" w14:paraId="004B8539" w14:textId="77777777" w:rsidTr="000F46C4">
        <w:trPr>
          <w:trHeight w:val="290"/>
        </w:trPr>
        <w:tc>
          <w:tcPr>
            <w:tcW w:w="252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726CA53" w14:textId="77777777" w:rsidR="000F46C4" w:rsidRPr="000F46C4" w:rsidRDefault="000F46C4" w:rsidP="000F46C4">
            <w:pPr>
              <w:spacing w:after="0" w:line="240" w:lineRule="auto"/>
              <w:jc w:val="center"/>
              <w:rPr>
                <w:rFonts w:ascii="Calibri" w:eastAsia="Times New Roman" w:hAnsi="Calibri" w:cs="Calibri"/>
                <w:b/>
                <w:bCs/>
                <w:color w:val="000000"/>
              </w:rPr>
            </w:pPr>
            <w:r w:rsidRPr="000F46C4">
              <w:rPr>
                <w:rFonts w:ascii="Calibri" w:eastAsia="Times New Roman" w:hAnsi="Calibri" w:cs="Calibri"/>
                <w:b/>
                <w:bCs/>
                <w:color w:val="000000"/>
              </w:rPr>
              <w:t>C&amp;I Lighting EE Ideas</w:t>
            </w:r>
          </w:p>
        </w:tc>
        <w:tc>
          <w:tcPr>
            <w:tcW w:w="3330" w:type="dxa"/>
            <w:tcBorders>
              <w:top w:val="single" w:sz="4" w:space="0" w:color="auto"/>
              <w:left w:val="nil"/>
              <w:bottom w:val="single" w:sz="4" w:space="0" w:color="auto"/>
              <w:right w:val="single" w:sz="4" w:space="0" w:color="auto"/>
            </w:tcBorders>
            <w:shd w:val="clear" w:color="CFE2F3" w:fill="DDEBF7"/>
            <w:vAlign w:val="center"/>
            <w:hideMark/>
          </w:tcPr>
          <w:p w14:paraId="262CCFE2" w14:textId="77777777" w:rsidR="000F46C4" w:rsidRPr="000F46C4" w:rsidRDefault="000F46C4" w:rsidP="000F46C4">
            <w:pPr>
              <w:spacing w:after="0" w:line="240" w:lineRule="auto"/>
              <w:jc w:val="center"/>
              <w:rPr>
                <w:rFonts w:ascii="Arial" w:eastAsia="Times New Roman" w:hAnsi="Arial" w:cs="Arial"/>
                <w:b/>
                <w:bCs/>
                <w:color w:val="000000"/>
                <w:sz w:val="20"/>
                <w:szCs w:val="20"/>
              </w:rPr>
            </w:pPr>
            <w:r w:rsidRPr="000F46C4">
              <w:rPr>
                <w:rFonts w:ascii="Arial" w:eastAsia="Times New Roman" w:hAnsi="Arial" w:cs="Arial"/>
                <w:b/>
                <w:bCs/>
                <w:color w:val="000000"/>
                <w:sz w:val="20"/>
                <w:szCs w:val="20"/>
              </w:rPr>
              <w:t xml:space="preserve">Ameren IL Response </w:t>
            </w:r>
          </w:p>
        </w:tc>
        <w:tc>
          <w:tcPr>
            <w:tcW w:w="5670" w:type="dxa"/>
            <w:tcBorders>
              <w:top w:val="single" w:sz="4" w:space="0" w:color="auto"/>
              <w:left w:val="nil"/>
              <w:bottom w:val="single" w:sz="4" w:space="0" w:color="auto"/>
              <w:right w:val="single" w:sz="4" w:space="0" w:color="auto"/>
            </w:tcBorders>
            <w:shd w:val="clear" w:color="CFE2F3" w:fill="DDEBF7"/>
            <w:vAlign w:val="center"/>
            <w:hideMark/>
          </w:tcPr>
          <w:p w14:paraId="202FE326" w14:textId="77777777" w:rsidR="000F46C4" w:rsidRPr="000F46C4" w:rsidRDefault="000F46C4" w:rsidP="000F46C4">
            <w:pPr>
              <w:spacing w:after="0" w:line="240" w:lineRule="auto"/>
              <w:jc w:val="center"/>
              <w:rPr>
                <w:rFonts w:ascii="Arial" w:eastAsia="Times New Roman" w:hAnsi="Arial" w:cs="Arial"/>
                <w:b/>
                <w:bCs/>
                <w:color w:val="000000"/>
                <w:sz w:val="20"/>
                <w:szCs w:val="20"/>
              </w:rPr>
            </w:pPr>
            <w:r w:rsidRPr="000F46C4">
              <w:rPr>
                <w:rFonts w:ascii="Arial" w:eastAsia="Times New Roman" w:hAnsi="Arial" w:cs="Arial"/>
                <w:b/>
                <w:bCs/>
                <w:color w:val="000000"/>
                <w:sz w:val="20"/>
                <w:szCs w:val="20"/>
              </w:rPr>
              <w:t xml:space="preserve">ComEd Response </w:t>
            </w:r>
          </w:p>
        </w:tc>
        <w:tc>
          <w:tcPr>
            <w:tcW w:w="1350" w:type="dxa"/>
            <w:tcBorders>
              <w:top w:val="single" w:sz="4" w:space="0" w:color="auto"/>
              <w:left w:val="nil"/>
              <w:bottom w:val="single" w:sz="4" w:space="0" w:color="auto"/>
              <w:right w:val="single" w:sz="4" w:space="0" w:color="auto"/>
            </w:tcBorders>
            <w:shd w:val="clear" w:color="CFE2F3" w:fill="DDEBF7"/>
            <w:vAlign w:val="center"/>
            <w:hideMark/>
          </w:tcPr>
          <w:p w14:paraId="6829FEAC" w14:textId="77777777" w:rsidR="000F46C4" w:rsidRPr="000F46C4" w:rsidRDefault="000F46C4" w:rsidP="000F46C4">
            <w:pPr>
              <w:spacing w:after="0" w:line="240" w:lineRule="auto"/>
              <w:jc w:val="center"/>
              <w:rPr>
                <w:rFonts w:ascii="Arial" w:eastAsia="Times New Roman" w:hAnsi="Arial" w:cs="Arial"/>
                <w:b/>
                <w:bCs/>
                <w:color w:val="000000"/>
                <w:sz w:val="20"/>
                <w:szCs w:val="20"/>
              </w:rPr>
            </w:pPr>
            <w:r w:rsidRPr="000F46C4">
              <w:rPr>
                <w:rFonts w:ascii="Arial" w:eastAsia="Times New Roman" w:hAnsi="Arial" w:cs="Arial"/>
                <w:b/>
                <w:bCs/>
                <w:color w:val="000000"/>
                <w:sz w:val="20"/>
                <w:szCs w:val="20"/>
              </w:rPr>
              <w:t xml:space="preserve">Nicor Gas Response </w:t>
            </w:r>
          </w:p>
        </w:tc>
        <w:tc>
          <w:tcPr>
            <w:tcW w:w="1620" w:type="dxa"/>
            <w:tcBorders>
              <w:top w:val="single" w:sz="4" w:space="0" w:color="auto"/>
              <w:left w:val="nil"/>
              <w:bottom w:val="single" w:sz="4" w:space="0" w:color="auto"/>
              <w:right w:val="single" w:sz="4" w:space="0" w:color="auto"/>
            </w:tcBorders>
            <w:shd w:val="clear" w:color="CFE2F3" w:fill="DDEBF7"/>
            <w:vAlign w:val="center"/>
            <w:hideMark/>
          </w:tcPr>
          <w:p w14:paraId="2E1BEC78" w14:textId="77777777" w:rsidR="000F46C4" w:rsidRPr="000F46C4" w:rsidRDefault="000F46C4" w:rsidP="000F46C4">
            <w:pPr>
              <w:spacing w:after="0" w:line="240" w:lineRule="auto"/>
              <w:jc w:val="center"/>
              <w:rPr>
                <w:rFonts w:ascii="Arial" w:eastAsia="Times New Roman" w:hAnsi="Arial" w:cs="Arial"/>
                <w:b/>
                <w:bCs/>
                <w:color w:val="000000"/>
                <w:sz w:val="20"/>
                <w:szCs w:val="20"/>
              </w:rPr>
            </w:pPr>
            <w:r w:rsidRPr="000F46C4">
              <w:rPr>
                <w:rFonts w:ascii="Arial" w:eastAsia="Times New Roman" w:hAnsi="Arial" w:cs="Arial"/>
                <w:b/>
                <w:bCs/>
                <w:color w:val="000000"/>
                <w:sz w:val="20"/>
                <w:szCs w:val="20"/>
              </w:rPr>
              <w:t xml:space="preserve">PG &amp; NSG Response </w:t>
            </w:r>
          </w:p>
        </w:tc>
      </w:tr>
      <w:tr w:rsidR="000F46C4" w:rsidRPr="000F46C4" w14:paraId="370F39D7" w14:textId="77777777" w:rsidTr="000F46C4">
        <w:trPr>
          <w:trHeight w:val="1898"/>
        </w:trPr>
        <w:tc>
          <w:tcPr>
            <w:tcW w:w="2520" w:type="dxa"/>
            <w:tcBorders>
              <w:top w:val="nil"/>
              <w:left w:val="single" w:sz="4" w:space="0" w:color="auto"/>
              <w:bottom w:val="single" w:sz="4" w:space="0" w:color="auto"/>
              <w:right w:val="single" w:sz="4" w:space="0" w:color="auto"/>
            </w:tcBorders>
            <w:shd w:val="clear" w:color="auto" w:fill="auto"/>
            <w:vAlign w:val="center"/>
            <w:hideMark/>
          </w:tcPr>
          <w:p w14:paraId="6C429613" w14:textId="77777777" w:rsidR="000F46C4" w:rsidRPr="000F46C4" w:rsidRDefault="000F46C4" w:rsidP="000F46C4">
            <w:pPr>
              <w:spacing w:after="0" w:line="240" w:lineRule="auto"/>
              <w:rPr>
                <w:rFonts w:ascii="Arial" w:eastAsia="Times New Roman" w:hAnsi="Arial" w:cs="Arial"/>
                <w:color w:val="000000"/>
                <w:sz w:val="20"/>
                <w:szCs w:val="20"/>
              </w:rPr>
            </w:pPr>
            <w:r w:rsidRPr="000F46C4">
              <w:rPr>
                <w:rFonts w:ascii="Arial" w:eastAsia="Times New Roman" w:hAnsi="Arial" w:cs="Arial"/>
                <w:color w:val="000000"/>
                <w:sz w:val="20"/>
                <w:szCs w:val="20"/>
              </w:rPr>
              <w:t>All electric C&amp;I: significantly increase focus on and savings from LLLC and networked lighting controls (row 32)</w:t>
            </w:r>
          </w:p>
        </w:tc>
        <w:tc>
          <w:tcPr>
            <w:tcW w:w="3330" w:type="dxa"/>
            <w:tcBorders>
              <w:top w:val="nil"/>
              <w:left w:val="nil"/>
              <w:bottom w:val="single" w:sz="4" w:space="0" w:color="auto"/>
              <w:right w:val="single" w:sz="4" w:space="0" w:color="auto"/>
            </w:tcBorders>
            <w:shd w:val="clear" w:color="000000" w:fill="E2EFDA"/>
            <w:vAlign w:val="center"/>
            <w:hideMark/>
          </w:tcPr>
          <w:p w14:paraId="518443D9" w14:textId="77777777" w:rsidR="000F46C4" w:rsidRPr="000F46C4" w:rsidRDefault="000F46C4" w:rsidP="000F46C4">
            <w:pPr>
              <w:spacing w:after="0" w:line="240" w:lineRule="auto"/>
              <w:rPr>
                <w:rFonts w:ascii="Arial" w:eastAsia="Times New Roman" w:hAnsi="Arial" w:cs="Arial"/>
                <w:color w:val="000000"/>
                <w:sz w:val="20"/>
                <w:szCs w:val="20"/>
              </w:rPr>
            </w:pPr>
            <w:r w:rsidRPr="000F46C4">
              <w:rPr>
                <w:rFonts w:ascii="Arial" w:eastAsia="Times New Roman" w:hAnsi="Arial" w:cs="Arial"/>
                <w:color w:val="000000"/>
                <w:sz w:val="20"/>
                <w:szCs w:val="20"/>
              </w:rPr>
              <w:t xml:space="preserve">AIC is focused on continued education and training of customers, installers, and distributors for NLC to increase participation and project volumes. </w:t>
            </w:r>
          </w:p>
        </w:tc>
        <w:tc>
          <w:tcPr>
            <w:tcW w:w="5670" w:type="dxa"/>
            <w:tcBorders>
              <w:top w:val="nil"/>
              <w:left w:val="nil"/>
              <w:bottom w:val="single" w:sz="4" w:space="0" w:color="auto"/>
              <w:right w:val="single" w:sz="4" w:space="0" w:color="auto"/>
            </w:tcBorders>
            <w:shd w:val="clear" w:color="D9E1F2" w:fill="E2EFDA"/>
            <w:vAlign w:val="center"/>
            <w:hideMark/>
          </w:tcPr>
          <w:p w14:paraId="5A2BC81A" w14:textId="77777777" w:rsidR="000F46C4" w:rsidRPr="000F46C4" w:rsidRDefault="000F46C4" w:rsidP="000F46C4">
            <w:pPr>
              <w:spacing w:after="0" w:line="240" w:lineRule="auto"/>
              <w:rPr>
                <w:rFonts w:ascii="Arial" w:eastAsia="Times New Roman" w:hAnsi="Arial" w:cs="Arial"/>
                <w:color w:val="000000"/>
                <w:sz w:val="20"/>
                <w:szCs w:val="20"/>
              </w:rPr>
            </w:pPr>
            <w:r w:rsidRPr="000F46C4">
              <w:rPr>
                <w:rFonts w:ascii="Arial" w:eastAsia="Times New Roman" w:hAnsi="Arial" w:cs="Arial"/>
                <w:color w:val="000000"/>
                <w:sz w:val="20"/>
                <w:szCs w:val="20"/>
              </w:rPr>
              <w:t xml:space="preserve">ComEd has already placed a significant emphasis on lighting controls.  Over the last several years, our NLC and lighting control projects have significant grown. In 2023, approximately 66 net GWH of savings were from NLC.  While ComEd is committed to continuing to grow the NLC market – it needs to be cost effective.  Additionally, as LED fixtures approach saturation, opportunities to add or include controls become more cost prohibited. </w:t>
            </w:r>
          </w:p>
        </w:tc>
        <w:tc>
          <w:tcPr>
            <w:tcW w:w="1350" w:type="dxa"/>
            <w:tcBorders>
              <w:top w:val="nil"/>
              <w:left w:val="nil"/>
              <w:bottom w:val="single" w:sz="4" w:space="0" w:color="auto"/>
              <w:right w:val="single" w:sz="4" w:space="0" w:color="auto"/>
            </w:tcBorders>
            <w:shd w:val="clear" w:color="000000" w:fill="BFBFBF"/>
            <w:noWrap/>
            <w:vAlign w:val="center"/>
            <w:hideMark/>
          </w:tcPr>
          <w:p w14:paraId="5CA87957" w14:textId="77777777" w:rsidR="000F46C4" w:rsidRPr="000F46C4" w:rsidRDefault="000F46C4" w:rsidP="000F46C4">
            <w:pPr>
              <w:spacing w:after="0" w:line="240" w:lineRule="auto"/>
              <w:jc w:val="center"/>
              <w:rPr>
                <w:rFonts w:ascii="Arial" w:eastAsia="Times New Roman" w:hAnsi="Arial" w:cs="Arial"/>
                <w:color w:val="000000"/>
                <w:sz w:val="20"/>
                <w:szCs w:val="20"/>
              </w:rPr>
            </w:pPr>
            <w:r w:rsidRPr="000F46C4">
              <w:rPr>
                <w:rFonts w:ascii="Arial" w:eastAsia="Times New Roman" w:hAnsi="Arial" w:cs="Arial"/>
                <w:color w:val="000000"/>
                <w:sz w:val="20"/>
                <w:szCs w:val="20"/>
              </w:rPr>
              <w:t xml:space="preserve">N/A </w:t>
            </w:r>
          </w:p>
        </w:tc>
        <w:tc>
          <w:tcPr>
            <w:tcW w:w="1620" w:type="dxa"/>
            <w:tcBorders>
              <w:top w:val="nil"/>
              <w:left w:val="nil"/>
              <w:bottom w:val="single" w:sz="4" w:space="0" w:color="auto"/>
              <w:right w:val="single" w:sz="4" w:space="0" w:color="auto"/>
            </w:tcBorders>
            <w:shd w:val="clear" w:color="000000" w:fill="BFBFBF"/>
            <w:noWrap/>
            <w:vAlign w:val="center"/>
            <w:hideMark/>
          </w:tcPr>
          <w:p w14:paraId="4643EE06" w14:textId="77777777" w:rsidR="000F46C4" w:rsidRPr="000F46C4" w:rsidRDefault="000F46C4" w:rsidP="000F46C4">
            <w:pPr>
              <w:spacing w:after="0" w:line="240" w:lineRule="auto"/>
              <w:jc w:val="center"/>
              <w:rPr>
                <w:rFonts w:ascii="Arial" w:eastAsia="Times New Roman" w:hAnsi="Arial" w:cs="Arial"/>
                <w:color w:val="000000"/>
                <w:sz w:val="20"/>
                <w:szCs w:val="20"/>
              </w:rPr>
            </w:pPr>
            <w:r w:rsidRPr="000F46C4">
              <w:rPr>
                <w:rFonts w:ascii="Arial" w:eastAsia="Times New Roman" w:hAnsi="Arial" w:cs="Arial"/>
                <w:color w:val="000000"/>
                <w:sz w:val="20"/>
                <w:szCs w:val="20"/>
              </w:rPr>
              <w:t xml:space="preserve">N/A </w:t>
            </w:r>
          </w:p>
        </w:tc>
      </w:tr>
      <w:tr w:rsidR="000F46C4" w:rsidRPr="000F46C4" w14:paraId="79EEA69C" w14:textId="77777777" w:rsidTr="000F46C4">
        <w:trPr>
          <w:trHeight w:val="2492"/>
        </w:trPr>
        <w:tc>
          <w:tcPr>
            <w:tcW w:w="2520" w:type="dxa"/>
            <w:tcBorders>
              <w:top w:val="nil"/>
              <w:left w:val="single" w:sz="4" w:space="0" w:color="auto"/>
              <w:bottom w:val="single" w:sz="4" w:space="0" w:color="auto"/>
              <w:right w:val="single" w:sz="4" w:space="0" w:color="auto"/>
            </w:tcBorders>
            <w:shd w:val="clear" w:color="auto" w:fill="auto"/>
            <w:vAlign w:val="center"/>
            <w:hideMark/>
          </w:tcPr>
          <w:p w14:paraId="5E2AC8E4" w14:textId="77777777" w:rsidR="000F46C4" w:rsidRPr="000F46C4" w:rsidRDefault="000F46C4" w:rsidP="000F46C4">
            <w:pPr>
              <w:spacing w:after="0" w:line="240" w:lineRule="auto"/>
              <w:rPr>
                <w:rFonts w:ascii="Arial" w:eastAsia="Times New Roman" w:hAnsi="Arial" w:cs="Arial"/>
                <w:color w:val="000000"/>
                <w:sz w:val="20"/>
                <w:szCs w:val="20"/>
              </w:rPr>
            </w:pPr>
            <w:r w:rsidRPr="000F46C4">
              <w:rPr>
                <w:rFonts w:ascii="Arial" w:eastAsia="Times New Roman" w:hAnsi="Arial" w:cs="Arial"/>
                <w:color w:val="000000"/>
                <w:sz w:val="20"/>
                <w:szCs w:val="20"/>
              </w:rPr>
              <w:t>All electric C&amp;I: stop all upstream/midstream or downstream rebates for TLEDs (row 31)</w:t>
            </w:r>
          </w:p>
        </w:tc>
        <w:tc>
          <w:tcPr>
            <w:tcW w:w="3330" w:type="dxa"/>
            <w:tcBorders>
              <w:top w:val="nil"/>
              <w:left w:val="nil"/>
              <w:bottom w:val="single" w:sz="4" w:space="0" w:color="auto"/>
              <w:right w:val="single" w:sz="4" w:space="0" w:color="auto"/>
            </w:tcBorders>
            <w:shd w:val="clear" w:color="000000" w:fill="FFFF00"/>
            <w:vAlign w:val="center"/>
            <w:hideMark/>
          </w:tcPr>
          <w:p w14:paraId="2A69C03A" w14:textId="77777777" w:rsidR="000F46C4" w:rsidRPr="000F46C4" w:rsidRDefault="000F46C4" w:rsidP="000F46C4">
            <w:pPr>
              <w:spacing w:after="0" w:line="240" w:lineRule="auto"/>
              <w:rPr>
                <w:rFonts w:ascii="Arial" w:eastAsia="Times New Roman" w:hAnsi="Arial" w:cs="Arial"/>
                <w:color w:val="000000"/>
                <w:sz w:val="20"/>
                <w:szCs w:val="20"/>
              </w:rPr>
            </w:pPr>
            <w:r w:rsidRPr="000F46C4">
              <w:rPr>
                <w:rFonts w:ascii="Arial" w:eastAsia="Times New Roman" w:hAnsi="Arial" w:cs="Arial"/>
                <w:color w:val="000000"/>
                <w:sz w:val="20"/>
                <w:szCs w:val="20"/>
              </w:rPr>
              <w:t>AIC believes further discussion is required</w:t>
            </w:r>
          </w:p>
        </w:tc>
        <w:tc>
          <w:tcPr>
            <w:tcW w:w="5670" w:type="dxa"/>
            <w:tcBorders>
              <w:top w:val="nil"/>
              <w:left w:val="nil"/>
              <w:bottom w:val="single" w:sz="4" w:space="0" w:color="auto"/>
              <w:right w:val="single" w:sz="4" w:space="0" w:color="auto"/>
            </w:tcBorders>
            <w:shd w:val="clear" w:color="000000" w:fill="FB8C89"/>
            <w:vAlign w:val="center"/>
            <w:hideMark/>
          </w:tcPr>
          <w:p w14:paraId="36002C0A" w14:textId="77777777" w:rsidR="000F46C4" w:rsidRPr="000F46C4" w:rsidRDefault="000F46C4" w:rsidP="000F46C4">
            <w:pPr>
              <w:spacing w:after="0" w:line="240" w:lineRule="auto"/>
              <w:rPr>
                <w:rFonts w:ascii="Arial" w:eastAsia="Times New Roman" w:hAnsi="Arial" w:cs="Arial"/>
                <w:color w:val="000000"/>
                <w:sz w:val="20"/>
                <w:szCs w:val="20"/>
              </w:rPr>
            </w:pPr>
            <w:r w:rsidRPr="000F46C4">
              <w:rPr>
                <w:rFonts w:ascii="Arial" w:eastAsia="Times New Roman" w:hAnsi="Arial" w:cs="Arial"/>
                <w:color w:val="000000"/>
                <w:sz w:val="20"/>
                <w:szCs w:val="20"/>
              </w:rPr>
              <w:t>There still is a customer opportunity to switch from baseline fluorescent to TLEDs since the market is not yet saturated. As long as fluorescent technology is baseline, there is still an opportunity to offer product to customers and claim energy savings, along with very good NTG. We should not "stop" because the market is evolving in CT or MA, but rather monitor the IL market. We strongly believe that customers would be forgoing LED upgrade projects without these incentives and would like to wait until outcomes of potential study to better understand savings impact for TLEDs.</w:t>
            </w:r>
          </w:p>
        </w:tc>
        <w:tc>
          <w:tcPr>
            <w:tcW w:w="1350" w:type="dxa"/>
            <w:tcBorders>
              <w:top w:val="nil"/>
              <w:left w:val="nil"/>
              <w:bottom w:val="single" w:sz="4" w:space="0" w:color="auto"/>
              <w:right w:val="single" w:sz="4" w:space="0" w:color="auto"/>
            </w:tcBorders>
            <w:shd w:val="clear" w:color="000000" w:fill="BFBFBF"/>
            <w:noWrap/>
            <w:vAlign w:val="center"/>
            <w:hideMark/>
          </w:tcPr>
          <w:p w14:paraId="3FA65399" w14:textId="77777777" w:rsidR="000F46C4" w:rsidRPr="000F46C4" w:rsidRDefault="000F46C4" w:rsidP="000F46C4">
            <w:pPr>
              <w:spacing w:after="0" w:line="240" w:lineRule="auto"/>
              <w:jc w:val="center"/>
              <w:rPr>
                <w:rFonts w:ascii="Arial" w:eastAsia="Times New Roman" w:hAnsi="Arial" w:cs="Arial"/>
                <w:color w:val="000000"/>
                <w:sz w:val="20"/>
                <w:szCs w:val="20"/>
              </w:rPr>
            </w:pPr>
            <w:r w:rsidRPr="000F46C4">
              <w:rPr>
                <w:rFonts w:ascii="Arial" w:eastAsia="Times New Roman" w:hAnsi="Arial" w:cs="Arial"/>
                <w:color w:val="000000"/>
                <w:sz w:val="20"/>
                <w:szCs w:val="20"/>
              </w:rPr>
              <w:t xml:space="preserve">N/A </w:t>
            </w:r>
          </w:p>
        </w:tc>
        <w:tc>
          <w:tcPr>
            <w:tcW w:w="1620" w:type="dxa"/>
            <w:tcBorders>
              <w:top w:val="nil"/>
              <w:left w:val="nil"/>
              <w:bottom w:val="single" w:sz="4" w:space="0" w:color="auto"/>
              <w:right w:val="single" w:sz="4" w:space="0" w:color="auto"/>
            </w:tcBorders>
            <w:shd w:val="clear" w:color="000000" w:fill="BFBFBF"/>
            <w:noWrap/>
            <w:vAlign w:val="center"/>
            <w:hideMark/>
          </w:tcPr>
          <w:p w14:paraId="6AE1F7DC" w14:textId="77777777" w:rsidR="000F46C4" w:rsidRPr="000F46C4" w:rsidRDefault="000F46C4" w:rsidP="000F46C4">
            <w:pPr>
              <w:spacing w:after="0" w:line="240" w:lineRule="auto"/>
              <w:jc w:val="center"/>
              <w:rPr>
                <w:rFonts w:ascii="Arial" w:eastAsia="Times New Roman" w:hAnsi="Arial" w:cs="Arial"/>
                <w:color w:val="000000"/>
                <w:sz w:val="20"/>
                <w:szCs w:val="20"/>
              </w:rPr>
            </w:pPr>
            <w:r w:rsidRPr="000F46C4">
              <w:rPr>
                <w:rFonts w:ascii="Arial" w:eastAsia="Times New Roman" w:hAnsi="Arial" w:cs="Arial"/>
                <w:color w:val="000000"/>
                <w:sz w:val="20"/>
                <w:szCs w:val="20"/>
              </w:rPr>
              <w:t xml:space="preserve">N/A </w:t>
            </w:r>
          </w:p>
        </w:tc>
      </w:tr>
    </w:tbl>
    <w:p w14:paraId="67E3BD94" w14:textId="77777777" w:rsidR="00464B46" w:rsidRDefault="00464B46" w:rsidP="00532A95">
      <w:pPr>
        <w:spacing w:after="0" w:line="240" w:lineRule="auto"/>
        <w:rPr>
          <w:rFonts w:ascii="Arial" w:eastAsia="Calibri" w:hAnsi="Arial" w:cs="Arial"/>
          <w:b/>
          <w:sz w:val="24"/>
          <w:szCs w:val="24"/>
        </w:rPr>
      </w:pPr>
    </w:p>
    <w:p w14:paraId="56534A38" w14:textId="181E926A" w:rsidR="00532A95" w:rsidRPr="00532A95" w:rsidRDefault="00532A95" w:rsidP="00FB50DC">
      <w:pPr>
        <w:spacing w:after="0" w:line="240" w:lineRule="auto"/>
        <w:ind w:left="-720"/>
        <w:rPr>
          <w:rFonts w:ascii="Arial" w:eastAsia="Calibri" w:hAnsi="Arial" w:cs="Arial"/>
          <w:b/>
          <w:sz w:val="24"/>
          <w:szCs w:val="24"/>
        </w:rPr>
      </w:pPr>
      <w:r w:rsidRPr="00532A95">
        <w:rPr>
          <w:rFonts w:ascii="Arial" w:eastAsia="Calibri" w:hAnsi="Arial" w:cs="Arial"/>
          <w:b/>
          <w:sz w:val="24"/>
          <w:szCs w:val="24"/>
        </w:rPr>
        <w:t>Joint Stakeholder C&amp;I EE Idea:</w:t>
      </w:r>
    </w:p>
    <w:p w14:paraId="74E98C49" w14:textId="77777777" w:rsidR="00F671AD" w:rsidRPr="00CA7602" w:rsidRDefault="00F671AD" w:rsidP="00FB50DC">
      <w:pPr>
        <w:spacing w:after="0" w:line="240" w:lineRule="auto"/>
        <w:ind w:left="-720"/>
        <w:rPr>
          <w:rFonts w:ascii="Arial" w:hAnsi="Arial" w:cs="Arial"/>
          <w:sz w:val="21"/>
          <w:szCs w:val="21"/>
        </w:rPr>
      </w:pPr>
      <w:r w:rsidRPr="00CA7602">
        <w:rPr>
          <w:rFonts w:ascii="Arial" w:hAnsi="Arial" w:cs="Arial"/>
          <w:sz w:val="21"/>
          <w:szCs w:val="21"/>
        </w:rPr>
        <w:t>Limit new CHP projects to those that use biogas or waste products (e.g., wood, sawdust, etc.) (EE Idea tracker row 27)</w:t>
      </w:r>
    </w:p>
    <w:p w14:paraId="3751A419" w14:textId="77777777" w:rsidR="00532A95" w:rsidRDefault="00532A95" w:rsidP="00532A95">
      <w:pPr>
        <w:spacing w:after="0" w:line="240" w:lineRule="auto"/>
        <w:rPr>
          <w:rFonts w:ascii="Arial" w:hAnsi="Arial" w:cs="Arial"/>
          <w:sz w:val="21"/>
          <w:szCs w:val="21"/>
        </w:rPr>
      </w:pPr>
    </w:p>
    <w:tbl>
      <w:tblPr>
        <w:tblW w:w="12955" w:type="dxa"/>
        <w:tblLook w:val="04A0" w:firstRow="1" w:lastRow="0" w:firstColumn="1" w:lastColumn="0" w:noHBand="0" w:noVBand="1"/>
      </w:tblPr>
      <w:tblGrid>
        <w:gridCol w:w="2600"/>
        <w:gridCol w:w="7115"/>
        <w:gridCol w:w="1620"/>
        <w:gridCol w:w="1620"/>
      </w:tblGrid>
      <w:tr w:rsidR="009B0F8E" w:rsidRPr="009B0F8E" w14:paraId="74B94D8A" w14:textId="77777777" w:rsidTr="00464B46">
        <w:trPr>
          <w:trHeight w:val="290"/>
        </w:trPr>
        <w:tc>
          <w:tcPr>
            <w:tcW w:w="2600" w:type="dxa"/>
            <w:tcBorders>
              <w:top w:val="single" w:sz="4" w:space="0" w:color="auto"/>
              <w:left w:val="single" w:sz="4" w:space="0" w:color="auto"/>
              <w:bottom w:val="single" w:sz="4" w:space="0" w:color="auto"/>
              <w:right w:val="single" w:sz="4" w:space="0" w:color="auto"/>
            </w:tcBorders>
            <w:shd w:val="clear" w:color="CFE2F3" w:fill="CFE2F3"/>
            <w:vAlign w:val="center"/>
            <w:hideMark/>
          </w:tcPr>
          <w:p w14:paraId="095E00D1" w14:textId="77777777" w:rsidR="009B0F8E" w:rsidRPr="009B0F8E" w:rsidRDefault="009B0F8E" w:rsidP="009B0F8E">
            <w:pPr>
              <w:spacing w:after="0" w:line="240" w:lineRule="auto"/>
              <w:jc w:val="center"/>
              <w:rPr>
                <w:rFonts w:ascii="Arial" w:eastAsia="Times New Roman" w:hAnsi="Arial" w:cs="Arial"/>
                <w:b/>
                <w:bCs/>
                <w:color w:val="000000"/>
                <w:sz w:val="20"/>
                <w:szCs w:val="20"/>
              </w:rPr>
            </w:pPr>
            <w:r w:rsidRPr="009B0F8E">
              <w:rPr>
                <w:rFonts w:ascii="Arial" w:eastAsia="Times New Roman" w:hAnsi="Arial" w:cs="Arial"/>
                <w:b/>
                <w:bCs/>
                <w:color w:val="000000"/>
                <w:sz w:val="20"/>
                <w:szCs w:val="20"/>
              </w:rPr>
              <w:t xml:space="preserve">Ameren IL Response </w:t>
            </w:r>
          </w:p>
        </w:tc>
        <w:tc>
          <w:tcPr>
            <w:tcW w:w="7115" w:type="dxa"/>
            <w:tcBorders>
              <w:top w:val="single" w:sz="4" w:space="0" w:color="auto"/>
              <w:left w:val="nil"/>
              <w:bottom w:val="single" w:sz="4" w:space="0" w:color="auto"/>
              <w:right w:val="single" w:sz="4" w:space="0" w:color="auto"/>
            </w:tcBorders>
            <w:shd w:val="clear" w:color="CFE2F3" w:fill="CFE2F3"/>
            <w:vAlign w:val="center"/>
            <w:hideMark/>
          </w:tcPr>
          <w:p w14:paraId="76520519" w14:textId="77777777" w:rsidR="009B0F8E" w:rsidRPr="009B0F8E" w:rsidRDefault="009B0F8E" w:rsidP="009B0F8E">
            <w:pPr>
              <w:spacing w:after="0" w:line="240" w:lineRule="auto"/>
              <w:jc w:val="center"/>
              <w:rPr>
                <w:rFonts w:ascii="Arial" w:eastAsia="Times New Roman" w:hAnsi="Arial" w:cs="Arial"/>
                <w:b/>
                <w:bCs/>
                <w:color w:val="000000"/>
                <w:sz w:val="20"/>
                <w:szCs w:val="20"/>
              </w:rPr>
            </w:pPr>
            <w:r w:rsidRPr="009B0F8E">
              <w:rPr>
                <w:rFonts w:ascii="Arial" w:eastAsia="Times New Roman" w:hAnsi="Arial" w:cs="Arial"/>
                <w:b/>
                <w:bCs/>
                <w:color w:val="000000"/>
                <w:sz w:val="20"/>
                <w:szCs w:val="20"/>
              </w:rPr>
              <w:t xml:space="preserve">ComEd Response </w:t>
            </w:r>
          </w:p>
        </w:tc>
        <w:tc>
          <w:tcPr>
            <w:tcW w:w="1620" w:type="dxa"/>
            <w:tcBorders>
              <w:top w:val="single" w:sz="4" w:space="0" w:color="auto"/>
              <w:left w:val="nil"/>
              <w:bottom w:val="single" w:sz="4" w:space="0" w:color="auto"/>
              <w:right w:val="single" w:sz="4" w:space="0" w:color="auto"/>
            </w:tcBorders>
            <w:shd w:val="clear" w:color="CFE2F3" w:fill="CFE2F3"/>
            <w:vAlign w:val="center"/>
            <w:hideMark/>
          </w:tcPr>
          <w:p w14:paraId="439A929B" w14:textId="77777777" w:rsidR="009B0F8E" w:rsidRPr="009B0F8E" w:rsidRDefault="009B0F8E" w:rsidP="009B0F8E">
            <w:pPr>
              <w:spacing w:after="0" w:line="240" w:lineRule="auto"/>
              <w:jc w:val="center"/>
              <w:rPr>
                <w:rFonts w:ascii="Arial" w:eastAsia="Times New Roman" w:hAnsi="Arial" w:cs="Arial"/>
                <w:b/>
                <w:bCs/>
                <w:color w:val="000000"/>
                <w:sz w:val="20"/>
                <w:szCs w:val="20"/>
              </w:rPr>
            </w:pPr>
            <w:r w:rsidRPr="009B0F8E">
              <w:rPr>
                <w:rFonts w:ascii="Arial" w:eastAsia="Times New Roman" w:hAnsi="Arial" w:cs="Arial"/>
                <w:b/>
                <w:bCs/>
                <w:color w:val="000000"/>
                <w:sz w:val="20"/>
                <w:szCs w:val="20"/>
              </w:rPr>
              <w:t xml:space="preserve">Nicor Gas Response </w:t>
            </w:r>
          </w:p>
        </w:tc>
        <w:tc>
          <w:tcPr>
            <w:tcW w:w="1620" w:type="dxa"/>
            <w:tcBorders>
              <w:top w:val="single" w:sz="4" w:space="0" w:color="auto"/>
              <w:left w:val="nil"/>
              <w:bottom w:val="single" w:sz="4" w:space="0" w:color="auto"/>
              <w:right w:val="single" w:sz="4" w:space="0" w:color="auto"/>
            </w:tcBorders>
            <w:shd w:val="clear" w:color="CFE2F3" w:fill="CFE2F3"/>
            <w:vAlign w:val="center"/>
            <w:hideMark/>
          </w:tcPr>
          <w:p w14:paraId="1BF72E56" w14:textId="77777777" w:rsidR="009B0F8E" w:rsidRPr="009B0F8E" w:rsidRDefault="009B0F8E" w:rsidP="009B0F8E">
            <w:pPr>
              <w:spacing w:after="0" w:line="240" w:lineRule="auto"/>
              <w:jc w:val="center"/>
              <w:rPr>
                <w:rFonts w:ascii="Arial" w:eastAsia="Times New Roman" w:hAnsi="Arial" w:cs="Arial"/>
                <w:b/>
                <w:bCs/>
                <w:color w:val="000000"/>
                <w:sz w:val="20"/>
                <w:szCs w:val="20"/>
              </w:rPr>
            </w:pPr>
            <w:r w:rsidRPr="009B0F8E">
              <w:rPr>
                <w:rFonts w:ascii="Arial" w:eastAsia="Times New Roman" w:hAnsi="Arial" w:cs="Arial"/>
                <w:b/>
                <w:bCs/>
                <w:color w:val="000000"/>
                <w:sz w:val="20"/>
                <w:szCs w:val="20"/>
              </w:rPr>
              <w:t xml:space="preserve">PG &amp; NSG Response </w:t>
            </w:r>
          </w:p>
        </w:tc>
      </w:tr>
      <w:tr w:rsidR="009B0F8E" w:rsidRPr="009B0F8E" w14:paraId="7E004B85" w14:textId="77777777" w:rsidTr="00464B46">
        <w:trPr>
          <w:trHeight w:val="2087"/>
        </w:trPr>
        <w:tc>
          <w:tcPr>
            <w:tcW w:w="2600" w:type="dxa"/>
            <w:tcBorders>
              <w:top w:val="nil"/>
              <w:left w:val="single" w:sz="4" w:space="0" w:color="auto"/>
              <w:bottom w:val="single" w:sz="4" w:space="0" w:color="auto"/>
              <w:right w:val="single" w:sz="4" w:space="0" w:color="auto"/>
            </w:tcBorders>
            <w:shd w:val="clear" w:color="000000" w:fill="FFFF00"/>
            <w:vAlign w:val="center"/>
            <w:hideMark/>
          </w:tcPr>
          <w:p w14:paraId="03E09F19" w14:textId="77777777" w:rsidR="009B0F8E" w:rsidRPr="009B0F8E" w:rsidRDefault="009B0F8E" w:rsidP="009B0F8E">
            <w:pPr>
              <w:spacing w:after="0" w:line="240" w:lineRule="auto"/>
              <w:rPr>
                <w:rFonts w:ascii="Arial" w:eastAsia="Times New Roman" w:hAnsi="Arial" w:cs="Arial"/>
                <w:color w:val="000000"/>
                <w:sz w:val="20"/>
                <w:szCs w:val="20"/>
              </w:rPr>
            </w:pPr>
            <w:r w:rsidRPr="009B0F8E">
              <w:rPr>
                <w:rFonts w:ascii="Arial" w:eastAsia="Times New Roman" w:hAnsi="Arial" w:cs="Arial"/>
                <w:color w:val="000000"/>
                <w:sz w:val="20"/>
                <w:szCs w:val="20"/>
              </w:rPr>
              <w:t>AIC believes further discussion is required</w:t>
            </w:r>
          </w:p>
        </w:tc>
        <w:tc>
          <w:tcPr>
            <w:tcW w:w="7115" w:type="dxa"/>
            <w:tcBorders>
              <w:top w:val="nil"/>
              <w:left w:val="nil"/>
              <w:bottom w:val="single" w:sz="4" w:space="0" w:color="auto"/>
              <w:right w:val="single" w:sz="4" w:space="0" w:color="auto"/>
            </w:tcBorders>
            <w:shd w:val="clear" w:color="D9E1F2" w:fill="FFFF00"/>
            <w:vAlign w:val="center"/>
            <w:hideMark/>
          </w:tcPr>
          <w:p w14:paraId="5B442E37" w14:textId="77777777" w:rsidR="009B0F8E" w:rsidRPr="009B0F8E" w:rsidRDefault="009B0F8E" w:rsidP="009B0F8E">
            <w:pPr>
              <w:spacing w:after="0" w:line="240" w:lineRule="auto"/>
              <w:rPr>
                <w:rFonts w:ascii="Arial" w:eastAsia="Times New Roman" w:hAnsi="Arial" w:cs="Arial"/>
                <w:color w:val="000000"/>
                <w:sz w:val="20"/>
                <w:szCs w:val="20"/>
              </w:rPr>
            </w:pPr>
            <w:r w:rsidRPr="009B0F8E">
              <w:rPr>
                <w:rFonts w:ascii="Arial" w:eastAsia="Times New Roman" w:hAnsi="Arial" w:cs="Arial"/>
                <w:color w:val="000000"/>
                <w:sz w:val="20"/>
                <w:szCs w:val="20"/>
              </w:rPr>
              <w:t xml:space="preserve">ComEd agrees to explore this idea, but would like to recognize that topping cycle CHP can still provide a clean energy solution. ComEd believes that Topping Cycle Combined Heat and Power (CHP) projects still provide an effective and efficient vehicle for industrial and commercial customers to reduce energy usage while providing valuable process fuels such as steam and hot water. As it currently stands, CHP projects are still more efficient than the grid and are still included in the Illinois Technical Reference Manual for potential to claim EE savings. </w:t>
            </w:r>
          </w:p>
        </w:tc>
        <w:tc>
          <w:tcPr>
            <w:tcW w:w="1620" w:type="dxa"/>
            <w:tcBorders>
              <w:top w:val="nil"/>
              <w:left w:val="nil"/>
              <w:bottom w:val="single" w:sz="4" w:space="0" w:color="auto"/>
              <w:right w:val="single" w:sz="4" w:space="0" w:color="auto"/>
            </w:tcBorders>
            <w:shd w:val="clear" w:color="000000" w:fill="FB8C89"/>
            <w:vAlign w:val="center"/>
            <w:hideMark/>
          </w:tcPr>
          <w:p w14:paraId="61ADCD4B" w14:textId="77777777" w:rsidR="009B0F8E" w:rsidRPr="009B0F8E" w:rsidRDefault="009B0F8E" w:rsidP="009B0F8E">
            <w:pPr>
              <w:spacing w:after="0" w:line="240" w:lineRule="auto"/>
              <w:rPr>
                <w:rFonts w:ascii="Arial" w:eastAsia="Times New Roman" w:hAnsi="Arial" w:cs="Arial"/>
                <w:sz w:val="20"/>
                <w:szCs w:val="20"/>
              </w:rPr>
            </w:pPr>
            <w:r w:rsidRPr="009B0F8E">
              <w:rPr>
                <w:rFonts w:ascii="Arial" w:eastAsia="Times New Roman" w:hAnsi="Arial" w:cs="Arial"/>
                <w:sz w:val="20"/>
                <w:szCs w:val="20"/>
              </w:rPr>
              <w:t>CHP is an effective EE measure that we are allowed to utilize to create savings.</w:t>
            </w:r>
          </w:p>
        </w:tc>
        <w:tc>
          <w:tcPr>
            <w:tcW w:w="1620" w:type="dxa"/>
            <w:tcBorders>
              <w:top w:val="nil"/>
              <w:left w:val="nil"/>
              <w:bottom w:val="single" w:sz="4" w:space="0" w:color="auto"/>
              <w:right w:val="single" w:sz="4" w:space="0" w:color="auto"/>
            </w:tcBorders>
            <w:shd w:val="clear" w:color="FFFFFF" w:fill="FB8C89"/>
            <w:vAlign w:val="center"/>
            <w:hideMark/>
          </w:tcPr>
          <w:p w14:paraId="63A9A3DD" w14:textId="595F70E0" w:rsidR="009B0F8E" w:rsidRPr="009B0F8E" w:rsidRDefault="009B0F8E" w:rsidP="009B0F8E">
            <w:pPr>
              <w:spacing w:after="0" w:line="240" w:lineRule="auto"/>
              <w:rPr>
                <w:rFonts w:ascii="Arial" w:eastAsia="Times New Roman" w:hAnsi="Arial" w:cs="Arial"/>
                <w:sz w:val="20"/>
                <w:szCs w:val="20"/>
              </w:rPr>
            </w:pPr>
            <w:r w:rsidRPr="009B0F8E">
              <w:rPr>
                <w:rFonts w:ascii="Arial" w:eastAsia="Times New Roman" w:hAnsi="Arial" w:cs="Arial"/>
                <w:sz w:val="20"/>
                <w:szCs w:val="20"/>
              </w:rPr>
              <w:t xml:space="preserve">PGL/NSG supports providing a diverse </w:t>
            </w:r>
            <w:r w:rsidR="00464B46" w:rsidRPr="009B0F8E">
              <w:rPr>
                <w:rFonts w:ascii="Arial" w:eastAsia="Times New Roman" w:hAnsi="Arial" w:cs="Arial"/>
                <w:sz w:val="20"/>
                <w:szCs w:val="20"/>
              </w:rPr>
              <w:t>portfolio</w:t>
            </w:r>
            <w:r w:rsidRPr="009B0F8E">
              <w:rPr>
                <w:rFonts w:ascii="Arial" w:eastAsia="Times New Roman" w:hAnsi="Arial" w:cs="Arial"/>
                <w:sz w:val="20"/>
                <w:szCs w:val="20"/>
              </w:rPr>
              <w:t xml:space="preserve"> of solutions for all customers.</w:t>
            </w:r>
          </w:p>
        </w:tc>
      </w:tr>
    </w:tbl>
    <w:p w14:paraId="740598FE" w14:textId="77777777" w:rsidR="009B0F8E" w:rsidRDefault="009B0F8E" w:rsidP="00532A95">
      <w:pPr>
        <w:spacing w:after="0" w:line="240" w:lineRule="auto"/>
        <w:rPr>
          <w:rFonts w:ascii="Arial" w:hAnsi="Arial" w:cs="Arial"/>
          <w:sz w:val="21"/>
          <w:szCs w:val="21"/>
        </w:rPr>
      </w:pPr>
    </w:p>
    <w:p w14:paraId="708CA81F" w14:textId="26B8888F" w:rsidR="00532A95" w:rsidRPr="00532A95" w:rsidRDefault="00532A95" w:rsidP="00556261">
      <w:pPr>
        <w:spacing w:after="0" w:line="240" w:lineRule="auto"/>
        <w:ind w:left="-720"/>
        <w:rPr>
          <w:rFonts w:ascii="Arial" w:eastAsia="Calibri" w:hAnsi="Arial" w:cs="Arial"/>
          <w:b/>
          <w:sz w:val="24"/>
          <w:szCs w:val="24"/>
        </w:rPr>
      </w:pPr>
      <w:r w:rsidRPr="00532A95">
        <w:rPr>
          <w:rFonts w:ascii="Arial" w:eastAsia="Calibri" w:hAnsi="Arial" w:cs="Arial"/>
          <w:b/>
          <w:sz w:val="24"/>
          <w:szCs w:val="24"/>
        </w:rPr>
        <w:lastRenderedPageBreak/>
        <w:t>Joint Stakeholder C&amp;I EE Idea:</w:t>
      </w:r>
    </w:p>
    <w:p w14:paraId="3EB7CAB3" w14:textId="77777777" w:rsidR="00F671AD" w:rsidRPr="00816ECC" w:rsidRDefault="00F671AD" w:rsidP="00556261">
      <w:pPr>
        <w:spacing w:after="0" w:line="240" w:lineRule="auto"/>
        <w:ind w:left="-720"/>
        <w:rPr>
          <w:rFonts w:ascii="Arial" w:hAnsi="Arial" w:cs="Arial"/>
          <w:sz w:val="21"/>
          <w:szCs w:val="21"/>
        </w:rPr>
      </w:pPr>
      <w:r w:rsidRPr="00816ECC">
        <w:rPr>
          <w:rFonts w:ascii="Arial" w:hAnsi="Arial" w:cs="Arial"/>
          <w:sz w:val="21"/>
          <w:szCs w:val="21"/>
        </w:rPr>
        <w:t>Ameren and ComEd outreach ASAP to large industrials to identify needs and what could be offered to get them to not opt out (EE Idea tracker row 26)</w:t>
      </w:r>
    </w:p>
    <w:p w14:paraId="2BE80A5F" w14:textId="77777777" w:rsidR="00F671AD" w:rsidRDefault="00F671AD" w:rsidP="00F671AD">
      <w:pPr>
        <w:spacing w:after="0" w:line="240" w:lineRule="auto"/>
        <w:rPr>
          <w:rFonts w:ascii="Arial" w:eastAsia="Calibri" w:hAnsi="Arial" w:cs="Arial"/>
          <w:bCs/>
        </w:rPr>
      </w:pPr>
    </w:p>
    <w:tbl>
      <w:tblPr>
        <w:tblW w:w="13590" w:type="dxa"/>
        <w:tblInd w:w="-635" w:type="dxa"/>
        <w:tblLook w:val="04A0" w:firstRow="1" w:lastRow="0" w:firstColumn="1" w:lastColumn="0" w:noHBand="0" w:noVBand="1"/>
      </w:tblPr>
      <w:tblGrid>
        <w:gridCol w:w="2790"/>
        <w:gridCol w:w="7560"/>
        <w:gridCol w:w="1620"/>
        <w:gridCol w:w="1620"/>
      </w:tblGrid>
      <w:tr w:rsidR="0076502E" w:rsidRPr="0076502E" w14:paraId="3D3E319B" w14:textId="77777777" w:rsidTr="000D08DD">
        <w:trPr>
          <w:trHeight w:val="290"/>
        </w:trPr>
        <w:tc>
          <w:tcPr>
            <w:tcW w:w="2790" w:type="dxa"/>
            <w:tcBorders>
              <w:top w:val="single" w:sz="4" w:space="0" w:color="auto"/>
              <w:left w:val="single" w:sz="4" w:space="0" w:color="auto"/>
              <w:bottom w:val="single" w:sz="4" w:space="0" w:color="auto"/>
              <w:right w:val="single" w:sz="4" w:space="0" w:color="auto"/>
            </w:tcBorders>
            <w:shd w:val="clear" w:color="CFE2F3" w:fill="CFE2F3"/>
            <w:vAlign w:val="center"/>
            <w:hideMark/>
          </w:tcPr>
          <w:p w14:paraId="16A50796" w14:textId="77777777" w:rsidR="0076502E" w:rsidRPr="0076502E" w:rsidRDefault="0076502E" w:rsidP="0076502E">
            <w:pPr>
              <w:spacing w:after="0" w:line="240" w:lineRule="auto"/>
              <w:jc w:val="center"/>
              <w:rPr>
                <w:rFonts w:ascii="Arial" w:eastAsia="Times New Roman" w:hAnsi="Arial" w:cs="Arial"/>
                <w:b/>
                <w:bCs/>
                <w:color w:val="000000"/>
                <w:sz w:val="20"/>
                <w:szCs w:val="20"/>
              </w:rPr>
            </w:pPr>
            <w:r w:rsidRPr="0076502E">
              <w:rPr>
                <w:rFonts w:ascii="Arial" w:eastAsia="Times New Roman" w:hAnsi="Arial" w:cs="Arial"/>
                <w:b/>
                <w:bCs/>
                <w:color w:val="000000"/>
                <w:sz w:val="20"/>
                <w:szCs w:val="20"/>
              </w:rPr>
              <w:t xml:space="preserve">Ameren IL Response </w:t>
            </w:r>
          </w:p>
        </w:tc>
        <w:tc>
          <w:tcPr>
            <w:tcW w:w="7560" w:type="dxa"/>
            <w:tcBorders>
              <w:top w:val="single" w:sz="4" w:space="0" w:color="auto"/>
              <w:left w:val="nil"/>
              <w:bottom w:val="single" w:sz="4" w:space="0" w:color="auto"/>
              <w:right w:val="single" w:sz="4" w:space="0" w:color="auto"/>
            </w:tcBorders>
            <w:shd w:val="clear" w:color="CFE2F3" w:fill="CFE2F3"/>
            <w:vAlign w:val="center"/>
            <w:hideMark/>
          </w:tcPr>
          <w:p w14:paraId="5420C82D" w14:textId="77777777" w:rsidR="0076502E" w:rsidRPr="0076502E" w:rsidRDefault="0076502E" w:rsidP="0076502E">
            <w:pPr>
              <w:spacing w:after="0" w:line="240" w:lineRule="auto"/>
              <w:jc w:val="center"/>
              <w:rPr>
                <w:rFonts w:ascii="Arial" w:eastAsia="Times New Roman" w:hAnsi="Arial" w:cs="Arial"/>
                <w:b/>
                <w:bCs/>
                <w:color w:val="000000"/>
                <w:sz w:val="20"/>
                <w:szCs w:val="20"/>
              </w:rPr>
            </w:pPr>
            <w:r w:rsidRPr="0076502E">
              <w:rPr>
                <w:rFonts w:ascii="Arial" w:eastAsia="Times New Roman" w:hAnsi="Arial" w:cs="Arial"/>
                <w:b/>
                <w:bCs/>
                <w:color w:val="000000"/>
                <w:sz w:val="20"/>
                <w:szCs w:val="20"/>
              </w:rPr>
              <w:t xml:space="preserve">ComEd Response </w:t>
            </w:r>
          </w:p>
        </w:tc>
        <w:tc>
          <w:tcPr>
            <w:tcW w:w="1620" w:type="dxa"/>
            <w:tcBorders>
              <w:top w:val="single" w:sz="4" w:space="0" w:color="auto"/>
              <w:left w:val="nil"/>
              <w:bottom w:val="single" w:sz="4" w:space="0" w:color="auto"/>
              <w:right w:val="single" w:sz="4" w:space="0" w:color="auto"/>
            </w:tcBorders>
            <w:shd w:val="clear" w:color="CFE2F3" w:fill="CFE2F3"/>
            <w:vAlign w:val="center"/>
            <w:hideMark/>
          </w:tcPr>
          <w:p w14:paraId="08AC5984" w14:textId="77777777" w:rsidR="0076502E" w:rsidRPr="0076502E" w:rsidRDefault="0076502E" w:rsidP="0076502E">
            <w:pPr>
              <w:spacing w:after="0" w:line="240" w:lineRule="auto"/>
              <w:jc w:val="center"/>
              <w:rPr>
                <w:rFonts w:ascii="Arial" w:eastAsia="Times New Roman" w:hAnsi="Arial" w:cs="Arial"/>
                <w:b/>
                <w:bCs/>
                <w:color w:val="000000"/>
                <w:sz w:val="20"/>
                <w:szCs w:val="20"/>
              </w:rPr>
            </w:pPr>
            <w:r w:rsidRPr="0076502E">
              <w:rPr>
                <w:rFonts w:ascii="Arial" w:eastAsia="Times New Roman" w:hAnsi="Arial" w:cs="Arial"/>
                <w:b/>
                <w:bCs/>
                <w:color w:val="000000"/>
                <w:sz w:val="20"/>
                <w:szCs w:val="20"/>
              </w:rPr>
              <w:t xml:space="preserve">Nicor Gas Response </w:t>
            </w:r>
          </w:p>
        </w:tc>
        <w:tc>
          <w:tcPr>
            <w:tcW w:w="1620" w:type="dxa"/>
            <w:tcBorders>
              <w:top w:val="single" w:sz="4" w:space="0" w:color="auto"/>
              <w:left w:val="nil"/>
              <w:bottom w:val="single" w:sz="4" w:space="0" w:color="auto"/>
              <w:right w:val="single" w:sz="4" w:space="0" w:color="auto"/>
            </w:tcBorders>
            <w:shd w:val="clear" w:color="CFE2F3" w:fill="CFE2F3"/>
            <w:vAlign w:val="center"/>
            <w:hideMark/>
          </w:tcPr>
          <w:p w14:paraId="56F2D765" w14:textId="77777777" w:rsidR="0076502E" w:rsidRPr="0076502E" w:rsidRDefault="0076502E" w:rsidP="0076502E">
            <w:pPr>
              <w:spacing w:after="0" w:line="240" w:lineRule="auto"/>
              <w:jc w:val="center"/>
              <w:rPr>
                <w:rFonts w:ascii="Arial" w:eastAsia="Times New Roman" w:hAnsi="Arial" w:cs="Arial"/>
                <w:b/>
                <w:bCs/>
                <w:color w:val="000000"/>
                <w:sz w:val="20"/>
                <w:szCs w:val="20"/>
              </w:rPr>
            </w:pPr>
            <w:r w:rsidRPr="0076502E">
              <w:rPr>
                <w:rFonts w:ascii="Arial" w:eastAsia="Times New Roman" w:hAnsi="Arial" w:cs="Arial"/>
                <w:b/>
                <w:bCs/>
                <w:color w:val="000000"/>
                <w:sz w:val="20"/>
                <w:szCs w:val="20"/>
              </w:rPr>
              <w:t xml:space="preserve">PG &amp; NSG Response </w:t>
            </w:r>
          </w:p>
        </w:tc>
      </w:tr>
      <w:tr w:rsidR="0076502E" w:rsidRPr="0076502E" w14:paraId="1A92915B" w14:textId="77777777" w:rsidTr="000D08DD">
        <w:trPr>
          <w:trHeight w:val="2123"/>
        </w:trPr>
        <w:tc>
          <w:tcPr>
            <w:tcW w:w="2790" w:type="dxa"/>
            <w:tcBorders>
              <w:top w:val="nil"/>
              <w:left w:val="single" w:sz="4" w:space="0" w:color="auto"/>
              <w:bottom w:val="single" w:sz="4" w:space="0" w:color="auto"/>
              <w:right w:val="single" w:sz="4" w:space="0" w:color="auto"/>
            </w:tcBorders>
            <w:shd w:val="clear" w:color="000000" w:fill="E2EFDA"/>
            <w:vAlign w:val="center"/>
            <w:hideMark/>
          </w:tcPr>
          <w:p w14:paraId="1601E113" w14:textId="77777777" w:rsidR="0076502E" w:rsidRPr="0076502E" w:rsidRDefault="0076502E" w:rsidP="0076502E">
            <w:pPr>
              <w:spacing w:after="0" w:line="240" w:lineRule="auto"/>
              <w:rPr>
                <w:rFonts w:ascii="Arial" w:eastAsia="Times New Roman" w:hAnsi="Arial" w:cs="Arial"/>
                <w:color w:val="000000"/>
                <w:sz w:val="20"/>
                <w:szCs w:val="20"/>
              </w:rPr>
            </w:pPr>
            <w:r w:rsidRPr="0076502E">
              <w:rPr>
                <w:rFonts w:ascii="Arial" w:eastAsia="Times New Roman" w:hAnsi="Arial" w:cs="Arial"/>
                <w:color w:val="000000"/>
                <w:sz w:val="20"/>
                <w:szCs w:val="20"/>
              </w:rPr>
              <w:t>Ameren has reached out to large customers to communicate benefits of EE and offer further discussion if interested.</w:t>
            </w:r>
          </w:p>
        </w:tc>
        <w:tc>
          <w:tcPr>
            <w:tcW w:w="7560" w:type="dxa"/>
            <w:tcBorders>
              <w:top w:val="nil"/>
              <w:left w:val="nil"/>
              <w:bottom w:val="single" w:sz="4" w:space="0" w:color="auto"/>
              <w:right w:val="single" w:sz="4" w:space="0" w:color="auto"/>
            </w:tcBorders>
            <w:shd w:val="clear" w:color="D9E1F2" w:fill="E2EFDA"/>
            <w:vAlign w:val="center"/>
            <w:hideMark/>
          </w:tcPr>
          <w:p w14:paraId="6124609B" w14:textId="77777777" w:rsidR="0076502E" w:rsidRPr="0076502E" w:rsidRDefault="0076502E" w:rsidP="0076502E">
            <w:pPr>
              <w:spacing w:after="0" w:line="240" w:lineRule="auto"/>
              <w:rPr>
                <w:rFonts w:ascii="Arial" w:eastAsia="Times New Roman" w:hAnsi="Arial" w:cs="Arial"/>
                <w:color w:val="000000"/>
                <w:sz w:val="20"/>
                <w:szCs w:val="20"/>
              </w:rPr>
            </w:pPr>
            <w:r w:rsidRPr="0076502E">
              <w:rPr>
                <w:rFonts w:ascii="Arial" w:eastAsia="Times New Roman" w:hAnsi="Arial" w:cs="Arial"/>
                <w:color w:val="000000"/>
                <w:sz w:val="20"/>
                <w:szCs w:val="20"/>
              </w:rPr>
              <w:t xml:space="preserve">The contact and engagement process for &gt;10MW customers that was established in Plan 6 was enhanced for Plan 7 and was initiated in late Q1 2024.   Outreach includes customers already over 10MW, currently opted-out customers, and customers that could potentially exceed 10MW before 12/31/25.  </w:t>
            </w:r>
            <w:proofErr w:type="spellStart"/>
            <w:r w:rsidRPr="0076502E">
              <w:rPr>
                <w:rFonts w:ascii="Arial" w:eastAsia="Times New Roman" w:hAnsi="Arial" w:cs="Arial"/>
                <w:color w:val="000000"/>
                <w:sz w:val="20"/>
                <w:szCs w:val="20"/>
              </w:rPr>
              <w:t>ComEd’s</w:t>
            </w:r>
            <w:proofErr w:type="spellEnd"/>
            <w:r w:rsidRPr="0076502E">
              <w:rPr>
                <w:rFonts w:ascii="Arial" w:eastAsia="Times New Roman" w:hAnsi="Arial" w:cs="Arial"/>
                <w:color w:val="000000"/>
                <w:sz w:val="20"/>
                <w:szCs w:val="20"/>
              </w:rPr>
              <w:t xml:space="preserve"> Large Customer Services account managers are directly engaged to ensure all customers are contacted and informed of the energy efficiency program opportunities in addition to their eligibility to opt out. Customers are also invited to recurring customer office hours (Q&amp;A) calls. ComEd also coordinated with Ameren on the general approach and updates to the Plan 7 opt-out form.</w:t>
            </w:r>
          </w:p>
        </w:tc>
        <w:tc>
          <w:tcPr>
            <w:tcW w:w="1620" w:type="dxa"/>
            <w:tcBorders>
              <w:top w:val="nil"/>
              <w:left w:val="nil"/>
              <w:bottom w:val="single" w:sz="4" w:space="0" w:color="auto"/>
              <w:right w:val="single" w:sz="4" w:space="0" w:color="auto"/>
            </w:tcBorders>
            <w:shd w:val="clear" w:color="000000" w:fill="BFBFBF"/>
            <w:noWrap/>
            <w:vAlign w:val="center"/>
            <w:hideMark/>
          </w:tcPr>
          <w:p w14:paraId="4B9AF7D2" w14:textId="77777777" w:rsidR="0076502E" w:rsidRPr="0076502E" w:rsidRDefault="0076502E" w:rsidP="0076502E">
            <w:pPr>
              <w:spacing w:after="0" w:line="240" w:lineRule="auto"/>
              <w:jc w:val="center"/>
              <w:rPr>
                <w:rFonts w:ascii="Arial" w:eastAsia="Times New Roman" w:hAnsi="Arial" w:cs="Arial"/>
                <w:color w:val="000000"/>
                <w:sz w:val="20"/>
                <w:szCs w:val="20"/>
              </w:rPr>
            </w:pPr>
            <w:r w:rsidRPr="0076502E">
              <w:rPr>
                <w:rFonts w:ascii="Arial" w:eastAsia="Times New Roman" w:hAnsi="Arial" w:cs="Arial"/>
                <w:color w:val="000000"/>
                <w:sz w:val="20"/>
                <w:szCs w:val="20"/>
              </w:rPr>
              <w:t xml:space="preserve">N/A </w:t>
            </w:r>
          </w:p>
        </w:tc>
        <w:tc>
          <w:tcPr>
            <w:tcW w:w="1620" w:type="dxa"/>
            <w:tcBorders>
              <w:top w:val="nil"/>
              <w:left w:val="nil"/>
              <w:bottom w:val="single" w:sz="4" w:space="0" w:color="auto"/>
              <w:right w:val="single" w:sz="4" w:space="0" w:color="auto"/>
            </w:tcBorders>
            <w:shd w:val="clear" w:color="000000" w:fill="BFBFBF"/>
            <w:noWrap/>
            <w:vAlign w:val="center"/>
            <w:hideMark/>
          </w:tcPr>
          <w:p w14:paraId="13220125" w14:textId="77777777" w:rsidR="0076502E" w:rsidRPr="0076502E" w:rsidRDefault="0076502E" w:rsidP="0076502E">
            <w:pPr>
              <w:spacing w:after="0" w:line="240" w:lineRule="auto"/>
              <w:jc w:val="center"/>
              <w:rPr>
                <w:rFonts w:ascii="Arial" w:eastAsia="Times New Roman" w:hAnsi="Arial" w:cs="Arial"/>
                <w:color w:val="000000"/>
                <w:sz w:val="20"/>
                <w:szCs w:val="20"/>
              </w:rPr>
            </w:pPr>
            <w:r w:rsidRPr="0076502E">
              <w:rPr>
                <w:rFonts w:ascii="Arial" w:eastAsia="Times New Roman" w:hAnsi="Arial" w:cs="Arial"/>
                <w:color w:val="000000"/>
                <w:sz w:val="20"/>
                <w:szCs w:val="20"/>
              </w:rPr>
              <w:t xml:space="preserve">N/A </w:t>
            </w:r>
          </w:p>
        </w:tc>
      </w:tr>
    </w:tbl>
    <w:p w14:paraId="2E3791E4" w14:textId="77777777" w:rsidR="00BF0BCD" w:rsidRDefault="00BF0BCD" w:rsidP="00F41F42">
      <w:pPr>
        <w:spacing w:after="0" w:line="240" w:lineRule="auto"/>
        <w:rPr>
          <w:rFonts w:ascii="Arial" w:eastAsia="Calibri" w:hAnsi="Arial" w:cs="Arial"/>
          <w:b/>
          <w:sz w:val="24"/>
          <w:szCs w:val="24"/>
        </w:rPr>
      </w:pPr>
    </w:p>
    <w:p w14:paraId="58B376A6" w14:textId="64BC7DEB" w:rsidR="00F41F42" w:rsidRPr="003B3590" w:rsidRDefault="00F671AD" w:rsidP="006A768E">
      <w:pPr>
        <w:spacing w:after="0" w:line="240" w:lineRule="auto"/>
        <w:ind w:left="-864"/>
        <w:rPr>
          <w:rFonts w:ascii="Arial" w:eastAsia="Calibri" w:hAnsi="Arial" w:cs="Arial"/>
          <w:b/>
          <w:sz w:val="24"/>
          <w:szCs w:val="24"/>
        </w:rPr>
      </w:pPr>
      <w:r w:rsidRPr="003B3590">
        <w:rPr>
          <w:rFonts w:ascii="Arial" w:eastAsia="Calibri" w:hAnsi="Arial" w:cs="Arial"/>
          <w:b/>
          <w:sz w:val="24"/>
          <w:szCs w:val="24"/>
        </w:rPr>
        <w:t>Joint Stakeholder Cross-Cutting EE Idea</w:t>
      </w:r>
      <w:r w:rsidR="00A8311A">
        <w:rPr>
          <w:rFonts w:ascii="Arial" w:eastAsia="Calibri" w:hAnsi="Arial" w:cs="Arial"/>
          <w:b/>
          <w:sz w:val="24"/>
          <w:szCs w:val="24"/>
        </w:rPr>
        <w:t>s related to Contracting</w:t>
      </w:r>
      <w:r w:rsidR="00F41F42" w:rsidRPr="003B3590">
        <w:rPr>
          <w:rFonts w:ascii="Arial" w:eastAsia="Calibri" w:hAnsi="Arial" w:cs="Arial"/>
          <w:b/>
          <w:sz w:val="24"/>
          <w:szCs w:val="24"/>
        </w:rPr>
        <w:t>:</w:t>
      </w:r>
    </w:p>
    <w:p w14:paraId="0A612258" w14:textId="77777777" w:rsidR="00F41F42" w:rsidRDefault="00F41F42" w:rsidP="00F41F42">
      <w:pPr>
        <w:spacing w:after="0" w:line="240" w:lineRule="auto"/>
        <w:rPr>
          <w:rFonts w:ascii="Arial" w:eastAsia="Calibri" w:hAnsi="Arial" w:cs="Arial"/>
          <w:b/>
          <w:sz w:val="21"/>
          <w:szCs w:val="21"/>
        </w:rPr>
      </w:pPr>
    </w:p>
    <w:tbl>
      <w:tblPr>
        <w:tblW w:w="14580" w:type="dxa"/>
        <w:tblInd w:w="-815" w:type="dxa"/>
        <w:tblLook w:val="04A0" w:firstRow="1" w:lastRow="0" w:firstColumn="1" w:lastColumn="0" w:noHBand="0" w:noVBand="1"/>
      </w:tblPr>
      <w:tblGrid>
        <w:gridCol w:w="2070"/>
        <w:gridCol w:w="3330"/>
        <w:gridCol w:w="4320"/>
        <w:gridCol w:w="2160"/>
        <w:gridCol w:w="2700"/>
      </w:tblGrid>
      <w:tr w:rsidR="002C2C02" w:rsidRPr="002C2C02" w14:paraId="1ECA2837" w14:textId="77777777" w:rsidTr="00140966">
        <w:trPr>
          <w:trHeight w:val="290"/>
          <w:tblHeader/>
        </w:trPr>
        <w:tc>
          <w:tcPr>
            <w:tcW w:w="2070"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F4DC4F4" w14:textId="77777777" w:rsidR="002C2C02" w:rsidRPr="002C2C02" w:rsidRDefault="002C2C02" w:rsidP="002C2C02">
            <w:pPr>
              <w:spacing w:after="0" w:line="240" w:lineRule="auto"/>
              <w:jc w:val="center"/>
              <w:rPr>
                <w:rFonts w:ascii="Calibri" w:eastAsia="Times New Roman" w:hAnsi="Calibri" w:cs="Calibri"/>
                <w:b/>
                <w:bCs/>
                <w:color w:val="000000"/>
              </w:rPr>
            </w:pPr>
            <w:r w:rsidRPr="002C2C02">
              <w:rPr>
                <w:rFonts w:ascii="Calibri" w:eastAsia="Times New Roman" w:hAnsi="Calibri" w:cs="Calibri"/>
                <w:b/>
                <w:bCs/>
                <w:color w:val="000000"/>
              </w:rPr>
              <w:t>Contracting EE Idea</w:t>
            </w:r>
          </w:p>
        </w:tc>
        <w:tc>
          <w:tcPr>
            <w:tcW w:w="3330" w:type="dxa"/>
            <w:tcBorders>
              <w:top w:val="single" w:sz="4" w:space="0" w:color="auto"/>
              <w:left w:val="nil"/>
              <w:bottom w:val="single" w:sz="4" w:space="0" w:color="auto"/>
              <w:right w:val="single" w:sz="4" w:space="0" w:color="auto"/>
            </w:tcBorders>
            <w:shd w:val="clear" w:color="CFE2F3" w:fill="DDEBF7"/>
            <w:vAlign w:val="center"/>
            <w:hideMark/>
          </w:tcPr>
          <w:p w14:paraId="35896CCE" w14:textId="77777777" w:rsidR="002C2C02" w:rsidRPr="002C2C02" w:rsidRDefault="002C2C02" w:rsidP="002C2C02">
            <w:pPr>
              <w:spacing w:after="0" w:line="240" w:lineRule="auto"/>
              <w:jc w:val="center"/>
              <w:rPr>
                <w:rFonts w:ascii="Arial" w:eastAsia="Times New Roman" w:hAnsi="Arial" w:cs="Arial"/>
                <w:b/>
                <w:bCs/>
                <w:color w:val="000000"/>
                <w:sz w:val="20"/>
                <w:szCs w:val="20"/>
              </w:rPr>
            </w:pPr>
            <w:r w:rsidRPr="002C2C02">
              <w:rPr>
                <w:rFonts w:ascii="Arial" w:eastAsia="Times New Roman" w:hAnsi="Arial" w:cs="Arial"/>
                <w:b/>
                <w:bCs/>
                <w:color w:val="000000"/>
                <w:sz w:val="20"/>
                <w:szCs w:val="20"/>
              </w:rPr>
              <w:t xml:space="preserve">Ameren IL Response </w:t>
            </w:r>
          </w:p>
        </w:tc>
        <w:tc>
          <w:tcPr>
            <w:tcW w:w="4320" w:type="dxa"/>
            <w:tcBorders>
              <w:top w:val="single" w:sz="4" w:space="0" w:color="auto"/>
              <w:left w:val="nil"/>
              <w:bottom w:val="single" w:sz="4" w:space="0" w:color="auto"/>
              <w:right w:val="single" w:sz="4" w:space="0" w:color="auto"/>
            </w:tcBorders>
            <w:shd w:val="clear" w:color="CFE2F3" w:fill="DDEBF7"/>
            <w:vAlign w:val="center"/>
            <w:hideMark/>
          </w:tcPr>
          <w:p w14:paraId="741FDC18" w14:textId="77777777" w:rsidR="002C2C02" w:rsidRPr="002C2C02" w:rsidRDefault="002C2C02" w:rsidP="002C2C02">
            <w:pPr>
              <w:spacing w:after="0" w:line="240" w:lineRule="auto"/>
              <w:jc w:val="center"/>
              <w:rPr>
                <w:rFonts w:ascii="Arial" w:eastAsia="Times New Roman" w:hAnsi="Arial" w:cs="Arial"/>
                <w:b/>
                <w:bCs/>
                <w:color w:val="000000"/>
                <w:sz w:val="20"/>
                <w:szCs w:val="20"/>
              </w:rPr>
            </w:pPr>
            <w:r w:rsidRPr="002C2C02">
              <w:rPr>
                <w:rFonts w:ascii="Arial" w:eastAsia="Times New Roman" w:hAnsi="Arial" w:cs="Arial"/>
                <w:b/>
                <w:bCs/>
                <w:color w:val="000000"/>
                <w:sz w:val="20"/>
                <w:szCs w:val="20"/>
              </w:rPr>
              <w:t xml:space="preserve">ComEd Response </w:t>
            </w:r>
          </w:p>
        </w:tc>
        <w:tc>
          <w:tcPr>
            <w:tcW w:w="2160" w:type="dxa"/>
            <w:tcBorders>
              <w:top w:val="single" w:sz="4" w:space="0" w:color="auto"/>
              <w:left w:val="nil"/>
              <w:bottom w:val="single" w:sz="4" w:space="0" w:color="auto"/>
              <w:right w:val="single" w:sz="4" w:space="0" w:color="auto"/>
            </w:tcBorders>
            <w:shd w:val="clear" w:color="CFE2F3" w:fill="DDEBF7"/>
            <w:vAlign w:val="center"/>
            <w:hideMark/>
          </w:tcPr>
          <w:p w14:paraId="054B8CF1" w14:textId="77777777" w:rsidR="002C2C02" w:rsidRPr="002C2C02" w:rsidRDefault="002C2C02" w:rsidP="002C2C02">
            <w:pPr>
              <w:spacing w:after="0" w:line="240" w:lineRule="auto"/>
              <w:jc w:val="center"/>
              <w:rPr>
                <w:rFonts w:ascii="Arial" w:eastAsia="Times New Roman" w:hAnsi="Arial" w:cs="Arial"/>
                <w:b/>
                <w:bCs/>
                <w:color w:val="000000"/>
                <w:sz w:val="20"/>
                <w:szCs w:val="20"/>
              </w:rPr>
            </w:pPr>
            <w:r w:rsidRPr="002C2C02">
              <w:rPr>
                <w:rFonts w:ascii="Arial" w:eastAsia="Times New Roman" w:hAnsi="Arial" w:cs="Arial"/>
                <w:b/>
                <w:bCs/>
                <w:color w:val="000000"/>
                <w:sz w:val="20"/>
                <w:szCs w:val="20"/>
              </w:rPr>
              <w:t xml:space="preserve">Nicor Gas Response </w:t>
            </w:r>
          </w:p>
        </w:tc>
        <w:tc>
          <w:tcPr>
            <w:tcW w:w="2700" w:type="dxa"/>
            <w:tcBorders>
              <w:top w:val="single" w:sz="4" w:space="0" w:color="auto"/>
              <w:left w:val="nil"/>
              <w:bottom w:val="single" w:sz="4" w:space="0" w:color="auto"/>
              <w:right w:val="single" w:sz="4" w:space="0" w:color="auto"/>
            </w:tcBorders>
            <w:shd w:val="clear" w:color="CFE2F3" w:fill="DDEBF7"/>
            <w:vAlign w:val="center"/>
            <w:hideMark/>
          </w:tcPr>
          <w:p w14:paraId="3E6AB5B8" w14:textId="77777777" w:rsidR="002C2C02" w:rsidRPr="002C2C02" w:rsidRDefault="002C2C02" w:rsidP="002C2C02">
            <w:pPr>
              <w:spacing w:after="0" w:line="240" w:lineRule="auto"/>
              <w:jc w:val="center"/>
              <w:rPr>
                <w:rFonts w:ascii="Arial" w:eastAsia="Times New Roman" w:hAnsi="Arial" w:cs="Arial"/>
                <w:b/>
                <w:bCs/>
                <w:color w:val="000000"/>
                <w:sz w:val="20"/>
                <w:szCs w:val="20"/>
              </w:rPr>
            </w:pPr>
            <w:r w:rsidRPr="002C2C02">
              <w:rPr>
                <w:rFonts w:ascii="Arial" w:eastAsia="Times New Roman" w:hAnsi="Arial" w:cs="Arial"/>
                <w:b/>
                <w:bCs/>
                <w:color w:val="000000"/>
                <w:sz w:val="20"/>
                <w:szCs w:val="20"/>
              </w:rPr>
              <w:t xml:space="preserve">PG &amp; NSG Response </w:t>
            </w:r>
          </w:p>
        </w:tc>
      </w:tr>
      <w:tr w:rsidR="002C2C02" w:rsidRPr="002C2C02" w14:paraId="09AFE310" w14:textId="77777777" w:rsidTr="00140966">
        <w:trPr>
          <w:trHeight w:val="3428"/>
        </w:trPr>
        <w:tc>
          <w:tcPr>
            <w:tcW w:w="2070" w:type="dxa"/>
            <w:tcBorders>
              <w:top w:val="nil"/>
              <w:left w:val="single" w:sz="4" w:space="0" w:color="auto"/>
              <w:bottom w:val="single" w:sz="4" w:space="0" w:color="auto"/>
              <w:right w:val="single" w:sz="4" w:space="0" w:color="auto"/>
            </w:tcBorders>
            <w:shd w:val="clear" w:color="auto" w:fill="auto"/>
            <w:vAlign w:val="center"/>
            <w:hideMark/>
          </w:tcPr>
          <w:p w14:paraId="4C758DB0" w14:textId="77777777" w:rsidR="002C2C02" w:rsidRPr="002C2C02" w:rsidRDefault="002C2C02" w:rsidP="002C2C02">
            <w:pPr>
              <w:spacing w:after="0" w:line="240" w:lineRule="auto"/>
              <w:rPr>
                <w:rFonts w:ascii="Arial" w:eastAsia="Times New Roman" w:hAnsi="Arial" w:cs="Arial"/>
                <w:color w:val="000000"/>
                <w:sz w:val="20"/>
                <w:szCs w:val="20"/>
              </w:rPr>
            </w:pPr>
            <w:r w:rsidRPr="002C2C02">
              <w:rPr>
                <w:rFonts w:ascii="Arial" w:eastAsia="Times New Roman" w:hAnsi="Arial" w:cs="Arial"/>
                <w:color w:val="000000"/>
                <w:sz w:val="20"/>
                <w:szCs w:val="20"/>
              </w:rPr>
              <w:t>Implementer 3rd Party Ombudsman (row 17)</w:t>
            </w:r>
          </w:p>
        </w:tc>
        <w:tc>
          <w:tcPr>
            <w:tcW w:w="3330" w:type="dxa"/>
            <w:tcBorders>
              <w:top w:val="nil"/>
              <w:left w:val="nil"/>
              <w:bottom w:val="single" w:sz="4" w:space="0" w:color="auto"/>
              <w:right w:val="single" w:sz="4" w:space="0" w:color="auto"/>
            </w:tcBorders>
            <w:shd w:val="clear" w:color="000000" w:fill="FB8C89"/>
            <w:vAlign w:val="center"/>
            <w:hideMark/>
          </w:tcPr>
          <w:p w14:paraId="54C96C42" w14:textId="0756E513" w:rsidR="002C2C02" w:rsidRPr="002C2C02" w:rsidRDefault="002C2C02" w:rsidP="002C2C02">
            <w:pPr>
              <w:spacing w:after="0" w:line="240" w:lineRule="auto"/>
              <w:rPr>
                <w:rFonts w:ascii="Arial" w:eastAsia="Times New Roman" w:hAnsi="Arial" w:cs="Arial"/>
                <w:color w:val="000000"/>
                <w:sz w:val="20"/>
                <w:szCs w:val="20"/>
              </w:rPr>
            </w:pPr>
            <w:r w:rsidRPr="002C2C02">
              <w:rPr>
                <w:rFonts w:ascii="Arial" w:eastAsia="Times New Roman" w:hAnsi="Arial" w:cs="Arial"/>
                <w:color w:val="000000"/>
                <w:sz w:val="20"/>
                <w:szCs w:val="20"/>
              </w:rPr>
              <w:t>In accordance with its current stipulated agreement, AIC has designated a liaison support channel for implementers to express concerns or gr</w:t>
            </w:r>
            <w:r>
              <w:rPr>
                <w:rFonts w:ascii="Arial" w:eastAsia="Times New Roman" w:hAnsi="Arial" w:cs="Arial"/>
                <w:color w:val="000000"/>
                <w:sz w:val="20"/>
                <w:szCs w:val="20"/>
              </w:rPr>
              <w:t>ievances</w:t>
            </w:r>
            <w:r w:rsidRPr="002C2C02">
              <w:rPr>
                <w:rFonts w:ascii="Arial" w:eastAsia="Times New Roman" w:hAnsi="Arial" w:cs="Arial"/>
                <w:color w:val="000000"/>
                <w:sz w:val="20"/>
                <w:szCs w:val="20"/>
              </w:rPr>
              <w:t>.  This channel allows AIC to address concerns raised.</w:t>
            </w:r>
          </w:p>
        </w:tc>
        <w:tc>
          <w:tcPr>
            <w:tcW w:w="4320" w:type="dxa"/>
            <w:tcBorders>
              <w:top w:val="nil"/>
              <w:left w:val="nil"/>
              <w:bottom w:val="single" w:sz="4" w:space="0" w:color="auto"/>
              <w:right w:val="single" w:sz="4" w:space="0" w:color="auto"/>
            </w:tcBorders>
            <w:shd w:val="clear" w:color="000000" w:fill="FB8C89"/>
            <w:vAlign w:val="center"/>
            <w:hideMark/>
          </w:tcPr>
          <w:p w14:paraId="4E4AF937" w14:textId="140751DF" w:rsidR="002C2C02" w:rsidRPr="002C2C02" w:rsidRDefault="002C2C02" w:rsidP="002C2C02">
            <w:pPr>
              <w:spacing w:after="0" w:line="240" w:lineRule="auto"/>
              <w:rPr>
                <w:rFonts w:ascii="Arial" w:eastAsia="Times New Roman" w:hAnsi="Arial" w:cs="Arial"/>
                <w:color w:val="000000"/>
                <w:sz w:val="20"/>
                <w:szCs w:val="20"/>
              </w:rPr>
            </w:pPr>
            <w:r w:rsidRPr="002C2C02">
              <w:rPr>
                <w:rFonts w:ascii="Arial" w:eastAsia="Times New Roman" w:hAnsi="Arial" w:cs="Arial"/>
                <w:color w:val="000000"/>
                <w:sz w:val="20"/>
                <w:szCs w:val="20"/>
              </w:rPr>
              <w:t xml:space="preserve">ComEd disagrees with this Idea and struggles to understand the benefit or necessity of such role. We believe adding and paying for an additional company to serve as an Ombudsman, adds layers of administration and costs by adding additional admin burden on utilities with questionable benefit. </w:t>
            </w:r>
            <w:r w:rsidRPr="002C2C02">
              <w:rPr>
                <w:rFonts w:ascii="Arial" w:eastAsia="Times New Roman" w:hAnsi="Arial" w:cs="Arial"/>
                <w:color w:val="000000"/>
                <w:sz w:val="20"/>
                <w:szCs w:val="20"/>
              </w:rPr>
              <w:br/>
            </w:r>
            <w:r w:rsidRPr="002C2C02">
              <w:rPr>
                <w:rFonts w:ascii="Arial" w:eastAsia="Times New Roman" w:hAnsi="Arial" w:cs="Arial"/>
                <w:color w:val="000000"/>
                <w:sz w:val="20"/>
                <w:szCs w:val="20"/>
              </w:rPr>
              <w:br/>
              <w:t>Additionally, we'd like to point out that the Policy Manual says the Program Administrator is responsible for overseeing program ICs and the program implementation process. SAG's role is advisory. This idea blurs the line between the two roles.</w:t>
            </w:r>
          </w:p>
        </w:tc>
        <w:tc>
          <w:tcPr>
            <w:tcW w:w="2160" w:type="dxa"/>
            <w:tcBorders>
              <w:top w:val="nil"/>
              <w:left w:val="nil"/>
              <w:bottom w:val="single" w:sz="4" w:space="0" w:color="auto"/>
              <w:right w:val="single" w:sz="4" w:space="0" w:color="auto"/>
            </w:tcBorders>
            <w:shd w:val="clear" w:color="000000" w:fill="FB8C89"/>
            <w:vAlign w:val="center"/>
            <w:hideMark/>
          </w:tcPr>
          <w:p w14:paraId="2D4799A2" w14:textId="77777777" w:rsidR="002C2C02" w:rsidRPr="002C2C02" w:rsidRDefault="002C2C02" w:rsidP="002C2C02">
            <w:pPr>
              <w:spacing w:after="0" w:line="240" w:lineRule="auto"/>
              <w:rPr>
                <w:rFonts w:ascii="Arial" w:eastAsia="Times New Roman" w:hAnsi="Arial" w:cs="Arial"/>
                <w:sz w:val="20"/>
                <w:szCs w:val="20"/>
              </w:rPr>
            </w:pPr>
            <w:r w:rsidRPr="002C2C02">
              <w:rPr>
                <w:rFonts w:ascii="Arial" w:eastAsia="Times New Roman" w:hAnsi="Arial" w:cs="Arial"/>
                <w:sz w:val="20"/>
                <w:szCs w:val="20"/>
              </w:rPr>
              <w:t xml:space="preserve">What issue are we solving? Is the cost-benefit analysis worth it? </w:t>
            </w:r>
          </w:p>
        </w:tc>
        <w:tc>
          <w:tcPr>
            <w:tcW w:w="2700" w:type="dxa"/>
            <w:tcBorders>
              <w:top w:val="nil"/>
              <w:left w:val="nil"/>
              <w:bottom w:val="single" w:sz="4" w:space="0" w:color="auto"/>
              <w:right w:val="single" w:sz="4" w:space="0" w:color="auto"/>
            </w:tcBorders>
            <w:shd w:val="clear" w:color="FFFFFF" w:fill="FB8C89"/>
            <w:vAlign w:val="center"/>
            <w:hideMark/>
          </w:tcPr>
          <w:p w14:paraId="2EDDAFD9" w14:textId="77777777" w:rsidR="002C2C02" w:rsidRPr="002C2C02" w:rsidRDefault="002C2C02" w:rsidP="002C2C02">
            <w:pPr>
              <w:spacing w:after="0" w:line="240" w:lineRule="auto"/>
              <w:rPr>
                <w:rFonts w:ascii="Arial" w:eastAsia="Times New Roman" w:hAnsi="Arial" w:cs="Arial"/>
                <w:sz w:val="20"/>
                <w:szCs w:val="20"/>
              </w:rPr>
            </w:pPr>
            <w:r w:rsidRPr="002C2C02">
              <w:rPr>
                <w:rFonts w:ascii="Arial" w:eastAsia="Times New Roman" w:hAnsi="Arial" w:cs="Arial"/>
                <w:sz w:val="20"/>
                <w:szCs w:val="20"/>
              </w:rPr>
              <w:t>PGL/NSG believes this is an unnecessary administrative expense. We do conduct regular Trade Ally surveys for feedback and responses can remain anonymous.</w:t>
            </w:r>
          </w:p>
        </w:tc>
      </w:tr>
      <w:tr w:rsidR="002C2C02" w:rsidRPr="002C2C02" w14:paraId="735D7C5E" w14:textId="77777777" w:rsidTr="00140966">
        <w:trPr>
          <w:trHeight w:val="2750"/>
        </w:trPr>
        <w:tc>
          <w:tcPr>
            <w:tcW w:w="2070" w:type="dxa"/>
            <w:tcBorders>
              <w:top w:val="nil"/>
              <w:left w:val="single" w:sz="4" w:space="0" w:color="auto"/>
              <w:bottom w:val="single" w:sz="4" w:space="0" w:color="auto"/>
              <w:right w:val="single" w:sz="4" w:space="0" w:color="auto"/>
            </w:tcBorders>
            <w:shd w:val="clear" w:color="auto" w:fill="auto"/>
            <w:vAlign w:val="center"/>
            <w:hideMark/>
          </w:tcPr>
          <w:p w14:paraId="3BA69E60" w14:textId="77777777" w:rsidR="002C2C02" w:rsidRPr="002C2C02" w:rsidRDefault="002C2C02" w:rsidP="002C2C02">
            <w:pPr>
              <w:spacing w:after="0" w:line="240" w:lineRule="auto"/>
              <w:rPr>
                <w:rFonts w:ascii="Arial" w:eastAsia="Times New Roman" w:hAnsi="Arial" w:cs="Arial"/>
                <w:color w:val="000000"/>
                <w:sz w:val="20"/>
                <w:szCs w:val="20"/>
              </w:rPr>
            </w:pPr>
            <w:r w:rsidRPr="002C2C02">
              <w:rPr>
                <w:rFonts w:ascii="Arial" w:eastAsia="Times New Roman" w:hAnsi="Arial" w:cs="Arial"/>
                <w:color w:val="000000"/>
                <w:sz w:val="20"/>
                <w:szCs w:val="20"/>
              </w:rPr>
              <w:lastRenderedPageBreak/>
              <w:t>Diverse contracting (row 18)</w:t>
            </w:r>
          </w:p>
        </w:tc>
        <w:tc>
          <w:tcPr>
            <w:tcW w:w="3330" w:type="dxa"/>
            <w:tcBorders>
              <w:top w:val="nil"/>
              <w:left w:val="nil"/>
              <w:bottom w:val="single" w:sz="4" w:space="0" w:color="auto"/>
              <w:right w:val="single" w:sz="4" w:space="0" w:color="auto"/>
            </w:tcBorders>
            <w:shd w:val="clear" w:color="000000" w:fill="C6E0B4"/>
            <w:vAlign w:val="center"/>
            <w:hideMark/>
          </w:tcPr>
          <w:p w14:paraId="0216A03F" w14:textId="77777777" w:rsidR="002C2C02" w:rsidRPr="002C2C02" w:rsidRDefault="002C2C02" w:rsidP="002C2C02">
            <w:pPr>
              <w:spacing w:after="0" w:line="240" w:lineRule="auto"/>
              <w:rPr>
                <w:rFonts w:ascii="Arial" w:eastAsia="Times New Roman" w:hAnsi="Arial" w:cs="Arial"/>
                <w:color w:val="000000"/>
                <w:sz w:val="20"/>
                <w:szCs w:val="20"/>
              </w:rPr>
            </w:pPr>
            <w:r w:rsidRPr="002C2C02">
              <w:rPr>
                <w:rFonts w:ascii="Arial" w:eastAsia="Times New Roman" w:hAnsi="Arial" w:cs="Arial"/>
                <w:color w:val="000000"/>
                <w:sz w:val="20"/>
                <w:szCs w:val="20"/>
              </w:rPr>
              <w:t>Ameren Illinois developed the MDI program to grow local/diverse workforce and employ those vendors in program implementation. As a result, AIC has created tremendous growth of the local/diverse workforce.</w:t>
            </w:r>
          </w:p>
        </w:tc>
        <w:tc>
          <w:tcPr>
            <w:tcW w:w="4320" w:type="dxa"/>
            <w:tcBorders>
              <w:top w:val="nil"/>
              <w:left w:val="nil"/>
              <w:bottom w:val="single" w:sz="4" w:space="0" w:color="auto"/>
              <w:right w:val="single" w:sz="4" w:space="0" w:color="auto"/>
            </w:tcBorders>
            <w:shd w:val="clear" w:color="D9E1F2" w:fill="E2EFDA"/>
            <w:vAlign w:val="center"/>
            <w:hideMark/>
          </w:tcPr>
          <w:p w14:paraId="390E3C6C" w14:textId="77777777" w:rsidR="002C2C02" w:rsidRPr="002C2C02" w:rsidRDefault="002C2C02" w:rsidP="002C2C02">
            <w:pPr>
              <w:spacing w:after="0" w:line="240" w:lineRule="auto"/>
              <w:rPr>
                <w:rFonts w:ascii="Arial" w:eastAsia="Times New Roman" w:hAnsi="Arial" w:cs="Arial"/>
                <w:color w:val="000000"/>
                <w:sz w:val="20"/>
                <w:szCs w:val="20"/>
              </w:rPr>
            </w:pPr>
            <w:r w:rsidRPr="002C2C02">
              <w:rPr>
                <w:rFonts w:ascii="Arial" w:eastAsia="Times New Roman" w:hAnsi="Arial" w:cs="Arial"/>
                <w:color w:val="000000"/>
                <w:sz w:val="20"/>
                <w:szCs w:val="20"/>
              </w:rPr>
              <w:t>As far as it pertains to presence, resources and services provided to our customers, all of our ICs and service providers are local. Contracting with companies that have a local presence bolsters job creation and wage growth in the local economy. Results from the CY2022 Economic Non-Energy Impact (NEI) analysis indicate that the ComEd energy efficiency portfolio generated 16,454 job-years, $1.14B in total labor income, and $4.05B in industry output in 2022, the most recent year for which data was available.</w:t>
            </w:r>
          </w:p>
        </w:tc>
        <w:tc>
          <w:tcPr>
            <w:tcW w:w="2160" w:type="dxa"/>
            <w:tcBorders>
              <w:top w:val="nil"/>
              <w:left w:val="nil"/>
              <w:bottom w:val="single" w:sz="4" w:space="0" w:color="auto"/>
              <w:right w:val="single" w:sz="4" w:space="0" w:color="auto"/>
            </w:tcBorders>
            <w:shd w:val="clear" w:color="000000" w:fill="FB8C89"/>
            <w:vAlign w:val="center"/>
            <w:hideMark/>
          </w:tcPr>
          <w:p w14:paraId="7230C32A" w14:textId="77777777" w:rsidR="002C2C02" w:rsidRPr="002C2C02" w:rsidRDefault="002C2C02" w:rsidP="002C2C02">
            <w:pPr>
              <w:spacing w:after="0" w:line="240" w:lineRule="auto"/>
              <w:rPr>
                <w:rFonts w:ascii="Arial" w:eastAsia="Times New Roman" w:hAnsi="Arial" w:cs="Arial"/>
                <w:sz w:val="20"/>
                <w:szCs w:val="20"/>
              </w:rPr>
            </w:pPr>
            <w:r w:rsidRPr="002C2C02">
              <w:rPr>
                <w:rFonts w:ascii="Arial" w:eastAsia="Times New Roman" w:hAnsi="Arial" w:cs="Arial"/>
                <w:sz w:val="20"/>
                <w:szCs w:val="20"/>
              </w:rPr>
              <w:t>Most important aspect is having local offices/employees vs. incorporation state</w:t>
            </w:r>
          </w:p>
        </w:tc>
        <w:tc>
          <w:tcPr>
            <w:tcW w:w="2700" w:type="dxa"/>
            <w:tcBorders>
              <w:top w:val="nil"/>
              <w:left w:val="nil"/>
              <w:bottom w:val="single" w:sz="4" w:space="0" w:color="auto"/>
              <w:right w:val="single" w:sz="4" w:space="0" w:color="auto"/>
            </w:tcBorders>
            <w:shd w:val="clear" w:color="FFFFFF" w:fill="FB8C89"/>
            <w:vAlign w:val="center"/>
            <w:hideMark/>
          </w:tcPr>
          <w:p w14:paraId="53BC217C" w14:textId="77777777" w:rsidR="002C2C02" w:rsidRPr="002C2C02" w:rsidRDefault="002C2C02" w:rsidP="002C2C02">
            <w:pPr>
              <w:spacing w:after="0" w:line="240" w:lineRule="auto"/>
              <w:rPr>
                <w:rFonts w:ascii="Arial" w:eastAsia="Times New Roman" w:hAnsi="Arial" w:cs="Arial"/>
                <w:sz w:val="20"/>
                <w:szCs w:val="20"/>
              </w:rPr>
            </w:pPr>
            <w:r w:rsidRPr="002C2C02">
              <w:rPr>
                <w:rFonts w:ascii="Arial" w:eastAsia="Times New Roman" w:hAnsi="Arial" w:cs="Arial"/>
                <w:sz w:val="20"/>
                <w:szCs w:val="20"/>
              </w:rPr>
              <w:t>PGL/NSG supports diverse contracting and largely leverages implementers that have an Illinois office and utilize Illinois workforce.</w:t>
            </w:r>
          </w:p>
        </w:tc>
      </w:tr>
      <w:tr w:rsidR="002C2C02" w:rsidRPr="002C2C02" w14:paraId="1BA3B201" w14:textId="77777777" w:rsidTr="00140966">
        <w:trPr>
          <w:trHeight w:val="2000"/>
        </w:trPr>
        <w:tc>
          <w:tcPr>
            <w:tcW w:w="2070" w:type="dxa"/>
            <w:tcBorders>
              <w:top w:val="nil"/>
              <w:left w:val="single" w:sz="4" w:space="0" w:color="auto"/>
              <w:bottom w:val="single" w:sz="4" w:space="0" w:color="auto"/>
              <w:right w:val="single" w:sz="4" w:space="0" w:color="auto"/>
            </w:tcBorders>
            <w:shd w:val="clear" w:color="auto" w:fill="auto"/>
            <w:vAlign w:val="center"/>
            <w:hideMark/>
          </w:tcPr>
          <w:p w14:paraId="647918AF" w14:textId="77777777" w:rsidR="002C2C02" w:rsidRPr="002C2C02" w:rsidRDefault="002C2C02" w:rsidP="002C2C02">
            <w:pPr>
              <w:spacing w:after="0" w:line="240" w:lineRule="auto"/>
              <w:rPr>
                <w:rFonts w:ascii="Arial" w:eastAsia="Times New Roman" w:hAnsi="Arial" w:cs="Arial"/>
                <w:color w:val="000000"/>
                <w:sz w:val="20"/>
                <w:szCs w:val="20"/>
              </w:rPr>
            </w:pPr>
            <w:r w:rsidRPr="002C2C02">
              <w:rPr>
                <w:rFonts w:ascii="Arial" w:eastAsia="Times New Roman" w:hAnsi="Arial" w:cs="Arial"/>
                <w:color w:val="000000"/>
                <w:sz w:val="20"/>
                <w:szCs w:val="20"/>
              </w:rPr>
              <w:t>Transparency provisions on contracting (row 19)</w:t>
            </w:r>
          </w:p>
        </w:tc>
        <w:tc>
          <w:tcPr>
            <w:tcW w:w="3330" w:type="dxa"/>
            <w:tcBorders>
              <w:top w:val="nil"/>
              <w:left w:val="nil"/>
              <w:bottom w:val="single" w:sz="4" w:space="0" w:color="auto"/>
              <w:right w:val="single" w:sz="4" w:space="0" w:color="auto"/>
            </w:tcBorders>
            <w:shd w:val="clear" w:color="000000" w:fill="FB8C89"/>
            <w:vAlign w:val="center"/>
            <w:hideMark/>
          </w:tcPr>
          <w:p w14:paraId="14B4D934" w14:textId="77777777" w:rsidR="002C2C02" w:rsidRPr="002C2C02" w:rsidRDefault="002C2C02" w:rsidP="002C2C02">
            <w:pPr>
              <w:spacing w:after="0" w:line="240" w:lineRule="auto"/>
              <w:rPr>
                <w:rFonts w:ascii="Arial" w:eastAsia="Times New Roman" w:hAnsi="Arial" w:cs="Arial"/>
                <w:color w:val="000000"/>
                <w:sz w:val="20"/>
                <w:szCs w:val="20"/>
              </w:rPr>
            </w:pPr>
            <w:r w:rsidRPr="002C2C02">
              <w:rPr>
                <w:rFonts w:ascii="Arial" w:eastAsia="Times New Roman" w:hAnsi="Arial" w:cs="Arial"/>
                <w:color w:val="000000"/>
                <w:sz w:val="20"/>
                <w:szCs w:val="20"/>
              </w:rPr>
              <w:t>AIC is not supportive of ideas that limits its ability to fulfill its statutory obligations, nor does it support ideas that expand the stakeholder role defined in the IL EE policy manual</w:t>
            </w:r>
          </w:p>
        </w:tc>
        <w:tc>
          <w:tcPr>
            <w:tcW w:w="4320" w:type="dxa"/>
            <w:tcBorders>
              <w:top w:val="nil"/>
              <w:left w:val="nil"/>
              <w:bottom w:val="single" w:sz="4" w:space="0" w:color="auto"/>
              <w:right w:val="single" w:sz="4" w:space="0" w:color="auto"/>
            </w:tcBorders>
            <w:shd w:val="clear" w:color="000000" w:fill="FB8C89"/>
            <w:vAlign w:val="center"/>
            <w:hideMark/>
          </w:tcPr>
          <w:p w14:paraId="78FD5B61" w14:textId="732130BC" w:rsidR="002C2C02" w:rsidRPr="002C2C02" w:rsidRDefault="002C2C02" w:rsidP="002C2C02">
            <w:pPr>
              <w:spacing w:after="0" w:line="240" w:lineRule="auto"/>
              <w:rPr>
                <w:rFonts w:ascii="Arial" w:eastAsia="Times New Roman" w:hAnsi="Arial" w:cs="Arial"/>
                <w:color w:val="000000"/>
                <w:sz w:val="20"/>
                <w:szCs w:val="20"/>
              </w:rPr>
            </w:pPr>
            <w:r w:rsidRPr="002C2C02">
              <w:rPr>
                <w:rFonts w:ascii="Arial" w:eastAsia="Times New Roman" w:hAnsi="Arial" w:cs="Arial"/>
                <w:color w:val="000000"/>
                <w:sz w:val="20"/>
                <w:szCs w:val="20"/>
              </w:rPr>
              <w:t xml:space="preserve">ComEd cannot allow outside parties to participate in our internal contracting process. </w:t>
            </w:r>
            <w:r w:rsidR="00782241" w:rsidRPr="002C2C02">
              <w:rPr>
                <w:rFonts w:ascii="Arial" w:eastAsia="Times New Roman" w:hAnsi="Arial" w:cs="Arial"/>
                <w:color w:val="000000"/>
                <w:sz w:val="20"/>
                <w:szCs w:val="20"/>
              </w:rPr>
              <w:t>Additionally,</w:t>
            </w:r>
            <w:r w:rsidRPr="002C2C02">
              <w:rPr>
                <w:rFonts w:ascii="Arial" w:eastAsia="Times New Roman" w:hAnsi="Arial" w:cs="Arial"/>
                <w:color w:val="000000"/>
                <w:sz w:val="20"/>
                <w:szCs w:val="20"/>
              </w:rPr>
              <w:t xml:space="preserve"> we'd like to point out that the Policy Manual says the Program Administrator is responsible for overseeing program ICs and the program implementation process. SAG's role is advisory. This idea blurs the line between the two roles.</w:t>
            </w:r>
          </w:p>
        </w:tc>
        <w:tc>
          <w:tcPr>
            <w:tcW w:w="2160" w:type="dxa"/>
            <w:tcBorders>
              <w:top w:val="nil"/>
              <w:left w:val="nil"/>
              <w:bottom w:val="single" w:sz="4" w:space="0" w:color="auto"/>
              <w:right w:val="single" w:sz="4" w:space="0" w:color="auto"/>
            </w:tcBorders>
            <w:shd w:val="clear" w:color="000000" w:fill="FB8C89"/>
            <w:vAlign w:val="center"/>
            <w:hideMark/>
          </w:tcPr>
          <w:p w14:paraId="2AA7A0FC" w14:textId="77777777" w:rsidR="002C2C02" w:rsidRPr="002C2C02" w:rsidRDefault="002C2C02" w:rsidP="002C2C02">
            <w:pPr>
              <w:spacing w:after="0" w:line="240" w:lineRule="auto"/>
              <w:rPr>
                <w:rFonts w:ascii="Arial" w:eastAsia="Times New Roman" w:hAnsi="Arial" w:cs="Arial"/>
                <w:sz w:val="20"/>
                <w:szCs w:val="20"/>
              </w:rPr>
            </w:pPr>
            <w:r w:rsidRPr="002C2C02">
              <w:rPr>
                <w:rFonts w:ascii="Arial" w:eastAsia="Times New Roman" w:hAnsi="Arial" w:cs="Arial"/>
                <w:sz w:val="20"/>
                <w:szCs w:val="20"/>
              </w:rPr>
              <w:t>Goes beyond EE and this a corporate business practice.</w:t>
            </w:r>
          </w:p>
        </w:tc>
        <w:tc>
          <w:tcPr>
            <w:tcW w:w="2700" w:type="dxa"/>
            <w:tcBorders>
              <w:top w:val="nil"/>
              <w:left w:val="nil"/>
              <w:bottom w:val="single" w:sz="4" w:space="0" w:color="auto"/>
              <w:right w:val="single" w:sz="4" w:space="0" w:color="auto"/>
            </w:tcBorders>
            <w:shd w:val="clear" w:color="FFFFFF" w:fill="FB8C89"/>
            <w:vAlign w:val="center"/>
            <w:hideMark/>
          </w:tcPr>
          <w:p w14:paraId="7BD7AA0D" w14:textId="77777777" w:rsidR="002C2C02" w:rsidRPr="002C2C02" w:rsidRDefault="002C2C02" w:rsidP="002C2C02">
            <w:pPr>
              <w:spacing w:after="0" w:line="240" w:lineRule="auto"/>
              <w:rPr>
                <w:rFonts w:ascii="Arial" w:eastAsia="Times New Roman" w:hAnsi="Arial" w:cs="Arial"/>
                <w:sz w:val="20"/>
                <w:szCs w:val="20"/>
              </w:rPr>
            </w:pPr>
            <w:r w:rsidRPr="002C2C02">
              <w:rPr>
                <w:rFonts w:ascii="Arial" w:eastAsia="Times New Roman" w:hAnsi="Arial" w:cs="Arial"/>
                <w:sz w:val="20"/>
                <w:szCs w:val="20"/>
              </w:rPr>
              <w:t>PGL/NSG follows corporate procurement requirements for all RFPs.</w:t>
            </w:r>
          </w:p>
        </w:tc>
      </w:tr>
      <w:tr w:rsidR="002C2C02" w:rsidRPr="002C2C02" w14:paraId="0360A93D" w14:textId="77777777" w:rsidTr="00140966">
        <w:trPr>
          <w:trHeight w:val="1500"/>
        </w:trPr>
        <w:tc>
          <w:tcPr>
            <w:tcW w:w="2070" w:type="dxa"/>
            <w:tcBorders>
              <w:top w:val="nil"/>
              <w:left w:val="single" w:sz="4" w:space="0" w:color="auto"/>
              <w:bottom w:val="single" w:sz="4" w:space="0" w:color="auto"/>
              <w:right w:val="single" w:sz="4" w:space="0" w:color="auto"/>
            </w:tcBorders>
            <w:shd w:val="clear" w:color="auto" w:fill="auto"/>
            <w:vAlign w:val="center"/>
            <w:hideMark/>
          </w:tcPr>
          <w:p w14:paraId="71F09ECF" w14:textId="77777777" w:rsidR="002C2C02" w:rsidRPr="002C2C02" w:rsidRDefault="002C2C02" w:rsidP="002C2C02">
            <w:pPr>
              <w:spacing w:after="0" w:line="240" w:lineRule="auto"/>
              <w:rPr>
                <w:rFonts w:ascii="Arial" w:eastAsia="Times New Roman" w:hAnsi="Arial" w:cs="Arial"/>
                <w:color w:val="000000"/>
                <w:sz w:val="20"/>
                <w:szCs w:val="20"/>
              </w:rPr>
            </w:pPr>
            <w:r w:rsidRPr="002C2C02">
              <w:rPr>
                <w:rFonts w:ascii="Arial" w:eastAsia="Times New Roman" w:hAnsi="Arial" w:cs="Arial"/>
                <w:color w:val="000000"/>
                <w:sz w:val="20"/>
                <w:szCs w:val="20"/>
              </w:rPr>
              <w:t>Non-Profit Bidding (row 37)</w:t>
            </w:r>
          </w:p>
        </w:tc>
        <w:tc>
          <w:tcPr>
            <w:tcW w:w="3330" w:type="dxa"/>
            <w:tcBorders>
              <w:top w:val="nil"/>
              <w:left w:val="nil"/>
              <w:bottom w:val="single" w:sz="4" w:space="0" w:color="auto"/>
              <w:right w:val="single" w:sz="4" w:space="0" w:color="auto"/>
            </w:tcBorders>
            <w:shd w:val="clear" w:color="000000" w:fill="C6E0B4"/>
            <w:vAlign w:val="center"/>
            <w:hideMark/>
          </w:tcPr>
          <w:p w14:paraId="37097239" w14:textId="77777777" w:rsidR="002C2C02" w:rsidRPr="002C2C02" w:rsidRDefault="002C2C02" w:rsidP="002C2C02">
            <w:pPr>
              <w:spacing w:after="0" w:line="240" w:lineRule="auto"/>
              <w:rPr>
                <w:rFonts w:ascii="Arial" w:eastAsia="Times New Roman" w:hAnsi="Arial" w:cs="Arial"/>
                <w:color w:val="000000"/>
                <w:sz w:val="20"/>
                <w:szCs w:val="20"/>
              </w:rPr>
            </w:pPr>
            <w:r w:rsidRPr="002C2C02">
              <w:rPr>
                <w:rFonts w:ascii="Arial" w:eastAsia="Times New Roman" w:hAnsi="Arial" w:cs="Arial"/>
                <w:color w:val="000000"/>
                <w:sz w:val="20"/>
                <w:szCs w:val="20"/>
              </w:rPr>
              <w:t>AIC supports scoring criteria that show preference to non-profits when services are bid out.</w:t>
            </w:r>
          </w:p>
        </w:tc>
        <w:tc>
          <w:tcPr>
            <w:tcW w:w="4320" w:type="dxa"/>
            <w:tcBorders>
              <w:top w:val="nil"/>
              <w:left w:val="nil"/>
              <w:bottom w:val="single" w:sz="4" w:space="0" w:color="auto"/>
              <w:right w:val="single" w:sz="4" w:space="0" w:color="auto"/>
            </w:tcBorders>
            <w:shd w:val="clear" w:color="000000" w:fill="FB8C89"/>
            <w:vAlign w:val="center"/>
            <w:hideMark/>
          </w:tcPr>
          <w:p w14:paraId="006FB47A" w14:textId="253D891E" w:rsidR="002C2C02" w:rsidRPr="002C2C02" w:rsidRDefault="002C2C02" w:rsidP="002C2C02">
            <w:pPr>
              <w:spacing w:after="0" w:line="240" w:lineRule="auto"/>
              <w:rPr>
                <w:rFonts w:ascii="Arial" w:eastAsia="Times New Roman" w:hAnsi="Arial" w:cs="Arial"/>
                <w:sz w:val="20"/>
                <w:szCs w:val="20"/>
              </w:rPr>
            </w:pPr>
            <w:r w:rsidRPr="002C2C02">
              <w:rPr>
                <w:rFonts w:ascii="Arial" w:eastAsia="Times New Roman" w:hAnsi="Arial" w:cs="Arial"/>
                <w:sz w:val="20"/>
                <w:szCs w:val="20"/>
              </w:rPr>
              <w:t xml:space="preserve">ComEd has </w:t>
            </w:r>
            <w:r w:rsidR="006D2682" w:rsidRPr="002C2C02">
              <w:rPr>
                <w:rFonts w:ascii="Arial" w:eastAsia="Times New Roman" w:hAnsi="Arial" w:cs="Arial"/>
                <w:sz w:val="20"/>
                <w:szCs w:val="20"/>
              </w:rPr>
              <w:t>its</w:t>
            </w:r>
            <w:r w:rsidRPr="002C2C02">
              <w:rPr>
                <w:rFonts w:ascii="Arial" w:eastAsia="Times New Roman" w:hAnsi="Arial" w:cs="Arial"/>
                <w:sz w:val="20"/>
                <w:szCs w:val="20"/>
              </w:rPr>
              <w:t xml:space="preserve"> own policies for bidding and providing special consideration for diverse and local contractors, we will continue to follow those internal policies. </w:t>
            </w:r>
          </w:p>
        </w:tc>
        <w:tc>
          <w:tcPr>
            <w:tcW w:w="2160" w:type="dxa"/>
            <w:tcBorders>
              <w:top w:val="nil"/>
              <w:left w:val="nil"/>
              <w:bottom w:val="single" w:sz="4" w:space="0" w:color="auto"/>
              <w:right w:val="single" w:sz="4" w:space="0" w:color="auto"/>
            </w:tcBorders>
            <w:shd w:val="clear" w:color="000000" w:fill="FFFF00"/>
            <w:vAlign w:val="center"/>
            <w:hideMark/>
          </w:tcPr>
          <w:p w14:paraId="586B4F89" w14:textId="77777777" w:rsidR="002C2C02" w:rsidRPr="002C2C02" w:rsidRDefault="002C2C02" w:rsidP="002C2C02">
            <w:pPr>
              <w:spacing w:after="0" w:line="240" w:lineRule="auto"/>
              <w:rPr>
                <w:rFonts w:ascii="Arial" w:eastAsia="Times New Roman" w:hAnsi="Arial" w:cs="Arial"/>
                <w:color w:val="000000"/>
                <w:sz w:val="20"/>
                <w:szCs w:val="20"/>
              </w:rPr>
            </w:pPr>
            <w:r w:rsidRPr="002C2C02">
              <w:rPr>
                <w:rFonts w:ascii="Arial" w:eastAsia="Times New Roman" w:hAnsi="Arial" w:cs="Arial"/>
                <w:color w:val="000000"/>
                <w:sz w:val="20"/>
                <w:szCs w:val="20"/>
              </w:rPr>
              <w:t>Will need to assess with corporate-wide supplier diversity. There are concerns about the definition of "local."</w:t>
            </w:r>
          </w:p>
        </w:tc>
        <w:tc>
          <w:tcPr>
            <w:tcW w:w="2700" w:type="dxa"/>
            <w:tcBorders>
              <w:top w:val="nil"/>
              <w:left w:val="nil"/>
              <w:bottom w:val="single" w:sz="4" w:space="0" w:color="auto"/>
              <w:right w:val="single" w:sz="4" w:space="0" w:color="auto"/>
            </w:tcBorders>
            <w:shd w:val="clear" w:color="FFFFFF" w:fill="FB8C89"/>
            <w:vAlign w:val="center"/>
            <w:hideMark/>
          </w:tcPr>
          <w:p w14:paraId="27D722D9" w14:textId="77777777" w:rsidR="002C2C02" w:rsidRPr="002C2C02" w:rsidRDefault="002C2C02" w:rsidP="002C2C02">
            <w:pPr>
              <w:spacing w:after="0" w:line="240" w:lineRule="auto"/>
              <w:rPr>
                <w:rFonts w:ascii="Arial" w:eastAsia="Times New Roman" w:hAnsi="Arial" w:cs="Arial"/>
                <w:sz w:val="20"/>
                <w:szCs w:val="20"/>
              </w:rPr>
            </w:pPr>
            <w:r w:rsidRPr="002C2C02">
              <w:rPr>
                <w:rFonts w:ascii="Arial" w:eastAsia="Times New Roman" w:hAnsi="Arial" w:cs="Arial"/>
                <w:sz w:val="20"/>
                <w:szCs w:val="20"/>
              </w:rPr>
              <w:t>PGL/NSG follows corporate procurement requirements for all RFPs.</w:t>
            </w:r>
          </w:p>
        </w:tc>
      </w:tr>
    </w:tbl>
    <w:p w14:paraId="274AD3A0" w14:textId="77777777" w:rsidR="00C021F0" w:rsidRDefault="00C021F0" w:rsidP="00F41F42">
      <w:pPr>
        <w:spacing w:after="0" w:line="240" w:lineRule="auto"/>
        <w:rPr>
          <w:rFonts w:ascii="Arial" w:eastAsia="Calibri" w:hAnsi="Arial" w:cs="Arial"/>
          <w:b/>
          <w:sz w:val="21"/>
          <w:szCs w:val="21"/>
        </w:rPr>
      </w:pPr>
    </w:p>
    <w:p w14:paraId="21264077" w14:textId="77777777" w:rsidR="00AD0C92" w:rsidRDefault="00AD0C92" w:rsidP="00F41F42">
      <w:pPr>
        <w:spacing w:after="0" w:line="240" w:lineRule="auto"/>
        <w:rPr>
          <w:rFonts w:ascii="Arial" w:eastAsia="Calibri" w:hAnsi="Arial" w:cs="Arial"/>
          <w:b/>
          <w:sz w:val="21"/>
          <w:szCs w:val="21"/>
        </w:rPr>
      </w:pPr>
    </w:p>
    <w:p w14:paraId="016CDCCB" w14:textId="77777777" w:rsidR="00AD0C92" w:rsidRDefault="00AD0C92" w:rsidP="00F41F42">
      <w:pPr>
        <w:spacing w:after="0" w:line="240" w:lineRule="auto"/>
        <w:rPr>
          <w:rFonts w:ascii="Arial" w:eastAsia="Calibri" w:hAnsi="Arial" w:cs="Arial"/>
          <w:b/>
          <w:sz w:val="21"/>
          <w:szCs w:val="21"/>
        </w:rPr>
      </w:pPr>
    </w:p>
    <w:p w14:paraId="7FFC69DC" w14:textId="77777777" w:rsidR="00AD0C92" w:rsidRDefault="00AD0C92" w:rsidP="00F41F42">
      <w:pPr>
        <w:spacing w:after="0" w:line="240" w:lineRule="auto"/>
        <w:rPr>
          <w:rFonts w:ascii="Arial" w:eastAsia="Calibri" w:hAnsi="Arial" w:cs="Arial"/>
          <w:b/>
          <w:sz w:val="21"/>
          <w:szCs w:val="21"/>
        </w:rPr>
      </w:pPr>
    </w:p>
    <w:p w14:paraId="7D1CB15D" w14:textId="77777777" w:rsidR="00AD0C92" w:rsidRDefault="00AD0C92" w:rsidP="00F41F42">
      <w:pPr>
        <w:spacing w:after="0" w:line="240" w:lineRule="auto"/>
        <w:rPr>
          <w:rFonts w:ascii="Arial" w:eastAsia="Calibri" w:hAnsi="Arial" w:cs="Arial"/>
          <w:b/>
          <w:sz w:val="21"/>
          <w:szCs w:val="21"/>
        </w:rPr>
      </w:pPr>
    </w:p>
    <w:p w14:paraId="6BC0B234" w14:textId="77777777" w:rsidR="00AD0C92" w:rsidRDefault="00AD0C92" w:rsidP="00F41F42">
      <w:pPr>
        <w:spacing w:after="0" w:line="240" w:lineRule="auto"/>
        <w:rPr>
          <w:rFonts w:ascii="Arial" w:eastAsia="Calibri" w:hAnsi="Arial" w:cs="Arial"/>
          <w:b/>
          <w:sz w:val="21"/>
          <w:szCs w:val="21"/>
        </w:rPr>
      </w:pPr>
    </w:p>
    <w:p w14:paraId="33C3880D" w14:textId="77777777" w:rsidR="00AD0C92" w:rsidRDefault="00AD0C92" w:rsidP="00F41F42">
      <w:pPr>
        <w:spacing w:after="0" w:line="240" w:lineRule="auto"/>
        <w:rPr>
          <w:rFonts w:ascii="Arial" w:eastAsia="Calibri" w:hAnsi="Arial" w:cs="Arial"/>
          <w:b/>
          <w:sz w:val="21"/>
          <w:szCs w:val="21"/>
        </w:rPr>
      </w:pPr>
    </w:p>
    <w:p w14:paraId="16908E54" w14:textId="77777777" w:rsidR="00AD0C92" w:rsidRDefault="00AD0C92" w:rsidP="00F41F42">
      <w:pPr>
        <w:spacing w:after="0" w:line="240" w:lineRule="auto"/>
        <w:rPr>
          <w:rFonts w:ascii="Arial" w:eastAsia="Calibri" w:hAnsi="Arial" w:cs="Arial"/>
          <w:b/>
          <w:sz w:val="21"/>
          <w:szCs w:val="21"/>
        </w:rPr>
      </w:pPr>
    </w:p>
    <w:p w14:paraId="1790994F" w14:textId="77777777" w:rsidR="00AD0C92" w:rsidRDefault="00AD0C92" w:rsidP="00F41F42">
      <w:pPr>
        <w:spacing w:after="0" w:line="240" w:lineRule="auto"/>
        <w:rPr>
          <w:rFonts w:ascii="Arial" w:eastAsia="Calibri" w:hAnsi="Arial" w:cs="Arial"/>
          <w:b/>
          <w:sz w:val="21"/>
          <w:szCs w:val="21"/>
        </w:rPr>
      </w:pPr>
    </w:p>
    <w:p w14:paraId="01CE3DD0" w14:textId="77777777" w:rsidR="00AD0C92" w:rsidRDefault="00AD0C92" w:rsidP="00F41F42">
      <w:pPr>
        <w:spacing w:after="0" w:line="240" w:lineRule="auto"/>
        <w:rPr>
          <w:rFonts w:ascii="Arial" w:eastAsia="Calibri" w:hAnsi="Arial" w:cs="Arial"/>
          <w:b/>
          <w:sz w:val="21"/>
          <w:szCs w:val="21"/>
        </w:rPr>
      </w:pPr>
    </w:p>
    <w:p w14:paraId="09B6286B" w14:textId="6AF95BA5" w:rsidR="00F41F42" w:rsidRPr="003B3590" w:rsidRDefault="00F41F42" w:rsidP="00AD0C92">
      <w:pPr>
        <w:spacing w:after="0" w:line="240" w:lineRule="auto"/>
        <w:ind w:left="-720"/>
        <w:rPr>
          <w:rFonts w:ascii="Arial" w:eastAsia="Calibri" w:hAnsi="Arial" w:cs="Arial"/>
          <w:b/>
          <w:sz w:val="24"/>
          <w:szCs w:val="24"/>
        </w:rPr>
      </w:pPr>
      <w:r w:rsidRPr="003B3590">
        <w:rPr>
          <w:rFonts w:ascii="Arial" w:eastAsia="Calibri" w:hAnsi="Arial" w:cs="Arial"/>
          <w:b/>
          <w:sz w:val="24"/>
          <w:szCs w:val="24"/>
        </w:rPr>
        <w:lastRenderedPageBreak/>
        <w:t xml:space="preserve">Joint Stakeholder Cross-Cutting </w:t>
      </w:r>
      <w:r w:rsidR="009019F7">
        <w:rPr>
          <w:rFonts w:ascii="Arial" w:eastAsia="Calibri" w:hAnsi="Arial" w:cs="Arial"/>
          <w:b/>
          <w:sz w:val="24"/>
          <w:szCs w:val="24"/>
        </w:rPr>
        <w:t xml:space="preserve">Process </w:t>
      </w:r>
      <w:r w:rsidRPr="003B3590">
        <w:rPr>
          <w:rFonts w:ascii="Arial" w:eastAsia="Calibri" w:hAnsi="Arial" w:cs="Arial"/>
          <w:b/>
          <w:sz w:val="24"/>
          <w:szCs w:val="24"/>
        </w:rPr>
        <w:t>EE Idea:</w:t>
      </w:r>
    </w:p>
    <w:p w14:paraId="7755D513" w14:textId="6B0ED71C" w:rsidR="00F671AD" w:rsidRDefault="00F671AD" w:rsidP="00AD0C92">
      <w:pPr>
        <w:spacing w:after="0" w:line="240" w:lineRule="auto"/>
        <w:ind w:left="-720"/>
        <w:rPr>
          <w:rFonts w:ascii="Arial" w:eastAsia="Calibri" w:hAnsi="Arial" w:cs="Arial"/>
          <w:bCs/>
          <w:sz w:val="21"/>
          <w:szCs w:val="21"/>
        </w:rPr>
      </w:pPr>
      <w:r w:rsidRPr="00F41F42">
        <w:rPr>
          <w:rFonts w:ascii="Arial" w:eastAsia="Calibri" w:hAnsi="Arial" w:cs="Arial"/>
          <w:bCs/>
          <w:sz w:val="21"/>
          <w:szCs w:val="21"/>
        </w:rPr>
        <w:t>Quarterly Deep Dives from Implementors (EE Idea tracker row 16)</w:t>
      </w:r>
    </w:p>
    <w:p w14:paraId="49491007" w14:textId="77777777" w:rsidR="0093090B" w:rsidRDefault="0093090B" w:rsidP="00F41F42">
      <w:pPr>
        <w:spacing w:after="0" w:line="240" w:lineRule="auto"/>
        <w:rPr>
          <w:rFonts w:ascii="Arial" w:eastAsia="Calibri" w:hAnsi="Arial" w:cs="Arial"/>
          <w:bCs/>
          <w:sz w:val="21"/>
          <w:szCs w:val="21"/>
        </w:rPr>
      </w:pPr>
    </w:p>
    <w:tbl>
      <w:tblPr>
        <w:tblW w:w="14400" w:type="dxa"/>
        <w:tblInd w:w="-635" w:type="dxa"/>
        <w:tblLook w:val="04A0" w:firstRow="1" w:lastRow="0" w:firstColumn="1" w:lastColumn="0" w:noHBand="0" w:noVBand="1"/>
      </w:tblPr>
      <w:tblGrid>
        <w:gridCol w:w="3780"/>
        <w:gridCol w:w="5580"/>
        <w:gridCol w:w="2340"/>
        <w:gridCol w:w="2700"/>
      </w:tblGrid>
      <w:tr w:rsidR="0093090B" w:rsidRPr="0093090B" w14:paraId="6685F5E2" w14:textId="77777777" w:rsidTr="0093090B">
        <w:trPr>
          <w:trHeight w:val="290"/>
        </w:trPr>
        <w:tc>
          <w:tcPr>
            <w:tcW w:w="3780" w:type="dxa"/>
            <w:tcBorders>
              <w:top w:val="single" w:sz="4" w:space="0" w:color="auto"/>
              <w:left w:val="single" w:sz="4" w:space="0" w:color="auto"/>
              <w:bottom w:val="single" w:sz="4" w:space="0" w:color="auto"/>
              <w:right w:val="single" w:sz="4" w:space="0" w:color="auto"/>
            </w:tcBorders>
            <w:shd w:val="clear" w:color="CFE2F3" w:fill="CFE2F3"/>
            <w:vAlign w:val="center"/>
            <w:hideMark/>
          </w:tcPr>
          <w:p w14:paraId="2AD6C60A" w14:textId="77777777" w:rsidR="0093090B" w:rsidRPr="0093090B" w:rsidRDefault="0093090B" w:rsidP="0093090B">
            <w:pPr>
              <w:spacing w:after="0" w:line="240" w:lineRule="auto"/>
              <w:jc w:val="center"/>
              <w:rPr>
                <w:rFonts w:ascii="Arial" w:eastAsia="Times New Roman" w:hAnsi="Arial" w:cs="Arial"/>
                <w:b/>
                <w:bCs/>
                <w:color w:val="000000"/>
                <w:sz w:val="20"/>
                <w:szCs w:val="20"/>
              </w:rPr>
            </w:pPr>
            <w:r w:rsidRPr="0093090B">
              <w:rPr>
                <w:rFonts w:ascii="Arial" w:eastAsia="Times New Roman" w:hAnsi="Arial" w:cs="Arial"/>
                <w:b/>
                <w:bCs/>
                <w:color w:val="000000"/>
                <w:sz w:val="20"/>
                <w:szCs w:val="20"/>
              </w:rPr>
              <w:t xml:space="preserve">Ameren IL Response </w:t>
            </w:r>
          </w:p>
        </w:tc>
        <w:tc>
          <w:tcPr>
            <w:tcW w:w="5580" w:type="dxa"/>
            <w:tcBorders>
              <w:top w:val="single" w:sz="4" w:space="0" w:color="auto"/>
              <w:left w:val="nil"/>
              <w:bottom w:val="single" w:sz="4" w:space="0" w:color="auto"/>
              <w:right w:val="single" w:sz="4" w:space="0" w:color="auto"/>
            </w:tcBorders>
            <w:shd w:val="clear" w:color="CFE2F3" w:fill="CFE2F3"/>
            <w:vAlign w:val="center"/>
            <w:hideMark/>
          </w:tcPr>
          <w:p w14:paraId="0C783A83" w14:textId="77777777" w:rsidR="0093090B" w:rsidRPr="0093090B" w:rsidRDefault="0093090B" w:rsidP="0093090B">
            <w:pPr>
              <w:spacing w:after="0" w:line="240" w:lineRule="auto"/>
              <w:jc w:val="center"/>
              <w:rPr>
                <w:rFonts w:ascii="Arial" w:eastAsia="Times New Roman" w:hAnsi="Arial" w:cs="Arial"/>
                <w:b/>
                <w:bCs/>
                <w:color w:val="000000"/>
                <w:sz w:val="20"/>
                <w:szCs w:val="20"/>
              </w:rPr>
            </w:pPr>
            <w:r w:rsidRPr="0093090B">
              <w:rPr>
                <w:rFonts w:ascii="Arial" w:eastAsia="Times New Roman" w:hAnsi="Arial" w:cs="Arial"/>
                <w:b/>
                <w:bCs/>
                <w:color w:val="000000"/>
                <w:sz w:val="20"/>
                <w:szCs w:val="20"/>
              </w:rPr>
              <w:t xml:space="preserve">ComEd Response </w:t>
            </w:r>
          </w:p>
        </w:tc>
        <w:tc>
          <w:tcPr>
            <w:tcW w:w="2340" w:type="dxa"/>
            <w:tcBorders>
              <w:top w:val="single" w:sz="4" w:space="0" w:color="auto"/>
              <w:left w:val="nil"/>
              <w:bottom w:val="single" w:sz="4" w:space="0" w:color="auto"/>
              <w:right w:val="single" w:sz="4" w:space="0" w:color="auto"/>
            </w:tcBorders>
            <w:shd w:val="clear" w:color="CFE2F3" w:fill="CFE2F3"/>
            <w:vAlign w:val="center"/>
            <w:hideMark/>
          </w:tcPr>
          <w:p w14:paraId="7B697500" w14:textId="77777777" w:rsidR="0093090B" w:rsidRPr="0093090B" w:rsidRDefault="0093090B" w:rsidP="0093090B">
            <w:pPr>
              <w:spacing w:after="0" w:line="240" w:lineRule="auto"/>
              <w:jc w:val="center"/>
              <w:rPr>
                <w:rFonts w:ascii="Arial" w:eastAsia="Times New Roman" w:hAnsi="Arial" w:cs="Arial"/>
                <w:b/>
                <w:bCs/>
                <w:color w:val="000000"/>
                <w:sz w:val="20"/>
                <w:szCs w:val="20"/>
              </w:rPr>
            </w:pPr>
            <w:r w:rsidRPr="0093090B">
              <w:rPr>
                <w:rFonts w:ascii="Arial" w:eastAsia="Times New Roman" w:hAnsi="Arial" w:cs="Arial"/>
                <w:b/>
                <w:bCs/>
                <w:color w:val="000000"/>
                <w:sz w:val="20"/>
                <w:szCs w:val="20"/>
              </w:rPr>
              <w:t xml:space="preserve">Nicor Gas Response </w:t>
            </w:r>
          </w:p>
        </w:tc>
        <w:tc>
          <w:tcPr>
            <w:tcW w:w="2700" w:type="dxa"/>
            <w:tcBorders>
              <w:top w:val="single" w:sz="4" w:space="0" w:color="auto"/>
              <w:left w:val="nil"/>
              <w:bottom w:val="single" w:sz="4" w:space="0" w:color="auto"/>
              <w:right w:val="single" w:sz="4" w:space="0" w:color="auto"/>
            </w:tcBorders>
            <w:shd w:val="clear" w:color="CFE2F3" w:fill="CFE2F3"/>
            <w:vAlign w:val="center"/>
            <w:hideMark/>
          </w:tcPr>
          <w:p w14:paraId="17BA70CC" w14:textId="77777777" w:rsidR="0093090B" w:rsidRPr="0093090B" w:rsidRDefault="0093090B" w:rsidP="0093090B">
            <w:pPr>
              <w:spacing w:after="0" w:line="240" w:lineRule="auto"/>
              <w:jc w:val="center"/>
              <w:rPr>
                <w:rFonts w:ascii="Arial" w:eastAsia="Times New Roman" w:hAnsi="Arial" w:cs="Arial"/>
                <w:b/>
                <w:bCs/>
                <w:color w:val="000000"/>
                <w:sz w:val="20"/>
                <w:szCs w:val="20"/>
              </w:rPr>
            </w:pPr>
            <w:r w:rsidRPr="0093090B">
              <w:rPr>
                <w:rFonts w:ascii="Arial" w:eastAsia="Times New Roman" w:hAnsi="Arial" w:cs="Arial"/>
                <w:b/>
                <w:bCs/>
                <w:color w:val="000000"/>
                <w:sz w:val="20"/>
                <w:szCs w:val="20"/>
              </w:rPr>
              <w:t xml:space="preserve">PG &amp; NSG Response </w:t>
            </w:r>
          </w:p>
        </w:tc>
      </w:tr>
      <w:tr w:rsidR="0093090B" w:rsidRPr="0093090B" w14:paraId="4B478492" w14:textId="77777777" w:rsidTr="0093090B">
        <w:trPr>
          <w:trHeight w:val="3680"/>
        </w:trPr>
        <w:tc>
          <w:tcPr>
            <w:tcW w:w="3780" w:type="dxa"/>
            <w:tcBorders>
              <w:top w:val="nil"/>
              <w:left w:val="single" w:sz="4" w:space="0" w:color="auto"/>
              <w:bottom w:val="single" w:sz="4" w:space="0" w:color="auto"/>
              <w:right w:val="single" w:sz="4" w:space="0" w:color="auto"/>
            </w:tcBorders>
            <w:shd w:val="clear" w:color="000000" w:fill="FB8C89"/>
            <w:vAlign w:val="center"/>
            <w:hideMark/>
          </w:tcPr>
          <w:p w14:paraId="3C36CCA6" w14:textId="77777777" w:rsidR="0093090B" w:rsidRPr="0093090B" w:rsidRDefault="0093090B" w:rsidP="0093090B">
            <w:pPr>
              <w:spacing w:after="0" w:line="240" w:lineRule="auto"/>
              <w:rPr>
                <w:rFonts w:ascii="Arial" w:eastAsia="Times New Roman" w:hAnsi="Arial" w:cs="Arial"/>
                <w:color w:val="000000"/>
                <w:sz w:val="20"/>
                <w:szCs w:val="20"/>
              </w:rPr>
            </w:pPr>
            <w:r w:rsidRPr="0093090B">
              <w:rPr>
                <w:rFonts w:ascii="Arial" w:eastAsia="Times New Roman" w:hAnsi="Arial" w:cs="Arial"/>
                <w:color w:val="000000"/>
                <w:sz w:val="20"/>
                <w:szCs w:val="20"/>
              </w:rPr>
              <w:t xml:space="preserve">AIC does not support additional SAG meetings nor does it support ideas that expand the stakeholder role defined in the IL EE policy manual. </w:t>
            </w:r>
          </w:p>
        </w:tc>
        <w:tc>
          <w:tcPr>
            <w:tcW w:w="5580" w:type="dxa"/>
            <w:tcBorders>
              <w:top w:val="nil"/>
              <w:left w:val="nil"/>
              <w:bottom w:val="single" w:sz="4" w:space="0" w:color="auto"/>
              <w:right w:val="single" w:sz="4" w:space="0" w:color="auto"/>
            </w:tcBorders>
            <w:shd w:val="clear" w:color="000000" w:fill="FB8C89"/>
            <w:vAlign w:val="center"/>
            <w:hideMark/>
          </w:tcPr>
          <w:p w14:paraId="1D55C536" w14:textId="7C141049" w:rsidR="0093090B" w:rsidRPr="0093090B" w:rsidRDefault="0093090B" w:rsidP="0093090B">
            <w:pPr>
              <w:spacing w:after="0" w:line="240" w:lineRule="auto"/>
              <w:rPr>
                <w:rFonts w:ascii="Arial" w:eastAsia="Times New Roman" w:hAnsi="Arial" w:cs="Arial"/>
                <w:color w:val="000000"/>
                <w:sz w:val="20"/>
                <w:szCs w:val="20"/>
              </w:rPr>
            </w:pPr>
            <w:r w:rsidRPr="0093090B">
              <w:rPr>
                <w:rFonts w:ascii="Arial" w:eastAsia="Times New Roman" w:hAnsi="Arial" w:cs="Arial"/>
                <w:color w:val="000000"/>
                <w:sz w:val="20"/>
                <w:szCs w:val="20"/>
              </w:rPr>
              <w:t xml:space="preserve">Contributions and feedback from IC's and EESP's are included in </w:t>
            </w:r>
            <w:proofErr w:type="spellStart"/>
            <w:r w:rsidRPr="0093090B">
              <w:rPr>
                <w:rFonts w:ascii="Arial" w:eastAsia="Times New Roman" w:hAnsi="Arial" w:cs="Arial"/>
                <w:color w:val="000000"/>
                <w:sz w:val="20"/>
                <w:szCs w:val="20"/>
              </w:rPr>
              <w:t>ComEd's</w:t>
            </w:r>
            <w:proofErr w:type="spellEnd"/>
            <w:r w:rsidRPr="0093090B">
              <w:rPr>
                <w:rFonts w:ascii="Arial" w:eastAsia="Times New Roman" w:hAnsi="Arial" w:cs="Arial"/>
                <w:color w:val="000000"/>
                <w:sz w:val="20"/>
                <w:szCs w:val="20"/>
              </w:rPr>
              <w:t xml:space="preserve"> deep dives. EESPs are surveyed on a yearly basis and ICs make adjustments on how they manage their EESPs based on survey results. </w:t>
            </w:r>
            <w:proofErr w:type="gramStart"/>
            <w:r w:rsidRPr="0093090B">
              <w:rPr>
                <w:rFonts w:ascii="Arial" w:eastAsia="Times New Roman" w:hAnsi="Arial" w:cs="Arial"/>
                <w:color w:val="000000"/>
                <w:sz w:val="20"/>
                <w:szCs w:val="20"/>
              </w:rPr>
              <w:t>IC's</w:t>
            </w:r>
            <w:proofErr w:type="gramEnd"/>
            <w:r w:rsidRPr="0093090B">
              <w:rPr>
                <w:rFonts w:ascii="Arial" w:eastAsia="Times New Roman" w:hAnsi="Arial" w:cs="Arial"/>
                <w:color w:val="000000"/>
                <w:sz w:val="20"/>
                <w:szCs w:val="20"/>
              </w:rPr>
              <w:t xml:space="preserve"> are included by nature of their contract to ComEd in administrating these programs. </w:t>
            </w:r>
            <w:r w:rsidR="00206484" w:rsidRPr="0093090B">
              <w:rPr>
                <w:rFonts w:ascii="Arial" w:eastAsia="Times New Roman" w:hAnsi="Arial" w:cs="Arial"/>
                <w:color w:val="000000"/>
                <w:sz w:val="20"/>
                <w:szCs w:val="20"/>
              </w:rPr>
              <w:t>Therefore,</w:t>
            </w:r>
            <w:r w:rsidRPr="0093090B">
              <w:rPr>
                <w:rFonts w:ascii="Arial" w:eastAsia="Times New Roman" w:hAnsi="Arial" w:cs="Arial"/>
                <w:color w:val="000000"/>
                <w:sz w:val="20"/>
                <w:szCs w:val="20"/>
              </w:rPr>
              <w:t xml:space="preserve"> ComEd feels we are already fulfilling this request and further interactions between the SAG and IC's add layers of administration and costs by adding additional admin burden on utilities with questionable benefit. </w:t>
            </w:r>
            <w:r w:rsidRPr="0093090B">
              <w:rPr>
                <w:rFonts w:ascii="Arial" w:eastAsia="Times New Roman" w:hAnsi="Arial" w:cs="Arial"/>
                <w:color w:val="000000"/>
                <w:sz w:val="20"/>
                <w:szCs w:val="20"/>
              </w:rPr>
              <w:br/>
            </w:r>
            <w:r w:rsidRPr="0093090B">
              <w:rPr>
                <w:rFonts w:ascii="Arial" w:eastAsia="Times New Roman" w:hAnsi="Arial" w:cs="Arial"/>
                <w:color w:val="000000"/>
                <w:sz w:val="20"/>
                <w:szCs w:val="20"/>
              </w:rPr>
              <w:br/>
            </w:r>
            <w:r w:rsidR="00206484" w:rsidRPr="0093090B">
              <w:rPr>
                <w:rFonts w:ascii="Arial" w:eastAsia="Times New Roman" w:hAnsi="Arial" w:cs="Arial"/>
                <w:color w:val="000000"/>
                <w:sz w:val="20"/>
                <w:szCs w:val="20"/>
              </w:rPr>
              <w:t>Additionally,</w:t>
            </w:r>
            <w:r w:rsidRPr="0093090B">
              <w:rPr>
                <w:rFonts w:ascii="Arial" w:eastAsia="Times New Roman" w:hAnsi="Arial" w:cs="Arial"/>
                <w:color w:val="000000"/>
                <w:sz w:val="20"/>
                <w:szCs w:val="20"/>
              </w:rPr>
              <w:t xml:space="preserve"> we'd like to point out that the Policy Manual says the Program Administrator is responsible for overseeing program ICs and the program implementation process. SAG's role is advisory. This idea blurs the line between the two roles.</w:t>
            </w:r>
          </w:p>
        </w:tc>
        <w:tc>
          <w:tcPr>
            <w:tcW w:w="2340" w:type="dxa"/>
            <w:tcBorders>
              <w:top w:val="nil"/>
              <w:left w:val="nil"/>
              <w:bottom w:val="single" w:sz="4" w:space="0" w:color="auto"/>
              <w:right w:val="single" w:sz="4" w:space="0" w:color="auto"/>
            </w:tcBorders>
            <w:shd w:val="clear" w:color="000000" w:fill="FFFF00"/>
            <w:vAlign w:val="center"/>
            <w:hideMark/>
          </w:tcPr>
          <w:p w14:paraId="7E7B7856" w14:textId="77777777" w:rsidR="0093090B" w:rsidRPr="0093090B" w:rsidRDefault="0093090B" w:rsidP="0093090B">
            <w:pPr>
              <w:spacing w:after="0" w:line="240" w:lineRule="auto"/>
              <w:rPr>
                <w:rFonts w:ascii="Arial" w:eastAsia="Times New Roman" w:hAnsi="Arial" w:cs="Arial"/>
                <w:color w:val="000000"/>
                <w:sz w:val="20"/>
                <w:szCs w:val="20"/>
              </w:rPr>
            </w:pPr>
            <w:r w:rsidRPr="0093090B">
              <w:rPr>
                <w:rFonts w:ascii="Arial" w:eastAsia="Times New Roman" w:hAnsi="Arial" w:cs="Arial"/>
                <w:color w:val="000000"/>
                <w:sz w:val="20"/>
                <w:szCs w:val="20"/>
              </w:rPr>
              <w:t>This appears to be within the current mechanics of the SAG process for some report-outs. What exactly are we trying to solve?</w:t>
            </w:r>
          </w:p>
        </w:tc>
        <w:tc>
          <w:tcPr>
            <w:tcW w:w="2700" w:type="dxa"/>
            <w:tcBorders>
              <w:top w:val="nil"/>
              <w:left w:val="nil"/>
              <w:bottom w:val="single" w:sz="4" w:space="0" w:color="auto"/>
              <w:right w:val="single" w:sz="4" w:space="0" w:color="auto"/>
            </w:tcBorders>
            <w:shd w:val="clear" w:color="FFFFFF" w:fill="FB8C89"/>
            <w:vAlign w:val="center"/>
            <w:hideMark/>
          </w:tcPr>
          <w:p w14:paraId="61C485A2" w14:textId="77777777" w:rsidR="0093090B" w:rsidRPr="0093090B" w:rsidRDefault="0093090B" w:rsidP="0093090B">
            <w:pPr>
              <w:spacing w:after="0" w:line="240" w:lineRule="auto"/>
              <w:rPr>
                <w:rFonts w:ascii="Arial" w:eastAsia="Times New Roman" w:hAnsi="Arial" w:cs="Arial"/>
                <w:sz w:val="20"/>
                <w:szCs w:val="20"/>
              </w:rPr>
            </w:pPr>
            <w:r w:rsidRPr="0093090B">
              <w:rPr>
                <w:rFonts w:ascii="Arial" w:eastAsia="Times New Roman" w:hAnsi="Arial" w:cs="Arial"/>
                <w:sz w:val="20"/>
                <w:szCs w:val="20"/>
              </w:rPr>
              <w:t>PGL/NSG incorporates implementing contractor input in required quarterly reporting.</w:t>
            </w:r>
          </w:p>
        </w:tc>
      </w:tr>
    </w:tbl>
    <w:p w14:paraId="7D2DEA85" w14:textId="77777777" w:rsidR="0093090B" w:rsidRDefault="0093090B" w:rsidP="00F671AD">
      <w:pPr>
        <w:spacing w:after="0" w:line="240" w:lineRule="auto"/>
        <w:rPr>
          <w:rFonts w:ascii="Arial" w:eastAsia="Calibri" w:hAnsi="Arial" w:cs="Arial"/>
          <w:b/>
          <w:sz w:val="24"/>
          <w:szCs w:val="24"/>
        </w:rPr>
      </w:pPr>
    </w:p>
    <w:p w14:paraId="62C59251" w14:textId="77777777" w:rsidR="006D2682" w:rsidRDefault="006D2682" w:rsidP="00F671AD">
      <w:pPr>
        <w:spacing w:after="0" w:line="240" w:lineRule="auto"/>
        <w:rPr>
          <w:rFonts w:ascii="Arial" w:eastAsia="Calibri" w:hAnsi="Arial" w:cs="Arial"/>
          <w:b/>
          <w:sz w:val="24"/>
          <w:szCs w:val="24"/>
        </w:rPr>
      </w:pPr>
    </w:p>
    <w:p w14:paraId="04B8DE4E" w14:textId="77777777" w:rsidR="006D2682" w:rsidRDefault="006D2682" w:rsidP="00F671AD">
      <w:pPr>
        <w:spacing w:after="0" w:line="240" w:lineRule="auto"/>
        <w:rPr>
          <w:rFonts w:ascii="Arial" w:eastAsia="Calibri" w:hAnsi="Arial" w:cs="Arial"/>
          <w:b/>
          <w:sz w:val="24"/>
          <w:szCs w:val="24"/>
        </w:rPr>
      </w:pPr>
    </w:p>
    <w:p w14:paraId="641F89BC" w14:textId="77777777" w:rsidR="006D2682" w:rsidRDefault="006D2682" w:rsidP="00F671AD">
      <w:pPr>
        <w:spacing w:after="0" w:line="240" w:lineRule="auto"/>
        <w:rPr>
          <w:rFonts w:ascii="Arial" w:eastAsia="Calibri" w:hAnsi="Arial" w:cs="Arial"/>
          <w:b/>
          <w:sz w:val="24"/>
          <w:szCs w:val="24"/>
        </w:rPr>
      </w:pPr>
    </w:p>
    <w:p w14:paraId="2D06C0E7" w14:textId="77777777" w:rsidR="006D2682" w:rsidRDefault="006D2682" w:rsidP="00F671AD">
      <w:pPr>
        <w:spacing w:after="0" w:line="240" w:lineRule="auto"/>
        <w:rPr>
          <w:rFonts w:ascii="Arial" w:eastAsia="Calibri" w:hAnsi="Arial" w:cs="Arial"/>
          <w:b/>
          <w:sz w:val="24"/>
          <w:szCs w:val="24"/>
        </w:rPr>
      </w:pPr>
    </w:p>
    <w:p w14:paraId="1CDFA1FF" w14:textId="77777777" w:rsidR="006D2682" w:rsidRDefault="006D2682" w:rsidP="00F671AD">
      <w:pPr>
        <w:spacing w:after="0" w:line="240" w:lineRule="auto"/>
        <w:rPr>
          <w:rFonts w:ascii="Arial" w:eastAsia="Calibri" w:hAnsi="Arial" w:cs="Arial"/>
          <w:b/>
          <w:sz w:val="24"/>
          <w:szCs w:val="24"/>
        </w:rPr>
      </w:pPr>
    </w:p>
    <w:p w14:paraId="71C3FDED" w14:textId="77777777" w:rsidR="006D2682" w:rsidRDefault="006D2682" w:rsidP="00F671AD">
      <w:pPr>
        <w:spacing w:after="0" w:line="240" w:lineRule="auto"/>
        <w:rPr>
          <w:rFonts w:ascii="Arial" w:eastAsia="Calibri" w:hAnsi="Arial" w:cs="Arial"/>
          <w:b/>
          <w:sz w:val="24"/>
          <w:szCs w:val="24"/>
        </w:rPr>
      </w:pPr>
    </w:p>
    <w:p w14:paraId="74FB4BBD" w14:textId="77777777" w:rsidR="006D2682" w:rsidRDefault="006D2682" w:rsidP="00F671AD">
      <w:pPr>
        <w:spacing w:after="0" w:line="240" w:lineRule="auto"/>
        <w:rPr>
          <w:rFonts w:ascii="Arial" w:eastAsia="Calibri" w:hAnsi="Arial" w:cs="Arial"/>
          <w:b/>
          <w:sz w:val="24"/>
          <w:szCs w:val="24"/>
        </w:rPr>
      </w:pPr>
    </w:p>
    <w:p w14:paraId="55D61E9C" w14:textId="77777777" w:rsidR="00860CAD" w:rsidRDefault="00860CAD" w:rsidP="00F671AD">
      <w:pPr>
        <w:spacing w:after="0" w:line="240" w:lineRule="auto"/>
        <w:rPr>
          <w:rFonts w:ascii="Arial" w:eastAsia="Calibri" w:hAnsi="Arial" w:cs="Arial"/>
          <w:b/>
          <w:sz w:val="24"/>
          <w:szCs w:val="24"/>
        </w:rPr>
      </w:pPr>
    </w:p>
    <w:p w14:paraId="36FA674B" w14:textId="77777777" w:rsidR="00860CAD" w:rsidRDefault="00860CAD" w:rsidP="00F671AD">
      <w:pPr>
        <w:spacing w:after="0" w:line="240" w:lineRule="auto"/>
        <w:rPr>
          <w:rFonts w:ascii="Arial" w:eastAsia="Calibri" w:hAnsi="Arial" w:cs="Arial"/>
          <w:b/>
          <w:sz w:val="24"/>
          <w:szCs w:val="24"/>
        </w:rPr>
      </w:pPr>
    </w:p>
    <w:p w14:paraId="64CCBB19" w14:textId="77777777" w:rsidR="00860CAD" w:rsidRDefault="00860CAD" w:rsidP="00F671AD">
      <w:pPr>
        <w:spacing w:after="0" w:line="240" w:lineRule="auto"/>
        <w:rPr>
          <w:rFonts w:ascii="Arial" w:eastAsia="Calibri" w:hAnsi="Arial" w:cs="Arial"/>
          <w:b/>
          <w:sz w:val="24"/>
          <w:szCs w:val="24"/>
        </w:rPr>
      </w:pPr>
    </w:p>
    <w:p w14:paraId="39021E79" w14:textId="77777777" w:rsidR="00860CAD" w:rsidRDefault="00860CAD" w:rsidP="00F671AD">
      <w:pPr>
        <w:spacing w:after="0" w:line="240" w:lineRule="auto"/>
        <w:rPr>
          <w:rFonts w:ascii="Arial" w:eastAsia="Calibri" w:hAnsi="Arial" w:cs="Arial"/>
          <w:b/>
          <w:sz w:val="24"/>
          <w:szCs w:val="24"/>
        </w:rPr>
      </w:pPr>
    </w:p>
    <w:p w14:paraId="4241EF02" w14:textId="77777777" w:rsidR="00860CAD" w:rsidRDefault="00860CAD" w:rsidP="00F671AD">
      <w:pPr>
        <w:spacing w:after="0" w:line="240" w:lineRule="auto"/>
        <w:rPr>
          <w:rFonts w:ascii="Arial" w:eastAsia="Calibri" w:hAnsi="Arial" w:cs="Arial"/>
          <w:b/>
          <w:sz w:val="24"/>
          <w:szCs w:val="24"/>
        </w:rPr>
      </w:pPr>
    </w:p>
    <w:p w14:paraId="65A58E47" w14:textId="77777777" w:rsidR="00860CAD" w:rsidRDefault="00860CAD" w:rsidP="00F671AD">
      <w:pPr>
        <w:spacing w:after="0" w:line="240" w:lineRule="auto"/>
        <w:rPr>
          <w:rFonts w:ascii="Arial" w:eastAsia="Calibri" w:hAnsi="Arial" w:cs="Arial"/>
          <w:b/>
          <w:sz w:val="24"/>
          <w:szCs w:val="24"/>
        </w:rPr>
      </w:pPr>
    </w:p>
    <w:p w14:paraId="6E46CEE5" w14:textId="77777777" w:rsidR="00860CAD" w:rsidRDefault="00860CAD" w:rsidP="00F671AD">
      <w:pPr>
        <w:spacing w:after="0" w:line="240" w:lineRule="auto"/>
        <w:rPr>
          <w:rFonts w:ascii="Arial" w:eastAsia="Calibri" w:hAnsi="Arial" w:cs="Arial"/>
          <w:b/>
          <w:sz w:val="24"/>
          <w:szCs w:val="24"/>
        </w:rPr>
      </w:pPr>
    </w:p>
    <w:p w14:paraId="0CAFFA15" w14:textId="77777777" w:rsidR="00860CAD" w:rsidRDefault="00860CAD" w:rsidP="00F671AD">
      <w:pPr>
        <w:spacing w:after="0" w:line="240" w:lineRule="auto"/>
        <w:rPr>
          <w:rFonts w:ascii="Arial" w:eastAsia="Calibri" w:hAnsi="Arial" w:cs="Arial"/>
          <w:b/>
          <w:sz w:val="24"/>
          <w:szCs w:val="24"/>
        </w:rPr>
      </w:pPr>
    </w:p>
    <w:p w14:paraId="0305B02F" w14:textId="2D7C17F6" w:rsidR="00F671AD" w:rsidRDefault="00F671AD" w:rsidP="00362E21">
      <w:pPr>
        <w:spacing w:after="0" w:line="240" w:lineRule="auto"/>
        <w:ind w:left="-1152"/>
        <w:rPr>
          <w:rFonts w:ascii="Arial" w:eastAsia="Calibri" w:hAnsi="Arial" w:cs="Arial"/>
          <w:b/>
          <w:sz w:val="24"/>
          <w:szCs w:val="24"/>
        </w:rPr>
      </w:pPr>
      <w:r w:rsidRPr="006B4799">
        <w:rPr>
          <w:rFonts w:ascii="Arial" w:eastAsia="Calibri" w:hAnsi="Arial" w:cs="Arial"/>
          <w:b/>
          <w:sz w:val="24"/>
          <w:szCs w:val="24"/>
        </w:rPr>
        <w:lastRenderedPageBreak/>
        <w:t xml:space="preserve">Joint Stakeholder Market Transformation </w:t>
      </w:r>
      <w:r w:rsidR="00BC1E84">
        <w:rPr>
          <w:rFonts w:ascii="Arial" w:eastAsia="Calibri" w:hAnsi="Arial" w:cs="Arial"/>
          <w:b/>
          <w:sz w:val="24"/>
          <w:szCs w:val="24"/>
        </w:rPr>
        <w:t xml:space="preserve">(MT) </w:t>
      </w:r>
      <w:r w:rsidRPr="006B4799">
        <w:rPr>
          <w:rFonts w:ascii="Arial" w:eastAsia="Calibri" w:hAnsi="Arial" w:cs="Arial"/>
          <w:b/>
          <w:sz w:val="24"/>
          <w:szCs w:val="24"/>
        </w:rPr>
        <w:t>EE Ideas</w:t>
      </w:r>
      <w:r w:rsidR="00243BDE" w:rsidRPr="006B4799">
        <w:rPr>
          <w:rFonts w:ascii="Arial" w:eastAsia="Calibri" w:hAnsi="Arial" w:cs="Arial"/>
          <w:b/>
          <w:sz w:val="24"/>
          <w:szCs w:val="24"/>
        </w:rPr>
        <w:t>:</w:t>
      </w:r>
    </w:p>
    <w:p w14:paraId="560EEF67" w14:textId="77777777" w:rsidR="00362E21" w:rsidRPr="00426C2A" w:rsidRDefault="00362E21" w:rsidP="00362E21">
      <w:pPr>
        <w:spacing w:after="0" w:line="240" w:lineRule="auto"/>
        <w:ind w:left="-1152"/>
        <w:rPr>
          <w:rFonts w:ascii="Arial" w:eastAsia="Calibri" w:hAnsi="Arial" w:cs="Arial"/>
          <w:b/>
          <w:sz w:val="24"/>
          <w:szCs w:val="24"/>
        </w:rPr>
      </w:pPr>
    </w:p>
    <w:tbl>
      <w:tblPr>
        <w:tblW w:w="15210" w:type="dxa"/>
        <w:tblInd w:w="-1085" w:type="dxa"/>
        <w:tblLook w:val="04A0" w:firstRow="1" w:lastRow="0" w:firstColumn="1" w:lastColumn="0" w:noHBand="0" w:noVBand="1"/>
      </w:tblPr>
      <w:tblGrid>
        <w:gridCol w:w="1890"/>
        <w:gridCol w:w="2880"/>
        <w:gridCol w:w="6750"/>
        <w:gridCol w:w="1710"/>
        <w:gridCol w:w="1980"/>
      </w:tblGrid>
      <w:tr w:rsidR="005A7CF1" w:rsidRPr="005A7CF1" w14:paraId="7C95C636" w14:textId="77777777" w:rsidTr="00BC1E84">
        <w:trPr>
          <w:trHeight w:val="260"/>
          <w:tblHeader/>
        </w:trPr>
        <w:tc>
          <w:tcPr>
            <w:tcW w:w="189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62674FDA" w14:textId="36912489" w:rsidR="005A7CF1" w:rsidRPr="005A7CF1" w:rsidRDefault="005A7CF1" w:rsidP="005A7CF1">
            <w:pPr>
              <w:spacing w:after="0" w:line="240" w:lineRule="auto"/>
              <w:jc w:val="center"/>
              <w:rPr>
                <w:rFonts w:ascii="Calibri" w:eastAsia="Times New Roman" w:hAnsi="Calibri" w:cs="Calibri"/>
                <w:b/>
                <w:bCs/>
                <w:color w:val="000000"/>
              </w:rPr>
            </w:pPr>
            <w:r w:rsidRPr="005A7CF1">
              <w:rPr>
                <w:rFonts w:ascii="Calibri" w:eastAsia="Times New Roman" w:hAnsi="Calibri" w:cs="Calibri"/>
                <w:b/>
                <w:bCs/>
                <w:color w:val="000000"/>
              </w:rPr>
              <w:t>M</w:t>
            </w:r>
            <w:r w:rsidR="00BC1E84">
              <w:rPr>
                <w:rFonts w:ascii="Calibri" w:eastAsia="Times New Roman" w:hAnsi="Calibri" w:cs="Calibri"/>
                <w:b/>
                <w:bCs/>
                <w:color w:val="000000"/>
              </w:rPr>
              <w:t>T EE Ideas</w:t>
            </w:r>
          </w:p>
        </w:tc>
        <w:tc>
          <w:tcPr>
            <w:tcW w:w="2880" w:type="dxa"/>
            <w:tcBorders>
              <w:top w:val="single" w:sz="4" w:space="0" w:color="auto"/>
              <w:left w:val="nil"/>
              <w:bottom w:val="single" w:sz="4" w:space="0" w:color="auto"/>
              <w:right w:val="single" w:sz="4" w:space="0" w:color="auto"/>
            </w:tcBorders>
            <w:shd w:val="clear" w:color="CFE2F3" w:fill="DDEBF7"/>
            <w:vAlign w:val="center"/>
            <w:hideMark/>
          </w:tcPr>
          <w:p w14:paraId="306F4719" w14:textId="77777777" w:rsidR="005A7CF1" w:rsidRPr="005A7CF1" w:rsidRDefault="005A7CF1" w:rsidP="005A7CF1">
            <w:pPr>
              <w:spacing w:after="0" w:line="240" w:lineRule="auto"/>
              <w:jc w:val="center"/>
              <w:rPr>
                <w:rFonts w:ascii="Arial" w:eastAsia="Times New Roman" w:hAnsi="Arial" w:cs="Arial"/>
                <w:b/>
                <w:bCs/>
                <w:color w:val="000000"/>
                <w:sz w:val="20"/>
                <w:szCs w:val="20"/>
              </w:rPr>
            </w:pPr>
            <w:r w:rsidRPr="005A7CF1">
              <w:rPr>
                <w:rFonts w:ascii="Arial" w:eastAsia="Times New Roman" w:hAnsi="Arial" w:cs="Arial"/>
                <w:b/>
                <w:bCs/>
                <w:color w:val="000000"/>
                <w:sz w:val="20"/>
                <w:szCs w:val="20"/>
              </w:rPr>
              <w:t xml:space="preserve">Ameren IL Response </w:t>
            </w:r>
          </w:p>
        </w:tc>
        <w:tc>
          <w:tcPr>
            <w:tcW w:w="6750" w:type="dxa"/>
            <w:tcBorders>
              <w:top w:val="single" w:sz="4" w:space="0" w:color="auto"/>
              <w:left w:val="nil"/>
              <w:bottom w:val="single" w:sz="4" w:space="0" w:color="auto"/>
              <w:right w:val="single" w:sz="4" w:space="0" w:color="auto"/>
            </w:tcBorders>
            <w:shd w:val="clear" w:color="CFE2F3" w:fill="DDEBF7"/>
            <w:vAlign w:val="center"/>
            <w:hideMark/>
          </w:tcPr>
          <w:p w14:paraId="380748F3" w14:textId="77777777" w:rsidR="005A7CF1" w:rsidRPr="005A7CF1" w:rsidRDefault="005A7CF1" w:rsidP="005A7CF1">
            <w:pPr>
              <w:spacing w:after="0" w:line="240" w:lineRule="auto"/>
              <w:jc w:val="center"/>
              <w:rPr>
                <w:rFonts w:ascii="Arial" w:eastAsia="Times New Roman" w:hAnsi="Arial" w:cs="Arial"/>
                <w:b/>
                <w:bCs/>
                <w:color w:val="000000"/>
                <w:sz w:val="20"/>
                <w:szCs w:val="20"/>
              </w:rPr>
            </w:pPr>
            <w:r w:rsidRPr="005A7CF1">
              <w:rPr>
                <w:rFonts w:ascii="Arial" w:eastAsia="Times New Roman" w:hAnsi="Arial" w:cs="Arial"/>
                <w:b/>
                <w:bCs/>
                <w:color w:val="000000"/>
                <w:sz w:val="20"/>
                <w:szCs w:val="20"/>
              </w:rPr>
              <w:t xml:space="preserve">ComEd Response </w:t>
            </w:r>
          </w:p>
        </w:tc>
        <w:tc>
          <w:tcPr>
            <w:tcW w:w="1710" w:type="dxa"/>
            <w:tcBorders>
              <w:top w:val="single" w:sz="4" w:space="0" w:color="auto"/>
              <w:left w:val="nil"/>
              <w:bottom w:val="single" w:sz="4" w:space="0" w:color="auto"/>
              <w:right w:val="single" w:sz="4" w:space="0" w:color="auto"/>
            </w:tcBorders>
            <w:shd w:val="clear" w:color="CFE2F3" w:fill="DDEBF7"/>
            <w:vAlign w:val="center"/>
            <w:hideMark/>
          </w:tcPr>
          <w:p w14:paraId="0A8654F8" w14:textId="77777777" w:rsidR="005A7CF1" w:rsidRPr="005A7CF1" w:rsidRDefault="005A7CF1" w:rsidP="005A7CF1">
            <w:pPr>
              <w:spacing w:after="0" w:line="240" w:lineRule="auto"/>
              <w:jc w:val="center"/>
              <w:rPr>
                <w:rFonts w:ascii="Arial" w:eastAsia="Times New Roman" w:hAnsi="Arial" w:cs="Arial"/>
                <w:b/>
                <w:bCs/>
                <w:color w:val="000000"/>
                <w:sz w:val="20"/>
                <w:szCs w:val="20"/>
              </w:rPr>
            </w:pPr>
            <w:r w:rsidRPr="005A7CF1">
              <w:rPr>
                <w:rFonts w:ascii="Arial" w:eastAsia="Times New Roman" w:hAnsi="Arial" w:cs="Arial"/>
                <w:b/>
                <w:bCs/>
                <w:color w:val="000000"/>
                <w:sz w:val="20"/>
                <w:szCs w:val="20"/>
              </w:rPr>
              <w:t xml:space="preserve">Nicor Gas Response </w:t>
            </w:r>
          </w:p>
        </w:tc>
        <w:tc>
          <w:tcPr>
            <w:tcW w:w="1980" w:type="dxa"/>
            <w:tcBorders>
              <w:top w:val="single" w:sz="4" w:space="0" w:color="auto"/>
              <w:left w:val="nil"/>
              <w:bottom w:val="single" w:sz="4" w:space="0" w:color="auto"/>
              <w:right w:val="single" w:sz="4" w:space="0" w:color="auto"/>
            </w:tcBorders>
            <w:shd w:val="clear" w:color="CFE2F3" w:fill="DDEBF7"/>
            <w:vAlign w:val="center"/>
            <w:hideMark/>
          </w:tcPr>
          <w:p w14:paraId="5E765488" w14:textId="77777777" w:rsidR="005A7CF1" w:rsidRPr="005A7CF1" w:rsidRDefault="005A7CF1" w:rsidP="005A7CF1">
            <w:pPr>
              <w:spacing w:after="0" w:line="240" w:lineRule="auto"/>
              <w:jc w:val="center"/>
              <w:rPr>
                <w:rFonts w:ascii="Arial" w:eastAsia="Times New Roman" w:hAnsi="Arial" w:cs="Arial"/>
                <w:b/>
                <w:bCs/>
                <w:color w:val="000000"/>
                <w:sz w:val="20"/>
                <w:szCs w:val="20"/>
              </w:rPr>
            </w:pPr>
            <w:r w:rsidRPr="005A7CF1">
              <w:rPr>
                <w:rFonts w:ascii="Arial" w:eastAsia="Times New Roman" w:hAnsi="Arial" w:cs="Arial"/>
                <w:b/>
                <w:bCs/>
                <w:color w:val="000000"/>
                <w:sz w:val="20"/>
                <w:szCs w:val="20"/>
              </w:rPr>
              <w:t xml:space="preserve">PG &amp; NSG Response </w:t>
            </w:r>
          </w:p>
        </w:tc>
      </w:tr>
      <w:tr w:rsidR="005A7CF1" w:rsidRPr="005A7CF1" w14:paraId="4EBB8B21" w14:textId="77777777" w:rsidTr="00BC1E84">
        <w:trPr>
          <w:trHeight w:val="2717"/>
        </w:trPr>
        <w:tc>
          <w:tcPr>
            <w:tcW w:w="1890" w:type="dxa"/>
            <w:tcBorders>
              <w:top w:val="nil"/>
              <w:left w:val="single" w:sz="4" w:space="0" w:color="auto"/>
              <w:bottom w:val="single" w:sz="4" w:space="0" w:color="auto"/>
              <w:right w:val="single" w:sz="4" w:space="0" w:color="auto"/>
            </w:tcBorders>
            <w:shd w:val="clear" w:color="auto" w:fill="auto"/>
            <w:vAlign w:val="center"/>
            <w:hideMark/>
          </w:tcPr>
          <w:p w14:paraId="18E1F989" w14:textId="77777777" w:rsidR="005A7CF1" w:rsidRPr="005A7CF1" w:rsidRDefault="005A7CF1" w:rsidP="005A7CF1">
            <w:pPr>
              <w:spacing w:after="0" w:line="240" w:lineRule="auto"/>
              <w:rPr>
                <w:rFonts w:ascii="Arial" w:eastAsia="Times New Roman" w:hAnsi="Arial" w:cs="Arial"/>
                <w:color w:val="000000"/>
                <w:sz w:val="20"/>
                <w:szCs w:val="20"/>
              </w:rPr>
            </w:pPr>
            <w:r w:rsidRPr="005A7CF1">
              <w:rPr>
                <w:rFonts w:ascii="Arial" w:eastAsia="Times New Roman" w:hAnsi="Arial" w:cs="Arial"/>
                <w:color w:val="000000"/>
                <w:sz w:val="20"/>
                <w:szCs w:val="20"/>
              </w:rPr>
              <w:t>Support market transformation program for triple glazed windows (row 24)</w:t>
            </w:r>
          </w:p>
        </w:tc>
        <w:tc>
          <w:tcPr>
            <w:tcW w:w="2880" w:type="dxa"/>
            <w:tcBorders>
              <w:top w:val="nil"/>
              <w:left w:val="nil"/>
              <w:bottom w:val="single" w:sz="4" w:space="0" w:color="auto"/>
              <w:right w:val="single" w:sz="4" w:space="0" w:color="auto"/>
            </w:tcBorders>
            <w:shd w:val="clear" w:color="000000" w:fill="E2EFDA"/>
            <w:vAlign w:val="center"/>
            <w:hideMark/>
          </w:tcPr>
          <w:p w14:paraId="302EB03F" w14:textId="14A4BF5C" w:rsidR="005A7CF1" w:rsidRPr="005A7CF1" w:rsidRDefault="005A7CF1" w:rsidP="005A7CF1">
            <w:pPr>
              <w:spacing w:after="0" w:line="240" w:lineRule="auto"/>
              <w:rPr>
                <w:rFonts w:ascii="Arial" w:eastAsia="Times New Roman" w:hAnsi="Arial" w:cs="Arial"/>
                <w:color w:val="000000"/>
                <w:sz w:val="20"/>
                <w:szCs w:val="20"/>
              </w:rPr>
            </w:pPr>
            <w:r w:rsidRPr="005A7CF1">
              <w:rPr>
                <w:rFonts w:ascii="Arial" w:eastAsia="Times New Roman" w:hAnsi="Arial" w:cs="Arial"/>
                <w:color w:val="000000"/>
                <w:sz w:val="20"/>
                <w:szCs w:val="20"/>
              </w:rPr>
              <w:t>AIC has been participating in this initiate with the other IL utilities and is supportive of continued efforts to increase market penetration of cost-effective measures.</w:t>
            </w:r>
          </w:p>
        </w:tc>
        <w:tc>
          <w:tcPr>
            <w:tcW w:w="6750" w:type="dxa"/>
            <w:tcBorders>
              <w:top w:val="nil"/>
              <w:left w:val="nil"/>
              <w:bottom w:val="single" w:sz="4" w:space="0" w:color="auto"/>
              <w:right w:val="single" w:sz="4" w:space="0" w:color="auto"/>
            </w:tcBorders>
            <w:shd w:val="clear" w:color="D9E1F2" w:fill="FFFF00"/>
            <w:vAlign w:val="center"/>
            <w:hideMark/>
          </w:tcPr>
          <w:p w14:paraId="0A2C3290" w14:textId="77777777" w:rsidR="005A7CF1" w:rsidRPr="005A7CF1" w:rsidRDefault="005A7CF1" w:rsidP="005A7CF1">
            <w:pPr>
              <w:spacing w:after="0" w:line="240" w:lineRule="auto"/>
              <w:rPr>
                <w:rFonts w:ascii="Arial" w:eastAsia="Times New Roman" w:hAnsi="Arial" w:cs="Arial"/>
                <w:color w:val="000000"/>
                <w:sz w:val="20"/>
                <w:szCs w:val="20"/>
              </w:rPr>
            </w:pPr>
            <w:r w:rsidRPr="005A7CF1">
              <w:rPr>
                <w:rFonts w:ascii="Arial" w:eastAsia="Times New Roman" w:hAnsi="Arial" w:cs="Arial"/>
                <w:color w:val="000000"/>
                <w:sz w:val="20"/>
                <w:szCs w:val="20"/>
              </w:rPr>
              <w:t xml:space="preserve">ComEd has supported research efforts into the potential savings and market barriers for high-performance windows along with other IL utilities. We continue to monitor developments in the market and will evaluate additional opportunities to support MT initiatives in the future. Side note- most of the energy savings for improved windows in the residential space are recognized through reduced heating demand; as most homes are gas heat, the cost-effectiveness of improving windows as an EE strategy for ComEd is limited. As more homes are electrically heated going forward, that equation will improve from </w:t>
            </w:r>
            <w:proofErr w:type="spellStart"/>
            <w:r w:rsidRPr="005A7CF1">
              <w:rPr>
                <w:rFonts w:ascii="Arial" w:eastAsia="Times New Roman" w:hAnsi="Arial" w:cs="Arial"/>
                <w:color w:val="000000"/>
                <w:sz w:val="20"/>
                <w:szCs w:val="20"/>
              </w:rPr>
              <w:t>ComEd’s</w:t>
            </w:r>
            <w:proofErr w:type="spellEnd"/>
            <w:r w:rsidRPr="005A7CF1">
              <w:rPr>
                <w:rFonts w:ascii="Arial" w:eastAsia="Times New Roman" w:hAnsi="Arial" w:cs="Arial"/>
                <w:color w:val="000000"/>
                <w:sz w:val="20"/>
                <w:szCs w:val="20"/>
              </w:rPr>
              <w:t xml:space="preserve"> perspective. We'd like to continue to explore this idea to better understand ideal targeted market as well as capacity of benefits. </w:t>
            </w:r>
          </w:p>
        </w:tc>
        <w:tc>
          <w:tcPr>
            <w:tcW w:w="1710" w:type="dxa"/>
            <w:tcBorders>
              <w:top w:val="nil"/>
              <w:left w:val="nil"/>
              <w:bottom w:val="single" w:sz="4" w:space="0" w:color="auto"/>
              <w:right w:val="single" w:sz="4" w:space="0" w:color="auto"/>
            </w:tcBorders>
            <w:shd w:val="clear" w:color="000000" w:fill="E2EFDA"/>
            <w:vAlign w:val="center"/>
            <w:hideMark/>
          </w:tcPr>
          <w:p w14:paraId="5C9C7156" w14:textId="77777777" w:rsidR="005A7CF1" w:rsidRPr="005A7CF1" w:rsidRDefault="005A7CF1" w:rsidP="005A7CF1">
            <w:pPr>
              <w:spacing w:after="0" w:line="240" w:lineRule="auto"/>
              <w:rPr>
                <w:rFonts w:ascii="Arial" w:eastAsia="Times New Roman" w:hAnsi="Arial" w:cs="Arial"/>
                <w:color w:val="000000"/>
                <w:sz w:val="20"/>
                <w:szCs w:val="20"/>
              </w:rPr>
            </w:pPr>
            <w:r w:rsidRPr="005A7CF1">
              <w:rPr>
                <w:rFonts w:ascii="Arial" w:eastAsia="Times New Roman" w:hAnsi="Arial" w:cs="Arial"/>
                <w:color w:val="000000"/>
                <w:sz w:val="20"/>
                <w:szCs w:val="20"/>
              </w:rPr>
              <w:t>We're currently pursuing this opportunity in MT.</w:t>
            </w:r>
          </w:p>
        </w:tc>
        <w:tc>
          <w:tcPr>
            <w:tcW w:w="1980" w:type="dxa"/>
            <w:tcBorders>
              <w:top w:val="nil"/>
              <w:left w:val="nil"/>
              <w:bottom w:val="single" w:sz="4" w:space="0" w:color="auto"/>
              <w:right w:val="single" w:sz="4" w:space="0" w:color="auto"/>
            </w:tcBorders>
            <w:shd w:val="clear" w:color="000000" w:fill="E2EFDA"/>
            <w:vAlign w:val="center"/>
            <w:hideMark/>
          </w:tcPr>
          <w:p w14:paraId="78B4E4D4" w14:textId="77777777" w:rsidR="005A7CF1" w:rsidRPr="005A7CF1" w:rsidRDefault="005A7CF1" w:rsidP="005A7CF1">
            <w:pPr>
              <w:spacing w:after="0" w:line="240" w:lineRule="auto"/>
              <w:rPr>
                <w:rFonts w:ascii="Arial" w:eastAsia="Times New Roman" w:hAnsi="Arial" w:cs="Arial"/>
                <w:sz w:val="20"/>
                <w:szCs w:val="20"/>
              </w:rPr>
            </w:pPr>
            <w:r w:rsidRPr="005A7CF1">
              <w:rPr>
                <w:rFonts w:ascii="Arial" w:eastAsia="Times New Roman" w:hAnsi="Arial" w:cs="Arial"/>
                <w:sz w:val="20"/>
                <w:szCs w:val="20"/>
              </w:rPr>
              <w:t>PGL/NSG currently supports triple-glazed windows within its Market Transformation effort.</w:t>
            </w:r>
          </w:p>
        </w:tc>
      </w:tr>
      <w:tr w:rsidR="005A7CF1" w:rsidRPr="005A7CF1" w14:paraId="67E3A495" w14:textId="77777777" w:rsidTr="001C7E31">
        <w:trPr>
          <w:trHeight w:val="2375"/>
        </w:trPr>
        <w:tc>
          <w:tcPr>
            <w:tcW w:w="1890" w:type="dxa"/>
            <w:tcBorders>
              <w:top w:val="nil"/>
              <w:left w:val="single" w:sz="4" w:space="0" w:color="auto"/>
              <w:bottom w:val="single" w:sz="4" w:space="0" w:color="auto"/>
              <w:right w:val="single" w:sz="4" w:space="0" w:color="auto"/>
            </w:tcBorders>
            <w:shd w:val="clear" w:color="auto" w:fill="auto"/>
            <w:vAlign w:val="center"/>
            <w:hideMark/>
          </w:tcPr>
          <w:p w14:paraId="0BD56368" w14:textId="77777777" w:rsidR="005A7CF1" w:rsidRPr="005A7CF1" w:rsidRDefault="005A7CF1" w:rsidP="005A7CF1">
            <w:pPr>
              <w:spacing w:after="0" w:line="240" w:lineRule="auto"/>
              <w:rPr>
                <w:rFonts w:ascii="Arial" w:eastAsia="Times New Roman" w:hAnsi="Arial" w:cs="Arial"/>
                <w:color w:val="000000"/>
                <w:sz w:val="20"/>
                <w:szCs w:val="20"/>
              </w:rPr>
            </w:pPr>
            <w:r w:rsidRPr="005A7CF1">
              <w:rPr>
                <w:rFonts w:ascii="Arial" w:eastAsia="Times New Roman" w:hAnsi="Arial" w:cs="Arial"/>
                <w:color w:val="000000"/>
                <w:sz w:val="20"/>
                <w:szCs w:val="20"/>
              </w:rPr>
              <w:t>Support municipalities interested in adopting stretch codes (row 25)</w:t>
            </w:r>
          </w:p>
        </w:tc>
        <w:tc>
          <w:tcPr>
            <w:tcW w:w="2880" w:type="dxa"/>
            <w:tcBorders>
              <w:top w:val="nil"/>
              <w:left w:val="nil"/>
              <w:bottom w:val="single" w:sz="4" w:space="0" w:color="auto"/>
              <w:right w:val="single" w:sz="4" w:space="0" w:color="auto"/>
            </w:tcBorders>
            <w:shd w:val="clear" w:color="000000" w:fill="FFFF00"/>
            <w:vAlign w:val="center"/>
            <w:hideMark/>
          </w:tcPr>
          <w:p w14:paraId="14534E46" w14:textId="7E0BC5E2" w:rsidR="005A7CF1" w:rsidRPr="005A7CF1" w:rsidRDefault="005A7CF1" w:rsidP="005A7CF1">
            <w:pPr>
              <w:spacing w:after="0" w:line="240" w:lineRule="auto"/>
              <w:rPr>
                <w:rFonts w:ascii="Arial" w:eastAsia="Times New Roman" w:hAnsi="Arial" w:cs="Arial"/>
                <w:color w:val="000000"/>
                <w:sz w:val="20"/>
                <w:szCs w:val="20"/>
              </w:rPr>
            </w:pPr>
            <w:r w:rsidRPr="005A7CF1">
              <w:rPr>
                <w:rFonts w:ascii="Arial" w:eastAsia="Times New Roman" w:hAnsi="Arial" w:cs="Arial"/>
                <w:color w:val="000000"/>
                <w:sz w:val="20"/>
                <w:szCs w:val="20"/>
              </w:rPr>
              <w:t>AIC believes further discussion is required. Work previously conducted by MEEA found that only one municipality in AIC service territory has potential for stretch code adoption and that it was unlikely to adopt stretch codes.</w:t>
            </w:r>
          </w:p>
        </w:tc>
        <w:tc>
          <w:tcPr>
            <w:tcW w:w="6750" w:type="dxa"/>
            <w:tcBorders>
              <w:top w:val="nil"/>
              <w:left w:val="nil"/>
              <w:bottom w:val="single" w:sz="4" w:space="0" w:color="auto"/>
              <w:right w:val="single" w:sz="4" w:space="0" w:color="auto"/>
            </w:tcBorders>
            <w:shd w:val="clear" w:color="D9E1F2" w:fill="E2EFDA"/>
            <w:vAlign w:val="center"/>
            <w:hideMark/>
          </w:tcPr>
          <w:p w14:paraId="5AEE7D77" w14:textId="77777777" w:rsidR="005A7CF1" w:rsidRPr="005A7CF1" w:rsidRDefault="005A7CF1" w:rsidP="005A7CF1">
            <w:pPr>
              <w:spacing w:after="0" w:line="240" w:lineRule="auto"/>
              <w:rPr>
                <w:rFonts w:ascii="Arial" w:eastAsia="Times New Roman" w:hAnsi="Arial" w:cs="Arial"/>
                <w:color w:val="000000"/>
                <w:sz w:val="20"/>
                <w:szCs w:val="20"/>
              </w:rPr>
            </w:pPr>
            <w:r w:rsidRPr="005A7CF1">
              <w:rPr>
                <w:rFonts w:ascii="Arial" w:eastAsia="Times New Roman" w:hAnsi="Arial" w:cs="Arial"/>
                <w:color w:val="000000"/>
                <w:sz w:val="20"/>
                <w:szCs w:val="20"/>
              </w:rPr>
              <w:t xml:space="preserve">ComEd has been working directly with municipalities over the last few years on </w:t>
            </w:r>
            <w:proofErr w:type="gramStart"/>
            <w:r w:rsidRPr="005A7CF1">
              <w:rPr>
                <w:rFonts w:ascii="Arial" w:eastAsia="Times New Roman" w:hAnsi="Arial" w:cs="Arial"/>
                <w:color w:val="000000"/>
                <w:sz w:val="20"/>
                <w:szCs w:val="20"/>
              </w:rPr>
              <w:t>an</w:t>
            </w:r>
            <w:proofErr w:type="gramEnd"/>
            <w:r w:rsidRPr="005A7CF1">
              <w:rPr>
                <w:rFonts w:ascii="Arial" w:eastAsia="Times New Roman" w:hAnsi="Arial" w:cs="Arial"/>
                <w:color w:val="000000"/>
                <w:sz w:val="20"/>
                <w:szCs w:val="20"/>
              </w:rPr>
              <w:t xml:space="preserve"> Market Transformation initiative to advance stronger energy codes for new buildings and building performance standards (BPS) for existing buildings; this includes all types: residential, MF, and C&amp;I. The purpose of the initiative is not only to encourage/support municipalities during their rulemaking processes but to provide financial/technical support and incentives to assist in enforcement of the new rules by the municipality and compliance for the buildings subject to the new rules.  </w:t>
            </w:r>
          </w:p>
        </w:tc>
        <w:tc>
          <w:tcPr>
            <w:tcW w:w="1710" w:type="dxa"/>
            <w:tcBorders>
              <w:top w:val="nil"/>
              <w:left w:val="nil"/>
              <w:bottom w:val="single" w:sz="4" w:space="0" w:color="auto"/>
              <w:right w:val="single" w:sz="4" w:space="0" w:color="auto"/>
            </w:tcBorders>
            <w:shd w:val="clear" w:color="000000" w:fill="E2EFDA"/>
            <w:vAlign w:val="center"/>
            <w:hideMark/>
          </w:tcPr>
          <w:p w14:paraId="0A501440" w14:textId="77777777" w:rsidR="005A7CF1" w:rsidRPr="005A7CF1" w:rsidRDefault="005A7CF1" w:rsidP="005A7CF1">
            <w:pPr>
              <w:spacing w:after="0" w:line="240" w:lineRule="auto"/>
              <w:rPr>
                <w:rFonts w:ascii="Arial" w:eastAsia="Times New Roman" w:hAnsi="Arial" w:cs="Arial"/>
                <w:color w:val="000000"/>
                <w:sz w:val="20"/>
                <w:szCs w:val="20"/>
              </w:rPr>
            </w:pPr>
            <w:r w:rsidRPr="005A7CF1">
              <w:rPr>
                <w:rFonts w:ascii="Arial" w:eastAsia="Times New Roman" w:hAnsi="Arial" w:cs="Arial"/>
                <w:color w:val="000000"/>
                <w:sz w:val="20"/>
                <w:szCs w:val="20"/>
              </w:rPr>
              <w:t>Exploring with various municipalities.</w:t>
            </w:r>
          </w:p>
        </w:tc>
        <w:tc>
          <w:tcPr>
            <w:tcW w:w="1980" w:type="dxa"/>
            <w:tcBorders>
              <w:top w:val="nil"/>
              <w:left w:val="nil"/>
              <w:bottom w:val="single" w:sz="4" w:space="0" w:color="auto"/>
              <w:right w:val="single" w:sz="4" w:space="0" w:color="auto"/>
            </w:tcBorders>
            <w:shd w:val="clear" w:color="000000" w:fill="B5E6A2"/>
            <w:vAlign w:val="center"/>
            <w:hideMark/>
          </w:tcPr>
          <w:p w14:paraId="3D25A2CF" w14:textId="77777777" w:rsidR="005A7CF1" w:rsidRPr="005A7CF1" w:rsidRDefault="005A7CF1" w:rsidP="005A7CF1">
            <w:pPr>
              <w:spacing w:after="0" w:line="240" w:lineRule="auto"/>
              <w:rPr>
                <w:rFonts w:ascii="Arial" w:eastAsia="Times New Roman" w:hAnsi="Arial" w:cs="Arial"/>
                <w:sz w:val="20"/>
                <w:szCs w:val="20"/>
              </w:rPr>
            </w:pPr>
            <w:r w:rsidRPr="005A7CF1">
              <w:rPr>
                <w:rFonts w:ascii="Arial" w:eastAsia="Times New Roman" w:hAnsi="Arial" w:cs="Arial"/>
                <w:sz w:val="20"/>
                <w:szCs w:val="20"/>
              </w:rPr>
              <w:t>PGL/NSG may consider incorporating this idea into the 2026-2029 Plan.</w:t>
            </w:r>
          </w:p>
        </w:tc>
      </w:tr>
      <w:tr w:rsidR="005A7CF1" w:rsidRPr="005A7CF1" w14:paraId="3079500E" w14:textId="77777777" w:rsidTr="00BC1E84">
        <w:trPr>
          <w:trHeight w:val="440"/>
        </w:trPr>
        <w:tc>
          <w:tcPr>
            <w:tcW w:w="1890" w:type="dxa"/>
            <w:tcBorders>
              <w:top w:val="nil"/>
              <w:left w:val="single" w:sz="4" w:space="0" w:color="auto"/>
              <w:bottom w:val="single" w:sz="4" w:space="0" w:color="auto"/>
              <w:right w:val="single" w:sz="4" w:space="0" w:color="auto"/>
            </w:tcBorders>
            <w:shd w:val="clear" w:color="auto" w:fill="auto"/>
            <w:vAlign w:val="center"/>
            <w:hideMark/>
          </w:tcPr>
          <w:p w14:paraId="232DC99D" w14:textId="77777777" w:rsidR="005A7CF1" w:rsidRPr="005A7CF1" w:rsidRDefault="005A7CF1" w:rsidP="005A7CF1">
            <w:pPr>
              <w:spacing w:after="0" w:line="240" w:lineRule="auto"/>
              <w:rPr>
                <w:rFonts w:ascii="Arial" w:eastAsia="Times New Roman" w:hAnsi="Arial" w:cs="Arial"/>
                <w:color w:val="000000"/>
                <w:sz w:val="20"/>
                <w:szCs w:val="20"/>
              </w:rPr>
            </w:pPr>
            <w:r w:rsidRPr="005A7CF1">
              <w:rPr>
                <w:rFonts w:ascii="Arial" w:eastAsia="Times New Roman" w:hAnsi="Arial" w:cs="Arial"/>
                <w:color w:val="000000"/>
                <w:sz w:val="20"/>
                <w:szCs w:val="20"/>
              </w:rPr>
              <w:t>Work with one or more municipalities to develop a multi-family rental energy efficiency standard (row 15)</w:t>
            </w:r>
          </w:p>
        </w:tc>
        <w:tc>
          <w:tcPr>
            <w:tcW w:w="2880" w:type="dxa"/>
            <w:tcBorders>
              <w:top w:val="nil"/>
              <w:left w:val="nil"/>
              <w:bottom w:val="single" w:sz="4" w:space="0" w:color="auto"/>
              <w:right w:val="single" w:sz="4" w:space="0" w:color="auto"/>
            </w:tcBorders>
            <w:shd w:val="clear" w:color="000000" w:fill="FFFF00"/>
            <w:vAlign w:val="center"/>
            <w:hideMark/>
          </w:tcPr>
          <w:p w14:paraId="2E9C4B93" w14:textId="77777777" w:rsidR="005A7CF1" w:rsidRPr="005A7CF1" w:rsidRDefault="005A7CF1" w:rsidP="005A7CF1">
            <w:pPr>
              <w:spacing w:after="0" w:line="240" w:lineRule="auto"/>
              <w:rPr>
                <w:rFonts w:ascii="Arial" w:eastAsia="Times New Roman" w:hAnsi="Arial" w:cs="Arial"/>
                <w:color w:val="000000"/>
                <w:sz w:val="20"/>
                <w:szCs w:val="20"/>
              </w:rPr>
            </w:pPr>
            <w:r w:rsidRPr="005A7CF1">
              <w:rPr>
                <w:rFonts w:ascii="Arial" w:eastAsia="Times New Roman" w:hAnsi="Arial" w:cs="Arial"/>
                <w:color w:val="000000"/>
                <w:sz w:val="20"/>
                <w:szCs w:val="20"/>
              </w:rPr>
              <w:t>AIC believes further discussion is required</w:t>
            </w:r>
          </w:p>
        </w:tc>
        <w:tc>
          <w:tcPr>
            <w:tcW w:w="6750" w:type="dxa"/>
            <w:tcBorders>
              <w:top w:val="nil"/>
              <w:left w:val="nil"/>
              <w:bottom w:val="single" w:sz="4" w:space="0" w:color="auto"/>
              <w:right w:val="single" w:sz="4" w:space="0" w:color="auto"/>
            </w:tcBorders>
            <w:shd w:val="clear" w:color="D9E1F2" w:fill="E2EFDA"/>
            <w:vAlign w:val="center"/>
            <w:hideMark/>
          </w:tcPr>
          <w:p w14:paraId="3D0C2171" w14:textId="77777777" w:rsidR="005A7CF1" w:rsidRPr="005A7CF1" w:rsidRDefault="005A7CF1" w:rsidP="005A7CF1">
            <w:pPr>
              <w:spacing w:after="0" w:line="240" w:lineRule="auto"/>
              <w:rPr>
                <w:rFonts w:ascii="Arial" w:eastAsia="Times New Roman" w:hAnsi="Arial" w:cs="Arial"/>
                <w:color w:val="000000"/>
                <w:sz w:val="20"/>
                <w:szCs w:val="20"/>
              </w:rPr>
            </w:pPr>
            <w:r w:rsidRPr="005A7CF1">
              <w:rPr>
                <w:rFonts w:ascii="Arial" w:eastAsia="Times New Roman" w:hAnsi="Arial" w:cs="Arial"/>
                <w:color w:val="000000"/>
                <w:sz w:val="20"/>
                <w:szCs w:val="20"/>
              </w:rPr>
              <w:t xml:space="preserve">ComEd has been working directly with municipalities over the last few years on </w:t>
            </w:r>
            <w:proofErr w:type="gramStart"/>
            <w:r w:rsidRPr="005A7CF1">
              <w:rPr>
                <w:rFonts w:ascii="Arial" w:eastAsia="Times New Roman" w:hAnsi="Arial" w:cs="Arial"/>
                <w:color w:val="000000"/>
                <w:sz w:val="20"/>
                <w:szCs w:val="20"/>
              </w:rPr>
              <w:t>an</w:t>
            </w:r>
            <w:proofErr w:type="gramEnd"/>
            <w:r w:rsidRPr="005A7CF1">
              <w:rPr>
                <w:rFonts w:ascii="Arial" w:eastAsia="Times New Roman" w:hAnsi="Arial" w:cs="Arial"/>
                <w:color w:val="000000"/>
                <w:sz w:val="20"/>
                <w:szCs w:val="20"/>
              </w:rPr>
              <w:t xml:space="preserve"> Market Transformation initiative to advance stronger energy codes for new buildings and building performance standards (BPS) for existing buildings; this includes all types: residential, MF, and C&amp;I. The purpose of the initiative is not only to encourage/support municipalities during their rulemaking processes but to provide financial/technical support and incentives to assist in enforcement of the new rules by the municipality and compliance for the buildings subject to the new rules. To date, there has not been a specific focus on MF but they would be covered by the new codes.  </w:t>
            </w:r>
          </w:p>
        </w:tc>
        <w:tc>
          <w:tcPr>
            <w:tcW w:w="1710" w:type="dxa"/>
            <w:tcBorders>
              <w:top w:val="nil"/>
              <w:left w:val="nil"/>
              <w:bottom w:val="single" w:sz="4" w:space="0" w:color="auto"/>
              <w:right w:val="single" w:sz="4" w:space="0" w:color="auto"/>
            </w:tcBorders>
            <w:shd w:val="clear" w:color="000000" w:fill="FFFF00"/>
            <w:vAlign w:val="center"/>
            <w:hideMark/>
          </w:tcPr>
          <w:p w14:paraId="156BBA21" w14:textId="77777777" w:rsidR="005A7CF1" w:rsidRPr="005A7CF1" w:rsidRDefault="005A7CF1" w:rsidP="005A7CF1">
            <w:pPr>
              <w:spacing w:after="0" w:line="240" w:lineRule="auto"/>
              <w:rPr>
                <w:rFonts w:ascii="Arial" w:eastAsia="Times New Roman" w:hAnsi="Arial" w:cs="Arial"/>
                <w:color w:val="000000"/>
                <w:sz w:val="20"/>
                <w:szCs w:val="20"/>
              </w:rPr>
            </w:pPr>
            <w:r w:rsidRPr="005A7CF1">
              <w:rPr>
                <w:rFonts w:ascii="Arial" w:eastAsia="Times New Roman" w:hAnsi="Arial" w:cs="Arial"/>
                <w:color w:val="000000"/>
                <w:sz w:val="20"/>
                <w:szCs w:val="20"/>
              </w:rPr>
              <w:t xml:space="preserve">Working with municipalities for Building Performance Standards (BPS) primarily targeting commercial </w:t>
            </w:r>
            <w:proofErr w:type="spellStart"/>
            <w:r w:rsidRPr="005A7CF1">
              <w:rPr>
                <w:rFonts w:ascii="Arial" w:eastAsia="Times New Roman" w:hAnsi="Arial" w:cs="Arial"/>
                <w:color w:val="000000"/>
                <w:sz w:val="20"/>
                <w:szCs w:val="20"/>
              </w:rPr>
              <w:t>bldgs</w:t>
            </w:r>
            <w:proofErr w:type="spellEnd"/>
            <w:r w:rsidRPr="005A7CF1">
              <w:rPr>
                <w:rFonts w:ascii="Arial" w:eastAsia="Times New Roman" w:hAnsi="Arial" w:cs="Arial"/>
                <w:color w:val="000000"/>
                <w:sz w:val="20"/>
                <w:szCs w:val="20"/>
              </w:rPr>
              <w:t xml:space="preserve"> but need more info on what "support" entails.</w:t>
            </w:r>
          </w:p>
        </w:tc>
        <w:tc>
          <w:tcPr>
            <w:tcW w:w="1980" w:type="dxa"/>
            <w:tcBorders>
              <w:top w:val="nil"/>
              <w:left w:val="nil"/>
              <w:bottom w:val="single" w:sz="4" w:space="0" w:color="auto"/>
              <w:right w:val="single" w:sz="4" w:space="0" w:color="auto"/>
            </w:tcBorders>
            <w:shd w:val="clear" w:color="000000" w:fill="FFFF00"/>
            <w:vAlign w:val="center"/>
            <w:hideMark/>
          </w:tcPr>
          <w:p w14:paraId="60D041CD" w14:textId="77777777" w:rsidR="005A7CF1" w:rsidRPr="005A7CF1" w:rsidRDefault="005A7CF1" w:rsidP="005A7CF1">
            <w:pPr>
              <w:spacing w:after="0" w:line="240" w:lineRule="auto"/>
              <w:rPr>
                <w:rFonts w:ascii="Arial" w:eastAsia="Times New Roman" w:hAnsi="Arial" w:cs="Arial"/>
                <w:color w:val="000000"/>
                <w:sz w:val="20"/>
                <w:szCs w:val="20"/>
              </w:rPr>
            </w:pPr>
            <w:r w:rsidRPr="005A7CF1">
              <w:rPr>
                <w:rFonts w:ascii="Arial" w:eastAsia="Times New Roman" w:hAnsi="Arial" w:cs="Arial"/>
                <w:color w:val="000000"/>
                <w:sz w:val="20"/>
                <w:szCs w:val="20"/>
              </w:rPr>
              <w:t>PGL/NSG will require further information regarding this idea to consider for inclusion in the 2026-2029 Plan.</w:t>
            </w:r>
          </w:p>
        </w:tc>
      </w:tr>
    </w:tbl>
    <w:p w14:paraId="7C425FB6" w14:textId="77777777" w:rsidR="001C7E31" w:rsidRDefault="001C7E31" w:rsidP="00F671AD">
      <w:pPr>
        <w:spacing w:after="0" w:line="240" w:lineRule="auto"/>
        <w:contextualSpacing/>
        <w:rPr>
          <w:rFonts w:ascii="Arial" w:eastAsia="Calibri" w:hAnsi="Arial" w:cs="Arial"/>
          <w:b/>
          <w:sz w:val="26"/>
          <w:szCs w:val="26"/>
          <w:u w:val="single"/>
        </w:rPr>
      </w:pPr>
    </w:p>
    <w:p w14:paraId="62027BB1" w14:textId="77777777" w:rsidR="001C7E31" w:rsidRDefault="001C7E31" w:rsidP="00F671AD">
      <w:pPr>
        <w:spacing w:after="0" w:line="240" w:lineRule="auto"/>
        <w:contextualSpacing/>
        <w:rPr>
          <w:rFonts w:ascii="Arial" w:eastAsia="Calibri" w:hAnsi="Arial" w:cs="Arial"/>
          <w:b/>
          <w:sz w:val="26"/>
          <w:szCs w:val="26"/>
          <w:u w:val="single"/>
        </w:rPr>
      </w:pPr>
    </w:p>
    <w:p w14:paraId="1FC50F32" w14:textId="195EB996" w:rsidR="00F671AD" w:rsidRPr="00F671AD" w:rsidRDefault="00F671AD" w:rsidP="00614472">
      <w:pPr>
        <w:spacing w:after="0" w:line="240" w:lineRule="auto"/>
        <w:ind w:left="-576"/>
        <w:contextualSpacing/>
        <w:rPr>
          <w:rFonts w:ascii="Arial" w:eastAsia="Calibri" w:hAnsi="Arial" w:cs="Arial"/>
          <w:b/>
          <w:sz w:val="26"/>
          <w:szCs w:val="26"/>
          <w:u w:val="single"/>
        </w:rPr>
      </w:pPr>
      <w:r w:rsidRPr="00F671AD">
        <w:rPr>
          <w:rFonts w:ascii="Arial" w:eastAsia="Calibri" w:hAnsi="Arial" w:cs="Arial"/>
          <w:b/>
          <w:sz w:val="26"/>
          <w:szCs w:val="26"/>
          <w:u w:val="single"/>
        </w:rPr>
        <w:t>Utility Responses to April 16 Energy Efficiency Ideas</w:t>
      </w:r>
    </w:p>
    <w:p w14:paraId="65E4AC82" w14:textId="77777777" w:rsidR="00F671AD" w:rsidRPr="00FE5B33" w:rsidRDefault="00F671AD" w:rsidP="00614472">
      <w:pPr>
        <w:spacing w:after="0" w:line="240" w:lineRule="auto"/>
        <w:ind w:left="-576"/>
        <w:rPr>
          <w:rFonts w:ascii="Arial" w:eastAsia="Calibri" w:hAnsi="Arial" w:cs="Arial"/>
          <w:bCs/>
        </w:rPr>
      </w:pPr>
      <w:r w:rsidRPr="00FE5B33">
        <w:rPr>
          <w:rFonts w:ascii="Arial" w:eastAsia="Calibri" w:hAnsi="Arial" w:cs="Arial"/>
          <w:bCs/>
        </w:rPr>
        <w:t xml:space="preserve">Illinois utilities respond to EE Ideas presented to SAG on </w:t>
      </w:r>
      <w:hyperlink r:id="rId9" w:history="1">
        <w:r w:rsidRPr="00FE5B33">
          <w:rPr>
            <w:rStyle w:val="Hyperlink"/>
            <w:rFonts w:ascii="Arial" w:eastAsia="Calibri" w:hAnsi="Arial" w:cs="Arial"/>
            <w:bCs/>
          </w:rPr>
          <w:t>April 16</w:t>
        </w:r>
      </w:hyperlink>
      <w:r w:rsidRPr="00FE5B33">
        <w:rPr>
          <w:rFonts w:ascii="Arial" w:eastAsia="Calibri" w:hAnsi="Arial" w:cs="Arial"/>
          <w:bCs/>
        </w:rPr>
        <w:t>, referenced below</w:t>
      </w:r>
    </w:p>
    <w:p w14:paraId="10BAD72D" w14:textId="77777777" w:rsidR="00F671AD" w:rsidRDefault="00F671AD" w:rsidP="00F671AD">
      <w:pPr>
        <w:spacing w:after="0" w:line="240" w:lineRule="auto"/>
        <w:rPr>
          <w:rFonts w:ascii="Arial" w:eastAsia="Calibri" w:hAnsi="Arial" w:cs="Arial"/>
          <w:bCs/>
        </w:rPr>
      </w:pPr>
    </w:p>
    <w:p w14:paraId="6ADD9058" w14:textId="04ADC085" w:rsidR="00F671AD" w:rsidRPr="00AD248B" w:rsidRDefault="00F671AD" w:rsidP="00614472">
      <w:pPr>
        <w:spacing w:after="0" w:line="240" w:lineRule="auto"/>
        <w:ind w:left="-576"/>
        <w:rPr>
          <w:rFonts w:ascii="Arial" w:hAnsi="Arial" w:cs="Arial"/>
          <w:b/>
          <w:bCs/>
          <w:sz w:val="24"/>
          <w:szCs w:val="24"/>
        </w:rPr>
      </w:pPr>
      <w:proofErr w:type="spellStart"/>
      <w:r w:rsidRPr="00AD248B">
        <w:rPr>
          <w:rFonts w:ascii="Arial" w:hAnsi="Arial" w:cs="Arial"/>
          <w:b/>
          <w:bCs/>
          <w:sz w:val="24"/>
          <w:szCs w:val="24"/>
        </w:rPr>
        <w:t>DarkSky</w:t>
      </w:r>
      <w:proofErr w:type="spellEnd"/>
      <w:r w:rsidRPr="00AD248B">
        <w:rPr>
          <w:rFonts w:ascii="Arial" w:hAnsi="Arial" w:cs="Arial"/>
          <w:b/>
          <w:bCs/>
          <w:sz w:val="24"/>
          <w:szCs w:val="24"/>
        </w:rPr>
        <w:t xml:space="preserve"> Chicago EE Idea</w:t>
      </w:r>
      <w:r w:rsidR="001E4EF6" w:rsidRPr="00AD248B">
        <w:rPr>
          <w:rFonts w:ascii="Arial" w:hAnsi="Arial" w:cs="Arial"/>
          <w:b/>
          <w:bCs/>
          <w:sz w:val="24"/>
          <w:szCs w:val="24"/>
        </w:rPr>
        <w:t>:</w:t>
      </w:r>
    </w:p>
    <w:p w14:paraId="50F7663F" w14:textId="77777777" w:rsidR="00F671AD" w:rsidRPr="001E4EF6" w:rsidRDefault="00F671AD" w:rsidP="00614472">
      <w:pPr>
        <w:spacing w:after="0" w:line="240" w:lineRule="auto"/>
        <w:ind w:left="-576"/>
        <w:rPr>
          <w:rFonts w:ascii="Arial" w:eastAsia="Calibri" w:hAnsi="Arial" w:cs="Arial"/>
          <w:bCs/>
          <w:sz w:val="21"/>
          <w:szCs w:val="21"/>
        </w:rPr>
      </w:pPr>
      <w:r w:rsidRPr="001E4EF6">
        <w:rPr>
          <w:rFonts w:ascii="Arial" w:eastAsia="Calibri" w:hAnsi="Arial" w:cs="Arial"/>
          <w:bCs/>
          <w:sz w:val="21"/>
          <w:szCs w:val="21"/>
        </w:rPr>
        <w:t>Efficient and Effective Use of Outdoor Lighting (EE Idea tracker rows 40-42)</w:t>
      </w:r>
    </w:p>
    <w:p w14:paraId="3E1A567A" w14:textId="77777777" w:rsidR="00F671AD" w:rsidRDefault="00F671AD" w:rsidP="001E4EF6">
      <w:pPr>
        <w:spacing w:after="0" w:line="240" w:lineRule="auto"/>
        <w:rPr>
          <w:rFonts w:ascii="Arial" w:eastAsia="Calibri" w:hAnsi="Arial" w:cs="Arial"/>
          <w:bCs/>
          <w:sz w:val="21"/>
          <w:szCs w:val="21"/>
        </w:rPr>
      </w:pPr>
    </w:p>
    <w:tbl>
      <w:tblPr>
        <w:tblW w:w="14060" w:type="dxa"/>
        <w:tblCellMar>
          <w:top w:w="15" w:type="dxa"/>
        </w:tblCellMar>
        <w:tblLook w:val="04A0" w:firstRow="1" w:lastRow="0" w:firstColumn="1" w:lastColumn="0" w:noHBand="0" w:noVBand="1"/>
      </w:tblPr>
      <w:tblGrid>
        <w:gridCol w:w="3445"/>
        <w:gridCol w:w="5145"/>
        <w:gridCol w:w="2614"/>
        <w:gridCol w:w="2634"/>
        <w:gridCol w:w="222"/>
      </w:tblGrid>
      <w:tr w:rsidR="00543190" w:rsidRPr="00543190" w14:paraId="191FAD9E" w14:textId="77777777" w:rsidTr="00543190">
        <w:trPr>
          <w:gridAfter w:val="1"/>
          <w:wAfter w:w="36" w:type="dxa"/>
          <w:trHeight w:val="290"/>
        </w:trPr>
        <w:tc>
          <w:tcPr>
            <w:tcW w:w="3511" w:type="dxa"/>
            <w:tcBorders>
              <w:top w:val="single" w:sz="4" w:space="0" w:color="auto"/>
              <w:left w:val="single" w:sz="4" w:space="0" w:color="auto"/>
              <w:bottom w:val="single" w:sz="4" w:space="0" w:color="auto"/>
              <w:right w:val="single" w:sz="4" w:space="0" w:color="auto"/>
            </w:tcBorders>
            <w:shd w:val="clear" w:color="CFE2F3" w:fill="CFE2F3"/>
            <w:vAlign w:val="center"/>
            <w:hideMark/>
          </w:tcPr>
          <w:p w14:paraId="41FC473E" w14:textId="77777777" w:rsidR="00543190" w:rsidRPr="00543190" w:rsidRDefault="00543190" w:rsidP="00543190">
            <w:pPr>
              <w:spacing w:after="0" w:line="240" w:lineRule="auto"/>
              <w:jc w:val="center"/>
              <w:rPr>
                <w:rFonts w:ascii="Arial" w:eastAsia="Times New Roman" w:hAnsi="Arial" w:cs="Arial"/>
                <w:b/>
                <w:bCs/>
                <w:color w:val="000000"/>
                <w:sz w:val="20"/>
                <w:szCs w:val="20"/>
              </w:rPr>
            </w:pPr>
            <w:r w:rsidRPr="00543190">
              <w:rPr>
                <w:rFonts w:ascii="Arial" w:eastAsia="Times New Roman" w:hAnsi="Arial" w:cs="Arial"/>
                <w:b/>
                <w:bCs/>
                <w:color w:val="000000"/>
                <w:sz w:val="20"/>
                <w:szCs w:val="20"/>
              </w:rPr>
              <w:t xml:space="preserve">Ameren IL Response </w:t>
            </w:r>
          </w:p>
        </w:tc>
        <w:tc>
          <w:tcPr>
            <w:tcW w:w="5265" w:type="dxa"/>
            <w:tcBorders>
              <w:top w:val="single" w:sz="4" w:space="0" w:color="auto"/>
              <w:left w:val="nil"/>
              <w:bottom w:val="single" w:sz="4" w:space="0" w:color="auto"/>
              <w:right w:val="single" w:sz="4" w:space="0" w:color="auto"/>
            </w:tcBorders>
            <w:shd w:val="clear" w:color="CFE2F3" w:fill="CFE2F3"/>
            <w:vAlign w:val="center"/>
            <w:hideMark/>
          </w:tcPr>
          <w:p w14:paraId="0645FA28" w14:textId="77777777" w:rsidR="00543190" w:rsidRPr="00543190" w:rsidRDefault="00543190" w:rsidP="00543190">
            <w:pPr>
              <w:spacing w:after="0" w:line="240" w:lineRule="auto"/>
              <w:jc w:val="center"/>
              <w:rPr>
                <w:rFonts w:ascii="Arial" w:eastAsia="Times New Roman" w:hAnsi="Arial" w:cs="Arial"/>
                <w:b/>
                <w:bCs/>
                <w:color w:val="000000"/>
                <w:sz w:val="20"/>
                <w:szCs w:val="20"/>
              </w:rPr>
            </w:pPr>
            <w:r w:rsidRPr="00543190">
              <w:rPr>
                <w:rFonts w:ascii="Arial" w:eastAsia="Times New Roman" w:hAnsi="Arial" w:cs="Arial"/>
                <w:b/>
                <w:bCs/>
                <w:color w:val="000000"/>
                <w:sz w:val="20"/>
                <w:szCs w:val="20"/>
              </w:rPr>
              <w:t xml:space="preserve">ComEd Response </w:t>
            </w:r>
          </w:p>
        </w:tc>
        <w:tc>
          <w:tcPr>
            <w:tcW w:w="2614" w:type="dxa"/>
            <w:tcBorders>
              <w:top w:val="single" w:sz="4" w:space="0" w:color="auto"/>
              <w:left w:val="nil"/>
              <w:bottom w:val="single" w:sz="4" w:space="0" w:color="auto"/>
              <w:right w:val="single" w:sz="4" w:space="0" w:color="auto"/>
            </w:tcBorders>
            <w:shd w:val="clear" w:color="CFE2F3" w:fill="CFE2F3"/>
            <w:vAlign w:val="center"/>
            <w:hideMark/>
          </w:tcPr>
          <w:p w14:paraId="459A81D6" w14:textId="77777777" w:rsidR="00543190" w:rsidRPr="00543190" w:rsidRDefault="00543190" w:rsidP="00543190">
            <w:pPr>
              <w:spacing w:after="0" w:line="240" w:lineRule="auto"/>
              <w:jc w:val="center"/>
              <w:rPr>
                <w:rFonts w:ascii="Arial" w:eastAsia="Times New Roman" w:hAnsi="Arial" w:cs="Arial"/>
                <w:b/>
                <w:bCs/>
                <w:color w:val="000000"/>
                <w:sz w:val="20"/>
                <w:szCs w:val="20"/>
              </w:rPr>
            </w:pPr>
            <w:r w:rsidRPr="00543190">
              <w:rPr>
                <w:rFonts w:ascii="Arial" w:eastAsia="Times New Roman" w:hAnsi="Arial" w:cs="Arial"/>
                <w:b/>
                <w:bCs/>
                <w:color w:val="000000"/>
                <w:sz w:val="20"/>
                <w:szCs w:val="20"/>
              </w:rPr>
              <w:t xml:space="preserve">Nicor Gas Response </w:t>
            </w:r>
          </w:p>
        </w:tc>
        <w:tc>
          <w:tcPr>
            <w:tcW w:w="2634" w:type="dxa"/>
            <w:tcBorders>
              <w:top w:val="single" w:sz="4" w:space="0" w:color="auto"/>
              <w:left w:val="nil"/>
              <w:bottom w:val="single" w:sz="4" w:space="0" w:color="auto"/>
              <w:right w:val="single" w:sz="4" w:space="0" w:color="auto"/>
            </w:tcBorders>
            <w:shd w:val="clear" w:color="CFE2F3" w:fill="CFE2F3"/>
            <w:vAlign w:val="center"/>
            <w:hideMark/>
          </w:tcPr>
          <w:p w14:paraId="5373B626" w14:textId="77777777" w:rsidR="00543190" w:rsidRPr="00543190" w:rsidRDefault="00543190" w:rsidP="00543190">
            <w:pPr>
              <w:spacing w:after="0" w:line="240" w:lineRule="auto"/>
              <w:jc w:val="center"/>
              <w:rPr>
                <w:rFonts w:ascii="Arial" w:eastAsia="Times New Roman" w:hAnsi="Arial" w:cs="Arial"/>
                <w:b/>
                <w:bCs/>
                <w:color w:val="000000"/>
                <w:sz w:val="20"/>
                <w:szCs w:val="20"/>
              </w:rPr>
            </w:pPr>
            <w:r w:rsidRPr="00543190">
              <w:rPr>
                <w:rFonts w:ascii="Arial" w:eastAsia="Times New Roman" w:hAnsi="Arial" w:cs="Arial"/>
                <w:b/>
                <w:bCs/>
                <w:color w:val="000000"/>
                <w:sz w:val="20"/>
                <w:szCs w:val="20"/>
              </w:rPr>
              <w:t xml:space="preserve">PG &amp; NSG Response </w:t>
            </w:r>
          </w:p>
        </w:tc>
      </w:tr>
      <w:tr w:rsidR="00543190" w:rsidRPr="00543190" w14:paraId="6D1FDC94" w14:textId="77777777" w:rsidTr="00543190">
        <w:trPr>
          <w:gridAfter w:val="1"/>
          <w:wAfter w:w="36" w:type="dxa"/>
          <w:trHeight w:val="710"/>
        </w:trPr>
        <w:tc>
          <w:tcPr>
            <w:tcW w:w="3511" w:type="dxa"/>
            <w:vMerge w:val="restart"/>
            <w:tcBorders>
              <w:top w:val="nil"/>
              <w:left w:val="single" w:sz="4" w:space="0" w:color="auto"/>
              <w:bottom w:val="single" w:sz="4" w:space="0" w:color="auto"/>
              <w:right w:val="single" w:sz="4" w:space="0" w:color="auto"/>
            </w:tcBorders>
            <w:shd w:val="clear" w:color="000000" w:fill="FFFF00"/>
            <w:vAlign w:val="center"/>
            <w:hideMark/>
          </w:tcPr>
          <w:p w14:paraId="6F5449C2" w14:textId="77777777" w:rsidR="00543190" w:rsidRPr="00543190" w:rsidRDefault="00543190" w:rsidP="00543190">
            <w:pPr>
              <w:spacing w:after="0" w:line="240" w:lineRule="auto"/>
              <w:rPr>
                <w:rFonts w:ascii="Arial" w:eastAsia="Times New Roman" w:hAnsi="Arial" w:cs="Arial"/>
                <w:color w:val="000000"/>
                <w:sz w:val="20"/>
                <w:szCs w:val="20"/>
              </w:rPr>
            </w:pPr>
            <w:r w:rsidRPr="00543190">
              <w:rPr>
                <w:rFonts w:ascii="Arial" w:eastAsia="Times New Roman" w:hAnsi="Arial" w:cs="Arial"/>
                <w:color w:val="000000"/>
                <w:sz w:val="20"/>
                <w:szCs w:val="20"/>
              </w:rPr>
              <w:t xml:space="preserve">AIC will consider enhanced incentives for adopting outdoor lighting that meets the </w:t>
            </w:r>
            <w:proofErr w:type="spellStart"/>
            <w:r w:rsidRPr="00543190">
              <w:rPr>
                <w:rFonts w:ascii="Arial" w:eastAsia="Times New Roman" w:hAnsi="Arial" w:cs="Arial"/>
                <w:color w:val="000000"/>
                <w:sz w:val="20"/>
                <w:szCs w:val="20"/>
              </w:rPr>
              <w:t>DarkSky</w:t>
            </w:r>
            <w:proofErr w:type="spellEnd"/>
            <w:r w:rsidRPr="00543190">
              <w:rPr>
                <w:rFonts w:ascii="Arial" w:eastAsia="Times New Roman" w:hAnsi="Arial" w:cs="Arial"/>
                <w:color w:val="000000"/>
                <w:sz w:val="20"/>
                <w:szCs w:val="20"/>
              </w:rPr>
              <w:t xml:space="preserve"> principals.as part of program design/delivery with next plan.  No further input necessary at this time.</w:t>
            </w:r>
          </w:p>
        </w:tc>
        <w:tc>
          <w:tcPr>
            <w:tcW w:w="5265" w:type="dxa"/>
            <w:vMerge w:val="restart"/>
            <w:tcBorders>
              <w:top w:val="nil"/>
              <w:left w:val="single" w:sz="4" w:space="0" w:color="auto"/>
              <w:bottom w:val="single" w:sz="4" w:space="0" w:color="auto"/>
              <w:right w:val="single" w:sz="4" w:space="0" w:color="auto"/>
            </w:tcBorders>
            <w:shd w:val="clear" w:color="000000" w:fill="FFFF00"/>
            <w:vAlign w:val="center"/>
            <w:hideMark/>
          </w:tcPr>
          <w:p w14:paraId="0F9E7CA2" w14:textId="77777777" w:rsidR="00543190" w:rsidRPr="00543190" w:rsidRDefault="00543190" w:rsidP="00543190">
            <w:pPr>
              <w:spacing w:after="0" w:line="240" w:lineRule="auto"/>
              <w:rPr>
                <w:rFonts w:ascii="Arial" w:eastAsia="Times New Roman" w:hAnsi="Arial" w:cs="Arial"/>
                <w:color w:val="000000"/>
                <w:sz w:val="20"/>
                <w:szCs w:val="20"/>
              </w:rPr>
            </w:pPr>
            <w:r w:rsidRPr="00543190">
              <w:rPr>
                <w:rFonts w:ascii="Arial" w:eastAsia="Times New Roman" w:hAnsi="Arial" w:cs="Arial"/>
                <w:color w:val="000000"/>
                <w:sz w:val="20"/>
                <w:szCs w:val="20"/>
              </w:rPr>
              <w:t>ComEd is interested in looking into this recommendation further. We would be supportive as long these specs don't drive customers away from LED saving projects and projects are cost-effective</w:t>
            </w:r>
          </w:p>
        </w:tc>
        <w:tc>
          <w:tcPr>
            <w:tcW w:w="2614" w:type="dxa"/>
            <w:vMerge w:val="restart"/>
            <w:tcBorders>
              <w:top w:val="nil"/>
              <w:left w:val="nil"/>
              <w:bottom w:val="single" w:sz="4" w:space="0" w:color="000000"/>
              <w:right w:val="single" w:sz="4" w:space="0" w:color="auto"/>
            </w:tcBorders>
            <w:shd w:val="clear" w:color="000000" w:fill="BFBFBF"/>
            <w:noWrap/>
            <w:vAlign w:val="center"/>
            <w:hideMark/>
          </w:tcPr>
          <w:p w14:paraId="4E200EB8" w14:textId="77777777" w:rsidR="00543190" w:rsidRPr="00543190" w:rsidRDefault="00543190" w:rsidP="00543190">
            <w:pPr>
              <w:spacing w:after="0" w:line="240" w:lineRule="auto"/>
              <w:jc w:val="center"/>
              <w:rPr>
                <w:rFonts w:ascii="Arial" w:eastAsia="Times New Roman" w:hAnsi="Arial" w:cs="Arial"/>
                <w:color w:val="000000"/>
                <w:sz w:val="20"/>
                <w:szCs w:val="20"/>
              </w:rPr>
            </w:pPr>
            <w:r w:rsidRPr="00543190">
              <w:rPr>
                <w:rFonts w:ascii="Arial" w:eastAsia="Times New Roman" w:hAnsi="Arial" w:cs="Arial"/>
                <w:color w:val="000000"/>
                <w:sz w:val="20"/>
                <w:szCs w:val="20"/>
              </w:rPr>
              <w:t xml:space="preserve">N/A </w:t>
            </w:r>
          </w:p>
        </w:tc>
        <w:tc>
          <w:tcPr>
            <w:tcW w:w="2634"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14:paraId="3EE187B4" w14:textId="77777777" w:rsidR="00543190" w:rsidRPr="00543190" w:rsidRDefault="00543190" w:rsidP="00543190">
            <w:pPr>
              <w:spacing w:after="0" w:line="240" w:lineRule="auto"/>
              <w:jc w:val="center"/>
              <w:rPr>
                <w:rFonts w:ascii="Arial" w:eastAsia="Times New Roman" w:hAnsi="Arial" w:cs="Arial"/>
                <w:color w:val="000000"/>
                <w:sz w:val="20"/>
                <w:szCs w:val="20"/>
              </w:rPr>
            </w:pPr>
            <w:r w:rsidRPr="00543190">
              <w:rPr>
                <w:rFonts w:ascii="Arial" w:eastAsia="Times New Roman" w:hAnsi="Arial" w:cs="Arial"/>
                <w:color w:val="000000"/>
                <w:sz w:val="20"/>
                <w:szCs w:val="20"/>
              </w:rPr>
              <w:t xml:space="preserve">N/A </w:t>
            </w:r>
          </w:p>
        </w:tc>
      </w:tr>
      <w:tr w:rsidR="00543190" w:rsidRPr="00543190" w14:paraId="20AA78D0" w14:textId="77777777" w:rsidTr="00543190">
        <w:trPr>
          <w:trHeight w:val="770"/>
        </w:trPr>
        <w:tc>
          <w:tcPr>
            <w:tcW w:w="3511" w:type="dxa"/>
            <w:vMerge/>
            <w:tcBorders>
              <w:top w:val="nil"/>
              <w:left w:val="single" w:sz="4" w:space="0" w:color="auto"/>
              <w:bottom w:val="single" w:sz="4" w:space="0" w:color="auto"/>
              <w:right w:val="single" w:sz="4" w:space="0" w:color="auto"/>
            </w:tcBorders>
            <w:vAlign w:val="center"/>
            <w:hideMark/>
          </w:tcPr>
          <w:p w14:paraId="7A5E11F3" w14:textId="77777777" w:rsidR="00543190" w:rsidRPr="00543190" w:rsidRDefault="00543190" w:rsidP="00543190">
            <w:pPr>
              <w:spacing w:after="0" w:line="240" w:lineRule="auto"/>
              <w:rPr>
                <w:rFonts w:ascii="Arial" w:eastAsia="Times New Roman" w:hAnsi="Arial" w:cs="Arial"/>
                <w:color w:val="000000"/>
                <w:sz w:val="20"/>
                <w:szCs w:val="20"/>
              </w:rPr>
            </w:pPr>
          </w:p>
        </w:tc>
        <w:tc>
          <w:tcPr>
            <w:tcW w:w="5265" w:type="dxa"/>
            <w:vMerge/>
            <w:tcBorders>
              <w:top w:val="nil"/>
              <w:left w:val="single" w:sz="4" w:space="0" w:color="auto"/>
              <w:bottom w:val="single" w:sz="4" w:space="0" w:color="auto"/>
              <w:right w:val="single" w:sz="4" w:space="0" w:color="auto"/>
            </w:tcBorders>
            <w:vAlign w:val="center"/>
            <w:hideMark/>
          </w:tcPr>
          <w:p w14:paraId="05E37E9B" w14:textId="77777777" w:rsidR="00543190" w:rsidRPr="00543190" w:rsidRDefault="00543190" w:rsidP="00543190">
            <w:pPr>
              <w:spacing w:after="0" w:line="240" w:lineRule="auto"/>
              <w:rPr>
                <w:rFonts w:ascii="Arial" w:eastAsia="Times New Roman" w:hAnsi="Arial" w:cs="Arial"/>
                <w:color w:val="000000"/>
                <w:sz w:val="20"/>
                <w:szCs w:val="20"/>
              </w:rPr>
            </w:pPr>
          </w:p>
        </w:tc>
        <w:tc>
          <w:tcPr>
            <w:tcW w:w="2614" w:type="dxa"/>
            <w:vMerge/>
            <w:tcBorders>
              <w:top w:val="nil"/>
              <w:left w:val="nil"/>
              <w:bottom w:val="single" w:sz="4" w:space="0" w:color="000000"/>
              <w:right w:val="single" w:sz="4" w:space="0" w:color="auto"/>
            </w:tcBorders>
            <w:vAlign w:val="center"/>
            <w:hideMark/>
          </w:tcPr>
          <w:p w14:paraId="037CC65F" w14:textId="77777777" w:rsidR="00543190" w:rsidRPr="00543190" w:rsidRDefault="00543190" w:rsidP="00543190">
            <w:pPr>
              <w:spacing w:after="0" w:line="240" w:lineRule="auto"/>
              <w:rPr>
                <w:rFonts w:ascii="Arial" w:eastAsia="Times New Roman" w:hAnsi="Arial" w:cs="Arial"/>
                <w:color w:val="000000"/>
                <w:sz w:val="20"/>
                <w:szCs w:val="20"/>
              </w:rPr>
            </w:pPr>
          </w:p>
        </w:tc>
        <w:tc>
          <w:tcPr>
            <w:tcW w:w="2634" w:type="dxa"/>
            <w:vMerge/>
            <w:tcBorders>
              <w:top w:val="nil"/>
              <w:left w:val="single" w:sz="4" w:space="0" w:color="auto"/>
              <w:bottom w:val="single" w:sz="4" w:space="0" w:color="000000"/>
              <w:right w:val="single" w:sz="4" w:space="0" w:color="auto"/>
            </w:tcBorders>
            <w:vAlign w:val="center"/>
            <w:hideMark/>
          </w:tcPr>
          <w:p w14:paraId="64D2D79E" w14:textId="77777777" w:rsidR="00543190" w:rsidRPr="00543190" w:rsidRDefault="00543190" w:rsidP="00543190">
            <w:pPr>
              <w:spacing w:after="0" w:line="240" w:lineRule="auto"/>
              <w:rPr>
                <w:rFonts w:ascii="Arial" w:eastAsia="Times New Roman" w:hAnsi="Arial" w:cs="Arial"/>
                <w:color w:val="000000"/>
                <w:sz w:val="20"/>
                <w:szCs w:val="20"/>
              </w:rPr>
            </w:pPr>
          </w:p>
        </w:tc>
        <w:tc>
          <w:tcPr>
            <w:tcW w:w="36" w:type="dxa"/>
            <w:tcBorders>
              <w:top w:val="nil"/>
              <w:left w:val="nil"/>
              <w:bottom w:val="nil"/>
              <w:right w:val="nil"/>
            </w:tcBorders>
            <w:shd w:val="clear" w:color="auto" w:fill="auto"/>
            <w:noWrap/>
            <w:vAlign w:val="bottom"/>
            <w:hideMark/>
          </w:tcPr>
          <w:p w14:paraId="07A6AF94" w14:textId="77777777" w:rsidR="00543190" w:rsidRPr="00543190" w:rsidRDefault="00543190" w:rsidP="00543190">
            <w:pPr>
              <w:spacing w:after="0" w:line="240" w:lineRule="auto"/>
              <w:jc w:val="center"/>
              <w:rPr>
                <w:rFonts w:ascii="Arial" w:eastAsia="Times New Roman" w:hAnsi="Arial" w:cs="Arial"/>
                <w:color w:val="000000"/>
                <w:sz w:val="20"/>
                <w:szCs w:val="20"/>
              </w:rPr>
            </w:pPr>
          </w:p>
        </w:tc>
      </w:tr>
      <w:tr w:rsidR="00543190" w:rsidRPr="00543190" w14:paraId="7B128BCB" w14:textId="77777777" w:rsidTr="00543190">
        <w:trPr>
          <w:trHeight w:val="70"/>
        </w:trPr>
        <w:tc>
          <w:tcPr>
            <w:tcW w:w="3511" w:type="dxa"/>
            <w:vMerge/>
            <w:tcBorders>
              <w:top w:val="nil"/>
              <w:left w:val="single" w:sz="4" w:space="0" w:color="auto"/>
              <w:bottom w:val="single" w:sz="4" w:space="0" w:color="auto"/>
              <w:right w:val="single" w:sz="4" w:space="0" w:color="auto"/>
            </w:tcBorders>
            <w:vAlign w:val="center"/>
            <w:hideMark/>
          </w:tcPr>
          <w:p w14:paraId="46E9984E" w14:textId="77777777" w:rsidR="00543190" w:rsidRPr="00543190" w:rsidRDefault="00543190" w:rsidP="00543190">
            <w:pPr>
              <w:spacing w:after="0" w:line="240" w:lineRule="auto"/>
              <w:rPr>
                <w:rFonts w:ascii="Arial" w:eastAsia="Times New Roman" w:hAnsi="Arial" w:cs="Arial"/>
                <w:color w:val="000000"/>
                <w:sz w:val="20"/>
                <w:szCs w:val="20"/>
              </w:rPr>
            </w:pPr>
          </w:p>
        </w:tc>
        <w:tc>
          <w:tcPr>
            <w:tcW w:w="5265" w:type="dxa"/>
            <w:vMerge/>
            <w:tcBorders>
              <w:top w:val="nil"/>
              <w:left w:val="single" w:sz="4" w:space="0" w:color="auto"/>
              <w:bottom w:val="single" w:sz="4" w:space="0" w:color="auto"/>
              <w:right w:val="single" w:sz="4" w:space="0" w:color="auto"/>
            </w:tcBorders>
            <w:vAlign w:val="center"/>
            <w:hideMark/>
          </w:tcPr>
          <w:p w14:paraId="0A84D2E3" w14:textId="77777777" w:rsidR="00543190" w:rsidRPr="00543190" w:rsidRDefault="00543190" w:rsidP="00543190">
            <w:pPr>
              <w:spacing w:after="0" w:line="240" w:lineRule="auto"/>
              <w:rPr>
                <w:rFonts w:ascii="Arial" w:eastAsia="Times New Roman" w:hAnsi="Arial" w:cs="Arial"/>
                <w:color w:val="000000"/>
                <w:sz w:val="20"/>
                <w:szCs w:val="20"/>
              </w:rPr>
            </w:pPr>
          </w:p>
        </w:tc>
        <w:tc>
          <w:tcPr>
            <w:tcW w:w="2614" w:type="dxa"/>
            <w:vMerge/>
            <w:tcBorders>
              <w:top w:val="nil"/>
              <w:left w:val="nil"/>
              <w:bottom w:val="single" w:sz="4" w:space="0" w:color="000000"/>
              <w:right w:val="single" w:sz="4" w:space="0" w:color="auto"/>
            </w:tcBorders>
            <w:vAlign w:val="center"/>
            <w:hideMark/>
          </w:tcPr>
          <w:p w14:paraId="249B0D2F" w14:textId="77777777" w:rsidR="00543190" w:rsidRPr="00543190" w:rsidRDefault="00543190" w:rsidP="00543190">
            <w:pPr>
              <w:spacing w:after="0" w:line="240" w:lineRule="auto"/>
              <w:rPr>
                <w:rFonts w:ascii="Arial" w:eastAsia="Times New Roman" w:hAnsi="Arial" w:cs="Arial"/>
                <w:color w:val="000000"/>
                <w:sz w:val="20"/>
                <w:szCs w:val="20"/>
              </w:rPr>
            </w:pPr>
          </w:p>
        </w:tc>
        <w:tc>
          <w:tcPr>
            <w:tcW w:w="2634" w:type="dxa"/>
            <w:vMerge/>
            <w:tcBorders>
              <w:top w:val="nil"/>
              <w:left w:val="single" w:sz="4" w:space="0" w:color="auto"/>
              <w:bottom w:val="single" w:sz="4" w:space="0" w:color="000000"/>
              <w:right w:val="single" w:sz="4" w:space="0" w:color="auto"/>
            </w:tcBorders>
            <w:vAlign w:val="center"/>
            <w:hideMark/>
          </w:tcPr>
          <w:p w14:paraId="6B5578D2" w14:textId="77777777" w:rsidR="00543190" w:rsidRPr="00543190" w:rsidRDefault="00543190" w:rsidP="00543190">
            <w:pPr>
              <w:spacing w:after="0" w:line="240" w:lineRule="auto"/>
              <w:rPr>
                <w:rFonts w:ascii="Arial" w:eastAsia="Times New Roman" w:hAnsi="Arial" w:cs="Arial"/>
                <w:color w:val="000000"/>
                <w:sz w:val="20"/>
                <w:szCs w:val="20"/>
              </w:rPr>
            </w:pPr>
          </w:p>
        </w:tc>
        <w:tc>
          <w:tcPr>
            <w:tcW w:w="36" w:type="dxa"/>
            <w:tcBorders>
              <w:top w:val="nil"/>
              <w:left w:val="nil"/>
              <w:bottom w:val="nil"/>
              <w:right w:val="nil"/>
            </w:tcBorders>
            <w:shd w:val="clear" w:color="auto" w:fill="auto"/>
            <w:noWrap/>
            <w:vAlign w:val="bottom"/>
            <w:hideMark/>
          </w:tcPr>
          <w:p w14:paraId="49090BB2" w14:textId="77777777" w:rsidR="00543190" w:rsidRPr="00543190" w:rsidRDefault="00543190" w:rsidP="00543190">
            <w:pPr>
              <w:spacing w:after="0" w:line="240" w:lineRule="auto"/>
              <w:rPr>
                <w:rFonts w:ascii="Times New Roman" w:eastAsia="Times New Roman" w:hAnsi="Times New Roman" w:cs="Times New Roman"/>
                <w:sz w:val="20"/>
                <w:szCs w:val="20"/>
              </w:rPr>
            </w:pPr>
          </w:p>
        </w:tc>
      </w:tr>
    </w:tbl>
    <w:p w14:paraId="10C236CC" w14:textId="77777777" w:rsidR="00543190" w:rsidRDefault="00543190" w:rsidP="001E4EF6">
      <w:pPr>
        <w:spacing w:after="0" w:line="240" w:lineRule="auto"/>
        <w:rPr>
          <w:rFonts w:ascii="Arial" w:eastAsia="Calibri" w:hAnsi="Arial" w:cs="Arial"/>
          <w:bCs/>
          <w:sz w:val="21"/>
          <w:szCs w:val="21"/>
        </w:rPr>
      </w:pPr>
    </w:p>
    <w:p w14:paraId="13746D20" w14:textId="6248A32A" w:rsidR="00F671AD" w:rsidRPr="00AD248B" w:rsidRDefault="00F671AD" w:rsidP="00614472">
      <w:pPr>
        <w:spacing w:after="0" w:line="240" w:lineRule="auto"/>
        <w:ind w:left="-576"/>
        <w:rPr>
          <w:rFonts w:ascii="Arial" w:hAnsi="Arial" w:cs="Arial"/>
          <w:b/>
          <w:bCs/>
          <w:sz w:val="24"/>
          <w:szCs w:val="24"/>
        </w:rPr>
      </w:pPr>
      <w:r w:rsidRPr="00AD248B">
        <w:rPr>
          <w:rFonts w:ascii="Arial" w:hAnsi="Arial" w:cs="Arial"/>
          <w:b/>
          <w:bCs/>
          <w:sz w:val="24"/>
          <w:szCs w:val="24"/>
        </w:rPr>
        <w:t>The Mendota Group EE Idea</w:t>
      </w:r>
      <w:r w:rsidR="001E4EF6" w:rsidRPr="00AD248B">
        <w:rPr>
          <w:rFonts w:ascii="Arial" w:hAnsi="Arial" w:cs="Arial"/>
          <w:b/>
          <w:bCs/>
          <w:sz w:val="24"/>
          <w:szCs w:val="24"/>
        </w:rPr>
        <w:t>:</w:t>
      </w:r>
    </w:p>
    <w:p w14:paraId="748B2031" w14:textId="77777777" w:rsidR="00F671AD" w:rsidRPr="001E4EF6" w:rsidRDefault="00F671AD" w:rsidP="00614472">
      <w:pPr>
        <w:spacing w:after="0" w:line="240" w:lineRule="auto"/>
        <w:ind w:left="-576"/>
        <w:rPr>
          <w:rFonts w:ascii="Arial" w:hAnsi="Arial" w:cs="Arial"/>
          <w:sz w:val="21"/>
          <w:szCs w:val="21"/>
        </w:rPr>
      </w:pPr>
      <w:r w:rsidRPr="001E4EF6">
        <w:rPr>
          <w:rFonts w:ascii="Arial" w:hAnsi="Arial" w:cs="Arial"/>
          <w:sz w:val="21"/>
          <w:szCs w:val="21"/>
        </w:rPr>
        <w:t>Market Access Program Design (EE Idea tracker row 62)</w:t>
      </w:r>
    </w:p>
    <w:p w14:paraId="185EE127" w14:textId="77777777" w:rsidR="00F671AD" w:rsidRDefault="00F671AD" w:rsidP="00F671AD">
      <w:pPr>
        <w:spacing w:after="0" w:line="240" w:lineRule="auto"/>
        <w:rPr>
          <w:rFonts w:ascii="Arial" w:hAnsi="Arial" w:cs="Arial"/>
          <w:sz w:val="21"/>
          <w:szCs w:val="21"/>
        </w:rPr>
      </w:pPr>
    </w:p>
    <w:tbl>
      <w:tblPr>
        <w:tblW w:w="13620" w:type="dxa"/>
        <w:tblLook w:val="04A0" w:firstRow="1" w:lastRow="0" w:firstColumn="1" w:lastColumn="0" w:noHBand="0" w:noVBand="1"/>
      </w:tblPr>
      <w:tblGrid>
        <w:gridCol w:w="3080"/>
        <w:gridCol w:w="5280"/>
        <w:gridCol w:w="2620"/>
        <w:gridCol w:w="2640"/>
      </w:tblGrid>
      <w:tr w:rsidR="002075E9" w:rsidRPr="002075E9" w14:paraId="25618D3E" w14:textId="77777777" w:rsidTr="002075E9">
        <w:trPr>
          <w:trHeight w:val="290"/>
        </w:trPr>
        <w:tc>
          <w:tcPr>
            <w:tcW w:w="3080" w:type="dxa"/>
            <w:tcBorders>
              <w:top w:val="single" w:sz="4" w:space="0" w:color="auto"/>
              <w:left w:val="single" w:sz="4" w:space="0" w:color="auto"/>
              <w:bottom w:val="single" w:sz="4" w:space="0" w:color="auto"/>
              <w:right w:val="single" w:sz="4" w:space="0" w:color="auto"/>
            </w:tcBorders>
            <w:shd w:val="clear" w:color="CFE2F3" w:fill="CFE2F3"/>
            <w:vAlign w:val="center"/>
            <w:hideMark/>
          </w:tcPr>
          <w:p w14:paraId="6DB2B34E" w14:textId="77777777" w:rsidR="002075E9" w:rsidRPr="002075E9" w:rsidRDefault="002075E9" w:rsidP="002075E9">
            <w:pPr>
              <w:spacing w:after="0" w:line="240" w:lineRule="auto"/>
              <w:jc w:val="center"/>
              <w:rPr>
                <w:rFonts w:ascii="Arial" w:eastAsia="Times New Roman" w:hAnsi="Arial" w:cs="Arial"/>
                <w:b/>
                <w:bCs/>
                <w:color w:val="000000"/>
                <w:sz w:val="20"/>
                <w:szCs w:val="20"/>
              </w:rPr>
            </w:pPr>
            <w:r w:rsidRPr="002075E9">
              <w:rPr>
                <w:rFonts w:ascii="Arial" w:eastAsia="Times New Roman" w:hAnsi="Arial" w:cs="Arial"/>
                <w:b/>
                <w:bCs/>
                <w:color w:val="000000"/>
                <w:sz w:val="20"/>
                <w:szCs w:val="20"/>
              </w:rPr>
              <w:t xml:space="preserve">Ameren IL Response </w:t>
            </w:r>
          </w:p>
        </w:tc>
        <w:tc>
          <w:tcPr>
            <w:tcW w:w="5280" w:type="dxa"/>
            <w:tcBorders>
              <w:top w:val="single" w:sz="4" w:space="0" w:color="auto"/>
              <w:left w:val="nil"/>
              <w:bottom w:val="single" w:sz="4" w:space="0" w:color="auto"/>
              <w:right w:val="single" w:sz="4" w:space="0" w:color="auto"/>
            </w:tcBorders>
            <w:shd w:val="clear" w:color="CFE2F3" w:fill="CFE2F3"/>
            <w:vAlign w:val="center"/>
            <w:hideMark/>
          </w:tcPr>
          <w:p w14:paraId="7B959E6F" w14:textId="77777777" w:rsidR="002075E9" w:rsidRPr="002075E9" w:rsidRDefault="002075E9" w:rsidP="002075E9">
            <w:pPr>
              <w:spacing w:after="0" w:line="240" w:lineRule="auto"/>
              <w:jc w:val="center"/>
              <w:rPr>
                <w:rFonts w:ascii="Arial" w:eastAsia="Times New Roman" w:hAnsi="Arial" w:cs="Arial"/>
                <w:b/>
                <w:bCs/>
                <w:color w:val="000000"/>
                <w:sz w:val="20"/>
                <w:szCs w:val="20"/>
              </w:rPr>
            </w:pPr>
            <w:r w:rsidRPr="002075E9">
              <w:rPr>
                <w:rFonts w:ascii="Arial" w:eastAsia="Times New Roman" w:hAnsi="Arial" w:cs="Arial"/>
                <w:b/>
                <w:bCs/>
                <w:color w:val="000000"/>
                <w:sz w:val="20"/>
                <w:szCs w:val="20"/>
              </w:rPr>
              <w:t xml:space="preserve">ComEd Response </w:t>
            </w:r>
          </w:p>
        </w:tc>
        <w:tc>
          <w:tcPr>
            <w:tcW w:w="2620" w:type="dxa"/>
            <w:tcBorders>
              <w:top w:val="single" w:sz="4" w:space="0" w:color="auto"/>
              <w:left w:val="nil"/>
              <w:bottom w:val="single" w:sz="4" w:space="0" w:color="auto"/>
              <w:right w:val="single" w:sz="4" w:space="0" w:color="auto"/>
            </w:tcBorders>
            <w:shd w:val="clear" w:color="CFE2F3" w:fill="CFE2F3"/>
            <w:vAlign w:val="center"/>
            <w:hideMark/>
          </w:tcPr>
          <w:p w14:paraId="35EC0621" w14:textId="77777777" w:rsidR="002075E9" w:rsidRPr="002075E9" w:rsidRDefault="002075E9" w:rsidP="002075E9">
            <w:pPr>
              <w:spacing w:after="0" w:line="240" w:lineRule="auto"/>
              <w:jc w:val="center"/>
              <w:rPr>
                <w:rFonts w:ascii="Arial" w:eastAsia="Times New Roman" w:hAnsi="Arial" w:cs="Arial"/>
                <w:b/>
                <w:bCs/>
                <w:color w:val="000000"/>
                <w:sz w:val="20"/>
                <w:szCs w:val="20"/>
              </w:rPr>
            </w:pPr>
            <w:r w:rsidRPr="002075E9">
              <w:rPr>
                <w:rFonts w:ascii="Arial" w:eastAsia="Times New Roman" w:hAnsi="Arial" w:cs="Arial"/>
                <w:b/>
                <w:bCs/>
                <w:color w:val="000000"/>
                <w:sz w:val="20"/>
                <w:szCs w:val="20"/>
              </w:rPr>
              <w:t xml:space="preserve">Nicor Gas Response </w:t>
            </w:r>
          </w:p>
        </w:tc>
        <w:tc>
          <w:tcPr>
            <w:tcW w:w="2640" w:type="dxa"/>
            <w:tcBorders>
              <w:top w:val="single" w:sz="4" w:space="0" w:color="auto"/>
              <w:left w:val="nil"/>
              <w:bottom w:val="single" w:sz="4" w:space="0" w:color="auto"/>
              <w:right w:val="single" w:sz="4" w:space="0" w:color="auto"/>
            </w:tcBorders>
            <w:shd w:val="clear" w:color="CFE2F3" w:fill="CFE2F3"/>
            <w:vAlign w:val="center"/>
            <w:hideMark/>
          </w:tcPr>
          <w:p w14:paraId="3AB3F8EE" w14:textId="77777777" w:rsidR="002075E9" w:rsidRPr="002075E9" w:rsidRDefault="002075E9" w:rsidP="002075E9">
            <w:pPr>
              <w:spacing w:after="0" w:line="240" w:lineRule="auto"/>
              <w:jc w:val="center"/>
              <w:rPr>
                <w:rFonts w:ascii="Arial" w:eastAsia="Times New Roman" w:hAnsi="Arial" w:cs="Arial"/>
                <w:b/>
                <w:bCs/>
                <w:color w:val="000000"/>
                <w:sz w:val="20"/>
                <w:szCs w:val="20"/>
              </w:rPr>
            </w:pPr>
            <w:r w:rsidRPr="002075E9">
              <w:rPr>
                <w:rFonts w:ascii="Arial" w:eastAsia="Times New Roman" w:hAnsi="Arial" w:cs="Arial"/>
                <w:b/>
                <w:bCs/>
                <w:color w:val="000000"/>
                <w:sz w:val="20"/>
                <w:szCs w:val="20"/>
              </w:rPr>
              <w:t xml:space="preserve">PG &amp; NSG Response </w:t>
            </w:r>
          </w:p>
        </w:tc>
      </w:tr>
      <w:tr w:rsidR="002075E9" w:rsidRPr="002075E9" w14:paraId="188DAC19" w14:textId="77777777" w:rsidTr="002075E9">
        <w:trPr>
          <w:trHeight w:val="2393"/>
        </w:trPr>
        <w:tc>
          <w:tcPr>
            <w:tcW w:w="3080" w:type="dxa"/>
            <w:tcBorders>
              <w:top w:val="nil"/>
              <w:left w:val="single" w:sz="4" w:space="0" w:color="auto"/>
              <w:bottom w:val="single" w:sz="4" w:space="0" w:color="auto"/>
              <w:right w:val="single" w:sz="4" w:space="0" w:color="auto"/>
            </w:tcBorders>
            <w:shd w:val="clear" w:color="000000" w:fill="FB8C89"/>
            <w:vAlign w:val="center"/>
            <w:hideMark/>
          </w:tcPr>
          <w:p w14:paraId="2A7441A4" w14:textId="77777777" w:rsidR="002075E9" w:rsidRPr="002075E9" w:rsidRDefault="002075E9" w:rsidP="002075E9">
            <w:pPr>
              <w:spacing w:after="0" w:line="240" w:lineRule="auto"/>
              <w:rPr>
                <w:rFonts w:ascii="Arial" w:eastAsia="Times New Roman" w:hAnsi="Arial" w:cs="Arial"/>
                <w:color w:val="000000"/>
                <w:sz w:val="20"/>
                <w:szCs w:val="20"/>
              </w:rPr>
            </w:pPr>
            <w:r w:rsidRPr="002075E9">
              <w:rPr>
                <w:rFonts w:ascii="Arial" w:eastAsia="Times New Roman" w:hAnsi="Arial" w:cs="Arial"/>
                <w:color w:val="000000"/>
                <w:sz w:val="20"/>
                <w:szCs w:val="20"/>
              </w:rPr>
              <w:t>AIC has concerns with how this concept impacts installer participation.</w:t>
            </w:r>
          </w:p>
        </w:tc>
        <w:tc>
          <w:tcPr>
            <w:tcW w:w="5280" w:type="dxa"/>
            <w:tcBorders>
              <w:top w:val="nil"/>
              <w:left w:val="nil"/>
              <w:bottom w:val="single" w:sz="4" w:space="0" w:color="auto"/>
              <w:right w:val="single" w:sz="4" w:space="0" w:color="auto"/>
            </w:tcBorders>
            <w:shd w:val="clear" w:color="D9E1F2" w:fill="B4C6E7"/>
            <w:vAlign w:val="center"/>
            <w:hideMark/>
          </w:tcPr>
          <w:p w14:paraId="4906FA4F" w14:textId="77777777" w:rsidR="002075E9" w:rsidRPr="002075E9" w:rsidRDefault="002075E9" w:rsidP="002075E9">
            <w:pPr>
              <w:spacing w:after="0" w:line="240" w:lineRule="auto"/>
              <w:rPr>
                <w:rFonts w:ascii="Arial" w:eastAsia="Times New Roman" w:hAnsi="Arial" w:cs="Arial"/>
                <w:color w:val="000000"/>
                <w:sz w:val="20"/>
                <w:szCs w:val="20"/>
              </w:rPr>
            </w:pPr>
            <w:r w:rsidRPr="002075E9">
              <w:rPr>
                <w:rFonts w:ascii="Arial" w:eastAsia="Times New Roman" w:hAnsi="Arial" w:cs="Arial"/>
                <w:color w:val="000000"/>
                <w:sz w:val="20"/>
                <w:szCs w:val="20"/>
              </w:rPr>
              <w:t xml:space="preserve">ComEd is initially in support of such an idea but needs more information to fully understand the benefits and consider further. The CPUC included quite a bit of information on metrics, but how would the aggregators be qualified and managed? Also, what messaging to customers on this aggregated approach seems to work? Finally, what NTG, RR, and cost-effectiveness values have been found elsewhere? We believe this should be run through our R&amp;D process to better understand the answers to these questions. </w:t>
            </w:r>
          </w:p>
        </w:tc>
        <w:tc>
          <w:tcPr>
            <w:tcW w:w="2620" w:type="dxa"/>
            <w:tcBorders>
              <w:top w:val="nil"/>
              <w:left w:val="nil"/>
              <w:bottom w:val="single" w:sz="4" w:space="0" w:color="auto"/>
              <w:right w:val="single" w:sz="4" w:space="0" w:color="auto"/>
            </w:tcBorders>
            <w:shd w:val="clear" w:color="000000" w:fill="FB8C89"/>
            <w:vAlign w:val="center"/>
            <w:hideMark/>
          </w:tcPr>
          <w:p w14:paraId="2BBD7859" w14:textId="77777777" w:rsidR="002075E9" w:rsidRPr="002075E9" w:rsidRDefault="002075E9" w:rsidP="002075E9">
            <w:pPr>
              <w:spacing w:after="0" w:line="240" w:lineRule="auto"/>
              <w:rPr>
                <w:rFonts w:ascii="Arial" w:eastAsia="Times New Roman" w:hAnsi="Arial" w:cs="Arial"/>
                <w:color w:val="000000"/>
                <w:sz w:val="20"/>
                <w:szCs w:val="20"/>
              </w:rPr>
            </w:pPr>
            <w:r w:rsidRPr="002075E9">
              <w:rPr>
                <w:rFonts w:ascii="Arial" w:eastAsia="Times New Roman" w:hAnsi="Arial" w:cs="Arial"/>
                <w:color w:val="000000"/>
                <w:sz w:val="20"/>
                <w:szCs w:val="20"/>
              </w:rPr>
              <w:t>Underdeveloped idea; additionally, incorporating varying baselines would be challenging.</w:t>
            </w:r>
          </w:p>
        </w:tc>
        <w:tc>
          <w:tcPr>
            <w:tcW w:w="2640" w:type="dxa"/>
            <w:tcBorders>
              <w:top w:val="nil"/>
              <w:left w:val="nil"/>
              <w:bottom w:val="single" w:sz="4" w:space="0" w:color="auto"/>
              <w:right w:val="single" w:sz="4" w:space="0" w:color="auto"/>
            </w:tcBorders>
            <w:shd w:val="clear" w:color="000000" w:fill="FB8C89"/>
            <w:vAlign w:val="center"/>
            <w:hideMark/>
          </w:tcPr>
          <w:p w14:paraId="1EBECB65" w14:textId="77777777" w:rsidR="002075E9" w:rsidRPr="002075E9" w:rsidRDefault="002075E9" w:rsidP="002075E9">
            <w:pPr>
              <w:spacing w:after="0" w:line="240" w:lineRule="auto"/>
              <w:rPr>
                <w:rFonts w:ascii="Arial" w:eastAsia="Times New Roman" w:hAnsi="Arial" w:cs="Arial"/>
                <w:sz w:val="20"/>
                <w:szCs w:val="20"/>
              </w:rPr>
            </w:pPr>
            <w:r w:rsidRPr="002075E9">
              <w:rPr>
                <w:rFonts w:ascii="Arial" w:eastAsia="Times New Roman" w:hAnsi="Arial" w:cs="Arial"/>
                <w:sz w:val="20"/>
                <w:szCs w:val="20"/>
              </w:rPr>
              <w:t>PGL/NSG delivers cost-effective and comprehensive solutions for C&amp;I customers. PGL/NSG suggests vendor product proposals be submitted though business development or RFP processes.</w:t>
            </w:r>
          </w:p>
        </w:tc>
      </w:tr>
    </w:tbl>
    <w:p w14:paraId="3E94D026" w14:textId="77777777" w:rsidR="00AD248B" w:rsidRDefault="00AD248B" w:rsidP="00F671AD">
      <w:pPr>
        <w:spacing w:after="0" w:line="240" w:lineRule="auto"/>
        <w:rPr>
          <w:rFonts w:ascii="Arial" w:hAnsi="Arial" w:cs="Arial"/>
          <w:sz w:val="21"/>
          <w:szCs w:val="21"/>
        </w:rPr>
      </w:pPr>
    </w:p>
    <w:p w14:paraId="5FCA6B20" w14:textId="77777777" w:rsidR="00673B8C" w:rsidRDefault="00673B8C" w:rsidP="00F671AD">
      <w:pPr>
        <w:spacing w:after="0" w:line="240" w:lineRule="auto"/>
        <w:rPr>
          <w:rFonts w:ascii="Arial" w:hAnsi="Arial" w:cs="Arial"/>
          <w:sz w:val="21"/>
          <w:szCs w:val="21"/>
        </w:rPr>
      </w:pPr>
    </w:p>
    <w:p w14:paraId="0C908848" w14:textId="77777777" w:rsidR="00673B8C" w:rsidRDefault="00673B8C" w:rsidP="00F671AD">
      <w:pPr>
        <w:spacing w:after="0" w:line="240" w:lineRule="auto"/>
        <w:rPr>
          <w:rFonts w:ascii="Arial" w:hAnsi="Arial" w:cs="Arial"/>
          <w:sz w:val="21"/>
          <w:szCs w:val="21"/>
        </w:rPr>
      </w:pPr>
    </w:p>
    <w:p w14:paraId="7C20A6DC" w14:textId="77777777" w:rsidR="00673B8C" w:rsidRDefault="00673B8C" w:rsidP="00F671AD">
      <w:pPr>
        <w:spacing w:after="0" w:line="240" w:lineRule="auto"/>
        <w:rPr>
          <w:rFonts w:ascii="Arial" w:hAnsi="Arial" w:cs="Arial"/>
          <w:sz w:val="21"/>
          <w:szCs w:val="21"/>
        </w:rPr>
      </w:pPr>
    </w:p>
    <w:p w14:paraId="38EA3E2E" w14:textId="77777777" w:rsidR="00673B8C" w:rsidRDefault="00673B8C" w:rsidP="00F671AD">
      <w:pPr>
        <w:spacing w:after="0" w:line="240" w:lineRule="auto"/>
        <w:rPr>
          <w:rFonts w:ascii="Arial" w:hAnsi="Arial" w:cs="Arial"/>
          <w:sz w:val="21"/>
          <w:szCs w:val="21"/>
        </w:rPr>
      </w:pPr>
    </w:p>
    <w:p w14:paraId="426BF8CC" w14:textId="77777777" w:rsidR="00673B8C" w:rsidRDefault="00673B8C" w:rsidP="00F671AD">
      <w:pPr>
        <w:spacing w:after="0" w:line="240" w:lineRule="auto"/>
        <w:rPr>
          <w:rFonts w:ascii="Arial" w:hAnsi="Arial" w:cs="Arial"/>
          <w:sz w:val="21"/>
          <w:szCs w:val="21"/>
        </w:rPr>
      </w:pPr>
    </w:p>
    <w:p w14:paraId="5251E074" w14:textId="77777777" w:rsidR="00673B8C" w:rsidRDefault="00673B8C" w:rsidP="00F671AD">
      <w:pPr>
        <w:spacing w:after="0" w:line="240" w:lineRule="auto"/>
        <w:rPr>
          <w:rFonts w:ascii="Arial" w:hAnsi="Arial" w:cs="Arial"/>
          <w:sz w:val="21"/>
          <w:szCs w:val="21"/>
        </w:rPr>
      </w:pPr>
    </w:p>
    <w:p w14:paraId="2A337458" w14:textId="77777777" w:rsidR="00673B8C" w:rsidRDefault="00673B8C" w:rsidP="00F671AD">
      <w:pPr>
        <w:spacing w:after="0" w:line="240" w:lineRule="auto"/>
        <w:rPr>
          <w:rFonts w:ascii="Arial" w:hAnsi="Arial" w:cs="Arial"/>
          <w:sz w:val="21"/>
          <w:szCs w:val="21"/>
        </w:rPr>
      </w:pPr>
    </w:p>
    <w:p w14:paraId="0AF057A2" w14:textId="6E898738" w:rsidR="00F671AD" w:rsidRPr="00AD248B" w:rsidRDefault="00F671AD" w:rsidP="00614472">
      <w:pPr>
        <w:spacing w:after="0" w:line="240" w:lineRule="auto"/>
        <w:ind w:left="-576"/>
        <w:rPr>
          <w:rFonts w:ascii="Arial" w:hAnsi="Arial" w:cs="Arial"/>
          <w:b/>
          <w:bCs/>
          <w:sz w:val="24"/>
          <w:szCs w:val="24"/>
        </w:rPr>
      </w:pPr>
      <w:r w:rsidRPr="00AD248B">
        <w:rPr>
          <w:rFonts w:ascii="Arial" w:hAnsi="Arial" w:cs="Arial"/>
          <w:b/>
          <w:bCs/>
          <w:sz w:val="24"/>
          <w:szCs w:val="24"/>
        </w:rPr>
        <w:t>RMI and the Advanced Building Construction Collaborative EE Idea</w:t>
      </w:r>
      <w:r w:rsidR="001E4EF6" w:rsidRPr="00AD248B">
        <w:rPr>
          <w:rFonts w:ascii="Arial" w:hAnsi="Arial" w:cs="Arial"/>
          <w:b/>
          <w:bCs/>
          <w:sz w:val="24"/>
          <w:szCs w:val="24"/>
        </w:rPr>
        <w:t>:</w:t>
      </w:r>
    </w:p>
    <w:p w14:paraId="415E99C0" w14:textId="77777777" w:rsidR="00F671AD" w:rsidRPr="001E4EF6" w:rsidRDefault="00F671AD" w:rsidP="00614472">
      <w:pPr>
        <w:spacing w:after="0" w:line="240" w:lineRule="auto"/>
        <w:ind w:left="-576"/>
        <w:rPr>
          <w:rFonts w:ascii="Arial" w:eastAsia="Calibri" w:hAnsi="Arial" w:cs="Arial"/>
          <w:bCs/>
          <w:sz w:val="21"/>
          <w:szCs w:val="21"/>
        </w:rPr>
      </w:pPr>
      <w:r w:rsidRPr="001E4EF6">
        <w:rPr>
          <w:rFonts w:ascii="Arial" w:hAnsi="Arial" w:cs="Arial"/>
          <w:sz w:val="21"/>
          <w:szCs w:val="21"/>
        </w:rPr>
        <w:t>Industrialized Decarbonization Retrofits (EE Idea tracker row 61)</w:t>
      </w:r>
    </w:p>
    <w:p w14:paraId="653D218E" w14:textId="77777777" w:rsidR="00F671AD" w:rsidRDefault="00F671AD" w:rsidP="00F671AD">
      <w:pPr>
        <w:spacing w:after="0" w:line="240" w:lineRule="auto"/>
        <w:rPr>
          <w:rFonts w:ascii="Arial" w:eastAsia="Calibri" w:hAnsi="Arial" w:cs="Arial"/>
          <w:bCs/>
          <w:sz w:val="21"/>
          <w:szCs w:val="21"/>
        </w:rPr>
      </w:pPr>
    </w:p>
    <w:tbl>
      <w:tblPr>
        <w:tblW w:w="0" w:type="auto"/>
        <w:tblInd w:w="-635" w:type="dxa"/>
        <w:tblLook w:val="04A0" w:firstRow="1" w:lastRow="0" w:firstColumn="1" w:lastColumn="0" w:noHBand="0" w:noVBand="1"/>
      </w:tblPr>
      <w:tblGrid>
        <w:gridCol w:w="3166"/>
        <w:gridCol w:w="6194"/>
        <w:gridCol w:w="1890"/>
        <w:gridCol w:w="2335"/>
      </w:tblGrid>
      <w:tr w:rsidR="00673B8C" w:rsidRPr="00673B8C" w14:paraId="42AE8E5B" w14:textId="77777777" w:rsidTr="0023628B">
        <w:trPr>
          <w:trHeight w:val="290"/>
        </w:trPr>
        <w:tc>
          <w:tcPr>
            <w:tcW w:w="3166" w:type="dxa"/>
            <w:tcBorders>
              <w:top w:val="single" w:sz="4" w:space="0" w:color="auto"/>
              <w:left w:val="single" w:sz="4" w:space="0" w:color="auto"/>
              <w:bottom w:val="single" w:sz="4" w:space="0" w:color="auto"/>
              <w:right w:val="single" w:sz="4" w:space="0" w:color="auto"/>
            </w:tcBorders>
            <w:shd w:val="clear" w:color="CFE2F3" w:fill="CFE2F3"/>
            <w:vAlign w:val="center"/>
            <w:hideMark/>
          </w:tcPr>
          <w:p w14:paraId="7D918A21" w14:textId="77777777" w:rsidR="00673B8C" w:rsidRPr="00673B8C" w:rsidRDefault="00673B8C" w:rsidP="00673B8C">
            <w:pPr>
              <w:spacing w:after="0" w:line="240" w:lineRule="auto"/>
              <w:jc w:val="center"/>
              <w:rPr>
                <w:rFonts w:ascii="Arial" w:eastAsia="Times New Roman" w:hAnsi="Arial" w:cs="Arial"/>
                <w:b/>
                <w:bCs/>
                <w:color w:val="000000"/>
                <w:sz w:val="20"/>
                <w:szCs w:val="20"/>
              </w:rPr>
            </w:pPr>
            <w:r w:rsidRPr="00673B8C">
              <w:rPr>
                <w:rFonts w:ascii="Arial" w:eastAsia="Times New Roman" w:hAnsi="Arial" w:cs="Arial"/>
                <w:b/>
                <w:bCs/>
                <w:color w:val="000000"/>
                <w:sz w:val="20"/>
                <w:szCs w:val="20"/>
              </w:rPr>
              <w:t xml:space="preserve">Ameren IL Response </w:t>
            </w:r>
          </w:p>
        </w:tc>
        <w:tc>
          <w:tcPr>
            <w:tcW w:w="6194" w:type="dxa"/>
            <w:tcBorders>
              <w:top w:val="single" w:sz="4" w:space="0" w:color="auto"/>
              <w:left w:val="nil"/>
              <w:bottom w:val="single" w:sz="4" w:space="0" w:color="auto"/>
              <w:right w:val="single" w:sz="4" w:space="0" w:color="auto"/>
            </w:tcBorders>
            <w:shd w:val="clear" w:color="CFE2F3" w:fill="CFE2F3"/>
            <w:vAlign w:val="center"/>
            <w:hideMark/>
          </w:tcPr>
          <w:p w14:paraId="536D06DA" w14:textId="77777777" w:rsidR="00673B8C" w:rsidRPr="00673B8C" w:rsidRDefault="00673B8C" w:rsidP="00673B8C">
            <w:pPr>
              <w:spacing w:after="0" w:line="240" w:lineRule="auto"/>
              <w:jc w:val="center"/>
              <w:rPr>
                <w:rFonts w:ascii="Arial" w:eastAsia="Times New Roman" w:hAnsi="Arial" w:cs="Arial"/>
                <w:b/>
                <w:bCs/>
                <w:color w:val="000000"/>
                <w:sz w:val="20"/>
                <w:szCs w:val="20"/>
              </w:rPr>
            </w:pPr>
            <w:r w:rsidRPr="00673B8C">
              <w:rPr>
                <w:rFonts w:ascii="Arial" w:eastAsia="Times New Roman" w:hAnsi="Arial" w:cs="Arial"/>
                <w:b/>
                <w:bCs/>
                <w:color w:val="000000"/>
                <w:sz w:val="20"/>
                <w:szCs w:val="20"/>
              </w:rPr>
              <w:t xml:space="preserve">ComEd Response </w:t>
            </w:r>
          </w:p>
        </w:tc>
        <w:tc>
          <w:tcPr>
            <w:tcW w:w="1890" w:type="dxa"/>
            <w:tcBorders>
              <w:top w:val="single" w:sz="4" w:space="0" w:color="auto"/>
              <w:left w:val="nil"/>
              <w:bottom w:val="single" w:sz="4" w:space="0" w:color="auto"/>
              <w:right w:val="single" w:sz="4" w:space="0" w:color="auto"/>
            </w:tcBorders>
            <w:shd w:val="clear" w:color="CFE2F3" w:fill="CFE2F3"/>
            <w:vAlign w:val="center"/>
            <w:hideMark/>
          </w:tcPr>
          <w:p w14:paraId="18ACC492" w14:textId="77777777" w:rsidR="00673B8C" w:rsidRPr="00673B8C" w:rsidRDefault="00673B8C" w:rsidP="00673B8C">
            <w:pPr>
              <w:spacing w:after="0" w:line="240" w:lineRule="auto"/>
              <w:jc w:val="center"/>
              <w:rPr>
                <w:rFonts w:ascii="Arial" w:eastAsia="Times New Roman" w:hAnsi="Arial" w:cs="Arial"/>
                <w:b/>
                <w:bCs/>
                <w:color w:val="000000"/>
                <w:sz w:val="20"/>
                <w:szCs w:val="20"/>
              </w:rPr>
            </w:pPr>
            <w:r w:rsidRPr="00673B8C">
              <w:rPr>
                <w:rFonts w:ascii="Arial" w:eastAsia="Times New Roman" w:hAnsi="Arial" w:cs="Arial"/>
                <w:b/>
                <w:bCs/>
                <w:color w:val="000000"/>
                <w:sz w:val="20"/>
                <w:szCs w:val="20"/>
              </w:rPr>
              <w:t xml:space="preserve">Nicor Gas Response </w:t>
            </w:r>
          </w:p>
        </w:tc>
        <w:tc>
          <w:tcPr>
            <w:tcW w:w="2335" w:type="dxa"/>
            <w:tcBorders>
              <w:top w:val="single" w:sz="4" w:space="0" w:color="auto"/>
              <w:left w:val="nil"/>
              <w:bottom w:val="single" w:sz="4" w:space="0" w:color="auto"/>
              <w:right w:val="single" w:sz="4" w:space="0" w:color="auto"/>
            </w:tcBorders>
            <w:shd w:val="clear" w:color="CFE2F3" w:fill="CFE2F3"/>
            <w:vAlign w:val="center"/>
            <w:hideMark/>
          </w:tcPr>
          <w:p w14:paraId="36FDD3AE" w14:textId="77777777" w:rsidR="00673B8C" w:rsidRPr="00673B8C" w:rsidRDefault="00673B8C" w:rsidP="00673B8C">
            <w:pPr>
              <w:spacing w:after="0" w:line="240" w:lineRule="auto"/>
              <w:jc w:val="center"/>
              <w:rPr>
                <w:rFonts w:ascii="Arial" w:eastAsia="Times New Roman" w:hAnsi="Arial" w:cs="Arial"/>
                <w:b/>
                <w:bCs/>
                <w:color w:val="000000"/>
                <w:sz w:val="20"/>
                <w:szCs w:val="20"/>
              </w:rPr>
            </w:pPr>
            <w:r w:rsidRPr="00673B8C">
              <w:rPr>
                <w:rFonts w:ascii="Arial" w:eastAsia="Times New Roman" w:hAnsi="Arial" w:cs="Arial"/>
                <w:b/>
                <w:bCs/>
                <w:color w:val="000000"/>
                <w:sz w:val="20"/>
                <w:szCs w:val="20"/>
              </w:rPr>
              <w:t xml:space="preserve">PG &amp; NSG Response </w:t>
            </w:r>
          </w:p>
        </w:tc>
      </w:tr>
      <w:tr w:rsidR="00673B8C" w:rsidRPr="00673B8C" w14:paraId="3D2EB427" w14:textId="77777777" w:rsidTr="0023628B">
        <w:trPr>
          <w:trHeight w:val="1097"/>
        </w:trPr>
        <w:tc>
          <w:tcPr>
            <w:tcW w:w="3166" w:type="dxa"/>
            <w:tcBorders>
              <w:top w:val="nil"/>
              <w:left w:val="single" w:sz="4" w:space="0" w:color="auto"/>
              <w:bottom w:val="single" w:sz="4" w:space="0" w:color="auto"/>
              <w:right w:val="single" w:sz="4" w:space="0" w:color="auto"/>
            </w:tcBorders>
            <w:shd w:val="clear" w:color="000000" w:fill="B4C6E7"/>
            <w:vAlign w:val="center"/>
            <w:hideMark/>
          </w:tcPr>
          <w:p w14:paraId="3D981239" w14:textId="77777777" w:rsidR="00673B8C" w:rsidRPr="00673B8C" w:rsidRDefault="00673B8C" w:rsidP="00673B8C">
            <w:pPr>
              <w:spacing w:after="0" w:line="240" w:lineRule="auto"/>
              <w:rPr>
                <w:rFonts w:ascii="Arial" w:eastAsia="Times New Roman" w:hAnsi="Arial" w:cs="Arial"/>
                <w:color w:val="000000"/>
                <w:sz w:val="20"/>
                <w:szCs w:val="20"/>
              </w:rPr>
            </w:pPr>
            <w:r w:rsidRPr="00673B8C">
              <w:rPr>
                <w:rFonts w:ascii="Arial" w:eastAsia="Times New Roman" w:hAnsi="Arial" w:cs="Arial"/>
                <w:color w:val="000000"/>
                <w:sz w:val="20"/>
                <w:szCs w:val="20"/>
              </w:rPr>
              <w:t>Idea requires more research and information, appears to fall outside of EE scope.</w:t>
            </w:r>
          </w:p>
        </w:tc>
        <w:tc>
          <w:tcPr>
            <w:tcW w:w="6194" w:type="dxa"/>
            <w:tcBorders>
              <w:top w:val="nil"/>
              <w:left w:val="nil"/>
              <w:bottom w:val="single" w:sz="4" w:space="0" w:color="auto"/>
              <w:right w:val="single" w:sz="4" w:space="0" w:color="auto"/>
            </w:tcBorders>
            <w:shd w:val="clear" w:color="D9E1F2" w:fill="B4C6E7"/>
            <w:vAlign w:val="center"/>
            <w:hideMark/>
          </w:tcPr>
          <w:p w14:paraId="0DFFF465" w14:textId="77777777" w:rsidR="00673B8C" w:rsidRPr="00673B8C" w:rsidRDefault="00673B8C" w:rsidP="00673B8C">
            <w:pPr>
              <w:spacing w:after="0" w:line="240" w:lineRule="auto"/>
              <w:rPr>
                <w:rFonts w:ascii="Arial" w:eastAsia="Times New Roman" w:hAnsi="Arial" w:cs="Arial"/>
                <w:color w:val="000000"/>
                <w:sz w:val="20"/>
                <w:szCs w:val="20"/>
              </w:rPr>
            </w:pPr>
            <w:r w:rsidRPr="00673B8C">
              <w:rPr>
                <w:rFonts w:ascii="Arial" w:eastAsia="Times New Roman" w:hAnsi="Arial" w:cs="Arial"/>
                <w:color w:val="000000"/>
                <w:sz w:val="20"/>
                <w:szCs w:val="20"/>
              </w:rPr>
              <w:t xml:space="preserve">ComEd recognizes the numerous benefits listed but struggles to understand the energy efficiency savings potential behind the idea. We would be happy to explore such an idea and understand the energy savings implications further through our R&amp;D process. </w:t>
            </w:r>
          </w:p>
        </w:tc>
        <w:tc>
          <w:tcPr>
            <w:tcW w:w="1890" w:type="dxa"/>
            <w:tcBorders>
              <w:top w:val="nil"/>
              <w:left w:val="nil"/>
              <w:bottom w:val="single" w:sz="4" w:space="0" w:color="auto"/>
              <w:right w:val="single" w:sz="4" w:space="0" w:color="auto"/>
            </w:tcBorders>
            <w:shd w:val="clear" w:color="000000" w:fill="B4C6E7"/>
            <w:vAlign w:val="center"/>
            <w:hideMark/>
          </w:tcPr>
          <w:p w14:paraId="2F4F7872" w14:textId="77777777" w:rsidR="00673B8C" w:rsidRPr="00673B8C" w:rsidRDefault="00673B8C" w:rsidP="00673B8C">
            <w:pPr>
              <w:spacing w:after="0" w:line="240" w:lineRule="auto"/>
              <w:rPr>
                <w:rFonts w:ascii="Arial" w:eastAsia="Times New Roman" w:hAnsi="Arial" w:cs="Arial"/>
                <w:sz w:val="20"/>
                <w:szCs w:val="20"/>
              </w:rPr>
            </w:pPr>
            <w:r w:rsidRPr="00673B8C">
              <w:rPr>
                <w:rFonts w:ascii="Arial" w:eastAsia="Times New Roman" w:hAnsi="Arial" w:cs="Arial"/>
                <w:sz w:val="20"/>
                <w:szCs w:val="20"/>
              </w:rPr>
              <w:t>Underdeveloped idea better suited for R&amp;D.</w:t>
            </w:r>
          </w:p>
        </w:tc>
        <w:tc>
          <w:tcPr>
            <w:tcW w:w="2335" w:type="dxa"/>
            <w:tcBorders>
              <w:top w:val="nil"/>
              <w:left w:val="nil"/>
              <w:bottom w:val="single" w:sz="4" w:space="0" w:color="auto"/>
              <w:right w:val="single" w:sz="4" w:space="0" w:color="auto"/>
            </w:tcBorders>
            <w:shd w:val="clear" w:color="000000" w:fill="B4C6E7"/>
            <w:vAlign w:val="center"/>
            <w:hideMark/>
          </w:tcPr>
          <w:p w14:paraId="16CC7845" w14:textId="77777777" w:rsidR="00673B8C" w:rsidRPr="00673B8C" w:rsidRDefault="00673B8C" w:rsidP="00673B8C">
            <w:pPr>
              <w:spacing w:after="0" w:line="240" w:lineRule="auto"/>
              <w:rPr>
                <w:rFonts w:ascii="Arial" w:eastAsia="Times New Roman" w:hAnsi="Arial" w:cs="Arial"/>
                <w:sz w:val="20"/>
                <w:szCs w:val="20"/>
              </w:rPr>
            </w:pPr>
            <w:r w:rsidRPr="00673B8C">
              <w:rPr>
                <w:rFonts w:ascii="Arial" w:eastAsia="Times New Roman" w:hAnsi="Arial" w:cs="Arial"/>
                <w:sz w:val="20"/>
                <w:szCs w:val="20"/>
              </w:rPr>
              <w:t>PGL/NSG suggests further research would be necessary to consider this proposal.</w:t>
            </w:r>
          </w:p>
        </w:tc>
      </w:tr>
    </w:tbl>
    <w:p w14:paraId="21014259" w14:textId="77777777" w:rsidR="00673B8C" w:rsidRDefault="00673B8C" w:rsidP="00F671AD">
      <w:pPr>
        <w:spacing w:after="0" w:line="240" w:lineRule="auto"/>
        <w:rPr>
          <w:rFonts w:ascii="Arial" w:eastAsia="Calibri" w:hAnsi="Arial" w:cs="Arial"/>
          <w:bCs/>
          <w:sz w:val="21"/>
          <w:szCs w:val="21"/>
        </w:rPr>
      </w:pPr>
    </w:p>
    <w:p w14:paraId="5A422F1F" w14:textId="5212923D" w:rsidR="00F671AD" w:rsidRPr="00614472" w:rsidRDefault="00F671AD" w:rsidP="00614472">
      <w:pPr>
        <w:spacing w:after="0" w:line="240" w:lineRule="auto"/>
        <w:ind w:left="-576"/>
        <w:rPr>
          <w:rFonts w:ascii="Arial" w:eastAsia="Calibri" w:hAnsi="Arial" w:cs="Arial"/>
          <w:b/>
          <w:sz w:val="24"/>
          <w:szCs w:val="24"/>
        </w:rPr>
      </w:pPr>
      <w:r w:rsidRPr="00614472">
        <w:rPr>
          <w:rFonts w:ascii="Arial" w:eastAsia="Calibri" w:hAnsi="Arial" w:cs="Arial"/>
          <w:b/>
          <w:sz w:val="24"/>
          <w:szCs w:val="24"/>
        </w:rPr>
        <w:t>Joint Stakeholder Residential EE Ideas</w:t>
      </w:r>
      <w:r w:rsidR="000D06A1" w:rsidRPr="00614472">
        <w:rPr>
          <w:rFonts w:ascii="Arial" w:eastAsia="Calibri" w:hAnsi="Arial" w:cs="Arial"/>
          <w:b/>
          <w:sz w:val="24"/>
          <w:szCs w:val="24"/>
        </w:rPr>
        <w:t>:</w:t>
      </w:r>
    </w:p>
    <w:p w14:paraId="486D8D12" w14:textId="77777777" w:rsidR="000D06A1" w:rsidRDefault="000D06A1" w:rsidP="00F671AD">
      <w:pPr>
        <w:spacing w:after="0" w:line="240" w:lineRule="auto"/>
        <w:rPr>
          <w:rFonts w:ascii="Arial" w:eastAsia="Calibri" w:hAnsi="Arial" w:cs="Arial"/>
          <w:b/>
          <w:sz w:val="21"/>
          <w:szCs w:val="21"/>
        </w:rPr>
      </w:pPr>
    </w:p>
    <w:tbl>
      <w:tblPr>
        <w:tblW w:w="0" w:type="auto"/>
        <w:tblInd w:w="-635" w:type="dxa"/>
        <w:tblLook w:val="04A0" w:firstRow="1" w:lastRow="0" w:firstColumn="1" w:lastColumn="0" w:noHBand="0" w:noVBand="1"/>
      </w:tblPr>
      <w:tblGrid>
        <w:gridCol w:w="3060"/>
        <w:gridCol w:w="2610"/>
        <w:gridCol w:w="3645"/>
        <w:gridCol w:w="1856"/>
        <w:gridCol w:w="2414"/>
      </w:tblGrid>
      <w:tr w:rsidR="00C47DC3" w:rsidRPr="00C47DC3" w14:paraId="4DD5A3CF" w14:textId="77777777" w:rsidTr="00C47DC3">
        <w:trPr>
          <w:trHeight w:val="290"/>
        </w:trPr>
        <w:tc>
          <w:tcPr>
            <w:tcW w:w="3060"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4FE75F28" w14:textId="77777777" w:rsidR="00C47DC3" w:rsidRPr="00C47DC3" w:rsidRDefault="00C47DC3" w:rsidP="00C47DC3">
            <w:pPr>
              <w:spacing w:after="0" w:line="240" w:lineRule="auto"/>
              <w:jc w:val="center"/>
              <w:rPr>
                <w:rFonts w:ascii="Arial" w:eastAsia="Times New Roman" w:hAnsi="Arial" w:cs="Arial"/>
                <w:b/>
                <w:bCs/>
                <w:color w:val="000000"/>
                <w:sz w:val="20"/>
                <w:szCs w:val="20"/>
              </w:rPr>
            </w:pPr>
            <w:r w:rsidRPr="00C47DC3">
              <w:rPr>
                <w:rFonts w:ascii="Arial" w:eastAsia="Times New Roman" w:hAnsi="Arial" w:cs="Arial"/>
                <w:b/>
                <w:bCs/>
                <w:color w:val="000000"/>
                <w:sz w:val="20"/>
                <w:szCs w:val="20"/>
              </w:rPr>
              <w:t>Residential EE Ideas</w:t>
            </w:r>
          </w:p>
        </w:tc>
        <w:tc>
          <w:tcPr>
            <w:tcW w:w="2610" w:type="dxa"/>
            <w:tcBorders>
              <w:top w:val="single" w:sz="4" w:space="0" w:color="auto"/>
              <w:left w:val="nil"/>
              <w:bottom w:val="single" w:sz="4" w:space="0" w:color="auto"/>
              <w:right w:val="single" w:sz="4" w:space="0" w:color="auto"/>
            </w:tcBorders>
            <w:shd w:val="clear" w:color="CFE2F3" w:fill="DDEBF7"/>
            <w:vAlign w:val="center"/>
            <w:hideMark/>
          </w:tcPr>
          <w:p w14:paraId="7A3A73DE" w14:textId="77777777" w:rsidR="00C47DC3" w:rsidRPr="00C47DC3" w:rsidRDefault="00C47DC3" w:rsidP="00C47DC3">
            <w:pPr>
              <w:spacing w:after="0" w:line="240" w:lineRule="auto"/>
              <w:jc w:val="center"/>
              <w:rPr>
                <w:rFonts w:ascii="Arial" w:eastAsia="Times New Roman" w:hAnsi="Arial" w:cs="Arial"/>
                <w:b/>
                <w:bCs/>
                <w:color w:val="000000"/>
                <w:sz w:val="20"/>
                <w:szCs w:val="20"/>
              </w:rPr>
            </w:pPr>
            <w:r w:rsidRPr="00C47DC3">
              <w:rPr>
                <w:rFonts w:ascii="Arial" w:eastAsia="Times New Roman" w:hAnsi="Arial" w:cs="Arial"/>
                <w:b/>
                <w:bCs/>
                <w:color w:val="000000"/>
                <w:sz w:val="20"/>
                <w:szCs w:val="20"/>
              </w:rPr>
              <w:t xml:space="preserve">Ameren IL Response </w:t>
            </w:r>
          </w:p>
        </w:tc>
        <w:tc>
          <w:tcPr>
            <w:tcW w:w="3645" w:type="dxa"/>
            <w:tcBorders>
              <w:top w:val="single" w:sz="4" w:space="0" w:color="auto"/>
              <w:left w:val="nil"/>
              <w:bottom w:val="single" w:sz="4" w:space="0" w:color="auto"/>
              <w:right w:val="single" w:sz="4" w:space="0" w:color="auto"/>
            </w:tcBorders>
            <w:shd w:val="clear" w:color="CFE2F3" w:fill="DDEBF7"/>
            <w:vAlign w:val="center"/>
            <w:hideMark/>
          </w:tcPr>
          <w:p w14:paraId="2F7C12E5" w14:textId="77777777" w:rsidR="00C47DC3" w:rsidRPr="00C47DC3" w:rsidRDefault="00C47DC3" w:rsidP="00C47DC3">
            <w:pPr>
              <w:spacing w:after="0" w:line="240" w:lineRule="auto"/>
              <w:jc w:val="center"/>
              <w:rPr>
                <w:rFonts w:ascii="Arial" w:eastAsia="Times New Roman" w:hAnsi="Arial" w:cs="Arial"/>
                <w:b/>
                <w:bCs/>
                <w:color w:val="000000"/>
                <w:sz w:val="20"/>
                <w:szCs w:val="20"/>
              </w:rPr>
            </w:pPr>
            <w:r w:rsidRPr="00C47DC3">
              <w:rPr>
                <w:rFonts w:ascii="Arial" w:eastAsia="Times New Roman" w:hAnsi="Arial" w:cs="Arial"/>
                <w:b/>
                <w:bCs/>
                <w:color w:val="000000"/>
                <w:sz w:val="20"/>
                <w:szCs w:val="20"/>
              </w:rPr>
              <w:t xml:space="preserve">ComEd Response </w:t>
            </w:r>
          </w:p>
        </w:tc>
        <w:tc>
          <w:tcPr>
            <w:tcW w:w="0" w:type="auto"/>
            <w:tcBorders>
              <w:top w:val="single" w:sz="4" w:space="0" w:color="auto"/>
              <w:left w:val="nil"/>
              <w:bottom w:val="single" w:sz="4" w:space="0" w:color="auto"/>
              <w:right w:val="single" w:sz="4" w:space="0" w:color="auto"/>
            </w:tcBorders>
            <w:shd w:val="clear" w:color="CFE2F3" w:fill="DDEBF7"/>
            <w:vAlign w:val="center"/>
            <w:hideMark/>
          </w:tcPr>
          <w:p w14:paraId="45EDAFC9" w14:textId="77777777" w:rsidR="00C47DC3" w:rsidRPr="00C47DC3" w:rsidRDefault="00C47DC3" w:rsidP="00C47DC3">
            <w:pPr>
              <w:spacing w:after="0" w:line="240" w:lineRule="auto"/>
              <w:jc w:val="center"/>
              <w:rPr>
                <w:rFonts w:ascii="Arial" w:eastAsia="Times New Roman" w:hAnsi="Arial" w:cs="Arial"/>
                <w:b/>
                <w:bCs/>
                <w:color w:val="000000"/>
                <w:sz w:val="20"/>
                <w:szCs w:val="20"/>
              </w:rPr>
            </w:pPr>
            <w:r w:rsidRPr="00C47DC3">
              <w:rPr>
                <w:rFonts w:ascii="Arial" w:eastAsia="Times New Roman" w:hAnsi="Arial" w:cs="Arial"/>
                <w:b/>
                <w:bCs/>
                <w:color w:val="000000"/>
                <w:sz w:val="20"/>
                <w:szCs w:val="20"/>
              </w:rPr>
              <w:t xml:space="preserve">Nicor Gas Response </w:t>
            </w:r>
          </w:p>
        </w:tc>
        <w:tc>
          <w:tcPr>
            <w:tcW w:w="0" w:type="auto"/>
            <w:tcBorders>
              <w:top w:val="single" w:sz="4" w:space="0" w:color="auto"/>
              <w:left w:val="nil"/>
              <w:bottom w:val="single" w:sz="4" w:space="0" w:color="auto"/>
              <w:right w:val="single" w:sz="4" w:space="0" w:color="auto"/>
            </w:tcBorders>
            <w:shd w:val="clear" w:color="CFE2F3" w:fill="DDEBF7"/>
            <w:vAlign w:val="center"/>
            <w:hideMark/>
          </w:tcPr>
          <w:p w14:paraId="4A7D8EA1" w14:textId="77777777" w:rsidR="00C47DC3" w:rsidRPr="00C47DC3" w:rsidRDefault="00C47DC3" w:rsidP="00C47DC3">
            <w:pPr>
              <w:spacing w:after="0" w:line="240" w:lineRule="auto"/>
              <w:jc w:val="center"/>
              <w:rPr>
                <w:rFonts w:ascii="Arial" w:eastAsia="Times New Roman" w:hAnsi="Arial" w:cs="Arial"/>
                <w:b/>
                <w:bCs/>
                <w:color w:val="000000"/>
                <w:sz w:val="20"/>
                <w:szCs w:val="20"/>
              </w:rPr>
            </w:pPr>
            <w:r w:rsidRPr="00C47DC3">
              <w:rPr>
                <w:rFonts w:ascii="Arial" w:eastAsia="Times New Roman" w:hAnsi="Arial" w:cs="Arial"/>
                <w:b/>
                <w:bCs/>
                <w:color w:val="000000"/>
                <w:sz w:val="20"/>
                <w:szCs w:val="20"/>
              </w:rPr>
              <w:t xml:space="preserve">PG &amp; NSG Response </w:t>
            </w:r>
          </w:p>
        </w:tc>
      </w:tr>
      <w:tr w:rsidR="00C47DC3" w:rsidRPr="00C47DC3" w14:paraId="37AC687B" w14:textId="77777777" w:rsidTr="00C47DC3">
        <w:trPr>
          <w:trHeight w:val="1870"/>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17FA1691" w14:textId="77777777" w:rsidR="00C47DC3" w:rsidRPr="00C47DC3" w:rsidRDefault="00C47DC3" w:rsidP="00C47DC3">
            <w:pPr>
              <w:spacing w:after="0" w:line="240" w:lineRule="auto"/>
              <w:rPr>
                <w:rFonts w:ascii="Arial" w:eastAsia="Times New Roman" w:hAnsi="Arial" w:cs="Arial"/>
                <w:color w:val="000000"/>
                <w:sz w:val="20"/>
                <w:szCs w:val="20"/>
              </w:rPr>
            </w:pPr>
            <w:r w:rsidRPr="00C47DC3">
              <w:rPr>
                <w:rFonts w:ascii="Arial" w:eastAsia="Times New Roman" w:hAnsi="Arial" w:cs="Arial"/>
                <w:color w:val="000000"/>
                <w:sz w:val="20"/>
                <w:szCs w:val="20"/>
              </w:rPr>
              <w:t>Strong commitments to leveraging Inflation Reduction Act funding, especially HOMES/HEERA rebates, to maximize reach of utility programs and the number of customers served (row 6)</w:t>
            </w:r>
          </w:p>
        </w:tc>
        <w:tc>
          <w:tcPr>
            <w:tcW w:w="2610" w:type="dxa"/>
            <w:tcBorders>
              <w:top w:val="nil"/>
              <w:left w:val="nil"/>
              <w:bottom w:val="single" w:sz="4" w:space="0" w:color="auto"/>
              <w:right w:val="single" w:sz="4" w:space="0" w:color="auto"/>
            </w:tcBorders>
            <w:shd w:val="clear" w:color="000000" w:fill="FFFF00"/>
            <w:vAlign w:val="center"/>
            <w:hideMark/>
          </w:tcPr>
          <w:p w14:paraId="70406E66" w14:textId="77777777" w:rsidR="00C47DC3" w:rsidRPr="00C47DC3" w:rsidRDefault="00C47DC3" w:rsidP="00C47DC3">
            <w:pPr>
              <w:spacing w:after="0" w:line="240" w:lineRule="auto"/>
              <w:rPr>
                <w:rFonts w:ascii="Arial" w:eastAsia="Times New Roman" w:hAnsi="Arial" w:cs="Arial"/>
                <w:color w:val="000000"/>
                <w:sz w:val="20"/>
                <w:szCs w:val="20"/>
              </w:rPr>
            </w:pPr>
            <w:r w:rsidRPr="00C47DC3">
              <w:rPr>
                <w:rFonts w:ascii="Arial" w:eastAsia="Times New Roman" w:hAnsi="Arial" w:cs="Arial"/>
                <w:color w:val="000000"/>
                <w:sz w:val="20"/>
                <w:szCs w:val="20"/>
              </w:rPr>
              <w:t>AIC will continue working with IL EPA on program design that leverages IRA funding for its utility delivered programs.  AIC has been promoting tax credits currently available to market rate customers.</w:t>
            </w:r>
          </w:p>
        </w:tc>
        <w:tc>
          <w:tcPr>
            <w:tcW w:w="3645" w:type="dxa"/>
            <w:tcBorders>
              <w:top w:val="nil"/>
              <w:left w:val="nil"/>
              <w:bottom w:val="single" w:sz="4" w:space="0" w:color="8EA9DB"/>
              <w:right w:val="nil"/>
            </w:tcBorders>
            <w:shd w:val="clear" w:color="D9E1F2" w:fill="C6E0B4"/>
            <w:vAlign w:val="center"/>
            <w:hideMark/>
          </w:tcPr>
          <w:p w14:paraId="72D821F5" w14:textId="77777777" w:rsidR="00C47DC3" w:rsidRPr="00C47DC3" w:rsidRDefault="00C47DC3" w:rsidP="00C47DC3">
            <w:pPr>
              <w:spacing w:after="0" w:line="240" w:lineRule="auto"/>
              <w:rPr>
                <w:rFonts w:ascii="Arial" w:eastAsia="Times New Roman" w:hAnsi="Arial" w:cs="Arial"/>
                <w:color w:val="000000"/>
                <w:sz w:val="20"/>
                <w:szCs w:val="20"/>
              </w:rPr>
            </w:pPr>
            <w:r w:rsidRPr="00C47DC3">
              <w:rPr>
                <w:rFonts w:ascii="Arial" w:eastAsia="Times New Roman" w:hAnsi="Arial" w:cs="Arial"/>
                <w:color w:val="000000"/>
                <w:sz w:val="20"/>
                <w:szCs w:val="20"/>
              </w:rPr>
              <w:t xml:space="preserve">While ComEd is interested in leveraging IRA funding into braided programs, we are also monitoring the development of IRA funding policies and procedures being developed by the Illinois EPA. Pursuit of projects with IRA funding depends on resolution of attribution issues. </w:t>
            </w:r>
          </w:p>
        </w:tc>
        <w:tc>
          <w:tcPr>
            <w:tcW w:w="0" w:type="auto"/>
            <w:tcBorders>
              <w:top w:val="nil"/>
              <w:left w:val="single" w:sz="4" w:space="0" w:color="auto"/>
              <w:bottom w:val="single" w:sz="4" w:space="0" w:color="auto"/>
              <w:right w:val="single" w:sz="4" w:space="0" w:color="auto"/>
            </w:tcBorders>
            <w:shd w:val="clear" w:color="000000" w:fill="FFFF00"/>
            <w:vAlign w:val="center"/>
            <w:hideMark/>
          </w:tcPr>
          <w:p w14:paraId="689BAB36" w14:textId="2C65924E" w:rsidR="00C47DC3" w:rsidRPr="00C47DC3" w:rsidRDefault="00C47DC3" w:rsidP="00C47DC3">
            <w:pPr>
              <w:spacing w:after="0" w:line="240" w:lineRule="auto"/>
              <w:rPr>
                <w:rFonts w:ascii="Arial" w:eastAsia="Times New Roman" w:hAnsi="Arial" w:cs="Arial"/>
                <w:color w:val="000000"/>
                <w:sz w:val="20"/>
                <w:szCs w:val="20"/>
              </w:rPr>
            </w:pPr>
            <w:r w:rsidRPr="00C47DC3">
              <w:rPr>
                <w:rFonts w:ascii="Arial" w:eastAsia="Times New Roman" w:hAnsi="Arial" w:cs="Arial"/>
                <w:color w:val="000000"/>
                <w:sz w:val="20"/>
                <w:szCs w:val="20"/>
              </w:rPr>
              <w:t>We're committed to working w/ the State however we need to understand the program structure first.</w:t>
            </w:r>
          </w:p>
        </w:tc>
        <w:tc>
          <w:tcPr>
            <w:tcW w:w="0" w:type="auto"/>
            <w:tcBorders>
              <w:top w:val="nil"/>
              <w:left w:val="nil"/>
              <w:bottom w:val="single" w:sz="4" w:space="0" w:color="auto"/>
              <w:right w:val="single" w:sz="4" w:space="0" w:color="auto"/>
            </w:tcBorders>
            <w:shd w:val="clear" w:color="000000" w:fill="FFFF00"/>
            <w:vAlign w:val="center"/>
            <w:hideMark/>
          </w:tcPr>
          <w:p w14:paraId="37043685" w14:textId="77777777" w:rsidR="00C47DC3" w:rsidRPr="00C47DC3" w:rsidRDefault="00C47DC3" w:rsidP="00C47DC3">
            <w:pPr>
              <w:spacing w:after="0" w:line="240" w:lineRule="auto"/>
              <w:rPr>
                <w:rFonts w:ascii="Arial" w:eastAsia="Times New Roman" w:hAnsi="Arial" w:cs="Arial"/>
                <w:sz w:val="20"/>
                <w:szCs w:val="20"/>
              </w:rPr>
            </w:pPr>
            <w:r w:rsidRPr="00C47DC3">
              <w:rPr>
                <w:rFonts w:ascii="Arial" w:eastAsia="Times New Roman" w:hAnsi="Arial" w:cs="Arial"/>
                <w:sz w:val="20"/>
                <w:szCs w:val="20"/>
              </w:rPr>
              <w:t xml:space="preserve">PGL/NSG will require further information regarding how the IL EPA will begin implementing IRA-funded programs before committing to this proposed idea. </w:t>
            </w:r>
          </w:p>
        </w:tc>
      </w:tr>
      <w:tr w:rsidR="00C47DC3" w:rsidRPr="00C47DC3" w14:paraId="08F4C6F2" w14:textId="77777777" w:rsidTr="00C47DC3">
        <w:trPr>
          <w:trHeight w:val="1530"/>
        </w:trPr>
        <w:tc>
          <w:tcPr>
            <w:tcW w:w="3060" w:type="dxa"/>
            <w:tcBorders>
              <w:top w:val="nil"/>
              <w:left w:val="single" w:sz="4" w:space="0" w:color="auto"/>
              <w:bottom w:val="single" w:sz="4" w:space="0" w:color="auto"/>
              <w:right w:val="single" w:sz="4" w:space="0" w:color="auto"/>
            </w:tcBorders>
            <w:shd w:val="clear" w:color="auto" w:fill="auto"/>
            <w:vAlign w:val="center"/>
            <w:hideMark/>
          </w:tcPr>
          <w:p w14:paraId="6C30FA31" w14:textId="77777777" w:rsidR="00C47DC3" w:rsidRPr="00C47DC3" w:rsidRDefault="00C47DC3" w:rsidP="00C47DC3">
            <w:pPr>
              <w:spacing w:after="0" w:line="240" w:lineRule="auto"/>
              <w:rPr>
                <w:rFonts w:ascii="Arial" w:eastAsia="Times New Roman" w:hAnsi="Arial" w:cs="Arial"/>
                <w:color w:val="000000"/>
                <w:sz w:val="20"/>
                <w:szCs w:val="20"/>
              </w:rPr>
            </w:pPr>
            <w:r w:rsidRPr="00C47DC3">
              <w:rPr>
                <w:rFonts w:ascii="Arial" w:eastAsia="Times New Roman" w:hAnsi="Arial" w:cs="Arial"/>
                <w:color w:val="000000"/>
                <w:sz w:val="20"/>
                <w:szCs w:val="20"/>
              </w:rPr>
              <w:t>For gas or dual fuel utilities, start (if not already in place) or significantly ramp up residential market rate weatherization program savings (row 11)</w:t>
            </w:r>
          </w:p>
        </w:tc>
        <w:tc>
          <w:tcPr>
            <w:tcW w:w="2610" w:type="dxa"/>
            <w:tcBorders>
              <w:top w:val="nil"/>
              <w:left w:val="nil"/>
              <w:bottom w:val="single" w:sz="4" w:space="0" w:color="auto"/>
              <w:right w:val="single" w:sz="4" w:space="0" w:color="auto"/>
            </w:tcBorders>
            <w:shd w:val="clear" w:color="000000" w:fill="FFFF00"/>
            <w:vAlign w:val="center"/>
            <w:hideMark/>
          </w:tcPr>
          <w:p w14:paraId="2DFB1CE4" w14:textId="77777777" w:rsidR="00C47DC3" w:rsidRPr="00C47DC3" w:rsidRDefault="00C47DC3" w:rsidP="00C47DC3">
            <w:pPr>
              <w:spacing w:after="0" w:line="240" w:lineRule="auto"/>
              <w:rPr>
                <w:rFonts w:ascii="Arial" w:eastAsia="Times New Roman" w:hAnsi="Arial" w:cs="Arial"/>
                <w:color w:val="000000"/>
                <w:sz w:val="20"/>
                <w:szCs w:val="20"/>
              </w:rPr>
            </w:pPr>
            <w:r w:rsidRPr="00C47DC3">
              <w:rPr>
                <w:rFonts w:ascii="Arial" w:eastAsia="Times New Roman" w:hAnsi="Arial" w:cs="Arial"/>
                <w:color w:val="000000"/>
                <w:sz w:val="20"/>
                <w:szCs w:val="20"/>
              </w:rPr>
              <w:t>AIC believes further discussion is required</w:t>
            </w:r>
          </w:p>
        </w:tc>
        <w:tc>
          <w:tcPr>
            <w:tcW w:w="3645" w:type="dxa"/>
            <w:tcBorders>
              <w:top w:val="single" w:sz="4" w:space="0" w:color="auto"/>
              <w:left w:val="nil"/>
              <w:bottom w:val="single" w:sz="4" w:space="0" w:color="auto"/>
              <w:right w:val="single" w:sz="4" w:space="0" w:color="auto"/>
            </w:tcBorders>
            <w:shd w:val="clear" w:color="000000" w:fill="BFBFBF"/>
            <w:noWrap/>
            <w:vAlign w:val="center"/>
            <w:hideMark/>
          </w:tcPr>
          <w:p w14:paraId="159030AC" w14:textId="77777777" w:rsidR="00C47DC3" w:rsidRPr="00C47DC3" w:rsidRDefault="00C47DC3" w:rsidP="00C47DC3">
            <w:pPr>
              <w:spacing w:after="0" w:line="240" w:lineRule="auto"/>
              <w:jc w:val="center"/>
              <w:rPr>
                <w:rFonts w:ascii="Arial" w:eastAsia="Times New Roman" w:hAnsi="Arial" w:cs="Arial"/>
                <w:color w:val="000000"/>
                <w:sz w:val="20"/>
                <w:szCs w:val="20"/>
              </w:rPr>
            </w:pPr>
            <w:r w:rsidRPr="00C47DC3">
              <w:rPr>
                <w:rFonts w:ascii="Arial" w:eastAsia="Times New Roman" w:hAnsi="Arial" w:cs="Arial"/>
                <w:color w:val="000000"/>
                <w:sz w:val="20"/>
                <w:szCs w:val="20"/>
              </w:rPr>
              <w:t xml:space="preserve">N/A </w:t>
            </w:r>
          </w:p>
        </w:tc>
        <w:tc>
          <w:tcPr>
            <w:tcW w:w="0" w:type="auto"/>
            <w:tcBorders>
              <w:top w:val="nil"/>
              <w:left w:val="nil"/>
              <w:bottom w:val="single" w:sz="4" w:space="0" w:color="auto"/>
              <w:right w:val="single" w:sz="4" w:space="0" w:color="auto"/>
            </w:tcBorders>
            <w:shd w:val="clear" w:color="000000" w:fill="FFFF00"/>
            <w:vAlign w:val="center"/>
            <w:hideMark/>
          </w:tcPr>
          <w:p w14:paraId="57A7E1CB" w14:textId="77777777" w:rsidR="00C47DC3" w:rsidRPr="00C47DC3" w:rsidRDefault="00C47DC3" w:rsidP="00C47DC3">
            <w:pPr>
              <w:spacing w:after="0" w:line="240" w:lineRule="auto"/>
              <w:rPr>
                <w:rFonts w:ascii="Arial" w:eastAsia="Times New Roman" w:hAnsi="Arial" w:cs="Arial"/>
                <w:color w:val="000000"/>
                <w:sz w:val="20"/>
                <w:szCs w:val="20"/>
              </w:rPr>
            </w:pPr>
            <w:r w:rsidRPr="00C47DC3">
              <w:rPr>
                <w:rFonts w:ascii="Arial" w:eastAsia="Times New Roman" w:hAnsi="Arial" w:cs="Arial"/>
                <w:color w:val="000000"/>
                <w:sz w:val="20"/>
                <w:szCs w:val="20"/>
              </w:rPr>
              <w:t xml:space="preserve">Will require portfolio balance </w:t>
            </w:r>
            <w:proofErr w:type="spellStart"/>
            <w:r w:rsidRPr="00C47DC3">
              <w:rPr>
                <w:rFonts w:ascii="Arial" w:eastAsia="Times New Roman" w:hAnsi="Arial" w:cs="Arial"/>
                <w:color w:val="000000"/>
                <w:sz w:val="20"/>
                <w:szCs w:val="20"/>
              </w:rPr>
              <w:t>trade offs</w:t>
            </w:r>
            <w:proofErr w:type="spellEnd"/>
            <w:r w:rsidRPr="00C47DC3">
              <w:rPr>
                <w:rFonts w:ascii="Arial" w:eastAsia="Times New Roman" w:hAnsi="Arial" w:cs="Arial"/>
                <w:color w:val="000000"/>
                <w:sz w:val="20"/>
                <w:szCs w:val="20"/>
              </w:rPr>
              <w:t>.</w:t>
            </w:r>
          </w:p>
        </w:tc>
        <w:tc>
          <w:tcPr>
            <w:tcW w:w="0" w:type="auto"/>
            <w:tcBorders>
              <w:top w:val="nil"/>
              <w:left w:val="nil"/>
              <w:bottom w:val="single" w:sz="4" w:space="0" w:color="auto"/>
              <w:right w:val="single" w:sz="4" w:space="0" w:color="auto"/>
            </w:tcBorders>
            <w:shd w:val="clear" w:color="000000" w:fill="FFFF00"/>
            <w:vAlign w:val="center"/>
            <w:hideMark/>
          </w:tcPr>
          <w:p w14:paraId="5E8E0222" w14:textId="77777777" w:rsidR="00C47DC3" w:rsidRPr="00C47DC3" w:rsidRDefault="00C47DC3" w:rsidP="00C47DC3">
            <w:pPr>
              <w:spacing w:after="0" w:line="240" w:lineRule="auto"/>
              <w:rPr>
                <w:rFonts w:ascii="Arial" w:eastAsia="Times New Roman" w:hAnsi="Arial" w:cs="Arial"/>
                <w:color w:val="000000"/>
                <w:sz w:val="20"/>
                <w:szCs w:val="20"/>
              </w:rPr>
            </w:pPr>
            <w:r w:rsidRPr="00C47DC3">
              <w:rPr>
                <w:rFonts w:ascii="Arial" w:eastAsia="Times New Roman" w:hAnsi="Arial" w:cs="Arial"/>
                <w:color w:val="000000"/>
                <w:sz w:val="20"/>
                <w:szCs w:val="20"/>
              </w:rPr>
              <w:t>PGL/NSG will require further information regarding this idea to consider for inclusion in the 2026-2029 Plan.</w:t>
            </w:r>
          </w:p>
        </w:tc>
      </w:tr>
    </w:tbl>
    <w:p w14:paraId="6C8226E6" w14:textId="77777777" w:rsidR="00C47DC3" w:rsidRPr="000D06A1" w:rsidRDefault="00C47DC3" w:rsidP="00F671AD">
      <w:pPr>
        <w:spacing w:after="0" w:line="240" w:lineRule="auto"/>
        <w:rPr>
          <w:rFonts w:ascii="Arial" w:eastAsia="Calibri" w:hAnsi="Arial" w:cs="Arial"/>
          <w:b/>
          <w:sz w:val="21"/>
          <w:szCs w:val="21"/>
        </w:rPr>
      </w:pPr>
    </w:p>
    <w:p w14:paraId="61904436" w14:textId="77777777" w:rsidR="00344568" w:rsidRDefault="00344568" w:rsidP="00F671AD">
      <w:pPr>
        <w:spacing w:after="0" w:line="240" w:lineRule="auto"/>
        <w:rPr>
          <w:rFonts w:ascii="Arial" w:eastAsia="Calibri" w:hAnsi="Arial" w:cs="Arial"/>
          <w:bCs/>
          <w:sz w:val="24"/>
          <w:szCs w:val="24"/>
        </w:rPr>
      </w:pPr>
    </w:p>
    <w:p w14:paraId="68C22B1A" w14:textId="77777777" w:rsidR="00344568" w:rsidRDefault="00344568" w:rsidP="00F671AD">
      <w:pPr>
        <w:spacing w:after="0" w:line="240" w:lineRule="auto"/>
        <w:rPr>
          <w:rFonts w:ascii="Arial" w:eastAsia="Calibri" w:hAnsi="Arial" w:cs="Arial"/>
          <w:bCs/>
          <w:sz w:val="24"/>
          <w:szCs w:val="24"/>
        </w:rPr>
      </w:pPr>
    </w:p>
    <w:p w14:paraId="1DBF50EA" w14:textId="77777777" w:rsidR="00344568" w:rsidRDefault="00344568" w:rsidP="00F671AD">
      <w:pPr>
        <w:spacing w:after="0" w:line="240" w:lineRule="auto"/>
        <w:rPr>
          <w:rFonts w:ascii="Arial" w:eastAsia="Calibri" w:hAnsi="Arial" w:cs="Arial"/>
          <w:bCs/>
          <w:sz w:val="24"/>
          <w:szCs w:val="24"/>
        </w:rPr>
      </w:pPr>
    </w:p>
    <w:p w14:paraId="5F9D3F43" w14:textId="77777777" w:rsidR="00344568" w:rsidRDefault="00344568" w:rsidP="00F671AD">
      <w:pPr>
        <w:spacing w:after="0" w:line="240" w:lineRule="auto"/>
        <w:rPr>
          <w:rFonts w:ascii="Arial" w:eastAsia="Calibri" w:hAnsi="Arial" w:cs="Arial"/>
          <w:bCs/>
          <w:sz w:val="24"/>
          <w:szCs w:val="24"/>
        </w:rPr>
      </w:pPr>
    </w:p>
    <w:p w14:paraId="085A8628" w14:textId="77777777" w:rsidR="00344568" w:rsidRDefault="00344568" w:rsidP="00F671AD">
      <w:pPr>
        <w:spacing w:after="0" w:line="240" w:lineRule="auto"/>
        <w:rPr>
          <w:rFonts w:ascii="Arial" w:eastAsia="Calibri" w:hAnsi="Arial" w:cs="Arial"/>
          <w:bCs/>
          <w:sz w:val="24"/>
          <w:szCs w:val="24"/>
        </w:rPr>
      </w:pPr>
    </w:p>
    <w:p w14:paraId="140E8C5E" w14:textId="77777777" w:rsidR="00344568" w:rsidRDefault="00344568" w:rsidP="00F671AD">
      <w:pPr>
        <w:spacing w:after="0" w:line="240" w:lineRule="auto"/>
        <w:rPr>
          <w:rFonts w:ascii="Arial" w:eastAsia="Calibri" w:hAnsi="Arial" w:cs="Arial"/>
          <w:bCs/>
          <w:sz w:val="24"/>
          <w:szCs w:val="24"/>
        </w:rPr>
      </w:pPr>
    </w:p>
    <w:p w14:paraId="6A780940" w14:textId="77777777" w:rsidR="00344568" w:rsidRPr="00CE4340" w:rsidRDefault="00344568" w:rsidP="00F671AD">
      <w:pPr>
        <w:spacing w:after="0" w:line="240" w:lineRule="auto"/>
        <w:rPr>
          <w:rFonts w:ascii="Arial" w:eastAsia="Calibri" w:hAnsi="Arial" w:cs="Arial"/>
          <w:bCs/>
          <w:sz w:val="24"/>
          <w:szCs w:val="24"/>
        </w:rPr>
      </w:pPr>
    </w:p>
    <w:p w14:paraId="38169074" w14:textId="09F8D3F9" w:rsidR="00F671AD" w:rsidRPr="00CE4340" w:rsidRDefault="00F671AD" w:rsidP="00E53DF1">
      <w:pPr>
        <w:spacing w:after="0" w:line="240" w:lineRule="auto"/>
        <w:ind w:left="-576"/>
        <w:rPr>
          <w:rFonts w:ascii="Arial" w:eastAsia="Calibri" w:hAnsi="Arial" w:cs="Arial"/>
          <w:b/>
          <w:sz w:val="24"/>
          <w:szCs w:val="24"/>
        </w:rPr>
      </w:pPr>
      <w:r w:rsidRPr="00CE4340">
        <w:rPr>
          <w:rFonts w:ascii="Arial" w:eastAsia="Calibri" w:hAnsi="Arial" w:cs="Arial"/>
          <w:b/>
          <w:sz w:val="24"/>
          <w:szCs w:val="24"/>
        </w:rPr>
        <w:t>Elevate EE Idea</w:t>
      </w:r>
      <w:r w:rsidR="008A500F" w:rsidRPr="00CE4340">
        <w:rPr>
          <w:rFonts w:ascii="Arial" w:eastAsia="Calibri" w:hAnsi="Arial" w:cs="Arial"/>
          <w:b/>
          <w:sz w:val="24"/>
          <w:szCs w:val="24"/>
        </w:rPr>
        <w:t>:</w:t>
      </w:r>
    </w:p>
    <w:p w14:paraId="54B083F6" w14:textId="77777777" w:rsidR="00F671AD" w:rsidRDefault="00F671AD" w:rsidP="00E53DF1">
      <w:pPr>
        <w:spacing w:after="0" w:line="240" w:lineRule="auto"/>
        <w:ind w:left="-576"/>
        <w:rPr>
          <w:rFonts w:ascii="Arial" w:eastAsia="Calibri" w:hAnsi="Arial" w:cs="Arial"/>
          <w:bCs/>
          <w:sz w:val="21"/>
          <w:szCs w:val="21"/>
        </w:rPr>
      </w:pPr>
      <w:r w:rsidRPr="008A500F">
        <w:rPr>
          <w:rFonts w:ascii="Arial" w:eastAsia="Calibri" w:hAnsi="Arial" w:cs="Arial"/>
          <w:bCs/>
          <w:sz w:val="21"/>
          <w:szCs w:val="21"/>
        </w:rPr>
        <w:t>Home EE Electrification (EE Idea tracker rows 43-44)</w:t>
      </w:r>
      <w:r w:rsidRPr="008A500F">
        <w:rPr>
          <w:rFonts w:ascii="Arial" w:eastAsia="Calibri" w:hAnsi="Arial" w:cs="Arial"/>
          <w:bCs/>
          <w:sz w:val="21"/>
          <w:szCs w:val="21"/>
        </w:rPr>
        <w:cr/>
      </w:r>
    </w:p>
    <w:tbl>
      <w:tblPr>
        <w:tblW w:w="14456" w:type="dxa"/>
        <w:tblInd w:w="-995" w:type="dxa"/>
        <w:tblCellMar>
          <w:top w:w="15" w:type="dxa"/>
        </w:tblCellMar>
        <w:tblLook w:val="04A0" w:firstRow="1" w:lastRow="0" w:firstColumn="1" w:lastColumn="0" w:noHBand="0" w:noVBand="1"/>
      </w:tblPr>
      <w:tblGrid>
        <w:gridCol w:w="3060"/>
        <w:gridCol w:w="8010"/>
        <w:gridCol w:w="1710"/>
        <w:gridCol w:w="1440"/>
        <w:gridCol w:w="236"/>
      </w:tblGrid>
      <w:tr w:rsidR="00CE4340" w:rsidRPr="00CE4340" w14:paraId="586D3345" w14:textId="77777777" w:rsidTr="00CE4340">
        <w:trPr>
          <w:gridAfter w:val="1"/>
          <w:wAfter w:w="236" w:type="dxa"/>
          <w:trHeight w:val="290"/>
        </w:trPr>
        <w:tc>
          <w:tcPr>
            <w:tcW w:w="3060" w:type="dxa"/>
            <w:tcBorders>
              <w:top w:val="single" w:sz="4" w:space="0" w:color="auto"/>
              <w:left w:val="single" w:sz="4" w:space="0" w:color="auto"/>
              <w:bottom w:val="single" w:sz="4" w:space="0" w:color="auto"/>
              <w:right w:val="single" w:sz="4" w:space="0" w:color="auto"/>
            </w:tcBorders>
            <w:shd w:val="clear" w:color="CFE2F3" w:fill="CFE2F3"/>
            <w:vAlign w:val="center"/>
            <w:hideMark/>
          </w:tcPr>
          <w:p w14:paraId="145CCC4D" w14:textId="77777777" w:rsidR="00CE4340" w:rsidRPr="00CE4340" w:rsidRDefault="00CE4340" w:rsidP="00CE4340">
            <w:pPr>
              <w:spacing w:after="0" w:line="240" w:lineRule="auto"/>
              <w:jc w:val="center"/>
              <w:rPr>
                <w:rFonts w:ascii="Arial" w:eastAsia="Times New Roman" w:hAnsi="Arial" w:cs="Arial"/>
                <w:b/>
                <w:bCs/>
                <w:color w:val="000000"/>
                <w:sz w:val="20"/>
                <w:szCs w:val="20"/>
              </w:rPr>
            </w:pPr>
            <w:r w:rsidRPr="00CE4340">
              <w:rPr>
                <w:rFonts w:ascii="Arial" w:eastAsia="Times New Roman" w:hAnsi="Arial" w:cs="Arial"/>
                <w:b/>
                <w:bCs/>
                <w:color w:val="000000"/>
                <w:sz w:val="20"/>
                <w:szCs w:val="20"/>
              </w:rPr>
              <w:t xml:space="preserve">Ameren IL Response </w:t>
            </w:r>
          </w:p>
        </w:tc>
        <w:tc>
          <w:tcPr>
            <w:tcW w:w="8010" w:type="dxa"/>
            <w:tcBorders>
              <w:top w:val="single" w:sz="4" w:space="0" w:color="auto"/>
              <w:left w:val="nil"/>
              <w:bottom w:val="single" w:sz="4" w:space="0" w:color="auto"/>
              <w:right w:val="single" w:sz="4" w:space="0" w:color="auto"/>
            </w:tcBorders>
            <w:shd w:val="clear" w:color="CFE2F3" w:fill="CFE2F3"/>
            <w:vAlign w:val="center"/>
            <w:hideMark/>
          </w:tcPr>
          <w:p w14:paraId="47165F84" w14:textId="77777777" w:rsidR="00CE4340" w:rsidRPr="00CE4340" w:rsidRDefault="00CE4340" w:rsidP="00CE4340">
            <w:pPr>
              <w:spacing w:after="0" w:line="240" w:lineRule="auto"/>
              <w:jc w:val="center"/>
              <w:rPr>
                <w:rFonts w:ascii="Arial" w:eastAsia="Times New Roman" w:hAnsi="Arial" w:cs="Arial"/>
                <w:b/>
                <w:bCs/>
                <w:color w:val="000000"/>
                <w:sz w:val="20"/>
                <w:szCs w:val="20"/>
              </w:rPr>
            </w:pPr>
            <w:r w:rsidRPr="00CE4340">
              <w:rPr>
                <w:rFonts w:ascii="Arial" w:eastAsia="Times New Roman" w:hAnsi="Arial" w:cs="Arial"/>
                <w:b/>
                <w:bCs/>
                <w:color w:val="000000"/>
                <w:sz w:val="20"/>
                <w:szCs w:val="20"/>
              </w:rPr>
              <w:t xml:space="preserve">ComEd Response </w:t>
            </w:r>
          </w:p>
        </w:tc>
        <w:tc>
          <w:tcPr>
            <w:tcW w:w="1710" w:type="dxa"/>
            <w:tcBorders>
              <w:top w:val="single" w:sz="4" w:space="0" w:color="auto"/>
              <w:left w:val="nil"/>
              <w:bottom w:val="single" w:sz="4" w:space="0" w:color="auto"/>
              <w:right w:val="single" w:sz="4" w:space="0" w:color="auto"/>
            </w:tcBorders>
            <w:shd w:val="clear" w:color="CFE2F3" w:fill="CFE2F3"/>
            <w:vAlign w:val="center"/>
            <w:hideMark/>
          </w:tcPr>
          <w:p w14:paraId="405B37F9" w14:textId="77777777" w:rsidR="00CE4340" w:rsidRPr="00CE4340" w:rsidRDefault="00CE4340" w:rsidP="00CE4340">
            <w:pPr>
              <w:spacing w:after="0" w:line="240" w:lineRule="auto"/>
              <w:jc w:val="center"/>
              <w:rPr>
                <w:rFonts w:ascii="Arial" w:eastAsia="Times New Roman" w:hAnsi="Arial" w:cs="Arial"/>
                <w:b/>
                <w:bCs/>
                <w:color w:val="000000"/>
                <w:sz w:val="20"/>
                <w:szCs w:val="20"/>
              </w:rPr>
            </w:pPr>
            <w:r w:rsidRPr="00CE4340">
              <w:rPr>
                <w:rFonts w:ascii="Arial" w:eastAsia="Times New Roman" w:hAnsi="Arial" w:cs="Arial"/>
                <w:b/>
                <w:bCs/>
                <w:color w:val="000000"/>
                <w:sz w:val="20"/>
                <w:szCs w:val="20"/>
              </w:rPr>
              <w:t xml:space="preserve">Nicor Gas Response </w:t>
            </w:r>
          </w:p>
        </w:tc>
        <w:tc>
          <w:tcPr>
            <w:tcW w:w="1440" w:type="dxa"/>
            <w:tcBorders>
              <w:top w:val="single" w:sz="4" w:space="0" w:color="auto"/>
              <w:left w:val="nil"/>
              <w:bottom w:val="single" w:sz="4" w:space="0" w:color="auto"/>
              <w:right w:val="single" w:sz="4" w:space="0" w:color="auto"/>
            </w:tcBorders>
            <w:shd w:val="clear" w:color="CFE2F3" w:fill="CFE2F3"/>
            <w:vAlign w:val="center"/>
            <w:hideMark/>
          </w:tcPr>
          <w:p w14:paraId="067F3050" w14:textId="77777777" w:rsidR="00CE4340" w:rsidRPr="00CE4340" w:rsidRDefault="00CE4340" w:rsidP="00CE4340">
            <w:pPr>
              <w:spacing w:after="0" w:line="240" w:lineRule="auto"/>
              <w:jc w:val="center"/>
              <w:rPr>
                <w:rFonts w:ascii="Arial" w:eastAsia="Times New Roman" w:hAnsi="Arial" w:cs="Arial"/>
                <w:b/>
                <w:bCs/>
                <w:color w:val="000000"/>
                <w:sz w:val="20"/>
                <w:szCs w:val="20"/>
              </w:rPr>
            </w:pPr>
            <w:r w:rsidRPr="00CE4340">
              <w:rPr>
                <w:rFonts w:ascii="Arial" w:eastAsia="Times New Roman" w:hAnsi="Arial" w:cs="Arial"/>
                <w:b/>
                <w:bCs/>
                <w:color w:val="000000"/>
                <w:sz w:val="20"/>
                <w:szCs w:val="20"/>
              </w:rPr>
              <w:t xml:space="preserve">PG &amp; NSG Response </w:t>
            </w:r>
          </w:p>
        </w:tc>
      </w:tr>
      <w:tr w:rsidR="00CE4340" w:rsidRPr="00CE4340" w14:paraId="283B0D23" w14:textId="77777777" w:rsidTr="00CE4340">
        <w:trPr>
          <w:gridAfter w:val="1"/>
          <w:wAfter w:w="236" w:type="dxa"/>
          <w:trHeight w:val="2750"/>
        </w:trPr>
        <w:tc>
          <w:tcPr>
            <w:tcW w:w="3060" w:type="dxa"/>
            <w:vMerge w:val="restart"/>
            <w:tcBorders>
              <w:top w:val="nil"/>
              <w:left w:val="single" w:sz="4" w:space="0" w:color="auto"/>
              <w:bottom w:val="single" w:sz="4" w:space="0" w:color="auto"/>
              <w:right w:val="single" w:sz="4" w:space="0" w:color="auto"/>
            </w:tcBorders>
            <w:shd w:val="clear" w:color="000000" w:fill="B4C6E7"/>
            <w:vAlign w:val="center"/>
            <w:hideMark/>
          </w:tcPr>
          <w:p w14:paraId="7054BF78" w14:textId="77777777" w:rsidR="00CE4340" w:rsidRPr="00CE4340" w:rsidRDefault="00CE4340" w:rsidP="00CE4340">
            <w:pPr>
              <w:spacing w:after="0" w:line="240" w:lineRule="auto"/>
              <w:rPr>
                <w:rFonts w:ascii="Arial" w:eastAsia="Times New Roman" w:hAnsi="Arial" w:cs="Arial"/>
                <w:color w:val="000000"/>
                <w:sz w:val="20"/>
                <w:szCs w:val="20"/>
              </w:rPr>
            </w:pPr>
            <w:r w:rsidRPr="00CE4340">
              <w:rPr>
                <w:rFonts w:ascii="Arial" w:eastAsia="Times New Roman" w:hAnsi="Arial" w:cs="Arial"/>
                <w:color w:val="000000"/>
                <w:sz w:val="20"/>
                <w:szCs w:val="20"/>
              </w:rPr>
              <w:t>Idea requires more research and information, potential as a Breakthrough Equipment and Devices (BED) project.</w:t>
            </w:r>
          </w:p>
        </w:tc>
        <w:tc>
          <w:tcPr>
            <w:tcW w:w="8010" w:type="dxa"/>
            <w:vMerge w:val="restart"/>
            <w:tcBorders>
              <w:top w:val="nil"/>
              <w:left w:val="single" w:sz="4" w:space="0" w:color="auto"/>
              <w:bottom w:val="single" w:sz="4" w:space="0" w:color="auto"/>
              <w:right w:val="single" w:sz="4" w:space="0" w:color="auto"/>
            </w:tcBorders>
            <w:shd w:val="clear" w:color="000000" w:fill="B4C6E7"/>
            <w:vAlign w:val="center"/>
            <w:hideMark/>
          </w:tcPr>
          <w:p w14:paraId="7E4263E3" w14:textId="56BB1D71" w:rsidR="00CE4340" w:rsidRPr="00CE4340" w:rsidRDefault="00CE4340" w:rsidP="00CE4340">
            <w:pPr>
              <w:spacing w:after="0" w:line="240" w:lineRule="auto"/>
              <w:rPr>
                <w:rFonts w:ascii="Arial" w:eastAsia="Times New Roman" w:hAnsi="Arial" w:cs="Arial"/>
                <w:color w:val="000000"/>
                <w:sz w:val="20"/>
                <w:szCs w:val="20"/>
              </w:rPr>
            </w:pPr>
            <w:r w:rsidRPr="00CE4340">
              <w:rPr>
                <w:rFonts w:ascii="Arial" w:eastAsia="Times New Roman" w:hAnsi="Arial" w:cs="Arial"/>
                <w:color w:val="000000"/>
                <w:sz w:val="20"/>
                <w:szCs w:val="20"/>
              </w:rPr>
              <w:t>ComEd has developed leave behind materials and is working with participating Energy Efficiency Service Providers to ensure equipment maintenance requirements are clear for Whole Home Electric participants.</w:t>
            </w:r>
            <w:r w:rsidRPr="00CE4340">
              <w:rPr>
                <w:rFonts w:ascii="Arial" w:eastAsia="Times New Roman" w:hAnsi="Arial" w:cs="Arial"/>
                <w:color w:val="000000"/>
                <w:sz w:val="20"/>
                <w:szCs w:val="20"/>
              </w:rPr>
              <w:br/>
            </w:r>
            <w:r w:rsidRPr="00CE4340">
              <w:rPr>
                <w:rFonts w:ascii="Arial" w:eastAsia="Times New Roman" w:hAnsi="Arial" w:cs="Arial"/>
                <w:color w:val="000000"/>
                <w:sz w:val="20"/>
                <w:szCs w:val="20"/>
              </w:rPr>
              <w:br/>
              <w:t xml:space="preserve">In response to the 4-part suggestion: </w:t>
            </w:r>
            <w:r w:rsidRPr="00CE4340">
              <w:rPr>
                <w:rFonts w:ascii="Arial" w:eastAsia="Times New Roman" w:hAnsi="Arial" w:cs="Arial"/>
                <w:color w:val="000000"/>
                <w:sz w:val="20"/>
                <w:szCs w:val="20"/>
              </w:rPr>
              <w:br/>
              <w:t xml:space="preserve">1. ComEd is pursuing a post-project equipment monitoring study for a subset of Whole Home Electric participants through R&amp;D.  </w:t>
            </w:r>
            <w:r w:rsidRPr="00CE4340">
              <w:rPr>
                <w:rFonts w:ascii="Arial" w:eastAsia="Times New Roman" w:hAnsi="Arial" w:cs="Arial"/>
                <w:color w:val="000000"/>
                <w:sz w:val="20"/>
                <w:szCs w:val="20"/>
              </w:rPr>
              <w:br/>
              <w:t>2. ComEd will investigate the energy savings associated with Clean and Check services and if this can be implemented within Whole Home Electric in coordination with the participating Energy Efficiency Service Providers</w:t>
            </w:r>
            <w:r w:rsidRPr="00CE4340">
              <w:rPr>
                <w:rFonts w:ascii="Arial" w:eastAsia="Times New Roman" w:hAnsi="Arial" w:cs="Arial"/>
                <w:color w:val="000000"/>
                <w:sz w:val="20"/>
                <w:szCs w:val="20"/>
              </w:rPr>
              <w:br/>
              <w:t>3. ComEd will consider expanding the R&amp;D monitoring scope to assess how 'Clean and Check Services' impact system performance</w:t>
            </w:r>
            <w:r w:rsidRPr="00CE4340">
              <w:rPr>
                <w:rFonts w:ascii="Arial" w:eastAsia="Times New Roman" w:hAnsi="Arial" w:cs="Arial"/>
                <w:color w:val="000000"/>
                <w:sz w:val="20"/>
                <w:szCs w:val="20"/>
              </w:rPr>
              <w:br/>
              <w:t>4. If ComEd is able to incorporate suggestion #2, it will be feasible to also incorporate this suggestion as part of the Clean and Check service and expectations.</w:t>
            </w:r>
            <w:r w:rsidRPr="00CE4340">
              <w:rPr>
                <w:rFonts w:ascii="Arial" w:eastAsia="Times New Roman" w:hAnsi="Arial" w:cs="Arial"/>
                <w:color w:val="000000"/>
                <w:sz w:val="20"/>
                <w:szCs w:val="20"/>
              </w:rPr>
              <w:br/>
            </w:r>
            <w:r w:rsidRPr="00CE4340">
              <w:rPr>
                <w:rFonts w:ascii="Arial" w:eastAsia="Times New Roman" w:hAnsi="Arial" w:cs="Arial"/>
                <w:color w:val="000000"/>
                <w:sz w:val="20"/>
                <w:szCs w:val="20"/>
              </w:rPr>
              <w:br/>
              <w:t xml:space="preserve">We believe this idea needs further investigation to understand the energy savings potential and suggest it should be submitted through our R&amp;D team. </w:t>
            </w:r>
          </w:p>
        </w:tc>
        <w:tc>
          <w:tcPr>
            <w:tcW w:w="1710" w:type="dxa"/>
            <w:vMerge w:val="restart"/>
            <w:tcBorders>
              <w:top w:val="nil"/>
              <w:left w:val="nil"/>
              <w:bottom w:val="single" w:sz="4" w:space="0" w:color="auto"/>
              <w:right w:val="single" w:sz="4" w:space="0" w:color="auto"/>
            </w:tcBorders>
            <w:shd w:val="clear" w:color="000000" w:fill="BFBFBF"/>
            <w:noWrap/>
            <w:vAlign w:val="center"/>
            <w:hideMark/>
          </w:tcPr>
          <w:p w14:paraId="53FF0110" w14:textId="77777777" w:rsidR="00CE4340" w:rsidRPr="00CE4340" w:rsidRDefault="00CE4340" w:rsidP="00CE4340">
            <w:pPr>
              <w:spacing w:after="0" w:line="240" w:lineRule="auto"/>
              <w:jc w:val="center"/>
              <w:rPr>
                <w:rFonts w:ascii="Arial" w:eastAsia="Times New Roman" w:hAnsi="Arial" w:cs="Arial"/>
                <w:color w:val="000000"/>
                <w:sz w:val="20"/>
                <w:szCs w:val="20"/>
              </w:rPr>
            </w:pPr>
            <w:r w:rsidRPr="00CE4340">
              <w:rPr>
                <w:rFonts w:ascii="Arial" w:eastAsia="Times New Roman" w:hAnsi="Arial" w:cs="Arial"/>
                <w:color w:val="000000"/>
                <w:sz w:val="20"/>
                <w:szCs w:val="20"/>
              </w:rPr>
              <w:t xml:space="preserve">N/A </w:t>
            </w:r>
          </w:p>
        </w:tc>
        <w:tc>
          <w:tcPr>
            <w:tcW w:w="1440" w:type="dxa"/>
            <w:vMerge w:val="restart"/>
            <w:tcBorders>
              <w:top w:val="nil"/>
              <w:left w:val="single" w:sz="4" w:space="0" w:color="auto"/>
              <w:bottom w:val="single" w:sz="4" w:space="0" w:color="auto"/>
              <w:right w:val="single" w:sz="4" w:space="0" w:color="auto"/>
            </w:tcBorders>
            <w:shd w:val="clear" w:color="000000" w:fill="BFBFBF"/>
            <w:noWrap/>
            <w:vAlign w:val="center"/>
            <w:hideMark/>
          </w:tcPr>
          <w:p w14:paraId="78D8978E" w14:textId="77777777" w:rsidR="00CE4340" w:rsidRPr="00CE4340" w:rsidRDefault="00CE4340" w:rsidP="00CE4340">
            <w:pPr>
              <w:spacing w:after="0" w:line="240" w:lineRule="auto"/>
              <w:jc w:val="center"/>
              <w:rPr>
                <w:rFonts w:ascii="Arial" w:eastAsia="Times New Roman" w:hAnsi="Arial" w:cs="Arial"/>
                <w:color w:val="000000"/>
                <w:sz w:val="20"/>
                <w:szCs w:val="20"/>
              </w:rPr>
            </w:pPr>
            <w:r w:rsidRPr="00CE4340">
              <w:rPr>
                <w:rFonts w:ascii="Arial" w:eastAsia="Times New Roman" w:hAnsi="Arial" w:cs="Arial"/>
                <w:color w:val="000000"/>
                <w:sz w:val="20"/>
                <w:szCs w:val="20"/>
              </w:rPr>
              <w:t xml:space="preserve">N/A </w:t>
            </w:r>
          </w:p>
        </w:tc>
      </w:tr>
      <w:tr w:rsidR="00CE4340" w:rsidRPr="00CE4340" w14:paraId="440E3198" w14:textId="77777777" w:rsidTr="00CE4340">
        <w:trPr>
          <w:trHeight w:val="2020"/>
        </w:trPr>
        <w:tc>
          <w:tcPr>
            <w:tcW w:w="3060" w:type="dxa"/>
            <w:vMerge/>
            <w:tcBorders>
              <w:top w:val="nil"/>
              <w:left w:val="single" w:sz="4" w:space="0" w:color="auto"/>
              <w:bottom w:val="single" w:sz="4" w:space="0" w:color="auto"/>
              <w:right w:val="single" w:sz="4" w:space="0" w:color="auto"/>
            </w:tcBorders>
            <w:vAlign w:val="center"/>
            <w:hideMark/>
          </w:tcPr>
          <w:p w14:paraId="7C73B694" w14:textId="77777777" w:rsidR="00CE4340" w:rsidRPr="00CE4340" w:rsidRDefault="00CE4340" w:rsidP="00CE4340">
            <w:pPr>
              <w:spacing w:after="0" w:line="240" w:lineRule="auto"/>
              <w:rPr>
                <w:rFonts w:ascii="Arial" w:eastAsia="Times New Roman" w:hAnsi="Arial" w:cs="Arial"/>
                <w:color w:val="000000"/>
                <w:sz w:val="20"/>
                <w:szCs w:val="20"/>
              </w:rPr>
            </w:pPr>
          </w:p>
        </w:tc>
        <w:tc>
          <w:tcPr>
            <w:tcW w:w="8010" w:type="dxa"/>
            <w:vMerge/>
            <w:tcBorders>
              <w:top w:val="nil"/>
              <w:left w:val="single" w:sz="4" w:space="0" w:color="auto"/>
              <w:bottom w:val="single" w:sz="4" w:space="0" w:color="auto"/>
              <w:right w:val="single" w:sz="4" w:space="0" w:color="auto"/>
            </w:tcBorders>
            <w:vAlign w:val="center"/>
            <w:hideMark/>
          </w:tcPr>
          <w:p w14:paraId="7E3034D0" w14:textId="77777777" w:rsidR="00CE4340" w:rsidRPr="00CE4340" w:rsidRDefault="00CE4340" w:rsidP="00CE4340">
            <w:pPr>
              <w:spacing w:after="0" w:line="240" w:lineRule="auto"/>
              <w:rPr>
                <w:rFonts w:ascii="Arial" w:eastAsia="Times New Roman" w:hAnsi="Arial" w:cs="Arial"/>
                <w:color w:val="000000"/>
                <w:sz w:val="20"/>
                <w:szCs w:val="20"/>
              </w:rPr>
            </w:pPr>
          </w:p>
        </w:tc>
        <w:tc>
          <w:tcPr>
            <w:tcW w:w="1710" w:type="dxa"/>
            <w:vMerge/>
            <w:tcBorders>
              <w:top w:val="nil"/>
              <w:left w:val="nil"/>
              <w:bottom w:val="single" w:sz="4" w:space="0" w:color="auto"/>
              <w:right w:val="single" w:sz="4" w:space="0" w:color="auto"/>
            </w:tcBorders>
            <w:vAlign w:val="center"/>
            <w:hideMark/>
          </w:tcPr>
          <w:p w14:paraId="1A6702E1" w14:textId="77777777" w:rsidR="00CE4340" w:rsidRPr="00CE4340" w:rsidRDefault="00CE4340" w:rsidP="00CE4340">
            <w:pPr>
              <w:spacing w:after="0" w:line="240" w:lineRule="auto"/>
              <w:rPr>
                <w:rFonts w:ascii="Arial" w:eastAsia="Times New Roman" w:hAnsi="Arial" w:cs="Arial"/>
                <w:color w:val="000000"/>
                <w:sz w:val="20"/>
                <w:szCs w:val="20"/>
              </w:rPr>
            </w:pPr>
          </w:p>
        </w:tc>
        <w:tc>
          <w:tcPr>
            <w:tcW w:w="1440" w:type="dxa"/>
            <w:vMerge/>
            <w:tcBorders>
              <w:top w:val="nil"/>
              <w:left w:val="single" w:sz="4" w:space="0" w:color="auto"/>
              <w:bottom w:val="single" w:sz="4" w:space="0" w:color="auto"/>
              <w:right w:val="single" w:sz="4" w:space="0" w:color="auto"/>
            </w:tcBorders>
            <w:vAlign w:val="center"/>
            <w:hideMark/>
          </w:tcPr>
          <w:p w14:paraId="7CE63A31" w14:textId="77777777" w:rsidR="00CE4340" w:rsidRPr="00CE4340" w:rsidRDefault="00CE4340" w:rsidP="00CE4340">
            <w:pPr>
              <w:spacing w:after="0" w:line="240" w:lineRule="auto"/>
              <w:rPr>
                <w:rFonts w:ascii="Arial" w:eastAsia="Times New Roman" w:hAnsi="Arial" w:cs="Arial"/>
                <w:color w:val="000000"/>
                <w:sz w:val="20"/>
                <w:szCs w:val="20"/>
              </w:rPr>
            </w:pPr>
          </w:p>
        </w:tc>
        <w:tc>
          <w:tcPr>
            <w:tcW w:w="236" w:type="dxa"/>
            <w:tcBorders>
              <w:top w:val="nil"/>
              <w:left w:val="nil"/>
              <w:bottom w:val="nil"/>
              <w:right w:val="nil"/>
            </w:tcBorders>
            <w:shd w:val="clear" w:color="auto" w:fill="auto"/>
            <w:noWrap/>
            <w:vAlign w:val="bottom"/>
            <w:hideMark/>
          </w:tcPr>
          <w:p w14:paraId="27535C71" w14:textId="77777777" w:rsidR="00CE4340" w:rsidRPr="00CE4340" w:rsidRDefault="00CE4340" w:rsidP="00CE4340">
            <w:pPr>
              <w:spacing w:after="0" w:line="240" w:lineRule="auto"/>
              <w:jc w:val="center"/>
              <w:rPr>
                <w:rFonts w:ascii="Arial" w:eastAsia="Times New Roman" w:hAnsi="Arial" w:cs="Arial"/>
                <w:color w:val="000000"/>
                <w:sz w:val="20"/>
                <w:szCs w:val="20"/>
              </w:rPr>
            </w:pPr>
          </w:p>
        </w:tc>
      </w:tr>
    </w:tbl>
    <w:p w14:paraId="24616CFC" w14:textId="77777777" w:rsidR="00CE4340" w:rsidRPr="008A500F" w:rsidRDefault="00CE4340" w:rsidP="008A500F">
      <w:pPr>
        <w:spacing w:after="0" w:line="240" w:lineRule="auto"/>
        <w:rPr>
          <w:rFonts w:ascii="Arial" w:eastAsia="Calibri" w:hAnsi="Arial" w:cs="Arial"/>
          <w:bCs/>
          <w:sz w:val="21"/>
          <w:szCs w:val="21"/>
        </w:rPr>
      </w:pPr>
    </w:p>
    <w:p w14:paraId="018328E8" w14:textId="77777777" w:rsidR="00F671AD" w:rsidRPr="00F671AD" w:rsidRDefault="00F671AD" w:rsidP="00F671AD">
      <w:pPr>
        <w:spacing w:after="0" w:line="240" w:lineRule="auto"/>
        <w:rPr>
          <w:rFonts w:ascii="Arial" w:eastAsia="Calibri" w:hAnsi="Arial" w:cs="Arial"/>
          <w:bCs/>
          <w:sz w:val="21"/>
          <w:szCs w:val="21"/>
        </w:rPr>
      </w:pPr>
    </w:p>
    <w:sectPr w:rsidR="00F671AD" w:rsidRPr="00F671AD" w:rsidSect="0076502E">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54D64" w14:textId="77777777" w:rsidR="005552A3" w:rsidRDefault="005552A3" w:rsidP="005552A3">
      <w:pPr>
        <w:spacing w:after="0" w:line="240" w:lineRule="auto"/>
      </w:pPr>
      <w:r>
        <w:separator/>
      </w:r>
    </w:p>
  </w:endnote>
  <w:endnote w:type="continuationSeparator" w:id="0">
    <w:p w14:paraId="14DE9825" w14:textId="77777777" w:rsidR="005552A3" w:rsidRDefault="005552A3" w:rsidP="00555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4925451"/>
      <w:docPartObj>
        <w:docPartGallery w:val="Page Numbers (Bottom of Page)"/>
        <w:docPartUnique/>
      </w:docPartObj>
    </w:sdtPr>
    <w:sdtEndPr>
      <w:rPr>
        <w:noProof/>
      </w:rPr>
    </w:sdtEndPr>
    <w:sdtContent>
      <w:p w14:paraId="13CA0C03" w14:textId="3A4D9BE2" w:rsidR="005552A3" w:rsidRDefault="005552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A1D625" w14:textId="77777777" w:rsidR="005552A3" w:rsidRDefault="00555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2D5D9" w14:textId="77777777" w:rsidR="005552A3" w:rsidRDefault="005552A3" w:rsidP="005552A3">
      <w:pPr>
        <w:spacing w:after="0" w:line="240" w:lineRule="auto"/>
      </w:pPr>
      <w:r>
        <w:separator/>
      </w:r>
    </w:p>
  </w:footnote>
  <w:footnote w:type="continuationSeparator" w:id="0">
    <w:p w14:paraId="42253802" w14:textId="77777777" w:rsidR="005552A3" w:rsidRDefault="005552A3" w:rsidP="005552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2272"/>
    <w:multiLevelType w:val="hybridMultilevel"/>
    <w:tmpl w:val="A446874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38260B9"/>
    <w:multiLevelType w:val="hybridMultilevel"/>
    <w:tmpl w:val="BDD8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06F14"/>
    <w:multiLevelType w:val="hybridMultilevel"/>
    <w:tmpl w:val="87A075C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A71D8A"/>
    <w:multiLevelType w:val="hybridMultilevel"/>
    <w:tmpl w:val="B4CEF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987DFB"/>
    <w:multiLevelType w:val="hybridMultilevel"/>
    <w:tmpl w:val="10E0D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6D26A7"/>
    <w:multiLevelType w:val="hybridMultilevel"/>
    <w:tmpl w:val="1A267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E6C87"/>
    <w:multiLevelType w:val="hybridMultilevel"/>
    <w:tmpl w:val="7B0A9A7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00440905">
    <w:abstractNumId w:val="3"/>
  </w:num>
  <w:num w:numId="2" w16cid:durableId="1052270482">
    <w:abstractNumId w:val="6"/>
  </w:num>
  <w:num w:numId="3" w16cid:durableId="966281823">
    <w:abstractNumId w:val="0"/>
  </w:num>
  <w:num w:numId="4" w16cid:durableId="621501875">
    <w:abstractNumId w:val="2"/>
  </w:num>
  <w:num w:numId="5" w16cid:durableId="1283728927">
    <w:abstractNumId w:val="1"/>
  </w:num>
  <w:num w:numId="6" w16cid:durableId="1801341941">
    <w:abstractNumId w:val="4"/>
  </w:num>
  <w:num w:numId="7" w16cid:durableId="789468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E7D"/>
    <w:rsid w:val="000455B9"/>
    <w:rsid w:val="00082097"/>
    <w:rsid w:val="000B46DB"/>
    <w:rsid w:val="000D06A1"/>
    <w:rsid w:val="000D08DD"/>
    <w:rsid w:val="000F46C4"/>
    <w:rsid w:val="00140966"/>
    <w:rsid w:val="00165E3F"/>
    <w:rsid w:val="001A4C6C"/>
    <w:rsid w:val="001C2460"/>
    <w:rsid w:val="001C5915"/>
    <w:rsid w:val="001C7E31"/>
    <w:rsid w:val="001E4EF6"/>
    <w:rsid w:val="00206484"/>
    <w:rsid w:val="002075E9"/>
    <w:rsid w:val="0023628B"/>
    <w:rsid w:val="00243BDE"/>
    <w:rsid w:val="00266815"/>
    <w:rsid w:val="002C04A6"/>
    <w:rsid w:val="002C2C02"/>
    <w:rsid w:val="003323A5"/>
    <w:rsid w:val="00342F45"/>
    <w:rsid w:val="00344071"/>
    <w:rsid w:val="00344568"/>
    <w:rsid w:val="00362E21"/>
    <w:rsid w:val="003769C5"/>
    <w:rsid w:val="003940D0"/>
    <w:rsid w:val="003B3590"/>
    <w:rsid w:val="003F6125"/>
    <w:rsid w:val="00421D24"/>
    <w:rsid w:val="00425D46"/>
    <w:rsid w:val="00426C2A"/>
    <w:rsid w:val="00464B46"/>
    <w:rsid w:val="004B64EF"/>
    <w:rsid w:val="00514049"/>
    <w:rsid w:val="00532A95"/>
    <w:rsid w:val="00543190"/>
    <w:rsid w:val="005552A3"/>
    <w:rsid w:val="00556261"/>
    <w:rsid w:val="005931DF"/>
    <w:rsid w:val="00593B06"/>
    <w:rsid w:val="00597642"/>
    <w:rsid w:val="005A68FE"/>
    <w:rsid w:val="005A7CF1"/>
    <w:rsid w:val="005D07A4"/>
    <w:rsid w:val="005D31BB"/>
    <w:rsid w:val="005E0401"/>
    <w:rsid w:val="005F40EB"/>
    <w:rsid w:val="00614472"/>
    <w:rsid w:val="00622C74"/>
    <w:rsid w:val="006267F0"/>
    <w:rsid w:val="006474B1"/>
    <w:rsid w:val="006611D5"/>
    <w:rsid w:val="006657BF"/>
    <w:rsid w:val="00673B8C"/>
    <w:rsid w:val="0067468F"/>
    <w:rsid w:val="006771D3"/>
    <w:rsid w:val="006A5BB3"/>
    <w:rsid w:val="006A768E"/>
    <w:rsid w:val="006B4799"/>
    <w:rsid w:val="006C5AAB"/>
    <w:rsid w:val="006D2682"/>
    <w:rsid w:val="006D3262"/>
    <w:rsid w:val="00704164"/>
    <w:rsid w:val="007258F0"/>
    <w:rsid w:val="00741071"/>
    <w:rsid w:val="00750128"/>
    <w:rsid w:val="0076502E"/>
    <w:rsid w:val="00782241"/>
    <w:rsid w:val="007850D4"/>
    <w:rsid w:val="00790E7D"/>
    <w:rsid w:val="00792913"/>
    <w:rsid w:val="00794EEA"/>
    <w:rsid w:val="007B651A"/>
    <w:rsid w:val="007C0F62"/>
    <w:rsid w:val="008156DC"/>
    <w:rsid w:val="00816ECC"/>
    <w:rsid w:val="00822312"/>
    <w:rsid w:val="00841AB5"/>
    <w:rsid w:val="00860CAD"/>
    <w:rsid w:val="0087628F"/>
    <w:rsid w:val="00886ECF"/>
    <w:rsid w:val="00891314"/>
    <w:rsid w:val="008A500F"/>
    <w:rsid w:val="008E2236"/>
    <w:rsid w:val="009019F7"/>
    <w:rsid w:val="0093090B"/>
    <w:rsid w:val="009573DE"/>
    <w:rsid w:val="00974D47"/>
    <w:rsid w:val="009A6575"/>
    <w:rsid w:val="009B0F8E"/>
    <w:rsid w:val="00A07E06"/>
    <w:rsid w:val="00A7060F"/>
    <w:rsid w:val="00A8311A"/>
    <w:rsid w:val="00AA1057"/>
    <w:rsid w:val="00AC01FE"/>
    <w:rsid w:val="00AD0C92"/>
    <w:rsid w:val="00AD248B"/>
    <w:rsid w:val="00AE5B3A"/>
    <w:rsid w:val="00AE6AAE"/>
    <w:rsid w:val="00B206CC"/>
    <w:rsid w:val="00BA46D6"/>
    <w:rsid w:val="00BB2CF9"/>
    <w:rsid w:val="00BC1E84"/>
    <w:rsid w:val="00BD6585"/>
    <w:rsid w:val="00BF0BCD"/>
    <w:rsid w:val="00C021F0"/>
    <w:rsid w:val="00C03824"/>
    <w:rsid w:val="00C34E0A"/>
    <w:rsid w:val="00C47DC3"/>
    <w:rsid w:val="00CA20AB"/>
    <w:rsid w:val="00CA3B3D"/>
    <w:rsid w:val="00CA7602"/>
    <w:rsid w:val="00CE4340"/>
    <w:rsid w:val="00CF77B2"/>
    <w:rsid w:val="00D9048A"/>
    <w:rsid w:val="00D92AEC"/>
    <w:rsid w:val="00DA1D80"/>
    <w:rsid w:val="00DA754C"/>
    <w:rsid w:val="00DC3354"/>
    <w:rsid w:val="00DD7577"/>
    <w:rsid w:val="00DF0C79"/>
    <w:rsid w:val="00DF6020"/>
    <w:rsid w:val="00E03280"/>
    <w:rsid w:val="00E53B1B"/>
    <w:rsid w:val="00E53DF1"/>
    <w:rsid w:val="00E655FA"/>
    <w:rsid w:val="00E96DA4"/>
    <w:rsid w:val="00EA02BC"/>
    <w:rsid w:val="00F01DA8"/>
    <w:rsid w:val="00F14FCC"/>
    <w:rsid w:val="00F151B1"/>
    <w:rsid w:val="00F17BF5"/>
    <w:rsid w:val="00F215CC"/>
    <w:rsid w:val="00F3449E"/>
    <w:rsid w:val="00F34711"/>
    <w:rsid w:val="00F41F42"/>
    <w:rsid w:val="00F57955"/>
    <w:rsid w:val="00F62E6F"/>
    <w:rsid w:val="00F671AD"/>
    <w:rsid w:val="00F71552"/>
    <w:rsid w:val="00F743A0"/>
    <w:rsid w:val="00F761C0"/>
    <w:rsid w:val="00FA4BE5"/>
    <w:rsid w:val="00FB2E16"/>
    <w:rsid w:val="00FB50DC"/>
    <w:rsid w:val="00FC1A62"/>
    <w:rsid w:val="00FC6F50"/>
    <w:rsid w:val="00FE5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83E1"/>
  <w15:chartTrackingRefBased/>
  <w15:docId w15:val="{B7113FE4-F574-4D35-BAE3-438268F7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E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F671AD"/>
    <w:pPr>
      <w:ind w:left="720"/>
      <w:contextualSpacing/>
    </w:pPr>
  </w:style>
  <w:style w:type="character" w:customStyle="1" w:styleId="ListParagraphChar">
    <w:name w:val="List Paragraph Char"/>
    <w:aliases w:val="TT - List Paragraph Char"/>
    <w:basedOn w:val="DefaultParagraphFont"/>
    <w:link w:val="ListParagraph"/>
    <w:uiPriority w:val="34"/>
    <w:rsid w:val="00F671AD"/>
  </w:style>
  <w:style w:type="character" w:styleId="Hyperlink">
    <w:name w:val="Hyperlink"/>
    <w:basedOn w:val="DefaultParagraphFont"/>
    <w:uiPriority w:val="99"/>
    <w:unhideWhenUsed/>
    <w:rsid w:val="00F671AD"/>
    <w:rPr>
      <w:color w:val="0000FF"/>
      <w:u w:val="single"/>
    </w:rPr>
  </w:style>
  <w:style w:type="paragraph" w:styleId="Header">
    <w:name w:val="header"/>
    <w:basedOn w:val="Normal"/>
    <w:link w:val="HeaderChar"/>
    <w:uiPriority w:val="99"/>
    <w:unhideWhenUsed/>
    <w:rsid w:val="005552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2A3"/>
  </w:style>
  <w:style w:type="paragraph" w:styleId="Footer">
    <w:name w:val="footer"/>
    <w:basedOn w:val="Normal"/>
    <w:link w:val="FooterChar"/>
    <w:uiPriority w:val="99"/>
    <w:unhideWhenUsed/>
    <w:rsid w:val="005552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29870">
      <w:bodyDiv w:val="1"/>
      <w:marLeft w:val="0"/>
      <w:marRight w:val="0"/>
      <w:marTop w:val="0"/>
      <w:marBottom w:val="0"/>
      <w:divBdr>
        <w:top w:val="none" w:sz="0" w:space="0" w:color="auto"/>
        <w:left w:val="none" w:sz="0" w:space="0" w:color="auto"/>
        <w:bottom w:val="none" w:sz="0" w:space="0" w:color="auto"/>
        <w:right w:val="none" w:sz="0" w:space="0" w:color="auto"/>
      </w:divBdr>
    </w:div>
    <w:div w:id="175847935">
      <w:bodyDiv w:val="1"/>
      <w:marLeft w:val="0"/>
      <w:marRight w:val="0"/>
      <w:marTop w:val="0"/>
      <w:marBottom w:val="0"/>
      <w:divBdr>
        <w:top w:val="none" w:sz="0" w:space="0" w:color="auto"/>
        <w:left w:val="none" w:sz="0" w:space="0" w:color="auto"/>
        <w:bottom w:val="none" w:sz="0" w:space="0" w:color="auto"/>
        <w:right w:val="none" w:sz="0" w:space="0" w:color="auto"/>
      </w:divBdr>
    </w:div>
    <w:div w:id="325523716">
      <w:bodyDiv w:val="1"/>
      <w:marLeft w:val="0"/>
      <w:marRight w:val="0"/>
      <w:marTop w:val="0"/>
      <w:marBottom w:val="0"/>
      <w:divBdr>
        <w:top w:val="none" w:sz="0" w:space="0" w:color="auto"/>
        <w:left w:val="none" w:sz="0" w:space="0" w:color="auto"/>
        <w:bottom w:val="none" w:sz="0" w:space="0" w:color="auto"/>
        <w:right w:val="none" w:sz="0" w:space="0" w:color="auto"/>
      </w:divBdr>
    </w:div>
    <w:div w:id="466826832">
      <w:bodyDiv w:val="1"/>
      <w:marLeft w:val="0"/>
      <w:marRight w:val="0"/>
      <w:marTop w:val="0"/>
      <w:marBottom w:val="0"/>
      <w:divBdr>
        <w:top w:val="none" w:sz="0" w:space="0" w:color="auto"/>
        <w:left w:val="none" w:sz="0" w:space="0" w:color="auto"/>
        <w:bottom w:val="none" w:sz="0" w:space="0" w:color="auto"/>
        <w:right w:val="none" w:sz="0" w:space="0" w:color="auto"/>
      </w:divBdr>
    </w:div>
    <w:div w:id="653601818">
      <w:bodyDiv w:val="1"/>
      <w:marLeft w:val="0"/>
      <w:marRight w:val="0"/>
      <w:marTop w:val="0"/>
      <w:marBottom w:val="0"/>
      <w:divBdr>
        <w:top w:val="none" w:sz="0" w:space="0" w:color="auto"/>
        <w:left w:val="none" w:sz="0" w:space="0" w:color="auto"/>
        <w:bottom w:val="none" w:sz="0" w:space="0" w:color="auto"/>
        <w:right w:val="none" w:sz="0" w:space="0" w:color="auto"/>
      </w:divBdr>
    </w:div>
    <w:div w:id="741374400">
      <w:bodyDiv w:val="1"/>
      <w:marLeft w:val="0"/>
      <w:marRight w:val="0"/>
      <w:marTop w:val="0"/>
      <w:marBottom w:val="0"/>
      <w:divBdr>
        <w:top w:val="none" w:sz="0" w:space="0" w:color="auto"/>
        <w:left w:val="none" w:sz="0" w:space="0" w:color="auto"/>
        <w:bottom w:val="none" w:sz="0" w:space="0" w:color="auto"/>
        <w:right w:val="none" w:sz="0" w:space="0" w:color="auto"/>
      </w:divBdr>
    </w:div>
    <w:div w:id="742919919">
      <w:bodyDiv w:val="1"/>
      <w:marLeft w:val="0"/>
      <w:marRight w:val="0"/>
      <w:marTop w:val="0"/>
      <w:marBottom w:val="0"/>
      <w:divBdr>
        <w:top w:val="none" w:sz="0" w:space="0" w:color="auto"/>
        <w:left w:val="none" w:sz="0" w:space="0" w:color="auto"/>
        <w:bottom w:val="none" w:sz="0" w:space="0" w:color="auto"/>
        <w:right w:val="none" w:sz="0" w:space="0" w:color="auto"/>
      </w:divBdr>
    </w:div>
    <w:div w:id="797605630">
      <w:bodyDiv w:val="1"/>
      <w:marLeft w:val="0"/>
      <w:marRight w:val="0"/>
      <w:marTop w:val="0"/>
      <w:marBottom w:val="0"/>
      <w:divBdr>
        <w:top w:val="none" w:sz="0" w:space="0" w:color="auto"/>
        <w:left w:val="none" w:sz="0" w:space="0" w:color="auto"/>
        <w:bottom w:val="none" w:sz="0" w:space="0" w:color="auto"/>
        <w:right w:val="none" w:sz="0" w:space="0" w:color="auto"/>
      </w:divBdr>
    </w:div>
    <w:div w:id="807280199">
      <w:bodyDiv w:val="1"/>
      <w:marLeft w:val="0"/>
      <w:marRight w:val="0"/>
      <w:marTop w:val="0"/>
      <w:marBottom w:val="0"/>
      <w:divBdr>
        <w:top w:val="none" w:sz="0" w:space="0" w:color="auto"/>
        <w:left w:val="none" w:sz="0" w:space="0" w:color="auto"/>
        <w:bottom w:val="none" w:sz="0" w:space="0" w:color="auto"/>
        <w:right w:val="none" w:sz="0" w:space="0" w:color="auto"/>
      </w:divBdr>
    </w:div>
    <w:div w:id="831601201">
      <w:bodyDiv w:val="1"/>
      <w:marLeft w:val="0"/>
      <w:marRight w:val="0"/>
      <w:marTop w:val="0"/>
      <w:marBottom w:val="0"/>
      <w:divBdr>
        <w:top w:val="none" w:sz="0" w:space="0" w:color="auto"/>
        <w:left w:val="none" w:sz="0" w:space="0" w:color="auto"/>
        <w:bottom w:val="none" w:sz="0" w:space="0" w:color="auto"/>
        <w:right w:val="none" w:sz="0" w:space="0" w:color="auto"/>
      </w:divBdr>
    </w:div>
    <w:div w:id="849295595">
      <w:bodyDiv w:val="1"/>
      <w:marLeft w:val="0"/>
      <w:marRight w:val="0"/>
      <w:marTop w:val="0"/>
      <w:marBottom w:val="0"/>
      <w:divBdr>
        <w:top w:val="none" w:sz="0" w:space="0" w:color="auto"/>
        <w:left w:val="none" w:sz="0" w:space="0" w:color="auto"/>
        <w:bottom w:val="none" w:sz="0" w:space="0" w:color="auto"/>
        <w:right w:val="none" w:sz="0" w:space="0" w:color="auto"/>
      </w:divBdr>
    </w:div>
    <w:div w:id="972254346">
      <w:bodyDiv w:val="1"/>
      <w:marLeft w:val="0"/>
      <w:marRight w:val="0"/>
      <w:marTop w:val="0"/>
      <w:marBottom w:val="0"/>
      <w:divBdr>
        <w:top w:val="none" w:sz="0" w:space="0" w:color="auto"/>
        <w:left w:val="none" w:sz="0" w:space="0" w:color="auto"/>
        <w:bottom w:val="none" w:sz="0" w:space="0" w:color="auto"/>
        <w:right w:val="none" w:sz="0" w:space="0" w:color="auto"/>
      </w:divBdr>
    </w:div>
    <w:div w:id="1144085592">
      <w:bodyDiv w:val="1"/>
      <w:marLeft w:val="0"/>
      <w:marRight w:val="0"/>
      <w:marTop w:val="0"/>
      <w:marBottom w:val="0"/>
      <w:divBdr>
        <w:top w:val="none" w:sz="0" w:space="0" w:color="auto"/>
        <w:left w:val="none" w:sz="0" w:space="0" w:color="auto"/>
        <w:bottom w:val="none" w:sz="0" w:space="0" w:color="auto"/>
        <w:right w:val="none" w:sz="0" w:space="0" w:color="auto"/>
      </w:divBdr>
    </w:div>
    <w:div w:id="1622154693">
      <w:bodyDiv w:val="1"/>
      <w:marLeft w:val="0"/>
      <w:marRight w:val="0"/>
      <w:marTop w:val="0"/>
      <w:marBottom w:val="0"/>
      <w:divBdr>
        <w:top w:val="none" w:sz="0" w:space="0" w:color="auto"/>
        <w:left w:val="none" w:sz="0" w:space="0" w:color="auto"/>
        <w:bottom w:val="none" w:sz="0" w:space="0" w:color="auto"/>
        <w:right w:val="none" w:sz="0" w:space="0" w:color="auto"/>
      </w:divBdr>
    </w:div>
    <w:div w:id="1644192190">
      <w:bodyDiv w:val="1"/>
      <w:marLeft w:val="0"/>
      <w:marRight w:val="0"/>
      <w:marTop w:val="0"/>
      <w:marBottom w:val="0"/>
      <w:divBdr>
        <w:top w:val="none" w:sz="0" w:space="0" w:color="auto"/>
        <w:left w:val="none" w:sz="0" w:space="0" w:color="auto"/>
        <w:bottom w:val="none" w:sz="0" w:space="0" w:color="auto"/>
        <w:right w:val="none" w:sz="0" w:space="0" w:color="auto"/>
      </w:divBdr>
    </w:div>
    <w:div w:id="1654482983">
      <w:bodyDiv w:val="1"/>
      <w:marLeft w:val="0"/>
      <w:marRight w:val="0"/>
      <w:marTop w:val="0"/>
      <w:marBottom w:val="0"/>
      <w:divBdr>
        <w:top w:val="none" w:sz="0" w:space="0" w:color="auto"/>
        <w:left w:val="none" w:sz="0" w:space="0" w:color="auto"/>
        <w:bottom w:val="none" w:sz="0" w:space="0" w:color="auto"/>
        <w:right w:val="none" w:sz="0" w:space="0" w:color="auto"/>
      </w:divBdr>
    </w:div>
    <w:div w:id="1699502788">
      <w:bodyDiv w:val="1"/>
      <w:marLeft w:val="0"/>
      <w:marRight w:val="0"/>
      <w:marTop w:val="0"/>
      <w:marBottom w:val="0"/>
      <w:divBdr>
        <w:top w:val="none" w:sz="0" w:space="0" w:color="auto"/>
        <w:left w:val="none" w:sz="0" w:space="0" w:color="auto"/>
        <w:bottom w:val="none" w:sz="0" w:space="0" w:color="auto"/>
        <w:right w:val="none" w:sz="0" w:space="0" w:color="auto"/>
      </w:divBdr>
    </w:div>
    <w:div w:id="1783263514">
      <w:bodyDiv w:val="1"/>
      <w:marLeft w:val="0"/>
      <w:marRight w:val="0"/>
      <w:marTop w:val="0"/>
      <w:marBottom w:val="0"/>
      <w:divBdr>
        <w:top w:val="none" w:sz="0" w:space="0" w:color="auto"/>
        <w:left w:val="none" w:sz="0" w:space="0" w:color="auto"/>
        <w:bottom w:val="none" w:sz="0" w:space="0" w:color="auto"/>
        <w:right w:val="none" w:sz="0" w:space="0" w:color="auto"/>
      </w:divBdr>
    </w:div>
    <w:div w:id="1812167574">
      <w:bodyDiv w:val="1"/>
      <w:marLeft w:val="0"/>
      <w:marRight w:val="0"/>
      <w:marTop w:val="0"/>
      <w:marBottom w:val="0"/>
      <w:divBdr>
        <w:top w:val="none" w:sz="0" w:space="0" w:color="auto"/>
        <w:left w:val="none" w:sz="0" w:space="0" w:color="auto"/>
        <w:bottom w:val="none" w:sz="0" w:space="0" w:color="auto"/>
        <w:right w:val="none" w:sz="0" w:space="0" w:color="auto"/>
      </w:divBdr>
    </w:div>
    <w:div w:id="1882208901">
      <w:bodyDiv w:val="1"/>
      <w:marLeft w:val="0"/>
      <w:marRight w:val="0"/>
      <w:marTop w:val="0"/>
      <w:marBottom w:val="0"/>
      <w:divBdr>
        <w:top w:val="none" w:sz="0" w:space="0" w:color="auto"/>
        <w:left w:val="none" w:sz="0" w:space="0" w:color="auto"/>
        <w:bottom w:val="none" w:sz="0" w:space="0" w:color="auto"/>
        <w:right w:val="none" w:sz="0" w:space="0" w:color="auto"/>
      </w:divBdr>
    </w:div>
    <w:div w:id="2009864397">
      <w:bodyDiv w:val="1"/>
      <w:marLeft w:val="0"/>
      <w:marRight w:val="0"/>
      <w:marTop w:val="0"/>
      <w:marBottom w:val="0"/>
      <w:divBdr>
        <w:top w:val="none" w:sz="0" w:space="0" w:color="auto"/>
        <w:left w:val="none" w:sz="0" w:space="0" w:color="auto"/>
        <w:bottom w:val="none" w:sz="0" w:space="0" w:color="auto"/>
        <w:right w:val="none" w:sz="0" w:space="0" w:color="auto"/>
      </w:divBdr>
    </w:div>
    <w:div w:id="2020308971">
      <w:bodyDiv w:val="1"/>
      <w:marLeft w:val="0"/>
      <w:marRight w:val="0"/>
      <w:marTop w:val="0"/>
      <w:marBottom w:val="0"/>
      <w:divBdr>
        <w:top w:val="none" w:sz="0" w:space="0" w:color="auto"/>
        <w:left w:val="none" w:sz="0" w:space="0" w:color="auto"/>
        <w:bottom w:val="none" w:sz="0" w:space="0" w:color="auto"/>
        <w:right w:val="none" w:sz="0" w:space="0" w:color="auto"/>
      </w:divBdr>
    </w:div>
    <w:div w:id="214592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sag.info/event/tuesday-april-9-sag-meet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lsag.info/event/tuesday-april-16-sag-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62ABF-72EB-4EA7-8790-CC4412B10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3149</Words>
  <Characters>17953</Characters>
  <Application>Microsoft Office Word</Application>
  <DocSecurity>0</DocSecurity>
  <Lines>149</Lines>
  <Paragraphs>42</Paragraphs>
  <ScaleCrop>false</ScaleCrop>
  <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148</cp:revision>
  <dcterms:created xsi:type="dcterms:W3CDTF">2024-05-13T14:35:00Z</dcterms:created>
  <dcterms:modified xsi:type="dcterms:W3CDTF">2024-05-14T11:56:00Z</dcterms:modified>
</cp:coreProperties>
</file>