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E864C" w14:textId="77777777" w:rsidR="00D466B6" w:rsidRPr="00122DF8" w:rsidRDefault="00D466B6" w:rsidP="000B20FD">
      <w:pPr>
        <w:pStyle w:val="AlgorithmHeading"/>
        <w:pBdr>
          <w:bottom w:val="double" w:sz="4" w:space="2" w:color="auto"/>
        </w:pBdr>
        <w:rPr>
          <w:vertAlign w:val="subscript"/>
        </w:rPr>
      </w:pPr>
      <w:bookmarkStart w:id="0" w:name="_Toc311441023"/>
      <w:bookmarkStart w:id="1" w:name="_Toc311441571"/>
      <w:bookmarkStart w:id="2" w:name="_Toc311441785"/>
      <w:bookmarkStart w:id="3" w:name="_Toc311444828"/>
      <w:bookmarkStart w:id="4" w:name="_Toc311461615"/>
      <w:bookmarkStart w:id="5" w:name="_Toc311464129"/>
      <w:bookmarkStart w:id="6" w:name="_Toc311464186"/>
      <w:bookmarkStart w:id="7" w:name="_Toc311464223"/>
      <w:bookmarkStart w:id="8" w:name="_Toc311464254"/>
      <w:bookmarkStart w:id="9" w:name="_Toc311465360"/>
      <w:bookmarkStart w:id="10" w:name="_Toc311469762"/>
      <w:bookmarkStart w:id="11" w:name="_Toc311470068"/>
      <w:bookmarkStart w:id="12" w:name="_Toc311470204"/>
      <w:bookmarkStart w:id="13" w:name="_Toc311470722"/>
      <w:bookmarkStart w:id="14" w:name="_Toc311472368"/>
      <w:bookmarkStart w:id="15" w:name="_Toc311472527"/>
    </w:p>
    <w:p w14:paraId="737E864E" w14:textId="77777777" w:rsidR="00D466B6" w:rsidRPr="004B2377" w:rsidRDefault="00D466B6" w:rsidP="00D466B6">
      <w:pPr>
        <w:jc w:val="center"/>
        <w:rPr>
          <w:b/>
          <w:sz w:val="48"/>
          <w:szCs w:val="48"/>
        </w:rPr>
      </w:pPr>
      <w:r w:rsidRPr="004B2377">
        <w:rPr>
          <w:b/>
          <w:sz w:val="48"/>
          <w:szCs w:val="48"/>
        </w:rPr>
        <w:t>State of Illinois</w:t>
      </w:r>
    </w:p>
    <w:p w14:paraId="737E864F" w14:textId="77777777" w:rsidR="00D466B6" w:rsidRPr="004B2377" w:rsidRDefault="00AB34E3" w:rsidP="000679C8">
      <w:pPr>
        <w:tabs>
          <w:tab w:val="center" w:pos="4680"/>
          <w:tab w:val="left" w:pos="8475"/>
        </w:tabs>
        <w:jc w:val="left"/>
        <w:rPr>
          <w:b/>
          <w:sz w:val="48"/>
          <w:szCs w:val="48"/>
        </w:rPr>
      </w:pPr>
      <w:r>
        <w:rPr>
          <w:b/>
          <w:sz w:val="48"/>
          <w:szCs w:val="48"/>
        </w:rPr>
        <w:tab/>
      </w:r>
      <w:r w:rsidR="00D466B6" w:rsidRPr="004B2377">
        <w:rPr>
          <w:b/>
          <w:sz w:val="48"/>
          <w:szCs w:val="48"/>
        </w:rPr>
        <w:t>Energy Efficiency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sz w:val="48"/>
          <w:szCs w:val="48"/>
        </w:rPr>
        <w:tab/>
      </w:r>
    </w:p>
    <w:p w14:paraId="737E8650" w14:textId="1D8C2FBD" w:rsidR="00D466B6" w:rsidRPr="004B2377" w:rsidRDefault="00D466B6" w:rsidP="00D466B6">
      <w:pPr>
        <w:jc w:val="center"/>
        <w:rPr>
          <w:b/>
          <w:sz w:val="48"/>
          <w:szCs w:val="48"/>
        </w:rPr>
      </w:pPr>
      <w:bookmarkStart w:id="16" w:name="_Toc311441024"/>
      <w:bookmarkStart w:id="17" w:name="_Toc311441572"/>
      <w:bookmarkStart w:id="18" w:name="_Toc311441786"/>
      <w:bookmarkStart w:id="19" w:name="_Toc311444829"/>
      <w:bookmarkStart w:id="20" w:name="_Toc311461616"/>
      <w:bookmarkStart w:id="21" w:name="_Toc311464130"/>
      <w:bookmarkStart w:id="22" w:name="_Toc311464187"/>
      <w:bookmarkStart w:id="23" w:name="_Toc311464224"/>
      <w:bookmarkStart w:id="24" w:name="_Toc311464255"/>
      <w:bookmarkStart w:id="25" w:name="_Toc311465361"/>
      <w:bookmarkStart w:id="26" w:name="_Toc311469763"/>
      <w:bookmarkStart w:id="27" w:name="_Toc311470069"/>
      <w:bookmarkStart w:id="28" w:name="_Toc311470205"/>
      <w:bookmarkStart w:id="29" w:name="_Toc311470723"/>
      <w:bookmarkStart w:id="30" w:name="_Toc311472369"/>
      <w:bookmarkStart w:id="31" w:name="_Toc311472528"/>
      <w:r w:rsidRPr="004B2377">
        <w:rPr>
          <w:b/>
          <w:sz w:val="48"/>
          <w:szCs w:val="48"/>
        </w:rPr>
        <w:t>Technical Reference Manual</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32489F">
        <w:rPr>
          <w:b/>
          <w:sz w:val="48"/>
          <w:szCs w:val="48"/>
        </w:rPr>
        <w:t xml:space="preserve"> V</w:t>
      </w:r>
      <w:r w:rsidR="00AD44B9">
        <w:rPr>
          <w:b/>
          <w:sz w:val="48"/>
          <w:szCs w:val="48"/>
        </w:rPr>
        <w:t>1</w:t>
      </w:r>
      <w:r w:rsidR="00AA473E">
        <w:rPr>
          <w:b/>
          <w:sz w:val="48"/>
          <w:szCs w:val="48"/>
        </w:rPr>
        <w:t>4</w:t>
      </w:r>
      <w:r w:rsidR="0032489F">
        <w:rPr>
          <w:b/>
          <w:sz w:val="48"/>
          <w:szCs w:val="48"/>
        </w:rPr>
        <w:t>.0</w:t>
      </w:r>
    </w:p>
    <w:p w14:paraId="503B9FD8" w14:textId="77777777" w:rsidR="000B20FD" w:rsidRPr="00122DF8" w:rsidRDefault="000B20FD" w:rsidP="000B20FD">
      <w:pPr>
        <w:pStyle w:val="AlgorithmHeading"/>
        <w:pBdr>
          <w:bottom w:val="double" w:sz="4" w:space="2" w:color="auto"/>
        </w:pBdr>
        <w:rPr>
          <w:vertAlign w:val="subscript"/>
        </w:rPr>
      </w:pPr>
    </w:p>
    <w:p w14:paraId="1A70037A" w14:textId="77777777" w:rsidR="000B20FD" w:rsidRDefault="000B20FD" w:rsidP="000B20FD">
      <w:pPr>
        <w:jc w:val="center"/>
        <w:rPr>
          <w:b/>
          <w:sz w:val="48"/>
          <w:szCs w:val="48"/>
        </w:rPr>
      </w:pPr>
    </w:p>
    <w:p w14:paraId="737E8651" w14:textId="32837EEC" w:rsidR="00D466B6" w:rsidRPr="005534BF" w:rsidRDefault="005534BF" w:rsidP="00D466B6">
      <w:pPr>
        <w:jc w:val="center"/>
        <w:rPr>
          <w:b/>
          <w:color w:val="000000" w:themeColor="text1"/>
          <w:sz w:val="48"/>
          <w:szCs w:val="48"/>
        </w:rPr>
      </w:pPr>
      <w:r>
        <w:rPr>
          <w:b/>
          <w:color w:val="000000" w:themeColor="text1"/>
          <w:sz w:val="48"/>
          <w:szCs w:val="48"/>
        </w:rPr>
        <w:t>[</w:t>
      </w:r>
      <w:r w:rsidR="004E7755">
        <w:rPr>
          <w:b/>
          <w:color w:val="000000" w:themeColor="text1"/>
          <w:sz w:val="48"/>
          <w:szCs w:val="48"/>
        </w:rPr>
        <w:t>Light Duty Electric Vehicle</w:t>
      </w:r>
      <w:r>
        <w:rPr>
          <w:b/>
          <w:color w:val="000000" w:themeColor="text1"/>
          <w:sz w:val="48"/>
          <w:szCs w:val="48"/>
        </w:rPr>
        <w:t>]</w:t>
      </w:r>
    </w:p>
    <w:p w14:paraId="52991F76" w14:textId="77777777" w:rsidR="000C51B5" w:rsidRDefault="000C51B5" w:rsidP="00D466B6">
      <w:pPr>
        <w:jc w:val="center"/>
        <w:rPr>
          <w:b/>
          <w:color w:val="000000" w:themeColor="text1"/>
          <w:sz w:val="48"/>
          <w:szCs w:val="48"/>
        </w:rPr>
      </w:pPr>
    </w:p>
    <w:p w14:paraId="78336245" w14:textId="6D91D770" w:rsidR="00D93DAE" w:rsidRPr="00D86489" w:rsidRDefault="00400BCD" w:rsidP="00D466B6">
      <w:pPr>
        <w:jc w:val="center"/>
        <w:rPr>
          <w:b/>
          <w:color w:val="000000" w:themeColor="text1"/>
          <w:sz w:val="44"/>
          <w:szCs w:val="48"/>
        </w:rPr>
      </w:pPr>
      <w:r w:rsidRPr="00400BCD">
        <w:rPr>
          <w:b/>
          <w:color w:val="000000" w:themeColor="text1"/>
          <w:sz w:val="44"/>
          <w:szCs w:val="48"/>
        </w:rPr>
        <w:t>[</w:t>
      </w:r>
      <w:r w:rsidR="00D93DAE" w:rsidRPr="00D86489">
        <w:rPr>
          <w:b/>
          <w:color w:val="000000" w:themeColor="text1"/>
          <w:sz w:val="44"/>
          <w:szCs w:val="48"/>
        </w:rPr>
        <w:t>New Measur</w:t>
      </w:r>
      <w:r w:rsidR="004E7755">
        <w:rPr>
          <w:b/>
          <w:color w:val="000000" w:themeColor="text1"/>
          <w:sz w:val="44"/>
          <w:szCs w:val="48"/>
        </w:rPr>
        <w:t>e</w:t>
      </w:r>
      <w:r w:rsidR="00D93DAE" w:rsidRPr="00D86489">
        <w:rPr>
          <w:b/>
          <w:color w:val="000000" w:themeColor="text1"/>
          <w:sz w:val="44"/>
          <w:szCs w:val="48"/>
        </w:rPr>
        <w:t>]</w:t>
      </w:r>
    </w:p>
    <w:p w14:paraId="5758DF43" w14:textId="78CC3FD9" w:rsidR="000C51B5" w:rsidRPr="005534BF" w:rsidRDefault="005534BF" w:rsidP="00D466B6">
      <w:pPr>
        <w:jc w:val="center"/>
        <w:rPr>
          <w:b/>
          <w:color w:val="000000" w:themeColor="text1"/>
          <w:sz w:val="48"/>
          <w:szCs w:val="48"/>
        </w:rPr>
      </w:pPr>
      <w:r>
        <w:rPr>
          <w:b/>
          <w:color w:val="000000" w:themeColor="text1"/>
          <w:sz w:val="48"/>
          <w:szCs w:val="48"/>
        </w:rPr>
        <w:t>[</w:t>
      </w:r>
      <w:r w:rsidR="004E7755">
        <w:rPr>
          <w:b/>
          <w:color w:val="000000" w:themeColor="text1"/>
          <w:sz w:val="48"/>
          <w:szCs w:val="48"/>
        </w:rPr>
        <w:t>Section 5.7 Miscellaneous</w:t>
      </w:r>
      <w:r>
        <w:rPr>
          <w:b/>
          <w:color w:val="000000" w:themeColor="text1"/>
          <w:sz w:val="48"/>
          <w:szCs w:val="48"/>
        </w:rPr>
        <w:t>]</w:t>
      </w:r>
    </w:p>
    <w:p w14:paraId="53636886" w14:textId="77777777" w:rsidR="00C15F4F" w:rsidRDefault="00C15F4F" w:rsidP="00D466B6">
      <w:pPr>
        <w:jc w:val="center"/>
        <w:rPr>
          <w:b/>
          <w:color w:val="000000" w:themeColor="text1"/>
          <w:sz w:val="48"/>
          <w:szCs w:val="48"/>
        </w:rPr>
      </w:pPr>
    </w:p>
    <w:p w14:paraId="290B630F" w14:textId="2FEFF9FE" w:rsidR="000C51B5" w:rsidRPr="005534BF" w:rsidRDefault="005534BF" w:rsidP="00D466B6">
      <w:pPr>
        <w:jc w:val="center"/>
        <w:rPr>
          <w:b/>
          <w:color w:val="000000" w:themeColor="text1"/>
          <w:sz w:val="48"/>
          <w:szCs w:val="48"/>
        </w:rPr>
      </w:pPr>
      <w:r>
        <w:rPr>
          <w:b/>
          <w:color w:val="000000" w:themeColor="text1"/>
          <w:sz w:val="48"/>
          <w:szCs w:val="48"/>
        </w:rPr>
        <w:t>[</w:t>
      </w:r>
      <w:r w:rsidR="004E7755">
        <w:rPr>
          <w:b/>
          <w:color w:val="000000" w:themeColor="text1"/>
          <w:sz w:val="48"/>
          <w:szCs w:val="48"/>
        </w:rPr>
        <w:t>Nick Warnecke</w:t>
      </w:r>
      <w:r w:rsidR="0071617A">
        <w:rPr>
          <w:b/>
          <w:color w:val="000000" w:themeColor="text1"/>
          <w:sz w:val="48"/>
          <w:szCs w:val="48"/>
        </w:rPr>
        <w:t xml:space="preserve">, </w:t>
      </w:r>
      <w:r w:rsidR="004E7755">
        <w:rPr>
          <w:b/>
          <w:color w:val="000000" w:themeColor="text1"/>
          <w:sz w:val="48"/>
          <w:szCs w:val="48"/>
        </w:rPr>
        <w:t>Ameren Illinois</w:t>
      </w:r>
      <w:r w:rsidR="00AA473E">
        <w:rPr>
          <w:b/>
          <w:color w:val="000000" w:themeColor="text1"/>
          <w:sz w:val="48"/>
          <w:szCs w:val="48"/>
        </w:rPr>
        <w:br/>
        <w:t>Seth Craigo-Snell, SCS ANALYTICS</w:t>
      </w:r>
      <w:r>
        <w:rPr>
          <w:b/>
          <w:color w:val="000000" w:themeColor="text1"/>
          <w:sz w:val="48"/>
          <w:szCs w:val="48"/>
        </w:rPr>
        <w:t>]</w:t>
      </w:r>
    </w:p>
    <w:p w14:paraId="54794F20" w14:textId="01C420CE" w:rsidR="000C51B5" w:rsidRPr="005534BF" w:rsidRDefault="005534BF" w:rsidP="00D466B6">
      <w:pPr>
        <w:jc w:val="center"/>
        <w:rPr>
          <w:b/>
          <w:color w:val="000000" w:themeColor="text1"/>
          <w:sz w:val="48"/>
          <w:szCs w:val="48"/>
        </w:rPr>
      </w:pPr>
      <w:r>
        <w:rPr>
          <w:b/>
          <w:color w:val="000000" w:themeColor="text1"/>
          <w:sz w:val="48"/>
          <w:szCs w:val="48"/>
        </w:rPr>
        <w:t>[</w:t>
      </w:r>
      <w:r w:rsidR="004E7755">
        <w:rPr>
          <w:b/>
          <w:color w:val="000000" w:themeColor="text1"/>
          <w:sz w:val="48"/>
          <w:szCs w:val="48"/>
        </w:rPr>
        <w:t>5/15/2</w:t>
      </w:r>
      <w:r w:rsidR="00AA473E">
        <w:rPr>
          <w:b/>
          <w:color w:val="000000" w:themeColor="text1"/>
          <w:sz w:val="48"/>
          <w:szCs w:val="48"/>
        </w:rPr>
        <w:t>5</w:t>
      </w:r>
      <w:r>
        <w:rPr>
          <w:b/>
          <w:color w:val="000000" w:themeColor="text1"/>
          <w:sz w:val="48"/>
          <w:szCs w:val="48"/>
        </w:rPr>
        <w:t>]</w:t>
      </w:r>
    </w:p>
    <w:p w14:paraId="737E8656" w14:textId="77777777" w:rsidR="00D466B6" w:rsidRPr="00AF2C4A" w:rsidRDefault="00D466B6" w:rsidP="00D466B6">
      <w:pPr>
        <w:jc w:val="center"/>
      </w:pPr>
    </w:p>
    <w:p w14:paraId="737E8657" w14:textId="24531599" w:rsidR="00D466B6" w:rsidRDefault="00D466B6" w:rsidP="00D466B6">
      <w:pPr>
        <w:spacing w:after="0"/>
        <w:jc w:val="left"/>
        <w:rPr>
          <w:rStyle w:val="BookTitle"/>
          <w:rFonts w:asciiTheme="majorHAnsi" w:hAnsiTheme="majorHAnsi"/>
          <w:sz w:val="24"/>
          <w:szCs w:val="24"/>
        </w:rPr>
      </w:pPr>
    </w:p>
    <w:p w14:paraId="227053F8" w14:textId="4A520C36" w:rsidR="00B34CC1" w:rsidRDefault="00B34CC1" w:rsidP="00D466B6">
      <w:pPr>
        <w:spacing w:after="0"/>
        <w:jc w:val="left"/>
        <w:rPr>
          <w:rStyle w:val="BookTitle"/>
          <w:rFonts w:asciiTheme="majorHAnsi" w:hAnsiTheme="majorHAnsi"/>
          <w:sz w:val="24"/>
          <w:szCs w:val="24"/>
        </w:rPr>
      </w:pPr>
    </w:p>
    <w:p w14:paraId="48AB5985" w14:textId="70961E5A" w:rsidR="00B34CC1" w:rsidRDefault="00B34CC1" w:rsidP="00D466B6">
      <w:pPr>
        <w:spacing w:after="0"/>
        <w:jc w:val="left"/>
        <w:rPr>
          <w:rStyle w:val="BookTitle"/>
          <w:rFonts w:asciiTheme="majorHAnsi" w:hAnsiTheme="majorHAnsi"/>
          <w:sz w:val="24"/>
          <w:szCs w:val="24"/>
        </w:rPr>
      </w:pPr>
    </w:p>
    <w:p w14:paraId="4A175722" w14:textId="77777777" w:rsidR="00B34CC1" w:rsidRDefault="00B34CC1" w:rsidP="00D466B6">
      <w:pPr>
        <w:spacing w:after="0"/>
        <w:jc w:val="left"/>
        <w:rPr>
          <w:rStyle w:val="BookTitle"/>
          <w:rFonts w:asciiTheme="majorHAnsi" w:hAnsiTheme="majorHAnsi"/>
          <w:sz w:val="24"/>
          <w:szCs w:val="24"/>
        </w:rPr>
      </w:pPr>
    </w:p>
    <w:p w14:paraId="737E8659" w14:textId="63674147" w:rsidR="00D466B6" w:rsidRDefault="00D466B6" w:rsidP="00D466B6">
      <w:pPr>
        <w:widowControl/>
        <w:spacing w:after="0"/>
        <w:jc w:val="left"/>
        <w:rPr>
          <w:rStyle w:val="BookTitle"/>
          <w:rFonts w:asciiTheme="majorHAnsi" w:hAnsiTheme="majorHAnsi"/>
          <w:sz w:val="24"/>
          <w:szCs w:val="24"/>
        </w:rPr>
        <w:sectPr w:rsidR="00D466B6" w:rsidSect="00950A8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pPr>
    </w:p>
    <w:p w14:paraId="737E865B" w14:textId="77777777" w:rsidR="00D466B6" w:rsidRPr="004B2377" w:rsidRDefault="00D466B6" w:rsidP="00D466B6">
      <w:pPr>
        <w:jc w:val="center"/>
        <w:rPr>
          <w:rStyle w:val="BookTitle"/>
          <w:rFonts w:asciiTheme="majorHAnsi" w:hAnsiTheme="majorHAnsi"/>
          <w:sz w:val="24"/>
          <w:szCs w:val="24"/>
        </w:rPr>
      </w:pPr>
      <w:bookmarkStart w:id="32" w:name="TOC"/>
      <w:r w:rsidRPr="004B2377">
        <w:rPr>
          <w:rStyle w:val="BookTitle"/>
          <w:rFonts w:asciiTheme="majorHAnsi" w:hAnsiTheme="majorHAnsi"/>
          <w:sz w:val="24"/>
          <w:szCs w:val="24"/>
        </w:rPr>
        <w:lastRenderedPageBreak/>
        <w:t>TABLE OF CONTENTS</w:t>
      </w:r>
    </w:p>
    <w:bookmarkEnd w:id="32"/>
    <w:p w14:paraId="20AEF069" w14:textId="77777777" w:rsidR="00BA156D" w:rsidRDefault="00D466B6">
      <w:pPr>
        <w:pStyle w:val="TOC1"/>
        <w:rPr>
          <w:rFonts w:asciiTheme="minorHAnsi" w:eastAsiaTheme="minorEastAsia" w:hAnsiTheme="minorHAnsi" w:cstheme="minorBidi"/>
          <w:b w:val="0"/>
          <w:bCs w:val="0"/>
          <w:caps w:val="0"/>
          <w:sz w:val="22"/>
        </w:rPr>
      </w:pPr>
      <w:r w:rsidRPr="00AF2C4A">
        <w:fldChar w:fldCharType="begin"/>
      </w:r>
      <w:r w:rsidRPr="00AF2C4A">
        <w:instrText xml:space="preserve"> TOC \o "1-2" \h \z \t "Heading 3,3,Heading 4,4,Heading 5,5,Heading 3.1,4" </w:instrText>
      </w:r>
      <w:r w:rsidRPr="00AF2C4A">
        <w:fldChar w:fldCharType="separate"/>
      </w:r>
      <w:hyperlink w:anchor="_Toc390225691" w:history="1">
        <w:r w:rsidR="00BA156D" w:rsidRPr="005B69A4">
          <w:rPr>
            <w:rStyle w:val="Hyperlink"/>
            <w:rFonts w:eastAsiaTheme="majorEastAsia"/>
            <w14:scene3d>
              <w14:camera w14:prst="orthographicFront"/>
              <w14:lightRig w14:rig="threePt" w14:dir="t">
                <w14:rot w14:lat="0" w14:lon="0" w14:rev="0"/>
              </w14:lightRig>
            </w14:scene3d>
          </w:rPr>
          <w:t>1</w:t>
        </w:r>
        <w:r w:rsidR="00BA156D">
          <w:rPr>
            <w:rFonts w:asciiTheme="minorHAnsi" w:eastAsiaTheme="minorEastAsia" w:hAnsiTheme="minorHAnsi" w:cstheme="minorBidi"/>
            <w:b w:val="0"/>
            <w:bCs w:val="0"/>
            <w:caps w:val="0"/>
            <w:sz w:val="22"/>
          </w:rPr>
          <w:tab/>
        </w:r>
        <w:r w:rsidR="00BA156D" w:rsidRPr="005B69A4">
          <w:rPr>
            <w:rStyle w:val="Hyperlink"/>
            <w:rFonts w:eastAsiaTheme="majorEastAsia"/>
          </w:rPr>
          <w:t>Overview</w:t>
        </w:r>
        <w:r w:rsidR="00BA156D">
          <w:rPr>
            <w:webHidden/>
          </w:rPr>
          <w:tab/>
        </w:r>
        <w:r w:rsidR="00BA156D">
          <w:rPr>
            <w:webHidden/>
          </w:rPr>
          <w:fldChar w:fldCharType="begin"/>
        </w:r>
        <w:r w:rsidR="00BA156D">
          <w:rPr>
            <w:webHidden/>
          </w:rPr>
          <w:instrText xml:space="preserve"> PAGEREF _Toc390225691 \h </w:instrText>
        </w:r>
        <w:r w:rsidR="00BA156D">
          <w:rPr>
            <w:webHidden/>
          </w:rPr>
        </w:r>
        <w:r w:rsidR="00BA156D">
          <w:rPr>
            <w:webHidden/>
          </w:rPr>
          <w:fldChar w:fldCharType="separate"/>
        </w:r>
        <w:r w:rsidR="00BA156D">
          <w:rPr>
            <w:webHidden/>
          </w:rPr>
          <w:t>3</w:t>
        </w:r>
        <w:r w:rsidR="00BA156D">
          <w:rPr>
            <w:webHidden/>
          </w:rPr>
          <w:fldChar w:fldCharType="end"/>
        </w:r>
      </w:hyperlink>
    </w:p>
    <w:p w14:paraId="7249AA8F" w14:textId="77777777" w:rsidR="00BA156D" w:rsidRDefault="00BA156D">
      <w:pPr>
        <w:pStyle w:val="TOC1"/>
        <w:rPr>
          <w:rFonts w:asciiTheme="minorHAnsi" w:eastAsiaTheme="minorEastAsia" w:hAnsiTheme="minorHAnsi" w:cstheme="minorBidi"/>
          <w:b w:val="0"/>
          <w:bCs w:val="0"/>
          <w:caps w:val="0"/>
          <w:sz w:val="22"/>
        </w:rPr>
      </w:pPr>
      <w:hyperlink w:anchor="_Toc390225692" w:history="1">
        <w:r w:rsidRPr="005B69A4">
          <w:rPr>
            <w:rStyle w:val="Hyperlink"/>
            <w:rFonts w:eastAsiaTheme="majorEastAsia"/>
            <w14:scene3d>
              <w14:camera w14:prst="orthographicFront"/>
              <w14:lightRig w14:rig="threePt" w14:dir="t">
                <w14:rot w14:lat="0" w14:lon="0" w14:rev="0"/>
              </w14:lightRig>
            </w14:scene3d>
          </w:rPr>
          <w:t>2</w:t>
        </w:r>
        <w:r>
          <w:rPr>
            <w:rFonts w:asciiTheme="minorHAnsi" w:eastAsiaTheme="minorEastAsia" w:hAnsiTheme="minorHAnsi" w:cstheme="minorBidi"/>
            <w:b w:val="0"/>
            <w:bCs w:val="0"/>
            <w:caps w:val="0"/>
            <w:sz w:val="22"/>
          </w:rPr>
          <w:tab/>
        </w:r>
        <w:r w:rsidRPr="005B69A4">
          <w:rPr>
            <w:rStyle w:val="Hyperlink"/>
            <w:rFonts w:eastAsiaTheme="majorEastAsia"/>
          </w:rPr>
          <w:t>New Measure Characterizations</w:t>
        </w:r>
        <w:r>
          <w:rPr>
            <w:webHidden/>
          </w:rPr>
          <w:tab/>
        </w:r>
        <w:r>
          <w:rPr>
            <w:webHidden/>
          </w:rPr>
          <w:fldChar w:fldCharType="begin"/>
        </w:r>
        <w:r>
          <w:rPr>
            <w:webHidden/>
          </w:rPr>
          <w:instrText xml:space="preserve"> PAGEREF _Toc390225692 \h </w:instrText>
        </w:r>
        <w:r>
          <w:rPr>
            <w:webHidden/>
          </w:rPr>
        </w:r>
        <w:r>
          <w:rPr>
            <w:webHidden/>
          </w:rPr>
          <w:fldChar w:fldCharType="separate"/>
        </w:r>
        <w:r>
          <w:rPr>
            <w:webHidden/>
          </w:rPr>
          <w:t>4</w:t>
        </w:r>
        <w:r>
          <w:rPr>
            <w:webHidden/>
          </w:rPr>
          <w:fldChar w:fldCharType="end"/>
        </w:r>
      </w:hyperlink>
    </w:p>
    <w:p w14:paraId="0F21158E" w14:textId="77777777" w:rsidR="00BA156D" w:rsidRDefault="00BA156D">
      <w:pPr>
        <w:pStyle w:val="TOC1"/>
        <w:rPr>
          <w:rFonts w:asciiTheme="minorHAnsi" w:eastAsiaTheme="minorEastAsia" w:hAnsiTheme="minorHAnsi" w:cstheme="minorBidi"/>
          <w:b w:val="0"/>
          <w:bCs w:val="0"/>
          <w:caps w:val="0"/>
          <w:sz w:val="22"/>
        </w:rPr>
      </w:pPr>
      <w:hyperlink w:anchor="_Toc390225693" w:history="1">
        <w:r w:rsidRPr="005B69A4">
          <w:rPr>
            <w:rStyle w:val="Hyperlink"/>
            <w:rFonts w:eastAsiaTheme="majorEastAsia"/>
            <w14:scene3d>
              <w14:camera w14:prst="orthographicFront"/>
              <w14:lightRig w14:rig="threePt" w14:dir="t">
                <w14:rot w14:lat="0" w14:lon="0" w14:rev="0"/>
              </w14:lightRig>
            </w14:scene3d>
          </w:rPr>
          <w:t>3</w:t>
        </w:r>
        <w:r>
          <w:rPr>
            <w:rFonts w:asciiTheme="minorHAnsi" w:eastAsiaTheme="minorEastAsia" w:hAnsiTheme="minorHAnsi" w:cstheme="minorBidi"/>
            <w:b w:val="0"/>
            <w:bCs w:val="0"/>
            <w:caps w:val="0"/>
            <w:sz w:val="22"/>
          </w:rPr>
          <w:tab/>
        </w:r>
        <w:r w:rsidRPr="005B69A4">
          <w:rPr>
            <w:rStyle w:val="Hyperlink"/>
            <w:rFonts w:eastAsiaTheme="majorEastAsia"/>
          </w:rPr>
          <w:t>Proposed Changes to Existing Measures</w:t>
        </w:r>
        <w:r>
          <w:rPr>
            <w:webHidden/>
          </w:rPr>
          <w:tab/>
        </w:r>
        <w:r>
          <w:rPr>
            <w:webHidden/>
          </w:rPr>
          <w:fldChar w:fldCharType="begin"/>
        </w:r>
        <w:r>
          <w:rPr>
            <w:webHidden/>
          </w:rPr>
          <w:instrText xml:space="preserve"> PAGEREF _Toc390225693 \h </w:instrText>
        </w:r>
        <w:r>
          <w:rPr>
            <w:webHidden/>
          </w:rPr>
        </w:r>
        <w:r>
          <w:rPr>
            <w:webHidden/>
          </w:rPr>
          <w:fldChar w:fldCharType="separate"/>
        </w:r>
        <w:r>
          <w:rPr>
            <w:webHidden/>
          </w:rPr>
          <w:t>6</w:t>
        </w:r>
        <w:r>
          <w:rPr>
            <w:webHidden/>
          </w:rPr>
          <w:fldChar w:fldCharType="end"/>
        </w:r>
      </w:hyperlink>
    </w:p>
    <w:p w14:paraId="0344A7C1" w14:textId="77777777" w:rsidR="00BA156D" w:rsidRDefault="00BA156D">
      <w:pPr>
        <w:pStyle w:val="TOC1"/>
        <w:rPr>
          <w:rFonts w:asciiTheme="minorHAnsi" w:eastAsiaTheme="minorEastAsia" w:hAnsiTheme="minorHAnsi" w:cstheme="minorBidi"/>
          <w:b w:val="0"/>
          <w:bCs w:val="0"/>
          <w:caps w:val="0"/>
          <w:sz w:val="22"/>
        </w:rPr>
      </w:pPr>
      <w:hyperlink w:anchor="_Toc390225694" w:history="1">
        <w:r w:rsidRPr="005B69A4">
          <w:rPr>
            <w:rStyle w:val="Hyperlink"/>
            <w:rFonts w:eastAsiaTheme="majorEastAsia"/>
            <w14:scene3d>
              <w14:camera w14:prst="orthographicFront"/>
              <w14:lightRig w14:rig="threePt" w14:dir="t">
                <w14:rot w14:lat="0" w14:lon="0" w14:rev="0"/>
              </w14:lightRig>
            </w14:scene3d>
          </w:rPr>
          <w:t>4</w:t>
        </w:r>
        <w:r>
          <w:rPr>
            <w:rFonts w:asciiTheme="minorHAnsi" w:eastAsiaTheme="minorEastAsia" w:hAnsiTheme="minorHAnsi" w:cstheme="minorBidi"/>
            <w:b w:val="0"/>
            <w:bCs w:val="0"/>
            <w:caps w:val="0"/>
            <w:sz w:val="22"/>
          </w:rPr>
          <w:tab/>
        </w:r>
        <w:r w:rsidRPr="005B69A4">
          <w:rPr>
            <w:rStyle w:val="Hyperlink"/>
            <w:rFonts w:eastAsiaTheme="majorEastAsia"/>
          </w:rPr>
          <w:t>References</w:t>
        </w:r>
        <w:r>
          <w:rPr>
            <w:webHidden/>
          </w:rPr>
          <w:tab/>
        </w:r>
        <w:r>
          <w:rPr>
            <w:webHidden/>
          </w:rPr>
          <w:fldChar w:fldCharType="begin"/>
        </w:r>
        <w:r>
          <w:rPr>
            <w:webHidden/>
          </w:rPr>
          <w:instrText xml:space="preserve"> PAGEREF _Toc390225694 \h </w:instrText>
        </w:r>
        <w:r>
          <w:rPr>
            <w:webHidden/>
          </w:rPr>
        </w:r>
        <w:r>
          <w:rPr>
            <w:webHidden/>
          </w:rPr>
          <w:fldChar w:fldCharType="separate"/>
        </w:r>
        <w:r>
          <w:rPr>
            <w:webHidden/>
          </w:rPr>
          <w:t>7</w:t>
        </w:r>
        <w:r>
          <w:rPr>
            <w:webHidden/>
          </w:rPr>
          <w:fldChar w:fldCharType="end"/>
        </w:r>
      </w:hyperlink>
    </w:p>
    <w:p w14:paraId="7BE44F4E" w14:textId="77777777" w:rsidR="00BA156D" w:rsidRDefault="00BA156D">
      <w:pPr>
        <w:pStyle w:val="TOC1"/>
        <w:rPr>
          <w:rFonts w:asciiTheme="minorHAnsi" w:eastAsiaTheme="minorEastAsia" w:hAnsiTheme="minorHAnsi" w:cstheme="minorBidi"/>
          <w:b w:val="0"/>
          <w:bCs w:val="0"/>
          <w:caps w:val="0"/>
          <w:sz w:val="22"/>
        </w:rPr>
      </w:pPr>
      <w:hyperlink w:anchor="_Toc390225695" w:history="1">
        <w:r w:rsidRPr="005B69A4">
          <w:rPr>
            <w:rStyle w:val="Hyperlink"/>
            <w:rFonts w:eastAsiaTheme="majorEastAsia"/>
            <w14:scene3d>
              <w14:camera w14:prst="orthographicFront"/>
              <w14:lightRig w14:rig="threePt" w14:dir="t">
                <w14:rot w14:lat="0" w14:lon="0" w14:rev="0"/>
              </w14:lightRig>
            </w14:scene3d>
          </w:rPr>
          <w:t>5</w:t>
        </w:r>
        <w:r>
          <w:rPr>
            <w:rFonts w:asciiTheme="minorHAnsi" w:eastAsiaTheme="minorEastAsia" w:hAnsiTheme="minorHAnsi" w:cstheme="minorBidi"/>
            <w:b w:val="0"/>
            <w:bCs w:val="0"/>
            <w:caps w:val="0"/>
            <w:sz w:val="22"/>
          </w:rPr>
          <w:tab/>
        </w:r>
        <w:r w:rsidRPr="005B69A4">
          <w:rPr>
            <w:rStyle w:val="Hyperlink"/>
            <w:rFonts w:eastAsiaTheme="majorEastAsia"/>
          </w:rPr>
          <w:t>Stakeholder Comments</w:t>
        </w:r>
        <w:r>
          <w:rPr>
            <w:webHidden/>
          </w:rPr>
          <w:tab/>
        </w:r>
        <w:r>
          <w:rPr>
            <w:webHidden/>
          </w:rPr>
          <w:fldChar w:fldCharType="begin"/>
        </w:r>
        <w:r>
          <w:rPr>
            <w:webHidden/>
          </w:rPr>
          <w:instrText xml:space="preserve"> PAGEREF _Toc390225695 \h </w:instrText>
        </w:r>
        <w:r>
          <w:rPr>
            <w:webHidden/>
          </w:rPr>
        </w:r>
        <w:r>
          <w:rPr>
            <w:webHidden/>
          </w:rPr>
          <w:fldChar w:fldCharType="separate"/>
        </w:r>
        <w:r>
          <w:rPr>
            <w:webHidden/>
          </w:rPr>
          <w:t>8</w:t>
        </w:r>
        <w:r>
          <w:rPr>
            <w:webHidden/>
          </w:rPr>
          <w:fldChar w:fldCharType="end"/>
        </w:r>
      </w:hyperlink>
    </w:p>
    <w:p w14:paraId="00C36C63" w14:textId="77777777" w:rsidR="00BA156D" w:rsidRDefault="00BA156D">
      <w:pPr>
        <w:pStyle w:val="TOC2"/>
        <w:tabs>
          <w:tab w:val="right" w:leader="dot" w:pos="9350"/>
        </w:tabs>
        <w:rPr>
          <w:rFonts w:eastAsiaTheme="minorEastAsia" w:cstheme="minorBidi"/>
          <w:b w:val="0"/>
          <w:bCs w:val="0"/>
          <w:noProof/>
          <w:sz w:val="22"/>
          <w:szCs w:val="22"/>
        </w:rPr>
      </w:pPr>
      <w:hyperlink w:anchor="_Toc390225696" w:history="1">
        <w:r w:rsidRPr="005B69A4">
          <w:rPr>
            <w:rStyle w:val="Hyperlink"/>
            <w:rFonts w:eastAsiaTheme="majorEastAsia"/>
            <w:noProof/>
          </w:rPr>
          <w:t>Author (Company) and Date</w:t>
        </w:r>
        <w:r>
          <w:rPr>
            <w:noProof/>
            <w:webHidden/>
          </w:rPr>
          <w:tab/>
        </w:r>
        <w:r>
          <w:rPr>
            <w:noProof/>
            <w:webHidden/>
          </w:rPr>
          <w:fldChar w:fldCharType="begin"/>
        </w:r>
        <w:r>
          <w:rPr>
            <w:noProof/>
            <w:webHidden/>
          </w:rPr>
          <w:instrText xml:space="preserve"> PAGEREF _Toc390225696 \h </w:instrText>
        </w:r>
        <w:r>
          <w:rPr>
            <w:noProof/>
            <w:webHidden/>
          </w:rPr>
        </w:r>
        <w:r>
          <w:rPr>
            <w:noProof/>
            <w:webHidden/>
          </w:rPr>
          <w:fldChar w:fldCharType="separate"/>
        </w:r>
        <w:r>
          <w:rPr>
            <w:noProof/>
            <w:webHidden/>
          </w:rPr>
          <w:t>8</w:t>
        </w:r>
        <w:r>
          <w:rPr>
            <w:noProof/>
            <w:webHidden/>
          </w:rPr>
          <w:fldChar w:fldCharType="end"/>
        </w:r>
      </w:hyperlink>
    </w:p>
    <w:p w14:paraId="66EF42ED" w14:textId="3F4B286D" w:rsidR="000679C8" w:rsidRDefault="00D466B6" w:rsidP="00E540CE">
      <w:pPr>
        <w:rPr>
          <w:rStyle w:val="BookTitle"/>
          <w:rFonts w:asciiTheme="majorHAnsi" w:hAnsiTheme="majorHAnsi"/>
          <w:sz w:val="24"/>
          <w:szCs w:val="24"/>
        </w:rPr>
      </w:pPr>
      <w:r w:rsidRPr="00AF2C4A">
        <w:fldChar w:fldCharType="end"/>
      </w:r>
      <w:bookmarkStart w:id="33" w:name="_Toc311470074"/>
    </w:p>
    <w:p w14:paraId="17BD88D8" w14:textId="4B673D2E" w:rsidR="000B20FD" w:rsidRDefault="000B20FD">
      <w:pPr>
        <w:widowControl/>
        <w:spacing w:after="200" w:line="276" w:lineRule="auto"/>
        <w:jc w:val="left"/>
        <w:rPr>
          <w:rFonts w:asciiTheme="majorHAnsi" w:hAnsiTheme="majorHAnsi"/>
          <w:b/>
          <w:sz w:val="24"/>
          <w:szCs w:val="24"/>
        </w:rPr>
      </w:pPr>
      <w:bookmarkStart w:id="34" w:name="_Toc315354074"/>
      <w:bookmarkEnd w:id="33"/>
    </w:p>
    <w:p w14:paraId="3A2D05BF" w14:textId="66910D7A" w:rsidR="008172B3" w:rsidRPr="005534BF" w:rsidRDefault="005534BF" w:rsidP="00E11739">
      <w:pPr>
        <w:pStyle w:val="Captions"/>
      </w:pPr>
      <w:bookmarkStart w:id="35" w:name="_Toc343160287"/>
      <w:r w:rsidRPr="005534BF">
        <w:t>Table</w:t>
      </w:r>
      <w:r w:rsidR="0068511E">
        <w:t xml:space="preserve"> </w:t>
      </w:r>
      <w:fldSimple w:instr=" SEQ Table \* ARABIC \s 0 ">
        <w:r w:rsidR="0010553E">
          <w:rPr>
            <w:noProof/>
          </w:rPr>
          <w:t>1</w:t>
        </w:r>
      </w:fldSimple>
      <w:r w:rsidRPr="005534BF">
        <w:t xml:space="preserve"> </w:t>
      </w:r>
      <w:r w:rsidR="002171CE">
        <w:t xml:space="preserve">Work Paper </w:t>
      </w:r>
      <w:r>
        <w:t>Revision History</w:t>
      </w:r>
      <w:bookmarkEnd w:id="35"/>
    </w:p>
    <w:p w14:paraId="2C5DF35E" w14:textId="77777777" w:rsidR="005534BF" w:rsidRPr="005534BF" w:rsidRDefault="005534BF" w:rsidP="005534BF"/>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318"/>
        <w:gridCol w:w="2091"/>
        <w:gridCol w:w="4877"/>
      </w:tblGrid>
      <w:tr w:rsidR="00F43CBF" w14:paraId="3FC7B884" w14:textId="77777777" w:rsidTr="00B34CC1">
        <w:trPr>
          <w:trHeight w:val="288"/>
          <w:jc w:val="center"/>
        </w:trPr>
        <w:tc>
          <w:tcPr>
            <w:tcW w:w="336" w:type="pct"/>
            <w:shd w:val="pct20" w:color="000000" w:fill="FFFFFF"/>
            <w:vAlign w:val="center"/>
            <w:hideMark/>
          </w:tcPr>
          <w:p w14:paraId="637CC5CE" w14:textId="77777777" w:rsidR="00F43CBF" w:rsidRDefault="00F43CBF" w:rsidP="00B34CC1">
            <w:pPr>
              <w:spacing w:after="0"/>
              <w:jc w:val="left"/>
              <w:rPr>
                <w:b/>
                <w:bCs/>
                <w:sz w:val="24"/>
                <w:szCs w:val="24"/>
              </w:rPr>
            </w:pPr>
            <w:r>
              <w:rPr>
                <w:b/>
                <w:bCs/>
              </w:rPr>
              <w:t>#</w:t>
            </w:r>
          </w:p>
        </w:tc>
        <w:tc>
          <w:tcPr>
            <w:tcW w:w="742" w:type="pct"/>
            <w:shd w:val="pct20" w:color="000000" w:fill="FFFFFF"/>
            <w:vAlign w:val="center"/>
            <w:hideMark/>
          </w:tcPr>
          <w:p w14:paraId="44BD6300" w14:textId="77777777" w:rsidR="00F43CBF" w:rsidRDefault="00F43CBF" w:rsidP="00B34CC1">
            <w:pPr>
              <w:spacing w:after="0"/>
              <w:jc w:val="left"/>
              <w:rPr>
                <w:b/>
                <w:bCs/>
                <w:szCs w:val="20"/>
              </w:rPr>
            </w:pPr>
            <w:r>
              <w:rPr>
                <w:b/>
                <w:bCs/>
                <w:szCs w:val="20"/>
              </w:rPr>
              <w:t>MM/DD/YY</w:t>
            </w:r>
          </w:p>
        </w:tc>
        <w:tc>
          <w:tcPr>
            <w:tcW w:w="1177" w:type="pct"/>
            <w:shd w:val="pct20" w:color="000000" w:fill="FFFFFF"/>
            <w:vAlign w:val="center"/>
            <w:hideMark/>
          </w:tcPr>
          <w:p w14:paraId="308BD7CF" w14:textId="70D305B3" w:rsidR="00F43CBF" w:rsidRDefault="00F43CBF" w:rsidP="00B34CC1">
            <w:pPr>
              <w:spacing w:after="0"/>
              <w:jc w:val="left"/>
              <w:rPr>
                <w:b/>
                <w:bCs/>
                <w:szCs w:val="20"/>
              </w:rPr>
            </w:pPr>
            <w:r>
              <w:rPr>
                <w:b/>
                <w:bCs/>
                <w:szCs w:val="20"/>
              </w:rPr>
              <w:t>Author</w:t>
            </w:r>
            <w:r w:rsidR="0071617A">
              <w:rPr>
                <w:b/>
                <w:bCs/>
                <w:szCs w:val="20"/>
              </w:rPr>
              <w:t>,</w:t>
            </w:r>
            <w:r w:rsidR="00F02A1E">
              <w:rPr>
                <w:b/>
                <w:bCs/>
                <w:szCs w:val="20"/>
              </w:rPr>
              <w:t xml:space="preserve"> </w:t>
            </w:r>
            <w:r w:rsidR="0071617A">
              <w:rPr>
                <w:b/>
                <w:bCs/>
                <w:szCs w:val="20"/>
              </w:rPr>
              <w:t>Company</w:t>
            </w:r>
          </w:p>
        </w:tc>
        <w:tc>
          <w:tcPr>
            <w:tcW w:w="2745" w:type="pct"/>
            <w:shd w:val="pct20" w:color="000000" w:fill="FFFFFF"/>
            <w:vAlign w:val="center"/>
            <w:hideMark/>
          </w:tcPr>
          <w:p w14:paraId="7FE2EDBF" w14:textId="77777777" w:rsidR="00F43CBF" w:rsidRDefault="00F43CBF" w:rsidP="00B34CC1">
            <w:pPr>
              <w:spacing w:after="0"/>
              <w:jc w:val="left"/>
              <w:rPr>
                <w:b/>
                <w:bCs/>
                <w:szCs w:val="20"/>
              </w:rPr>
            </w:pPr>
            <w:r>
              <w:rPr>
                <w:b/>
                <w:bCs/>
                <w:szCs w:val="20"/>
              </w:rPr>
              <w:t>Summary of Changes</w:t>
            </w:r>
          </w:p>
        </w:tc>
      </w:tr>
      <w:tr w:rsidR="00F43CBF" w14:paraId="1A0C79E5" w14:textId="77777777" w:rsidTr="00B34CC1">
        <w:trPr>
          <w:trHeight w:val="315"/>
          <w:jc w:val="center"/>
        </w:trPr>
        <w:tc>
          <w:tcPr>
            <w:tcW w:w="336" w:type="pct"/>
            <w:shd w:val="pct5" w:color="000000" w:fill="FFFFFF"/>
            <w:vAlign w:val="center"/>
          </w:tcPr>
          <w:p w14:paraId="6BFE6AA7" w14:textId="169255F5" w:rsidR="00F43CBF" w:rsidRPr="00AA473E" w:rsidRDefault="0051273D" w:rsidP="00B34CC1">
            <w:pPr>
              <w:spacing w:after="0"/>
              <w:jc w:val="left"/>
              <w:rPr>
                <w:sz w:val="24"/>
                <w:szCs w:val="24"/>
              </w:rPr>
            </w:pPr>
            <w:r w:rsidRPr="00AA473E">
              <w:rPr>
                <w:sz w:val="24"/>
                <w:szCs w:val="24"/>
              </w:rPr>
              <w:t>1</w:t>
            </w:r>
          </w:p>
        </w:tc>
        <w:tc>
          <w:tcPr>
            <w:tcW w:w="742" w:type="pct"/>
            <w:shd w:val="pct5" w:color="000000" w:fill="FFFFFF"/>
            <w:vAlign w:val="center"/>
          </w:tcPr>
          <w:p w14:paraId="1A4E8C8B" w14:textId="3BA4ECC2" w:rsidR="00F43CBF" w:rsidRPr="00AA473E" w:rsidRDefault="00AA473E" w:rsidP="00B34CC1">
            <w:pPr>
              <w:spacing w:after="0"/>
              <w:jc w:val="left"/>
              <w:rPr>
                <w:szCs w:val="20"/>
              </w:rPr>
            </w:pPr>
            <w:r w:rsidRPr="00AA473E">
              <w:rPr>
                <w:szCs w:val="20"/>
              </w:rPr>
              <w:t>05/15/25</w:t>
            </w:r>
          </w:p>
        </w:tc>
        <w:tc>
          <w:tcPr>
            <w:tcW w:w="1177" w:type="pct"/>
            <w:shd w:val="pct5" w:color="000000" w:fill="FFFFFF"/>
            <w:vAlign w:val="center"/>
          </w:tcPr>
          <w:p w14:paraId="52727E59" w14:textId="74B5FEA0" w:rsidR="00F43CBF" w:rsidRPr="00AA473E" w:rsidRDefault="0051273D" w:rsidP="00B34CC1">
            <w:pPr>
              <w:spacing w:after="0"/>
              <w:jc w:val="left"/>
              <w:rPr>
                <w:szCs w:val="20"/>
              </w:rPr>
            </w:pPr>
            <w:r w:rsidRPr="00AA473E">
              <w:rPr>
                <w:szCs w:val="20"/>
              </w:rPr>
              <w:t>Nick Warnecke, Ameren Illinois</w:t>
            </w:r>
            <w:r w:rsidR="00AA473E" w:rsidRPr="00AA473E">
              <w:rPr>
                <w:szCs w:val="20"/>
              </w:rPr>
              <w:t xml:space="preserve"> and Seth Craigo-Snell, SCS ANALYTICS</w:t>
            </w:r>
          </w:p>
        </w:tc>
        <w:tc>
          <w:tcPr>
            <w:tcW w:w="2745" w:type="pct"/>
            <w:shd w:val="pct5" w:color="000000" w:fill="FFFFFF"/>
            <w:vAlign w:val="center"/>
          </w:tcPr>
          <w:p w14:paraId="0D65EB9C" w14:textId="512CB130" w:rsidR="00F43CBF" w:rsidRDefault="0051273D" w:rsidP="00B34CC1">
            <w:pPr>
              <w:spacing w:after="0"/>
              <w:jc w:val="left"/>
              <w:rPr>
                <w:szCs w:val="20"/>
              </w:rPr>
            </w:pPr>
            <w:r w:rsidRPr="00AA473E">
              <w:rPr>
                <w:szCs w:val="20"/>
              </w:rPr>
              <w:t>Initial Submission</w:t>
            </w:r>
          </w:p>
        </w:tc>
      </w:tr>
      <w:tr w:rsidR="00F43CBF" w14:paraId="37EF0510" w14:textId="77777777" w:rsidTr="00B34CC1">
        <w:trPr>
          <w:trHeight w:val="315"/>
          <w:jc w:val="center"/>
        </w:trPr>
        <w:tc>
          <w:tcPr>
            <w:tcW w:w="336" w:type="pct"/>
            <w:shd w:val="pct15" w:color="000000" w:fill="FFFFFF"/>
            <w:vAlign w:val="center"/>
          </w:tcPr>
          <w:p w14:paraId="6BACFED6" w14:textId="43C1371A" w:rsidR="00F43CBF" w:rsidRDefault="00F43CBF" w:rsidP="00B34CC1">
            <w:pPr>
              <w:spacing w:after="0"/>
              <w:jc w:val="left"/>
              <w:rPr>
                <w:sz w:val="24"/>
                <w:szCs w:val="24"/>
                <w:highlight w:val="yellow"/>
              </w:rPr>
            </w:pPr>
          </w:p>
        </w:tc>
        <w:tc>
          <w:tcPr>
            <w:tcW w:w="742" w:type="pct"/>
            <w:shd w:val="pct15" w:color="000000" w:fill="FFFFFF"/>
            <w:vAlign w:val="center"/>
          </w:tcPr>
          <w:p w14:paraId="66B93DDE" w14:textId="5B180694" w:rsidR="00F43CBF" w:rsidRDefault="00F43CBF" w:rsidP="00B34CC1">
            <w:pPr>
              <w:spacing w:after="0"/>
              <w:jc w:val="left"/>
              <w:rPr>
                <w:szCs w:val="20"/>
                <w:highlight w:val="yellow"/>
              </w:rPr>
            </w:pPr>
          </w:p>
        </w:tc>
        <w:tc>
          <w:tcPr>
            <w:tcW w:w="1177" w:type="pct"/>
            <w:shd w:val="pct15" w:color="000000" w:fill="FFFFFF"/>
            <w:vAlign w:val="center"/>
          </w:tcPr>
          <w:p w14:paraId="6B875DAA" w14:textId="4190624D" w:rsidR="00F43CBF" w:rsidRDefault="00F43CBF" w:rsidP="00B34CC1">
            <w:pPr>
              <w:spacing w:after="0"/>
              <w:jc w:val="left"/>
              <w:rPr>
                <w:szCs w:val="20"/>
                <w:highlight w:val="yellow"/>
                <w:lang w:val="fr-FR"/>
              </w:rPr>
            </w:pPr>
          </w:p>
        </w:tc>
        <w:tc>
          <w:tcPr>
            <w:tcW w:w="2745" w:type="pct"/>
            <w:shd w:val="pct15" w:color="000000" w:fill="FFFFFF"/>
            <w:vAlign w:val="center"/>
          </w:tcPr>
          <w:p w14:paraId="6B8066A7" w14:textId="256C29E8" w:rsidR="00F43CBF" w:rsidRDefault="00F43CBF" w:rsidP="0051273D">
            <w:pPr>
              <w:spacing w:after="0"/>
              <w:jc w:val="left"/>
              <w:rPr>
                <w:szCs w:val="20"/>
                <w:highlight w:val="yellow"/>
              </w:rPr>
            </w:pPr>
          </w:p>
        </w:tc>
      </w:tr>
    </w:tbl>
    <w:p w14:paraId="1DE62EB7" w14:textId="77777777" w:rsidR="008172B3" w:rsidRPr="008172B3" w:rsidRDefault="008172B3" w:rsidP="008172B3">
      <w:pPr>
        <w:jc w:val="center"/>
        <w:rPr>
          <w:rFonts w:asciiTheme="majorHAnsi" w:hAnsiTheme="majorHAnsi"/>
          <w:b/>
          <w:sz w:val="24"/>
          <w:szCs w:val="24"/>
        </w:rPr>
      </w:pPr>
    </w:p>
    <w:p w14:paraId="416F015B" w14:textId="77777777" w:rsidR="008172B3" w:rsidRDefault="008172B3" w:rsidP="00D466B6"/>
    <w:p w14:paraId="2BB6B4BB" w14:textId="77777777" w:rsidR="00BA156D" w:rsidRDefault="00BA156D" w:rsidP="00EE6626">
      <w:pPr>
        <w:pStyle w:val="Heading1"/>
        <w:sectPr w:rsidR="00BA156D" w:rsidSect="00950A89">
          <w:headerReference w:type="default" r:id="rId17"/>
          <w:pgSz w:w="12240" w:h="15840" w:code="1"/>
          <w:pgMar w:top="1440" w:right="1440" w:bottom="1440" w:left="1440" w:header="720" w:footer="720" w:gutter="0"/>
          <w:cols w:space="720"/>
          <w:docGrid w:linePitch="272"/>
        </w:sectPr>
      </w:pPr>
    </w:p>
    <w:p w14:paraId="0097FBBF" w14:textId="52A2EDC5" w:rsidR="00110B16" w:rsidRDefault="00E11739" w:rsidP="00EE6626">
      <w:pPr>
        <w:pStyle w:val="Heading1"/>
      </w:pPr>
      <w:bookmarkStart w:id="36" w:name="_Toc390225691"/>
      <w:bookmarkStart w:id="37" w:name="_Toc324539920"/>
      <w:bookmarkStart w:id="38" w:name="_Toc319585400"/>
      <w:bookmarkStart w:id="39" w:name="_Toc319585393"/>
      <w:bookmarkStart w:id="40" w:name="_Toc315447626"/>
      <w:bookmarkEnd w:id="34"/>
      <w:r>
        <w:lastRenderedPageBreak/>
        <w:t>Overview</w:t>
      </w:r>
      <w:bookmarkEnd w:id="36"/>
    </w:p>
    <w:p w14:paraId="3100ED35" w14:textId="7051770D" w:rsidR="00E11739" w:rsidRPr="00D86489" w:rsidRDefault="002171CE" w:rsidP="00D86489">
      <w:r w:rsidRPr="00D86489">
        <w:rPr>
          <w:sz w:val="24"/>
        </w:rPr>
        <w:t>Brief s</w:t>
      </w:r>
      <w:r w:rsidR="00E11739" w:rsidRPr="00D86489">
        <w:rPr>
          <w:sz w:val="24"/>
        </w:rPr>
        <w:t>ummary of New Measure or Change proposed</w:t>
      </w:r>
      <w:r w:rsidRPr="00D86489">
        <w:rPr>
          <w:sz w:val="24"/>
        </w:rPr>
        <w:t xml:space="preserve"> to Exi</w:t>
      </w:r>
      <w:r w:rsidR="00BA156D" w:rsidRPr="00D86489">
        <w:rPr>
          <w:sz w:val="24"/>
        </w:rPr>
        <w:t xml:space="preserve">sting measure and the rationale </w:t>
      </w:r>
      <w:r w:rsidRPr="00D86489">
        <w:rPr>
          <w:sz w:val="24"/>
        </w:rPr>
        <w:t>behind the change</w:t>
      </w:r>
      <w:r w:rsidR="00E11739" w:rsidRPr="00D86489">
        <w:rPr>
          <w:sz w:val="24"/>
        </w:rPr>
        <w:t>:</w:t>
      </w:r>
    </w:p>
    <w:p w14:paraId="63220EE6" w14:textId="77777777" w:rsidR="00881D79" w:rsidRDefault="00881D79" w:rsidP="00110B16"/>
    <w:p w14:paraId="52B5788A" w14:textId="4B90675B" w:rsidR="00E80203" w:rsidRDefault="00E80203" w:rsidP="00110B16">
      <w:r>
        <w:t xml:space="preserve">Battery Electric Vehicles </w:t>
      </w:r>
      <w:r w:rsidR="001F1FC9">
        <w:t>(BEVs)</w:t>
      </w:r>
      <w:r>
        <w:t>are gaining market position in the U.S. as customers are seeking solutions for their transportation needs. Based on consumer survey research completed by Ameren Illinois in 2024, reducing the cost of vehicle ownership, owning an environmentally friendly vehicle, and owning a vehicle with the latest technology were key reasons for owning an electric vehicle. Long charging times, reduced range of travel, and lack of charging infrastructure were the key concerns about electric vehicle ownership</w:t>
      </w:r>
      <w:r w:rsidR="00C81D83">
        <w:t xml:space="preserve"> (see Reference [1] for more information</w:t>
      </w:r>
      <w:r>
        <w:t>.</w:t>
      </w:r>
      <w:r w:rsidR="00C81D83">
        <w:t xml:space="preserve"> </w:t>
      </w:r>
    </w:p>
    <w:p w14:paraId="4E300723" w14:textId="2E339D28" w:rsidR="001F1FC9" w:rsidRDefault="001F1FC9" w:rsidP="00110B16">
      <w:r w:rsidRPr="001F1FC9">
        <w:rPr>
          <w:noProof/>
        </w:rPr>
        <w:drawing>
          <wp:inline distT="0" distB="0" distL="0" distR="0" wp14:anchorId="0D20C8A6" wp14:editId="093AE65D">
            <wp:extent cx="5943600" cy="2611755"/>
            <wp:effectExtent l="57150" t="57150" r="95250" b="93345"/>
            <wp:docPr id="101710620"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0620" name="Picture 1" descr="A screenshot of a graph&#10;&#10;AI-generated content may be incorrect."/>
                    <pic:cNvPicPr/>
                  </pic:nvPicPr>
                  <pic:blipFill>
                    <a:blip r:embed="rId18"/>
                    <a:stretch>
                      <a:fillRect/>
                    </a:stretch>
                  </pic:blipFill>
                  <pic:spPr>
                    <a:xfrm>
                      <a:off x="0" y="0"/>
                      <a:ext cx="5943600" cy="2611755"/>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14:paraId="2CA27602" w14:textId="6818E2CF" w:rsidR="00881D79" w:rsidRDefault="001F1FC9" w:rsidP="00110B16">
      <w:r>
        <w:t>To date, ver</w:t>
      </w:r>
      <w:r w:rsidR="00E80203">
        <w:t xml:space="preserve">y little attention </w:t>
      </w:r>
      <w:r>
        <w:t xml:space="preserve">is </w:t>
      </w:r>
      <w:r w:rsidR="00E80203">
        <w:t xml:space="preserve">being paid to the fuel economy </w:t>
      </w:r>
      <w:r>
        <w:t>of BEVs as part of the purchase decision. Huether (2024) lays out the case for improving BEV efficiency (kWh/miles traveled) as a key element for success as the U.S. transitions from fossil fuel internal combustion engines to cleaner electric vehicles (see Reference [2] for the detailed report.</w:t>
      </w:r>
    </w:p>
    <w:p w14:paraId="771CDA9D" w14:textId="35F37428" w:rsidR="001F1FC9" w:rsidRDefault="001F1FC9" w:rsidP="00110B16">
      <w:r>
        <w:t>In this work paper we are proposing a new measure for the IL TRM that</w:t>
      </w:r>
      <w:r w:rsidR="006055BA">
        <w:t>, in absence of a federal standard,</w:t>
      </w:r>
      <w:r>
        <w:t xml:space="preserve"> establishes a standard fuel economy (efficiency) </w:t>
      </w:r>
      <w:r w:rsidR="006055BA">
        <w:t xml:space="preserve">level </w:t>
      </w:r>
      <w:r>
        <w:t>for BEVs a</w:t>
      </w:r>
      <w:r w:rsidR="006055BA">
        <w:t>long with a savings methodology for the promotion of higher fuel economy (efficiency) BEVs based on car class. The approach leverages fuel economy information gathered from vehicle manufacturers and published by the U.S. Department of Energy (</w:t>
      </w:r>
      <w:hyperlink r:id="rId19" w:history="1">
        <w:r w:rsidR="006055BA" w:rsidRPr="00FE469B">
          <w:rPr>
            <w:rStyle w:val="Hyperlink"/>
            <w:rFonts w:cstheme="minorHAnsi"/>
            <w:sz w:val="18"/>
            <w:szCs w:val="18"/>
          </w:rPr>
          <w:t>https://www.fueleconomy.gov/feg/download.shtml</w:t>
        </w:r>
      </w:hyperlink>
      <w:r w:rsidR="006055BA">
        <w:t xml:space="preserve">). </w:t>
      </w:r>
    </w:p>
    <w:p w14:paraId="584ABA86" w14:textId="074644DF" w:rsidR="006055BA" w:rsidRDefault="006055BA" w:rsidP="00110B16">
      <w:r>
        <w:t>Below is a chart showing the fuel economy for most (there are some exemptions allowed by DOE) BEV models sold in the U.S. market from 2020-2025.</w:t>
      </w:r>
      <w:r w:rsidR="008C43EB">
        <w:t xml:space="preserve"> Based on the statistically different average values (at the </w:t>
      </w:r>
      <w:r w:rsidR="008C43EB">
        <w:rPr>
          <w:rFonts w:cstheme="minorHAnsi"/>
        </w:rPr>
        <w:t>α</w:t>
      </w:r>
      <w:r w:rsidR="008C43EB">
        <w:t>=0.05 level) between: Cars and Small SUVS taken as a group, Standard SUVs, and Trucks, we established standard fuel economies and savings for three categories of vehicles.</w:t>
      </w:r>
    </w:p>
    <w:p w14:paraId="3E4358D5" w14:textId="77777777" w:rsidR="0074277E" w:rsidRDefault="0074277E" w:rsidP="00110B16"/>
    <w:p w14:paraId="37640CDD" w14:textId="7ADD2332" w:rsidR="0074277E" w:rsidRDefault="008C43EB" w:rsidP="00110B16">
      <w:r>
        <w:rPr>
          <w:noProof/>
        </w:rPr>
        <w:lastRenderedPageBreak/>
        <w:drawing>
          <wp:inline distT="0" distB="0" distL="0" distR="0" wp14:anchorId="3BF6BBF5" wp14:editId="1CFEACC9">
            <wp:extent cx="5792044" cy="4200525"/>
            <wp:effectExtent l="0" t="0" r="0" b="0"/>
            <wp:docPr id="1577906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00527" cy="4206677"/>
                    </a:xfrm>
                    <a:prstGeom prst="rect">
                      <a:avLst/>
                    </a:prstGeom>
                    <a:noFill/>
                  </pic:spPr>
                </pic:pic>
              </a:graphicData>
            </a:graphic>
          </wp:inline>
        </w:drawing>
      </w:r>
    </w:p>
    <w:p w14:paraId="6F95E624" w14:textId="77777777" w:rsidR="00881D79" w:rsidRDefault="00881D79" w:rsidP="00110B16"/>
    <w:p w14:paraId="483CE3EE" w14:textId="63BEB478" w:rsidR="005534BF" w:rsidRPr="0074277E" w:rsidRDefault="00911589" w:rsidP="00110B16">
      <w:pPr>
        <w:rPr>
          <w:b/>
          <w:bCs/>
          <w:sz w:val="24"/>
          <w:szCs w:val="24"/>
          <w:u w:val="single"/>
        </w:rPr>
      </w:pPr>
      <w:r w:rsidRPr="0074277E">
        <w:rPr>
          <w:b/>
          <w:bCs/>
          <w:sz w:val="24"/>
          <w:szCs w:val="24"/>
          <w:u w:val="single"/>
        </w:rPr>
        <w:t>Income Qualified (IQ) Considerations:</w:t>
      </w:r>
    </w:p>
    <w:p w14:paraId="7ECF1343" w14:textId="0CE50CF6" w:rsidR="00911589" w:rsidRPr="0074277E" w:rsidRDefault="00911589" w:rsidP="00110B16">
      <w:pPr>
        <w:rPr>
          <w:sz w:val="24"/>
          <w:szCs w:val="24"/>
        </w:rPr>
      </w:pPr>
      <w:r w:rsidRPr="0074277E">
        <w:rPr>
          <w:sz w:val="24"/>
          <w:szCs w:val="24"/>
        </w:rPr>
        <w:t xml:space="preserve">The following guiding questions were </w:t>
      </w:r>
      <w:r w:rsidR="0074277E">
        <w:rPr>
          <w:sz w:val="24"/>
          <w:szCs w:val="24"/>
        </w:rPr>
        <w:t>established</w:t>
      </w:r>
      <w:r w:rsidRPr="0074277E">
        <w:rPr>
          <w:sz w:val="24"/>
          <w:szCs w:val="24"/>
        </w:rPr>
        <w:t xml:space="preserve"> by the IQ TRM Working Group to </w:t>
      </w:r>
      <w:r w:rsidR="0074277E">
        <w:rPr>
          <w:sz w:val="24"/>
          <w:szCs w:val="24"/>
        </w:rPr>
        <w:t>encourage</w:t>
      </w:r>
      <w:r w:rsidRPr="0074277E">
        <w:rPr>
          <w:sz w:val="24"/>
          <w:szCs w:val="24"/>
        </w:rPr>
        <w:t xml:space="preserve"> TAC members </w:t>
      </w:r>
      <w:r w:rsidR="0074277E" w:rsidRPr="0074277E">
        <w:rPr>
          <w:sz w:val="24"/>
          <w:szCs w:val="24"/>
        </w:rPr>
        <w:t xml:space="preserve">developing TRM updates </w:t>
      </w:r>
      <w:r w:rsidR="0074277E">
        <w:rPr>
          <w:sz w:val="24"/>
          <w:szCs w:val="24"/>
        </w:rPr>
        <w:t>to</w:t>
      </w:r>
      <w:r w:rsidRPr="0074277E">
        <w:rPr>
          <w:sz w:val="24"/>
          <w:szCs w:val="24"/>
        </w:rPr>
        <w:t xml:space="preserve"> consider whether there</w:t>
      </w:r>
      <w:r w:rsidR="0074277E">
        <w:rPr>
          <w:sz w:val="24"/>
          <w:szCs w:val="24"/>
        </w:rPr>
        <w:t xml:space="preserve"> may</w:t>
      </w:r>
      <w:r w:rsidRPr="0074277E">
        <w:rPr>
          <w:sz w:val="24"/>
          <w:szCs w:val="24"/>
        </w:rPr>
        <w:t xml:space="preserve"> </w:t>
      </w:r>
      <w:r w:rsidR="0074277E">
        <w:rPr>
          <w:sz w:val="24"/>
          <w:szCs w:val="24"/>
        </w:rPr>
        <w:t>be</w:t>
      </w:r>
      <w:r w:rsidRPr="0074277E">
        <w:rPr>
          <w:sz w:val="24"/>
          <w:szCs w:val="24"/>
        </w:rPr>
        <w:t xml:space="preserve"> IQ </w:t>
      </w:r>
      <w:r w:rsidR="0074277E">
        <w:rPr>
          <w:sz w:val="24"/>
          <w:szCs w:val="24"/>
        </w:rPr>
        <w:t>specific assumptions or considerations:</w:t>
      </w:r>
    </w:p>
    <w:p w14:paraId="231DCF61" w14:textId="38767B61" w:rsidR="00911589" w:rsidRPr="0074277E" w:rsidRDefault="00911589" w:rsidP="00911589">
      <w:pPr>
        <w:pStyle w:val="ListParagraph"/>
        <w:numPr>
          <w:ilvl w:val="0"/>
          <w:numId w:val="11"/>
        </w:numPr>
        <w:rPr>
          <w:i/>
          <w:iCs/>
          <w:sz w:val="24"/>
          <w:szCs w:val="24"/>
        </w:rPr>
      </w:pPr>
      <w:r w:rsidRPr="0074277E">
        <w:rPr>
          <w:i/>
          <w:iCs/>
          <w:sz w:val="24"/>
          <w:szCs w:val="24"/>
        </w:rPr>
        <w:t xml:space="preserve">Could the </w:t>
      </w:r>
      <w:r w:rsidR="0074277E">
        <w:rPr>
          <w:i/>
          <w:iCs/>
          <w:sz w:val="24"/>
          <w:szCs w:val="24"/>
        </w:rPr>
        <w:t>b</w:t>
      </w:r>
      <w:r w:rsidRPr="0074277E">
        <w:rPr>
          <w:i/>
          <w:iCs/>
          <w:sz w:val="24"/>
          <w:szCs w:val="24"/>
        </w:rPr>
        <w:t xml:space="preserve">aseline </w:t>
      </w:r>
      <w:r w:rsidR="0074277E">
        <w:rPr>
          <w:i/>
          <w:iCs/>
          <w:sz w:val="24"/>
          <w:szCs w:val="24"/>
        </w:rPr>
        <w:t>e</w:t>
      </w:r>
      <w:r w:rsidRPr="0074277E">
        <w:rPr>
          <w:i/>
          <w:iCs/>
          <w:sz w:val="24"/>
          <w:szCs w:val="24"/>
        </w:rPr>
        <w:t>fficiency of the measure differ for IQ communities?</w:t>
      </w:r>
    </w:p>
    <w:p w14:paraId="3323FB72" w14:textId="41906E14" w:rsidR="00911589" w:rsidRPr="0074277E" w:rsidRDefault="00911589" w:rsidP="00911589">
      <w:pPr>
        <w:pStyle w:val="ListParagraph"/>
        <w:numPr>
          <w:ilvl w:val="0"/>
          <w:numId w:val="11"/>
        </w:numPr>
        <w:rPr>
          <w:i/>
          <w:iCs/>
          <w:sz w:val="24"/>
          <w:szCs w:val="24"/>
        </w:rPr>
      </w:pPr>
      <w:r w:rsidRPr="0074277E">
        <w:rPr>
          <w:i/>
          <w:iCs/>
          <w:sz w:val="24"/>
          <w:szCs w:val="24"/>
        </w:rPr>
        <w:t xml:space="preserve">If there are any </w:t>
      </w:r>
      <w:r w:rsidR="0074277E">
        <w:rPr>
          <w:i/>
          <w:iCs/>
          <w:sz w:val="24"/>
          <w:szCs w:val="24"/>
        </w:rPr>
        <w:t>h</w:t>
      </w:r>
      <w:r w:rsidRPr="0074277E">
        <w:rPr>
          <w:i/>
          <w:iCs/>
          <w:sz w:val="24"/>
          <w:szCs w:val="24"/>
        </w:rPr>
        <w:t xml:space="preserve">ousing </w:t>
      </w:r>
      <w:r w:rsidR="0074277E">
        <w:rPr>
          <w:i/>
          <w:iCs/>
          <w:sz w:val="24"/>
          <w:szCs w:val="24"/>
        </w:rPr>
        <w:t>c</w:t>
      </w:r>
      <w:r w:rsidRPr="0074277E">
        <w:rPr>
          <w:i/>
          <w:iCs/>
          <w:sz w:val="24"/>
          <w:szCs w:val="24"/>
        </w:rPr>
        <w:t>haracteristics assumptions for this measure, would they differ in an IQ community?</w:t>
      </w:r>
    </w:p>
    <w:p w14:paraId="1CE7490D" w14:textId="37399013" w:rsidR="00911589" w:rsidRPr="0074277E" w:rsidRDefault="00911589" w:rsidP="00911589">
      <w:pPr>
        <w:pStyle w:val="ListParagraph"/>
        <w:numPr>
          <w:ilvl w:val="0"/>
          <w:numId w:val="11"/>
        </w:numPr>
        <w:rPr>
          <w:i/>
          <w:iCs/>
          <w:sz w:val="24"/>
          <w:szCs w:val="24"/>
        </w:rPr>
      </w:pPr>
      <w:r w:rsidRPr="0074277E">
        <w:rPr>
          <w:i/>
          <w:iCs/>
          <w:sz w:val="24"/>
          <w:szCs w:val="24"/>
        </w:rPr>
        <w:t xml:space="preserve">In an IQ community, could the run hours </w:t>
      </w:r>
      <w:r w:rsidR="0074277E">
        <w:rPr>
          <w:i/>
          <w:iCs/>
          <w:sz w:val="24"/>
          <w:szCs w:val="24"/>
        </w:rPr>
        <w:t xml:space="preserve">or operation behavior </w:t>
      </w:r>
      <w:r w:rsidRPr="0074277E">
        <w:rPr>
          <w:i/>
          <w:iCs/>
          <w:sz w:val="24"/>
          <w:szCs w:val="24"/>
        </w:rPr>
        <w:t>differ?</w:t>
      </w:r>
    </w:p>
    <w:p w14:paraId="3B86B429" w14:textId="5FD6BC57" w:rsidR="00911589" w:rsidRPr="0074277E" w:rsidRDefault="00911589" w:rsidP="00911589">
      <w:pPr>
        <w:pStyle w:val="ListParagraph"/>
        <w:numPr>
          <w:ilvl w:val="0"/>
          <w:numId w:val="11"/>
        </w:numPr>
        <w:rPr>
          <w:i/>
          <w:iCs/>
          <w:sz w:val="24"/>
          <w:szCs w:val="24"/>
        </w:rPr>
      </w:pPr>
      <w:r w:rsidRPr="0074277E">
        <w:rPr>
          <w:i/>
          <w:iCs/>
          <w:sz w:val="24"/>
          <w:szCs w:val="24"/>
        </w:rPr>
        <w:t>Could the measure lifetime differ in an IQ setting?</w:t>
      </w:r>
    </w:p>
    <w:p w14:paraId="2097594F" w14:textId="2851843E" w:rsidR="00110B16" w:rsidRPr="0074277E" w:rsidRDefault="00911589" w:rsidP="00110B16">
      <w:pPr>
        <w:rPr>
          <w:sz w:val="24"/>
          <w:szCs w:val="24"/>
        </w:rPr>
      </w:pPr>
      <w:r w:rsidRPr="0074277E">
        <w:rPr>
          <w:sz w:val="24"/>
          <w:szCs w:val="24"/>
        </w:rPr>
        <w:t>If the answer is yes to any of these questions, please describe how these considerations might be taken in to account. If you need help</w:t>
      </w:r>
      <w:r w:rsidR="0074277E">
        <w:rPr>
          <w:sz w:val="24"/>
          <w:szCs w:val="24"/>
        </w:rPr>
        <w:t xml:space="preserve"> or would like to discuss</w:t>
      </w:r>
      <w:r w:rsidRPr="0074277E">
        <w:rPr>
          <w:sz w:val="24"/>
          <w:szCs w:val="24"/>
        </w:rPr>
        <w:t xml:space="preserve">, please contact the IQ TRM Working Group via </w:t>
      </w:r>
      <w:hyperlink r:id="rId21" w:history="1">
        <w:r w:rsidRPr="0074277E">
          <w:rPr>
            <w:rStyle w:val="Hyperlink"/>
            <w:sz w:val="24"/>
            <w:szCs w:val="24"/>
          </w:rPr>
          <w:t>iltrmadministrator@veic.org</w:t>
        </w:r>
      </w:hyperlink>
      <w:r w:rsidRPr="0074277E">
        <w:rPr>
          <w:sz w:val="24"/>
          <w:szCs w:val="24"/>
        </w:rPr>
        <w:t xml:space="preserve">. </w:t>
      </w:r>
    </w:p>
    <w:p w14:paraId="6AA48467" w14:textId="44785EC0" w:rsidR="00B34CC1" w:rsidRDefault="00B34CC1" w:rsidP="00110B16"/>
    <w:p w14:paraId="3FB995A2" w14:textId="4C043D3B" w:rsidR="00911589" w:rsidRPr="00911589" w:rsidRDefault="00911589" w:rsidP="00911589">
      <w:pPr>
        <w:widowControl/>
        <w:spacing w:after="0"/>
        <w:jc w:val="left"/>
        <w:rPr>
          <w:rFonts w:ascii="Times New Roman" w:hAnsi="Times New Roman"/>
          <w:sz w:val="24"/>
          <w:szCs w:val="24"/>
        </w:rPr>
      </w:pPr>
    </w:p>
    <w:p w14:paraId="58D7C4D7" w14:textId="68A744D2" w:rsidR="00B34CC1" w:rsidRDefault="00B34CC1" w:rsidP="00110B16"/>
    <w:p w14:paraId="74080886" w14:textId="733BED85" w:rsidR="00B34CC1" w:rsidRDefault="00B34CC1" w:rsidP="00110B16"/>
    <w:p w14:paraId="5D13F66F" w14:textId="61E1E88C" w:rsidR="00B34CC1" w:rsidRDefault="00B34CC1" w:rsidP="00110B16"/>
    <w:p w14:paraId="32A3361A" w14:textId="77777777" w:rsidR="00B34CC1" w:rsidRDefault="00B34CC1" w:rsidP="00110B16"/>
    <w:p w14:paraId="08E670A8" w14:textId="67A69EA4" w:rsidR="00110B16" w:rsidRDefault="00110B16">
      <w:pPr>
        <w:widowControl/>
        <w:spacing w:after="200" w:line="276" w:lineRule="auto"/>
        <w:jc w:val="left"/>
        <w:rPr>
          <w:rFonts w:ascii="Calibri" w:hAnsi="Calibri" w:cs="Arial"/>
          <w:bCs/>
          <w:kern w:val="32"/>
          <w:sz w:val="32"/>
          <w:szCs w:val="32"/>
        </w:rPr>
      </w:pPr>
      <w:r>
        <w:br w:type="page"/>
      </w:r>
    </w:p>
    <w:p w14:paraId="737E890A" w14:textId="7E20DF67" w:rsidR="00D466B6" w:rsidRDefault="002171CE" w:rsidP="00EE6626">
      <w:pPr>
        <w:pStyle w:val="Heading1"/>
      </w:pPr>
      <w:bookmarkStart w:id="41" w:name="_Toc390225692"/>
      <w:r>
        <w:lastRenderedPageBreak/>
        <w:t>New</w:t>
      </w:r>
      <w:r w:rsidR="00D466B6">
        <w:t xml:space="preserve"> Measure Characterizations</w:t>
      </w:r>
      <w:bookmarkEnd w:id="37"/>
      <w:bookmarkEnd w:id="41"/>
      <w:r>
        <w:t xml:space="preserve"> </w:t>
      </w:r>
    </w:p>
    <w:p w14:paraId="737E890B" w14:textId="77777777" w:rsidR="00D466B6" w:rsidRPr="007F4407" w:rsidRDefault="00D466B6" w:rsidP="00D466B6">
      <w:pPr>
        <w:widowControl/>
        <w:spacing w:after="0"/>
        <w:jc w:val="left"/>
        <w:rPr>
          <w:sz w:val="24"/>
          <w:szCs w:val="24"/>
        </w:rPr>
      </w:pPr>
      <w:r w:rsidRPr="007F4407">
        <w:rPr>
          <w:sz w:val="24"/>
          <w:szCs w:val="24"/>
        </w:rPr>
        <w:t>Each measure characterization uses a standardized format that includes at least the following components.  Measures that have a higher level of complexity may have additional components, but also follow the same format, flow and function.</w:t>
      </w:r>
    </w:p>
    <w:p w14:paraId="56BE68B1" w14:textId="77777777" w:rsidR="002171CE" w:rsidRDefault="002171CE" w:rsidP="00D466B6">
      <w:pPr>
        <w:widowControl/>
        <w:spacing w:after="0"/>
        <w:jc w:val="left"/>
      </w:pPr>
    </w:p>
    <w:p w14:paraId="61C33F24" w14:textId="0F1544D9" w:rsidR="002171CE" w:rsidRPr="00D86489" w:rsidRDefault="002171CE" w:rsidP="00D86489">
      <w:pPr>
        <w:rPr>
          <w:sz w:val="24"/>
        </w:rPr>
      </w:pPr>
      <w:r w:rsidRPr="00D86489">
        <w:rPr>
          <w:sz w:val="24"/>
        </w:rPr>
        <w:t>Please provide text for each of the sections below with appropriate citations</w:t>
      </w:r>
      <w:r w:rsidR="007A6A0F">
        <w:rPr>
          <w:sz w:val="24"/>
        </w:rPr>
        <w:t xml:space="preserve"> in footnotes</w:t>
      </w:r>
      <w:r w:rsidR="00204CB4" w:rsidRPr="00D86489">
        <w:rPr>
          <w:sz w:val="24"/>
        </w:rPr>
        <w:t xml:space="preserve"> (see section #4)</w:t>
      </w:r>
      <w:r w:rsidRPr="00D86489">
        <w:rPr>
          <w:sz w:val="24"/>
        </w:rPr>
        <w:t xml:space="preserve"> and upload any references or calculation sheets to the Tracker item.</w:t>
      </w:r>
    </w:p>
    <w:p w14:paraId="7A780B0C" w14:textId="77777777" w:rsidR="002171CE" w:rsidRDefault="002171CE" w:rsidP="00D466B6">
      <w:pPr>
        <w:widowControl/>
        <w:spacing w:after="0"/>
        <w:jc w:val="left"/>
      </w:pPr>
    </w:p>
    <w:p w14:paraId="4BFA3023" w14:textId="70C53B16" w:rsidR="004E7755" w:rsidRPr="00135B33" w:rsidRDefault="00135B33" w:rsidP="00135B33">
      <w:pPr>
        <w:rPr>
          <w:sz w:val="24"/>
          <w:szCs w:val="28"/>
        </w:rPr>
      </w:pPr>
      <w:r>
        <w:rPr>
          <w:sz w:val="24"/>
          <w:szCs w:val="28"/>
        </w:rPr>
        <w:t>5.7.#</w:t>
      </w:r>
      <w:r>
        <w:rPr>
          <w:sz w:val="24"/>
          <w:szCs w:val="28"/>
        </w:rPr>
        <w:tab/>
      </w:r>
      <w:r w:rsidR="004E7755" w:rsidRPr="00135B33">
        <w:rPr>
          <w:sz w:val="24"/>
          <w:szCs w:val="28"/>
        </w:rPr>
        <w:t>Light Duty Electric Vehicles</w:t>
      </w:r>
    </w:p>
    <w:p w14:paraId="58159E49" w14:textId="77777777" w:rsidR="004E7755" w:rsidRDefault="004E7755" w:rsidP="004E7755">
      <w:pPr>
        <w:pStyle w:val="Heading6"/>
        <w:spacing w:after="120"/>
      </w:pPr>
      <w:r>
        <w:t>Description</w:t>
      </w:r>
    </w:p>
    <w:p w14:paraId="506632C1" w14:textId="19C3015F" w:rsidR="004E7755" w:rsidRDefault="004E7755" w:rsidP="004E7755">
      <w:r>
        <w:t xml:space="preserve">The measure is for the purchase of </w:t>
      </w:r>
      <w:r w:rsidR="001841C6">
        <w:t xml:space="preserve">light duty (gross vehicle weight &lt;8,500 </w:t>
      </w:r>
      <w:proofErr w:type="spellStart"/>
      <w:r w:rsidR="001841C6">
        <w:t>lbs</w:t>
      </w:r>
      <w:proofErr w:type="spellEnd"/>
      <w:r w:rsidR="001841C6">
        <w:t xml:space="preserve">) </w:t>
      </w:r>
      <w:r w:rsidR="0073267E">
        <w:t xml:space="preserve">battery-powered </w:t>
      </w:r>
      <w:r>
        <w:t>electric passenger vehicles</w:t>
      </w:r>
      <w:r w:rsidR="0073267E">
        <w:t xml:space="preserve"> (BEVs)</w:t>
      </w:r>
      <w:r>
        <w:t xml:space="preserve">. </w:t>
      </w:r>
      <w:r w:rsidR="0073267E">
        <w:t xml:space="preserve">There is a wide range in the efficiency levels within passenger BEV types. The measure establishes standard levels of </w:t>
      </w:r>
      <w:r w:rsidR="008B6EE1">
        <w:t>efficiency</w:t>
      </w:r>
      <w:r w:rsidR="0073267E">
        <w:t xml:space="preserve"> for EVs within each car class (e.g., Cars, Small SUVs, Standard SUVs, and Trucks) and electric energy savings associated with the purchase of higher efficiency equipment above that standard level. </w:t>
      </w:r>
      <w:r w:rsidR="001841C6">
        <w:t xml:space="preserve"> </w:t>
      </w:r>
      <w:r w:rsidR="00D415AA">
        <w:t xml:space="preserve">Based on the statistically different average values (at the </w:t>
      </w:r>
      <w:r w:rsidR="00D415AA">
        <w:rPr>
          <w:rFonts w:cstheme="minorHAnsi"/>
        </w:rPr>
        <w:t>α</w:t>
      </w:r>
      <w:r w:rsidR="00D415AA">
        <w:t xml:space="preserve">=0.05 level) between: Cars and Small SUVS taken as a group, Standard SUVs, and Trucks, we established standard fuel economies and savings for </w:t>
      </w:r>
      <w:r w:rsidR="002B7A6F">
        <w:t xml:space="preserve">these </w:t>
      </w:r>
      <w:r w:rsidR="00D415AA">
        <w:t>three categories of vehicles.</w:t>
      </w:r>
      <w:r>
        <w:t xml:space="preserve"> </w:t>
      </w:r>
    </w:p>
    <w:p w14:paraId="7BB606F4" w14:textId="77777777" w:rsidR="004E7755" w:rsidRDefault="004E7755" w:rsidP="004E7755">
      <w:r w:rsidRPr="00C50BC6">
        <w:rPr>
          <w:rFonts w:cs="Calibri"/>
          <w:szCs w:val="20"/>
        </w:rPr>
        <w:t xml:space="preserve">This measure was developed to be applicable to the following program types: </w:t>
      </w:r>
      <w:r>
        <w:rPr>
          <w:rFonts w:cs="Calibri"/>
          <w:szCs w:val="20"/>
        </w:rPr>
        <w:t xml:space="preserve">TOS. </w:t>
      </w:r>
      <w:r w:rsidRPr="00C50BC6">
        <w:rPr>
          <w:rFonts w:cs="Calibri"/>
          <w:szCs w:val="20"/>
        </w:rPr>
        <w:t>If applied to other program types, the measure savings should be verified.</w:t>
      </w:r>
    </w:p>
    <w:p w14:paraId="1135AD9D" w14:textId="77777777" w:rsidR="004E7755" w:rsidRDefault="004E7755" w:rsidP="004E7755">
      <w:pPr>
        <w:pStyle w:val="Heading6"/>
        <w:spacing w:after="120"/>
      </w:pPr>
      <w:r>
        <w:t>Definition of Efficient Equipment</w:t>
      </w:r>
    </w:p>
    <w:p w14:paraId="535213F6" w14:textId="740720F7" w:rsidR="004E7755" w:rsidRDefault="004E7755" w:rsidP="004E7755">
      <w:pPr>
        <w:rPr>
          <w:b/>
          <w:smallCaps/>
        </w:rPr>
      </w:pPr>
      <w:r>
        <w:t>A newly purchased battery-powered passenger vehicle or BEV that is powered solely by electricity that can be recharged from an external source</w:t>
      </w:r>
      <w:r w:rsidR="00EA4E71">
        <w:t xml:space="preserve"> and exceeds the fuel economy for baseline equipment based on vehicle type</w:t>
      </w:r>
      <w:r>
        <w:t xml:space="preserve">. </w:t>
      </w:r>
    </w:p>
    <w:p w14:paraId="0ED4997D" w14:textId="77777777" w:rsidR="004E7755" w:rsidRDefault="004E7755" w:rsidP="004E7755">
      <w:pPr>
        <w:pStyle w:val="Heading6"/>
        <w:spacing w:after="120"/>
      </w:pPr>
      <w:r>
        <w:t>Definition of Baseline Equipment</w:t>
      </w:r>
    </w:p>
    <w:p w14:paraId="434CBBCF" w14:textId="2126F53C" w:rsidR="0073267E" w:rsidRDefault="00872C37" w:rsidP="00E164B5">
      <w:r>
        <w:t xml:space="preserve">Baseline equipment is </w:t>
      </w:r>
      <w:r w:rsidR="00E164B5">
        <w:t>a</w:t>
      </w:r>
      <w:r>
        <w:t xml:space="preserve"> light duty </w:t>
      </w:r>
      <w:r w:rsidR="0073267E">
        <w:t>BEV</w:t>
      </w:r>
      <w:r>
        <w:t xml:space="preserve"> with standard </w:t>
      </w:r>
      <w:r w:rsidR="00EA4E71">
        <w:t>fuel economy</w:t>
      </w:r>
      <w:r w:rsidR="0073267E">
        <w:t>:</w:t>
      </w:r>
    </w:p>
    <w:p w14:paraId="7A202832" w14:textId="43B8D57C" w:rsidR="00872C37" w:rsidRDefault="0073267E" w:rsidP="0073267E">
      <w:pPr>
        <w:pStyle w:val="ListParagraph"/>
        <w:numPr>
          <w:ilvl w:val="0"/>
          <w:numId w:val="15"/>
        </w:numPr>
      </w:pPr>
      <w:r>
        <w:t xml:space="preserve">Cars/Small SUVs: </w:t>
      </w:r>
      <w:proofErr w:type="spellStart"/>
      <w:r>
        <w:t>B</w:t>
      </w:r>
      <w:r w:rsidR="00872C37">
        <w:t>EV_baseline</w:t>
      </w:r>
      <w:proofErr w:type="spellEnd"/>
      <w:r w:rsidR="00872C37">
        <w:t xml:space="preserve"> &gt; </w:t>
      </w:r>
      <w:r w:rsidR="00FE469B">
        <w:t xml:space="preserve">40.72 </w:t>
      </w:r>
      <w:r w:rsidR="00872C37">
        <w:t>kwh/100 miles</w:t>
      </w:r>
    </w:p>
    <w:p w14:paraId="53AAA499" w14:textId="3F95853E" w:rsidR="0073267E" w:rsidRDefault="0073267E" w:rsidP="0073267E">
      <w:pPr>
        <w:pStyle w:val="ListParagraph"/>
        <w:numPr>
          <w:ilvl w:val="0"/>
          <w:numId w:val="15"/>
        </w:numPr>
      </w:pPr>
      <w:r>
        <w:t xml:space="preserve">Standard SUVs: </w:t>
      </w:r>
      <w:proofErr w:type="spellStart"/>
      <w:r>
        <w:t>BEV_baseline</w:t>
      </w:r>
      <w:proofErr w:type="spellEnd"/>
      <w:r>
        <w:t xml:space="preserve"> &gt; </w:t>
      </w:r>
      <w:r w:rsidR="00FE469B">
        <w:t>52.45</w:t>
      </w:r>
      <w:r>
        <w:t>kwh/100 miles</w:t>
      </w:r>
    </w:p>
    <w:p w14:paraId="5B4AE6E9" w14:textId="284E91BF" w:rsidR="0073267E" w:rsidRDefault="0073267E" w:rsidP="0051273D">
      <w:pPr>
        <w:pStyle w:val="ListParagraph"/>
        <w:numPr>
          <w:ilvl w:val="0"/>
          <w:numId w:val="15"/>
        </w:numPr>
      </w:pPr>
      <w:r>
        <w:t xml:space="preserve">Trucks: </w:t>
      </w:r>
      <w:proofErr w:type="spellStart"/>
      <w:r>
        <w:t>BEV_baseline</w:t>
      </w:r>
      <w:proofErr w:type="spellEnd"/>
      <w:r>
        <w:t xml:space="preserve"> &gt; </w:t>
      </w:r>
      <w:r w:rsidR="00FE469B">
        <w:t xml:space="preserve">54.91 </w:t>
      </w:r>
      <w:r>
        <w:t>kwh/100 miles</w:t>
      </w:r>
    </w:p>
    <w:p w14:paraId="62C8D660" w14:textId="77777777" w:rsidR="004E7755" w:rsidRDefault="004E7755" w:rsidP="004E7755">
      <w:pPr>
        <w:pStyle w:val="Heading6"/>
        <w:spacing w:after="120"/>
      </w:pPr>
      <w:r>
        <w:t>Deemed Lifetime of Efficient Equipment</w:t>
      </w:r>
    </w:p>
    <w:p w14:paraId="4DD4FDDC" w14:textId="77777777" w:rsidR="004E7755" w:rsidRDefault="004E7755" w:rsidP="004E7755">
      <w:pPr>
        <w:spacing w:after="120"/>
        <w:rPr>
          <w:iCs/>
        </w:rPr>
      </w:pPr>
      <w:r>
        <w:rPr>
          <w:iCs/>
        </w:rPr>
        <w:t xml:space="preserve">The expected measure life is assumed to </w:t>
      </w:r>
      <w:r w:rsidRPr="00F86FF1">
        <w:rPr>
          <w:iCs/>
        </w:rPr>
        <w:t>be 15 years.</w:t>
      </w:r>
      <w:r w:rsidRPr="00F86FF1">
        <w:rPr>
          <w:rStyle w:val="FootnoteReference"/>
          <w:rFonts w:eastAsiaTheme="majorEastAsia"/>
        </w:rPr>
        <w:footnoteReference w:id="1"/>
      </w:r>
    </w:p>
    <w:p w14:paraId="7F1BCAB8" w14:textId="77777777" w:rsidR="004E7755" w:rsidRDefault="004E7755" w:rsidP="004E7755">
      <w:pPr>
        <w:pStyle w:val="Heading6"/>
        <w:spacing w:after="120"/>
      </w:pPr>
      <w:r>
        <w:t xml:space="preserve">Deemed Measure Cost </w:t>
      </w:r>
    </w:p>
    <w:p w14:paraId="780A896F" w14:textId="56CC7B87" w:rsidR="00EC012C" w:rsidRDefault="004E7755" w:rsidP="004E7755">
      <w:pPr>
        <w:spacing w:after="120"/>
        <w:rPr>
          <w:iCs/>
        </w:rPr>
      </w:pPr>
      <w:r>
        <w:rPr>
          <w:iCs/>
        </w:rPr>
        <w:t xml:space="preserve">The incremental </w:t>
      </w:r>
      <w:r w:rsidR="00EC012C">
        <w:rPr>
          <w:iCs/>
        </w:rPr>
        <w:t xml:space="preserve">purchase </w:t>
      </w:r>
      <w:r>
        <w:rPr>
          <w:iCs/>
        </w:rPr>
        <w:t>cost for this measure is assumed to be</w:t>
      </w:r>
      <w:r w:rsidR="00EC012C">
        <w:rPr>
          <w:iCs/>
        </w:rPr>
        <w:t>:</w:t>
      </w:r>
    </w:p>
    <w:p w14:paraId="683CE0F7" w14:textId="48CEF8E8" w:rsidR="004E7755" w:rsidRPr="00EC012C" w:rsidRDefault="00EC012C" w:rsidP="0051273D">
      <w:pPr>
        <w:pStyle w:val="ListParagraph"/>
        <w:spacing w:after="120"/>
        <w:rPr>
          <w:iCs/>
        </w:rPr>
      </w:pPr>
      <w:r w:rsidRPr="008B6EE1">
        <w:rPr>
          <w:iCs/>
          <w:highlight w:val="yellow"/>
        </w:rPr>
        <w:t>$TBD</w:t>
      </w:r>
      <w:r>
        <w:rPr>
          <w:iCs/>
        </w:rPr>
        <w:t xml:space="preserve"> for </w:t>
      </w:r>
      <w:r w:rsidR="00F86FF1">
        <w:rPr>
          <w:iCs/>
        </w:rPr>
        <w:t xml:space="preserve">standard light duty </w:t>
      </w:r>
      <w:r w:rsidR="0073267E">
        <w:rPr>
          <w:iCs/>
        </w:rPr>
        <w:t>B</w:t>
      </w:r>
      <w:r w:rsidR="00F86FF1">
        <w:rPr>
          <w:iCs/>
        </w:rPr>
        <w:t>EV.</w:t>
      </w:r>
      <w:r w:rsidRPr="00EC012C">
        <w:rPr>
          <w:iCs/>
        </w:rPr>
        <w:t xml:space="preserve"> </w:t>
      </w:r>
    </w:p>
    <w:p w14:paraId="028F41C5" w14:textId="77777777" w:rsidR="004E7755" w:rsidRDefault="004E7755" w:rsidP="004E7755">
      <w:pPr>
        <w:pStyle w:val="Heading6"/>
        <w:spacing w:after="120"/>
      </w:pPr>
      <w:proofErr w:type="spellStart"/>
      <w:r>
        <w:t>Loadshape</w:t>
      </w:r>
      <w:proofErr w:type="spellEnd"/>
    </w:p>
    <w:p w14:paraId="4CDAD478" w14:textId="77777777" w:rsidR="004E7755" w:rsidRPr="00135B33" w:rsidRDefault="004E7755" w:rsidP="004E7755">
      <w:pPr>
        <w:spacing w:after="120"/>
        <w:rPr>
          <w:iCs/>
        </w:rPr>
      </w:pPr>
      <w:r>
        <w:rPr>
          <w:i/>
        </w:rPr>
        <w:t xml:space="preserve"> </w:t>
      </w:r>
    </w:p>
    <w:p w14:paraId="0215D864" w14:textId="77777777" w:rsidR="004E7755" w:rsidRDefault="004E7755" w:rsidP="004E7755">
      <w:pPr>
        <w:pStyle w:val="Heading6"/>
        <w:spacing w:after="120"/>
      </w:pPr>
      <w:r>
        <w:lastRenderedPageBreak/>
        <w:t>Coincidence Factor</w:t>
      </w:r>
    </w:p>
    <w:p w14:paraId="1B1B21D0" w14:textId="2098AB47" w:rsidR="004E7755" w:rsidRDefault="004E7755" w:rsidP="004E7755">
      <w:pPr>
        <w:rPr>
          <w:iCs/>
        </w:rPr>
      </w:pPr>
      <w:r>
        <w:rPr>
          <w:iCs/>
        </w:rPr>
        <w:t xml:space="preserve">Coincidence factor is assumed to be 1. </w:t>
      </w:r>
    </w:p>
    <w:p w14:paraId="7AECE5DA" w14:textId="77777777" w:rsidR="004E7755" w:rsidRDefault="004E7755" w:rsidP="004E7755">
      <w:pPr>
        <w:pStyle w:val="AlgorithmHeading"/>
      </w:pPr>
      <w:r>
        <w:t xml:space="preserve">Algorithm </w:t>
      </w:r>
    </w:p>
    <w:p w14:paraId="6D3AE35D" w14:textId="77777777" w:rsidR="004E7755" w:rsidRDefault="004E7755" w:rsidP="004E7755">
      <w:pPr>
        <w:pStyle w:val="Heading6"/>
      </w:pPr>
      <w:r>
        <w:t xml:space="preserve">Calculation of Energy Savings </w:t>
      </w:r>
    </w:p>
    <w:p w14:paraId="07315AB4" w14:textId="77777777" w:rsidR="004E7755" w:rsidRDefault="004E7755" w:rsidP="004E7755">
      <w:pPr>
        <w:pStyle w:val="Heading6"/>
        <w:spacing w:after="120"/>
      </w:pPr>
      <w:r>
        <w:t>Electric Energy Savings</w:t>
      </w:r>
    </w:p>
    <w:p w14:paraId="117FD0DB" w14:textId="1F6417C9" w:rsidR="00872C37" w:rsidRDefault="00872C37" w:rsidP="00872C37">
      <w:pPr>
        <w:ind w:left="720" w:firstLine="720"/>
      </w:pPr>
      <w:proofErr w:type="spellStart"/>
      <w:r>
        <w:t>ΔkWh_</w:t>
      </w:r>
      <w:r w:rsidR="0073267E">
        <w:t>B</w:t>
      </w:r>
      <w:r>
        <w:t>EV</w:t>
      </w:r>
      <w:proofErr w:type="spellEnd"/>
      <w:r>
        <w:t xml:space="preserve"> baseline </w:t>
      </w:r>
      <w:r>
        <w:tab/>
        <w:t>= (</w:t>
      </w:r>
      <w:proofErr w:type="spellStart"/>
      <w:r w:rsidR="0073267E">
        <w:t>B</w:t>
      </w:r>
      <w:r>
        <w:t>EV_stnd</w:t>
      </w:r>
      <w:proofErr w:type="spellEnd"/>
      <w:r>
        <w:t xml:space="preserve"> - </w:t>
      </w:r>
      <w:proofErr w:type="spellStart"/>
      <w:r w:rsidR="0073267E">
        <w:t>B</w:t>
      </w:r>
      <w:r>
        <w:t>EV_ee</w:t>
      </w:r>
      <w:proofErr w:type="spellEnd"/>
      <w:r>
        <w:t>)</w:t>
      </w:r>
      <w:r w:rsidR="002038A6">
        <w:t xml:space="preserve"> * VMT</w:t>
      </w:r>
      <w:r>
        <w:t xml:space="preserve"> / 100</w:t>
      </w:r>
    </w:p>
    <w:p w14:paraId="54F63B3D" w14:textId="77777777" w:rsidR="00872C37" w:rsidRDefault="00872C37" w:rsidP="004E7755">
      <w:pPr>
        <w:ind w:left="720" w:firstLine="720"/>
      </w:pPr>
    </w:p>
    <w:p w14:paraId="17513C53" w14:textId="77777777" w:rsidR="004E7755" w:rsidRDefault="004E7755" w:rsidP="004E7755">
      <w:r>
        <w:t>Where:</w:t>
      </w:r>
    </w:p>
    <w:p w14:paraId="2283EF2E" w14:textId="77777777" w:rsidR="004E7755" w:rsidRDefault="004E7755" w:rsidP="004E7755">
      <w:r>
        <w:tab/>
        <w:t>VMT</w:t>
      </w:r>
      <w:r>
        <w:tab/>
      </w:r>
      <w:r>
        <w:tab/>
        <w:t xml:space="preserve">= Annual vehicle miles traveled of the vehicle measure. </w:t>
      </w:r>
    </w:p>
    <w:p w14:paraId="3A7B85F0" w14:textId="77777777" w:rsidR="004E7755" w:rsidRDefault="004E7755" w:rsidP="004E7755">
      <w:pPr>
        <w:ind w:left="1440" w:firstLine="720"/>
      </w:pPr>
      <w:r w:rsidRPr="00F86FF1">
        <w:t>= 10,573</w:t>
      </w:r>
      <w:r w:rsidRPr="00F86FF1">
        <w:rPr>
          <w:rStyle w:val="FootnoteReference"/>
          <w:rFonts w:eastAsiaTheme="majorEastAsia"/>
        </w:rPr>
        <w:footnoteReference w:id="2"/>
      </w:r>
    </w:p>
    <w:p w14:paraId="3A353FFF" w14:textId="145385AF" w:rsidR="002038A6" w:rsidRDefault="004E7755" w:rsidP="002038A6">
      <w:pPr>
        <w:tabs>
          <w:tab w:val="left" w:pos="720"/>
          <w:tab w:val="left" w:pos="1710"/>
        </w:tabs>
        <w:ind w:left="2160" w:hanging="2160"/>
      </w:pPr>
      <w:r>
        <w:tab/>
      </w:r>
      <w:proofErr w:type="spellStart"/>
      <w:r w:rsidR="0073267E">
        <w:t>B</w:t>
      </w:r>
      <w:r w:rsidR="002038A6">
        <w:t>EV_stnd</w:t>
      </w:r>
      <w:proofErr w:type="spellEnd"/>
      <w:r w:rsidR="002038A6">
        <w:tab/>
      </w:r>
      <w:r w:rsidR="002038A6">
        <w:tab/>
        <w:t xml:space="preserve">= </w:t>
      </w:r>
      <w:r w:rsidR="0039697E">
        <w:t>Standard BEV Fuel Economy. S</w:t>
      </w:r>
      <w:r w:rsidR="0073267E">
        <w:t>ee table below for values based on car class</w:t>
      </w:r>
      <w:r w:rsidR="002038A6">
        <w:t>.</w:t>
      </w:r>
      <w:r w:rsidR="002038A6">
        <w:rPr>
          <w:rStyle w:val="FootnoteReference"/>
        </w:rPr>
        <w:footnoteReference w:id="3"/>
      </w:r>
      <w:r w:rsidR="002038A6">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5"/>
        <w:gridCol w:w="2600"/>
      </w:tblGrid>
      <w:tr w:rsidR="006A3CD5" w14:paraId="5508C72E" w14:textId="4117BA63" w:rsidTr="0051273D">
        <w:trPr>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3DA19497" w14:textId="29EED4A1" w:rsidR="006A3CD5" w:rsidRDefault="006A3CD5" w:rsidP="00947501">
            <w:pPr>
              <w:spacing w:after="0"/>
              <w:jc w:val="center"/>
              <w:rPr>
                <w:rFonts w:eastAsiaTheme="minorHAnsi"/>
                <w:b/>
                <w:color w:val="FFFFFF" w:themeColor="background1"/>
              </w:rPr>
            </w:pPr>
            <w:r>
              <w:rPr>
                <w:b/>
                <w:color w:val="FFFFFF" w:themeColor="background1"/>
              </w:rPr>
              <w:t>Car Class</w:t>
            </w:r>
          </w:p>
        </w:tc>
        <w:tc>
          <w:tcPr>
            <w:tcW w:w="260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7ACE3D0B" w14:textId="18BD3940" w:rsidR="006A3CD5" w:rsidRDefault="006A3CD5" w:rsidP="00947501">
            <w:pPr>
              <w:spacing w:after="0"/>
              <w:jc w:val="center"/>
              <w:rPr>
                <w:rFonts w:eastAsiaTheme="minorHAnsi"/>
                <w:b/>
                <w:color w:val="FFFFFF" w:themeColor="background1"/>
              </w:rPr>
            </w:pPr>
            <w:proofErr w:type="spellStart"/>
            <w:r>
              <w:rPr>
                <w:b/>
                <w:color w:val="FFFFFF" w:themeColor="background1"/>
              </w:rPr>
              <w:t>BEV_Stnd</w:t>
            </w:r>
            <w:proofErr w:type="spellEnd"/>
            <w:r>
              <w:rPr>
                <w:b/>
                <w:color w:val="FFFFFF" w:themeColor="background1"/>
              </w:rPr>
              <w:t xml:space="preserve"> (kWh/100 miles)</w:t>
            </w:r>
          </w:p>
        </w:tc>
      </w:tr>
      <w:tr w:rsidR="006A3CD5" w14:paraId="2B5C99E7" w14:textId="5F203322" w:rsidTr="0051273D">
        <w:trPr>
          <w:jc w:val="center"/>
        </w:trPr>
        <w:tc>
          <w:tcPr>
            <w:tcW w:w="1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CE1709" w14:textId="347B7E9E" w:rsidR="006A3CD5" w:rsidRDefault="006A3CD5" w:rsidP="00947501">
            <w:pPr>
              <w:spacing w:after="0"/>
              <w:rPr>
                <w:rFonts w:eastAsiaTheme="minorHAnsi"/>
              </w:rPr>
            </w:pPr>
            <w:r>
              <w:t>Car / Small SUV</w:t>
            </w:r>
          </w:p>
        </w:tc>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A09E" w14:textId="54D202C7" w:rsidR="006A3CD5" w:rsidRPr="00FE469B" w:rsidRDefault="00FE469B" w:rsidP="00947501">
            <w:pPr>
              <w:spacing w:after="0"/>
              <w:jc w:val="center"/>
              <w:rPr>
                <w:rFonts w:eastAsiaTheme="minorHAnsi"/>
              </w:rPr>
            </w:pPr>
            <w:r w:rsidRPr="00FE469B">
              <w:rPr>
                <w:rFonts w:eastAsiaTheme="minorHAnsi"/>
              </w:rPr>
              <w:t>40.72</w:t>
            </w:r>
          </w:p>
        </w:tc>
      </w:tr>
      <w:tr w:rsidR="006A3CD5" w14:paraId="79DB63B2" w14:textId="2D42EF9B" w:rsidTr="0051273D">
        <w:trPr>
          <w:jc w:val="center"/>
        </w:trPr>
        <w:tc>
          <w:tcPr>
            <w:tcW w:w="1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88F7DB" w14:textId="09105905" w:rsidR="006A3CD5" w:rsidRDefault="006A3CD5" w:rsidP="00947501">
            <w:pPr>
              <w:spacing w:after="0"/>
              <w:rPr>
                <w:rFonts w:eastAsiaTheme="minorHAnsi"/>
              </w:rPr>
            </w:pPr>
            <w:r>
              <w:t>Standard SUV</w:t>
            </w:r>
          </w:p>
        </w:tc>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9443C" w14:textId="2718477A" w:rsidR="006A3CD5" w:rsidRPr="00FE469B" w:rsidRDefault="00FE469B" w:rsidP="00947501">
            <w:pPr>
              <w:spacing w:after="0"/>
              <w:jc w:val="center"/>
              <w:rPr>
                <w:rFonts w:eastAsiaTheme="minorHAnsi"/>
              </w:rPr>
            </w:pPr>
            <w:r w:rsidRPr="00FE469B">
              <w:rPr>
                <w:rFonts w:eastAsiaTheme="minorHAnsi"/>
              </w:rPr>
              <w:t>52.45</w:t>
            </w:r>
          </w:p>
        </w:tc>
      </w:tr>
      <w:tr w:rsidR="006A3CD5" w14:paraId="1A0731A8" w14:textId="6BCD2BC3" w:rsidTr="0051273D">
        <w:trPr>
          <w:jc w:val="center"/>
        </w:trPr>
        <w:tc>
          <w:tcPr>
            <w:tcW w:w="1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8CA2D1" w14:textId="076F73A0" w:rsidR="006A3CD5" w:rsidRDefault="006A3CD5" w:rsidP="00947501">
            <w:pPr>
              <w:spacing w:after="0"/>
              <w:rPr>
                <w:rFonts w:eastAsiaTheme="minorHAnsi"/>
              </w:rPr>
            </w:pPr>
            <w:r>
              <w:t>Truck</w:t>
            </w:r>
          </w:p>
        </w:tc>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F0F34" w14:textId="4F0161D6" w:rsidR="006A3CD5" w:rsidRPr="00FE469B" w:rsidRDefault="00FE469B" w:rsidP="00947501">
            <w:pPr>
              <w:spacing w:after="0"/>
              <w:jc w:val="center"/>
              <w:rPr>
                <w:rFonts w:eastAsiaTheme="minorHAnsi"/>
              </w:rPr>
            </w:pPr>
            <w:r w:rsidRPr="00FE469B">
              <w:rPr>
                <w:rFonts w:eastAsiaTheme="minorHAnsi"/>
              </w:rPr>
              <w:t>54.91</w:t>
            </w:r>
          </w:p>
        </w:tc>
      </w:tr>
    </w:tbl>
    <w:p w14:paraId="78704235" w14:textId="77777777" w:rsidR="006A3CD5" w:rsidRDefault="006A3CD5" w:rsidP="0051273D">
      <w:pPr>
        <w:tabs>
          <w:tab w:val="left" w:pos="720"/>
          <w:tab w:val="left" w:pos="1710"/>
        </w:tabs>
        <w:ind w:left="2250"/>
      </w:pPr>
    </w:p>
    <w:p w14:paraId="3CD77713" w14:textId="633C508E" w:rsidR="004E7755" w:rsidRDefault="002038A6" w:rsidP="004E7755">
      <w:pPr>
        <w:tabs>
          <w:tab w:val="left" w:pos="720"/>
          <w:tab w:val="left" w:pos="1710"/>
        </w:tabs>
        <w:ind w:left="2160" w:hanging="2160"/>
      </w:pPr>
      <w:r>
        <w:tab/>
      </w:r>
      <w:proofErr w:type="spellStart"/>
      <w:r w:rsidR="0073267E">
        <w:t>B</w:t>
      </w:r>
      <w:r w:rsidR="004E7755">
        <w:t>EV_ee</w:t>
      </w:r>
      <w:proofErr w:type="spellEnd"/>
      <w:r w:rsidR="004E7755">
        <w:tab/>
      </w:r>
      <w:r w:rsidR="004E7755">
        <w:tab/>
        <w:t xml:space="preserve">= Actual nameplate operation efficiency for </w:t>
      </w:r>
      <w:r w:rsidR="0039697E">
        <w:t>efficient BEVs</w:t>
      </w:r>
      <w:r w:rsidR="004E7755">
        <w:t xml:space="preserve"> expressed in kWh per 100 miles. </w:t>
      </w:r>
    </w:p>
    <w:p w14:paraId="30FFEDE4" w14:textId="2C940913" w:rsidR="004E7755" w:rsidRDefault="004E7755" w:rsidP="004E7755">
      <w:pPr>
        <w:tabs>
          <w:tab w:val="left" w:pos="720"/>
          <w:tab w:val="left" w:pos="1710"/>
        </w:tabs>
        <w:ind w:left="2160" w:hanging="2160"/>
      </w:pPr>
      <w:r>
        <w:tab/>
      </w:r>
      <w:r>
        <w:tab/>
      </w:r>
      <w:r>
        <w:tab/>
        <w:t xml:space="preserve">= Actual. If unknown assume </w:t>
      </w:r>
      <w:r w:rsidR="006A3CD5">
        <w:t>values below based on car class</w:t>
      </w:r>
      <w:r>
        <w:rPr>
          <w:rStyle w:val="FootnoteReference"/>
          <w:rFonts w:eastAsiaTheme="majorEastAsia"/>
        </w:rPr>
        <w:footnoteReference w:id="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5"/>
        <w:gridCol w:w="2600"/>
      </w:tblGrid>
      <w:tr w:rsidR="006A3CD5" w14:paraId="7D7CFED1" w14:textId="77777777" w:rsidTr="00947501">
        <w:trPr>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61CB96B8" w14:textId="77777777" w:rsidR="006A3CD5" w:rsidRDefault="006A3CD5" w:rsidP="00947501">
            <w:pPr>
              <w:spacing w:after="0"/>
              <w:jc w:val="center"/>
              <w:rPr>
                <w:rFonts w:eastAsiaTheme="minorHAnsi"/>
                <w:b/>
                <w:color w:val="FFFFFF" w:themeColor="background1"/>
              </w:rPr>
            </w:pPr>
            <w:r>
              <w:rPr>
                <w:b/>
                <w:color w:val="FFFFFF" w:themeColor="background1"/>
              </w:rPr>
              <w:t>Car Class</w:t>
            </w:r>
          </w:p>
        </w:tc>
        <w:tc>
          <w:tcPr>
            <w:tcW w:w="260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5A620595" w14:textId="46715B3E" w:rsidR="006A3CD5" w:rsidRDefault="006A3CD5" w:rsidP="00947501">
            <w:pPr>
              <w:spacing w:after="0"/>
              <w:jc w:val="center"/>
              <w:rPr>
                <w:rFonts w:eastAsiaTheme="minorHAnsi"/>
                <w:b/>
                <w:color w:val="FFFFFF" w:themeColor="background1"/>
              </w:rPr>
            </w:pPr>
            <w:proofErr w:type="spellStart"/>
            <w:r>
              <w:rPr>
                <w:b/>
                <w:color w:val="FFFFFF" w:themeColor="background1"/>
              </w:rPr>
              <w:t>BEV_</w:t>
            </w:r>
            <w:r w:rsidR="0039697E">
              <w:rPr>
                <w:b/>
                <w:color w:val="FFFFFF" w:themeColor="background1"/>
              </w:rPr>
              <w:t>ee</w:t>
            </w:r>
            <w:proofErr w:type="spellEnd"/>
            <w:r>
              <w:rPr>
                <w:b/>
                <w:color w:val="FFFFFF" w:themeColor="background1"/>
              </w:rPr>
              <w:t xml:space="preserve"> (kWh/100 miles)</w:t>
            </w:r>
          </w:p>
        </w:tc>
      </w:tr>
      <w:tr w:rsidR="006A3CD5" w14:paraId="309F560A" w14:textId="77777777" w:rsidTr="00947501">
        <w:trPr>
          <w:jc w:val="center"/>
        </w:trPr>
        <w:tc>
          <w:tcPr>
            <w:tcW w:w="1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488206" w14:textId="77777777" w:rsidR="006A3CD5" w:rsidRDefault="006A3CD5" w:rsidP="00947501">
            <w:pPr>
              <w:spacing w:after="0"/>
              <w:rPr>
                <w:rFonts w:eastAsiaTheme="minorHAnsi"/>
              </w:rPr>
            </w:pPr>
            <w:r>
              <w:t>Car / Small SUV</w:t>
            </w:r>
          </w:p>
        </w:tc>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101CF" w14:textId="2C274159" w:rsidR="006A3CD5" w:rsidRPr="00FE469B" w:rsidRDefault="00FE469B" w:rsidP="00947501">
            <w:pPr>
              <w:spacing w:after="0"/>
              <w:jc w:val="center"/>
              <w:rPr>
                <w:rFonts w:eastAsiaTheme="minorHAnsi"/>
              </w:rPr>
            </w:pPr>
            <w:r w:rsidRPr="00FE469B">
              <w:rPr>
                <w:rFonts w:eastAsiaTheme="minorHAnsi"/>
              </w:rPr>
              <w:t>32.53</w:t>
            </w:r>
          </w:p>
        </w:tc>
      </w:tr>
      <w:tr w:rsidR="006A3CD5" w14:paraId="1CDFEE28" w14:textId="77777777" w:rsidTr="00947501">
        <w:trPr>
          <w:jc w:val="center"/>
        </w:trPr>
        <w:tc>
          <w:tcPr>
            <w:tcW w:w="1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B4906D" w14:textId="77777777" w:rsidR="006A3CD5" w:rsidRDefault="006A3CD5" w:rsidP="00947501">
            <w:pPr>
              <w:spacing w:after="0"/>
              <w:rPr>
                <w:rFonts w:eastAsiaTheme="minorHAnsi"/>
              </w:rPr>
            </w:pPr>
            <w:r>
              <w:t>Standard SUV</w:t>
            </w:r>
          </w:p>
        </w:tc>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59ACA" w14:textId="177043A2" w:rsidR="006A3CD5" w:rsidRPr="00FE469B" w:rsidRDefault="00FE469B" w:rsidP="00947501">
            <w:pPr>
              <w:spacing w:after="0"/>
              <w:jc w:val="center"/>
              <w:rPr>
                <w:rFonts w:eastAsiaTheme="minorHAnsi"/>
              </w:rPr>
            </w:pPr>
            <w:r w:rsidRPr="00FE469B">
              <w:rPr>
                <w:rFonts w:eastAsiaTheme="minorHAnsi"/>
              </w:rPr>
              <w:t>41.24</w:t>
            </w:r>
          </w:p>
        </w:tc>
      </w:tr>
      <w:tr w:rsidR="006A3CD5" w14:paraId="4A7A7AD2" w14:textId="77777777" w:rsidTr="00947501">
        <w:trPr>
          <w:jc w:val="center"/>
        </w:trPr>
        <w:tc>
          <w:tcPr>
            <w:tcW w:w="1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C045E7" w14:textId="77777777" w:rsidR="006A3CD5" w:rsidRDefault="006A3CD5" w:rsidP="00947501">
            <w:pPr>
              <w:spacing w:after="0"/>
              <w:rPr>
                <w:rFonts w:eastAsiaTheme="minorHAnsi"/>
              </w:rPr>
            </w:pPr>
            <w:r>
              <w:t>Truck</w:t>
            </w:r>
          </w:p>
        </w:tc>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692CC" w14:textId="151E84D7" w:rsidR="006A3CD5" w:rsidRPr="00FE469B" w:rsidRDefault="00FE469B" w:rsidP="00947501">
            <w:pPr>
              <w:spacing w:after="0"/>
              <w:jc w:val="center"/>
              <w:rPr>
                <w:rFonts w:eastAsiaTheme="minorHAnsi"/>
              </w:rPr>
            </w:pPr>
            <w:r w:rsidRPr="00FE469B">
              <w:rPr>
                <w:rFonts w:eastAsiaTheme="minorHAnsi"/>
              </w:rPr>
              <w:t>46.27</w:t>
            </w:r>
          </w:p>
        </w:tc>
      </w:tr>
    </w:tbl>
    <w:p w14:paraId="502D6E32" w14:textId="77777777" w:rsidR="006A3CD5" w:rsidRDefault="006A3CD5" w:rsidP="004E7755">
      <w:pPr>
        <w:tabs>
          <w:tab w:val="left" w:pos="720"/>
          <w:tab w:val="left" w:pos="1710"/>
        </w:tabs>
        <w:ind w:left="2160" w:hanging="2160"/>
      </w:pPr>
    </w:p>
    <w:p w14:paraId="269F3377" w14:textId="3A556C1F" w:rsidR="00DE390B" w:rsidRDefault="00DE390B" w:rsidP="00DE390B">
      <w:pPr>
        <w:ind w:left="3600" w:hanging="2160"/>
      </w:pPr>
      <w:r>
        <w:t xml:space="preserve">100 </w:t>
      </w:r>
      <w:r>
        <w:tab/>
        <w:t xml:space="preserve">= Fuel Economy conversion factor </w:t>
      </w:r>
    </w:p>
    <w:p w14:paraId="1B3E8843" w14:textId="77777777" w:rsidR="008811C4" w:rsidRDefault="008811C4" w:rsidP="00DE390B">
      <w:pPr>
        <w:ind w:left="3600" w:hanging="2160"/>
      </w:pPr>
    </w:p>
    <w:p w14:paraId="58BB2E7A" w14:textId="5D8BB344" w:rsidR="008811C4" w:rsidRDefault="008811C4" w:rsidP="008811C4">
      <w:pPr>
        <w:pBdr>
          <w:top w:val="single" w:sz="4" w:space="1" w:color="auto"/>
          <w:left w:val="single" w:sz="4" w:space="4" w:color="auto"/>
          <w:bottom w:val="single" w:sz="4" w:space="1" w:color="auto"/>
          <w:right w:val="single" w:sz="4" w:space="4" w:color="auto"/>
        </w:pBdr>
        <w:ind w:left="1440"/>
        <w:jc w:val="left"/>
      </w:pPr>
      <w:r>
        <w:lastRenderedPageBreak/>
        <w:t>Time of Sale:</w:t>
      </w:r>
      <w:r>
        <w:br/>
        <w:t xml:space="preserve">For Example, a Small SUV BEV </w:t>
      </w:r>
      <w:r w:rsidR="00FE469B" w:rsidRPr="00FE469B">
        <w:t>2025 Volkswagen model: ID.4 AWD Pro</w:t>
      </w:r>
      <w:r w:rsidR="00FE469B">
        <w:t xml:space="preserve"> </w:t>
      </w:r>
      <w:r>
        <w:t xml:space="preserve">with fuel economy of </w:t>
      </w:r>
      <w:r w:rsidR="00FE469B">
        <w:t>32.97</w:t>
      </w:r>
      <w:r>
        <w:t xml:space="preserve"> kWh/100 miles:</w:t>
      </w:r>
      <w:r>
        <w:br/>
      </w:r>
    </w:p>
    <w:p w14:paraId="1FF2F695" w14:textId="3A34F5F3" w:rsidR="008811C4" w:rsidRDefault="008811C4" w:rsidP="008811C4">
      <w:pPr>
        <w:pBdr>
          <w:top w:val="single" w:sz="4" w:space="1" w:color="auto"/>
          <w:left w:val="single" w:sz="4" w:space="4" w:color="auto"/>
          <w:bottom w:val="single" w:sz="4" w:space="1" w:color="auto"/>
          <w:right w:val="single" w:sz="4" w:space="4" w:color="auto"/>
        </w:pBdr>
        <w:ind w:left="1440"/>
        <w:jc w:val="left"/>
      </w:pPr>
      <w:proofErr w:type="spellStart"/>
      <w:r>
        <w:t>ΔkWh_BEV</w:t>
      </w:r>
      <w:proofErr w:type="spellEnd"/>
      <w:r>
        <w:t xml:space="preserve"> baseline </w:t>
      </w:r>
      <w:r>
        <w:tab/>
      </w:r>
      <w:r w:rsidRPr="00FE469B">
        <w:t>= (</w:t>
      </w:r>
      <w:r w:rsidR="00FE469B">
        <w:t>40.72</w:t>
      </w:r>
      <w:r>
        <w:t>–</w:t>
      </w:r>
      <w:r w:rsidR="00FE469B">
        <w:t>32.97</w:t>
      </w:r>
      <w:r>
        <w:t xml:space="preserve">) * 10,573 / 100) = </w:t>
      </w:r>
    </w:p>
    <w:p w14:paraId="46EA8586" w14:textId="37D6ED88" w:rsidR="008811C4" w:rsidRDefault="008811C4" w:rsidP="008811C4">
      <w:pPr>
        <w:pBdr>
          <w:top w:val="single" w:sz="4" w:space="1" w:color="auto"/>
          <w:left w:val="single" w:sz="4" w:space="4" w:color="auto"/>
          <w:bottom w:val="single" w:sz="4" w:space="1" w:color="auto"/>
          <w:right w:val="single" w:sz="4" w:space="4" w:color="auto"/>
        </w:pBdr>
        <w:ind w:left="3600" w:hanging="2160"/>
      </w:pPr>
      <w:r>
        <w:tab/>
        <w:t xml:space="preserve">= </w:t>
      </w:r>
      <w:r w:rsidR="00FE469B">
        <w:t xml:space="preserve">820 </w:t>
      </w:r>
      <w:r>
        <w:t>kWh/yr</w:t>
      </w:r>
    </w:p>
    <w:p w14:paraId="787DB733" w14:textId="77777777" w:rsidR="00DE390B" w:rsidRDefault="00DE390B" w:rsidP="00F376AE">
      <w:pPr>
        <w:ind w:left="3600"/>
      </w:pPr>
    </w:p>
    <w:p w14:paraId="6556236F" w14:textId="77777777" w:rsidR="004E7755" w:rsidRDefault="004E7755" w:rsidP="004E7755">
      <w:pPr>
        <w:pStyle w:val="Heading6"/>
      </w:pPr>
      <w:r>
        <w:t>Summer Coincident Peak Demand Savings</w:t>
      </w:r>
    </w:p>
    <w:p w14:paraId="39FDC25E" w14:textId="4E707187" w:rsidR="005664AB" w:rsidRDefault="004E7755" w:rsidP="005664AB">
      <w:pPr>
        <w:ind w:left="720" w:firstLine="720"/>
      </w:pPr>
      <w:proofErr w:type="spellStart"/>
      <w:r>
        <w:t>ΔkW</w:t>
      </w:r>
      <w:proofErr w:type="spellEnd"/>
      <w:r>
        <w:t xml:space="preserve"> </w:t>
      </w:r>
      <w:r>
        <w:tab/>
        <w:t xml:space="preserve">= - </w:t>
      </w:r>
      <w:proofErr w:type="spellStart"/>
      <w:r w:rsidR="005664AB">
        <w:t>Average_</w:t>
      </w:r>
      <w:proofErr w:type="gramStart"/>
      <w:r>
        <w:t>kW</w:t>
      </w:r>
      <w:proofErr w:type="spellEnd"/>
      <w:r w:rsidR="005664AB">
        <w:t xml:space="preserve"> </w:t>
      </w:r>
      <w:r>
        <w:t xml:space="preserve"> *</w:t>
      </w:r>
      <w:proofErr w:type="gramEnd"/>
      <w:r>
        <w:t xml:space="preserve"> CF </w:t>
      </w:r>
    </w:p>
    <w:p w14:paraId="1F1BF0B8" w14:textId="77777777" w:rsidR="004E7755" w:rsidRDefault="004E7755" w:rsidP="004E7755">
      <w:r>
        <w:t>Where:</w:t>
      </w:r>
    </w:p>
    <w:p w14:paraId="6F0F046E" w14:textId="7A21A7D7" w:rsidR="005664AB" w:rsidRDefault="005664AB" w:rsidP="00FB555A">
      <w:pPr>
        <w:ind w:firstLine="720"/>
      </w:pPr>
      <w:proofErr w:type="spellStart"/>
      <w:r>
        <w:t>Average_</w:t>
      </w:r>
      <w:r w:rsidR="004E7755">
        <w:t>kW</w:t>
      </w:r>
      <w:proofErr w:type="spellEnd"/>
      <w:r w:rsidR="004E7755">
        <w:t xml:space="preserve"> </w:t>
      </w:r>
      <w:r w:rsidR="004E7755">
        <w:tab/>
        <w:t>=</w:t>
      </w:r>
      <w:r>
        <w:t xml:space="preserve"> Average electric demand during standby</w:t>
      </w:r>
      <w:r w:rsidR="00C3290A">
        <w:rPr>
          <w:rStyle w:val="FootnoteReference"/>
        </w:rPr>
        <w:footnoteReference w:id="5"/>
      </w:r>
    </w:p>
    <w:p w14:paraId="66E6BBEE" w14:textId="31D68EF2" w:rsidR="005664AB" w:rsidRDefault="008811C4" w:rsidP="00FB555A">
      <w:pPr>
        <w:ind w:left="720" w:firstLine="720"/>
      </w:pPr>
      <w:r>
        <w:tab/>
      </w:r>
      <w:r w:rsidR="005664AB">
        <w:t>= 0</w:t>
      </w:r>
    </w:p>
    <w:p w14:paraId="559D3041" w14:textId="63B93455" w:rsidR="005664AB" w:rsidRDefault="005664AB" w:rsidP="005664AB">
      <w:pPr>
        <w:ind w:left="720"/>
      </w:pPr>
      <w:r>
        <w:t>CF</w:t>
      </w:r>
      <w:r>
        <w:tab/>
      </w:r>
      <w:r>
        <w:tab/>
        <w:t>= Summer peak coincidence factor</w:t>
      </w:r>
    </w:p>
    <w:p w14:paraId="0A511372" w14:textId="77777777" w:rsidR="005664AB" w:rsidRDefault="005664AB" w:rsidP="005664AB">
      <w:pPr>
        <w:ind w:left="1440" w:firstLine="720"/>
      </w:pPr>
      <w:r>
        <w:t>= 1</w:t>
      </w:r>
    </w:p>
    <w:p w14:paraId="2962A4A0" w14:textId="1068A548" w:rsidR="00BB00E9" w:rsidRDefault="00BB00E9" w:rsidP="005664AB">
      <w:pPr>
        <w:ind w:firstLine="720"/>
      </w:pPr>
    </w:p>
    <w:p w14:paraId="095F6484" w14:textId="77777777" w:rsidR="004E7755" w:rsidRDefault="004E7755" w:rsidP="004E7755">
      <w:pPr>
        <w:pStyle w:val="Heading6"/>
      </w:pPr>
      <w:r>
        <w:t>Natural Gas Savings</w:t>
      </w:r>
    </w:p>
    <w:p w14:paraId="2B9FD367" w14:textId="77777777" w:rsidR="004E7755" w:rsidRDefault="004E7755" w:rsidP="004E7755">
      <w:r>
        <w:t>N/A</w:t>
      </w:r>
    </w:p>
    <w:p w14:paraId="2D7DD9C8" w14:textId="77777777" w:rsidR="004E7755" w:rsidRDefault="004E7755" w:rsidP="004E7755">
      <w:pPr>
        <w:pStyle w:val="Heading6"/>
      </w:pPr>
      <w:r>
        <w:t xml:space="preserve">Water and Other Non-Energy Impact Descriptions and Calculation  </w:t>
      </w:r>
    </w:p>
    <w:p w14:paraId="50188C72" w14:textId="77777777" w:rsidR="004E7755" w:rsidRDefault="004E7755" w:rsidP="004E7755">
      <w:r>
        <w:t>N/A</w:t>
      </w:r>
    </w:p>
    <w:p w14:paraId="58D0D37E" w14:textId="77777777" w:rsidR="004E7755" w:rsidRDefault="004E7755" w:rsidP="004E7755">
      <w:pPr>
        <w:pStyle w:val="Heading6"/>
        <w:spacing w:after="120"/>
      </w:pPr>
      <w:r>
        <w:t>Deemed O&amp;M Cost Adjustment Calculation</w:t>
      </w:r>
    </w:p>
    <w:p w14:paraId="755D2E10" w14:textId="77777777" w:rsidR="004E7755" w:rsidRDefault="004E7755" w:rsidP="004E7755">
      <w:pPr>
        <w:pStyle w:val="Heading6"/>
        <w:spacing w:after="120"/>
      </w:pPr>
      <w:r>
        <w:t>Cost-Effectiveness Screening</w:t>
      </w:r>
    </w:p>
    <w:p w14:paraId="3DA5B654" w14:textId="016CD55C" w:rsidR="004E7755" w:rsidRDefault="004E7755" w:rsidP="004E7755">
      <w:pPr>
        <w:pStyle w:val="Heading6"/>
      </w:pPr>
    </w:p>
    <w:p w14:paraId="737E890C" w14:textId="77777777" w:rsidR="00D466B6" w:rsidRDefault="00D466B6" w:rsidP="00D466B6">
      <w:pPr>
        <w:widowControl/>
        <w:spacing w:after="0"/>
        <w:jc w:val="left"/>
      </w:pPr>
    </w:p>
    <w:p w14:paraId="644BE7B3" w14:textId="3B796D3A" w:rsidR="00580502" w:rsidRDefault="00580502" w:rsidP="00343AB6">
      <w:pPr>
        <w:widowControl/>
        <w:spacing w:after="200" w:line="276" w:lineRule="auto"/>
        <w:jc w:val="left"/>
        <w:rPr>
          <w:rFonts w:cstheme="minorHAnsi"/>
          <w:b/>
          <w:smallCaps/>
        </w:rPr>
      </w:pPr>
    </w:p>
    <w:p w14:paraId="4C351703" w14:textId="77777777" w:rsidR="004E7755" w:rsidRDefault="004E7755" w:rsidP="00343AB6">
      <w:pPr>
        <w:widowControl/>
        <w:spacing w:after="200" w:line="276" w:lineRule="auto"/>
        <w:jc w:val="left"/>
        <w:rPr>
          <w:rFonts w:cstheme="minorHAnsi"/>
          <w:b/>
          <w:smallCaps/>
        </w:rPr>
      </w:pPr>
    </w:p>
    <w:p w14:paraId="7EA1CD0D" w14:textId="5987B964" w:rsidR="00580502" w:rsidRDefault="002171CE" w:rsidP="00D86489">
      <w:pPr>
        <w:pStyle w:val="Heading1"/>
      </w:pPr>
      <w:bookmarkStart w:id="42" w:name="_Toc390225693"/>
      <w:r>
        <w:lastRenderedPageBreak/>
        <w:t>Proposed Changes to Existing Measures</w:t>
      </w:r>
      <w:bookmarkEnd w:id="42"/>
    </w:p>
    <w:p w14:paraId="0AF46CC6" w14:textId="768C9284" w:rsidR="002171CE" w:rsidRDefault="00FF4BB2">
      <w:pPr>
        <w:rPr>
          <w:sz w:val="24"/>
        </w:rPr>
      </w:pPr>
      <w:bookmarkStart w:id="43" w:name="_Toc390225493"/>
      <w:bookmarkStart w:id="44" w:name="_Toc390225494"/>
      <w:bookmarkStart w:id="45" w:name="_Toc390225495"/>
      <w:bookmarkStart w:id="46" w:name="_Toc390225496"/>
      <w:bookmarkStart w:id="47" w:name="_Toc390225497"/>
      <w:bookmarkStart w:id="48" w:name="_Toc390225498"/>
      <w:bookmarkStart w:id="49" w:name="_Toc390225499"/>
      <w:bookmarkStart w:id="50" w:name="_Toc390225500"/>
      <w:bookmarkStart w:id="51" w:name="_Toc390225501"/>
      <w:bookmarkStart w:id="52" w:name="_Toc390225502"/>
      <w:bookmarkStart w:id="53" w:name="_Toc390225503"/>
      <w:bookmarkStart w:id="54" w:name="_Toc390225504"/>
      <w:bookmarkStart w:id="55" w:name="_Toc390225505"/>
      <w:bookmarkStart w:id="56" w:name="_Toc390225506"/>
      <w:bookmarkStart w:id="57" w:name="_Toc390225507"/>
      <w:bookmarkStart w:id="58" w:name="_Toc390225508"/>
      <w:bookmarkStart w:id="59" w:name="_Toc390225509"/>
      <w:bookmarkStart w:id="60" w:name="_Toc390225510"/>
      <w:bookmarkStart w:id="61" w:name="_Toc390225511"/>
      <w:bookmarkStart w:id="62" w:name="_Toc390225512"/>
      <w:bookmarkStart w:id="63" w:name="_Toc390225513"/>
      <w:bookmarkStart w:id="64" w:name="_Toc390225514"/>
      <w:bookmarkStart w:id="65" w:name="_Toc390225515"/>
      <w:bookmarkStart w:id="66" w:name="_Toc390225516"/>
      <w:bookmarkStart w:id="67" w:name="_Toc390225517"/>
      <w:bookmarkStart w:id="68" w:name="_Toc390225518"/>
      <w:bookmarkStart w:id="69" w:name="_Toc390225519"/>
      <w:bookmarkStart w:id="70" w:name="_Toc390225520"/>
      <w:bookmarkStart w:id="71" w:name="_Toc390225521"/>
      <w:bookmarkStart w:id="72" w:name="_Toc390225522"/>
      <w:bookmarkStart w:id="73" w:name="_Toc390225523"/>
      <w:bookmarkStart w:id="74" w:name="_Toc39022552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E2643B">
        <w:rPr>
          <w:sz w:val="24"/>
          <w:szCs w:val="24"/>
        </w:rPr>
        <w:t>C</w:t>
      </w:r>
      <w:r w:rsidR="002171CE" w:rsidRPr="00D4569B">
        <w:rPr>
          <w:sz w:val="24"/>
          <w:szCs w:val="24"/>
        </w:rPr>
        <w:t xml:space="preserve">opy </w:t>
      </w:r>
      <w:r w:rsidR="00343AB6" w:rsidRPr="007F4407">
        <w:rPr>
          <w:sz w:val="24"/>
          <w:szCs w:val="24"/>
        </w:rPr>
        <w:t>existing TRM measure</w:t>
      </w:r>
      <w:r w:rsidR="002171CE" w:rsidRPr="00E2643B">
        <w:rPr>
          <w:sz w:val="24"/>
          <w:szCs w:val="24"/>
        </w:rPr>
        <w:t xml:space="preserve"> </w:t>
      </w:r>
      <w:r w:rsidR="00CB1D84" w:rsidRPr="00D4569B">
        <w:rPr>
          <w:sz w:val="24"/>
          <w:szCs w:val="24"/>
        </w:rPr>
        <w:t xml:space="preserve"> from the </w:t>
      </w:r>
      <w:r w:rsidR="000E5398">
        <w:rPr>
          <w:sz w:val="24"/>
          <w:szCs w:val="24"/>
        </w:rPr>
        <w:t xml:space="preserve">IL-TRM Version </w:t>
      </w:r>
      <w:r w:rsidR="00484B4D">
        <w:rPr>
          <w:sz w:val="24"/>
          <w:szCs w:val="24"/>
        </w:rPr>
        <w:t>1</w:t>
      </w:r>
      <w:r w:rsidR="0087320C">
        <w:rPr>
          <w:sz w:val="24"/>
          <w:szCs w:val="24"/>
        </w:rPr>
        <w:t>2</w:t>
      </w:r>
      <w:r w:rsidR="00343AB6" w:rsidRPr="007F4407">
        <w:rPr>
          <w:sz w:val="24"/>
          <w:szCs w:val="24"/>
        </w:rPr>
        <w:t>.0</w:t>
      </w:r>
      <w:r w:rsidR="00CB1D84" w:rsidRPr="00E2643B">
        <w:rPr>
          <w:sz w:val="24"/>
          <w:szCs w:val="24"/>
        </w:rPr>
        <w:t xml:space="preserve"> dated</w:t>
      </w:r>
      <w:r w:rsidR="00CB1D84" w:rsidRPr="007F4407">
        <w:rPr>
          <w:sz w:val="24"/>
          <w:szCs w:val="24"/>
        </w:rPr>
        <w:t xml:space="preserve"> </w:t>
      </w:r>
      <w:r w:rsidR="00AD44B9">
        <w:rPr>
          <w:sz w:val="24"/>
          <w:szCs w:val="24"/>
        </w:rPr>
        <w:t>September</w:t>
      </w:r>
      <w:r w:rsidR="000E5398">
        <w:rPr>
          <w:sz w:val="24"/>
          <w:szCs w:val="24"/>
        </w:rPr>
        <w:t xml:space="preserve"> </w:t>
      </w:r>
      <w:r w:rsidR="00AD44B9">
        <w:rPr>
          <w:sz w:val="24"/>
          <w:szCs w:val="24"/>
        </w:rPr>
        <w:t>2</w:t>
      </w:r>
      <w:r w:rsidR="00D6136E">
        <w:rPr>
          <w:sz w:val="24"/>
          <w:szCs w:val="24"/>
        </w:rPr>
        <w:t>2</w:t>
      </w:r>
      <w:r w:rsidR="000E5398">
        <w:rPr>
          <w:sz w:val="24"/>
          <w:szCs w:val="24"/>
        </w:rPr>
        <w:t>, 20</w:t>
      </w:r>
      <w:r w:rsidR="00AD44B9">
        <w:rPr>
          <w:sz w:val="24"/>
          <w:szCs w:val="24"/>
        </w:rPr>
        <w:t>2</w:t>
      </w:r>
      <w:r w:rsidR="009F6511">
        <w:rPr>
          <w:sz w:val="24"/>
          <w:szCs w:val="24"/>
        </w:rPr>
        <w:t>3</w:t>
      </w:r>
      <w:r w:rsidR="00CB1D84" w:rsidRPr="007F4407">
        <w:rPr>
          <w:sz w:val="24"/>
          <w:szCs w:val="24"/>
        </w:rPr>
        <w:t xml:space="preserve">, accessible </w:t>
      </w:r>
      <w:r w:rsidR="00D77AC6">
        <w:rPr>
          <w:sz w:val="24"/>
          <w:szCs w:val="24"/>
        </w:rPr>
        <w:t xml:space="preserve">on the </w:t>
      </w:r>
      <w:hyperlink r:id="rId22" w:history="1">
        <w:r w:rsidR="00D77AC6" w:rsidRPr="00D77AC6">
          <w:rPr>
            <w:rStyle w:val="Hyperlink"/>
            <w:sz w:val="24"/>
            <w:szCs w:val="24"/>
          </w:rPr>
          <w:t>SharePoint site</w:t>
        </w:r>
      </w:hyperlink>
      <w:r w:rsidR="000E5398">
        <w:rPr>
          <w:sz w:val="24"/>
          <w:szCs w:val="24"/>
        </w:rPr>
        <w:t>,</w:t>
      </w:r>
      <w:r w:rsidR="00407698">
        <w:rPr>
          <w:sz w:val="24"/>
        </w:rPr>
        <w:t xml:space="preserve"> and paste the existing measure </w:t>
      </w:r>
      <w:r w:rsidR="003F48BD">
        <w:rPr>
          <w:sz w:val="24"/>
        </w:rPr>
        <w:t xml:space="preserve">characterization </w:t>
      </w:r>
      <w:r w:rsidR="00407698">
        <w:rPr>
          <w:sz w:val="24"/>
        </w:rPr>
        <w:t>below</w:t>
      </w:r>
      <w:r w:rsidR="003F48BD">
        <w:rPr>
          <w:sz w:val="24"/>
        </w:rPr>
        <w:t xml:space="preserve"> in its entirety</w:t>
      </w:r>
      <w:r w:rsidR="00204CB4" w:rsidRPr="00D86489">
        <w:rPr>
          <w:sz w:val="24"/>
        </w:rPr>
        <w:t xml:space="preserve">, </w:t>
      </w:r>
      <w:r w:rsidR="00407698">
        <w:rPr>
          <w:sz w:val="24"/>
        </w:rPr>
        <w:t xml:space="preserve">then </w:t>
      </w:r>
      <w:r w:rsidR="00204CB4" w:rsidRPr="00D86489">
        <w:rPr>
          <w:sz w:val="24"/>
        </w:rPr>
        <w:t>t</w:t>
      </w:r>
      <w:r w:rsidR="002171CE" w:rsidRPr="00D86489">
        <w:rPr>
          <w:sz w:val="24"/>
        </w:rPr>
        <w:t>urn on track</w:t>
      </w:r>
      <w:r>
        <w:rPr>
          <w:sz w:val="24"/>
        </w:rPr>
        <w:t>ed</w:t>
      </w:r>
      <w:r w:rsidR="002171CE" w:rsidRPr="00D86489">
        <w:rPr>
          <w:sz w:val="24"/>
        </w:rPr>
        <w:t xml:space="preserve"> changes and provide proposed edits</w:t>
      </w:r>
      <w:r w:rsidR="00204CB4" w:rsidRPr="00D86489">
        <w:rPr>
          <w:sz w:val="24"/>
        </w:rPr>
        <w:t xml:space="preserve"> in redline with appropriate citations (see section #4</w:t>
      </w:r>
      <w:r w:rsidR="000E5398">
        <w:rPr>
          <w:sz w:val="24"/>
        </w:rPr>
        <w:t xml:space="preserve"> below</w:t>
      </w:r>
      <w:r w:rsidR="00204CB4" w:rsidRPr="00D86489">
        <w:rPr>
          <w:sz w:val="24"/>
        </w:rPr>
        <w:t>). Upload any new references or calculation sheets to the Tracker item</w:t>
      </w:r>
      <w:r w:rsidR="002171CE" w:rsidRPr="00D86489">
        <w:rPr>
          <w:sz w:val="24"/>
        </w:rPr>
        <w:t>. If a change requires further explanation that should not be in the characterization itself, use a comment bubble to provide</w:t>
      </w:r>
      <w:r w:rsidR="00204CB4" w:rsidRPr="00D86489">
        <w:rPr>
          <w:sz w:val="24"/>
        </w:rPr>
        <w:t>.</w:t>
      </w:r>
    </w:p>
    <w:p w14:paraId="73E17559" w14:textId="77777777" w:rsidR="00B34CC1" w:rsidRDefault="00B34CC1">
      <w:pPr>
        <w:widowControl/>
        <w:spacing w:after="200" w:line="276" w:lineRule="auto"/>
        <w:jc w:val="left"/>
      </w:pPr>
    </w:p>
    <w:p w14:paraId="16E7F400" w14:textId="77777777" w:rsidR="00B34CC1" w:rsidRDefault="00B34CC1">
      <w:pPr>
        <w:widowControl/>
        <w:spacing w:after="200" w:line="276" w:lineRule="auto"/>
        <w:jc w:val="left"/>
      </w:pPr>
    </w:p>
    <w:p w14:paraId="1CD223FB" w14:textId="77777777" w:rsidR="00B34CC1" w:rsidRDefault="00B34CC1">
      <w:pPr>
        <w:widowControl/>
        <w:spacing w:after="200" w:line="276" w:lineRule="auto"/>
        <w:jc w:val="left"/>
      </w:pPr>
    </w:p>
    <w:p w14:paraId="57B6FDD5" w14:textId="77777777" w:rsidR="00B34CC1" w:rsidRDefault="00B34CC1">
      <w:pPr>
        <w:widowControl/>
        <w:spacing w:after="200" w:line="276" w:lineRule="auto"/>
        <w:jc w:val="left"/>
      </w:pPr>
    </w:p>
    <w:p w14:paraId="5923967D" w14:textId="77777777" w:rsidR="00B34CC1" w:rsidRDefault="00B34CC1">
      <w:pPr>
        <w:widowControl/>
        <w:spacing w:after="200" w:line="276" w:lineRule="auto"/>
        <w:jc w:val="left"/>
      </w:pPr>
    </w:p>
    <w:p w14:paraId="56530245" w14:textId="77777777" w:rsidR="00B34CC1" w:rsidRDefault="00B34CC1">
      <w:pPr>
        <w:widowControl/>
        <w:spacing w:after="200" w:line="276" w:lineRule="auto"/>
        <w:jc w:val="left"/>
      </w:pPr>
    </w:p>
    <w:p w14:paraId="71C7336D" w14:textId="77777777" w:rsidR="00B34CC1" w:rsidRDefault="00B34CC1">
      <w:pPr>
        <w:widowControl/>
        <w:spacing w:after="200" w:line="276" w:lineRule="auto"/>
        <w:jc w:val="left"/>
      </w:pPr>
    </w:p>
    <w:p w14:paraId="6F41ACDA" w14:textId="498AED87" w:rsidR="003E1B7D" w:rsidRDefault="003E1B7D">
      <w:pPr>
        <w:widowControl/>
        <w:spacing w:after="200" w:line="276" w:lineRule="auto"/>
        <w:jc w:val="left"/>
        <w:rPr>
          <w:rFonts w:ascii="Calibri" w:hAnsi="Calibri" w:cs="Arial"/>
          <w:bCs/>
          <w:kern w:val="32"/>
          <w:sz w:val="32"/>
          <w:szCs w:val="32"/>
        </w:rPr>
      </w:pPr>
      <w:r>
        <w:br w:type="page"/>
      </w:r>
    </w:p>
    <w:p w14:paraId="737E891D" w14:textId="38354916" w:rsidR="00D466B6" w:rsidRDefault="003E1B7D" w:rsidP="003E1B7D">
      <w:pPr>
        <w:pStyle w:val="Heading1"/>
      </w:pPr>
      <w:bookmarkStart w:id="75" w:name="_Toc390225694"/>
      <w:r>
        <w:lastRenderedPageBreak/>
        <w:t>References</w:t>
      </w:r>
      <w:bookmarkEnd w:id="75"/>
    </w:p>
    <w:p w14:paraId="6EE1B5CD" w14:textId="31AEE232" w:rsidR="002D0751" w:rsidRPr="00FC13A0" w:rsidRDefault="002D0751" w:rsidP="002D0751">
      <w:pPr>
        <w:rPr>
          <w:sz w:val="24"/>
          <w:szCs w:val="24"/>
        </w:rPr>
      </w:pPr>
      <w:r w:rsidRPr="00FC13A0">
        <w:rPr>
          <w:sz w:val="24"/>
          <w:szCs w:val="24"/>
        </w:rPr>
        <w:t xml:space="preserve">Please refer to the Chicago style for </w:t>
      </w:r>
      <w:r w:rsidR="008E44C7" w:rsidRPr="00FC13A0">
        <w:rPr>
          <w:sz w:val="24"/>
          <w:szCs w:val="24"/>
        </w:rPr>
        <w:t>variances on</w:t>
      </w:r>
      <w:r w:rsidRPr="00FC13A0">
        <w:rPr>
          <w:sz w:val="24"/>
          <w:szCs w:val="24"/>
        </w:rPr>
        <w:t xml:space="preserve"> format citations</w:t>
      </w:r>
      <w:r w:rsidR="008E44C7" w:rsidRPr="00FC13A0">
        <w:rPr>
          <w:sz w:val="24"/>
          <w:szCs w:val="24"/>
        </w:rPr>
        <w:t>.</w:t>
      </w:r>
      <w:r w:rsidR="003F48BD" w:rsidRPr="00FC13A0">
        <w:rPr>
          <w:sz w:val="24"/>
          <w:szCs w:val="24"/>
        </w:rPr>
        <w:t xml:space="preserve">  Please upload any new references or calculation sheets to the Tracker item.</w:t>
      </w:r>
    </w:p>
    <w:p w14:paraId="3472D08C" w14:textId="129881B5" w:rsidR="002D0751" w:rsidRPr="002D0751" w:rsidRDefault="000E5398" w:rsidP="002D0751">
      <w:hyperlink r:id="rId23" w:history="1">
        <w:r w:rsidRPr="008C1F42">
          <w:rPr>
            <w:rStyle w:val="Hyperlink"/>
          </w:rPr>
          <w:t>http://www.chicagomanualofstyle.org/tools_citationguide.html</w:t>
        </w:r>
      </w:hyperlink>
      <w:r w:rsidR="002D0751">
        <w:t xml:space="preserve"> </w:t>
      </w:r>
    </w:p>
    <w:p w14:paraId="57FE69F1" w14:textId="14436E29" w:rsidR="003E1B7D" w:rsidRDefault="008E44C7" w:rsidP="00167313">
      <w:r w:rsidRPr="00845600">
        <w:t>EXAMPLE</w:t>
      </w:r>
      <w:r w:rsidR="001E6327" w:rsidRPr="00845600">
        <w:t>S</w:t>
      </w:r>
      <w:r w:rsidRPr="00845600">
        <w:t>:</w:t>
      </w:r>
    </w:p>
    <w:p w14:paraId="73258BCF" w14:textId="1FC6B4A1" w:rsidR="00C81D83" w:rsidRDefault="00C81D83" w:rsidP="00C81D83">
      <w:pPr>
        <w:ind w:left="270" w:hanging="270"/>
      </w:pPr>
      <w:r>
        <w:t xml:space="preserve">[1] Maru Group/Ameren Illinois, “Electric Vehicle Annual </w:t>
      </w:r>
      <w:proofErr w:type="spellStart"/>
      <w:r>
        <w:t>Reseach</w:t>
      </w:r>
      <w:proofErr w:type="spellEnd"/>
      <w:r>
        <w:t xml:space="preserve">”, (2024), see Appendix C in the Ameren Illinois 2025 Annual Report for Beneficial Electrification Plan 1, </w:t>
      </w:r>
      <w:hyperlink r:id="rId24" w:history="1">
        <w:r w:rsidRPr="00A03EE5">
          <w:rPr>
            <w:rStyle w:val="Hyperlink"/>
          </w:rPr>
          <w:t>https://www.icc.illinois.gov/docket/P2022-0443/documents/363430/files/636427.pdf</w:t>
        </w:r>
      </w:hyperlink>
      <w:r>
        <w:t xml:space="preserve">. </w:t>
      </w:r>
    </w:p>
    <w:p w14:paraId="133287FB" w14:textId="2D5BF200" w:rsidR="001F1FC9" w:rsidRDefault="001F1FC9" w:rsidP="008B6EE1">
      <w:pPr>
        <w:ind w:left="270" w:hanging="270"/>
      </w:pPr>
      <w:r>
        <w:t xml:space="preserve">[2] Huether, Peter, “Electric Vehicle Efficiency: Unlocking Consumer Savings and Environmental Gains”, (2024), ACEEE White Paper, </w:t>
      </w:r>
      <w:hyperlink r:id="rId25" w:history="1">
        <w:r>
          <w:rPr>
            <w:rStyle w:val="Hyperlink"/>
          </w:rPr>
          <w:t>https://www.aceee.org/sites/default/files/pdfs/electric_vehicle_efficiency_-_unlocking_consumer_savings_and_environmental_gains.pdf</w:t>
        </w:r>
      </w:hyperlink>
      <w:r>
        <w:t>.</w:t>
      </w:r>
    </w:p>
    <w:p w14:paraId="0CAC380E" w14:textId="77777777" w:rsidR="00C81D83" w:rsidRDefault="00C81D83" w:rsidP="00167313"/>
    <w:p w14:paraId="3625EB7B" w14:textId="77777777" w:rsidR="00C81D83" w:rsidRDefault="00C81D83" w:rsidP="00167313"/>
    <w:p w14:paraId="208D9164" w14:textId="77777777" w:rsidR="00C81D83" w:rsidRPr="00845600" w:rsidRDefault="00C81D83" w:rsidP="00167313"/>
    <w:p w14:paraId="1CC5C96C" w14:textId="5BC81DD8" w:rsidR="00D900E1" w:rsidRPr="00167313" w:rsidRDefault="00D900E1" w:rsidP="00167313">
      <w:pPr>
        <w:rPr>
          <w:b/>
          <w:iCs/>
        </w:rPr>
      </w:pPr>
      <w:r w:rsidRPr="00167313">
        <w:rPr>
          <w:b/>
          <w:iCs/>
        </w:rPr>
        <w:t>Paper presented at a meeting or conference</w:t>
      </w:r>
      <w:r w:rsidRPr="00167313">
        <w:rPr>
          <w:b/>
        </w:rPr>
        <w:t xml:space="preserve"> (</w:t>
      </w:r>
      <w:r w:rsidR="004E499D" w:rsidRPr="00167313">
        <w:rPr>
          <w:b/>
        </w:rPr>
        <w:t>Including</w:t>
      </w:r>
      <w:r w:rsidRPr="00167313">
        <w:rPr>
          <w:b/>
        </w:rPr>
        <w:t xml:space="preserve"> internal work papers)</w:t>
      </w:r>
    </w:p>
    <w:p w14:paraId="6ACCEF33" w14:textId="392E4E32" w:rsidR="00D900E1" w:rsidRPr="00D900E1" w:rsidRDefault="00D900E1" w:rsidP="00167313">
      <w:pPr>
        <w:rPr>
          <w:color w:val="626F74"/>
        </w:rPr>
      </w:pPr>
      <w:r w:rsidRPr="00D900E1">
        <w:rPr>
          <w:color w:val="626F74"/>
        </w:rPr>
        <w:t>Author Name, “Paper title” (paper presented at the annual meeting for the Organization Name, City, State, Month Day, Year).</w:t>
      </w:r>
    </w:p>
    <w:p w14:paraId="2B5FE5A6" w14:textId="77777777" w:rsidR="00D900E1" w:rsidRPr="00167313" w:rsidRDefault="00D900E1" w:rsidP="00167313">
      <w:pPr>
        <w:rPr>
          <w:b/>
          <w:iCs/>
        </w:rPr>
      </w:pPr>
      <w:r w:rsidRPr="00167313">
        <w:rPr>
          <w:b/>
          <w:iCs/>
        </w:rPr>
        <w:t>Website</w:t>
      </w:r>
    </w:p>
    <w:p w14:paraId="18F9D1AC" w14:textId="77777777" w:rsidR="00D900E1" w:rsidRPr="00D900E1" w:rsidRDefault="00D900E1" w:rsidP="00167313">
      <w:pPr>
        <w:rPr>
          <w:color w:val="626F74"/>
        </w:rPr>
      </w:pPr>
      <w:r w:rsidRPr="00D900E1">
        <w:rPr>
          <w:color w:val="626F74"/>
        </w:rPr>
        <w:t>“Title,” last modified Month Day, Year, URL</w:t>
      </w:r>
    </w:p>
    <w:p w14:paraId="42ED6816" w14:textId="77777777" w:rsidR="00D900E1" w:rsidRPr="00167313" w:rsidRDefault="00D900E1" w:rsidP="00167313">
      <w:pPr>
        <w:rPr>
          <w:b/>
          <w:iCs/>
        </w:rPr>
      </w:pPr>
      <w:r w:rsidRPr="00167313">
        <w:rPr>
          <w:b/>
          <w:iCs/>
        </w:rPr>
        <w:t xml:space="preserve">E-mail </w:t>
      </w:r>
    </w:p>
    <w:p w14:paraId="28BEDB1A" w14:textId="77777777" w:rsidR="00D900E1" w:rsidRPr="00D900E1" w:rsidRDefault="00D900E1" w:rsidP="00167313">
      <w:pPr>
        <w:rPr>
          <w:color w:val="626F74"/>
        </w:rPr>
      </w:pPr>
      <w:r w:rsidRPr="00D900E1">
        <w:rPr>
          <w:color w:val="626F74"/>
        </w:rPr>
        <w:t>Author Name, e-mail message to author, Month Day, Year.</w:t>
      </w:r>
    </w:p>
    <w:p w14:paraId="3CE83662" w14:textId="77777777" w:rsidR="00D900E1" w:rsidRPr="00167313" w:rsidRDefault="00D900E1" w:rsidP="00167313">
      <w:pPr>
        <w:rPr>
          <w:b/>
          <w:iCs/>
        </w:rPr>
      </w:pPr>
      <w:r w:rsidRPr="00167313">
        <w:rPr>
          <w:b/>
          <w:iCs/>
        </w:rPr>
        <w:t>Item in a commercial database</w:t>
      </w:r>
    </w:p>
    <w:p w14:paraId="337B2173" w14:textId="77777777" w:rsidR="00D900E1" w:rsidRPr="00D900E1" w:rsidRDefault="00D900E1" w:rsidP="00167313">
      <w:r w:rsidRPr="00D900E1">
        <w:rPr>
          <w:color w:val="626F74"/>
        </w:rPr>
        <w:t xml:space="preserve">Author Name. “Source Title” Publisher, Year. Database Name </w:t>
      </w:r>
    </w:p>
    <w:p w14:paraId="6CB5A9D1" w14:textId="77970ED6" w:rsidR="001E6327" w:rsidRPr="00167313" w:rsidRDefault="00845600" w:rsidP="00167313">
      <w:pPr>
        <w:rPr>
          <w:b/>
        </w:rPr>
      </w:pPr>
      <w:r w:rsidRPr="00167313">
        <w:rPr>
          <w:b/>
        </w:rPr>
        <w:t xml:space="preserve">Book: </w:t>
      </w:r>
      <w:r w:rsidR="001E6327" w:rsidRPr="00167313">
        <w:rPr>
          <w:b/>
        </w:rPr>
        <w:t>Chapter or other part of a book</w:t>
      </w:r>
    </w:p>
    <w:p w14:paraId="28633C99" w14:textId="71DFCB4F" w:rsidR="00845600" w:rsidRPr="00D900E1" w:rsidRDefault="00845600" w:rsidP="00167313">
      <w:pPr>
        <w:rPr>
          <w:color w:val="626F74"/>
        </w:rPr>
      </w:pPr>
      <w:r w:rsidRPr="00D900E1">
        <w:rPr>
          <w:color w:val="626F74"/>
        </w:rPr>
        <w:t>Author Name, “Chapter,” in Title, City: Publisher, Year, page range</w:t>
      </w:r>
    </w:p>
    <w:p w14:paraId="686055D9" w14:textId="273BC6BC" w:rsidR="001E6327" w:rsidRPr="00167313" w:rsidRDefault="001E6327" w:rsidP="00167313">
      <w:pPr>
        <w:rPr>
          <w:b/>
          <w:color w:val="808080" w:themeColor="background1" w:themeShade="80"/>
        </w:rPr>
      </w:pPr>
      <w:r w:rsidRPr="00167313">
        <w:rPr>
          <w:b/>
        </w:rPr>
        <w:t>Book</w:t>
      </w:r>
      <w:r w:rsidR="00845600" w:rsidRPr="00167313">
        <w:rPr>
          <w:b/>
        </w:rPr>
        <w:t>: P</w:t>
      </w:r>
      <w:r w:rsidRPr="00167313">
        <w:rPr>
          <w:b/>
        </w:rPr>
        <w:t>ublished electronically</w:t>
      </w:r>
    </w:p>
    <w:p w14:paraId="7D6C8796" w14:textId="6C442911" w:rsidR="00845600" w:rsidRPr="00D900E1" w:rsidRDefault="00845600" w:rsidP="00167313">
      <w:pPr>
        <w:rPr>
          <w:bCs/>
          <w:color w:val="000000"/>
        </w:rPr>
      </w:pPr>
      <w:r w:rsidRPr="00D900E1">
        <w:rPr>
          <w:color w:val="808080" w:themeColor="background1" w:themeShade="80"/>
        </w:rPr>
        <w:t>Author Name, “Chapter,” in Title</w:t>
      </w:r>
      <w:r w:rsidRPr="00D900E1">
        <w:rPr>
          <w:color w:val="626F74"/>
        </w:rPr>
        <w:t>, City: Publisher, Year, Accessed Month Day, Year. URL.</w:t>
      </w:r>
    </w:p>
    <w:p w14:paraId="38CC34B8" w14:textId="751C8C55" w:rsidR="00D55239" w:rsidRPr="00167313" w:rsidRDefault="00845600" w:rsidP="00167313">
      <w:pPr>
        <w:rPr>
          <w:b/>
          <w:bCs/>
          <w:color w:val="000000"/>
        </w:rPr>
      </w:pPr>
      <w:r w:rsidRPr="00167313">
        <w:rPr>
          <w:b/>
          <w:bCs/>
          <w:color w:val="000000"/>
        </w:rPr>
        <w:t xml:space="preserve">Journal </w:t>
      </w:r>
      <w:r w:rsidR="001E6327" w:rsidRPr="00167313">
        <w:rPr>
          <w:b/>
          <w:bCs/>
          <w:color w:val="000000"/>
        </w:rPr>
        <w:t>Article in a print journal</w:t>
      </w:r>
      <w:r w:rsidR="00051BC4">
        <w:rPr>
          <w:b/>
          <w:bCs/>
          <w:color w:val="000000"/>
        </w:rPr>
        <w:t xml:space="preserve"> (Use this for program evaluations.)</w:t>
      </w:r>
    </w:p>
    <w:p w14:paraId="650EDDC4" w14:textId="5A137B14" w:rsidR="00323921" w:rsidRDefault="00845600" w:rsidP="00167313">
      <w:pPr>
        <w:rPr>
          <w:color w:val="626F74"/>
        </w:rPr>
      </w:pPr>
      <w:r w:rsidRPr="00D900E1">
        <w:rPr>
          <w:color w:val="626F74"/>
        </w:rPr>
        <w:t>Author Name, “Article Title,” Journal Name</w:t>
      </w:r>
      <w:r w:rsidR="00323921" w:rsidRPr="00D900E1">
        <w:rPr>
          <w:color w:val="626F74"/>
        </w:rPr>
        <w:t xml:space="preserve"> edition (Year): page</w:t>
      </w:r>
    </w:p>
    <w:p w14:paraId="63409F39" w14:textId="6ED95335" w:rsidR="00051BC4" w:rsidRPr="00D900E1" w:rsidRDefault="00051BC4" w:rsidP="00167313">
      <w:pPr>
        <w:rPr>
          <w:color w:val="626F74"/>
        </w:rPr>
      </w:pPr>
      <w:r>
        <w:rPr>
          <w:color w:val="626F74"/>
        </w:rPr>
        <w:lastRenderedPageBreak/>
        <w:t>Author Name, “Evaluation Title,” Utility Name, Program</w:t>
      </w:r>
      <w:r w:rsidR="00D816C8">
        <w:rPr>
          <w:color w:val="626F74"/>
        </w:rPr>
        <w:t xml:space="preserve"> or Measure</w:t>
      </w:r>
      <w:r>
        <w:rPr>
          <w:color w:val="626F74"/>
        </w:rPr>
        <w:t xml:space="preserve"> Name (</w:t>
      </w:r>
      <w:r w:rsidR="00D816C8">
        <w:rPr>
          <w:color w:val="626F74"/>
        </w:rPr>
        <w:t>Date</w:t>
      </w:r>
      <w:r>
        <w:rPr>
          <w:color w:val="626F74"/>
        </w:rPr>
        <w:t>): page</w:t>
      </w:r>
    </w:p>
    <w:p w14:paraId="4BFD39B3" w14:textId="3C00161D" w:rsidR="001E6327" w:rsidRPr="00167313" w:rsidRDefault="00323921" w:rsidP="00167313">
      <w:pPr>
        <w:rPr>
          <w:b/>
          <w:color w:val="000000"/>
        </w:rPr>
      </w:pPr>
      <w:r w:rsidRPr="00167313">
        <w:rPr>
          <w:b/>
          <w:bCs/>
          <w:color w:val="000000"/>
        </w:rPr>
        <w:t xml:space="preserve">Journal </w:t>
      </w:r>
      <w:r w:rsidR="001E6327" w:rsidRPr="00167313">
        <w:rPr>
          <w:b/>
          <w:bCs/>
          <w:color w:val="000000"/>
        </w:rPr>
        <w:t>Article in an online journal</w:t>
      </w:r>
    </w:p>
    <w:p w14:paraId="44046A30" w14:textId="7BDFBAAF" w:rsidR="00D55239" w:rsidRPr="00D900E1" w:rsidRDefault="00D55239" w:rsidP="00167313">
      <w:pPr>
        <w:rPr>
          <w:color w:val="626F74"/>
        </w:rPr>
      </w:pPr>
      <w:r w:rsidRPr="00D900E1">
        <w:rPr>
          <w:color w:val="626F74"/>
        </w:rPr>
        <w:t xml:space="preserve">Author Name, “Article Title,” Journal Name edition (Year): page, accessed Month Day, Year, </w:t>
      </w:r>
      <w:proofErr w:type="spellStart"/>
      <w:proofErr w:type="gramStart"/>
      <w:r w:rsidRPr="00D900E1">
        <w:rPr>
          <w:color w:val="626F74"/>
        </w:rPr>
        <w:t>dio:xx</w:t>
      </w:r>
      <w:proofErr w:type="gramEnd"/>
      <w:r w:rsidRPr="00D900E1">
        <w:rPr>
          <w:color w:val="626F74"/>
        </w:rPr>
        <w:t>.xxxx</w:t>
      </w:r>
      <w:proofErr w:type="spellEnd"/>
      <w:r w:rsidRPr="00D900E1">
        <w:rPr>
          <w:color w:val="626F74"/>
        </w:rPr>
        <w:t>/</w:t>
      </w:r>
      <w:proofErr w:type="spellStart"/>
      <w:r w:rsidRPr="00D900E1">
        <w:rPr>
          <w:color w:val="626F74"/>
        </w:rPr>
        <w:t>xxxxxx</w:t>
      </w:r>
      <w:proofErr w:type="spellEnd"/>
      <w:r w:rsidRPr="00D900E1">
        <w:rPr>
          <w:color w:val="626F74"/>
        </w:rPr>
        <w:t xml:space="preserve">. </w:t>
      </w:r>
    </w:p>
    <w:p w14:paraId="4F904167" w14:textId="77777777" w:rsidR="007F7988" w:rsidRPr="00845600" w:rsidRDefault="007F7988" w:rsidP="007F7988">
      <w:pPr>
        <w:rPr>
          <w:rFonts w:cstheme="minorHAnsi"/>
          <w:sz w:val="22"/>
        </w:rPr>
      </w:pPr>
    </w:p>
    <w:bookmarkEnd w:id="38"/>
    <w:bookmarkEnd w:id="39"/>
    <w:bookmarkEnd w:id="40"/>
    <w:p w14:paraId="673D6F10" w14:textId="77777777" w:rsidR="007F7988" w:rsidRPr="00845600" w:rsidRDefault="007F7988" w:rsidP="007F7988">
      <w:pPr>
        <w:rPr>
          <w:rFonts w:cstheme="minorHAnsi"/>
          <w:sz w:val="22"/>
        </w:rPr>
      </w:pPr>
      <w:r w:rsidRPr="00845600">
        <w:rPr>
          <w:rFonts w:cstheme="minorHAnsi"/>
          <w:sz w:val="22"/>
        </w:rPr>
        <w:br w:type="page"/>
      </w:r>
    </w:p>
    <w:p w14:paraId="3C9BE70A" w14:textId="1CFB18A7" w:rsidR="007F7988" w:rsidRDefault="006601E2" w:rsidP="007F7988">
      <w:pPr>
        <w:pStyle w:val="Heading1"/>
      </w:pPr>
      <w:bookmarkStart w:id="76" w:name="_Toc390225695"/>
      <w:r>
        <w:lastRenderedPageBreak/>
        <w:t>Stakeholder Comments</w:t>
      </w:r>
      <w:bookmarkEnd w:id="76"/>
    </w:p>
    <w:p w14:paraId="0BFF4BF6" w14:textId="69976B80" w:rsidR="007F4407" w:rsidRDefault="007F4407" w:rsidP="00D86489">
      <w:pPr>
        <w:rPr>
          <w:sz w:val="24"/>
        </w:rPr>
      </w:pPr>
      <w:bookmarkStart w:id="77" w:name="_Toc390225696"/>
      <w:r>
        <w:rPr>
          <w:sz w:val="24"/>
        </w:rPr>
        <w:t xml:space="preserve">If adding comments to an existing work paper, add note in “Progress Notes” section of the tracker item stating </w:t>
      </w:r>
      <w:r w:rsidRPr="007F4407">
        <w:rPr>
          <w:i/>
          <w:sz w:val="24"/>
        </w:rPr>
        <w:t>“(Author, Company) added comments to workpaper, (date)</w:t>
      </w:r>
      <w:r>
        <w:rPr>
          <w:sz w:val="24"/>
        </w:rPr>
        <w:t>”. This will send an alert to VEIC and others that a new comment has been added.</w:t>
      </w:r>
    </w:p>
    <w:p w14:paraId="7103FDBD" w14:textId="77777777" w:rsidR="007F4407" w:rsidRDefault="007F4407" w:rsidP="00D86489">
      <w:pPr>
        <w:rPr>
          <w:sz w:val="24"/>
        </w:rPr>
      </w:pPr>
    </w:p>
    <w:p w14:paraId="4C9990ED" w14:textId="61DB3B75" w:rsidR="00961CDF" w:rsidRDefault="00961CDF" w:rsidP="00D86489">
      <w:pPr>
        <w:rPr>
          <w:sz w:val="24"/>
        </w:rPr>
      </w:pPr>
      <w:r w:rsidRPr="00D86489">
        <w:rPr>
          <w:sz w:val="24"/>
        </w:rPr>
        <w:t>Author</w:t>
      </w:r>
      <w:r w:rsidR="007F4407">
        <w:rPr>
          <w:sz w:val="24"/>
        </w:rPr>
        <w:t xml:space="preserve">, </w:t>
      </w:r>
      <w:r w:rsidRPr="00D86489">
        <w:rPr>
          <w:sz w:val="24"/>
        </w:rPr>
        <w:t>Company and Date</w:t>
      </w:r>
      <w:bookmarkEnd w:id="77"/>
      <w:r w:rsidR="007F4407">
        <w:rPr>
          <w:sz w:val="24"/>
        </w:rPr>
        <w:t xml:space="preserve">: </w:t>
      </w:r>
    </w:p>
    <w:p w14:paraId="412A3F9C" w14:textId="32D644CC" w:rsidR="007F4407" w:rsidRPr="00D86489" w:rsidRDefault="007F4407" w:rsidP="00D86489">
      <w:r>
        <w:rPr>
          <w:sz w:val="24"/>
        </w:rPr>
        <w:t>Comment:</w:t>
      </w:r>
    </w:p>
    <w:p w14:paraId="474368AF" w14:textId="77777777" w:rsidR="003E1B7D" w:rsidRDefault="003E1B7D" w:rsidP="003E1B7D">
      <w:pPr>
        <w:widowControl/>
        <w:spacing w:after="0"/>
        <w:ind w:left="720"/>
        <w:jc w:val="left"/>
      </w:pPr>
    </w:p>
    <w:sectPr w:rsidR="003E1B7D" w:rsidSect="00950A89">
      <w:headerReference w:type="even" r:id="rId26"/>
      <w:headerReference w:type="default" r:id="rId27"/>
      <w:footerReference w:type="default" r:id="rId28"/>
      <w:headerReference w:type="first" r:id="rId2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0C644" w14:textId="77777777" w:rsidR="003B0022" w:rsidRDefault="003B0022" w:rsidP="00D466B6">
      <w:pPr>
        <w:spacing w:after="0"/>
      </w:pPr>
      <w:r>
        <w:separator/>
      </w:r>
    </w:p>
  </w:endnote>
  <w:endnote w:type="continuationSeparator" w:id="0">
    <w:p w14:paraId="725C919F" w14:textId="77777777" w:rsidR="003B0022" w:rsidRDefault="003B0022" w:rsidP="00D466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986D4" w14:textId="77777777" w:rsidR="00AA473E" w:rsidRDefault="00AA4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931683"/>
      <w:docPartObj>
        <w:docPartGallery w:val="Page Numbers (Top of Page)"/>
        <w:docPartUnique/>
      </w:docPartObj>
    </w:sdtPr>
    <w:sdtEndPr/>
    <w:sdtContent>
      <w:p w14:paraId="737EDAD1" w14:textId="77777777" w:rsidR="00E2643B" w:rsidRDefault="00E2643B" w:rsidP="00950A89">
        <w:pPr>
          <w:pStyle w:val="Footer"/>
          <w:spacing w:after="0"/>
          <w:jc w:val="center"/>
        </w:pPr>
      </w:p>
      <w:p w14:paraId="737EDAD2" w14:textId="77777777" w:rsidR="00E2643B" w:rsidRDefault="00E2643B" w:rsidP="00950A89">
        <w:pPr>
          <w:pStyle w:val="Footer"/>
          <w:pBdr>
            <w:top w:val="single" w:sz="4" w:space="1" w:color="auto"/>
          </w:pBdr>
          <w:spacing w:after="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77AC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7AC6">
          <w:rPr>
            <w:b/>
            <w:bCs/>
            <w:noProof/>
          </w:rPr>
          <w:t>8</w:t>
        </w:r>
        <w:r>
          <w:rPr>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18EB0" w14:textId="77777777" w:rsidR="00AA473E" w:rsidRDefault="00AA47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180691"/>
      <w:docPartObj>
        <w:docPartGallery w:val="Page Numbers (Top of Page)"/>
        <w:docPartUnique/>
      </w:docPartObj>
    </w:sdtPr>
    <w:sdtEndPr/>
    <w:sdtContent>
      <w:p w14:paraId="737EDBD5" w14:textId="77777777" w:rsidR="00E2643B" w:rsidRDefault="00E2643B" w:rsidP="00950A89">
        <w:pPr>
          <w:pStyle w:val="Footer"/>
          <w:spacing w:after="0"/>
          <w:jc w:val="center"/>
        </w:pPr>
      </w:p>
      <w:p w14:paraId="737EDBD6" w14:textId="77777777" w:rsidR="00E2643B" w:rsidRDefault="00E2643B" w:rsidP="00950A89">
        <w:pPr>
          <w:pStyle w:val="Footer"/>
          <w:pBdr>
            <w:top w:val="single" w:sz="4" w:space="1" w:color="auto"/>
          </w:pBdr>
          <w:spacing w:after="0"/>
          <w:jc w:val="center"/>
        </w:pPr>
        <w:r>
          <w:t xml:space="preserve">Page </w:t>
        </w:r>
        <w:r>
          <w:rPr>
            <w:sz w:val="24"/>
          </w:rPr>
          <w:fldChar w:fldCharType="begin"/>
        </w:r>
        <w:r>
          <w:instrText xml:space="preserve"> PAGE </w:instrText>
        </w:r>
        <w:r>
          <w:rPr>
            <w:sz w:val="24"/>
          </w:rPr>
          <w:fldChar w:fldCharType="separate"/>
        </w:r>
        <w:r w:rsidR="00D77AC6">
          <w:rPr>
            <w:noProof/>
          </w:rPr>
          <w:t>8</w:t>
        </w:r>
        <w:r>
          <w:rPr>
            <w:sz w:val="24"/>
          </w:rPr>
          <w:fldChar w:fldCharType="end"/>
        </w:r>
        <w:r>
          <w:t xml:space="preserve"> of </w:t>
        </w:r>
        <w:fldSimple w:instr=" NUMPAGES  ">
          <w:r w:rsidR="00D77AC6">
            <w:rPr>
              <w:noProof/>
            </w:rPr>
            <w:t>8</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4E43D" w14:textId="77777777" w:rsidR="003B0022" w:rsidRDefault="003B0022" w:rsidP="00D466B6">
      <w:pPr>
        <w:spacing w:after="0"/>
      </w:pPr>
      <w:r>
        <w:separator/>
      </w:r>
    </w:p>
  </w:footnote>
  <w:footnote w:type="continuationSeparator" w:id="0">
    <w:p w14:paraId="447690A7" w14:textId="77777777" w:rsidR="003B0022" w:rsidRDefault="003B0022" w:rsidP="00D466B6">
      <w:pPr>
        <w:spacing w:after="0"/>
      </w:pPr>
      <w:r>
        <w:continuationSeparator/>
      </w:r>
    </w:p>
  </w:footnote>
  <w:footnote w:id="1">
    <w:p w14:paraId="30FB2712" w14:textId="77777777" w:rsidR="004E7755" w:rsidRPr="00185EA4" w:rsidRDefault="004E7755" w:rsidP="004E7755">
      <w:pPr>
        <w:pStyle w:val="FootnoteText"/>
        <w:rPr>
          <w:rFonts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cstheme="minorHAnsi"/>
          <w:sz w:val="18"/>
          <w:szCs w:val="18"/>
        </w:rPr>
        <w:t xml:space="preserve"> </w:t>
      </w:r>
      <w:r>
        <w:rPr>
          <w:rFonts w:cstheme="minorHAnsi"/>
          <w:sz w:val="18"/>
          <w:szCs w:val="18"/>
        </w:rPr>
        <w:t>Assumed years of planned light duty vehicle ownership</w:t>
      </w:r>
      <w:r w:rsidRPr="00185EA4">
        <w:rPr>
          <w:rFonts w:cstheme="minorHAnsi"/>
          <w:sz w:val="18"/>
          <w:szCs w:val="18"/>
        </w:rPr>
        <w:t xml:space="preserve">. </w:t>
      </w:r>
      <w:r>
        <w:rPr>
          <w:rFonts w:cstheme="minorHAnsi"/>
          <w:sz w:val="18"/>
          <w:szCs w:val="18"/>
        </w:rPr>
        <w:t>2023 Alternative Fuel Life-Cycle Environmental and Economic Transportation (AFLEET) Tool</w:t>
      </w:r>
      <w:r w:rsidRPr="00185EA4">
        <w:rPr>
          <w:rFonts w:cstheme="minorHAnsi"/>
          <w:sz w:val="18"/>
          <w:szCs w:val="18"/>
        </w:rPr>
        <w:t xml:space="preserve">. </w:t>
      </w:r>
      <w:r>
        <w:rPr>
          <w:rFonts w:cstheme="minorHAnsi"/>
          <w:sz w:val="18"/>
          <w:szCs w:val="18"/>
        </w:rPr>
        <w:t>Argonne National Laboratory</w:t>
      </w:r>
      <w:r w:rsidRPr="00185EA4">
        <w:rPr>
          <w:rFonts w:cstheme="minorHAnsi"/>
          <w:sz w:val="18"/>
          <w:szCs w:val="18"/>
        </w:rPr>
        <w:t>.</w:t>
      </w:r>
    </w:p>
  </w:footnote>
  <w:footnote w:id="2">
    <w:p w14:paraId="34F0DF2B" w14:textId="77777777" w:rsidR="004E7755" w:rsidRPr="00185EA4" w:rsidRDefault="004E7755" w:rsidP="004E7755">
      <w:pPr>
        <w:pStyle w:val="FootnoteText"/>
        <w:rPr>
          <w:rFonts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cstheme="minorHAnsi"/>
          <w:sz w:val="18"/>
          <w:szCs w:val="18"/>
        </w:rPr>
        <w:t xml:space="preserve"> Average annual </w:t>
      </w:r>
      <w:r>
        <w:rPr>
          <w:rFonts w:cstheme="minorHAnsi"/>
          <w:sz w:val="18"/>
          <w:szCs w:val="18"/>
        </w:rPr>
        <w:t xml:space="preserve">light duty </w:t>
      </w:r>
      <w:r w:rsidRPr="00185EA4">
        <w:rPr>
          <w:rFonts w:cstheme="minorHAnsi"/>
          <w:sz w:val="18"/>
          <w:szCs w:val="18"/>
        </w:rPr>
        <w:t xml:space="preserve">vehicle miles traveled estimated based on </w:t>
      </w:r>
      <w:r>
        <w:rPr>
          <w:rFonts w:cstheme="minorHAnsi"/>
          <w:sz w:val="18"/>
          <w:szCs w:val="18"/>
        </w:rPr>
        <w:t>national</w:t>
      </w:r>
      <w:r w:rsidRPr="00185EA4">
        <w:rPr>
          <w:rFonts w:cstheme="minorHAnsi"/>
          <w:sz w:val="18"/>
          <w:szCs w:val="18"/>
        </w:rPr>
        <w:t xml:space="preserve"> transportation statistics found in Table VM-1. Annual Vehicle Distance Traveled in Miles and Related Data, 20</w:t>
      </w:r>
      <w:r>
        <w:rPr>
          <w:rFonts w:cstheme="minorHAnsi"/>
          <w:sz w:val="18"/>
          <w:szCs w:val="18"/>
        </w:rPr>
        <w:t>21</w:t>
      </w:r>
      <w:r w:rsidRPr="00185EA4">
        <w:rPr>
          <w:rFonts w:cstheme="minorHAnsi"/>
          <w:sz w:val="18"/>
          <w:szCs w:val="18"/>
        </w:rPr>
        <w:t>. US Department of Transportation.</w:t>
      </w:r>
    </w:p>
  </w:footnote>
  <w:footnote w:id="3">
    <w:p w14:paraId="66EBA481" w14:textId="449D655D" w:rsidR="002038A6" w:rsidRPr="0051273D" w:rsidRDefault="002038A6">
      <w:pPr>
        <w:pStyle w:val="FootnoteText"/>
        <w:rPr>
          <w:rFonts w:cstheme="minorHAnsi"/>
          <w:sz w:val="18"/>
          <w:szCs w:val="18"/>
        </w:rPr>
      </w:pPr>
      <w:r w:rsidRPr="0051273D">
        <w:rPr>
          <w:rStyle w:val="FootnoteReference"/>
          <w:rFonts w:asciiTheme="minorHAnsi" w:hAnsiTheme="minorHAnsi" w:cstheme="minorHAnsi"/>
          <w:sz w:val="18"/>
          <w:szCs w:val="18"/>
        </w:rPr>
        <w:footnoteRef/>
      </w:r>
      <w:r w:rsidRPr="0051273D">
        <w:rPr>
          <w:rFonts w:cstheme="minorHAnsi"/>
          <w:sz w:val="18"/>
          <w:szCs w:val="18"/>
        </w:rPr>
        <w:t xml:space="preserve"> </w:t>
      </w:r>
      <w:r w:rsidRPr="00FE469B">
        <w:rPr>
          <w:rFonts w:cstheme="minorHAnsi"/>
          <w:sz w:val="18"/>
          <w:szCs w:val="18"/>
        </w:rPr>
        <w:t>US DOE Fuel Economy data for all car</w:t>
      </w:r>
      <w:r w:rsidR="0039697E" w:rsidRPr="00FE469B">
        <w:rPr>
          <w:rFonts w:cstheme="minorHAnsi"/>
          <w:sz w:val="18"/>
          <w:szCs w:val="18"/>
        </w:rPr>
        <w:t xml:space="preserve">, </w:t>
      </w:r>
      <w:r w:rsidRPr="00FE469B">
        <w:rPr>
          <w:rFonts w:cstheme="minorHAnsi"/>
          <w:sz w:val="18"/>
          <w:szCs w:val="18"/>
        </w:rPr>
        <w:t>SUV</w:t>
      </w:r>
      <w:r w:rsidR="0039697E" w:rsidRPr="00FE469B">
        <w:rPr>
          <w:rFonts w:cstheme="minorHAnsi"/>
          <w:sz w:val="18"/>
          <w:szCs w:val="18"/>
        </w:rPr>
        <w:t>, and truck</w:t>
      </w:r>
      <w:r w:rsidRPr="00FE469B">
        <w:rPr>
          <w:rFonts w:cstheme="minorHAnsi"/>
          <w:sz w:val="18"/>
          <w:szCs w:val="18"/>
        </w:rPr>
        <w:t xml:space="preserve"> models 202</w:t>
      </w:r>
      <w:r w:rsidR="00DE390B" w:rsidRPr="00FE469B">
        <w:rPr>
          <w:rFonts w:cstheme="minorHAnsi"/>
          <w:sz w:val="18"/>
          <w:szCs w:val="18"/>
        </w:rPr>
        <w:t>0</w:t>
      </w:r>
      <w:r w:rsidRPr="00FE469B">
        <w:rPr>
          <w:rFonts w:cstheme="minorHAnsi"/>
          <w:sz w:val="18"/>
          <w:szCs w:val="18"/>
        </w:rPr>
        <w:t>-</w:t>
      </w:r>
      <w:r w:rsidR="00FE469B" w:rsidRPr="00FE469B">
        <w:rPr>
          <w:rFonts w:cstheme="minorHAnsi"/>
          <w:sz w:val="18"/>
          <w:szCs w:val="18"/>
        </w:rPr>
        <w:t>2025</w:t>
      </w:r>
      <w:r w:rsidRPr="00FE469B">
        <w:rPr>
          <w:rFonts w:cstheme="minorHAnsi"/>
          <w:sz w:val="18"/>
          <w:szCs w:val="18"/>
        </w:rPr>
        <w:t xml:space="preserve">: </w:t>
      </w:r>
      <w:hyperlink r:id="rId1" w:history="1">
        <w:r w:rsidR="00AB0AAB" w:rsidRPr="00FE469B">
          <w:rPr>
            <w:rStyle w:val="Hyperlink"/>
            <w:rFonts w:cstheme="minorHAnsi"/>
            <w:sz w:val="18"/>
            <w:szCs w:val="18"/>
          </w:rPr>
          <w:t>https://www.fueleconomy.gov/feg/download.shtml</w:t>
        </w:r>
      </w:hyperlink>
      <w:r w:rsidRPr="00FE469B">
        <w:rPr>
          <w:rFonts w:cstheme="minorHAnsi"/>
          <w:sz w:val="18"/>
          <w:szCs w:val="18"/>
        </w:rPr>
        <w:t xml:space="preserve">. Threshold fuel economy </w:t>
      </w:r>
      <w:r w:rsidR="00BC34FA" w:rsidRPr="00FE469B">
        <w:rPr>
          <w:rFonts w:cstheme="minorHAnsi"/>
          <w:sz w:val="18"/>
          <w:szCs w:val="18"/>
        </w:rPr>
        <w:t>to identify</w:t>
      </w:r>
      <w:r w:rsidRPr="00FE469B">
        <w:rPr>
          <w:rFonts w:cstheme="minorHAnsi"/>
          <w:sz w:val="18"/>
          <w:szCs w:val="18"/>
        </w:rPr>
        <w:t xml:space="preserve"> standard efficiency </w:t>
      </w:r>
      <w:r w:rsidR="00BC34FA" w:rsidRPr="00FE469B">
        <w:rPr>
          <w:rFonts w:cstheme="minorHAnsi"/>
          <w:sz w:val="18"/>
          <w:szCs w:val="18"/>
        </w:rPr>
        <w:t xml:space="preserve">models is </w:t>
      </w:r>
      <w:r w:rsidRPr="00FE469B">
        <w:rPr>
          <w:rFonts w:cstheme="minorHAnsi"/>
          <w:sz w:val="18"/>
          <w:szCs w:val="18"/>
        </w:rPr>
        <w:t xml:space="preserve">established as one standard deviation above the average value </w:t>
      </w:r>
      <w:r w:rsidR="0039697E" w:rsidRPr="00FE469B">
        <w:rPr>
          <w:rFonts w:cstheme="minorHAnsi"/>
          <w:sz w:val="18"/>
          <w:szCs w:val="18"/>
        </w:rPr>
        <w:t xml:space="preserve">for each car </w:t>
      </w:r>
      <w:r w:rsidR="0039697E" w:rsidRPr="00FE469B">
        <w:rPr>
          <w:rFonts w:cstheme="minorHAnsi"/>
          <w:sz w:val="18"/>
          <w:szCs w:val="18"/>
        </w:rPr>
        <w:t>class.Car classes for this measure were established based on statistically significant differences in the average fuel economy for each class compared to the next</w:t>
      </w:r>
      <w:r w:rsidR="00F376AE" w:rsidRPr="00FE469B">
        <w:rPr>
          <w:rFonts w:cstheme="minorHAnsi"/>
          <w:sz w:val="18"/>
          <w:szCs w:val="18"/>
        </w:rPr>
        <w:t>.</w:t>
      </w:r>
      <w:r w:rsidR="0039697E" w:rsidRPr="00FE469B">
        <w:rPr>
          <w:rFonts w:cstheme="minorHAnsi"/>
          <w:sz w:val="18"/>
          <w:szCs w:val="18"/>
        </w:rPr>
        <w:t xml:space="preserve"> Cars and Small SUVs were combined because their average fuel economies were not statistically different at the 95% level.</w:t>
      </w:r>
      <w:r w:rsidR="004D74B6" w:rsidRPr="00FE469B">
        <w:rPr>
          <w:rFonts w:cstheme="minorHAnsi"/>
          <w:sz w:val="18"/>
          <w:szCs w:val="18"/>
        </w:rPr>
        <w:t xml:space="preserve"> See: 2020-</w:t>
      </w:r>
      <w:r w:rsidR="00FE469B" w:rsidRPr="00FE469B">
        <w:rPr>
          <w:rFonts w:cstheme="minorHAnsi"/>
          <w:sz w:val="18"/>
          <w:szCs w:val="18"/>
        </w:rPr>
        <w:t xml:space="preserve">2025 </w:t>
      </w:r>
      <w:r w:rsidR="004D74B6" w:rsidRPr="00FE469B">
        <w:rPr>
          <w:rFonts w:cstheme="minorHAnsi"/>
          <w:sz w:val="18"/>
          <w:szCs w:val="18"/>
        </w:rPr>
        <w:t>FE Guide for DOE-</w:t>
      </w:r>
      <w:r w:rsidR="00FE469B" w:rsidRPr="00FE469B">
        <w:rPr>
          <w:rFonts w:cstheme="minorHAnsi"/>
          <w:sz w:val="18"/>
          <w:szCs w:val="18"/>
        </w:rPr>
        <w:t>051525</w:t>
      </w:r>
      <w:r w:rsidR="004D74B6" w:rsidRPr="00FE469B">
        <w:rPr>
          <w:rFonts w:cstheme="minorHAnsi"/>
          <w:sz w:val="18"/>
          <w:szCs w:val="18"/>
        </w:rPr>
        <w:t>.xlsx for data and calculations.</w:t>
      </w:r>
    </w:p>
  </w:footnote>
  <w:footnote w:id="4">
    <w:p w14:paraId="448F96A7" w14:textId="4A91AA28" w:rsidR="004E7755" w:rsidRPr="00185EA4" w:rsidRDefault="004E7755" w:rsidP="004E7755">
      <w:pPr>
        <w:pStyle w:val="FootnoteText"/>
        <w:rPr>
          <w:rFonts w:cstheme="minorHAnsi"/>
          <w:sz w:val="18"/>
          <w:szCs w:val="18"/>
        </w:rPr>
      </w:pPr>
      <w:r w:rsidRPr="00FE469B">
        <w:rPr>
          <w:rStyle w:val="FootnoteReference"/>
          <w:rFonts w:asciiTheme="minorHAnsi" w:eastAsiaTheme="majorEastAsia" w:hAnsiTheme="minorHAnsi" w:cstheme="minorHAnsi"/>
          <w:sz w:val="18"/>
          <w:szCs w:val="18"/>
        </w:rPr>
        <w:footnoteRef/>
      </w:r>
      <w:r w:rsidRPr="00FE469B">
        <w:rPr>
          <w:rFonts w:cstheme="minorHAnsi"/>
          <w:sz w:val="18"/>
          <w:szCs w:val="18"/>
        </w:rPr>
        <w:t xml:space="preserve"> </w:t>
      </w:r>
      <w:r w:rsidR="0039697E" w:rsidRPr="00FE469B">
        <w:rPr>
          <w:rFonts w:cstheme="minorHAnsi"/>
          <w:sz w:val="18"/>
          <w:szCs w:val="18"/>
        </w:rPr>
        <w:t>US DOE Fuel Economy data for all car, SUV, and truck models 2020-202</w:t>
      </w:r>
      <w:r w:rsidR="00FE469B">
        <w:rPr>
          <w:rFonts w:cstheme="minorHAnsi"/>
          <w:sz w:val="18"/>
          <w:szCs w:val="18"/>
        </w:rPr>
        <w:t>5</w:t>
      </w:r>
      <w:r w:rsidR="0039697E" w:rsidRPr="00FE469B">
        <w:rPr>
          <w:rFonts w:cstheme="minorHAnsi"/>
          <w:sz w:val="18"/>
          <w:szCs w:val="18"/>
        </w:rPr>
        <w:t xml:space="preserve">: </w:t>
      </w:r>
      <w:hyperlink r:id="rId2" w:history="1">
        <w:r w:rsidR="00AB0AAB" w:rsidRPr="00FE469B">
          <w:rPr>
            <w:rStyle w:val="Hyperlink"/>
            <w:rFonts w:cstheme="minorHAnsi"/>
            <w:sz w:val="18"/>
            <w:szCs w:val="18"/>
          </w:rPr>
          <w:t>https://www.fueleconomy.gov/feg/download.shtml</w:t>
        </w:r>
      </w:hyperlink>
      <w:r w:rsidR="0039697E" w:rsidRPr="00FE469B">
        <w:rPr>
          <w:rFonts w:cstheme="minorHAnsi"/>
          <w:sz w:val="18"/>
          <w:szCs w:val="18"/>
        </w:rPr>
        <w:t>. Default values were taken as the average of all models above the standard efficiency level</w:t>
      </w:r>
      <w:r w:rsidR="0051273D" w:rsidRPr="00FE469B">
        <w:rPr>
          <w:rFonts w:cstheme="minorHAnsi"/>
          <w:sz w:val="18"/>
          <w:szCs w:val="18"/>
        </w:rPr>
        <w:t xml:space="preserve"> for each car class</w:t>
      </w:r>
      <w:r w:rsidR="0039697E" w:rsidRPr="00FE469B">
        <w:rPr>
          <w:rFonts w:cstheme="minorHAnsi"/>
          <w:sz w:val="18"/>
          <w:szCs w:val="18"/>
        </w:rPr>
        <w:t xml:space="preserve">. </w:t>
      </w:r>
      <w:r w:rsidR="004D74B6" w:rsidRPr="00FE469B">
        <w:rPr>
          <w:rFonts w:cstheme="minorHAnsi"/>
          <w:sz w:val="18"/>
          <w:szCs w:val="18"/>
        </w:rPr>
        <w:t>See: 2020-202</w:t>
      </w:r>
      <w:r w:rsidR="00FE469B">
        <w:rPr>
          <w:rFonts w:cstheme="minorHAnsi"/>
          <w:sz w:val="18"/>
          <w:szCs w:val="18"/>
        </w:rPr>
        <w:t>5</w:t>
      </w:r>
      <w:r w:rsidR="004D74B6" w:rsidRPr="00FE469B">
        <w:rPr>
          <w:rFonts w:cstheme="minorHAnsi"/>
          <w:sz w:val="18"/>
          <w:szCs w:val="18"/>
        </w:rPr>
        <w:t xml:space="preserve"> FE Guide for DOE-</w:t>
      </w:r>
      <w:r w:rsidR="00FE469B" w:rsidRPr="00FE469B">
        <w:rPr>
          <w:rFonts w:cstheme="minorHAnsi"/>
          <w:sz w:val="18"/>
          <w:szCs w:val="18"/>
        </w:rPr>
        <w:t>0</w:t>
      </w:r>
      <w:r w:rsidR="00FE469B">
        <w:rPr>
          <w:rFonts w:cstheme="minorHAnsi"/>
          <w:sz w:val="18"/>
          <w:szCs w:val="18"/>
        </w:rPr>
        <w:t>51525</w:t>
      </w:r>
      <w:r w:rsidR="004D74B6" w:rsidRPr="00FE469B">
        <w:rPr>
          <w:rFonts w:cstheme="minorHAnsi"/>
          <w:sz w:val="18"/>
          <w:szCs w:val="18"/>
        </w:rPr>
        <w:t>.xlsx for data and calculations.</w:t>
      </w:r>
    </w:p>
  </w:footnote>
  <w:footnote w:id="5">
    <w:p w14:paraId="5B7EF5CF" w14:textId="30383277" w:rsidR="00C3290A" w:rsidRDefault="00C3290A">
      <w:pPr>
        <w:pStyle w:val="FootnoteText"/>
      </w:pPr>
      <w:r>
        <w:rPr>
          <w:rStyle w:val="FootnoteReference"/>
        </w:rPr>
        <w:footnoteRef/>
      </w:r>
      <w:r>
        <w:t xml:space="preserve"> Assumes no EV charging during Summer Coincident Peak Period.</w:t>
      </w:r>
      <w:r w:rsidR="0039697E">
        <w:t xml:space="preserve"> Also assumes that </w:t>
      </w:r>
      <w:r w:rsidR="0051273D">
        <w:t>for</w:t>
      </w:r>
      <w:r w:rsidR="0039697E">
        <w:t xml:space="preserve"> Standard BEV to Efficient BEV </w:t>
      </w:r>
      <w:r w:rsidR="0051273D">
        <w:t>comparisons</w:t>
      </w:r>
      <w:r w:rsidR="0039697E">
        <w:t>, there would be no incremental peak demand increase for the efficient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B1907" w14:textId="77777777" w:rsidR="00AA473E" w:rsidRDefault="00AA4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AD0" w14:textId="25690892" w:rsidR="00E2643B" w:rsidRPr="00C07E28" w:rsidRDefault="00E2643B" w:rsidP="00950A89">
    <w:pPr>
      <w:pStyle w:val="HeaderIL"/>
      <w:rPr>
        <w:b/>
      </w:rPr>
    </w:pPr>
    <w:r w:rsidRPr="00C07E28">
      <w:rPr>
        <w:b/>
      </w:rPr>
      <w:t>Illinois Statewide Technical Reference Manual</w:t>
    </w:r>
    <w:r>
      <w:rPr>
        <w:b/>
      </w:rPr>
      <w:t xml:space="preserve"> </w:t>
    </w:r>
    <w:r w:rsidR="00D92C64">
      <w:rPr>
        <w:b/>
      </w:rPr>
      <w:t>V</w:t>
    </w:r>
    <w:r w:rsidR="00AD44B9">
      <w:rPr>
        <w:b/>
      </w:rPr>
      <w:t>1</w:t>
    </w:r>
    <w:r w:rsidR="00AA473E">
      <w:rPr>
        <w:b/>
      </w:rPr>
      <w:t>4</w:t>
    </w:r>
    <w:r w:rsidR="00D92C64">
      <w:rPr>
        <w:b/>
      </w:rPr>
      <w:t xml:space="preserve">.0 </w:t>
    </w:r>
    <w:r>
      <w:rPr>
        <w:b/>
      </w:rPr>
      <w:t xml:space="preserve">– Work Paper: </w:t>
    </w:r>
    <w:r w:rsidR="004E7755">
      <w:rPr>
        <w:b/>
        <w:szCs w:val="20"/>
      </w:rPr>
      <w:t>Light Duty Electric Vehicle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69377" w14:textId="77777777" w:rsidR="00AA473E" w:rsidRDefault="00AA47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BEEC" w14:textId="160F2754" w:rsidR="00E2643B" w:rsidRPr="00A05FC2" w:rsidRDefault="00E2643B" w:rsidP="00387ED6">
    <w:pPr>
      <w:pStyle w:val="HeaderIL"/>
    </w:pPr>
    <w:r>
      <w:t>I</w:t>
    </w:r>
    <w:r w:rsidRPr="00AB4D81">
      <w:t>llinois Statewide Technical Reference Manual</w:t>
    </w:r>
    <w:r>
      <w:t xml:space="preserve"> </w:t>
    </w:r>
    <w:r w:rsidR="00D92C64">
      <w:t>V</w:t>
    </w:r>
    <w:r w:rsidR="00AA473E">
      <w:t>14</w:t>
    </w:r>
    <w:r w:rsidR="00D92C64">
      <w:t xml:space="preserve">.0 </w:t>
    </w:r>
    <w:r>
      <w:t>–</w:t>
    </w:r>
    <w:r w:rsidRPr="00387ED6">
      <w:t xml:space="preserve"> </w:t>
    </w:r>
    <w:r>
      <w:t xml:space="preserve">Work Paper: </w:t>
    </w:r>
    <w:r w:rsidR="004E7755">
      <w:rPr>
        <w:b/>
        <w:szCs w:val="20"/>
      </w:rPr>
      <w:t>Light Duty Electric Vehicle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BD3" w14:textId="77777777" w:rsidR="00E2643B" w:rsidRDefault="00E264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BD4" w14:textId="52196137" w:rsidR="00E2643B" w:rsidRPr="00A05FC2" w:rsidRDefault="00E2643B" w:rsidP="00950A89">
    <w:pPr>
      <w:pStyle w:val="HeaderIL"/>
    </w:pPr>
    <w:r w:rsidRPr="005D746C">
      <w:t xml:space="preserve">Illinois Statewide Technical Reference Manual </w:t>
    </w:r>
    <w:r w:rsidR="00D92C64">
      <w:t>V</w:t>
    </w:r>
    <w:r w:rsidR="00AD44B9">
      <w:t>1</w:t>
    </w:r>
    <w:r w:rsidR="00AA473E">
      <w:t>4</w:t>
    </w:r>
    <w:r w:rsidR="00D92C64">
      <w:t>.0</w:t>
    </w:r>
    <w:r>
      <w:t>– Work Paper:</w:t>
    </w:r>
    <w:r w:rsidR="004E7755" w:rsidRPr="004E7755">
      <w:rPr>
        <w:b/>
        <w:szCs w:val="20"/>
      </w:rPr>
      <w:t xml:space="preserve"> </w:t>
    </w:r>
    <w:r w:rsidR="004E7755">
      <w:rPr>
        <w:b/>
        <w:szCs w:val="20"/>
      </w:rPr>
      <w:t>Light Duty Electric Vehicle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BD7" w14:textId="77777777" w:rsidR="00E2643B" w:rsidRDefault="00E2643B" w:rsidP="00950A89">
    <w:pPr>
      <w:pStyle w:val="HeaderIL"/>
    </w:pPr>
    <w:r w:rsidRPr="005D746C">
      <w:t>Illinois Statewide Technical Reference Manual -</w:t>
    </w:r>
    <w:r>
      <w:fldChar w:fldCharType="begin"/>
    </w:r>
    <w:r>
      <w:instrText xml:space="preserve"> REF _Ref326052754 \r \h  \* MERGEFORMAT </w:instrText>
    </w:r>
    <w:r>
      <w:fldChar w:fldCharType="separate"/>
    </w:r>
    <w:r>
      <w:rPr>
        <w:b/>
        <w:bCs/>
      </w:rPr>
      <w:t>Error! Reference source not found.</w:t>
    </w:r>
    <w:r>
      <w:fldChar w:fldCharType="end"/>
    </w:r>
    <w:r>
      <w:t xml:space="preserve"> </w:t>
    </w:r>
    <w:r>
      <w:fldChar w:fldCharType="begin"/>
    </w:r>
    <w:r>
      <w:instrText xml:space="preserve"> REF _Ref326054816 \h </w:instrText>
    </w:r>
    <w:r>
      <w:fldChar w:fldCharType="separate"/>
    </w:r>
    <w:r>
      <w:rPr>
        <w:b/>
        <w:bCs/>
      </w:rPr>
      <w:t>Error! Reference source not found.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7D85"/>
    <w:multiLevelType w:val="multilevel"/>
    <w:tmpl w:val="4FA03FA4"/>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5BE59F2"/>
    <w:multiLevelType w:val="hybridMultilevel"/>
    <w:tmpl w:val="FC749522"/>
    <w:lvl w:ilvl="0" w:tplc="F9F602E8">
      <w:start w:val="1"/>
      <w:numFmt w:val="decimal"/>
      <w:lvlText w:val="%1."/>
      <w:lvlJc w:val="left"/>
      <w:pPr>
        <w:ind w:left="630" w:hanging="360"/>
      </w:pPr>
      <w:rPr>
        <w:rFonts w:hint="default"/>
        <w:b w:val="0"/>
        <w:color w:val="808080" w:themeColor="background1" w:themeShade="8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15C438FD"/>
    <w:multiLevelType w:val="hybridMultilevel"/>
    <w:tmpl w:val="C2F6F484"/>
    <w:lvl w:ilvl="0" w:tplc="E5D015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D7C43"/>
    <w:multiLevelType w:val="hybridMultilevel"/>
    <w:tmpl w:val="60E6B99C"/>
    <w:lvl w:ilvl="0" w:tplc="84A2D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73CC1"/>
    <w:multiLevelType w:val="multilevel"/>
    <w:tmpl w:val="922C3DF6"/>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7DA60A6"/>
    <w:multiLevelType w:val="hybridMultilevel"/>
    <w:tmpl w:val="A95CC232"/>
    <w:lvl w:ilvl="0" w:tplc="F9F602E8">
      <w:start w:val="1"/>
      <w:numFmt w:val="decimal"/>
      <w:lvlText w:val="%1."/>
      <w:lvlJc w:val="left"/>
      <w:pPr>
        <w:ind w:left="630" w:hanging="360"/>
      </w:pPr>
      <w:rPr>
        <w:rFonts w:hint="default"/>
        <w:b w:val="0"/>
        <w:color w:val="808080" w:themeColor="background1" w:themeShade="8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38BD7D0B"/>
    <w:multiLevelType w:val="hybridMultilevel"/>
    <w:tmpl w:val="C17895F0"/>
    <w:lvl w:ilvl="0" w:tplc="9A28625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97CE1"/>
    <w:multiLevelType w:val="hybridMultilevel"/>
    <w:tmpl w:val="935E0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22EAA"/>
    <w:multiLevelType w:val="hybridMultilevel"/>
    <w:tmpl w:val="E258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019AE"/>
    <w:multiLevelType w:val="multilevel"/>
    <w:tmpl w:val="C4300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7DB563C2"/>
    <w:multiLevelType w:val="hybridMultilevel"/>
    <w:tmpl w:val="95207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89500885">
    <w:abstractNumId w:val="0"/>
  </w:num>
  <w:num w:numId="2" w16cid:durableId="469055289">
    <w:abstractNumId w:val="9"/>
  </w:num>
  <w:num w:numId="3" w16cid:durableId="50929513">
    <w:abstractNumId w:val="2"/>
  </w:num>
  <w:num w:numId="4" w16cid:durableId="736317243">
    <w:abstractNumId w:val="5"/>
  </w:num>
  <w:num w:numId="5" w16cid:durableId="57359524">
    <w:abstractNumId w:val="1"/>
  </w:num>
  <w:num w:numId="6" w16cid:durableId="129710020">
    <w:abstractNumId w:val="0"/>
  </w:num>
  <w:num w:numId="7" w16cid:durableId="1873110916">
    <w:abstractNumId w:val="0"/>
  </w:num>
  <w:num w:numId="8" w16cid:durableId="488862712">
    <w:abstractNumId w:val="0"/>
  </w:num>
  <w:num w:numId="9" w16cid:durableId="487718977">
    <w:abstractNumId w:val="0"/>
  </w:num>
  <w:num w:numId="10" w16cid:durableId="632099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457762">
    <w:abstractNumId w:val="8"/>
  </w:num>
  <w:num w:numId="12" w16cid:durableId="804202140">
    <w:abstractNumId w:val="6"/>
  </w:num>
  <w:num w:numId="13" w16cid:durableId="1729961653">
    <w:abstractNumId w:val="3"/>
  </w:num>
  <w:num w:numId="14" w16cid:durableId="9260465">
    <w:abstractNumId w:val="7"/>
  </w:num>
  <w:num w:numId="15" w16cid:durableId="171195748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B6"/>
    <w:rsid w:val="0000286F"/>
    <w:rsid w:val="0000534F"/>
    <w:rsid w:val="00010313"/>
    <w:rsid w:val="00025F84"/>
    <w:rsid w:val="00026025"/>
    <w:rsid w:val="000262D9"/>
    <w:rsid w:val="00037366"/>
    <w:rsid w:val="000373AD"/>
    <w:rsid w:val="000464BE"/>
    <w:rsid w:val="00051BC4"/>
    <w:rsid w:val="00054096"/>
    <w:rsid w:val="00061899"/>
    <w:rsid w:val="000679C8"/>
    <w:rsid w:val="00081BA2"/>
    <w:rsid w:val="00081C22"/>
    <w:rsid w:val="000864A4"/>
    <w:rsid w:val="000A59DA"/>
    <w:rsid w:val="000B20FD"/>
    <w:rsid w:val="000B2E10"/>
    <w:rsid w:val="000C51B5"/>
    <w:rsid w:val="000E4614"/>
    <w:rsid w:val="000E5398"/>
    <w:rsid w:val="00103F04"/>
    <w:rsid w:val="0010553E"/>
    <w:rsid w:val="00106013"/>
    <w:rsid w:val="001067C7"/>
    <w:rsid w:val="00110B16"/>
    <w:rsid w:val="00121132"/>
    <w:rsid w:val="00123785"/>
    <w:rsid w:val="00124CB5"/>
    <w:rsid w:val="00133D38"/>
    <w:rsid w:val="0013487A"/>
    <w:rsid w:val="00135B33"/>
    <w:rsid w:val="00155577"/>
    <w:rsid w:val="00160D7F"/>
    <w:rsid w:val="001629C6"/>
    <w:rsid w:val="00164BDB"/>
    <w:rsid w:val="00167313"/>
    <w:rsid w:val="00170CD6"/>
    <w:rsid w:val="001841C6"/>
    <w:rsid w:val="0019192B"/>
    <w:rsid w:val="001B5C04"/>
    <w:rsid w:val="001C2C52"/>
    <w:rsid w:val="001C3C7D"/>
    <w:rsid w:val="001D1C11"/>
    <w:rsid w:val="001D59C9"/>
    <w:rsid w:val="001E043D"/>
    <w:rsid w:val="001E6327"/>
    <w:rsid w:val="001F1FC9"/>
    <w:rsid w:val="001F26C9"/>
    <w:rsid w:val="002038A6"/>
    <w:rsid w:val="00204CB4"/>
    <w:rsid w:val="00213247"/>
    <w:rsid w:val="002171CE"/>
    <w:rsid w:val="00217943"/>
    <w:rsid w:val="00227820"/>
    <w:rsid w:val="00243671"/>
    <w:rsid w:val="00244AF8"/>
    <w:rsid w:val="00245660"/>
    <w:rsid w:val="00253901"/>
    <w:rsid w:val="002555C0"/>
    <w:rsid w:val="00257AF1"/>
    <w:rsid w:val="002621DF"/>
    <w:rsid w:val="00285132"/>
    <w:rsid w:val="002868AF"/>
    <w:rsid w:val="00291BDE"/>
    <w:rsid w:val="00291D02"/>
    <w:rsid w:val="002A2541"/>
    <w:rsid w:val="002B40F7"/>
    <w:rsid w:val="002B7A6F"/>
    <w:rsid w:val="002C4E42"/>
    <w:rsid w:val="002D0751"/>
    <w:rsid w:val="002D48A9"/>
    <w:rsid w:val="00305762"/>
    <w:rsid w:val="00323921"/>
    <w:rsid w:val="0032489F"/>
    <w:rsid w:val="0032723F"/>
    <w:rsid w:val="003334BA"/>
    <w:rsid w:val="00343AB6"/>
    <w:rsid w:val="003449FC"/>
    <w:rsid w:val="003546CA"/>
    <w:rsid w:val="003577C7"/>
    <w:rsid w:val="0035792D"/>
    <w:rsid w:val="0036380B"/>
    <w:rsid w:val="00374FEB"/>
    <w:rsid w:val="00387ED6"/>
    <w:rsid w:val="0039697E"/>
    <w:rsid w:val="003A1184"/>
    <w:rsid w:val="003A45CC"/>
    <w:rsid w:val="003A5E9A"/>
    <w:rsid w:val="003A70B4"/>
    <w:rsid w:val="003B0022"/>
    <w:rsid w:val="003C0475"/>
    <w:rsid w:val="003E1B7D"/>
    <w:rsid w:val="003F48BD"/>
    <w:rsid w:val="003F5722"/>
    <w:rsid w:val="00400BCD"/>
    <w:rsid w:val="00407665"/>
    <w:rsid w:val="00407698"/>
    <w:rsid w:val="00433B40"/>
    <w:rsid w:val="00444040"/>
    <w:rsid w:val="00461C98"/>
    <w:rsid w:val="00464D9A"/>
    <w:rsid w:val="0047499E"/>
    <w:rsid w:val="004756D6"/>
    <w:rsid w:val="0047695F"/>
    <w:rsid w:val="00484B4D"/>
    <w:rsid w:val="004B32A2"/>
    <w:rsid w:val="004C07BB"/>
    <w:rsid w:val="004C3487"/>
    <w:rsid w:val="004D74B6"/>
    <w:rsid w:val="004E499D"/>
    <w:rsid w:val="004E7755"/>
    <w:rsid w:val="004F1FDC"/>
    <w:rsid w:val="004F254B"/>
    <w:rsid w:val="004F2EC5"/>
    <w:rsid w:val="005016E6"/>
    <w:rsid w:val="0051273D"/>
    <w:rsid w:val="00524AB7"/>
    <w:rsid w:val="00540599"/>
    <w:rsid w:val="005438A3"/>
    <w:rsid w:val="005534BF"/>
    <w:rsid w:val="00556604"/>
    <w:rsid w:val="00556BF5"/>
    <w:rsid w:val="005624E5"/>
    <w:rsid w:val="005664AB"/>
    <w:rsid w:val="00580502"/>
    <w:rsid w:val="005816C2"/>
    <w:rsid w:val="005873A8"/>
    <w:rsid w:val="00591332"/>
    <w:rsid w:val="005A64BA"/>
    <w:rsid w:val="005B377A"/>
    <w:rsid w:val="005C15EF"/>
    <w:rsid w:val="005E0322"/>
    <w:rsid w:val="005F3B9A"/>
    <w:rsid w:val="005F4A33"/>
    <w:rsid w:val="00600955"/>
    <w:rsid w:val="006055BA"/>
    <w:rsid w:val="00627BE9"/>
    <w:rsid w:val="006340D8"/>
    <w:rsid w:val="00643BB1"/>
    <w:rsid w:val="006601E2"/>
    <w:rsid w:val="006623CD"/>
    <w:rsid w:val="00665D88"/>
    <w:rsid w:val="006662E7"/>
    <w:rsid w:val="0068065B"/>
    <w:rsid w:val="006806DF"/>
    <w:rsid w:val="00681CC1"/>
    <w:rsid w:val="0068511E"/>
    <w:rsid w:val="006A3CD5"/>
    <w:rsid w:val="006B3E5E"/>
    <w:rsid w:val="006C5D52"/>
    <w:rsid w:val="006C7393"/>
    <w:rsid w:val="006C7678"/>
    <w:rsid w:val="006D0B41"/>
    <w:rsid w:val="006E6A59"/>
    <w:rsid w:val="006F084B"/>
    <w:rsid w:val="006F3442"/>
    <w:rsid w:val="006F4A51"/>
    <w:rsid w:val="006F702E"/>
    <w:rsid w:val="0071617A"/>
    <w:rsid w:val="0073267E"/>
    <w:rsid w:val="00735378"/>
    <w:rsid w:val="0074277E"/>
    <w:rsid w:val="00750250"/>
    <w:rsid w:val="0076747F"/>
    <w:rsid w:val="007845D7"/>
    <w:rsid w:val="007A38FA"/>
    <w:rsid w:val="007A6A0F"/>
    <w:rsid w:val="007F4407"/>
    <w:rsid w:val="007F564D"/>
    <w:rsid w:val="007F5FDF"/>
    <w:rsid w:val="007F7988"/>
    <w:rsid w:val="00804228"/>
    <w:rsid w:val="008172B3"/>
    <w:rsid w:val="00832B6F"/>
    <w:rsid w:val="008407B9"/>
    <w:rsid w:val="00841B62"/>
    <w:rsid w:val="00842C1A"/>
    <w:rsid w:val="00843486"/>
    <w:rsid w:val="00845600"/>
    <w:rsid w:val="0085283F"/>
    <w:rsid w:val="00856185"/>
    <w:rsid w:val="00856D91"/>
    <w:rsid w:val="00861583"/>
    <w:rsid w:val="00863AA4"/>
    <w:rsid w:val="00872C37"/>
    <w:rsid w:val="0087320C"/>
    <w:rsid w:val="008744A2"/>
    <w:rsid w:val="00876DCA"/>
    <w:rsid w:val="008800D6"/>
    <w:rsid w:val="008811C4"/>
    <w:rsid w:val="00881D79"/>
    <w:rsid w:val="00890D1E"/>
    <w:rsid w:val="008B113E"/>
    <w:rsid w:val="008B2C10"/>
    <w:rsid w:val="008B6EE1"/>
    <w:rsid w:val="008C43EB"/>
    <w:rsid w:val="008D5407"/>
    <w:rsid w:val="008E2945"/>
    <w:rsid w:val="008E3420"/>
    <w:rsid w:val="008E44C7"/>
    <w:rsid w:val="008F566B"/>
    <w:rsid w:val="008F7CC4"/>
    <w:rsid w:val="00904621"/>
    <w:rsid w:val="00911589"/>
    <w:rsid w:val="00912D82"/>
    <w:rsid w:val="00917D37"/>
    <w:rsid w:val="009372CB"/>
    <w:rsid w:val="00950A89"/>
    <w:rsid w:val="00956E04"/>
    <w:rsid w:val="00961CDF"/>
    <w:rsid w:val="00967724"/>
    <w:rsid w:val="00973AC4"/>
    <w:rsid w:val="00977F48"/>
    <w:rsid w:val="009806EC"/>
    <w:rsid w:val="00984D24"/>
    <w:rsid w:val="00995D21"/>
    <w:rsid w:val="009A32F2"/>
    <w:rsid w:val="009B4455"/>
    <w:rsid w:val="009B7C19"/>
    <w:rsid w:val="009D156B"/>
    <w:rsid w:val="009F2A2A"/>
    <w:rsid w:val="009F6511"/>
    <w:rsid w:val="00A10140"/>
    <w:rsid w:val="00A11F19"/>
    <w:rsid w:val="00A229A2"/>
    <w:rsid w:val="00A24CAD"/>
    <w:rsid w:val="00A25D94"/>
    <w:rsid w:val="00A35054"/>
    <w:rsid w:val="00A52155"/>
    <w:rsid w:val="00A72068"/>
    <w:rsid w:val="00A7275F"/>
    <w:rsid w:val="00A73A6B"/>
    <w:rsid w:val="00A81B28"/>
    <w:rsid w:val="00A950E2"/>
    <w:rsid w:val="00AA038F"/>
    <w:rsid w:val="00AA473E"/>
    <w:rsid w:val="00AB0AAB"/>
    <w:rsid w:val="00AB34E3"/>
    <w:rsid w:val="00AD1C37"/>
    <w:rsid w:val="00AD44B9"/>
    <w:rsid w:val="00AD5A9D"/>
    <w:rsid w:val="00AF082B"/>
    <w:rsid w:val="00B042B6"/>
    <w:rsid w:val="00B13280"/>
    <w:rsid w:val="00B175AF"/>
    <w:rsid w:val="00B2151C"/>
    <w:rsid w:val="00B21D1A"/>
    <w:rsid w:val="00B34CC1"/>
    <w:rsid w:val="00B52D6D"/>
    <w:rsid w:val="00B66A60"/>
    <w:rsid w:val="00B867CD"/>
    <w:rsid w:val="00BA14F9"/>
    <w:rsid w:val="00BA156D"/>
    <w:rsid w:val="00BA1F5B"/>
    <w:rsid w:val="00BB00E9"/>
    <w:rsid w:val="00BB23C8"/>
    <w:rsid w:val="00BB3C1F"/>
    <w:rsid w:val="00BC34FA"/>
    <w:rsid w:val="00BD0E8A"/>
    <w:rsid w:val="00BE1241"/>
    <w:rsid w:val="00C15F4F"/>
    <w:rsid w:val="00C17004"/>
    <w:rsid w:val="00C3290A"/>
    <w:rsid w:val="00C3757D"/>
    <w:rsid w:val="00C376BF"/>
    <w:rsid w:val="00C43DDE"/>
    <w:rsid w:val="00C554D2"/>
    <w:rsid w:val="00C666AC"/>
    <w:rsid w:val="00C80A1F"/>
    <w:rsid w:val="00C81267"/>
    <w:rsid w:val="00C81D83"/>
    <w:rsid w:val="00C86BAA"/>
    <w:rsid w:val="00C87D87"/>
    <w:rsid w:val="00CB1D84"/>
    <w:rsid w:val="00CC739B"/>
    <w:rsid w:val="00CF4527"/>
    <w:rsid w:val="00D1642C"/>
    <w:rsid w:val="00D21F61"/>
    <w:rsid w:val="00D241A0"/>
    <w:rsid w:val="00D402AC"/>
    <w:rsid w:val="00D415AA"/>
    <w:rsid w:val="00D4569B"/>
    <w:rsid w:val="00D466B6"/>
    <w:rsid w:val="00D4731C"/>
    <w:rsid w:val="00D54414"/>
    <w:rsid w:val="00D55239"/>
    <w:rsid w:val="00D5654A"/>
    <w:rsid w:val="00D6136E"/>
    <w:rsid w:val="00D62136"/>
    <w:rsid w:val="00D77AC6"/>
    <w:rsid w:val="00D816C8"/>
    <w:rsid w:val="00D86489"/>
    <w:rsid w:val="00D900E1"/>
    <w:rsid w:val="00D92C64"/>
    <w:rsid w:val="00D93DAE"/>
    <w:rsid w:val="00DA1693"/>
    <w:rsid w:val="00DA4A17"/>
    <w:rsid w:val="00DB1307"/>
    <w:rsid w:val="00DB5EB8"/>
    <w:rsid w:val="00DB6480"/>
    <w:rsid w:val="00DB7903"/>
    <w:rsid w:val="00DE34AB"/>
    <w:rsid w:val="00DE390B"/>
    <w:rsid w:val="00DE4273"/>
    <w:rsid w:val="00DE4A69"/>
    <w:rsid w:val="00DE5954"/>
    <w:rsid w:val="00DE6FC8"/>
    <w:rsid w:val="00DF66D3"/>
    <w:rsid w:val="00E10E97"/>
    <w:rsid w:val="00E11739"/>
    <w:rsid w:val="00E164B5"/>
    <w:rsid w:val="00E17D29"/>
    <w:rsid w:val="00E2643B"/>
    <w:rsid w:val="00E35074"/>
    <w:rsid w:val="00E4272F"/>
    <w:rsid w:val="00E475B0"/>
    <w:rsid w:val="00E540CE"/>
    <w:rsid w:val="00E568D7"/>
    <w:rsid w:val="00E73C16"/>
    <w:rsid w:val="00E80203"/>
    <w:rsid w:val="00E80315"/>
    <w:rsid w:val="00E9174C"/>
    <w:rsid w:val="00EA4E71"/>
    <w:rsid w:val="00EB1B2B"/>
    <w:rsid w:val="00EB3A8F"/>
    <w:rsid w:val="00EC012C"/>
    <w:rsid w:val="00EC08BA"/>
    <w:rsid w:val="00EE341C"/>
    <w:rsid w:val="00EE3C80"/>
    <w:rsid w:val="00EE6626"/>
    <w:rsid w:val="00EE7159"/>
    <w:rsid w:val="00F02A1E"/>
    <w:rsid w:val="00F078FE"/>
    <w:rsid w:val="00F2046B"/>
    <w:rsid w:val="00F321BC"/>
    <w:rsid w:val="00F376AE"/>
    <w:rsid w:val="00F43CBF"/>
    <w:rsid w:val="00F57720"/>
    <w:rsid w:val="00F7289C"/>
    <w:rsid w:val="00F8179F"/>
    <w:rsid w:val="00F86FF1"/>
    <w:rsid w:val="00F91A0D"/>
    <w:rsid w:val="00FB555A"/>
    <w:rsid w:val="00FC13A0"/>
    <w:rsid w:val="00FD4634"/>
    <w:rsid w:val="00FD6B45"/>
    <w:rsid w:val="00FE469B"/>
    <w:rsid w:val="00FE7015"/>
    <w:rsid w:val="00FF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E864C"/>
  <w15:docId w15:val="{EA7C6110-3D8B-4F46-BA63-E74262B5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B6"/>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D466B6"/>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qFormat/>
    <w:rsid w:val="00BA156D"/>
    <w:pPr>
      <w:keepNext/>
      <w:widowControl/>
      <w:outlineLvl w:val="1"/>
    </w:pPr>
    <w:rPr>
      <w:rFonts w:ascii="Calibri" w:hAnsi="Calibri" w:cs="Arial"/>
      <w:bCs/>
      <w:iCs/>
      <w:sz w:val="24"/>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D466B6"/>
    <w:pPr>
      <w:numPr>
        <w:ilvl w:val="2"/>
        <w:numId w:val="1"/>
      </w:numPr>
      <w:spacing w:line="276" w:lineRule="auto"/>
      <w:outlineLvl w:val="2"/>
    </w:pPr>
    <w:rPr>
      <w:rFonts w:ascii="Calibri" w:eastAsiaTheme="minorEastAsia" w:hAnsi="Calibri"/>
      <w:bCs/>
      <w:sz w:val="24"/>
      <w:szCs w:val="24"/>
    </w:rPr>
  </w:style>
  <w:style w:type="paragraph" w:styleId="Heading4">
    <w:name w:val="heading 4"/>
    <w:basedOn w:val="Heading3"/>
    <w:next w:val="Normal"/>
    <w:link w:val="Heading4Char"/>
    <w:autoRedefine/>
    <w:uiPriority w:val="99"/>
    <w:qFormat/>
    <w:rsid w:val="00D1642C"/>
    <w:pPr>
      <w:keepNext/>
      <w:numPr>
        <w:ilvl w:val="0"/>
        <w:numId w:val="0"/>
      </w:numPr>
      <w:spacing w:before="90" w:after="0" w:line="324" w:lineRule="atLeast"/>
      <w:ind w:left="864" w:hanging="864"/>
      <w:outlineLvl w:val="3"/>
    </w:pPr>
    <w:rPr>
      <w:rFonts w:asciiTheme="minorHAnsi" w:hAnsiTheme="minorHAnsi" w:cstheme="minorHAnsi"/>
      <w:b/>
      <w:bCs w:val="0"/>
      <w:iCs/>
      <w:noProof/>
      <w:sz w:val="22"/>
      <w:szCs w:val="22"/>
    </w:rPr>
  </w:style>
  <w:style w:type="paragraph" w:styleId="Heading5">
    <w:name w:val="heading 5"/>
    <w:basedOn w:val="Normal"/>
    <w:next w:val="Normal"/>
    <w:link w:val="Heading5Char"/>
    <w:autoRedefine/>
    <w:uiPriority w:val="99"/>
    <w:qFormat/>
    <w:rsid w:val="00D900E1"/>
    <w:pPr>
      <w:keepNext/>
      <w:keepLines/>
      <w:spacing w:before="90" w:after="0" w:line="324" w:lineRule="atLeast"/>
      <w:ind w:left="1008" w:hanging="1008"/>
      <w:outlineLvl w:val="4"/>
    </w:pPr>
    <w:rPr>
      <w:rFonts w:ascii="Calibri" w:hAnsi="Calibri"/>
      <w:b/>
    </w:rPr>
  </w:style>
  <w:style w:type="paragraph" w:styleId="Heading6">
    <w:name w:val="heading 6"/>
    <w:basedOn w:val="Normal"/>
    <w:next w:val="Normal"/>
    <w:link w:val="Heading6Char"/>
    <w:autoRedefine/>
    <w:uiPriority w:val="99"/>
    <w:qFormat/>
    <w:rsid w:val="00C87D87"/>
    <w:pPr>
      <w:keepNext/>
      <w:keepLines/>
      <w:spacing w:before="200" w:line="276" w:lineRule="auto"/>
      <w:jc w:val="left"/>
      <w:outlineLvl w:val="5"/>
    </w:pPr>
    <w:rPr>
      <w:rFonts w:eastAsiaTheme="majorEastAsia"/>
      <w:b/>
      <w:smallCaps/>
    </w:rPr>
  </w:style>
  <w:style w:type="paragraph" w:styleId="Heading7">
    <w:name w:val="heading 7"/>
    <w:basedOn w:val="Normal"/>
    <w:next w:val="Normal"/>
    <w:link w:val="Heading7Char"/>
    <w:uiPriority w:val="99"/>
    <w:qFormat/>
    <w:rsid w:val="00D466B6"/>
    <w:pPr>
      <w:keepNext/>
      <w:keepLines/>
      <w:numPr>
        <w:ilvl w:val="6"/>
        <w:numId w:val="2"/>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D466B6"/>
    <w:pPr>
      <w:keepNext/>
      <w:keepLines/>
      <w:numPr>
        <w:ilvl w:val="7"/>
        <w:numId w:val="2"/>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D466B6"/>
    <w:pPr>
      <w:keepNext/>
      <w:keepLines/>
      <w:numPr>
        <w:ilvl w:val="8"/>
        <w:numId w:val="2"/>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66B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2171CE"/>
    <w:rPr>
      <w:rFonts w:ascii="Calibri" w:eastAsia="Times New Roman" w:hAnsi="Calibri" w:cs="Arial"/>
      <w:bCs/>
      <w:iCs/>
      <w:sz w:val="24"/>
      <w:szCs w:val="28"/>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D466B6"/>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D1642C"/>
    <w:rPr>
      <w:rFonts w:eastAsiaTheme="minorEastAsia" w:cstheme="minorHAnsi"/>
      <w:b/>
      <w:iCs/>
      <w:noProof/>
    </w:rPr>
  </w:style>
  <w:style w:type="character" w:customStyle="1" w:styleId="Heading5Char">
    <w:name w:val="Heading 5 Char"/>
    <w:basedOn w:val="DefaultParagraphFont"/>
    <w:link w:val="Heading5"/>
    <w:uiPriority w:val="99"/>
    <w:rsid w:val="00D900E1"/>
    <w:rPr>
      <w:rFonts w:ascii="Calibri" w:eastAsia="Times New Roman" w:hAnsi="Calibri" w:cs="Times New Roman"/>
      <w:b/>
      <w:sz w:val="20"/>
    </w:rPr>
  </w:style>
  <w:style w:type="character" w:customStyle="1" w:styleId="Heading6Char">
    <w:name w:val="Heading 6 Char"/>
    <w:basedOn w:val="DefaultParagraphFont"/>
    <w:link w:val="Heading6"/>
    <w:uiPriority w:val="99"/>
    <w:rsid w:val="00C87D87"/>
    <w:rPr>
      <w:rFonts w:eastAsiaTheme="majorEastAsia" w:cs="Times New Roman"/>
      <w:b/>
      <w:smallCaps/>
      <w:sz w:val="20"/>
    </w:rPr>
  </w:style>
  <w:style w:type="character" w:customStyle="1" w:styleId="Heading7Char">
    <w:name w:val="Heading 7 Char"/>
    <w:basedOn w:val="DefaultParagraphFont"/>
    <w:link w:val="Heading7"/>
    <w:uiPriority w:val="99"/>
    <w:rsid w:val="00D466B6"/>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D466B6"/>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D466B6"/>
    <w:rPr>
      <w:rFonts w:ascii="Cambria" w:eastAsia="Times New Roman" w:hAnsi="Cambria" w:cs="Times New Roman"/>
      <w:i/>
      <w:iCs/>
      <w:color w:val="404040"/>
      <w:sz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
    <w:rsid w:val="00D466B6"/>
    <w:rPr>
      <w:rFonts w:asciiTheme="majorHAnsi" w:eastAsiaTheme="majorEastAsia" w:hAnsiTheme="majorHAnsi" w:cstheme="majorBidi"/>
      <w:b/>
      <w:bCs/>
      <w:color w:val="4F81BD" w:themeColor="accent1"/>
      <w:sz w:val="20"/>
    </w:rPr>
  </w:style>
  <w:style w:type="paragraph" w:styleId="Header">
    <w:name w:val="header"/>
    <w:basedOn w:val="Normal"/>
    <w:link w:val="HeaderChar"/>
    <w:uiPriority w:val="99"/>
    <w:rsid w:val="00D466B6"/>
    <w:pPr>
      <w:tabs>
        <w:tab w:val="center" w:pos="4320"/>
        <w:tab w:val="right" w:pos="8640"/>
      </w:tabs>
    </w:pPr>
  </w:style>
  <w:style w:type="character" w:customStyle="1" w:styleId="HeaderChar">
    <w:name w:val="Header Char"/>
    <w:basedOn w:val="DefaultParagraphFont"/>
    <w:link w:val="Header"/>
    <w:uiPriority w:val="99"/>
    <w:rsid w:val="00D466B6"/>
    <w:rPr>
      <w:rFonts w:eastAsia="Times New Roman" w:cs="Times New Roman"/>
      <w:sz w:val="20"/>
    </w:rPr>
  </w:style>
  <w:style w:type="paragraph" w:styleId="Footer">
    <w:name w:val="footer"/>
    <w:basedOn w:val="Normal"/>
    <w:link w:val="FooterChar1"/>
    <w:uiPriority w:val="99"/>
    <w:rsid w:val="00D466B6"/>
    <w:pPr>
      <w:tabs>
        <w:tab w:val="center" w:pos="4320"/>
        <w:tab w:val="right" w:pos="8640"/>
      </w:tabs>
    </w:pPr>
  </w:style>
  <w:style w:type="character" w:customStyle="1" w:styleId="FooterChar1">
    <w:name w:val="Footer Char1"/>
    <w:link w:val="Footer"/>
    <w:uiPriority w:val="99"/>
    <w:locked/>
    <w:rsid w:val="00D466B6"/>
    <w:rPr>
      <w:rFonts w:eastAsia="Times New Roman" w:cs="Times New Roman"/>
      <w:sz w:val="20"/>
    </w:rPr>
  </w:style>
  <w:style w:type="character" w:customStyle="1" w:styleId="FooterChar">
    <w:name w:val="Footer Char"/>
    <w:basedOn w:val="DefaultParagraphFont"/>
    <w:uiPriority w:val="99"/>
    <w:rsid w:val="00D466B6"/>
    <w:rPr>
      <w:rFonts w:eastAsia="Times New Roman" w:cs="Times New Roman"/>
      <w:sz w:val="20"/>
    </w:rPr>
  </w:style>
  <w:style w:type="paragraph" w:styleId="BodyText">
    <w:name w:val="Body Text"/>
    <w:basedOn w:val="Normal"/>
    <w:link w:val="BodyTextChar"/>
    <w:uiPriority w:val="99"/>
    <w:rsid w:val="00D466B6"/>
    <w:rPr>
      <w:sz w:val="28"/>
    </w:rPr>
  </w:style>
  <w:style w:type="character" w:customStyle="1" w:styleId="BodyTextChar">
    <w:name w:val="Body Text Char"/>
    <w:basedOn w:val="DefaultParagraphFont"/>
    <w:link w:val="BodyText"/>
    <w:uiPriority w:val="99"/>
    <w:rsid w:val="00D466B6"/>
    <w:rPr>
      <w:rFonts w:eastAsia="Times New Roman" w:cs="Times New Roman"/>
      <w:sz w:val="28"/>
    </w:rPr>
  </w:style>
  <w:style w:type="paragraph" w:customStyle="1" w:styleId="Style0">
    <w:name w:val="Style0"/>
    <w:uiPriority w:val="99"/>
    <w:rsid w:val="00D466B6"/>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qFormat/>
    <w:rsid w:val="00D466B6"/>
    <w:pPr>
      <w:spacing w:after="0"/>
    </w:p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D466B6"/>
    <w:rPr>
      <w:rFonts w:eastAsia="Times New Roman" w:cs="Times New Roman"/>
      <w:sz w:val="20"/>
    </w:rPr>
  </w:style>
  <w:style w:type="character" w:styleId="FootnoteReference">
    <w:name w:val="footnote reference"/>
    <w:aliases w:val="Footnote_Reference,o,fr,TT - Footnote Reference,FC,Style 9,Style 17,o + Times New Roman"/>
    <w:uiPriority w:val="99"/>
    <w:qFormat/>
    <w:rsid w:val="00D466B6"/>
    <w:rPr>
      <w:rFonts w:ascii="Arial" w:hAnsi="Arial" w:cs="Times New Roman"/>
      <w:sz w:val="20"/>
      <w:vertAlign w:val="superscript"/>
    </w:rPr>
  </w:style>
  <w:style w:type="character" w:styleId="PageNumber">
    <w:name w:val="page number"/>
    <w:uiPriority w:val="99"/>
    <w:rsid w:val="00D466B6"/>
    <w:rPr>
      <w:rFonts w:cs="Times New Roman"/>
    </w:rPr>
  </w:style>
  <w:style w:type="paragraph" w:customStyle="1" w:styleId="PresentedBy">
    <w:name w:val="Presented By"/>
    <w:basedOn w:val="Normal"/>
    <w:link w:val="PresentedByChar"/>
    <w:uiPriority w:val="99"/>
    <w:rsid w:val="00D466B6"/>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D466B6"/>
    <w:rPr>
      <w:rFonts w:ascii="Palatino Linotype" w:eastAsia="Times New Roman" w:hAnsi="Palatino Linotype" w:cs="Times New Roman"/>
      <w:color w:val="6F6754"/>
      <w:sz w:val="20"/>
    </w:rPr>
  </w:style>
  <w:style w:type="character" w:styleId="Hyperlink">
    <w:name w:val="Hyperlink"/>
    <w:uiPriority w:val="99"/>
    <w:rsid w:val="00D466B6"/>
    <w:rPr>
      <w:rFonts w:cs="Times New Roman"/>
      <w:color w:val="0000FF"/>
      <w:u w:val="single"/>
    </w:rPr>
  </w:style>
  <w:style w:type="paragraph" w:styleId="TOC1">
    <w:name w:val="toc 1"/>
    <w:basedOn w:val="Normal"/>
    <w:next w:val="Normal"/>
    <w:autoRedefine/>
    <w:uiPriority w:val="39"/>
    <w:rsid w:val="00D466B6"/>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rsid w:val="00D466B6"/>
    <w:pPr>
      <w:spacing w:before="240" w:after="0"/>
    </w:pPr>
    <w:rPr>
      <w:rFonts w:cstheme="minorHAnsi"/>
      <w:b/>
      <w:bCs/>
      <w:szCs w:val="20"/>
    </w:rPr>
  </w:style>
  <w:style w:type="paragraph" w:styleId="CommentText">
    <w:name w:val="annotation text"/>
    <w:basedOn w:val="Normal"/>
    <w:link w:val="CommentTextChar"/>
    <w:uiPriority w:val="99"/>
    <w:rsid w:val="00D466B6"/>
  </w:style>
  <w:style w:type="character" w:customStyle="1" w:styleId="CommentTextChar">
    <w:name w:val="Comment Text Char"/>
    <w:basedOn w:val="DefaultParagraphFont"/>
    <w:link w:val="CommentText"/>
    <w:uiPriority w:val="99"/>
    <w:rsid w:val="00D466B6"/>
    <w:rPr>
      <w:rFonts w:eastAsia="Times New Roman" w:cs="Times New Roman"/>
      <w:sz w:val="20"/>
    </w:rPr>
  </w:style>
  <w:style w:type="character" w:customStyle="1" w:styleId="CommentSubjectChar">
    <w:name w:val="Comment Subject Char"/>
    <w:basedOn w:val="CommentTextChar"/>
    <w:link w:val="CommentSubject"/>
    <w:uiPriority w:val="99"/>
    <w:semiHidden/>
    <w:rsid w:val="00D466B6"/>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D466B6"/>
    <w:rPr>
      <w:b/>
      <w:bCs/>
    </w:rPr>
  </w:style>
  <w:style w:type="paragraph" w:styleId="BalloonText">
    <w:name w:val="Balloon Text"/>
    <w:basedOn w:val="Normal"/>
    <w:link w:val="BalloonTextChar"/>
    <w:uiPriority w:val="99"/>
    <w:semiHidden/>
    <w:rsid w:val="00D466B6"/>
    <w:rPr>
      <w:rFonts w:ascii="Tahoma" w:hAnsi="Tahoma" w:cs="Tahoma"/>
      <w:sz w:val="16"/>
      <w:szCs w:val="16"/>
    </w:rPr>
  </w:style>
  <w:style w:type="character" w:customStyle="1" w:styleId="BalloonTextChar">
    <w:name w:val="Balloon Text Char"/>
    <w:basedOn w:val="DefaultParagraphFont"/>
    <w:link w:val="BalloonText"/>
    <w:uiPriority w:val="99"/>
    <w:semiHidden/>
    <w:rsid w:val="00D466B6"/>
    <w:rPr>
      <w:rFonts w:ascii="Tahoma" w:eastAsia="Times New Roman" w:hAnsi="Tahoma" w:cs="Tahoma"/>
      <w:sz w:val="16"/>
      <w:szCs w:val="16"/>
    </w:rPr>
  </w:style>
  <w:style w:type="paragraph" w:styleId="NoSpacing">
    <w:name w:val="No Spacing"/>
    <w:uiPriority w:val="99"/>
    <w:qFormat/>
    <w:rsid w:val="00D466B6"/>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466B6"/>
    <w:pPr>
      <w:ind w:left="720"/>
      <w:contextualSpacing/>
    </w:pPr>
  </w:style>
  <w:style w:type="character" w:styleId="BookTitle">
    <w:name w:val="Book Title"/>
    <w:uiPriority w:val="99"/>
    <w:qFormat/>
    <w:rsid w:val="00D466B6"/>
    <w:rPr>
      <w:b/>
      <w:bCs/>
      <w:smallCaps/>
      <w:spacing w:val="5"/>
    </w:rPr>
  </w:style>
  <w:style w:type="paragraph" w:styleId="Title">
    <w:name w:val="Title"/>
    <w:basedOn w:val="Normal"/>
    <w:next w:val="Normal"/>
    <w:link w:val="TitleChar"/>
    <w:uiPriority w:val="99"/>
    <w:qFormat/>
    <w:rsid w:val="00D466B6"/>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D466B6"/>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D466B6"/>
    <w:pPr>
      <w:keepLines/>
      <w:spacing w:before="80" w:after="40"/>
    </w:pPr>
    <w:rPr>
      <w:b/>
      <w:noProof/>
      <w:sz w:val="18"/>
    </w:rPr>
  </w:style>
  <w:style w:type="paragraph" w:customStyle="1" w:styleId="Tablecentered">
    <w:name w:val="Table centered"/>
    <w:basedOn w:val="Normal"/>
    <w:link w:val="TablecenteredChar"/>
    <w:autoRedefine/>
    <w:uiPriority w:val="99"/>
    <w:qFormat/>
    <w:rsid w:val="00D466B6"/>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D466B6"/>
    <w:rPr>
      <w:rFonts w:eastAsia="Times New Roman" w:cs="Times New Roman"/>
      <w:noProof/>
      <w:sz w:val="18"/>
      <w:szCs w:val="18"/>
    </w:rPr>
  </w:style>
  <w:style w:type="paragraph" w:customStyle="1" w:styleId="Tablecenteredbold">
    <w:name w:val="Table centered bold"/>
    <w:basedOn w:val="Tablecentered"/>
    <w:autoRedefine/>
    <w:uiPriority w:val="99"/>
    <w:rsid w:val="00D466B6"/>
    <w:rPr>
      <w:b/>
    </w:rPr>
  </w:style>
  <w:style w:type="paragraph" w:customStyle="1" w:styleId="Heading31">
    <w:name w:val="Heading 3.1"/>
    <w:basedOn w:val="Heading3"/>
    <w:link w:val="Heading31Char"/>
    <w:uiPriority w:val="99"/>
    <w:rsid w:val="00D466B6"/>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D466B6"/>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D466B6"/>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D466B6"/>
    <w:pPr>
      <w:spacing w:after="200" w:line="276" w:lineRule="auto"/>
    </w:pPr>
  </w:style>
  <w:style w:type="character" w:customStyle="1" w:styleId="AnalystTextChar">
    <w:name w:val="Analyst Text Char"/>
    <w:link w:val="AnalystText"/>
    <w:uiPriority w:val="99"/>
    <w:locked/>
    <w:rsid w:val="00D466B6"/>
    <w:rPr>
      <w:rFonts w:eastAsia="Times New Roman" w:cs="Times New Roman"/>
      <w:sz w:val="20"/>
    </w:rPr>
  </w:style>
  <w:style w:type="character" w:customStyle="1" w:styleId="UsernotesChar">
    <w:name w:val="User notes Char"/>
    <w:link w:val="Usernotes"/>
    <w:uiPriority w:val="99"/>
    <w:locked/>
    <w:rsid w:val="00D466B6"/>
    <w:rPr>
      <w:rFonts w:ascii="Comic Sans MS" w:eastAsia="Times New Roman" w:hAnsi="Comic Sans MS" w:cs="Times New Roman"/>
      <w:sz w:val="18"/>
      <w:szCs w:val="18"/>
    </w:rPr>
  </w:style>
  <w:style w:type="paragraph" w:styleId="Caption">
    <w:name w:val="caption"/>
    <w:aliases w:val="Footnotes,Table Caption"/>
    <w:basedOn w:val="Normal"/>
    <w:next w:val="Normal"/>
    <w:link w:val="CaptionChar"/>
    <w:autoRedefine/>
    <w:uiPriority w:val="99"/>
    <w:qFormat/>
    <w:rsid w:val="00556BF5"/>
    <w:pPr>
      <w:keepNext/>
      <w:tabs>
        <w:tab w:val="left" w:pos="1152"/>
      </w:tabs>
      <w:spacing w:after="0"/>
      <w:jc w:val="center"/>
    </w:pPr>
    <w:rPr>
      <w:rFonts w:asciiTheme="majorHAnsi" w:hAnsiTheme="majorHAnsi"/>
      <w:b/>
      <w:sz w:val="24"/>
      <w:szCs w:val="24"/>
      <w:vertAlign w:val="superscript"/>
    </w:rPr>
  </w:style>
  <w:style w:type="character" w:customStyle="1" w:styleId="CaptionChar">
    <w:name w:val="Caption Char"/>
    <w:aliases w:val="Footnotes Char,Table Caption Char"/>
    <w:link w:val="Caption"/>
    <w:uiPriority w:val="99"/>
    <w:locked/>
    <w:rsid w:val="00556BF5"/>
    <w:rPr>
      <w:rFonts w:asciiTheme="majorHAnsi" w:eastAsia="Times New Roman" w:hAnsiTheme="majorHAnsi" w:cs="Times New Roman"/>
      <w:b/>
      <w:sz w:val="24"/>
      <w:szCs w:val="24"/>
      <w:vertAlign w:val="superscript"/>
    </w:rPr>
  </w:style>
  <w:style w:type="paragraph" w:styleId="List">
    <w:name w:val="List"/>
    <w:basedOn w:val="Normal"/>
    <w:uiPriority w:val="99"/>
    <w:rsid w:val="00D466B6"/>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D466B6"/>
    <w:rPr>
      <w:rFonts w:cs="Times New Roman"/>
      <w:b/>
      <w:sz w:val="32"/>
      <w:lang w:val="en-US" w:eastAsia="en-US" w:bidi="ar-SA"/>
    </w:rPr>
  </w:style>
  <w:style w:type="character" w:customStyle="1" w:styleId="MacroTextChar">
    <w:name w:val="Macro Text Char"/>
    <w:basedOn w:val="DefaultParagraphFont"/>
    <w:link w:val="MacroText"/>
    <w:uiPriority w:val="99"/>
    <w:semiHidden/>
    <w:rsid w:val="00D466B6"/>
    <w:rPr>
      <w:rFonts w:ascii="Arial" w:eastAsia="Times New Roman" w:hAnsi="Arial" w:cs="Times New Roman"/>
      <w:sz w:val="20"/>
      <w:szCs w:val="20"/>
    </w:rPr>
  </w:style>
  <w:style w:type="paragraph" w:styleId="MacroText">
    <w:name w:val="macro"/>
    <w:link w:val="MacroTextChar"/>
    <w:uiPriority w:val="99"/>
    <w:semiHidden/>
    <w:rsid w:val="00D466B6"/>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paragraph" w:styleId="BodyTextIndent2">
    <w:name w:val="Body Text Indent 2"/>
    <w:basedOn w:val="Normal"/>
    <w:link w:val="BodyTextIndent2Char"/>
    <w:uiPriority w:val="99"/>
    <w:rsid w:val="00D466B6"/>
    <w:pPr>
      <w:ind w:left="720"/>
    </w:pPr>
  </w:style>
  <w:style w:type="character" w:customStyle="1" w:styleId="BodyTextIndent2Char">
    <w:name w:val="Body Text Indent 2 Char"/>
    <w:basedOn w:val="DefaultParagraphFont"/>
    <w:link w:val="BodyTextIndent2"/>
    <w:uiPriority w:val="99"/>
    <w:rsid w:val="00D466B6"/>
    <w:rPr>
      <w:rFonts w:eastAsia="Times New Roman" w:cs="Times New Roman"/>
      <w:sz w:val="20"/>
    </w:rPr>
  </w:style>
  <w:style w:type="character" w:styleId="FollowedHyperlink">
    <w:name w:val="FollowedHyperlink"/>
    <w:uiPriority w:val="99"/>
    <w:rsid w:val="00D466B6"/>
    <w:rPr>
      <w:rFonts w:cs="Times New Roman"/>
      <w:color w:val="800080"/>
      <w:u w:val="single"/>
    </w:rPr>
  </w:style>
  <w:style w:type="paragraph" w:customStyle="1" w:styleId="Default">
    <w:name w:val="Default"/>
    <w:uiPriority w:val="99"/>
    <w:rsid w:val="00D466B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D466B6"/>
    <w:rPr>
      <w:rFonts w:cs="Times New Roman"/>
      <w:sz w:val="24"/>
      <w:lang w:val="en-US" w:eastAsia="en-US" w:bidi="ar-SA"/>
    </w:rPr>
  </w:style>
  <w:style w:type="paragraph" w:styleId="TOC3">
    <w:name w:val="toc 3"/>
    <w:basedOn w:val="Normal"/>
    <w:next w:val="Normal"/>
    <w:autoRedefine/>
    <w:uiPriority w:val="39"/>
    <w:rsid w:val="00D466B6"/>
    <w:pPr>
      <w:spacing w:after="0"/>
      <w:ind w:left="240"/>
    </w:pPr>
    <w:rPr>
      <w:rFonts w:cstheme="minorHAnsi"/>
      <w:szCs w:val="20"/>
    </w:rPr>
  </w:style>
  <w:style w:type="character" w:customStyle="1" w:styleId="CharChar11">
    <w:name w:val="Char Char11"/>
    <w:uiPriority w:val="99"/>
    <w:locked/>
    <w:rsid w:val="00D466B6"/>
    <w:rPr>
      <w:rFonts w:ascii="Cambria" w:hAnsi="Cambria" w:cs="Times New Roman"/>
      <w:b/>
      <w:bCs/>
      <w:sz w:val="28"/>
      <w:szCs w:val="28"/>
      <w:lang w:val="en-US" w:eastAsia="en-US" w:bidi="ar-SA"/>
    </w:rPr>
  </w:style>
  <w:style w:type="character" w:customStyle="1" w:styleId="CharChar10">
    <w:name w:val="Char Char10"/>
    <w:uiPriority w:val="99"/>
    <w:locked/>
    <w:rsid w:val="00D466B6"/>
    <w:rPr>
      <w:rFonts w:ascii="Cambria" w:hAnsi="Cambria" w:cs="Times New Roman"/>
      <w:b/>
      <w:bCs/>
      <w:sz w:val="26"/>
      <w:szCs w:val="26"/>
      <w:lang w:val="en-US" w:eastAsia="en-US" w:bidi="ar-SA"/>
    </w:rPr>
  </w:style>
  <w:style w:type="character" w:customStyle="1" w:styleId="CharChar9">
    <w:name w:val="Char Char9"/>
    <w:uiPriority w:val="99"/>
    <w:locked/>
    <w:rsid w:val="00D466B6"/>
    <w:rPr>
      <w:rFonts w:ascii="Cambria" w:hAnsi="Cambria" w:cs="Times New Roman"/>
      <w:b/>
      <w:bCs/>
      <w:sz w:val="22"/>
      <w:szCs w:val="22"/>
      <w:lang w:val="en-US" w:eastAsia="en-US" w:bidi="ar-SA"/>
    </w:rPr>
  </w:style>
  <w:style w:type="character" w:customStyle="1" w:styleId="CharChar7">
    <w:name w:val="Char Char7"/>
    <w:uiPriority w:val="99"/>
    <w:locked/>
    <w:rsid w:val="00D466B6"/>
    <w:rPr>
      <w:rFonts w:ascii="Cambria" w:hAnsi="Cambria" w:cs="Times New Roman"/>
      <w:sz w:val="22"/>
      <w:szCs w:val="22"/>
      <w:lang w:val="en-US" w:eastAsia="en-US" w:bidi="ar-SA"/>
    </w:rPr>
  </w:style>
  <w:style w:type="character" w:customStyle="1" w:styleId="CharChar1">
    <w:name w:val="Char Char1"/>
    <w:uiPriority w:val="99"/>
    <w:locked/>
    <w:rsid w:val="00D466B6"/>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D466B6"/>
    <w:pPr>
      <w:tabs>
        <w:tab w:val="num" w:pos="720"/>
      </w:tabs>
      <w:ind w:left="720" w:hanging="360"/>
    </w:pPr>
  </w:style>
  <w:style w:type="character" w:customStyle="1" w:styleId="bodytext0">
    <w:name w:val="bodytext"/>
    <w:uiPriority w:val="99"/>
    <w:rsid w:val="00D466B6"/>
    <w:rPr>
      <w:rFonts w:cs="Times New Roman"/>
    </w:rPr>
  </w:style>
  <w:style w:type="character" w:customStyle="1" w:styleId="StyleBold">
    <w:name w:val="Style Bold"/>
    <w:uiPriority w:val="99"/>
    <w:rsid w:val="00D466B6"/>
    <w:rPr>
      <w:rFonts w:cs="Times New Roman"/>
      <w:b/>
      <w:bCs/>
      <w:sz w:val="20"/>
    </w:rPr>
  </w:style>
  <w:style w:type="character" w:customStyle="1" w:styleId="DocumentMapChar">
    <w:name w:val="Document Map Char"/>
    <w:basedOn w:val="DefaultParagraphFont"/>
    <w:link w:val="DocumentMap"/>
    <w:uiPriority w:val="99"/>
    <w:semiHidden/>
    <w:rsid w:val="00D466B6"/>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D466B6"/>
    <w:pPr>
      <w:shd w:val="clear" w:color="auto" w:fill="000080"/>
    </w:pPr>
    <w:rPr>
      <w:rFonts w:ascii="Tahoma" w:hAnsi="Tahoma" w:cs="Tahoma"/>
    </w:rPr>
  </w:style>
  <w:style w:type="character" w:styleId="CommentReference">
    <w:name w:val="annotation reference"/>
    <w:uiPriority w:val="99"/>
    <w:rsid w:val="00D466B6"/>
    <w:rPr>
      <w:rFonts w:cs="Times New Roman"/>
      <w:sz w:val="16"/>
      <w:szCs w:val="16"/>
    </w:rPr>
  </w:style>
  <w:style w:type="character" w:customStyle="1" w:styleId="apple-style-span">
    <w:name w:val="apple-style-span"/>
    <w:uiPriority w:val="99"/>
    <w:rsid w:val="00D466B6"/>
    <w:rPr>
      <w:rFonts w:cs="Times New Roman"/>
    </w:rPr>
  </w:style>
  <w:style w:type="paragraph" w:styleId="BodyTextIndent3">
    <w:name w:val="Body Text Indent 3"/>
    <w:basedOn w:val="Normal"/>
    <w:link w:val="BodyTextIndent3Char"/>
    <w:uiPriority w:val="99"/>
    <w:rsid w:val="00D466B6"/>
    <w:pPr>
      <w:spacing w:after="120"/>
      <w:ind w:left="360"/>
    </w:pPr>
    <w:rPr>
      <w:sz w:val="16"/>
      <w:szCs w:val="16"/>
    </w:rPr>
  </w:style>
  <w:style w:type="character" w:customStyle="1" w:styleId="BodyTextIndent3Char">
    <w:name w:val="Body Text Indent 3 Char"/>
    <w:basedOn w:val="DefaultParagraphFont"/>
    <w:link w:val="BodyTextIndent3"/>
    <w:uiPriority w:val="99"/>
    <w:rsid w:val="00D466B6"/>
    <w:rPr>
      <w:rFonts w:eastAsia="Times New Roman" w:cs="Times New Roman"/>
      <w:sz w:val="16"/>
      <w:szCs w:val="16"/>
    </w:rPr>
  </w:style>
  <w:style w:type="paragraph" w:styleId="ListBullet">
    <w:name w:val="List Bullet"/>
    <w:basedOn w:val="Normal"/>
    <w:uiPriority w:val="99"/>
    <w:rsid w:val="00D466B6"/>
    <w:pPr>
      <w:tabs>
        <w:tab w:val="num" w:pos="1080"/>
      </w:tabs>
      <w:ind w:left="360" w:hanging="360"/>
    </w:pPr>
  </w:style>
  <w:style w:type="paragraph" w:customStyle="1" w:styleId="xl25">
    <w:name w:val="xl25"/>
    <w:basedOn w:val="Normal"/>
    <w:uiPriority w:val="99"/>
    <w:rsid w:val="00D466B6"/>
    <w:pPr>
      <w:spacing w:before="100" w:beforeAutospacing="1" w:after="100" w:afterAutospacing="1"/>
    </w:pPr>
    <w:rPr>
      <w:rFonts w:ascii="Arial" w:eastAsia="Arial Unicode MS" w:hAnsi="Arial" w:cs="Arial"/>
    </w:rPr>
  </w:style>
  <w:style w:type="character" w:styleId="HTMLCite">
    <w:name w:val="HTML Cite"/>
    <w:uiPriority w:val="99"/>
    <w:rsid w:val="00D466B6"/>
    <w:rPr>
      <w:rFonts w:cs="Times New Roman"/>
      <w:i/>
      <w:iCs/>
    </w:rPr>
  </w:style>
  <w:style w:type="character" w:customStyle="1" w:styleId="apple-converted-space">
    <w:name w:val="apple-converted-space"/>
    <w:rsid w:val="00D466B6"/>
    <w:rPr>
      <w:rFonts w:cs="Times New Roman"/>
    </w:rPr>
  </w:style>
  <w:style w:type="paragraph" w:styleId="TOC4">
    <w:name w:val="toc 4"/>
    <w:basedOn w:val="Normal"/>
    <w:next w:val="Normal"/>
    <w:autoRedefine/>
    <w:uiPriority w:val="39"/>
    <w:rsid w:val="00D466B6"/>
    <w:pPr>
      <w:spacing w:after="0"/>
      <w:ind w:left="480"/>
    </w:pPr>
    <w:rPr>
      <w:rFonts w:cstheme="minorHAnsi"/>
      <w:szCs w:val="20"/>
    </w:rPr>
  </w:style>
  <w:style w:type="paragraph" w:styleId="TOC5">
    <w:name w:val="toc 5"/>
    <w:basedOn w:val="Normal"/>
    <w:next w:val="Normal"/>
    <w:autoRedefine/>
    <w:uiPriority w:val="39"/>
    <w:rsid w:val="00D466B6"/>
    <w:pPr>
      <w:spacing w:after="0"/>
      <w:ind w:left="720"/>
    </w:pPr>
    <w:rPr>
      <w:rFonts w:cstheme="minorHAnsi"/>
      <w:szCs w:val="20"/>
    </w:rPr>
  </w:style>
  <w:style w:type="paragraph" w:styleId="TOC6">
    <w:name w:val="toc 6"/>
    <w:basedOn w:val="Normal"/>
    <w:next w:val="Normal"/>
    <w:autoRedefine/>
    <w:uiPriority w:val="39"/>
    <w:rsid w:val="00D466B6"/>
    <w:pPr>
      <w:spacing w:after="0"/>
      <w:ind w:left="960"/>
    </w:pPr>
    <w:rPr>
      <w:rFonts w:cstheme="minorHAnsi"/>
      <w:szCs w:val="20"/>
    </w:rPr>
  </w:style>
  <w:style w:type="paragraph" w:styleId="TOC7">
    <w:name w:val="toc 7"/>
    <w:basedOn w:val="Normal"/>
    <w:next w:val="Normal"/>
    <w:autoRedefine/>
    <w:uiPriority w:val="39"/>
    <w:rsid w:val="00D466B6"/>
    <w:pPr>
      <w:spacing w:after="0"/>
      <w:ind w:left="1200"/>
    </w:pPr>
    <w:rPr>
      <w:rFonts w:cstheme="minorHAnsi"/>
      <w:szCs w:val="20"/>
    </w:rPr>
  </w:style>
  <w:style w:type="paragraph" w:styleId="TOC8">
    <w:name w:val="toc 8"/>
    <w:basedOn w:val="Normal"/>
    <w:next w:val="Normal"/>
    <w:autoRedefine/>
    <w:uiPriority w:val="39"/>
    <w:rsid w:val="00D466B6"/>
    <w:pPr>
      <w:spacing w:after="0"/>
      <w:ind w:left="1440"/>
    </w:pPr>
    <w:rPr>
      <w:rFonts w:cstheme="minorHAnsi"/>
      <w:szCs w:val="20"/>
    </w:rPr>
  </w:style>
  <w:style w:type="paragraph" w:styleId="TOC9">
    <w:name w:val="toc 9"/>
    <w:basedOn w:val="Normal"/>
    <w:next w:val="Normal"/>
    <w:autoRedefine/>
    <w:uiPriority w:val="39"/>
    <w:rsid w:val="00D466B6"/>
    <w:pPr>
      <w:spacing w:after="0"/>
      <w:ind w:left="1680"/>
    </w:pPr>
    <w:rPr>
      <w:rFonts w:cstheme="minorHAnsi"/>
      <w:szCs w:val="20"/>
    </w:rPr>
  </w:style>
  <w:style w:type="character" w:customStyle="1" w:styleId="CharChar">
    <w:name w:val="Char Char"/>
    <w:uiPriority w:val="99"/>
    <w:rsid w:val="00D466B6"/>
    <w:rPr>
      <w:rFonts w:cs="Times New Roman"/>
      <w:lang w:val="en-US" w:eastAsia="en-US" w:bidi="ar-SA"/>
    </w:rPr>
  </w:style>
  <w:style w:type="character" w:customStyle="1" w:styleId="CharChar4">
    <w:name w:val="Char Char4"/>
    <w:uiPriority w:val="99"/>
    <w:rsid w:val="00D466B6"/>
    <w:rPr>
      <w:rFonts w:cs="Times New Roman"/>
      <w:lang w:val="en-US" w:eastAsia="en-US" w:bidi="ar-SA"/>
    </w:rPr>
  </w:style>
  <w:style w:type="character" w:customStyle="1" w:styleId="CharChar81">
    <w:name w:val="Char Char81"/>
    <w:uiPriority w:val="99"/>
    <w:rsid w:val="00D466B6"/>
    <w:rPr>
      <w:rFonts w:cs="Times New Roman"/>
      <w:sz w:val="24"/>
      <w:lang w:val="en-US" w:eastAsia="en-US" w:bidi="ar-SA"/>
    </w:rPr>
  </w:style>
  <w:style w:type="character" w:customStyle="1" w:styleId="CharChar111">
    <w:name w:val="Char Char111"/>
    <w:uiPriority w:val="99"/>
    <w:locked/>
    <w:rsid w:val="00D466B6"/>
    <w:rPr>
      <w:rFonts w:ascii="Cambria" w:hAnsi="Cambria" w:cs="Times New Roman"/>
      <w:b/>
      <w:bCs/>
      <w:sz w:val="28"/>
      <w:szCs w:val="28"/>
      <w:lang w:val="en-US" w:eastAsia="en-US" w:bidi="ar-SA"/>
    </w:rPr>
  </w:style>
  <w:style w:type="character" w:customStyle="1" w:styleId="CharChar101">
    <w:name w:val="Char Char101"/>
    <w:uiPriority w:val="99"/>
    <w:locked/>
    <w:rsid w:val="00D466B6"/>
    <w:rPr>
      <w:rFonts w:ascii="Cambria" w:hAnsi="Cambria" w:cs="Times New Roman"/>
      <w:b/>
      <w:bCs/>
      <w:sz w:val="26"/>
      <w:szCs w:val="26"/>
      <w:lang w:val="en-US" w:eastAsia="en-US" w:bidi="ar-SA"/>
    </w:rPr>
  </w:style>
  <w:style w:type="character" w:customStyle="1" w:styleId="CharChar91">
    <w:name w:val="Char Char91"/>
    <w:uiPriority w:val="99"/>
    <w:locked/>
    <w:rsid w:val="00D466B6"/>
    <w:rPr>
      <w:rFonts w:ascii="Cambria" w:hAnsi="Cambria" w:cs="Times New Roman"/>
      <w:b/>
      <w:bCs/>
      <w:sz w:val="22"/>
      <w:szCs w:val="22"/>
      <w:lang w:val="en-US" w:eastAsia="en-US" w:bidi="ar-SA"/>
    </w:rPr>
  </w:style>
  <w:style w:type="character" w:customStyle="1" w:styleId="CharChar71">
    <w:name w:val="Char Char71"/>
    <w:uiPriority w:val="99"/>
    <w:locked/>
    <w:rsid w:val="00D466B6"/>
    <w:rPr>
      <w:rFonts w:ascii="Cambria" w:hAnsi="Cambria" w:cs="Times New Roman"/>
      <w:sz w:val="22"/>
      <w:szCs w:val="22"/>
      <w:lang w:val="en-US" w:eastAsia="en-US" w:bidi="ar-SA"/>
    </w:rPr>
  </w:style>
  <w:style w:type="character" w:customStyle="1" w:styleId="CharChar12">
    <w:name w:val="Char Char12"/>
    <w:uiPriority w:val="99"/>
    <w:locked/>
    <w:rsid w:val="00D466B6"/>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D466B6"/>
    <w:pPr>
      <w:keepLines/>
      <w:spacing w:before="480" w:after="0" w:line="276" w:lineRule="auto"/>
      <w:outlineLvl w:val="9"/>
    </w:pPr>
    <w:rPr>
      <w:rFonts w:cs="Times New Roman"/>
      <w:b/>
      <w:color w:val="365F91"/>
      <w:kern w:val="0"/>
      <w:sz w:val="28"/>
      <w:szCs w:val="28"/>
      <w:lang w:eastAsia="ja-JP"/>
    </w:rPr>
  </w:style>
  <w:style w:type="character" w:styleId="Strong">
    <w:name w:val="Strong"/>
    <w:basedOn w:val="DefaultParagraphFont"/>
    <w:uiPriority w:val="22"/>
    <w:rsid w:val="00D466B6"/>
    <w:rPr>
      <w:b/>
      <w:bCs/>
    </w:rPr>
  </w:style>
  <w:style w:type="paragraph" w:customStyle="1" w:styleId="TableText">
    <w:name w:val="Table Text"/>
    <w:basedOn w:val="Normal"/>
    <w:autoRedefine/>
    <w:qFormat/>
    <w:rsid w:val="00D466B6"/>
    <w:pPr>
      <w:spacing w:after="0"/>
      <w:jc w:val="center"/>
    </w:pPr>
    <w:rPr>
      <w:rFonts w:cs="Arial"/>
      <w:noProof/>
      <w:szCs w:val="18"/>
      <w:lang w:val="en"/>
    </w:rPr>
  </w:style>
  <w:style w:type="paragraph" w:customStyle="1" w:styleId="NormalTRM">
    <w:name w:val="Normal TRM"/>
    <w:basedOn w:val="Normal"/>
    <w:link w:val="NormalTRMChar"/>
    <w:rsid w:val="00D466B6"/>
  </w:style>
  <w:style w:type="character" w:customStyle="1" w:styleId="NormalTRMChar">
    <w:name w:val="Normal TRM Char"/>
    <w:basedOn w:val="DefaultParagraphFont"/>
    <w:link w:val="NormalTRM"/>
    <w:rsid w:val="00D466B6"/>
    <w:rPr>
      <w:rFonts w:eastAsia="Times New Roman" w:cs="Times New Roman"/>
      <w:sz w:val="20"/>
    </w:rPr>
  </w:style>
  <w:style w:type="paragraph" w:styleId="EndnoteText">
    <w:name w:val="endnote text"/>
    <w:basedOn w:val="Normal"/>
    <w:link w:val="EndnoteTextChar"/>
    <w:uiPriority w:val="99"/>
    <w:unhideWhenUsed/>
    <w:rsid w:val="00D466B6"/>
    <w:pPr>
      <w:spacing w:after="0"/>
    </w:pPr>
    <w:rPr>
      <w:rFonts w:ascii="Calibri" w:hAnsi="Calibri"/>
      <w:szCs w:val="20"/>
    </w:rPr>
  </w:style>
  <w:style w:type="character" w:customStyle="1" w:styleId="EndnoteTextChar">
    <w:name w:val="Endnote Text Char"/>
    <w:basedOn w:val="DefaultParagraphFont"/>
    <w:link w:val="EndnoteText"/>
    <w:uiPriority w:val="99"/>
    <w:rsid w:val="00D466B6"/>
    <w:rPr>
      <w:rFonts w:ascii="Calibri" w:eastAsia="Times New Roman" w:hAnsi="Calibri" w:cs="Times New Roman"/>
      <w:sz w:val="20"/>
      <w:szCs w:val="20"/>
    </w:rPr>
  </w:style>
  <w:style w:type="paragraph" w:customStyle="1" w:styleId="Footnote">
    <w:name w:val="Footnote"/>
    <w:basedOn w:val="FootnoteText"/>
    <w:link w:val="FootnoteChar"/>
    <w:autoRedefine/>
    <w:qFormat/>
    <w:rsid w:val="00D466B6"/>
    <w:pPr>
      <w:jc w:val="left"/>
    </w:pPr>
    <w:rPr>
      <w:rFonts w:cstheme="minorHAnsi"/>
      <w:szCs w:val="20"/>
    </w:rPr>
  </w:style>
  <w:style w:type="character" w:customStyle="1" w:styleId="FootnoteChar">
    <w:name w:val="Footnote Char"/>
    <w:basedOn w:val="footnoteChar0"/>
    <w:link w:val="Footnote"/>
    <w:rsid w:val="00D466B6"/>
    <w:rPr>
      <w:rFonts w:eastAsia="Times New Roman" w:cstheme="minorHAnsi"/>
      <w:sz w:val="20"/>
      <w:szCs w:val="20"/>
    </w:rPr>
  </w:style>
  <w:style w:type="character" w:customStyle="1" w:styleId="footnoteChar0">
    <w:name w:val="footnote Char"/>
    <w:basedOn w:val="FootnoteTextChar"/>
    <w:link w:val="footnote0"/>
    <w:rsid w:val="00D466B6"/>
    <w:rPr>
      <w:rFonts w:eastAsia="Times New Roman" w:cs="Times New Roman"/>
      <w:sz w:val="18"/>
      <w:szCs w:val="24"/>
    </w:rPr>
  </w:style>
  <w:style w:type="paragraph" w:customStyle="1" w:styleId="footnote0">
    <w:name w:val="footnote"/>
    <w:basedOn w:val="FootnoteText"/>
    <w:link w:val="footnoteChar0"/>
    <w:rsid w:val="00D466B6"/>
    <w:rPr>
      <w:sz w:val="18"/>
      <w:szCs w:val="24"/>
    </w:rPr>
  </w:style>
  <w:style w:type="paragraph" w:styleId="TableofFigures">
    <w:name w:val="table of figures"/>
    <w:basedOn w:val="Normal"/>
    <w:next w:val="Normal"/>
    <w:uiPriority w:val="99"/>
    <w:unhideWhenUsed/>
    <w:rsid w:val="00D466B6"/>
    <w:pPr>
      <w:spacing w:after="0"/>
    </w:pPr>
  </w:style>
  <w:style w:type="table" w:customStyle="1" w:styleId="TableGrid1">
    <w:name w:val="Table Grid1"/>
    <w:basedOn w:val="TableNormal"/>
    <w:next w:val="TableGrid"/>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Table">
    <w:name w:val="Technical Table"/>
    <w:basedOn w:val="Normal"/>
    <w:link w:val="TechnicalTableChar"/>
    <w:autoRedefine/>
    <w:qFormat/>
    <w:rsid w:val="00D466B6"/>
    <w:pPr>
      <w:spacing w:after="0"/>
      <w:jc w:val="left"/>
    </w:pPr>
    <w:rPr>
      <w:rFonts w:cstheme="minorHAnsi"/>
    </w:rPr>
  </w:style>
  <w:style w:type="character" w:customStyle="1" w:styleId="TechnicalTableChar">
    <w:name w:val="Technical Table Char"/>
    <w:basedOn w:val="DefaultParagraphFont"/>
    <w:link w:val="TechnicalTable"/>
    <w:rsid w:val="00D466B6"/>
    <w:rPr>
      <w:rFonts w:eastAsia="Times New Roman" w:cstheme="minorHAnsi"/>
      <w:sz w:val="20"/>
    </w:rPr>
  </w:style>
  <w:style w:type="paragraph" w:customStyle="1" w:styleId="AlgorithmHeading">
    <w:name w:val="Algorithm Heading"/>
    <w:basedOn w:val="Normal"/>
    <w:link w:val="AlgorithmHeadingChar"/>
    <w:qFormat/>
    <w:rsid w:val="00D466B6"/>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D466B6"/>
    <w:rPr>
      <w:rFonts w:eastAsia="Times New Roman" w:cstheme="minorHAnsi"/>
      <w:b/>
      <w:sz w:val="20"/>
      <w:szCs w:val="20"/>
    </w:rPr>
  </w:style>
  <w:style w:type="paragraph" w:customStyle="1" w:styleId="Captions">
    <w:name w:val="Captions"/>
    <w:basedOn w:val="Title"/>
    <w:link w:val="CaptionsChar"/>
    <w:autoRedefine/>
    <w:qFormat/>
    <w:rsid w:val="00E11739"/>
    <w:pPr>
      <w:pBdr>
        <w:bottom w:val="none" w:sz="0" w:space="0" w:color="auto"/>
      </w:pBdr>
      <w:spacing w:after="120"/>
      <w:jc w:val="center"/>
    </w:pPr>
    <w:rPr>
      <w:rFonts w:asciiTheme="minorHAnsi" w:hAnsiTheme="minorHAnsi" w:cstheme="minorHAnsi"/>
      <w:b/>
      <w:sz w:val="24"/>
      <w:szCs w:val="24"/>
    </w:rPr>
  </w:style>
  <w:style w:type="character" w:customStyle="1" w:styleId="CaptionsChar">
    <w:name w:val="Captions Char"/>
    <w:basedOn w:val="TitleChar"/>
    <w:link w:val="Captions"/>
    <w:rsid w:val="00E11739"/>
    <w:rPr>
      <w:rFonts w:ascii="Cambria" w:eastAsia="Times New Roman" w:hAnsi="Cambria" w:cstheme="minorHAnsi"/>
      <w:b/>
      <w:color w:val="000000"/>
      <w:spacing w:val="5"/>
      <w:kern w:val="28"/>
      <w:sz w:val="24"/>
      <w:szCs w:val="24"/>
    </w:rPr>
  </w:style>
  <w:style w:type="paragraph" w:customStyle="1" w:styleId="FormH2">
    <w:name w:val="Form H2"/>
    <w:basedOn w:val="NormalWeb"/>
    <w:link w:val="FormH2Char"/>
    <w:qFormat/>
    <w:rsid w:val="00D466B6"/>
    <w:pPr>
      <w:ind w:left="1440"/>
    </w:pPr>
    <w:rPr>
      <w:rFonts w:ascii="Calibri" w:hAnsi="Calibri" w:cs="Arial"/>
    </w:rPr>
  </w:style>
  <w:style w:type="paragraph" w:styleId="NormalWeb">
    <w:name w:val="Normal (Web)"/>
    <w:basedOn w:val="Normal"/>
    <w:uiPriority w:val="99"/>
    <w:unhideWhenUsed/>
    <w:rsid w:val="00D466B6"/>
    <w:rPr>
      <w:rFonts w:ascii="Times New Roman" w:hAnsi="Times New Roman"/>
      <w:sz w:val="24"/>
      <w:szCs w:val="24"/>
    </w:rPr>
  </w:style>
  <w:style w:type="character" w:customStyle="1" w:styleId="FormH2Char">
    <w:name w:val="Form H2 Char"/>
    <w:basedOn w:val="Heading2Char"/>
    <w:link w:val="FormH2"/>
    <w:rsid w:val="00D466B6"/>
    <w:rPr>
      <w:rFonts w:ascii="Calibri" w:eastAsia="Times New Roman" w:hAnsi="Calibri" w:cs="Arial"/>
      <w:bCs w:val="0"/>
      <w:iCs w:val="0"/>
      <w:sz w:val="24"/>
      <w:szCs w:val="24"/>
    </w:rPr>
  </w:style>
  <w:style w:type="paragraph" w:customStyle="1" w:styleId="Form">
    <w:name w:val="Form"/>
    <w:basedOn w:val="NormalWeb"/>
    <w:next w:val="Normal"/>
    <w:link w:val="FormChar"/>
    <w:qFormat/>
    <w:rsid w:val="00D466B6"/>
    <w:rPr>
      <w:rFonts w:ascii="Calibri" w:hAnsi="Calibri" w:cs="Arial"/>
    </w:rPr>
  </w:style>
  <w:style w:type="character" w:customStyle="1" w:styleId="FormChar">
    <w:name w:val="Form Char"/>
    <w:basedOn w:val="Heading2Char"/>
    <w:link w:val="Form"/>
    <w:rsid w:val="00D466B6"/>
    <w:rPr>
      <w:rFonts w:ascii="Calibri" w:eastAsia="Times New Roman" w:hAnsi="Calibri" w:cs="Arial"/>
      <w:bCs w:val="0"/>
      <w:iCs w:val="0"/>
      <w:sz w:val="24"/>
      <w:szCs w:val="24"/>
    </w:rPr>
  </w:style>
  <w:style w:type="paragraph" w:customStyle="1" w:styleId="FormH4">
    <w:name w:val="Form H4"/>
    <w:basedOn w:val="FormH2"/>
    <w:link w:val="FormH4Char"/>
    <w:qFormat/>
    <w:rsid w:val="00D466B6"/>
    <w:pPr>
      <w:keepNext/>
      <w:keepLines/>
      <w:spacing w:before="200" w:after="0" w:line="276" w:lineRule="auto"/>
      <w:ind w:left="1800"/>
      <w:jc w:val="left"/>
      <w:outlineLvl w:val="1"/>
    </w:pPr>
    <w:rPr>
      <w:bCs/>
      <w:iCs/>
      <w:sz w:val="28"/>
      <w:szCs w:val="28"/>
    </w:rPr>
  </w:style>
  <w:style w:type="character" w:customStyle="1" w:styleId="FormH4Char">
    <w:name w:val="Form H4 Char"/>
    <w:basedOn w:val="FormH2Char"/>
    <w:link w:val="FormH4"/>
    <w:rsid w:val="00D466B6"/>
    <w:rPr>
      <w:rFonts w:ascii="Calibri" w:eastAsia="Times New Roman" w:hAnsi="Calibri" w:cs="Arial"/>
      <w:bCs/>
      <w:iCs/>
      <w:sz w:val="28"/>
      <w:szCs w:val="28"/>
    </w:rPr>
  </w:style>
  <w:style w:type="paragraph" w:customStyle="1" w:styleId="Normal1">
    <w:name w:val="Normal1"/>
    <w:basedOn w:val="Normal"/>
    <w:uiPriority w:val="99"/>
    <w:rsid w:val="00D466B6"/>
    <w:pPr>
      <w:autoSpaceDE w:val="0"/>
      <w:autoSpaceDN w:val="0"/>
      <w:spacing w:after="0"/>
      <w:jc w:val="left"/>
    </w:pPr>
    <w:rPr>
      <w:rFonts w:ascii="Arial" w:hAnsi="Arial" w:cs="Arial"/>
      <w:sz w:val="24"/>
      <w:szCs w:val="24"/>
    </w:rPr>
  </w:style>
  <w:style w:type="paragraph" w:customStyle="1" w:styleId="whs2">
    <w:name w:val="whs2"/>
    <w:basedOn w:val="Normal"/>
    <w:uiPriority w:val="99"/>
    <w:rsid w:val="00D466B6"/>
    <w:pPr>
      <w:spacing w:after="0"/>
      <w:jc w:val="left"/>
    </w:pPr>
    <w:rPr>
      <w:rFonts w:ascii="Arial" w:hAnsi="Arial" w:cs="Arial"/>
      <w:szCs w:val="20"/>
    </w:rPr>
  </w:style>
  <w:style w:type="paragraph" w:customStyle="1" w:styleId="font5">
    <w:name w:val="font5"/>
    <w:basedOn w:val="Normal"/>
    <w:uiPriority w:val="99"/>
    <w:rsid w:val="00D466B6"/>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D466B6"/>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uiPriority w:val="99"/>
    <w:rsid w:val="00D466B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uiPriority w:val="99"/>
    <w:rsid w:val="00D466B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D466B6"/>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D466B6"/>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D466B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D466B6"/>
  </w:style>
  <w:style w:type="paragraph" w:customStyle="1" w:styleId="TableandFigureCaption">
    <w:name w:val="Table and Figure Caption"/>
    <w:basedOn w:val="Tablecentered"/>
    <w:link w:val="TableandFigureCaptionChar"/>
    <w:autoRedefine/>
    <w:qFormat/>
    <w:rsid w:val="00D466B6"/>
    <w:pPr>
      <w:tabs>
        <w:tab w:val="clear" w:pos="6750"/>
      </w:tabs>
    </w:pPr>
  </w:style>
  <w:style w:type="character" w:customStyle="1" w:styleId="TableandFigureCaptionChar">
    <w:name w:val="Table and Figure Caption Char"/>
    <w:basedOn w:val="TablecenteredChar"/>
    <w:link w:val="TableandFigureCaption"/>
    <w:rsid w:val="00D466B6"/>
    <w:rPr>
      <w:rFonts w:eastAsia="Times New Roman" w:cs="Times New Roman"/>
      <w:noProof/>
      <w:sz w:val="18"/>
      <w:szCs w:val="18"/>
    </w:rPr>
  </w:style>
  <w:style w:type="paragraph" w:customStyle="1" w:styleId="TableHeading">
    <w:name w:val="Table Heading"/>
    <w:basedOn w:val="TableText"/>
    <w:autoRedefine/>
    <w:uiPriority w:val="99"/>
    <w:qFormat/>
    <w:rsid w:val="00D466B6"/>
    <w:rPr>
      <w:rFonts w:ascii="Calibri" w:hAnsi="Calibri" w:cs="Times New Roman"/>
      <w:b/>
      <w:color w:val="FFFFFF" w:themeColor="background1"/>
      <w:szCs w:val="24"/>
      <w:lang w:val="en-US"/>
    </w:rPr>
  </w:style>
  <w:style w:type="character" w:customStyle="1" w:styleId="StyleFootnoteReferenceBodyCalibriBackground1">
    <w:name w:val="Style Footnote Reference + +Body (Calibri) Background 1"/>
    <w:basedOn w:val="FootnoteReference"/>
    <w:rsid w:val="00D466B6"/>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D466B6"/>
    <w:pPr>
      <w:spacing w:after="0"/>
    </w:pPr>
    <w:rPr>
      <w:rFonts w:cstheme="minorHAnsi"/>
    </w:rPr>
  </w:style>
  <w:style w:type="character" w:customStyle="1" w:styleId="VersionTextChar">
    <w:name w:val="Version Text Char"/>
    <w:basedOn w:val="DefaultParagraphFont"/>
    <w:link w:val="VersionText"/>
    <w:rsid w:val="00D466B6"/>
    <w:rPr>
      <w:rFonts w:eastAsia="Times New Roman" w:cstheme="minorHAnsi"/>
      <w:sz w:val="20"/>
    </w:rPr>
  </w:style>
  <w:style w:type="paragraph" w:customStyle="1" w:styleId="VersionandDate">
    <w:name w:val="Version and Date"/>
    <w:basedOn w:val="Normal"/>
    <w:link w:val="VersionandDateChar"/>
    <w:qFormat/>
    <w:rsid w:val="00D466B6"/>
    <w:pPr>
      <w:spacing w:after="0"/>
      <w:jc w:val="left"/>
    </w:pPr>
    <w:rPr>
      <w:rFonts w:ascii="Times New Roman" w:hAnsi="Times New Roman"/>
      <w:szCs w:val="20"/>
    </w:rPr>
  </w:style>
  <w:style w:type="character" w:customStyle="1" w:styleId="VersionandDateChar">
    <w:name w:val="Version and Date Char"/>
    <w:basedOn w:val="DefaultParagraphFont"/>
    <w:link w:val="VersionandDate"/>
    <w:rsid w:val="00D466B6"/>
    <w:rPr>
      <w:rFonts w:ascii="Times New Roman" w:eastAsia="Times New Roman" w:hAnsi="Times New Roman" w:cs="Times New Roman"/>
      <w:sz w:val="20"/>
      <w:szCs w:val="20"/>
    </w:rPr>
  </w:style>
  <w:style w:type="character" w:customStyle="1" w:styleId="FootnoteTextChar2">
    <w:name w:val="Footnote Text Char2"/>
    <w:uiPriority w:val="99"/>
    <w:locked/>
    <w:rsid w:val="00D466B6"/>
    <w:rPr>
      <w:sz w:val="18"/>
      <w:lang w:val="en-US" w:eastAsia="en-US" w:bidi="ar-SA"/>
    </w:rPr>
  </w:style>
  <w:style w:type="paragraph" w:customStyle="1" w:styleId="HeaderIL">
    <w:name w:val="Header IL"/>
    <w:basedOn w:val="Header"/>
    <w:link w:val="HeaderILChar"/>
    <w:qFormat/>
    <w:rsid w:val="00D466B6"/>
    <w:pPr>
      <w:pBdr>
        <w:bottom w:val="single" w:sz="4" w:space="0" w:color="auto"/>
      </w:pBdr>
      <w:spacing w:after="0"/>
      <w:jc w:val="left"/>
    </w:pPr>
  </w:style>
  <w:style w:type="character" w:customStyle="1" w:styleId="HeaderILChar">
    <w:name w:val="Header IL Char"/>
    <w:basedOn w:val="HeaderChar"/>
    <w:link w:val="HeaderIL"/>
    <w:rsid w:val="00D466B6"/>
    <w:rPr>
      <w:rFonts w:eastAsia="Times New Roman" w:cs="Times New Roman"/>
      <w:sz w:val="20"/>
    </w:rPr>
  </w:style>
  <w:style w:type="paragraph" w:customStyle="1" w:styleId="h5">
    <w:name w:val="h5"/>
    <w:basedOn w:val="Normal"/>
    <w:rsid w:val="001E6327"/>
    <w:pPr>
      <w:widowControl/>
      <w:spacing w:before="100" w:beforeAutospacing="1" w:after="100" w:afterAutospacing="1"/>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911589"/>
    <w:rPr>
      <w:color w:val="605E5C"/>
      <w:shd w:val="clear" w:color="auto" w:fill="E1DFDD"/>
    </w:rPr>
  </w:style>
  <w:style w:type="character" w:styleId="Mention">
    <w:name w:val="Mention"/>
    <w:basedOn w:val="DefaultParagraphFont"/>
    <w:uiPriority w:val="99"/>
    <w:unhideWhenUsed/>
    <w:rsid w:val="004E7755"/>
    <w:rPr>
      <w:color w:val="2B579A"/>
      <w:shd w:val="clear" w:color="auto" w:fill="E1DFDD"/>
    </w:rPr>
  </w:style>
  <w:style w:type="paragraph" w:styleId="Revision">
    <w:name w:val="Revision"/>
    <w:hidden/>
    <w:uiPriority w:val="99"/>
    <w:semiHidden/>
    <w:rsid w:val="00B21D1A"/>
    <w:pPr>
      <w:spacing w:after="0" w:line="240" w:lineRule="auto"/>
    </w:pPr>
    <w:rPr>
      <w:rFonts w:eastAsia="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7094">
      <w:bodyDiv w:val="1"/>
      <w:marLeft w:val="0"/>
      <w:marRight w:val="0"/>
      <w:marTop w:val="0"/>
      <w:marBottom w:val="0"/>
      <w:divBdr>
        <w:top w:val="none" w:sz="0" w:space="0" w:color="auto"/>
        <w:left w:val="none" w:sz="0" w:space="0" w:color="auto"/>
        <w:bottom w:val="none" w:sz="0" w:space="0" w:color="auto"/>
        <w:right w:val="none" w:sz="0" w:space="0" w:color="auto"/>
      </w:divBdr>
    </w:div>
    <w:div w:id="190846070">
      <w:bodyDiv w:val="1"/>
      <w:marLeft w:val="0"/>
      <w:marRight w:val="0"/>
      <w:marTop w:val="0"/>
      <w:marBottom w:val="0"/>
      <w:divBdr>
        <w:top w:val="none" w:sz="0" w:space="0" w:color="auto"/>
        <w:left w:val="none" w:sz="0" w:space="0" w:color="auto"/>
        <w:bottom w:val="none" w:sz="0" w:space="0" w:color="auto"/>
        <w:right w:val="none" w:sz="0" w:space="0" w:color="auto"/>
      </w:divBdr>
    </w:div>
    <w:div w:id="316763068">
      <w:bodyDiv w:val="1"/>
      <w:marLeft w:val="0"/>
      <w:marRight w:val="0"/>
      <w:marTop w:val="0"/>
      <w:marBottom w:val="0"/>
      <w:divBdr>
        <w:top w:val="none" w:sz="0" w:space="0" w:color="auto"/>
        <w:left w:val="none" w:sz="0" w:space="0" w:color="auto"/>
        <w:bottom w:val="none" w:sz="0" w:space="0" w:color="auto"/>
        <w:right w:val="none" w:sz="0" w:space="0" w:color="auto"/>
      </w:divBdr>
    </w:div>
    <w:div w:id="436632402">
      <w:bodyDiv w:val="1"/>
      <w:marLeft w:val="0"/>
      <w:marRight w:val="0"/>
      <w:marTop w:val="0"/>
      <w:marBottom w:val="0"/>
      <w:divBdr>
        <w:top w:val="none" w:sz="0" w:space="0" w:color="auto"/>
        <w:left w:val="none" w:sz="0" w:space="0" w:color="auto"/>
        <w:bottom w:val="none" w:sz="0" w:space="0" w:color="auto"/>
        <w:right w:val="none" w:sz="0" w:space="0" w:color="auto"/>
      </w:divBdr>
    </w:div>
    <w:div w:id="1111704650">
      <w:bodyDiv w:val="1"/>
      <w:marLeft w:val="0"/>
      <w:marRight w:val="0"/>
      <w:marTop w:val="0"/>
      <w:marBottom w:val="0"/>
      <w:divBdr>
        <w:top w:val="none" w:sz="0" w:space="0" w:color="auto"/>
        <w:left w:val="none" w:sz="0" w:space="0" w:color="auto"/>
        <w:bottom w:val="none" w:sz="0" w:space="0" w:color="auto"/>
        <w:right w:val="none" w:sz="0" w:space="0" w:color="auto"/>
      </w:divBdr>
    </w:div>
    <w:div w:id="1359433159">
      <w:bodyDiv w:val="1"/>
      <w:marLeft w:val="0"/>
      <w:marRight w:val="0"/>
      <w:marTop w:val="0"/>
      <w:marBottom w:val="0"/>
      <w:divBdr>
        <w:top w:val="none" w:sz="0" w:space="0" w:color="auto"/>
        <w:left w:val="none" w:sz="0" w:space="0" w:color="auto"/>
        <w:bottom w:val="none" w:sz="0" w:space="0" w:color="auto"/>
        <w:right w:val="none" w:sz="0" w:space="0" w:color="auto"/>
      </w:divBdr>
    </w:div>
    <w:div w:id="1534079585">
      <w:bodyDiv w:val="1"/>
      <w:marLeft w:val="0"/>
      <w:marRight w:val="0"/>
      <w:marTop w:val="0"/>
      <w:marBottom w:val="0"/>
      <w:divBdr>
        <w:top w:val="none" w:sz="0" w:space="0" w:color="auto"/>
        <w:left w:val="none" w:sz="0" w:space="0" w:color="auto"/>
        <w:bottom w:val="none" w:sz="0" w:space="0" w:color="auto"/>
        <w:right w:val="none" w:sz="0" w:space="0" w:color="auto"/>
      </w:divBdr>
    </w:div>
    <w:div w:id="1558663225">
      <w:bodyDiv w:val="1"/>
      <w:marLeft w:val="0"/>
      <w:marRight w:val="0"/>
      <w:marTop w:val="0"/>
      <w:marBottom w:val="0"/>
      <w:divBdr>
        <w:top w:val="none" w:sz="0" w:space="0" w:color="auto"/>
        <w:left w:val="none" w:sz="0" w:space="0" w:color="auto"/>
        <w:bottom w:val="none" w:sz="0" w:space="0" w:color="auto"/>
        <w:right w:val="none" w:sz="0" w:space="0" w:color="auto"/>
      </w:divBdr>
    </w:div>
    <w:div w:id="1681666003">
      <w:bodyDiv w:val="1"/>
      <w:marLeft w:val="0"/>
      <w:marRight w:val="0"/>
      <w:marTop w:val="0"/>
      <w:marBottom w:val="0"/>
      <w:divBdr>
        <w:top w:val="none" w:sz="0" w:space="0" w:color="auto"/>
        <w:left w:val="none" w:sz="0" w:space="0" w:color="auto"/>
        <w:bottom w:val="none" w:sz="0" w:space="0" w:color="auto"/>
        <w:right w:val="none" w:sz="0" w:space="0" w:color="auto"/>
      </w:divBdr>
    </w:div>
    <w:div w:id="1824002398">
      <w:bodyDiv w:val="1"/>
      <w:marLeft w:val="0"/>
      <w:marRight w:val="0"/>
      <w:marTop w:val="0"/>
      <w:marBottom w:val="0"/>
      <w:divBdr>
        <w:top w:val="none" w:sz="0" w:space="0" w:color="auto"/>
        <w:left w:val="none" w:sz="0" w:space="0" w:color="auto"/>
        <w:bottom w:val="none" w:sz="0" w:space="0" w:color="auto"/>
        <w:right w:val="none" w:sz="0" w:space="0" w:color="auto"/>
      </w:divBdr>
    </w:div>
    <w:div w:id="1840195187">
      <w:bodyDiv w:val="1"/>
      <w:marLeft w:val="0"/>
      <w:marRight w:val="0"/>
      <w:marTop w:val="0"/>
      <w:marBottom w:val="0"/>
      <w:divBdr>
        <w:top w:val="none" w:sz="0" w:space="0" w:color="auto"/>
        <w:left w:val="none" w:sz="0" w:space="0" w:color="auto"/>
        <w:bottom w:val="none" w:sz="0" w:space="0" w:color="auto"/>
        <w:right w:val="none" w:sz="0" w:space="0" w:color="auto"/>
      </w:divBdr>
    </w:div>
    <w:div w:id="1947729973">
      <w:bodyDiv w:val="1"/>
      <w:marLeft w:val="0"/>
      <w:marRight w:val="0"/>
      <w:marTop w:val="0"/>
      <w:marBottom w:val="0"/>
      <w:divBdr>
        <w:top w:val="none" w:sz="0" w:space="0" w:color="auto"/>
        <w:left w:val="none" w:sz="0" w:space="0" w:color="auto"/>
        <w:bottom w:val="none" w:sz="0" w:space="0" w:color="auto"/>
        <w:right w:val="none" w:sz="0" w:space="0" w:color="auto"/>
      </w:divBdr>
      <w:divsChild>
        <w:div w:id="1831749136">
          <w:marLeft w:val="0"/>
          <w:marRight w:val="0"/>
          <w:marTop w:val="120"/>
          <w:marBottom w:val="120"/>
          <w:divBdr>
            <w:top w:val="none" w:sz="0" w:space="0" w:color="auto"/>
            <w:left w:val="none" w:sz="0" w:space="0" w:color="auto"/>
            <w:bottom w:val="none" w:sz="0" w:space="0" w:color="auto"/>
            <w:right w:val="none" w:sz="0" w:space="0" w:color="auto"/>
          </w:divBdr>
          <w:divsChild>
            <w:div w:id="1598441340">
              <w:marLeft w:val="0"/>
              <w:marRight w:val="0"/>
              <w:marTop w:val="0"/>
              <w:marBottom w:val="0"/>
              <w:divBdr>
                <w:top w:val="none" w:sz="0" w:space="0" w:color="auto"/>
                <w:left w:val="none" w:sz="0" w:space="0" w:color="auto"/>
                <w:bottom w:val="none" w:sz="0" w:space="0" w:color="auto"/>
                <w:right w:val="none" w:sz="0" w:space="0" w:color="auto"/>
              </w:divBdr>
            </w:div>
            <w:div w:id="240408054">
              <w:marLeft w:val="0"/>
              <w:marRight w:val="0"/>
              <w:marTop w:val="0"/>
              <w:marBottom w:val="0"/>
              <w:divBdr>
                <w:top w:val="none" w:sz="0" w:space="0" w:color="auto"/>
                <w:left w:val="none" w:sz="0" w:space="0" w:color="auto"/>
                <w:bottom w:val="none" w:sz="0" w:space="0" w:color="auto"/>
                <w:right w:val="none" w:sz="0" w:space="0" w:color="auto"/>
              </w:divBdr>
            </w:div>
          </w:divsChild>
        </w:div>
        <w:div w:id="1891065367">
          <w:marLeft w:val="0"/>
          <w:marRight w:val="0"/>
          <w:marTop w:val="120"/>
          <w:marBottom w:val="120"/>
          <w:divBdr>
            <w:top w:val="none" w:sz="0" w:space="0" w:color="auto"/>
            <w:left w:val="none" w:sz="0" w:space="0" w:color="auto"/>
            <w:bottom w:val="none" w:sz="0" w:space="0" w:color="auto"/>
            <w:right w:val="none" w:sz="0" w:space="0" w:color="auto"/>
          </w:divBdr>
          <w:divsChild>
            <w:div w:id="1949657609">
              <w:marLeft w:val="288"/>
              <w:marRight w:val="0"/>
              <w:marTop w:val="0"/>
              <w:marBottom w:val="0"/>
              <w:divBdr>
                <w:top w:val="none" w:sz="0" w:space="0" w:color="auto"/>
                <w:left w:val="none" w:sz="0" w:space="0" w:color="auto"/>
                <w:bottom w:val="none" w:sz="0" w:space="0" w:color="auto"/>
                <w:right w:val="none" w:sz="0" w:space="0" w:color="auto"/>
              </w:divBdr>
            </w:div>
          </w:divsChild>
        </w:div>
        <w:div w:id="1357922639">
          <w:marLeft w:val="0"/>
          <w:marRight w:val="0"/>
          <w:marTop w:val="120"/>
          <w:marBottom w:val="120"/>
          <w:divBdr>
            <w:top w:val="none" w:sz="0" w:space="0" w:color="auto"/>
            <w:left w:val="none" w:sz="0" w:space="0" w:color="auto"/>
            <w:bottom w:val="none" w:sz="0" w:space="0" w:color="auto"/>
            <w:right w:val="none" w:sz="0" w:space="0" w:color="auto"/>
          </w:divBdr>
          <w:divsChild>
            <w:div w:id="1139998856">
              <w:marLeft w:val="0"/>
              <w:marRight w:val="0"/>
              <w:marTop w:val="0"/>
              <w:marBottom w:val="0"/>
              <w:divBdr>
                <w:top w:val="none" w:sz="0" w:space="0" w:color="auto"/>
                <w:left w:val="none" w:sz="0" w:space="0" w:color="auto"/>
                <w:bottom w:val="none" w:sz="0" w:space="0" w:color="auto"/>
                <w:right w:val="none" w:sz="0" w:space="0" w:color="auto"/>
              </w:divBdr>
            </w:div>
            <w:div w:id="2019694649">
              <w:marLeft w:val="0"/>
              <w:marRight w:val="0"/>
              <w:marTop w:val="0"/>
              <w:marBottom w:val="0"/>
              <w:divBdr>
                <w:top w:val="none" w:sz="0" w:space="0" w:color="auto"/>
                <w:left w:val="none" w:sz="0" w:space="0" w:color="auto"/>
                <w:bottom w:val="none" w:sz="0" w:space="0" w:color="auto"/>
                <w:right w:val="none" w:sz="0" w:space="0" w:color="auto"/>
              </w:divBdr>
            </w:div>
          </w:divsChild>
        </w:div>
        <w:div w:id="1606422975">
          <w:marLeft w:val="0"/>
          <w:marRight w:val="0"/>
          <w:marTop w:val="120"/>
          <w:marBottom w:val="120"/>
          <w:divBdr>
            <w:top w:val="none" w:sz="0" w:space="0" w:color="auto"/>
            <w:left w:val="none" w:sz="0" w:space="0" w:color="auto"/>
            <w:bottom w:val="none" w:sz="0" w:space="0" w:color="auto"/>
            <w:right w:val="none" w:sz="0" w:space="0" w:color="auto"/>
          </w:divBdr>
          <w:divsChild>
            <w:div w:id="42533390">
              <w:marLeft w:val="288"/>
              <w:marRight w:val="0"/>
              <w:marTop w:val="0"/>
              <w:marBottom w:val="0"/>
              <w:divBdr>
                <w:top w:val="none" w:sz="0" w:space="0" w:color="auto"/>
                <w:left w:val="none" w:sz="0" w:space="0" w:color="auto"/>
                <w:bottom w:val="none" w:sz="0" w:space="0" w:color="auto"/>
                <w:right w:val="none" w:sz="0" w:space="0" w:color="auto"/>
              </w:divBdr>
            </w:div>
          </w:divsChild>
        </w:div>
        <w:div w:id="1517689725">
          <w:marLeft w:val="0"/>
          <w:marRight w:val="0"/>
          <w:marTop w:val="120"/>
          <w:marBottom w:val="120"/>
          <w:divBdr>
            <w:top w:val="none" w:sz="0" w:space="0" w:color="auto"/>
            <w:left w:val="none" w:sz="0" w:space="0" w:color="auto"/>
            <w:bottom w:val="none" w:sz="0" w:space="0" w:color="auto"/>
            <w:right w:val="none" w:sz="0" w:space="0" w:color="auto"/>
          </w:divBdr>
          <w:divsChild>
            <w:div w:id="1559244322">
              <w:marLeft w:val="0"/>
              <w:marRight w:val="0"/>
              <w:marTop w:val="0"/>
              <w:marBottom w:val="0"/>
              <w:divBdr>
                <w:top w:val="none" w:sz="0" w:space="0" w:color="auto"/>
                <w:left w:val="none" w:sz="0" w:space="0" w:color="auto"/>
                <w:bottom w:val="none" w:sz="0" w:space="0" w:color="auto"/>
                <w:right w:val="none" w:sz="0" w:space="0" w:color="auto"/>
              </w:divBdr>
            </w:div>
            <w:div w:id="1645044195">
              <w:marLeft w:val="0"/>
              <w:marRight w:val="0"/>
              <w:marTop w:val="0"/>
              <w:marBottom w:val="0"/>
              <w:divBdr>
                <w:top w:val="none" w:sz="0" w:space="0" w:color="auto"/>
                <w:left w:val="none" w:sz="0" w:space="0" w:color="auto"/>
                <w:bottom w:val="none" w:sz="0" w:space="0" w:color="auto"/>
                <w:right w:val="none" w:sz="0" w:space="0" w:color="auto"/>
              </w:divBdr>
            </w:div>
          </w:divsChild>
        </w:div>
        <w:div w:id="1012882232">
          <w:marLeft w:val="0"/>
          <w:marRight w:val="0"/>
          <w:marTop w:val="120"/>
          <w:marBottom w:val="120"/>
          <w:divBdr>
            <w:top w:val="none" w:sz="0" w:space="0" w:color="auto"/>
            <w:left w:val="none" w:sz="0" w:space="0" w:color="auto"/>
            <w:bottom w:val="none" w:sz="0" w:space="0" w:color="auto"/>
            <w:right w:val="none" w:sz="0" w:space="0" w:color="auto"/>
          </w:divBdr>
          <w:divsChild>
            <w:div w:id="268779839">
              <w:marLeft w:val="0"/>
              <w:marRight w:val="0"/>
              <w:marTop w:val="0"/>
              <w:marBottom w:val="0"/>
              <w:divBdr>
                <w:top w:val="none" w:sz="0" w:space="0" w:color="auto"/>
                <w:left w:val="none" w:sz="0" w:space="0" w:color="auto"/>
                <w:bottom w:val="none" w:sz="0" w:space="0" w:color="auto"/>
                <w:right w:val="none" w:sz="0" w:space="0" w:color="auto"/>
              </w:divBdr>
            </w:div>
            <w:div w:id="506142116">
              <w:marLeft w:val="0"/>
              <w:marRight w:val="0"/>
              <w:marTop w:val="0"/>
              <w:marBottom w:val="0"/>
              <w:divBdr>
                <w:top w:val="none" w:sz="0" w:space="0" w:color="auto"/>
                <w:left w:val="none" w:sz="0" w:space="0" w:color="auto"/>
                <w:bottom w:val="none" w:sz="0" w:space="0" w:color="auto"/>
                <w:right w:val="none" w:sz="0" w:space="0" w:color="auto"/>
              </w:divBdr>
            </w:div>
          </w:divsChild>
        </w:div>
        <w:div w:id="623123109">
          <w:marLeft w:val="0"/>
          <w:marRight w:val="0"/>
          <w:marTop w:val="120"/>
          <w:marBottom w:val="120"/>
          <w:divBdr>
            <w:top w:val="none" w:sz="0" w:space="0" w:color="auto"/>
            <w:left w:val="none" w:sz="0" w:space="0" w:color="auto"/>
            <w:bottom w:val="none" w:sz="0" w:space="0" w:color="auto"/>
            <w:right w:val="none" w:sz="0" w:space="0" w:color="auto"/>
          </w:divBdr>
          <w:divsChild>
            <w:div w:id="483161421">
              <w:marLeft w:val="288"/>
              <w:marRight w:val="0"/>
              <w:marTop w:val="0"/>
              <w:marBottom w:val="0"/>
              <w:divBdr>
                <w:top w:val="none" w:sz="0" w:space="0" w:color="auto"/>
                <w:left w:val="none" w:sz="0" w:space="0" w:color="auto"/>
                <w:bottom w:val="none" w:sz="0" w:space="0" w:color="auto"/>
                <w:right w:val="none" w:sz="0" w:space="0" w:color="auto"/>
              </w:divBdr>
            </w:div>
          </w:divsChild>
        </w:div>
        <w:div w:id="1773932306">
          <w:marLeft w:val="0"/>
          <w:marRight w:val="0"/>
          <w:marTop w:val="120"/>
          <w:marBottom w:val="120"/>
          <w:divBdr>
            <w:top w:val="none" w:sz="0" w:space="0" w:color="auto"/>
            <w:left w:val="none" w:sz="0" w:space="0" w:color="auto"/>
            <w:bottom w:val="none" w:sz="0" w:space="0" w:color="auto"/>
            <w:right w:val="none" w:sz="0" w:space="0" w:color="auto"/>
          </w:divBdr>
          <w:divsChild>
            <w:div w:id="1155608629">
              <w:marLeft w:val="0"/>
              <w:marRight w:val="0"/>
              <w:marTop w:val="0"/>
              <w:marBottom w:val="0"/>
              <w:divBdr>
                <w:top w:val="none" w:sz="0" w:space="0" w:color="auto"/>
                <w:left w:val="none" w:sz="0" w:space="0" w:color="auto"/>
                <w:bottom w:val="none" w:sz="0" w:space="0" w:color="auto"/>
                <w:right w:val="none" w:sz="0" w:space="0" w:color="auto"/>
              </w:divBdr>
            </w:div>
            <w:div w:id="1691562444">
              <w:marLeft w:val="0"/>
              <w:marRight w:val="0"/>
              <w:marTop w:val="0"/>
              <w:marBottom w:val="0"/>
              <w:divBdr>
                <w:top w:val="none" w:sz="0" w:space="0" w:color="auto"/>
                <w:left w:val="none" w:sz="0" w:space="0" w:color="auto"/>
                <w:bottom w:val="none" w:sz="0" w:space="0" w:color="auto"/>
                <w:right w:val="none" w:sz="0" w:space="0" w:color="auto"/>
              </w:divBdr>
            </w:div>
          </w:divsChild>
        </w:div>
        <w:div w:id="1014310409">
          <w:marLeft w:val="0"/>
          <w:marRight w:val="0"/>
          <w:marTop w:val="120"/>
          <w:marBottom w:val="120"/>
          <w:divBdr>
            <w:top w:val="none" w:sz="0" w:space="0" w:color="auto"/>
            <w:left w:val="none" w:sz="0" w:space="0" w:color="auto"/>
            <w:bottom w:val="none" w:sz="0" w:space="0" w:color="auto"/>
            <w:right w:val="none" w:sz="0" w:space="0" w:color="auto"/>
          </w:divBdr>
          <w:divsChild>
            <w:div w:id="591938773">
              <w:marLeft w:val="288"/>
              <w:marRight w:val="0"/>
              <w:marTop w:val="0"/>
              <w:marBottom w:val="0"/>
              <w:divBdr>
                <w:top w:val="none" w:sz="0" w:space="0" w:color="auto"/>
                <w:left w:val="none" w:sz="0" w:space="0" w:color="auto"/>
                <w:bottom w:val="none" w:sz="0" w:space="0" w:color="auto"/>
                <w:right w:val="none" w:sz="0" w:space="0" w:color="auto"/>
              </w:divBdr>
            </w:div>
          </w:divsChild>
        </w:div>
        <w:div w:id="1936673566">
          <w:marLeft w:val="0"/>
          <w:marRight w:val="0"/>
          <w:marTop w:val="120"/>
          <w:marBottom w:val="120"/>
          <w:divBdr>
            <w:top w:val="none" w:sz="0" w:space="0" w:color="auto"/>
            <w:left w:val="none" w:sz="0" w:space="0" w:color="auto"/>
            <w:bottom w:val="none" w:sz="0" w:space="0" w:color="auto"/>
            <w:right w:val="none" w:sz="0" w:space="0" w:color="auto"/>
          </w:divBdr>
          <w:divsChild>
            <w:div w:id="1270427490">
              <w:marLeft w:val="0"/>
              <w:marRight w:val="0"/>
              <w:marTop w:val="0"/>
              <w:marBottom w:val="0"/>
              <w:divBdr>
                <w:top w:val="none" w:sz="0" w:space="0" w:color="auto"/>
                <w:left w:val="none" w:sz="0" w:space="0" w:color="auto"/>
                <w:bottom w:val="none" w:sz="0" w:space="0" w:color="auto"/>
                <w:right w:val="none" w:sz="0" w:space="0" w:color="auto"/>
              </w:divBdr>
            </w:div>
            <w:div w:id="1250579381">
              <w:marLeft w:val="0"/>
              <w:marRight w:val="0"/>
              <w:marTop w:val="0"/>
              <w:marBottom w:val="0"/>
              <w:divBdr>
                <w:top w:val="none" w:sz="0" w:space="0" w:color="auto"/>
                <w:left w:val="none" w:sz="0" w:space="0" w:color="auto"/>
                <w:bottom w:val="none" w:sz="0" w:space="0" w:color="auto"/>
                <w:right w:val="none" w:sz="0" w:space="0" w:color="auto"/>
              </w:divBdr>
            </w:div>
          </w:divsChild>
        </w:div>
        <w:div w:id="751900578">
          <w:marLeft w:val="0"/>
          <w:marRight w:val="0"/>
          <w:marTop w:val="120"/>
          <w:marBottom w:val="120"/>
          <w:divBdr>
            <w:top w:val="none" w:sz="0" w:space="0" w:color="auto"/>
            <w:left w:val="none" w:sz="0" w:space="0" w:color="auto"/>
            <w:bottom w:val="none" w:sz="0" w:space="0" w:color="auto"/>
            <w:right w:val="none" w:sz="0" w:space="0" w:color="auto"/>
          </w:divBdr>
          <w:divsChild>
            <w:div w:id="1581283554">
              <w:marLeft w:val="288"/>
              <w:marRight w:val="0"/>
              <w:marTop w:val="0"/>
              <w:marBottom w:val="0"/>
              <w:divBdr>
                <w:top w:val="none" w:sz="0" w:space="0" w:color="auto"/>
                <w:left w:val="none" w:sz="0" w:space="0" w:color="auto"/>
                <w:bottom w:val="none" w:sz="0" w:space="0" w:color="auto"/>
                <w:right w:val="none" w:sz="0" w:space="0" w:color="auto"/>
              </w:divBdr>
            </w:div>
          </w:divsChild>
        </w:div>
        <w:div w:id="511844014">
          <w:marLeft w:val="0"/>
          <w:marRight w:val="0"/>
          <w:marTop w:val="120"/>
          <w:marBottom w:val="120"/>
          <w:divBdr>
            <w:top w:val="none" w:sz="0" w:space="0" w:color="auto"/>
            <w:left w:val="none" w:sz="0" w:space="0" w:color="auto"/>
            <w:bottom w:val="none" w:sz="0" w:space="0" w:color="auto"/>
            <w:right w:val="none" w:sz="0" w:space="0" w:color="auto"/>
          </w:divBdr>
          <w:divsChild>
            <w:div w:id="709769713">
              <w:marLeft w:val="0"/>
              <w:marRight w:val="0"/>
              <w:marTop w:val="0"/>
              <w:marBottom w:val="0"/>
              <w:divBdr>
                <w:top w:val="none" w:sz="0" w:space="0" w:color="auto"/>
                <w:left w:val="none" w:sz="0" w:space="0" w:color="auto"/>
                <w:bottom w:val="none" w:sz="0" w:space="0" w:color="auto"/>
                <w:right w:val="none" w:sz="0" w:space="0" w:color="auto"/>
              </w:divBdr>
            </w:div>
            <w:div w:id="1643805762">
              <w:marLeft w:val="0"/>
              <w:marRight w:val="0"/>
              <w:marTop w:val="0"/>
              <w:marBottom w:val="0"/>
              <w:divBdr>
                <w:top w:val="none" w:sz="0" w:space="0" w:color="auto"/>
                <w:left w:val="none" w:sz="0" w:space="0" w:color="auto"/>
                <w:bottom w:val="none" w:sz="0" w:space="0" w:color="auto"/>
                <w:right w:val="none" w:sz="0" w:space="0" w:color="auto"/>
              </w:divBdr>
            </w:div>
          </w:divsChild>
        </w:div>
        <w:div w:id="1702054802">
          <w:marLeft w:val="0"/>
          <w:marRight w:val="0"/>
          <w:marTop w:val="120"/>
          <w:marBottom w:val="120"/>
          <w:divBdr>
            <w:top w:val="none" w:sz="0" w:space="0" w:color="auto"/>
            <w:left w:val="none" w:sz="0" w:space="0" w:color="auto"/>
            <w:bottom w:val="none" w:sz="0" w:space="0" w:color="auto"/>
            <w:right w:val="none" w:sz="0" w:space="0" w:color="auto"/>
          </w:divBdr>
          <w:divsChild>
            <w:div w:id="115608526">
              <w:marLeft w:val="288"/>
              <w:marRight w:val="0"/>
              <w:marTop w:val="0"/>
              <w:marBottom w:val="0"/>
              <w:divBdr>
                <w:top w:val="none" w:sz="0" w:space="0" w:color="auto"/>
                <w:left w:val="none" w:sz="0" w:space="0" w:color="auto"/>
                <w:bottom w:val="none" w:sz="0" w:space="0" w:color="auto"/>
                <w:right w:val="none" w:sz="0" w:space="0" w:color="auto"/>
              </w:divBdr>
            </w:div>
          </w:divsChild>
        </w:div>
        <w:div w:id="1810054793">
          <w:marLeft w:val="0"/>
          <w:marRight w:val="0"/>
          <w:marTop w:val="120"/>
          <w:marBottom w:val="120"/>
          <w:divBdr>
            <w:top w:val="none" w:sz="0" w:space="0" w:color="auto"/>
            <w:left w:val="none" w:sz="0" w:space="0" w:color="auto"/>
            <w:bottom w:val="none" w:sz="0" w:space="0" w:color="auto"/>
            <w:right w:val="none" w:sz="0" w:space="0" w:color="auto"/>
          </w:divBdr>
          <w:divsChild>
            <w:div w:id="825821599">
              <w:marLeft w:val="0"/>
              <w:marRight w:val="0"/>
              <w:marTop w:val="0"/>
              <w:marBottom w:val="0"/>
              <w:divBdr>
                <w:top w:val="none" w:sz="0" w:space="0" w:color="auto"/>
                <w:left w:val="none" w:sz="0" w:space="0" w:color="auto"/>
                <w:bottom w:val="none" w:sz="0" w:space="0" w:color="auto"/>
                <w:right w:val="none" w:sz="0" w:space="0" w:color="auto"/>
              </w:divBdr>
            </w:div>
            <w:div w:id="755595799">
              <w:marLeft w:val="0"/>
              <w:marRight w:val="0"/>
              <w:marTop w:val="0"/>
              <w:marBottom w:val="0"/>
              <w:divBdr>
                <w:top w:val="none" w:sz="0" w:space="0" w:color="auto"/>
                <w:left w:val="none" w:sz="0" w:space="0" w:color="auto"/>
                <w:bottom w:val="none" w:sz="0" w:space="0" w:color="auto"/>
                <w:right w:val="none" w:sz="0" w:space="0" w:color="auto"/>
              </w:divBdr>
            </w:div>
          </w:divsChild>
        </w:div>
        <w:div w:id="444469029">
          <w:marLeft w:val="0"/>
          <w:marRight w:val="0"/>
          <w:marTop w:val="120"/>
          <w:marBottom w:val="120"/>
          <w:divBdr>
            <w:top w:val="none" w:sz="0" w:space="0" w:color="auto"/>
            <w:left w:val="none" w:sz="0" w:space="0" w:color="auto"/>
            <w:bottom w:val="none" w:sz="0" w:space="0" w:color="auto"/>
            <w:right w:val="none" w:sz="0" w:space="0" w:color="auto"/>
          </w:divBdr>
          <w:divsChild>
            <w:div w:id="718632422">
              <w:marLeft w:val="288"/>
              <w:marRight w:val="0"/>
              <w:marTop w:val="0"/>
              <w:marBottom w:val="0"/>
              <w:divBdr>
                <w:top w:val="none" w:sz="0" w:space="0" w:color="auto"/>
                <w:left w:val="none" w:sz="0" w:space="0" w:color="auto"/>
                <w:bottom w:val="none" w:sz="0" w:space="0" w:color="auto"/>
                <w:right w:val="none" w:sz="0" w:space="0" w:color="auto"/>
              </w:divBdr>
            </w:div>
          </w:divsChild>
        </w:div>
        <w:div w:id="511800008">
          <w:marLeft w:val="0"/>
          <w:marRight w:val="0"/>
          <w:marTop w:val="120"/>
          <w:marBottom w:val="120"/>
          <w:divBdr>
            <w:top w:val="none" w:sz="0" w:space="0" w:color="auto"/>
            <w:left w:val="none" w:sz="0" w:space="0" w:color="auto"/>
            <w:bottom w:val="none" w:sz="0" w:space="0" w:color="auto"/>
            <w:right w:val="none" w:sz="0" w:space="0" w:color="auto"/>
          </w:divBdr>
          <w:divsChild>
            <w:div w:id="92629196">
              <w:marLeft w:val="0"/>
              <w:marRight w:val="0"/>
              <w:marTop w:val="0"/>
              <w:marBottom w:val="0"/>
              <w:divBdr>
                <w:top w:val="none" w:sz="0" w:space="0" w:color="auto"/>
                <w:left w:val="none" w:sz="0" w:space="0" w:color="auto"/>
                <w:bottom w:val="none" w:sz="0" w:space="0" w:color="auto"/>
                <w:right w:val="none" w:sz="0" w:space="0" w:color="auto"/>
              </w:divBdr>
            </w:div>
            <w:div w:id="45108986">
              <w:marLeft w:val="0"/>
              <w:marRight w:val="0"/>
              <w:marTop w:val="0"/>
              <w:marBottom w:val="0"/>
              <w:divBdr>
                <w:top w:val="none" w:sz="0" w:space="0" w:color="auto"/>
                <w:left w:val="none" w:sz="0" w:space="0" w:color="auto"/>
                <w:bottom w:val="none" w:sz="0" w:space="0" w:color="auto"/>
                <w:right w:val="none" w:sz="0" w:space="0" w:color="auto"/>
              </w:divBdr>
            </w:div>
            <w:div w:id="2030175453">
              <w:marLeft w:val="0"/>
              <w:marRight w:val="0"/>
              <w:marTop w:val="0"/>
              <w:marBottom w:val="0"/>
              <w:divBdr>
                <w:top w:val="none" w:sz="0" w:space="0" w:color="auto"/>
                <w:left w:val="none" w:sz="0" w:space="0" w:color="auto"/>
                <w:bottom w:val="none" w:sz="0" w:space="0" w:color="auto"/>
                <w:right w:val="none" w:sz="0" w:space="0" w:color="auto"/>
              </w:divBdr>
            </w:div>
            <w:div w:id="653022385">
              <w:marLeft w:val="0"/>
              <w:marRight w:val="0"/>
              <w:marTop w:val="0"/>
              <w:marBottom w:val="0"/>
              <w:divBdr>
                <w:top w:val="none" w:sz="0" w:space="0" w:color="auto"/>
                <w:left w:val="none" w:sz="0" w:space="0" w:color="auto"/>
                <w:bottom w:val="none" w:sz="0" w:space="0" w:color="auto"/>
                <w:right w:val="none" w:sz="0" w:space="0" w:color="auto"/>
              </w:divBdr>
            </w:div>
          </w:divsChild>
        </w:div>
        <w:div w:id="1229540188">
          <w:marLeft w:val="0"/>
          <w:marRight w:val="0"/>
          <w:marTop w:val="120"/>
          <w:marBottom w:val="120"/>
          <w:divBdr>
            <w:top w:val="none" w:sz="0" w:space="0" w:color="auto"/>
            <w:left w:val="none" w:sz="0" w:space="0" w:color="auto"/>
            <w:bottom w:val="none" w:sz="0" w:space="0" w:color="auto"/>
            <w:right w:val="none" w:sz="0" w:space="0" w:color="auto"/>
          </w:divBdr>
          <w:divsChild>
            <w:div w:id="272906840">
              <w:marLeft w:val="288"/>
              <w:marRight w:val="0"/>
              <w:marTop w:val="0"/>
              <w:marBottom w:val="0"/>
              <w:divBdr>
                <w:top w:val="none" w:sz="0" w:space="0" w:color="auto"/>
                <w:left w:val="none" w:sz="0" w:space="0" w:color="auto"/>
                <w:bottom w:val="none" w:sz="0" w:space="0" w:color="auto"/>
                <w:right w:val="none" w:sz="0" w:space="0" w:color="auto"/>
              </w:divBdr>
            </w:div>
            <w:div w:id="1742755071">
              <w:marLeft w:val="288"/>
              <w:marRight w:val="0"/>
              <w:marTop w:val="0"/>
              <w:marBottom w:val="0"/>
              <w:divBdr>
                <w:top w:val="none" w:sz="0" w:space="0" w:color="auto"/>
                <w:left w:val="none" w:sz="0" w:space="0" w:color="auto"/>
                <w:bottom w:val="none" w:sz="0" w:space="0" w:color="auto"/>
                <w:right w:val="none" w:sz="0" w:space="0" w:color="auto"/>
              </w:divBdr>
            </w:div>
          </w:divsChild>
        </w:div>
        <w:div w:id="392197726">
          <w:marLeft w:val="0"/>
          <w:marRight w:val="0"/>
          <w:marTop w:val="120"/>
          <w:marBottom w:val="120"/>
          <w:divBdr>
            <w:top w:val="none" w:sz="0" w:space="0" w:color="auto"/>
            <w:left w:val="none" w:sz="0" w:space="0" w:color="auto"/>
            <w:bottom w:val="none" w:sz="0" w:space="0" w:color="auto"/>
            <w:right w:val="none" w:sz="0" w:space="0" w:color="auto"/>
          </w:divBdr>
          <w:divsChild>
            <w:div w:id="677536377">
              <w:marLeft w:val="0"/>
              <w:marRight w:val="0"/>
              <w:marTop w:val="0"/>
              <w:marBottom w:val="0"/>
              <w:divBdr>
                <w:top w:val="none" w:sz="0" w:space="0" w:color="auto"/>
                <w:left w:val="none" w:sz="0" w:space="0" w:color="auto"/>
                <w:bottom w:val="none" w:sz="0" w:space="0" w:color="auto"/>
                <w:right w:val="none" w:sz="0" w:space="0" w:color="auto"/>
              </w:divBdr>
            </w:div>
            <w:div w:id="1588417472">
              <w:marLeft w:val="0"/>
              <w:marRight w:val="0"/>
              <w:marTop w:val="0"/>
              <w:marBottom w:val="0"/>
              <w:divBdr>
                <w:top w:val="none" w:sz="0" w:space="0" w:color="auto"/>
                <w:left w:val="none" w:sz="0" w:space="0" w:color="auto"/>
                <w:bottom w:val="none" w:sz="0" w:space="0" w:color="auto"/>
                <w:right w:val="none" w:sz="0" w:space="0" w:color="auto"/>
              </w:divBdr>
            </w:div>
          </w:divsChild>
        </w:div>
        <w:div w:id="1082605749">
          <w:marLeft w:val="0"/>
          <w:marRight w:val="0"/>
          <w:marTop w:val="120"/>
          <w:marBottom w:val="120"/>
          <w:divBdr>
            <w:top w:val="none" w:sz="0" w:space="0" w:color="auto"/>
            <w:left w:val="none" w:sz="0" w:space="0" w:color="auto"/>
            <w:bottom w:val="none" w:sz="0" w:space="0" w:color="auto"/>
            <w:right w:val="none" w:sz="0" w:space="0" w:color="auto"/>
          </w:divBdr>
          <w:divsChild>
            <w:div w:id="332152207">
              <w:marLeft w:val="288"/>
              <w:marRight w:val="0"/>
              <w:marTop w:val="0"/>
              <w:marBottom w:val="0"/>
              <w:divBdr>
                <w:top w:val="none" w:sz="0" w:space="0" w:color="auto"/>
                <w:left w:val="none" w:sz="0" w:space="0" w:color="auto"/>
                <w:bottom w:val="none" w:sz="0" w:space="0" w:color="auto"/>
                <w:right w:val="none" w:sz="0" w:space="0" w:color="auto"/>
              </w:divBdr>
            </w:div>
          </w:divsChild>
        </w:div>
        <w:div w:id="935599957">
          <w:marLeft w:val="0"/>
          <w:marRight w:val="0"/>
          <w:marTop w:val="120"/>
          <w:marBottom w:val="120"/>
          <w:divBdr>
            <w:top w:val="none" w:sz="0" w:space="0" w:color="auto"/>
            <w:left w:val="none" w:sz="0" w:space="0" w:color="auto"/>
            <w:bottom w:val="none" w:sz="0" w:space="0" w:color="auto"/>
            <w:right w:val="none" w:sz="0" w:space="0" w:color="auto"/>
          </w:divBdr>
          <w:divsChild>
            <w:div w:id="1799030877">
              <w:marLeft w:val="0"/>
              <w:marRight w:val="0"/>
              <w:marTop w:val="0"/>
              <w:marBottom w:val="0"/>
              <w:divBdr>
                <w:top w:val="none" w:sz="0" w:space="0" w:color="auto"/>
                <w:left w:val="none" w:sz="0" w:space="0" w:color="auto"/>
                <w:bottom w:val="none" w:sz="0" w:space="0" w:color="auto"/>
                <w:right w:val="none" w:sz="0" w:space="0" w:color="auto"/>
              </w:divBdr>
            </w:div>
            <w:div w:id="1483962061">
              <w:marLeft w:val="0"/>
              <w:marRight w:val="0"/>
              <w:marTop w:val="0"/>
              <w:marBottom w:val="0"/>
              <w:divBdr>
                <w:top w:val="none" w:sz="0" w:space="0" w:color="auto"/>
                <w:left w:val="none" w:sz="0" w:space="0" w:color="auto"/>
                <w:bottom w:val="none" w:sz="0" w:space="0" w:color="auto"/>
                <w:right w:val="none" w:sz="0" w:space="0" w:color="auto"/>
              </w:divBdr>
            </w:div>
          </w:divsChild>
        </w:div>
        <w:div w:id="1292638818">
          <w:marLeft w:val="0"/>
          <w:marRight w:val="0"/>
          <w:marTop w:val="120"/>
          <w:marBottom w:val="120"/>
          <w:divBdr>
            <w:top w:val="none" w:sz="0" w:space="0" w:color="auto"/>
            <w:left w:val="none" w:sz="0" w:space="0" w:color="auto"/>
            <w:bottom w:val="none" w:sz="0" w:space="0" w:color="auto"/>
            <w:right w:val="none" w:sz="0" w:space="0" w:color="auto"/>
          </w:divBdr>
          <w:divsChild>
            <w:div w:id="181208453">
              <w:marLeft w:val="288"/>
              <w:marRight w:val="0"/>
              <w:marTop w:val="0"/>
              <w:marBottom w:val="0"/>
              <w:divBdr>
                <w:top w:val="none" w:sz="0" w:space="0" w:color="auto"/>
                <w:left w:val="none" w:sz="0" w:space="0" w:color="auto"/>
                <w:bottom w:val="none" w:sz="0" w:space="0" w:color="auto"/>
                <w:right w:val="none" w:sz="0" w:space="0" w:color="auto"/>
              </w:divBdr>
            </w:div>
          </w:divsChild>
        </w:div>
        <w:div w:id="568423160">
          <w:marLeft w:val="0"/>
          <w:marRight w:val="0"/>
          <w:marTop w:val="120"/>
          <w:marBottom w:val="120"/>
          <w:divBdr>
            <w:top w:val="none" w:sz="0" w:space="0" w:color="auto"/>
            <w:left w:val="none" w:sz="0" w:space="0" w:color="auto"/>
            <w:bottom w:val="none" w:sz="0" w:space="0" w:color="auto"/>
            <w:right w:val="none" w:sz="0" w:space="0" w:color="auto"/>
          </w:divBdr>
          <w:divsChild>
            <w:div w:id="711002698">
              <w:marLeft w:val="0"/>
              <w:marRight w:val="0"/>
              <w:marTop w:val="0"/>
              <w:marBottom w:val="0"/>
              <w:divBdr>
                <w:top w:val="none" w:sz="0" w:space="0" w:color="auto"/>
                <w:left w:val="none" w:sz="0" w:space="0" w:color="auto"/>
                <w:bottom w:val="none" w:sz="0" w:space="0" w:color="auto"/>
                <w:right w:val="none" w:sz="0" w:space="0" w:color="auto"/>
              </w:divBdr>
            </w:div>
            <w:div w:id="1295060511">
              <w:marLeft w:val="0"/>
              <w:marRight w:val="0"/>
              <w:marTop w:val="0"/>
              <w:marBottom w:val="0"/>
              <w:divBdr>
                <w:top w:val="none" w:sz="0" w:space="0" w:color="auto"/>
                <w:left w:val="none" w:sz="0" w:space="0" w:color="auto"/>
                <w:bottom w:val="none" w:sz="0" w:space="0" w:color="auto"/>
                <w:right w:val="none" w:sz="0" w:space="0" w:color="auto"/>
              </w:divBdr>
            </w:div>
            <w:div w:id="1135292585">
              <w:marLeft w:val="0"/>
              <w:marRight w:val="0"/>
              <w:marTop w:val="0"/>
              <w:marBottom w:val="0"/>
              <w:divBdr>
                <w:top w:val="none" w:sz="0" w:space="0" w:color="auto"/>
                <w:left w:val="none" w:sz="0" w:space="0" w:color="auto"/>
                <w:bottom w:val="none" w:sz="0" w:space="0" w:color="auto"/>
                <w:right w:val="none" w:sz="0" w:space="0" w:color="auto"/>
              </w:divBdr>
            </w:div>
            <w:div w:id="1289628682">
              <w:marLeft w:val="0"/>
              <w:marRight w:val="0"/>
              <w:marTop w:val="0"/>
              <w:marBottom w:val="0"/>
              <w:divBdr>
                <w:top w:val="none" w:sz="0" w:space="0" w:color="auto"/>
                <w:left w:val="none" w:sz="0" w:space="0" w:color="auto"/>
                <w:bottom w:val="none" w:sz="0" w:space="0" w:color="auto"/>
                <w:right w:val="none" w:sz="0" w:space="0" w:color="auto"/>
              </w:divBdr>
            </w:div>
          </w:divsChild>
        </w:div>
        <w:div w:id="1501775810">
          <w:marLeft w:val="0"/>
          <w:marRight w:val="0"/>
          <w:marTop w:val="120"/>
          <w:marBottom w:val="120"/>
          <w:divBdr>
            <w:top w:val="none" w:sz="0" w:space="0" w:color="auto"/>
            <w:left w:val="none" w:sz="0" w:space="0" w:color="auto"/>
            <w:bottom w:val="none" w:sz="0" w:space="0" w:color="auto"/>
            <w:right w:val="none" w:sz="0" w:space="0" w:color="auto"/>
          </w:divBdr>
          <w:divsChild>
            <w:div w:id="760375610">
              <w:marLeft w:val="288"/>
              <w:marRight w:val="0"/>
              <w:marTop w:val="0"/>
              <w:marBottom w:val="0"/>
              <w:divBdr>
                <w:top w:val="none" w:sz="0" w:space="0" w:color="auto"/>
                <w:left w:val="none" w:sz="0" w:space="0" w:color="auto"/>
                <w:bottom w:val="none" w:sz="0" w:space="0" w:color="auto"/>
                <w:right w:val="none" w:sz="0" w:space="0" w:color="auto"/>
              </w:divBdr>
            </w:div>
            <w:div w:id="1946497727">
              <w:marLeft w:val="288"/>
              <w:marRight w:val="0"/>
              <w:marTop w:val="0"/>
              <w:marBottom w:val="0"/>
              <w:divBdr>
                <w:top w:val="none" w:sz="0" w:space="0" w:color="auto"/>
                <w:left w:val="none" w:sz="0" w:space="0" w:color="auto"/>
                <w:bottom w:val="none" w:sz="0" w:space="0" w:color="auto"/>
                <w:right w:val="none" w:sz="0" w:space="0" w:color="auto"/>
              </w:divBdr>
            </w:div>
          </w:divsChild>
        </w:div>
        <w:div w:id="1384983473">
          <w:marLeft w:val="0"/>
          <w:marRight w:val="0"/>
          <w:marTop w:val="120"/>
          <w:marBottom w:val="120"/>
          <w:divBdr>
            <w:top w:val="none" w:sz="0" w:space="0" w:color="auto"/>
            <w:left w:val="none" w:sz="0" w:space="0" w:color="auto"/>
            <w:bottom w:val="none" w:sz="0" w:space="0" w:color="auto"/>
            <w:right w:val="none" w:sz="0" w:space="0" w:color="auto"/>
          </w:divBdr>
          <w:divsChild>
            <w:div w:id="220210268">
              <w:marLeft w:val="0"/>
              <w:marRight w:val="0"/>
              <w:marTop w:val="0"/>
              <w:marBottom w:val="0"/>
              <w:divBdr>
                <w:top w:val="none" w:sz="0" w:space="0" w:color="auto"/>
                <w:left w:val="none" w:sz="0" w:space="0" w:color="auto"/>
                <w:bottom w:val="none" w:sz="0" w:space="0" w:color="auto"/>
                <w:right w:val="none" w:sz="0" w:space="0" w:color="auto"/>
              </w:divBdr>
            </w:div>
            <w:div w:id="1846632417">
              <w:marLeft w:val="0"/>
              <w:marRight w:val="0"/>
              <w:marTop w:val="0"/>
              <w:marBottom w:val="0"/>
              <w:divBdr>
                <w:top w:val="none" w:sz="0" w:space="0" w:color="auto"/>
                <w:left w:val="none" w:sz="0" w:space="0" w:color="auto"/>
                <w:bottom w:val="none" w:sz="0" w:space="0" w:color="auto"/>
                <w:right w:val="none" w:sz="0" w:space="0" w:color="auto"/>
              </w:divBdr>
            </w:div>
          </w:divsChild>
        </w:div>
        <w:div w:id="1591498811">
          <w:marLeft w:val="0"/>
          <w:marRight w:val="0"/>
          <w:marTop w:val="120"/>
          <w:marBottom w:val="120"/>
          <w:divBdr>
            <w:top w:val="none" w:sz="0" w:space="0" w:color="auto"/>
            <w:left w:val="none" w:sz="0" w:space="0" w:color="auto"/>
            <w:bottom w:val="none" w:sz="0" w:space="0" w:color="auto"/>
            <w:right w:val="none" w:sz="0" w:space="0" w:color="auto"/>
          </w:divBdr>
          <w:divsChild>
            <w:div w:id="937718554">
              <w:marLeft w:val="288"/>
              <w:marRight w:val="0"/>
              <w:marTop w:val="0"/>
              <w:marBottom w:val="0"/>
              <w:divBdr>
                <w:top w:val="none" w:sz="0" w:space="0" w:color="auto"/>
                <w:left w:val="none" w:sz="0" w:space="0" w:color="auto"/>
                <w:bottom w:val="none" w:sz="0" w:space="0" w:color="auto"/>
                <w:right w:val="none" w:sz="0" w:space="0" w:color="auto"/>
              </w:divBdr>
            </w:div>
          </w:divsChild>
        </w:div>
        <w:div w:id="1708532022">
          <w:marLeft w:val="0"/>
          <w:marRight w:val="0"/>
          <w:marTop w:val="120"/>
          <w:marBottom w:val="120"/>
          <w:divBdr>
            <w:top w:val="none" w:sz="0" w:space="0" w:color="auto"/>
            <w:left w:val="none" w:sz="0" w:space="0" w:color="auto"/>
            <w:bottom w:val="none" w:sz="0" w:space="0" w:color="auto"/>
            <w:right w:val="none" w:sz="0" w:space="0" w:color="auto"/>
          </w:divBdr>
          <w:divsChild>
            <w:div w:id="2126803347">
              <w:marLeft w:val="0"/>
              <w:marRight w:val="0"/>
              <w:marTop w:val="0"/>
              <w:marBottom w:val="0"/>
              <w:divBdr>
                <w:top w:val="none" w:sz="0" w:space="0" w:color="auto"/>
                <w:left w:val="none" w:sz="0" w:space="0" w:color="auto"/>
                <w:bottom w:val="none" w:sz="0" w:space="0" w:color="auto"/>
                <w:right w:val="none" w:sz="0" w:space="0" w:color="auto"/>
              </w:divBdr>
            </w:div>
            <w:div w:id="1215192720">
              <w:marLeft w:val="0"/>
              <w:marRight w:val="0"/>
              <w:marTop w:val="0"/>
              <w:marBottom w:val="0"/>
              <w:divBdr>
                <w:top w:val="none" w:sz="0" w:space="0" w:color="auto"/>
                <w:left w:val="none" w:sz="0" w:space="0" w:color="auto"/>
                <w:bottom w:val="none" w:sz="0" w:space="0" w:color="auto"/>
                <w:right w:val="none" w:sz="0" w:space="0" w:color="auto"/>
              </w:divBdr>
            </w:div>
          </w:divsChild>
        </w:div>
        <w:div w:id="1184711577">
          <w:marLeft w:val="0"/>
          <w:marRight w:val="0"/>
          <w:marTop w:val="120"/>
          <w:marBottom w:val="120"/>
          <w:divBdr>
            <w:top w:val="none" w:sz="0" w:space="0" w:color="auto"/>
            <w:left w:val="none" w:sz="0" w:space="0" w:color="auto"/>
            <w:bottom w:val="none" w:sz="0" w:space="0" w:color="auto"/>
            <w:right w:val="none" w:sz="0" w:space="0" w:color="auto"/>
          </w:divBdr>
          <w:divsChild>
            <w:div w:id="434449650">
              <w:marLeft w:val="288"/>
              <w:marRight w:val="0"/>
              <w:marTop w:val="0"/>
              <w:marBottom w:val="0"/>
              <w:divBdr>
                <w:top w:val="none" w:sz="0" w:space="0" w:color="auto"/>
                <w:left w:val="none" w:sz="0" w:space="0" w:color="auto"/>
                <w:bottom w:val="none" w:sz="0" w:space="0" w:color="auto"/>
                <w:right w:val="none" w:sz="0" w:space="0" w:color="auto"/>
              </w:divBdr>
            </w:div>
          </w:divsChild>
        </w:div>
        <w:div w:id="1356033370">
          <w:marLeft w:val="0"/>
          <w:marRight w:val="0"/>
          <w:marTop w:val="120"/>
          <w:marBottom w:val="120"/>
          <w:divBdr>
            <w:top w:val="none" w:sz="0" w:space="0" w:color="auto"/>
            <w:left w:val="none" w:sz="0" w:space="0" w:color="auto"/>
            <w:bottom w:val="none" w:sz="0" w:space="0" w:color="auto"/>
            <w:right w:val="none" w:sz="0" w:space="0" w:color="auto"/>
          </w:divBdr>
          <w:divsChild>
            <w:div w:id="1350764990">
              <w:marLeft w:val="0"/>
              <w:marRight w:val="0"/>
              <w:marTop w:val="0"/>
              <w:marBottom w:val="0"/>
              <w:divBdr>
                <w:top w:val="none" w:sz="0" w:space="0" w:color="auto"/>
                <w:left w:val="none" w:sz="0" w:space="0" w:color="auto"/>
                <w:bottom w:val="none" w:sz="0" w:space="0" w:color="auto"/>
                <w:right w:val="none" w:sz="0" w:space="0" w:color="auto"/>
              </w:divBdr>
            </w:div>
            <w:div w:id="1376461922">
              <w:marLeft w:val="0"/>
              <w:marRight w:val="0"/>
              <w:marTop w:val="0"/>
              <w:marBottom w:val="0"/>
              <w:divBdr>
                <w:top w:val="none" w:sz="0" w:space="0" w:color="auto"/>
                <w:left w:val="none" w:sz="0" w:space="0" w:color="auto"/>
                <w:bottom w:val="none" w:sz="0" w:space="0" w:color="auto"/>
                <w:right w:val="none" w:sz="0" w:space="0" w:color="auto"/>
              </w:divBdr>
            </w:div>
          </w:divsChild>
        </w:div>
        <w:div w:id="744646893">
          <w:marLeft w:val="0"/>
          <w:marRight w:val="0"/>
          <w:marTop w:val="120"/>
          <w:marBottom w:val="120"/>
          <w:divBdr>
            <w:top w:val="none" w:sz="0" w:space="0" w:color="auto"/>
            <w:left w:val="none" w:sz="0" w:space="0" w:color="auto"/>
            <w:bottom w:val="none" w:sz="0" w:space="0" w:color="auto"/>
            <w:right w:val="none" w:sz="0" w:space="0" w:color="auto"/>
          </w:divBdr>
          <w:divsChild>
            <w:div w:id="919100961">
              <w:marLeft w:val="288"/>
              <w:marRight w:val="0"/>
              <w:marTop w:val="0"/>
              <w:marBottom w:val="0"/>
              <w:divBdr>
                <w:top w:val="none" w:sz="0" w:space="0" w:color="auto"/>
                <w:left w:val="none" w:sz="0" w:space="0" w:color="auto"/>
                <w:bottom w:val="none" w:sz="0" w:space="0" w:color="auto"/>
                <w:right w:val="none" w:sz="0" w:space="0" w:color="auto"/>
              </w:divBdr>
            </w:div>
          </w:divsChild>
        </w:div>
        <w:div w:id="340357917">
          <w:marLeft w:val="0"/>
          <w:marRight w:val="0"/>
          <w:marTop w:val="120"/>
          <w:marBottom w:val="120"/>
          <w:divBdr>
            <w:top w:val="none" w:sz="0" w:space="0" w:color="auto"/>
            <w:left w:val="none" w:sz="0" w:space="0" w:color="auto"/>
            <w:bottom w:val="none" w:sz="0" w:space="0" w:color="auto"/>
            <w:right w:val="none" w:sz="0" w:space="0" w:color="auto"/>
          </w:divBdr>
          <w:divsChild>
            <w:div w:id="92669205">
              <w:marLeft w:val="0"/>
              <w:marRight w:val="0"/>
              <w:marTop w:val="0"/>
              <w:marBottom w:val="0"/>
              <w:divBdr>
                <w:top w:val="none" w:sz="0" w:space="0" w:color="auto"/>
                <w:left w:val="none" w:sz="0" w:space="0" w:color="auto"/>
                <w:bottom w:val="none" w:sz="0" w:space="0" w:color="auto"/>
                <w:right w:val="none" w:sz="0" w:space="0" w:color="auto"/>
              </w:divBdr>
            </w:div>
            <w:div w:id="2091730362">
              <w:marLeft w:val="0"/>
              <w:marRight w:val="0"/>
              <w:marTop w:val="0"/>
              <w:marBottom w:val="0"/>
              <w:divBdr>
                <w:top w:val="none" w:sz="0" w:space="0" w:color="auto"/>
                <w:left w:val="none" w:sz="0" w:space="0" w:color="auto"/>
                <w:bottom w:val="none" w:sz="0" w:space="0" w:color="auto"/>
                <w:right w:val="none" w:sz="0" w:space="0" w:color="auto"/>
              </w:divBdr>
            </w:div>
            <w:div w:id="306207177">
              <w:marLeft w:val="0"/>
              <w:marRight w:val="0"/>
              <w:marTop w:val="0"/>
              <w:marBottom w:val="0"/>
              <w:divBdr>
                <w:top w:val="none" w:sz="0" w:space="0" w:color="auto"/>
                <w:left w:val="none" w:sz="0" w:space="0" w:color="auto"/>
                <w:bottom w:val="none" w:sz="0" w:space="0" w:color="auto"/>
                <w:right w:val="none" w:sz="0" w:space="0" w:color="auto"/>
              </w:divBdr>
            </w:div>
            <w:div w:id="267196261">
              <w:marLeft w:val="0"/>
              <w:marRight w:val="0"/>
              <w:marTop w:val="0"/>
              <w:marBottom w:val="0"/>
              <w:divBdr>
                <w:top w:val="none" w:sz="0" w:space="0" w:color="auto"/>
                <w:left w:val="none" w:sz="0" w:space="0" w:color="auto"/>
                <w:bottom w:val="none" w:sz="0" w:space="0" w:color="auto"/>
                <w:right w:val="none" w:sz="0" w:space="0" w:color="auto"/>
              </w:divBdr>
            </w:div>
          </w:divsChild>
        </w:div>
        <w:div w:id="1664966341">
          <w:marLeft w:val="0"/>
          <w:marRight w:val="0"/>
          <w:marTop w:val="120"/>
          <w:marBottom w:val="120"/>
          <w:divBdr>
            <w:top w:val="none" w:sz="0" w:space="0" w:color="auto"/>
            <w:left w:val="none" w:sz="0" w:space="0" w:color="auto"/>
            <w:bottom w:val="none" w:sz="0" w:space="0" w:color="auto"/>
            <w:right w:val="none" w:sz="0" w:space="0" w:color="auto"/>
          </w:divBdr>
          <w:divsChild>
            <w:div w:id="1384645384">
              <w:marLeft w:val="288"/>
              <w:marRight w:val="0"/>
              <w:marTop w:val="0"/>
              <w:marBottom w:val="0"/>
              <w:divBdr>
                <w:top w:val="none" w:sz="0" w:space="0" w:color="auto"/>
                <w:left w:val="none" w:sz="0" w:space="0" w:color="auto"/>
                <w:bottom w:val="none" w:sz="0" w:space="0" w:color="auto"/>
                <w:right w:val="none" w:sz="0" w:space="0" w:color="auto"/>
              </w:divBdr>
            </w:div>
            <w:div w:id="1395542377">
              <w:marLeft w:val="288"/>
              <w:marRight w:val="0"/>
              <w:marTop w:val="0"/>
              <w:marBottom w:val="0"/>
              <w:divBdr>
                <w:top w:val="none" w:sz="0" w:space="0" w:color="auto"/>
                <w:left w:val="none" w:sz="0" w:space="0" w:color="auto"/>
                <w:bottom w:val="none" w:sz="0" w:space="0" w:color="auto"/>
                <w:right w:val="none" w:sz="0" w:space="0" w:color="auto"/>
              </w:divBdr>
            </w:div>
          </w:divsChild>
        </w:div>
        <w:div w:id="1785803944">
          <w:marLeft w:val="0"/>
          <w:marRight w:val="0"/>
          <w:marTop w:val="120"/>
          <w:marBottom w:val="120"/>
          <w:divBdr>
            <w:top w:val="none" w:sz="0" w:space="0" w:color="auto"/>
            <w:left w:val="none" w:sz="0" w:space="0" w:color="auto"/>
            <w:bottom w:val="none" w:sz="0" w:space="0" w:color="auto"/>
            <w:right w:val="none" w:sz="0" w:space="0" w:color="auto"/>
          </w:divBdr>
          <w:divsChild>
            <w:div w:id="1389723046">
              <w:marLeft w:val="0"/>
              <w:marRight w:val="0"/>
              <w:marTop w:val="0"/>
              <w:marBottom w:val="0"/>
              <w:divBdr>
                <w:top w:val="none" w:sz="0" w:space="0" w:color="auto"/>
                <w:left w:val="none" w:sz="0" w:space="0" w:color="auto"/>
                <w:bottom w:val="none" w:sz="0" w:space="0" w:color="auto"/>
                <w:right w:val="none" w:sz="0" w:space="0" w:color="auto"/>
              </w:divBdr>
            </w:div>
            <w:div w:id="2096198894">
              <w:marLeft w:val="0"/>
              <w:marRight w:val="0"/>
              <w:marTop w:val="0"/>
              <w:marBottom w:val="0"/>
              <w:divBdr>
                <w:top w:val="none" w:sz="0" w:space="0" w:color="auto"/>
                <w:left w:val="none" w:sz="0" w:space="0" w:color="auto"/>
                <w:bottom w:val="none" w:sz="0" w:space="0" w:color="auto"/>
                <w:right w:val="none" w:sz="0" w:space="0" w:color="auto"/>
              </w:divBdr>
            </w:div>
          </w:divsChild>
        </w:div>
        <w:div w:id="1413501801">
          <w:marLeft w:val="0"/>
          <w:marRight w:val="0"/>
          <w:marTop w:val="120"/>
          <w:marBottom w:val="120"/>
          <w:divBdr>
            <w:top w:val="none" w:sz="0" w:space="0" w:color="auto"/>
            <w:left w:val="none" w:sz="0" w:space="0" w:color="auto"/>
            <w:bottom w:val="none" w:sz="0" w:space="0" w:color="auto"/>
            <w:right w:val="none" w:sz="0" w:space="0" w:color="auto"/>
          </w:divBdr>
          <w:divsChild>
            <w:div w:id="740639284">
              <w:marLeft w:val="288"/>
              <w:marRight w:val="0"/>
              <w:marTop w:val="0"/>
              <w:marBottom w:val="0"/>
              <w:divBdr>
                <w:top w:val="none" w:sz="0" w:space="0" w:color="auto"/>
                <w:left w:val="none" w:sz="0" w:space="0" w:color="auto"/>
                <w:bottom w:val="none" w:sz="0" w:space="0" w:color="auto"/>
                <w:right w:val="none" w:sz="0" w:space="0" w:color="auto"/>
              </w:divBdr>
            </w:div>
          </w:divsChild>
        </w:div>
        <w:div w:id="2110195146">
          <w:marLeft w:val="0"/>
          <w:marRight w:val="0"/>
          <w:marTop w:val="120"/>
          <w:marBottom w:val="120"/>
          <w:divBdr>
            <w:top w:val="none" w:sz="0" w:space="0" w:color="auto"/>
            <w:left w:val="none" w:sz="0" w:space="0" w:color="auto"/>
            <w:bottom w:val="none" w:sz="0" w:space="0" w:color="auto"/>
            <w:right w:val="none" w:sz="0" w:space="0" w:color="auto"/>
          </w:divBdr>
          <w:divsChild>
            <w:div w:id="22633462">
              <w:marLeft w:val="0"/>
              <w:marRight w:val="0"/>
              <w:marTop w:val="0"/>
              <w:marBottom w:val="0"/>
              <w:divBdr>
                <w:top w:val="none" w:sz="0" w:space="0" w:color="auto"/>
                <w:left w:val="none" w:sz="0" w:space="0" w:color="auto"/>
                <w:bottom w:val="none" w:sz="0" w:space="0" w:color="auto"/>
                <w:right w:val="none" w:sz="0" w:space="0" w:color="auto"/>
              </w:divBdr>
            </w:div>
          </w:divsChild>
        </w:div>
        <w:div w:id="2004627129">
          <w:marLeft w:val="0"/>
          <w:marRight w:val="0"/>
          <w:marTop w:val="120"/>
          <w:marBottom w:val="120"/>
          <w:divBdr>
            <w:top w:val="none" w:sz="0" w:space="0" w:color="auto"/>
            <w:left w:val="none" w:sz="0" w:space="0" w:color="auto"/>
            <w:bottom w:val="none" w:sz="0" w:space="0" w:color="auto"/>
            <w:right w:val="none" w:sz="0" w:space="0" w:color="auto"/>
          </w:divBdr>
          <w:divsChild>
            <w:div w:id="607005825">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iltrmadministrator@veic.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aceee.org/sites/default/files/pdfs/electric_vehicle_efficiency_-_unlocking_consumer_savings_and_environmental_gains.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cc.illinois.gov/docket/P2022-0443/documents/363430/files/636427.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chicagomanualofstyle.org/tools_citationguide.html"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fueleconomy.gov/feg/download.s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ortal.veic.org/sites/illinoistrm/Shared%20Documents/Forms/AllItems.aspx?id=%2Fsites%2Fillinoistrm%2FShared%20Documents%2FTechnical%5FTRM%5FEffective%5F01012024%5FVersion%5F12%2E0%2FFinal%20IL%20TRM%20v%2012%2E0" TargetMode="External"/><Relationship Id="rId27" Type="http://schemas.openxmlformats.org/officeDocument/2006/relationships/header" Target="head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ueleconomy.gov/feg/download.shtml" TargetMode="External"/><Relationship Id="rId1" Type="http://schemas.openxmlformats.org/officeDocument/2006/relationships/hyperlink" Target="https://www.fueleconomy.gov/feg/downloa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b:Source>
    <b:Tag>Uni10</b:Tag>
    <b:SourceType>Book</b:SourceType>
    <b:Guid>{D5C26D94-062D-4A89-976C-F50143CB0142}</b:Guid>
    <b:Author>
      <b:Author>
        <b:Corporate>University of Chicago Press Staff</b:Corporate>
      </b:Author>
    </b:Author>
    <b:Title>The Chicago Manual of Style</b:Title>
    <b:Year>2010</b:Year>
    <b:City>Chicago</b:City>
    <b:Publisher>The University of Chicago Press</b:Publisher>
    <b:StateProvince>IL</b:StateProvince>
    <b:Edition>16th</b:Edition>
    <b:RefOrder>1</b:RefOrder>
  </b:Source>
</b:Sourc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71AB78B0ACBC4B9B0993CF2A209995" ma:contentTypeVersion="17" ma:contentTypeDescription="Create a new document." ma:contentTypeScope="" ma:versionID="83f42694ae9dac7e16c2fe8275fe548b">
  <xsd:schema xmlns:xsd="http://www.w3.org/2001/XMLSchema" xmlns:xs="http://www.w3.org/2001/XMLSchema" xmlns:p="http://schemas.microsoft.com/office/2006/metadata/properties" xmlns:ns1="http://schemas.microsoft.com/sharepoint/v3" xmlns:ns2="e9045483-48de-4907-9a51-0a13dd6f4387" targetNamespace="http://schemas.microsoft.com/office/2006/metadata/properties" ma:root="true" ma:fieldsID="9ba873ae396b458e092cd0cbc2b7103b" ns1:_="" ns2:_="">
    <xsd:import namespace="http://schemas.microsoft.com/sharepoint/v3"/>
    <xsd:import namespace="e9045483-48de-4907-9a51-0a13dd6f438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045483-48de-4907-9a51-0a13dd6f43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820CF-A5F7-4D40-99E5-3881395BE2F3}">
  <ds:schemaRefs>
    <ds:schemaRef ds:uri="http://schemas.microsoft.com/sharepoint/v3/contenttype/forms"/>
  </ds:schemaRefs>
</ds:datastoreItem>
</file>

<file path=customXml/itemProps2.xml><?xml version="1.0" encoding="utf-8"?>
<ds:datastoreItem xmlns:ds="http://schemas.openxmlformats.org/officeDocument/2006/customXml" ds:itemID="{BBD5BAD0-9638-4BFB-80E5-064E30C312BA}">
  <ds:schemaRefs>
    <ds:schemaRef ds:uri="http://schemas.openxmlformats.org/officeDocument/2006/bibliography"/>
  </ds:schemaRefs>
</ds:datastoreItem>
</file>

<file path=customXml/itemProps3.xml><?xml version="1.0" encoding="utf-8"?>
<ds:datastoreItem xmlns:ds="http://schemas.openxmlformats.org/officeDocument/2006/customXml" ds:itemID="{D32F4AF7-47C7-4D2D-8C3F-605DA3212328}">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4ADC2BA0-AE14-4AB9-B8F5-6B3D3605B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045483-48de-4907-9a51-0a13dd6f4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Carroll</dc:creator>
  <cp:keywords/>
  <dc:description/>
  <cp:lastModifiedBy>Celia Johnson</cp:lastModifiedBy>
  <cp:revision>2</cp:revision>
  <cp:lastPrinted>2012-09-14T18:21:00Z</cp:lastPrinted>
  <dcterms:created xsi:type="dcterms:W3CDTF">2025-05-20T11:52:00Z</dcterms:created>
  <dcterms:modified xsi:type="dcterms:W3CDTF">2025-05-20T11:52:00Z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0x010100B671AB78B0ACBC4B9B0993CF2A209995</vt:lpwstr>
  </property>
  <property fmtid="{D5CDD505-2E9C-101B-9397-08002B2CF9AE}" pid="3" name="VideoSetEmbedCode">
    <vt:lpwstr/>
  </property>
  <property fmtid="{D5CDD505-2E9C-101B-9397-08002B2CF9AE}" pid="4" name="AlternateThumbnailUrl">
    <vt:lpwstr/>
  </property>
  <property fmtid="{D5CDD505-2E9C-101B-9397-08002B2CF9AE}" pid="5" name="PeopleInMedia">
    <vt:lpwstr/>
  </property>
  <property fmtid="{D5CDD505-2E9C-101B-9397-08002B2CF9AE}" pid="6" name="wic_System_Copyright">
    <vt:lpwstr/>
  </property>
  <property fmtid="{D5CDD505-2E9C-101B-9397-08002B2CF9AE}" pid="7" name="VideoSetDescription">
    <vt:lpwstr/>
  </property>
  <property fmtid="{D5CDD505-2E9C-101B-9397-08002B2CF9AE}" pid="8" name="VideoSetUserOverrideEncoding">
    <vt:lpwstr/>
  </property>
  <property fmtid="{D5CDD505-2E9C-101B-9397-08002B2CF9AE}" pid="9" name="VideoSetDefaultEncoding">
    <vt:lpwstr/>
  </property>
  <property fmtid="{D5CDD505-2E9C-101B-9397-08002B2CF9AE}" pid="10" name="VideoSetExternalLink">
    <vt:lpwstr/>
  </property>
  <property fmtid="{D5CDD505-2E9C-101B-9397-08002B2CF9AE}" pid="11" name="VideoSetRenditionsInfo">
    <vt:lpwstr/>
  </property>
  <property fmtid="{D5CDD505-2E9C-101B-9397-08002B2CF9AE}" pid="12" name="VideoRenditionLabel">
    <vt:lpwstr/>
  </property>
</Properties>
</file>