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B20BF" w14:textId="77777777" w:rsidR="001D1613" w:rsidRDefault="00344A28" w:rsidP="00344A28">
      <w:pPr>
        <w:jc w:val="center"/>
        <w:rPr>
          <w:b/>
          <w:bCs/>
          <w:sz w:val="32"/>
          <w:szCs w:val="32"/>
        </w:rPr>
      </w:pPr>
      <w:r w:rsidRPr="00344A28">
        <w:rPr>
          <w:b/>
          <w:bCs/>
          <w:sz w:val="32"/>
          <w:szCs w:val="32"/>
        </w:rPr>
        <w:t xml:space="preserve">Illinois Energy Efficiency Stakeholder Advisory Group Policy Manual </w:t>
      </w:r>
    </w:p>
    <w:p w14:paraId="627A3FA2" w14:textId="181B4AAF" w:rsidR="00294C07" w:rsidRPr="001D1613" w:rsidRDefault="001D1613" w:rsidP="00344A28">
      <w:pPr>
        <w:jc w:val="center"/>
        <w:rPr>
          <w:b/>
          <w:bCs/>
          <w:i/>
          <w:iCs/>
          <w:sz w:val="32"/>
          <w:szCs w:val="32"/>
        </w:rPr>
      </w:pPr>
      <w:r w:rsidRPr="001D1613">
        <w:rPr>
          <w:b/>
          <w:bCs/>
          <w:i/>
          <w:iCs/>
          <w:sz w:val="32"/>
          <w:szCs w:val="32"/>
        </w:rPr>
        <w:t xml:space="preserve">Proposed Policy of </w:t>
      </w:r>
      <w:r w:rsidR="00344A28" w:rsidRPr="001D1613">
        <w:rPr>
          <w:b/>
          <w:bCs/>
          <w:i/>
          <w:iCs/>
          <w:sz w:val="32"/>
          <w:szCs w:val="32"/>
        </w:rPr>
        <w:t xml:space="preserve">Allowing </w:t>
      </w:r>
      <w:r w:rsidRPr="001D1613">
        <w:rPr>
          <w:b/>
          <w:bCs/>
          <w:i/>
          <w:iCs/>
          <w:sz w:val="32"/>
          <w:szCs w:val="32"/>
        </w:rPr>
        <w:t>RE</w:t>
      </w:r>
      <w:r w:rsidR="00424D8E" w:rsidRPr="001D1613">
        <w:rPr>
          <w:b/>
          <w:bCs/>
          <w:i/>
          <w:iCs/>
          <w:sz w:val="32"/>
          <w:szCs w:val="32"/>
        </w:rPr>
        <w:t xml:space="preserve"> </w:t>
      </w:r>
      <w:r w:rsidR="00344A28" w:rsidRPr="001D1613">
        <w:rPr>
          <w:b/>
          <w:bCs/>
          <w:i/>
          <w:iCs/>
          <w:sz w:val="32"/>
          <w:szCs w:val="32"/>
        </w:rPr>
        <w:t>Measures Under EE Program</w:t>
      </w:r>
      <w:r w:rsidRPr="001D1613">
        <w:rPr>
          <w:b/>
          <w:bCs/>
          <w:i/>
          <w:iCs/>
          <w:sz w:val="32"/>
          <w:szCs w:val="32"/>
        </w:rPr>
        <w:t>s</w:t>
      </w:r>
    </w:p>
    <w:p w14:paraId="276ED02D" w14:textId="4C95590D" w:rsidR="00344A28" w:rsidRDefault="001D1613" w:rsidP="00344A28">
      <w:pPr>
        <w:jc w:val="center"/>
        <w:rPr>
          <w:sz w:val="24"/>
          <w:szCs w:val="24"/>
        </w:rPr>
      </w:pPr>
      <w:r>
        <w:rPr>
          <w:sz w:val="24"/>
          <w:szCs w:val="24"/>
        </w:rPr>
        <w:t xml:space="preserve">Updated </w:t>
      </w:r>
      <w:r w:rsidR="00344A28">
        <w:rPr>
          <w:sz w:val="24"/>
          <w:szCs w:val="24"/>
        </w:rPr>
        <w:t xml:space="preserve">by Allen Dusault – Franklin Energy </w:t>
      </w:r>
      <w:r w:rsidR="00DA2CE2">
        <w:rPr>
          <w:sz w:val="24"/>
          <w:szCs w:val="24"/>
        </w:rPr>
        <w:t>0</w:t>
      </w:r>
      <w:r>
        <w:rPr>
          <w:sz w:val="24"/>
          <w:szCs w:val="24"/>
        </w:rPr>
        <w:t>6-1</w:t>
      </w:r>
      <w:r w:rsidR="006B3F14">
        <w:rPr>
          <w:sz w:val="24"/>
          <w:szCs w:val="24"/>
        </w:rPr>
        <w:t>4</w:t>
      </w:r>
      <w:r>
        <w:rPr>
          <w:sz w:val="24"/>
          <w:szCs w:val="24"/>
        </w:rPr>
        <w:t>-2023</w:t>
      </w:r>
    </w:p>
    <w:p w14:paraId="11E2422E" w14:textId="77777777" w:rsidR="00500AA3" w:rsidRDefault="00500AA3" w:rsidP="00500AA3">
      <w:pPr>
        <w:keepNext/>
        <w:spacing w:before="360" w:after="240" w:line="240" w:lineRule="auto"/>
        <w:contextualSpacing/>
        <w:outlineLvl w:val="1"/>
        <w:rPr>
          <w:rFonts w:ascii="Arial" w:eastAsia="Arial" w:hAnsi="Arial" w:cs="Arial"/>
          <w:b/>
          <w:bCs/>
          <w:iCs/>
          <w:color w:val="0093C9"/>
          <w:kern w:val="0"/>
          <w:sz w:val="26"/>
          <w:szCs w:val="28"/>
          <w14:ligatures w14:val="none"/>
        </w:rPr>
      </w:pPr>
    </w:p>
    <w:p w14:paraId="611E81C5" w14:textId="6D6D36F5" w:rsidR="00500AA3" w:rsidRPr="00500AA3" w:rsidRDefault="00500AA3" w:rsidP="00500AA3">
      <w:pPr>
        <w:keepNext/>
        <w:spacing w:before="360" w:after="240" w:line="240" w:lineRule="auto"/>
        <w:contextualSpacing/>
        <w:outlineLvl w:val="1"/>
        <w:rPr>
          <w:rFonts w:ascii="Arial" w:eastAsia="Arial" w:hAnsi="Arial" w:cs="Arial"/>
          <w:b/>
          <w:bCs/>
          <w:iCs/>
          <w:color w:val="0093C9"/>
          <w:kern w:val="0"/>
          <w:sz w:val="26"/>
          <w:szCs w:val="28"/>
          <w14:ligatures w14:val="none"/>
        </w:rPr>
      </w:pPr>
      <w:r>
        <w:rPr>
          <w:rFonts w:ascii="Arial" w:eastAsia="Arial" w:hAnsi="Arial" w:cs="Arial"/>
          <w:b/>
          <w:bCs/>
          <w:iCs/>
          <w:color w:val="0093C9"/>
          <w:kern w:val="0"/>
          <w:sz w:val="26"/>
          <w:szCs w:val="28"/>
          <w14:ligatures w14:val="none"/>
        </w:rPr>
        <w:t xml:space="preserve">Relevance and </w:t>
      </w:r>
      <w:r w:rsidRPr="00500AA3">
        <w:rPr>
          <w:rFonts w:ascii="Arial" w:eastAsia="Arial" w:hAnsi="Arial" w:cs="Arial"/>
          <w:b/>
          <w:bCs/>
          <w:iCs/>
          <w:color w:val="0093C9"/>
          <w:kern w:val="0"/>
          <w:sz w:val="26"/>
          <w:szCs w:val="28"/>
          <w14:ligatures w14:val="none"/>
        </w:rPr>
        <w:t>Eligibility</w:t>
      </w:r>
      <w:r>
        <w:rPr>
          <w:rFonts w:ascii="Arial" w:eastAsia="Arial" w:hAnsi="Arial" w:cs="Arial"/>
          <w:b/>
          <w:bCs/>
          <w:iCs/>
          <w:color w:val="0093C9"/>
          <w:kern w:val="0"/>
          <w:sz w:val="26"/>
          <w:szCs w:val="28"/>
          <w14:ligatures w14:val="none"/>
        </w:rPr>
        <w:t xml:space="preserve"> </w:t>
      </w:r>
    </w:p>
    <w:p w14:paraId="67584E2F" w14:textId="0B244A88" w:rsidR="00500AA3" w:rsidRPr="007B1A81" w:rsidRDefault="00500AA3" w:rsidP="006A736F">
      <w:pPr>
        <w:spacing w:after="0"/>
        <w:rPr>
          <w:rFonts w:ascii="Calibri" w:eastAsia="Calibri" w:hAnsi="Calibri" w:cs="Calibri"/>
          <w:color w:val="FF0000"/>
          <w:kern w:val="0"/>
          <w:sz w:val="24"/>
          <w:szCs w:val="24"/>
        </w:rPr>
      </w:pPr>
      <w:r w:rsidRPr="007B1A81">
        <w:rPr>
          <w:rFonts w:ascii="Calibri" w:eastAsia="Times New Roman" w:hAnsi="Calibri" w:cs="Calibri"/>
          <w:color w:val="FF0000"/>
          <w:kern w:val="0"/>
          <w:sz w:val="24"/>
          <w:szCs w:val="24"/>
          <w14:ligatures w14:val="none"/>
        </w:rPr>
        <w:t xml:space="preserve">The Illinois General Assembly passed the Climate and Equitable Jobs Act (CEJA, Public Act 102 0662) and Governor Pritzker signed it into law on September 15, 2021.  </w:t>
      </w:r>
      <w:r w:rsidRPr="007B1A81">
        <w:rPr>
          <w:rFonts w:ascii="Calibri" w:eastAsia="Calibri" w:hAnsi="Calibri" w:cs="Calibri"/>
          <w:color w:val="FF0000"/>
          <w:kern w:val="0"/>
          <w:sz w:val="24"/>
          <w:szCs w:val="24"/>
        </w:rPr>
        <w:t>Section 8-103B and 8-104 set the conditions for what can be included under respective electric and gas utility energy efficiency portfolios.  However, the statute is largely silent on measures that serve both energy efficiency (EE) and renewable energy (RE) functions.  Because there are increasing opportunities for installation of measures or systems that serve both EE and RE functions, there is potential for misapplying EE and/or RE incentives</w:t>
      </w:r>
      <w:r w:rsidR="00DA2CE2" w:rsidRPr="007B1A81">
        <w:rPr>
          <w:rFonts w:ascii="Calibri" w:eastAsia="Calibri" w:hAnsi="Calibri" w:cs="Calibri"/>
          <w:color w:val="FF0000"/>
          <w:kern w:val="0"/>
          <w:sz w:val="24"/>
          <w:szCs w:val="24"/>
        </w:rPr>
        <w:t xml:space="preserve"> amounts</w:t>
      </w:r>
      <w:r w:rsidR="007B1A81" w:rsidRPr="007B1A81">
        <w:rPr>
          <w:rFonts w:ascii="Calibri" w:eastAsia="Calibri" w:hAnsi="Calibri" w:cs="Calibri"/>
          <w:color w:val="FF0000"/>
          <w:kern w:val="0"/>
          <w:sz w:val="24"/>
          <w:szCs w:val="24"/>
        </w:rPr>
        <w:t>,</w:t>
      </w:r>
      <w:r w:rsidRPr="007B1A81">
        <w:rPr>
          <w:rFonts w:ascii="Calibri" w:eastAsia="Calibri" w:hAnsi="Calibri" w:cs="Calibri"/>
          <w:color w:val="FF0000"/>
          <w:kern w:val="0"/>
          <w:sz w:val="24"/>
          <w:szCs w:val="24"/>
        </w:rPr>
        <w:t xml:space="preserve"> either </w:t>
      </w:r>
      <w:r w:rsidR="006A736F" w:rsidRPr="007B1A81">
        <w:rPr>
          <w:rFonts w:ascii="Calibri" w:eastAsia="Calibri" w:hAnsi="Calibri" w:cs="Calibri"/>
          <w:color w:val="FF0000"/>
          <w:kern w:val="0"/>
          <w:sz w:val="24"/>
          <w:szCs w:val="24"/>
        </w:rPr>
        <w:t>for</w:t>
      </w:r>
      <w:r w:rsidRPr="007B1A81">
        <w:rPr>
          <w:rFonts w:ascii="Calibri" w:eastAsia="Calibri" w:hAnsi="Calibri" w:cs="Calibri"/>
          <w:color w:val="FF0000"/>
          <w:kern w:val="0"/>
          <w:sz w:val="24"/>
          <w:szCs w:val="24"/>
        </w:rPr>
        <w:t xml:space="preserve"> </w:t>
      </w:r>
      <w:r w:rsidR="00DA2CE2" w:rsidRPr="007B1A81">
        <w:rPr>
          <w:rFonts w:ascii="Calibri" w:eastAsia="Calibri" w:hAnsi="Calibri" w:cs="Calibri"/>
          <w:color w:val="FF0000"/>
          <w:kern w:val="0"/>
          <w:sz w:val="24"/>
          <w:szCs w:val="24"/>
        </w:rPr>
        <w:t>use</w:t>
      </w:r>
      <w:r w:rsidRPr="007B1A81">
        <w:rPr>
          <w:rFonts w:ascii="Calibri" w:eastAsia="Calibri" w:hAnsi="Calibri" w:cs="Calibri"/>
          <w:color w:val="FF0000"/>
          <w:kern w:val="0"/>
          <w:sz w:val="24"/>
          <w:szCs w:val="24"/>
        </w:rPr>
        <w:t xml:space="preserve"> </w:t>
      </w:r>
      <w:r w:rsidR="00DA2CE2" w:rsidRPr="007B1A81">
        <w:rPr>
          <w:rFonts w:ascii="Calibri" w:eastAsia="Calibri" w:hAnsi="Calibri" w:cs="Calibri"/>
          <w:color w:val="FF0000"/>
          <w:kern w:val="0"/>
          <w:sz w:val="24"/>
          <w:szCs w:val="24"/>
        </w:rPr>
        <w:t>reduction and/</w:t>
      </w:r>
      <w:r w:rsidRPr="007B1A81">
        <w:rPr>
          <w:rFonts w:ascii="Calibri" w:eastAsia="Calibri" w:hAnsi="Calibri" w:cs="Calibri"/>
          <w:color w:val="FF0000"/>
          <w:kern w:val="0"/>
          <w:sz w:val="24"/>
          <w:szCs w:val="24"/>
        </w:rPr>
        <w:t>or generation.</w:t>
      </w:r>
    </w:p>
    <w:p w14:paraId="2C2BE54E" w14:textId="77777777" w:rsidR="00500AA3" w:rsidRPr="007B1A81" w:rsidRDefault="00500AA3" w:rsidP="006A736F">
      <w:pPr>
        <w:spacing w:after="0"/>
        <w:rPr>
          <w:rFonts w:ascii="Calibri" w:eastAsia="Calibri" w:hAnsi="Calibri" w:cs="Calibri"/>
          <w:color w:val="FF0000"/>
          <w:kern w:val="0"/>
          <w:sz w:val="24"/>
          <w:szCs w:val="24"/>
        </w:rPr>
      </w:pPr>
    </w:p>
    <w:p w14:paraId="20ACF847" w14:textId="2AF54EDC" w:rsidR="00500AA3" w:rsidRPr="007B1A81" w:rsidRDefault="00500AA3" w:rsidP="006B3F14">
      <w:pPr>
        <w:spacing w:after="0"/>
        <w:rPr>
          <w:rFonts w:ascii="Calibri" w:eastAsia="Calibri" w:hAnsi="Calibri" w:cs="Calibri"/>
          <w:color w:val="FF0000"/>
          <w:kern w:val="0"/>
          <w:sz w:val="24"/>
          <w:szCs w:val="24"/>
        </w:rPr>
      </w:pPr>
      <w:r w:rsidRPr="007B1A81">
        <w:rPr>
          <w:rFonts w:ascii="Calibri" w:eastAsia="Calibri" w:hAnsi="Calibri" w:cs="Calibri"/>
          <w:color w:val="FF0000"/>
          <w:kern w:val="0"/>
          <w:sz w:val="24"/>
          <w:szCs w:val="24"/>
        </w:rPr>
        <w:t xml:space="preserve">The following policy is meant to clarify how and when to recognize and account for </w:t>
      </w:r>
      <w:r w:rsidR="006B3F14" w:rsidRPr="007B1A81">
        <w:rPr>
          <w:rFonts w:ascii="Calibri" w:eastAsia="Calibri" w:hAnsi="Calibri" w:cs="Calibri"/>
          <w:color w:val="FF0000"/>
          <w:kern w:val="0"/>
          <w:sz w:val="24"/>
          <w:szCs w:val="24"/>
        </w:rPr>
        <w:t xml:space="preserve">the relative contributions of EE and RE energy benefits when they </w:t>
      </w:r>
      <w:r w:rsidR="006A736F" w:rsidRPr="007B1A81">
        <w:rPr>
          <w:rFonts w:ascii="Calibri" w:eastAsia="Calibri" w:hAnsi="Calibri" w:cs="Calibri"/>
          <w:color w:val="FF0000"/>
          <w:kern w:val="0"/>
          <w:sz w:val="24"/>
          <w:szCs w:val="24"/>
        </w:rPr>
        <w:t>accrue in the same measure or systems application</w:t>
      </w:r>
      <w:r w:rsidR="006B3F14" w:rsidRPr="007B1A81">
        <w:rPr>
          <w:rFonts w:ascii="Calibri" w:eastAsia="Calibri" w:hAnsi="Calibri" w:cs="Calibri"/>
          <w:color w:val="FF0000"/>
          <w:kern w:val="0"/>
          <w:sz w:val="24"/>
          <w:szCs w:val="24"/>
        </w:rPr>
        <w:t xml:space="preserve">.  The stipulations below reflect revisions and updates since the first draft policy was memorialized by </w:t>
      </w:r>
      <w:proofErr w:type="spellStart"/>
      <w:r w:rsidR="006B3F14" w:rsidRPr="007B1A81">
        <w:rPr>
          <w:rFonts w:ascii="Calibri" w:eastAsia="Calibri" w:hAnsi="Calibri" w:cs="Calibri"/>
          <w:color w:val="FF0000"/>
          <w:kern w:val="0"/>
          <w:sz w:val="24"/>
          <w:szCs w:val="24"/>
        </w:rPr>
        <w:t>Guidehouse</w:t>
      </w:r>
      <w:proofErr w:type="spellEnd"/>
      <w:r w:rsidR="006B3F14" w:rsidRPr="007B1A81">
        <w:rPr>
          <w:rFonts w:ascii="Calibri" w:eastAsia="Calibri" w:hAnsi="Calibri" w:cs="Calibri"/>
          <w:color w:val="FF0000"/>
          <w:kern w:val="0"/>
          <w:sz w:val="24"/>
          <w:szCs w:val="24"/>
        </w:rPr>
        <w:t xml:space="preserve"> on October 20, 2021, annotated on May 31, 2023</w:t>
      </w:r>
      <w:r w:rsidR="006A736F" w:rsidRPr="007B1A81">
        <w:rPr>
          <w:rFonts w:ascii="Calibri" w:eastAsia="Calibri" w:hAnsi="Calibri" w:cs="Calibri"/>
          <w:color w:val="FF0000"/>
          <w:kern w:val="0"/>
          <w:sz w:val="24"/>
          <w:szCs w:val="24"/>
        </w:rPr>
        <w:t>,</w:t>
      </w:r>
      <w:r w:rsidR="006B3F14" w:rsidRPr="007B1A81">
        <w:rPr>
          <w:rFonts w:ascii="Calibri" w:eastAsia="Calibri" w:hAnsi="Calibri" w:cs="Calibri"/>
          <w:color w:val="FF0000"/>
          <w:kern w:val="0"/>
          <w:sz w:val="24"/>
          <w:szCs w:val="24"/>
        </w:rPr>
        <w:t xml:space="preserve"> and redrafted for the May 31 </w:t>
      </w:r>
      <w:r w:rsidR="006A736F" w:rsidRPr="007B1A81">
        <w:rPr>
          <w:rFonts w:ascii="Calibri" w:eastAsia="Calibri" w:hAnsi="Calibri" w:cs="Calibri"/>
          <w:color w:val="FF0000"/>
          <w:kern w:val="0"/>
          <w:sz w:val="24"/>
          <w:szCs w:val="24"/>
        </w:rPr>
        <w:t xml:space="preserve">2023 </w:t>
      </w:r>
      <w:r w:rsidR="006B3F14" w:rsidRPr="007B1A81">
        <w:rPr>
          <w:rFonts w:ascii="Calibri" w:eastAsia="Calibri" w:hAnsi="Calibri" w:cs="Calibri"/>
          <w:color w:val="FF0000"/>
          <w:kern w:val="0"/>
          <w:sz w:val="24"/>
          <w:szCs w:val="24"/>
        </w:rPr>
        <w:t xml:space="preserve">SAG Small Workgroup meeting, by Allen Dusault of Franklin Energy, based on stakeholder input. </w:t>
      </w:r>
      <w:r w:rsidR="006A736F" w:rsidRPr="007B1A81">
        <w:rPr>
          <w:rFonts w:ascii="Calibri" w:eastAsia="Calibri" w:hAnsi="Calibri" w:cs="Calibri"/>
          <w:color w:val="FF0000"/>
          <w:kern w:val="0"/>
          <w:sz w:val="24"/>
          <w:szCs w:val="24"/>
        </w:rPr>
        <w:t xml:space="preserve"> It is intended </w:t>
      </w:r>
      <w:r w:rsidR="00DA2CE2" w:rsidRPr="007B1A81">
        <w:rPr>
          <w:rFonts w:ascii="Calibri" w:eastAsia="Calibri" w:hAnsi="Calibri" w:cs="Calibri"/>
          <w:color w:val="FF0000"/>
          <w:kern w:val="0"/>
          <w:sz w:val="24"/>
          <w:szCs w:val="24"/>
        </w:rPr>
        <w:t>as clarifying guidance for Illinois utilities, their independent evaluators and other stakeholders</w:t>
      </w:r>
      <w:r w:rsidR="006A736F" w:rsidRPr="007B1A81">
        <w:rPr>
          <w:rFonts w:ascii="Calibri" w:eastAsia="Calibri" w:hAnsi="Calibri" w:cs="Calibri"/>
          <w:color w:val="FF0000"/>
          <w:kern w:val="0"/>
          <w:sz w:val="24"/>
          <w:szCs w:val="24"/>
        </w:rPr>
        <w:t xml:space="preserve">, </w:t>
      </w:r>
      <w:r w:rsidR="00DA2CE2" w:rsidRPr="007B1A81">
        <w:rPr>
          <w:rFonts w:ascii="Calibri" w:eastAsia="Calibri" w:hAnsi="Calibri" w:cs="Calibri"/>
          <w:color w:val="FF0000"/>
          <w:kern w:val="0"/>
          <w:sz w:val="24"/>
          <w:szCs w:val="24"/>
        </w:rPr>
        <w:t xml:space="preserve">and </w:t>
      </w:r>
      <w:r w:rsidR="006A736F" w:rsidRPr="007B1A81">
        <w:rPr>
          <w:rFonts w:ascii="Calibri" w:eastAsia="Calibri" w:hAnsi="Calibri" w:cs="Calibri"/>
          <w:color w:val="FF0000"/>
          <w:kern w:val="0"/>
          <w:sz w:val="24"/>
          <w:szCs w:val="24"/>
        </w:rPr>
        <w:t>not</w:t>
      </w:r>
      <w:r w:rsidR="00DA2CE2" w:rsidRPr="007B1A81">
        <w:rPr>
          <w:rFonts w:ascii="Calibri" w:eastAsia="Calibri" w:hAnsi="Calibri" w:cs="Calibri"/>
          <w:color w:val="FF0000"/>
          <w:kern w:val="0"/>
          <w:sz w:val="24"/>
          <w:szCs w:val="24"/>
        </w:rPr>
        <w:t xml:space="preserve"> meant</w:t>
      </w:r>
      <w:r w:rsidR="006A736F" w:rsidRPr="007B1A81">
        <w:rPr>
          <w:rFonts w:ascii="Calibri" w:eastAsia="Calibri" w:hAnsi="Calibri" w:cs="Calibri"/>
          <w:color w:val="FF0000"/>
          <w:kern w:val="0"/>
          <w:sz w:val="24"/>
          <w:szCs w:val="24"/>
        </w:rPr>
        <w:t xml:space="preserve"> to supplant any other </w:t>
      </w:r>
      <w:r w:rsidR="00DA2CE2" w:rsidRPr="007B1A81">
        <w:rPr>
          <w:rFonts w:ascii="Calibri" w:eastAsia="Calibri" w:hAnsi="Calibri" w:cs="Calibri"/>
          <w:color w:val="FF0000"/>
          <w:kern w:val="0"/>
          <w:sz w:val="24"/>
          <w:szCs w:val="24"/>
        </w:rPr>
        <w:t xml:space="preserve">relevant </w:t>
      </w:r>
      <w:r w:rsidR="006A736F" w:rsidRPr="007B1A81">
        <w:rPr>
          <w:rFonts w:ascii="Calibri" w:eastAsia="Calibri" w:hAnsi="Calibri" w:cs="Calibri"/>
          <w:color w:val="FF0000"/>
          <w:kern w:val="0"/>
          <w:sz w:val="24"/>
          <w:szCs w:val="24"/>
        </w:rPr>
        <w:t>law or policy.</w:t>
      </w:r>
    </w:p>
    <w:p w14:paraId="54EA682B" w14:textId="77777777" w:rsidR="006B3F14" w:rsidRDefault="006B3F14" w:rsidP="006A736F">
      <w:pPr>
        <w:spacing w:after="0"/>
        <w:rPr>
          <w:b/>
          <w:bCs/>
          <w:sz w:val="24"/>
          <w:szCs w:val="24"/>
        </w:rPr>
      </w:pPr>
    </w:p>
    <w:p w14:paraId="10AC99C5" w14:textId="3E0ACE3E" w:rsidR="006B3F14" w:rsidRDefault="006B3F14" w:rsidP="00344A28">
      <w:pPr>
        <w:rPr>
          <w:b/>
          <w:bCs/>
          <w:sz w:val="24"/>
          <w:szCs w:val="24"/>
        </w:rPr>
      </w:pPr>
      <w:r>
        <w:rPr>
          <w:b/>
          <w:bCs/>
          <w:sz w:val="24"/>
          <w:szCs w:val="24"/>
        </w:rPr>
        <w:t>Policy Proposal – Eligibility</w:t>
      </w:r>
    </w:p>
    <w:p w14:paraId="67E41E9E" w14:textId="56CA0AEB" w:rsidR="006B3F14" w:rsidRPr="006B3F14" w:rsidRDefault="006B3F14" w:rsidP="00344A28">
      <w:pPr>
        <w:rPr>
          <w:sz w:val="24"/>
          <w:szCs w:val="24"/>
        </w:rPr>
      </w:pPr>
      <w:r>
        <w:rPr>
          <w:sz w:val="24"/>
          <w:szCs w:val="24"/>
        </w:rPr>
        <w:t>The following conditions define</w:t>
      </w:r>
      <w:r w:rsidR="00DA2CE2">
        <w:rPr>
          <w:sz w:val="24"/>
          <w:szCs w:val="24"/>
        </w:rPr>
        <w:t xml:space="preserve"> </w:t>
      </w:r>
      <w:r>
        <w:rPr>
          <w:sz w:val="24"/>
          <w:szCs w:val="24"/>
        </w:rPr>
        <w:t>measure</w:t>
      </w:r>
      <w:r w:rsidR="007B1A81">
        <w:rPr>
          <w:sz w:val="24"/>
          <w:szCs w:val="24"/>
        </w:rPr>
        <w:t>(s)</w:t>
      </w:r>
      <w:r>
        <w:rPr>
          <w:sz w:val="24"/>
          <w:szCs w:val="24"/>
        </w:rPr>
        <w:t xml:space="preserve"> or system</w:t>
      </w:r>
      <w:r w:rsidR="007B1A81">
        <w:rPr>
          <w:sz w:val="24"/>
          <w:szCs w:val="24"/>
        </w:rPr>
        <w:t>(s)</w:t>
      </w:r>
      <w:r>
        <w:rPr>
          <w:sz w:val="24"/>
          <w:szCs w:val="24"/>
        </w:rPr>
        <w:t xml:space="preserve"> </w:t>
      </w:r>
      <w:r w:rsidR="00DA2CE2">
        <w:rPr>
          <w:sz w:val="24"/>
          <w:szCs w:val="24"/>
        </w:rPr>
        <w:t>that</w:t>
      </w:r>
      <w:r>
        <w:rPr>
          <w:sz w:val="24"/>
          <w:szCs w:val="24"/>
        </w:rPr>
        <w:t xml:space="preserve"> </w:t>
      </w:r>
      <w:r w:rsidR="007B1A81">
        <w:rPr>
          <w:sz w:val="24"/>
          <w:szCs w:val="24"/>
        </w:rPr>
        <w:t xml:space="preserve">are </w:t>
      </w:r>
      <w:r>
        <w:rPr>
          <w:sz w:val="24"/>
          <w:szCs w:val="24"/>
        </w:rPr>
        <w:t xml:space="preserve">eligible for inclusion in </w:t>
      </w:r>
      <w:r w:rsidR="007B1A81">
        <w:rPr>
          <w:sz w:val="24"/>
          <w:szCs w:val="24"/>
        </w:rPr>
        <w:t xml:space="preserve">Illinois utilities </w:t>
      </w:r>
      <w:r>
        <w:rPr>
          <w:sz w:val="24"/>
          <w:szCs w:val="24"/>
        </w:rPr>
        <w:t>energy efficiency portfolio</w:t>
      </w:r>
      <w:r w:rsidR="007B1A81">
        <w:rPr>
          <w:sz w:val="24"/>
          <w:szCs w:val="24"/>
        </w:rPr>
        <w:t>,</w:t>
      </w:r>
      <w:r>
        <w:rPr>
          <w:sz w:val="24"/>
          <w:szCs w:val="24"/>
        </w:rPr>
        <w:t xml:space="preserve"> </w:t>
      </w:r>
      <w:r w:rsidR="007B1A81">
        <w:rPr>
          <w:sz w:val="24"/>
          <w:szCs w:val="24"/>
        </w:rPr>
        <w:t>where</w:t>
      </w:r>
      <w:r>
        <w:rPr>
          <w:sz w:val="24"/>
          <w:szCs w:val="24"/>
        </w:rPr>
        <w:t xml:space="preserve"> </w:t>
      </w:r>
      <w:r w:rsidR="007B1A81">
        <w:rPr>
          <w:sz w:val="24"/>
          <w:szCs w:val="24"/>
        </w:rPr>
        <w:t>they conform to</w:t>
      </w:r>
      <w:r>
        <w:rPr>
          <w:sz w:val="24"/>
          <w:szCs w:val="24"/>
        </w:rPr>
        <w:t xml:space="preserve"> the following conditions.</w:t>
      </w:r>
    </w:p>
    <w:p w14:paraId="241A7065" w14:textId="0006D1D8" w:rsidR="00344A28" w:rsidRDefault="00344A28" w:rsidP="00344A28">
      <w:pPr>
        <w:rPr>
          <w:sz w:val="24"/>
          <w:szCs w:val="24"/>
        </w:rPr>
      </w:pPr>
      <w:r>
        <w:rPr>
          <w:b/>
          <w:bCs/>
          <w:sz w:val="24"/>
          <w:szCs w:val="24"/>
        </w:rPr>
        <w:t>Condition 1 –</w:t>
      </w:r>
      <w:r>
        <w:rPr>
          <w:sz w:val="24"/>
          <w:szCs w:val="24"/>
        </w:rPr>
        <w:t xml:space="preserve"> </w:t>
      </w:r>
      <w:r w:rsidR="00C65BAE">
        <w:rPr>
          <w:sz w:val="24"/>
          <w:szCs w:val="24"/>
        </w:rPr>
        <w:t>The measure</w:t>
      </w:r>
      <w:r w:rsidR="001D1613">
        <w:rPr>
          <w:sz w:val="24"/>
          <w:szCs w:val="24"/>
        </w:rPr>
        <w:t xml:space="preserve"> must</w:t>
      </w:r>
      <w:r w:rsidR="00C65BAE">
        <w:rPr>
          <w:sz w:val="24"/>
          <w:szCs w:val="24"/>
        </w:rPr>
        <w:t xml:space="preserve"> reduce usage of grid-connected electricity or pipeline supplied natural gas </w:t>
      </w:r>
      <w:r w:rsidR="00F956E4">
        <w:rPr>
          <w:sz w:val="24"/>
          <w:szCs w:val="24"/>
        </w:rPr>
        <w:t>at the customer facility</w:t>
      </w:r>
      <w:r w:rsidR="00C65BAE">
        <w:rPr>
          <w:sz w:val="24"/>
          <w:szCs w:val="24"/>
        </w:rPr>
        <w:t xml:space="preserve">.  </w:t>
      </w:r>
    </w:p>
    <w:p w14:paraId="77B7BAB7" w14:textId="34254FBB" w:rsidR="00344A28" w:rsidRDefault="00344A28" w:rsidP="00344A28">
      <w:pPr>
        <w:rPr>
          <w:sz w:val="24"/>
          <w:szCs w:val="24"/>
        </w:rPr>
      </w:pPr>
      <w:r>
        <w:rPr>
          <w:b/>
          <w:bCs/>
          <w:sz w:val="24"/>
          <w:szCs w:val="24"/>
        </w:rPr>
        <w:t>Condition 2</w:t>
      </w:r>
      <w:r>
        <w:rPr>
          <w:sz w:val="24"/>
          <w:szCs w:val="24"/>
        </w:rPr>
        <w:t xml:space="preserve"> - </w:t>
      </w:r>
      <w:r w:rsidRPr="00344A28">
        <w:rPr>
          <w:sz w:val="24"/>
          <w:szCs w:val="24"/>
        </w:rPr>
        <w:t>The grid or pipeline connections may provide supplemental electricity or natural gas to the</w:t>
      </w:r>
      <w:r w:rsidR="00C65BAE">
        <w:rPr>
          <w:sz w:val="24"/>
          <w:szCs w:val="24"/>
        </w:rPr>
        <w:t xml:space="preserve"> </w:t>
      </w:r>
      <w:r w:rsidRPr="00344A28">
        <w:rPr>
          <w:sz w:val="24"/>
          <w:szCs w:val="24"/>
        </w:rPr>
        <w:t>renewable energy device</w:t>
      </w:r>
      <w:r w:rsidR="00C65BAE">
        <w:rPr>
          <w:sz w:val="24"/>
          <w:szCs w:val="24"/>
        </w:rPr>
        <w:t xml:space="preserve"> or system</w:t>
      </w:r>
      <w:r w:rsidRPr="00344A28">
        <w:rPr>
          <w:sz w:val="24"/>
          <w:szCs w:val="24"/>
        </w:rPr>
        <w:t xml:space="preserve">, but </w:t>
      </w:r>
      <w:r w:rsidR="006A011D">
        <w:rPr>
          <w:sz w:val="24"/>
          <w:szCs w:val="24"/>
        </w:rPr>
        <w:t>behind the customer meter</w:t>
      </w:r>
      <w:r w:rsidR="006A011D" w:rsidRPr="00344A28">
        <w:rPr>
          <w:sz w:val="24"/>
          <w:szCs w:val="24"/>
        </w:rPr>
        <w:t xml:space="preserve"> </w:t>
      </w:r>
      <w:r w:rsidR="006A011D">
        <w:rPr>
          <w:sz w:val="24"/>
          <w:szCs w:val="24"/>
        </w:rPr>
        <w:t xml:space="preserve">generated and </w:t>
      </w:r>
      <w:r>
        <w:rPr>
          <w:sz w:val="24"/>
          <w:szCs w:val="24"/>
        </w:rPr>
        <w:t xml:space="preserve">net exported </w:t>
      </w:r>
      <w:r w:rsidRPr="00344A28">
        <w:rPr>
          <w:sz w:val="24"/>
          <w:szCs w:val="24"/>
        </w:rPr>
        <w:t>energy to the grid or pipeline</w:t>
      </w:r>
      <w:r w:rsidR="00760BC0">
        <w:rPr>
          <w:sz w:val="24"/>
          <w:szCs w:val="24"/>
        </w:rPr>
        <w:t>,</w:t>
      </w:r>
      <w:r w:rsidRPr="00344A28">
        <w:rPr>
          <w:sz w:val="24"/>
          <w:szCs w:val="24"/>
        </w:rPr>
        <w:t xml:space="preserve"> from the RE </w:t>
      </w:r>
      <w:r w:rsidR="000D2511">
        <w:rPr>
          <w:sz w:val="24"/>
          <w:szCs w:val="24"/>
        </w:rPr>
        <w:t>generator</w:t>
      </w:r>
      <w:r w:rsidR="00760BC0">
        <w:rPr>
          <w:sz w:val="24"/>
          <w:szCs w:val="24"/>
        </w:rPr>
        <w:t>,</w:t>
      </w:r>
      <w:r w:rsidRPr="00344A28">
        <w:rPr>
          <w:sz w:val="24"/>
          <w:szCs w:val="24"/>
        </w:rPr>
        <w:t xml:space="preserve"> is not eligible as energy efficiency.</w:t>
      </w:r>
    </w:p>
    <w:p w14:paraId="4C20A725" w14:textId="11BA7008" w:rsidR="00453909" w:rsidRPr="001D1613" w:rsidRDefault="00C65BAE" w:rsidP="00453909">
      <w:pPr>
        <w:rPr>
          <w:color w:val="2F5496" w:themeColor="accent1" w:themeShade="BF"/>
          <w:sz w:val="24"/>
          <w:szCs w:val="24"/>
        </w:rPr>
      </w:pPr>
      <w:r w:rsidRPr="00C65BAE">
        <w:rPr>
          <w:rFonts w:ascii="Calibri" w:eastAsia="Calibri" w:hAnsi="Calibri" w:cs="Calibri"/>
          <w:b/>
          <w:bCs/>
          <w:kern w:val="0"/>
          <w:sz w:val="24"/>
          <w:szCs w:val="24"/>
          <w14:ligatures w14:val="none"/>
        </w:rPr>
        <w:t>Condition 3</w:t>
      </w:r>
      <w:r>
        <w:rPr>
          <w:rFonts w:ascii="Calibri" w:eastAsia="Calibri" w:hAnsi="Calibri" w:cs="Calibri"/>
          <w:kern w:val="0"/>
          <w:sz w:val="24"/>
          <w:szCs w:val="24"/>
          <w14:ligatures w14:val="none"/>
        </w:rPr>
        <w:t xml:space="preserve"> - </w:t>
      </w:r>
      <w:r w:rsidRPr="00C65BAE">
        <w:rPr>
          <w:rFonts w:ascii="Calibri" w:eastAsia="Calibri" w:hAnsi="Calibri" w:cs="Calibri"/>
          <w:kern w:val="0"/>
          <w:sz w:val="24"/>
          <w:szCs w:val="24"/>
          <w14:ligatures w14:val="none"/>
        </w:rPr>
        <w:t xml:space="preserve">The useful energy benefit(s) of a measure, or set of measures, inclusive of energy output, </w:t>
      </w:r>
      <w:r w:rsidR="00F956E4">
        <w:rPr>
          <w:rFonts w:ascii="Calibri" w:eastAsia="Calibri" w:hAnsi="Calibri" w:cs="Calibri"/>
          <w:kern w:val="0"/>
          <w:sz w:val="24"/>
          <w:szCs w:val="24"/>
          <w14:ligatures w14:val="none"/>
        </w:rPr>
        <w:t xml:space="preserve">the </w:t>
      </w:r>
      <w:r w:rsidRPr="00C65BAE">
        <w:rPr>
          <w:rFonts w:ascii="Calibri" w:eastAsia="Calibri" w:hAnsi="Calibri" w:cs="Calibri"/>
          <w:kern w:val="0"/>
          <w:sz w:val="24"/>
          <w:szCs w:val="24"/>
          <w14:ligatures w14:val="none"/>
        </w:rPr>
        <w:t>reduction in energy consumption and/or greenhouse gas emissions, may receive incentives from</w:t>
      </w:r>
      <w:r w:rsidR="000D2511">
        <w:rPr>
          <w:rFonts w:ascii="Calibri" w:eastAsia="Calibri" w:hAnsi="Calibri" w:cs="Calibri"/>
          <w:kern w:val="0"/>
          <w:sz w:val="24"/>
          <w:szCs w:val="24"/>
          <w14:ligatures w14:val="none"/>
        </w:rPr>
        <w:t xml:space="preserve"> </w:t>
      </w:r>
      <w:r w:rsidRPr="00C65BAE">
        <w:rPr>
          <w:rFonts w:ascii="Calibri" w:eastAsia="Calibri" w:hAnsi="Calibri" w:cs="Calibri"/>
          <w:kern w:val="0"/>
          <w:sz w:val="24"/>
          <w:szCs w:val="24"/>
          <w14:ligatures w14:val="none"/>
        </w:rPr>
        <w:t xml:space="preserve">Illinois </w:t>
      </w:r>
      <w:r>
        <w:rPr>
          <w:rFonts w:ascii="Calibri" w:eastAsia="Calibri" w:hAnsi="Calibri" w:cs="Calibri"/>
          <w:kern w:val="0"/>
          <w:sz w:val="24"/>
          <w:szCs w:val="24"/>
          <w14:ligatures w14:val="none"/>
        </w:rPr>
        <w:t xml:space="preserve">utilities for </w:t>
      </w:r>
      <w:r w:rsidRPr="00C65BAE">
        <w:rPr>
          <w:rFonts w:ascii="Calibri" w:eastAsia="Calibri" w:hAnsi="Calibri" w:cs="Calibri"/>
          <w:kern w:val="0"/>
          <w:sz w:val="24"/>
          <w:szCs w:val="24"/>
          <w14:ligatures w14:val="none"/>
        </w:rPr>
        <w:t xml:space="preserve">renewable energy programs and Illinois energy efficiency programs; but the RE and EE attributes cannot be double counted as </w:t>
      </w:r>
      <w:r w:rsidR="00424D8E">
        <w:rPr>
          <w:rFonts w:ascii="Calibri" w:eastAsia="Calibri" w:hAnsi="Calibri" w:cs="Calibri"/>
          <w:kern w:val="0"/>
          <w:sz w:val="24"/>
          <w:szCs w:val="24"/>
          <w14:ligatures w14:val="none"/>
        </w:rPr>
        <w:t>RE</w:t>
      </w:r>
      <w:r w:rsidRPr="00C65BAE">
        <w:rPr>
          <w:rFonts w:ascii="Calibri" w:eastAsia="Calibri" w:hAnsi="Calibri" w:cs="Calibri"/>
          <w:kern w:val="0"/>
          <w:sz w:val="24"/>
          <w:szCs w:val="24"/>
          <w14:ligatures w14:val="none"/>
        </w:rPr>
        <w:t xml:space="preserve"> and</w:t>
      </w:r>
      <w:r w:rsidR="00424D8E">
        <w:rPr>
          <w:rFonts w:ascii="Calibri" w:eastAsia="Calibri" w:hAnsi="Calibri" w:cs="Calibri"/>
          <w:kern w:val="0"/>
          <w:sz w:val="24"/>
          <w:szCs w:val="24"/>
          <w14:ligatures w14:val="none"/>
        </w:rPr>
        <w:t xml:space="preserve"> EE</w:t>
      </w:r>
      <w:r w:rsidRPr="00C65BAE">
        <w:rPr>
          <w:rFonts w:ascii="Calibri" w:eastAsia="Calibri" w:hAnsi="Calibri" w:cs="Calibri"/>
          <w:kern w:val="0"/>
          <w:sz w:val="24"/>
          <w:szCs w:val="24"/>
          <w14:ligatures w14:val="none"/>
        </w:rPr>
        <w:t>, such that they are greater than their total energy</w:t>
      </w:r>
      <w:r>
        <w:rPr>
          <w:rFonts w:ascii="Calibri" w:eastAsia="Calibri" w:hAnsi="Calibri" w:cs="Calibri"/>
          <w:kern w:val="0"/>
          <w:sz w:val="24"/>
          <w:szCs w:val="24"/>
          <w14:ligatures w14:val="none"/>
        </w:rPr>
        <w:t xml:space="preserve"> output</w:t>
      </w:r>
      <w:r w:rsidRPr="00C65BAE">
        <w:rPr>
          <w:rFonts w:ascii="Calibri" w:eastAsia="Calibri" w:hAnsi="Calibri" w:cs="Calibri"/>
          <w:kern w:val="0"/>
          <w:sz w:val="24"/>
          <w:szCs w:val="24"/>
          <w14:ligatures w14:val="none"/>
        </w:rPr>
        <w:t>.</w:t>
      </w:r>
    </w:p>
    <w:sectPr w:rsidR="00453909" w:rsidRPr="001D1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A28"/>
    <w:rsid w:val="000D2511"/>
    <w:rsid w:val="00177E68"/>
    <w:rsid w:val="001A02D5"/>
    <w:rsid w:val="001D1613"/>
    <w:rsid w:val="00294C07"/>
    <w:rsid w:val="002D4EB3"/>
    <w:rsid w:val="00344A28"/>
    <w:rsid w:val="003538EC"/>
    <w:rsid w:val="003E171A"/>
    <w:rsid w:val="00413E41"/>
    <w:rsid w:val="00424D8E"/>
    <w:rsid w:val="00453909"/>
    <w:rsid w:val="00500AA3"/>
    <w:rsid w:val="005156F9"/>
    <w:rsid w:val="00610750"/>
    <w:rsid w:val="006A011D"/>
    <w:rsid w:val="006A736F"/>
    <w:rsid w:val="006B3F14"/>
    <w:rsid w:val="00760BC0"/>
    <w:rsid w:val="00790481"/>
    <w:rsid w:val="007B1A81"/>
    <w:rsid w:val="00947FE1"/>
    <w:rsid w:val="00C65BAE"/>
    <w:rsid w:val="00DA2CE2"/>
    <w:rsid w:val="00F95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89024"/>
  <w15:chartTrackingRefBased/>
  <w15:docId w15:val="{0A40CA75-7029-48EE-A0BA-A60C1BA2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44A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400214">
      <w:bodyDiv w:val="1"/>
      <w:marLeft w:val="0"/>
      <w:marRight w:val="0"/>
      <w:marTop w:val="0"/>
      <w:marBottom w:val="0"/>
      <w:divBdr>
        <w:top w:val="none" w:sz="0" w:space="0" w:color="auto"/>
        <w:left w:val="none" w:sz="0" w:space="0" w:color="auto"/>
        <w:bottom w:val="none" w:sz="0" w:space="0" w:color="auto"/>
        <w:right w:val="none" w:sz="0" w:space="0" w:color="auto"/>
      </w:divBdr>
    </w:div>
    <w:div w:id="1727490207">
      <w:bodyDiv w:val="1"/>
      <w:marLeft w:val="0"/>
      <w:marRight w:val="0"/>
      <w:marTop w:val="0"/>
      <w:marBottom w:val="0"/>
      <w:divBdr>
        <w:top w:val="none" w:sz="0" w:space="0" w:color="auto"/>
        <w:left w:val="none" w:sz="0" w:space="0" w:color="auto"/>
        <w:bottom w:val="none" w:sz="0" w:space="0" w:color="auto"/>
        <w:right w:val="none" w:sz="0" w:space="0" w:color="auto"/>
      </w:divBdr>
    </w:div>
    <w:div w:id="1819151648">
      <w:bodyDiv w:val="1"/>
      <w:marLeft w:val="0"/>
      <w:marRight w:val="0"/>
      <w:marTop w:val="0"/>
      <w:marBottom w:val="0"/>
      <w:divBdr>
        <w:top w:val="none" w:sz="0" w:space="0" w:color="auto"/>
        <w:left w:val="none" w:sz="0" w:space="0" w:color="auto"/>
        <w:bottom w:val="none" w:sz="0" w:space="0" w:color="auto"/>
        <w:right w:val="none" w:sz="0" w:space="0" w:color="auto"/>
      </w:divBdr>
    </w:div>
    <w:div w:id="201132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Dusault</dc:creator>
  <cp:keywords/>
  <dc:description/>
  <cp:lastModifiedBy>Celia Johnson</cp:lastModifiedBy>
  <cp:revision>5</cp:revision>
  <dcterms:created xsi:type="dcterms:W3CDTF">2023-06-14T15:05:00Z</dcterms:created>
  <dcterms:modified xsi:type="dcterms:W3CDTF">2023-06-14T21:26:00Z</dcterms:modified>
</cp:coreProperties>
</file>