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38F1E" w14:textId="77777777" w:rsidR="000614B2" w:rsidRPr="002B3312" w:rsidRDefault="000614B2" w:rsidP="000614B2">
      <w:pPr>
        <w:pStyle w:val="DocumentLabel"/>
        <w:rPr>
          <w:rFonts w:ascii="Times New Roman" w:hAnsi="Times New Roman"/>
          <w:sz w:val="20"/>
        </w:rPr>
      </w:pPr>
      <w:r w:rsidRPr="002B3312">
        <w:rPr>
          <w:rFonts w:ascii="Times New Roman" w:hAnsi="Times New Roman"/>
          <w:sz w:val="20"/>
        </w:rPr>
        <w:t>Memorandum</w:t>
      </w:r>
    </w:p>
    <w:p w14:paraId="5FE65254" w14:textId="77777777" w:rsidR="000614B2" w:rsidRPr="002B3312" w:rsidRDefault="000614B2" w:rsidP="000614B2">
      <w:pPr>
        <w:ind w:left="1080" w:hanging="1080"/>
        <w:rPr>
          <w:rStyle w:val="MessageHeaderLabel"/>
          <w:rFonts w:ascii="Times New Roman" w:hAnsi="Times New Roman"/>
          <w:sz w:val="20"/>
        </w:rPr>
      </w:pPr>
    </w:p>
    <w:p w14:paraId="21F157F4" w14:textId="77777777" w:rsidR="000614B2" w:rsidRPr="002B3312" w:rsidRDefault="000614B2" w:rsidP="000614B2">
      <w:pPr>
        <w:pStyle w:val="MessageHeader"/>
        <w:spacing w:after="0" w:line="240" w:lineRule="auto"/>
        <w:ind w:left="1440" w:hanging="1440"/>
        <w:rPr>
          <w:rStyle w:val="MessageHeaderLabel"/>
          <w:rFonts w:ascii="Times New Roman" w:hAnsi="Times New Roman"/>
          <w:b w:val="0"/>
          <w:sz w:val="20"/>
        </w:rPr>
      </w:pPr>
      <w:r w:rsidRPr="002B3312">
        <w:rPr>
          <w:rStyle w:val="MessageHeaderLabel"/>
          <w:rFonts w:ascii="Times New Roman" w:hAnsi="Times New Roman"/>
          <w:sz w:val="20"/>
        </w:rPr>
        <w:t>To:</w:t>
      </w:r>
      <w:r w:rsidRPr="002B3312">
        <w:rPr>
          <w:rStyle w:val="MessageHeaderLabel"/>
          <w:rFonts w:ascii="Times New Roman" w:hAnsi="Times New Roman"/>
          <w:sz w:val="20"/>
        </w:rPr>
        <w:tab/>
      </w:r>
      <w:r w:rsidRPr="00AE4624">
        <w:rPr>
          <w:rStyle w:val="MessageHeaderLabel"/>
          <w:rFonts w:ascii="Times New Roman" w:hAnsi="Times New Roman"/>
          <w:sz w:val="20"/>
        </w:rPr>
        <w:t>IL TRM Technical</w:t>
      </w:r>
      <w:r w:rsidRPr="002B3312">
        <w:rPr>
          <w:rStyle w:val="MessageHeaderLabel"/>
          <w:rFonts w:ascii="Times New Roman" w:hAnsi="Times New Roman"/>
          <w:sz w:val="20"/>
        </w:rPr>
        <w:t xml:space="preserve"> Advisory Committee</w:t>
      </w:r>
    </w:p>
    <w:p w14:paraId="42C7F3A6" w14:textId="77777777" w:rsidR="000614B2" w:rsidRPr="002B3312" w:rsidRDefault="000614B2" w:rsidP="000614B2">
      <w:pPr>
        <w:pStyle w:val="MessageHeader"/>
        <w:spacing w:after="0" w:line="240" w:lineRule="auto"/>
        <w:ind w:left="1620" w:hanging="1620"/>
        <w:rPr>
          <w:rStyle w:val="MessageHeaderLabel"/>
          <w:rFonts w:ascii="Times New Roman" w:hAnsi="Times New Roman"/>
          <w:sz w:val="20"/>
        </w:rPr>
      </w:pPr>
    </w:p>
    <w:p w14:paraId="0BDAF023" w14:textId="6532668C" w:rsidR="000614B2" w:rsidRPr="002B3312" w:rsidRDefault="000614B2" w:rsidP="000614B2">
      <w:pPr>
        <w:ind w:left="1440" w:hanging="1440"/>
        <w:rPr>
          <w:rFonts w:ascii="Times New Roman" w:hAnsi="Times New Roman"/>
          <w:sz w:val="20"/>
        </w:rPr>
      </w:pPr>
      <w:r w:rsidRPr="002B3312">
        <w:rPr>
          <w:rFonts w:ascii="Times New Roman" w:hAnsi="Times New Roman"/>
          <w:b/>
          <w:sz w:val="20"/>
        </w:rPr>
        <w:t>FROM:</w:t>
      </w:r>
      <w:r w:rsidRPr="002B3312">
        <w:rPr>
          <w:rFonts w:ascii="Times New Roman" w:hAnsi="Times New Roman"/>
          <w:b/>
          <w:sz w:val="20"/>
        </w:rPr>
        <w:tab/>
      </w:r>
      <w:r w:rsidR="00E93373">
        <w:rPr>
          <w:rFonts w:ascii="Times New Roman" w:hAnsi="Times New Roman"/>
          <w:sz w:val="20"/>
        </w:rPr>
        <w:t>KEITH CRONIN</w:t>
      </w:r>
      <w:r w:rsidR="00254C33">
        <w:rPr>
          <w:rFonts w:ascii="Times New Roman" w:hAnsi="Times New Roman"/>
          <w:sz w:val="20"/>
        </w:rPr>
        <w:t xml:space="preserve">, PROJECT </w:t>
      </w:r>
      <w:r w:rsidR="003F6076">
        <w:rPr>
          <w:rFonts w:ascii="Times New Roman" w:hAnsi="Times New Roman"/>
          <w:sz w:val="20"/>
        </w:rPr>
        <w:t>LEAD</w:t>
      </w:r>
      <w:r w:rsidR="00254C33">
        <w:rPr>
          <w:rFonts w:ascii="Times New Roman" w:hAnsi="Times New Roman"/>
          <w:sz w:val="20"/>
        </w:rPr>
        <w:t xml:space="preserve">; </w:t>
      </w:r>
      <w:r w:rsidRPr="002B3312">
        <w:rPr>
          <w:rFonts w:ascii="Times New Roman" w:hAnsi="Times New Roman"/>
          <w:sz w:val="20"/>
        </w:rPr>
        <w:t>SAM DENT, TECHNICAL LEAD</w:t>
      </w:r>
    </w:p>
    <w:p w14:paraId="693B3778" w14:textId="77777777" w:rsidR="000614B2" w:rsidRPr="002B3312" w:rsidRDefault="000614B2" w:rsidP="000614B2">
      <w:pPr>
        <w:pStyle w:val="MessageHeader"/>
        <w:spacing w:after="0" w:line="240" w:lineRule="auto"/>
        <w:ind w:left="1620" w:hanging="1620"/>
        <w:rPr>
          <w:rStyle w:val="MessageHeaderLabel"/>
          <w:rFonts w:ascii="Times New Roman" w:hAnsi="Times New Roman"/>
          <w:sz w:val="20"/>
        </w:rPr>
      </w:pPr>
    </w:p>
    <w:p w14:paraId="2580B7CA" w14:textId="7637ACEE" w:rsidR="00E93373" w:rsidRDefault="000614B2" w:rsidP="000614B2">
      <w:pPr>
        <w:pStyle w:val="MessageHeader"/>
        <w:spacing w:after="0" w:line="240" w:lineRule="auto"/>
        <w:ind w:left="1440" w:hanging="1440"/>
        <w:rPr>
          <w:rFonts w:ascii="Times New Roman" w:hAnsi="Times New Roman"/>
          <w:sz w:val="20"/>
        </w:rPr>
      </w:pPr>
      <w:r w:rsidRPr="002B3312">
        <w:rPr>
          <w:rStyle w:val="MessageHeaderLabel"/>
          <w:rFonts w:ascii="Times New Roman" w:hAnsi="Times New Roman"/>
          <w:sz w:val="20"/>
        </w:rPr>
        <w:t>subject:</w:t>
      </w:r>
      <w:r w:rsidRPr="002B3312">
        <w:rPr>
          <w:rFonts w:ascii="Times New Roman" w:hAnsi="Times New Roman"/>
          <w:sz w:val="20"/>
        </w:rPr>
        <w:tab/>
      </w:r>
      <w:r>
        <w:rPr>
          <w:rFonts w:ascii="Times New Roman" w:hAnsi="Times New Roman"/>
          <w:sz w:val="20"/>
        </w:rPr>
        <w:t xml:space="preserve">IL </w:t>
      </w:r>
      <w:r w:rsidRPr="002B3312">
        <w:rPr>
          <w:rFonts w:ascii="Times New Roman" w:hAnsi="Times New Roman"/>
          <w:sz w:val="20"/>
        </w:rPr>
        <w:t xml:space="preserve">TRM Version </w:t>
      </w:r>
      <w:r w:rsidR="00E93373">
        <w:rPr>
          <w:rFonts w:ascii="Times New Roman" w:hAnsi="Times New Roman"/>
          <w:sz w:val="20"/>
        </w:rPr>
        <w:t>1</w:t>
      </w:r>
      <w:r w:rsidR="003F6076">
        <w:rPr>
          <w:rFonts w:ascii="Times New Roman" w:hAnsi="Times New Roman"/>
          <w:sz w:val="20"/>
        </w:rPr>
        <w:t>5</w:t>
      </w:r>
      <w:r>
        <w:rPr>
          <w:rFonts w:ascii="Times New Roman" w:hAnsi="Times New Roman"/>
          <w:sz w:val="20"/>
        </w:rPr>
        <w:t>.0</w:t>
      </w:r>
      <w:r w:rsidR="00180311">
        <w:rPr>
          <w:rFonts w:ascii="Times New Roman" w:hAnsi="Times New Roman"/>
          <w:sz w:val="20"/>
        </w:rPr>
        <w:t xml:space="preserve">: </w:t>
      </w:r>
    </w:p>
    <w:p w14:paraId="1FCBDEBF" w14:textId="0A969BE8" w:rsidR="000614B2" w:rsidRPr="002B3312" w:rsidRDefault="00180311" w:rsidP="00E93373">
      <w:pPr>
        <w:pStyle w:val="MessageHeader"/>
        <w:spacing w:after="0" w:line="240" w:lineRule="auto"/>
        <w:ind w:left="1440" w:hanging="4"/>
        <w:rPr>
          <w:rFonts w:ascii="Times New Roman" w:hAnsi="Times New Roman"/>
          <w:sz w:val="20"/>
        </w:rPr>
      </w:pPr>
      <w:r>
        <w:rPr>
          <w:rFonts w:ascii="Times New Roman" w:hAnsi="Times New Roman"/>
          <w:sz w:val="20"/>
        </w:rPr>
        <w:t>comparison exhibit of</w:t>
      </w:r>
      <w:r w:rsidR="000614B2">
        <w:rPr>
          <w:rFonts w:ascii="Times New Roman" w:hAnsi="Times New Roman"/>
          <w:sz w:val="20"/>
        </w:rPr>
        <w:t xml:space="preserve"> </w:t>
      </w:r>
      <w:r w:rsidR="002A13D1">
        <w:rPr>
          <w:rFonts w:ascii="Times New Roman" w:hAnsi="Times New Roman"/>
          <w:sz w:val="20"/>
        </w:rPr>
        <w:t>NON-CONSENSUS</w:t>
      </w:r>
      <w:r w:rsidR="000614B2">
        <w:rPr>
          <w:rFonts w:ascii="Times New Roman" w:hAnsi="Times New Roman"/>
          <w:sz w:val="20"/>
        </w:rPr>
        <w:t xml:space="preserve"> </w:t>
      </w:r>
      <w:r>
        <w:rPr>
          <w:rFonts w:ascii="Times New Roman" w:hAnsi="Times New Roman"/>
          <w:sz w:val="20"/>
        </w:rPr>
        <w:t>TRM update issues</w:t>
      </w:r>
      <w:r w:rsidR="00AA52A3">
        <w:rPr>
          <w:rFonts w:ascii="Times New Roman" w:hAnsi="Times New Roman"/>
          <w:sz w:val="20"/>
        </w:rPr>
        <w:t xml:space="preserve"> - DRAFT</w:t>
      </w:r>
    </w:p>
    <w:p w14:paraId="6B2D0B4B" w14:textId="77777777" w:rsidR="000614B2" w:rsidRPr="002B3312" w:rsidRDefault="000614B2" w:rsidP="000614B2">
      <w:pPr>
        <w:pStyle w:val="MessageHeader"/>
        <w:spacing w:after="0" w:line="240" w:lineRule="auto"/>
        <w:ind w:left="1620" w:hanging="1620"/>
        <w:rPr>
          <w:rStyle w:val="MessageHeaderLabel"/>
          <w:rFonts w:ascii="Times New Roman" w:hAnsi="Times New Roman"/>
          <w:sz w:val="20"/>
        </w:rPr>
      </w:pPr>
    </w:p>
    <w:p w14:paraId="3A172825" w14:textId="122F5B54" w:rsidR="000614B2" w:rsidRPr="002B3312" w:rsidRDefault="000614B2" w:rsidP="000614B2">
      <w:pPr>
        <w:pStyle w:val="MessageHeader"/>
        <w:spacing w:after="0" w:line="240" w:lineRule="auto"/>
        <w:ind w:left="1436" w:hangingChars="715" w:hanging="1436"/>
        <w:rPr>
          <w:rFonts w:ascii="Times New Roman" w:hAnsi="Times New Roman"/>
          <w:sz w:val="20"/>
        </w:rPr>
      </w:pPr>
      <w:r w:rsidRPr="002B3312">
        <w:rPr>
          <w:rStyle w:val="MessageHeaderLabel"/>
          <w:rFonts w:ascii="Times New Roman" w:hAnsi="Times New Roman"/>
          <w:sz w:val="20"/>
        </w:rPr>
        <w:t xml:space="preserve">date:         </w:t>
      </w:r>
      <w:r w:rsidRPr="002B3312">
        <w:rPr>
          <w:rStyle w:val="MessageHeaderLabel"/>
          <w:rFonts w:ascii="Times New Roman" w:hAnsi="Times New Roman"/>
          <w:sz w:val="20"/>
        </w:rPr>
        <w:tab/>
      </w:r>
      <w:r w:rsidR="00E534DC">
        <w:rPr>
          <w:rStyle w:val="MessageHeaderLabel"/>
          <w:rFonts w:ascii="Times New Roman" w:hAnsi="Times New Roman"/>
          <w:sz w:val="20"/>
        </w:rPr>
        <w:t>July 31, 2026</w:t>
      </w:r>
    </w:p>
    <w:p w14:paraId="256BDC80" w14:textId="77777777" w:rsidR="000614B2" w:rsidRPr="002B3312" w:rsidRDefault="000614B2" w:rsidP="000614B2">
      <w:pPr>
        <w:ind w:left="1620" w:hanging="1620"/>
        <w:rPr>
          <w:rFonts w:ascii="Times New Roman" w:hAnsi="Times New Roman"/>
          <w:sz w:val="20"/>
        </w:rPr>
      </w:pPr>
    </w:p>
    <w:p w14:paraId="35F6D1CC" w14:textId="77777777" w:rsidR="000614B2" w:rsidRPr="002B3312" w:rsidRDefault="000614B2" w:rsidP="000614B2">
      <w:pPr>
        <w:ind w:left="1440" w:hanging="1440"/>
        <w:rPr>
          <w:rFonts w:ascii="Times New Roman" w:hAnsi="Times New Roman"/>
        </w:rPr>
      </w:pPr>
      <w:r w:rsidRPr="002B3312">
        <w:rPr>
          <w:rFonts w:ascii="Times New Roman" w:hAnsi="Times New Roman"/>
          <w:b/>
          <w:sz w:val="20"/>
        </w:rPr>
        <w:t>Cc:</w:t>
      </w:r>
      <w:r w:rsidRPr="002B3312">
        <w:rPr>
          <w:rFonts w:ascii="Times New Roman" w:hAnsi="Times New Roman"/>
          <w:b/>
          <w:sz w:val="20"/>
        </w:rPr>
        <w:tab/>
      </w:r>
      <w:r>
        <w:rPr>
          <w:rFonts w:ascii="Times New Roman" w:hAnsi="Times New Roman"/>
          <w:sz w:val="20"/>
        </w:rPr>
        <w:t>CELIA JOHNSON</w:t>
      </w:r>
      <w:r w:rsidRPr="002B3312">
        <w:rPr>
          <w:rFonts w:ascii="Times New Roman" w:hAnsi="Times New Roman"/>
          <w:sz w:val="20"/>
        </w:rPr>
        <w:t>, SAG</w:t>
      </w:r>
    </w:p>
    <w:p w14:paraId="58DB5AE5" w14:textId="77777777" w:rsidR="000614B2" w:rsidRDefault="000614B2" w:rsidP="000614B2">
      <w:pPr>
        <w:rPr>
          <w:b/>
          <w:caps/>
          <w:sz w:val="20"/>
        </w:rPr>
      </w:pPr>
    </w:p>
    <w:p w14:paraId="723AF095" w14:textId="77777777" w:rsidR="000614B2" w:rsidRDefault="000614B2" w:rsidP="000614B2">
      <w:pPr>
        <w:rPr>
          <w:sz w:val="20"/>
        </w:rPr>
      </w:pPr>
      <w:r>
        <w:rPr>
          <w:noProof/>
        </w:rPr>
        <mc:AlternateContent>
          <mc:Choice Requires="wps">
            <w:drawing>
              <wp:anchor distT="4294967295" distB="4294967295" distL="114300" distR="114300" simplePos="0" relativeHeight="251658240" behindDoc="0" locked="0" layoutInCell="1" allowOverlap="1" wp14:anchorId="78FD1906" wp14:editId="20B5E8F4">
                <wp:simplePos x="0" y="0"/>
                <wp:positionH relativeFrom="column">
                  <wp:posOffset>-15240</wp:posOffset>
                </wp:positionH>
                <wp:positionV relativeFrom="paragraph">
                  <wp:posOffset>-2540</wp:posOffset>
                </wp:positionV>
                <wp:extent cx="6400800" cy="0"/>
                <wp:effectExtent l="0" t="0" r="1905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D40B2F" id="_x0000_t32" coordsize="21600,21600" o:spt="32" o:oned="t" path="m,l21600,21600e" filled="f">
                <v:path arrowok="t" fillok="f" o:connecttype="none"/>
                <o:lock v:ext="edit" shapetype="t"/>
              </v:shapetype>
              <v:shape id="AutoShape 2" o:spid="_x0000_s1026" type="#_x0000_t32" style="position:absolute;margin-left:-1.2pt;margin-top:-.2pt;width:7in;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"/>
            </w:pict>
          </mc:Fallback>
        </mc:AlternateContent>
      </w:r>
    </w:p>
    <w:p w14:paraId="79FCF5B1" w14:textId="70BD07CD" w:rsidR="000614B2" w:rsidRDefault="000614B2" w:rsidP="00C00A82">
      <w:pPr>
        <w:spacing w:after="120"/>
        <w:rPr>
          <w:sz w:val="20"/>
        </w:rPr>
      </w:pPr>
      <w:r>
        <w:rPr>
          <w:sz w:val="20"/>
        </w:rPr>
        <w:t xml:space="preserve">This memo documents positions provided for the following issue for which consensus was not reached during the Version </w:t>
      </w:r>
      <w:r w:rsidR="00E93373">
        <w:rPr>
          <w:sz w:val="20"/>
        </w:rPr>
        <w:t>1</w:t>
      </w:r>
      <w:r w:rsidR="003F6076">
        <w:rPr>
          <w:sz w:val="20"/>
        </w:rPr>
        <w:t>5</w:t>
      </w:r>
      <w:r>
        <w:rPr>
          <w:sz w:val="20"/>
        </w:rPr>
        <w:t>.0 update cycle:</w:t>
      </w:r>
    </w:p>
    <w:p w14:paraId="671C71BA" w14:textId="3929C87A" w:rsidR="00E93373" w:rsidRDefault="00E67519" w:rsidP="00E93373">
      <w:pPr>
        <w:numPr>
          <w:ilvl w:val="0"/>
          <w:numId w:val="9"/>
        </w:numPr>
        <w:spacing w:after="120"/>
        <w:rPr>
          <w:b/>
          <w:bCs/>
          <w:sz w:val="20"/>
          <w:u w:val="single"/>
        </w:rPr>
      </w:pPr>
      <w:r>
        <w:rPr>
          <w:b/>
          <w:bCs/>
          <w:sz w:val="20"/>
          <w:u w:val="single"/>
        </w:rPr>
        <w:t xml:space="preserve">Impacts of </w:t>
      </w:r>
      <w:r w:rsidR="00ED140F">
        <w:rPr>
          <w:b/>
          <w:bCs/>
          <w:sz w:val="20"/>
          <w:u w:val="single"/>
        </w:rPr>
        <w:t>the Clean Lighting Act (</w:t>
      </w:r>
      <w:r w:rsidR="00AC13E0">
        <w:rPr>
          <w:b/>
          <w:bCs/>
          <w:sz w:val="20"/>
          <w:u w:val="single"/>
        </w:rPr>
        <w:t>HB2363)</w:t>
      </w:r>
    </w:p>
    <w:p w14:paraId="406AC464" w14:textId="47840C0C" w:rsidR="00E93373" w:rsidRPr="00E93373" w:rsidRDefault="00E93373" w:rsidP="00E93373">
      <w:pPr>
        <w:numPr>
          <w:ilvl w:val="1"/>
          <w:numId w:val="9"/>
        </w:numPr>
        <w:spacing w:after="120"/>
        <w:rPr>
          <w:sz w:val="20"/>
        </w:rPr>
      </w:pPr>
      <w:r w:rsidRPr="00E93373">
        <w:rPr>
          <w:sz w:val="20"/>
        </w:rPr>
        <w:t xml:space="preserve">Nonconsensus on the </w:t>
      </w:r>
      <w:r w:rsidR="00E50506">
        <w:rPr>
          <w:sz w:val="20"/>
        </w:rPr>
        <w:t>adjustment of baseline conditions for commercial lighting measures</w:t>
      </w:r>
      <w:r w:rsidRPr="00E93373">
        <w:rPr>
          <w:sz w:val="20"/>
        </w:rPr>
        <w:t xml:space="preserve">, submitted by </w:t>
      </w:r>
      <w:r w:rsidR="00AC13E0">
        <w:rPr>
          <w:sz w:val="20"/>
        </w:rPr>
        <w:t>VEIC.</w:t>
      </w:r>
    </w:p>
    <w:p w14:paraId="482C8B2A" w14:textId="77777777" w:rsidR="00E93373" w:rsidRPr="00E93373" w:rsidRDefault="00E93373" w:rsidP="00E93373">
      <w:pPr>
        <w:spacing w:after="120"/>
        <w:ind w:left="720"/>
        <w:rPr>
          <w:b/>
          <w:bCs/>
          <w:sz w:val="20"/>
          <w:u w:val="single"/>
        </w:rPr>
      </w:pPr>
    </w:p>
    <w:p w14:paraId="603B52E1" w14:textId="38862871" w:rsidR="000614B2" w:rsidRPr="00AA52A3" w:rsidRDefault="00BC21C5" w:rsidP="00C00A82">
      <w:pPr>
        <w:spacing w:after="120"/>
        <w:rPr>
          <w:sz w:val="20"/>
        </w:rPr>
      </w:pPr>
      <w:r w:rsidRPr="00AA52A3">
        <w:rPr>
          <w:sz w:val="20"/>
        </w:rPr>
        <w:t>The</w:t>
      </w:r>
      <w:r w:rsidR="00E93373" w:rsidRPr="00AA52A3">
        <w:rPr>
          <w:sz w:val="20"/>
        </w:rPr>
        <w:t>se</w:t>
      </w:r>
      <w:r w:rsidRPr="00AA52A3">
        <w:rPr>
          <w:sz w:val="20"/>
        </w:rPr>
        <w:t xml:space="preserve"> issue</w:t>
      </w:r>
      <w:r w:rsidR="00E93373" w:rsidRPr="00AA52A3">
        <w:rPr>
          <w:sz w:val="20"/>
        </w:rPr>
        <w:t>s</w:t>
      </w:r>
      <w:r w:rsidRPr="00AA52A3">
        <w:rPr>
          <w:sz w:val="20"/>
        </w:rPr>
        <w:t xml:space="preserve"> </w:t>
      </w:r>
      <w:r w:rsidR="00E93373" w:rsidRPr="00AA52A3">
        <w:rPr>
          <w:sz w:val="20"/>
        </w:rPr>
        <w:t>are</w:t>
      </w:r>
      <w:r w:rsidR="000614B2" w:rsidRPr="00AA52A3">
        <w:rPr>
          <w:sz w:val="20"/>
        </w:rPr>
        <w:t xml:space="preserve"> </w:t>
      </w:r>
      <w:r w:rsidR="00E93373" w:rsidRPr="00AA52A3">
        <w:rPr>
          <w:sz w:val="20"/>
        </w:rPr>
        <w:t xml:space="preserve">summarized </w:t>
      </w:r>
      <w:r w:rsidR="003F41AB" w:rsidRPr="00AA52A3">
        <w:rPr>
          <w:sz w:val="20"/>
        </w:rPr>
        <w:t>below</w:t>
      </w:r>
      <w:r w:rsidR="000614B2">
        <w:rPr>
          <w:sz w:val="20"/>
        </w:rPr>
        <w:t xml:space="preserve">, followed by a Comparison Exhibit summarizing </w:t>
      </w:r>
      <w:r w:rsidR="00602D1A">
        <w:rPr>
          <w:sz w:val="20"/>
        </w:rPr>
        <w:t xml:space="preserve">the </w:t>
      </w:r>
      <w:r w:rsidR="000614B2">
        <w:rPr>
          <w:sz w:val="20"/>
        </w:rPr>
        <w:t>key differences in opinion within the T</w:t>
      </w:r>
      <w:r w:rsidR="00E93373">
        <w:rPr>
          <w:sz w:val="20"/>
        </w:rPr>
        <w:t>echnical Advisory Committee (TAC) and/or Stakeholder Advisory Committee (SAG).</w:t>
      </w:r>
      <w:r w:rsidR="000614B2">
        <w:rPr>
          <w:sz w:val="20"/>
        </w:rPr>
        <w:t xml:space="preserve"> </w:t>
      </w:r>
      <w:r w:rsidR="00E93373" w:rsidRPr="00AA52A3">
        <w:rPr>
          <w:sz w:val="20"/>
        </w:rPr>
        <w:t xml:space="preserve">An </w:t>
      </w:r>
      <w:r w:rsidR="000614B2" w:rsidRPr="00AA52A3">
        <w:rPr>
          <w:sz w:val="20"/>
        </w:rPr>
        <w:t xml:space="preserve">Appendix </w:t>
      </w:r>
      <w:r w:rsidR="00E93373" w:rsidRPr="00AA52A3">
        <w:rPr>
          <w:sz w:val="20"/>
        </w:rPr>
        <w:t xml:space="preserve">is also providing </w:t>
      </w:r>
      <w:r w:rsidR="000614B2" w:rsidRPr="00AA52A3">
        <w:rPr>
          <w:sz w:val="20"/>
        </w:rPr>
        <w:t xml:space="preserve">containing </w:t>
      </w:r>
      <w:r w:rsidR="00385493" w:rsidRPr="00AA52A3">
        <w:rPr>
          <w:sz w:val="20"/>
        </w:rPr>
        <w:t xml:space="preserve">the </w:t>
      </w:r>
      <w:r w:rsidR="00B962A6" w:rsidRPr="00AA52A3">
        <w:rPr>
          <w:sz w:val="20"/>
        </w:rPr>
        <w:t xml:space="preserve">relevant </w:t>
      </w:r>
      <w:r w:rsidR="00CB5413" w:rsidRPr="00AA52A3">
        <w:rPr>
          <w:sz w:val="20"/>
        </w:rPr>
        <w:t>Technical Reference Manual measure ‘4.5.4 LED Bulbs and Fixtures’.</w:t>
      </w:r>
    </w:p>
    <w:p w14:paraId="40A6BD05" w14:textId="77777777" w:rsidR="00E93373" w:rsidRDefault="00E93373" w:rsidP="00C00A82">
      <w:pPr>
        <w:spacing w:after="120"/>
        <w:rPr>
          <w:sz w:val="20"/>
        </w:rPr>
      </w:pPr>
    </w:p>
    <w:p w14:paraId="09FA500A" w14:textId="77777777" w:rsidR="001F4B76" w:rsidRDefault="001F4B76">
      <w:pPr>
        <w:rPr>
          <w:rFonts w:ascii="Calibri" w:eastAsia="Times New Roman" w:hAnsi="Calibri" w:cs="Arial"/>
          <w:b/>
          <w:kern w:val="32"/>
          <w:sz w:val="36"/>
          <w:szCs w:val="52"/>
          <w:u w:val="single"/>
        </w:rPr>
      </w:pPr>
      <w:bookmarkStart w:id="0" w:name="_Hlk524321699"/>
      <w:r>
        <w:br w:type="page"/>
      </w:r>
    </w:p>
    <w:p w14:paraId="06D59CAA" w14:textId="230F7F40" w:rsidR="00E93373" w:rsidRPr="001F4B76" w:rsidRDefault="00B872D1" w:rsidP="001F4B76">
      <w:pPr>
        <w:pStyle w:val="Heading1"/>
      </w:pPr>
      <w:r>
        <w:lastRenderedPageBreak/>
        <w:t xml:space="preserve">Impact of </w:t>
      </w:r>
      <w:r w:rsidR="0019528E">
        <w:t>the Clean Lighting Act (HB2363)</w:t>
      </w:r>
    </w:p>
    <w:p w14:paraId="6E45B015" w14:textId="6CC3894E" w:rsidR="00161223" w:rsidRPr="00CB205A" w:rsidRDefault="00161223" w:rsidP="00E93373">
      <w:pPr>
        <w:pStyle w:val="Heading2"/>
      </w:pPr>
      <w:r w:rsidRPr="00D5099A">
        <w:t>Issue</w:t>
      </w:r>
      <w:r w:rsidR="006A1E59" w:rsidRPr="00D5099A">
        <w:t xml:space="preserve"> </w:t>
      </w:r>
      <w:r w:rsidR="003A6241" w:rsidRPr="00D5099A">
        <w:t xml:space="preserve">#1 </w:t>
      </w:r>
      <w:r w:rsidR="006A1E59" w:rsidRPr="00D5099A">
        <w:t>Summary</w:t>
      </w:r>
    </w:p>
    <w:p w14:paraId="6E2E3036" w14:textId="0DCA491A" w:rsidR="001F4B76" w:rsidRDefault="001F4B76" w:rsidP="00AA52A3">
      <w:pPr>
        <w:spacing w:after="120"/>
        <w:jc w:val="both"/>
        <w:rPr>
          <w:sz w:val="20"/>
        </w:rPr>
      </w:pPr>
      <w:bookmarkStart w:id="1" w:name="_Hlk51223890"/>
      <w:bookmarkStart w:id="2" w:name="_Hlk524321756"/>
      <w:bookmarkEnd w:id="0"/>
      <w:r>
        <w:rPr>
          <w:sz w:val="20"/>
        </w:rPr>
        <w:t>During the Version 1</w:t>
      </w:r>
      <w:r w:rsidR="000F5470">
        <w:rPr>
          <w:sz w:val="20"/>
        </w:rPr>
        <w:t>5</w:t>
      </w:r>
      <w:r>
        <w:rPr>
          <w:sz w:val="20"/>
        </w:rPr>
        <w:t xml:space="preserve">.0 TRM update process, </w:t>
      </w:r>
      <w:r w:rsidR="006C4268">
        <w:rPr>
          <w:sz w:val="20"/>
        </w:rPr>
        <w:t xml:space="preserve">VEIC </w:t>
      </w:r>
      <w:r w:rsidR="00F9766C">
        <w:rPr>
          <w:sz w:val="20"/>
        </w:rPr>
        <w:t xml:space="preserve">identified language in the Clean Lighting Act </w:t>
      </w:r>
      <w:r w:rsidR="002C06D4">
        <w:rPr>
          <w:sz w:val="20"/>
        </w:rPr>
        <w:t xml:space="preserve">(HB2363) </w:t>
      </w:r>
      <w:r w:rsidR="00F9766C">
        <w:rPr>
          <w:sz w:val="20"/>
        </w:rPr>
        <w:t xml:space="preserve">as potentially impacting the </w:t>
      </w:r>
      <w:r w:rsidR="0029311A">
        <w:rPr>
          <w:sz w:val="20"/>
        </w:rPr>
        <w:t>savings baseline</w:t>
      </w:r>
      <w:r w:rsidR="00FA6468">
        <w:rPr>
          <w:sz w:val="20"/>
        </w:rPr>
        <w:t>s</w:t>
      </w:r>
      <w:r w:rsidR="0029311A">
        <w:rPr>
          <w:sz w:val="20"/>
        </w:rPr>
        <w:t xml:space="preserve"> for </w:t>
      </w:r>
      <w:r w:rsidR="0021209D">
        <w:rPr>
          <w:sz w:val="20"/>
        </w:rPr>
        <w:t>some</w:t>
      </w:r>
      <w:r w:rsidR="0029311A">
        <w:rPr>
          <w:sz w:val="20"/>
        </w:rPr>
        <w:t xml:space="preserve"> commercial lighting measures and raised the potential impact </w:t>
      </w:r>
      <w:r w:rsidR="00812D08">
        <w:rPr>
          <w:sz w:val="20"/>
        </w:rPr>
        <w:t xml:space="preserve">in the Workpaper Check-in </w:t>
      </w:r>
      <w:r w:rsidR="00937B67">
        <w:rPr>
          <w:sz w:val="20"/>
        </w:rPr>
        <w:t>Technical Advisory Committee (</w:t>
      </w:r>
      <w:r w:rsidR="00812D08">
        <w:rPr>
          <w:sz w:val="20"/>
        </w:rPr>
        <w:t>TAC</w:t>
      </w:r>
      <w:r w:rsidR="00937B67">
        <w:rPr>
          <w:sz w:val="20"/>
        </w:rPr>
        <w:t>)</w:t>
      </w:r>
      <w:r w:rsidR="00812D08">
        <w:rPr>
          <w:sz w:val="20"/>
        </w:rPr>
        <w:t xml:space="preserve"> call on </w:t>
      </w:r>
      <w:r w:rsidR="00836D67">
        <w:rPr>
          <w:sz w:val="20"/>
        </w:rPr>
        <w:t>April 21, 2026</w:t>
      </w:r>
      <w:r w:rsidR="00320A65">
        <w:rPr>
          <w:sz w:val="20"/>
        </w:rPr>
        <w:t xml:space="preserve">. </w:t>
      </w:r>
      <w:r w:rsidR="00AE5464">
        <w:rPr>
          <w:sz w:val="20"/>
        </w:rPr>
        <w:t>The p</w:t>
      </w:r>
      <w:r w:rsidR="00F464FA">
        <w:rPr>
          <w:sz w:val="20"/>
        </w:rPr>
        <w:t xml:space="preserve">ertinent language in the Act that </w:t>
      </w:r>
      <w:r w:rsidR="0021209D">
        <w:rPr>
          <w:sz w:val="20"/>
        </w:rPr>
        <w:t>w</w:t>
      </w:r>
      <w:r w:rsidR="006420BB">
        <w:rPr>
          <w:sz w:val="20"/>
        </w:rPr>
        <w:t xml:space="preserve">ould affect measure baselines </w:t>
      </w:r>
      <w:r w:rsidR="00AE5464">
        <w:rPr>
          <w:sz w:val="20"/>
        </w:rPr>
        <w:t>is as follows:</w:t>
      </w:r>
    </w:p>
    <w:p w14:paraId="131A4490" w14:textId="77777777" w:rsidR="00AE5464" w:rsidRPr="00B320A6" w:rsidRDefault="00AE5464" w:rsidP="00B320A6">
      <w:pPr>
        <w:spacing w:after="120"/>
        <w:ind w:left="720"/>
        <w:rPr>
          <w:i/>
          <w:iCs/>
          <w:sz w:val="20"/>
        </w:rPr>
      </w:pPr>
      <w:r w:rsidRPr="00B320A6">
        <w:rPr>
          <w:i/>
          <w:iCs/>
          <w:sz w:val="20"/>
        </w:rPr>
        <w:t xml:space="preserve">"beginning January 1, 2027, no person shall sell, offer to sell, or distribute in the State as a new manufactured product a pin-base type compact fluorescent lamp or a linear fluorescent lamp" (Sec. 21.8(d)). </w:t>
      </w:r>
    </w:p>
    <w:p w14:paraId="5DA1E910" w14:textId="56AB9C4A" w:rsidR="0062403C" w:rsidRDefault="008843B2" w:rsidP="00AA52A3">
      <w:pPr>
        <w:spacing w:after="120"/>
        <w:jc w:val="both"/>
        <w:rPr>
          <w:sz w:val="20"/>
        </w:rPr>
      </w:pPr>
      <w:r>
        <w:rPr>
          <w:sz w:val="20"/>
        </w:rPr>
        <w:t xml:space="preserve">As per </w:t>
      </w:r>
      <w:r w:rsidR="00F0560D">
        <w:rPr>
          <w:sz w:val="20"/>
        </w:rPr>
        <w:t>the current v14 Illinois Technical Reference Manual</w:t>
      </w:r>
      <w:r w:rsidR="0021209D">
        <w:rPr>
          <w:sz w:val="20"/>
        </w:rPr>
        <w:t xml:space="preserve"> (TRM)</w:t>
      </w:r>
      <w:r w:rsidR="00F0560D">
        <w:rPr>
          <w:sz w:val="20"/>
        </w:rPr>
        <w:t>, section ‘</w:t>
      </w:r>
      <w:r>
        <w:rPr>
          <w:sz w:val="20"/>
        </w:rPr>
        <w:t>4.5.4 LED Bulbs and Fixtures’</w:t>
      </w:r>
      <w:r w:rsidR="00652AAE">
        <w:rPr>
          <w:sz w:val="20"/>
        </w:rPr>
        <w:t xml:space="preserve"> provided in Appendix A</w:t>
      </w:r>
      <w:r>
        <w:rPr>
          <w:sz w:val="20"/>
        </w:rPr>
        <w:t xml:space="preserve">, </w:t>
      </w:r>
      <w:r w:rsidR="00661B5B">
        <w:rPr>
          <w:sz w:val="20"/>
        </w:rPr>
        <w:t>since</w:t>
      </w:r>
      <w:r w:rsidR="006F1FD4">
        <w:rPr>
          <w:sz w:val="20"/>
        </w:rPr>
        <w:t xml:space="preserve"> 1/1/2026 no savings </w:t>
      </w:r>
      <w:r>
        <w:rPr>
          <w:sz w:val="20"/>
        </w:rPr>
        <w:t>have been</w:t>
      </w:r>
      <w:r w:rsidR="006F1FD4">
        <w:rPr>
          <w:sz w:val="20"/>
        </w:rPr>
        <w:t xml:space="preserve"> claimed for </w:t>
      </w:r>
      <w:r>
        <w:rPr>
          <w:sz w:val="20"/>
        </w:rPr>
        <w:t xml:space="preserve">LED lamps, except via direct install programs. </w:t>
      </w:r>
      <w:r w:rsidR="0021209D">
        <w:rPr>
          <w:sz w:val="20"/>
        </w:rPr>
        <w:t>However,</w:t>
      </w:r>
      <w:r w:rsidR="00F0560D">
        <w:rPr>
          <w:sz w:val="20"/>
        </w:rPr>
        <w:t xml:space="preserve"> m</w:t>
      </w:r>
      <w:r w:rsidR="00E323ED">
        <w:rPr>
          <w:sz w:val="20"/>
        </w:rPr>
        <w:t xml:space="preserve">any of the </w:t>
      </w:r>
      <w:r w:rsidR="0062403C">
        <w:rPr>
          <w:sz w:val="20"/>
        </w:rPr>
        <w:t>remaining</w:t>
      </w:r>
      <w:r w:rsidR="00661B5B">
        <w:rPr>
          <w:sz w:val="20"/>
        </w:rPr>
        <w:t xml:space="preserve"> </w:t>
      </w:r>
      <w:r w:rsidR="0062403C">
        <w:rPr>
          <w:sz w:val="20"/>
        </w:rPr>
        <w:t xml:space="preserve">commercial </w:t>
      </w:r>
      <w:r w:rsidR="00661B5B">
        <w:rPr>
          <w:sz w:val="20"/>
        </w:rPr>
        <w:t xml:space="preserve">fixture </w:t>
      </w:r>
      <w:r w:rsidR="00E323ED">
        <w:rPr>
          <w:sz w:val="20"/>
        </w:rPr>
        <w:t>measures</w:t>
      </w:r>
      <w:r w:rsidR="00C41AF1">
        <w:rPr>
          <w:sz w:val="20"/>
        </w:rPr>
        <w:t xml:space="preserve">, for example </w:t>
      </w:r>
      <w:r w:rsidR="00E01D23">
        <w:rPr>
          <w:sz w:val="20"/>
        </w:rPr>
        <w:t>Linear Replacement Lamps (TLEDs), LED Troffers</w:t>
      </w:r>
      <w:r w:rsidR="0062403C">
        <w:rPr>
          <w:sz w:val="20"/>
        </w:rPr>
        <w:t xml:space="preserve"> and Ambient fixtures</w:t>
      </w:r>
      <w:r w:rsidR="00661B5B">
        <w:rPr>
          <w:sz w:val="20"/>
        </w:rPr>
        <w:t xml:space="preserve">, </w:t>
      </w:r>
      <w:r w:rsidR="00003A1E">
        <w:rPr>
          <w:sz w:val="20"/>
        </w:rPr>
        <w:t>use linear fluorescent lamps as the baseline</w:t>
      </w:r>
      <w:r w:rsidR="0062403C">
        <w:rPr>
          <w:sz w:val="20"/>
        </w:rPr>
        <w:t>.</w:t>
      </w:r>
      <w:r w:rsidR="00003A1E">
        <w:rPr>
          <w:sz w:val="20"/>
        </w:rPr>
        <w:t xml:space="preserve"> </w:t>
      </w:r>
    </w:p>
    <w:p w14:paraId="2F76FBCF" w14:textId="246319F4" w:rsidR="00B320A6" w:rsidRDefault="00B94A8A" w:rsidP="00B60465">
      <w:pPr>
        <w:spacing w:after="120"/>
        <w:rPr>
          <w:sz w:val="20"/>
        </w:rPr>
      </w:pPr>
      <w:r>
        <w:rPr>
          <w:sz w:val="20"/>
        </w:rPr>
        <w:t>T</w:t>
      </w:r>
      <w:r w:rsidR="00AE5464">
        <w:rPr>
          <w:sz w:val="20"/>
        </w:rPr>
        <w:t>he Act also includes the following language</w:t>
      </w:r>
      <w:r w:rsidR="00AE5464" w:rsidRPr="00AE5464">
        <w:rPr>
          <w:sz w:val="20"/>
        </w:rPr>
        <w:t>:</w:t>
      </w:r>
    </w:p>
    <w:p w14:paraId="69AB98F6" w14:textId="2FC18E25" w:rsidR="00AE5464" w:rsidRPr="00B320A6" w:rsidRDefault="00AE5464" w:rsidP="00B320A6">
      <w:pPr>
        <w:spacing w:after="120"/>
        <w:ind w:left="720"/>
        <w:rPr>
          <w:i/>
          <w:iCs/>
          <w:sz w:val="20"/>
        </w:rPr>
      </w:pPr>
      <w:r w:rsidRPr="00B320A6">
        <w:rPr>
          <w:i/>
          <w:iCs/>
          <w:sz w:val="20"/>
        </w:rPr>
        <w:t>"Nothing in this Section shall be interpreted to limit the ability of a utility to offer energy efficient lighting, rebates, or lamp recycling services, or to claim persisting energy savings based on fluorescent technology resulting from such programs, through its energy conservation and optimization plans approved by the Illinois Commerce Commission under Section 8-103B of the Public Utilities Act" (Sec. 21.8(f)).</w:t>
      </w:r>
    </w:p>
    <w:p w14:paraId="1B7F3409" w14:textId="1C541E73" w:rsidR="001F4B76" w:rsidRPr="00A56C0A" w:rsidRDefault="00D774B2" w:rsidP="00AA52A3">
      <w:pPr>
        <w:spacing w:after="120"/>
        <w:jc w:val="both"/>
        <w:rPr>
          <w:sz w:val="20"/>
        </w:rPr>
      </w:pPr>
      <w:r>
        <w:rPr>
          <w:sz w:val="20"/>
        </w:rPr>
        <w:t xml:space="preserve">VEIC highlighted </w:t>
      </w:r>
      <w:r w:rsidR="007206C3">
        <w:rPr>
          <w:sz w:val="20"/>
        </w:rPr>
        <w:t xml:space="preserve">the lack of clarity in </w:t>
      </w:r>
      <w:r w:rsidR="00615AAA">
        <w:rPr>
          <w:sz w:val="20"/>
        </w:rPr>
        <w:t xml:space="preserve">the </w:t>
      </w:r>
      <w:r w:rsidR="007206C3">
        <w:rPr>
          <w:sz w:val="20"/>
        </w:rPr>
        <w:t>interpretation of th</w:t>
      </w:r>
      <w:r w:rsidR="00615AAA">
        <w:rPr>
          <w:sz w:val="20"/>
        </w:rPr>
        <w:t xml:space="preserve">is </w:t>
      </w:r>
      <w:r w:rsidR="00921AD6">
        <w:rPr>
          <w:sz w:val="20"/>
        </w:rPr>
        <w:t>additional language</w:t>
      </w:r>
      <w:r w:rsidR="005F62CA">
        <w:rPr>
          <w:sz w:val="20"/>
        </w:rPr>
        <w:t xml:space="preserve">, </w:t>
      </w:r>
      <w:r w:rsidR="0021209D">
        <w:rPr>
          <w:sz w:val="20"/>
        </w:rPr>
        <w:t>and</w:t>
      </w:r>
      <w:r w:rsidR="005F62CA">
        <w:rPr>
          <w:sz w:val="20"/>
        </w:rPr>
        <w:t xml:space="preserve"> stakeholders highlighted the significant potential impact on portfolio savings if fluorescent </w:t>
      </w:r>
      <w:r w:rsidR="000D45FF">
        <w:rPr>
          <w:sz w:val="20"/>
        </w:rPr>
        <w:t xml:space="preserve">lighting baselines were </w:t>
      </w:r>
      <w:r w:rsidR="004720C4">
        <w:rPr>
          <w:sz w:val="20"/>
        </w:rPr>
        <w:t xml:space="preserve">no longer viable – essentially </w:t>
      </w:r>
      <w:r w:rsidR="00914473">
        <w:rPr>
          <w:sz w:val="20"/>
        </w:rPr>
        <w:t>ending the continued</w:t>
      </w:r>
      <w:r w:rsidR="00921AD6">
        <w:rPr>
          <w:sz w:val="20"/>
        </w:rPr>
        <w:t xml:space="preserve"> support of many of the LED fixture measures</w:t>
      </w:r>
      <w:r w:rsidR="000D45FF">
        <w:rPr>
          <w:sz w:val="20"/>
        </w:rPr>
        <w:t>. VEIC opted to table further discussion on the topic until after utility program plans</w:t>
      </w:r>
      <w:r w:rsidR="007D15A6">
        <w:rPr>
          <w:sz w:val="20"/>
        </w:rPr>
        <w:t xml:space="preserve"> for 2027</w:t>
      </w:r>
      <w:r w:rsidR="000D45FF">
        <w:rPr>
          <w:sz w:val="20"/>
        </w:rPr>
        <w:t xml:space="preserve"> were issued</w:t>
      </w:r>
      <w:r w:rsidR="007D15A6">
        <w:rPr>
          <w:sz w:val="20"/>
        </w:rPr>
        <w:t>, expected June 1, 2026.</w:t>
      </w:r>
    </w:p>
    <w:p w14:paraId="6562A936" w14:textId="235B3EA2" w:rsidR="00290D3A" w:rsidRDefault="00F229C5" w:rsidP="00AA52A3">
      <w:pPr>
        <w:spacing w:after="120"/>
        <w:jc w:val="both"/>
        <w:rPr>
          <w:sz w:val="20"/>
        </w:rPr>
      </w:pPr>
      <w:r>
        <w:rPr>
          <w:sz w:val="20"/>
        </w:rPr>
        <w:t>On June 11, 2026</w:t>
      </w:r>
      <w:r w:rsidR="00D226F5">
        <w:rPr>
          <w:sz w:val="20"/>
        </w:rPr>
        <w:t>, VEIC convened a working group to discuss interpretations of the Act</w:t>
      </w:r>
      <w:r w:rsidR="000A4CD1">
        <w:rPr>
          <w:sz w:val="20"/>
        </w:rPr>
        <w:t xml:space="preserve"> and how such interpretations may impact commercial lighting measure baselines.</w:t>
      </w:r>
      <w:r w:rsidR="000B3643">
        <w:rPr>
          <w:sz w:val="20"/>
        </w:rPr>
        <w:t xml:space="preserve"> </w:t>
      </w:r>
      <w:r w:rsidR="00222389">
        <w:rPr>
          <w:sz w:val="20"/>
        </w:rPr>
        <w:t xml:space="preserve">Working group members </w:t>
      </w:r>
      <w:r w:rsidR="002C6B20">
        <w:rPr>
          <w:sz w:val="20"/>
        </w:rPr>
        <w:t xml:space="preserve">were </w:t>
      </w:r>
      <w:r w:rsidR="006123F4">
        <w:rPr>
          <w:sz w:val="20"/>
        </w:rPr>
        <w:t>unable</w:t>
      </w:r>
      <w:r w:rsidR="002C6B20">
        <w:rPr>
          <w:sz w:val="20"/>
        </w:rPr>
        <w:t xml:space="preserve"> to </w:t>
      </w:r>
      <w:r w:rsidR="00EB27C7">
        <w:rPr>
          <w:sz w:val="20"/>
        </w:rPr>
        <w:t>explicitly provide</w:t>
      </w:r>
      <w:r w:rsidR="00222389">
        <w:rPr>
          <w:sz w:val="20"/>
        </w:rPr>
        <w:t xml:space="preserve"> detail </w:t>
      </w:r>
      <w:r w:rsidR="00EB27C7">
        <w:rPr>
          <w:sz w:val="20"/>
        </w:rPr>
        <w:t>on the</w:t>
      </w:r>
      <w:r w:rsidR="00222389">
        <w:rPr>
          <w:sz w:val="20"/>
        </w:rPr>
        <w:t xml:space="preserve"> origin or </w:t>
      </w:r>
      <w:r w:rsidR="00CF6B3C">
        <w:rPr>
          <w:sz w:val="20"/>
        </w:rPr>
        <w:t xml:space="preserve">legislative </w:t>
      </w:r>
      <w:r w:rsidR="00222389">
        <w:rPr>
          <w:sz w:val="20"/>
        </w:rPr>
        <w:t xml:space="preserve">intention of the </w:t>
      </w:r>
      <w:r w:rsidR="00221043">
        <w:rPr>
          <w:sz w:val="20"/>
        </w:rPr>
        <w:t xml:space="preserve">language </w:t>
      </w:r>
      <w:r w:rsidR="002E0360">
        <w:rPr>
          <w:sz w:val="20"/>
        </w:rPr>
        <w:t>relating to ‘persisting energy savings’</w:t>
      </w:r>
      <w:r w:rsidR="008E363D">
        <w:rPr>
          <w:sz w:val="20"/>
        </w:rPr>
        <w:t>, though it was noted such language was critical for the passage of the Act.</w:t>
      </w:r>
      <w:r w:rsidR="00DF58D1">
        <w:rPr>
          <w:sz w:val="20"/>
        </w:rPr>
        <w:t xml:space="preserve"> Positions stated by working group members about </w:t>
      </w:r>
      <w:r w:rsidR="00AE2A63">
        <w:rPr>
          <w:sz w:val="20"/>
        </w:rPr>
        <w:t xml:space="preserve">the </w:t>
      </w:r>
      <w:r w:rsidR="006E2458">
        <w:rPr>
          <w:sz w:val="20"/>
        </w:rPr>
        <w:t xml:space="preserve">intent </w:t>
      </w:r>
      <w:r w:rsidR="00AE2A63">
        <w:rPr>
          <w:sz w:val="20"/>
        </w:rPr>
        <w:t>of the Act and its impact on utility energy savings claims</w:t>
      </w:r>
      <w:r w:rsidR="00416753">
        <w:rPr>
          <w:sz w:val="20"/>
        </w:rPr>
        <w:t xml:space="preserve"> </w:t>
      </w:r>
      <w:r w:rsidR="008D3884">
        <w:rPr>
          <w:sz w:val="20"/>
        </w:rPr>
        <w:t>varied by a wide margin</w:t>
      </w:r>
      <w:r w:rsidR="004A484C">
        <w:rPr>
          <w:sz w:val="20"/>
        </w:rPr>
        <w:t xml:space="preserve">; some </w:t>
      </w:r>
      <w:r w:rsidR="000D736D">
        <w:rPr>
          <w:sz w:val="20"/>
        </w:rPr>
        <w:t>stakeholders argued</w:t>
      </w:r>
      <w:r w:rsidR="004A484C">
        <w:rPr>
          <w:sz w:val="20"/>
        </w:rPr>
        <w:t xml:space="preserve"> that </w:t>
      </w:r>
      <w:r w:rsidR="00C11018">
        <w:rPr>
          <w:sz w:val="20"/>
        </w:rPr>
        <w:t xml:space="preserve">there should be no impact </w:t>
      </w:r>
      <w:r w:rsidR="004C29F9">
        <w:rPr>
          <w:sz w:val="20"/>
        </w:rPr>
        <w:t xml:space="preserve">at all </w:t>
      </w:r>
      <w:r w:rsidR="00C11018">
        <w:rPr>
          <w:sz w:val="20"/>
        </w:rPr>
        <w:t xml:space="preserve">on the </w:t>
      </w:r>
      <w:r w:rsidR="00996261">
        <w:rPr>
          <w:sz w:val="20"/>
        </w:rPr>
        <w:t xml:space="preserve">TRM </w:t>
      </w:r>
      <w:r w:rsidR="004C29F9">
        <w:rPr>
          <w:sz w:val="20"/>
        </w:rPr>
        <w:t>or</w:t>
      </w:r>
      <w:r w:rsidR="00996261">
        <w:rPr>
          <w:sz w:val="20"/>
        </w:rPr>
        <w:t xml:space="preserve"> the ability of programs to claim savings with linear fluorescent baselines, while others argued that </w:t>
      </w:r>
      <w:r w:rsidR="00A03A98">
        <w:rPr>
          <w:sz w:val="20"/>
        </w:rPr>
        <w:t>the language refers</w:t>
      </w:r>
      <w:r w:rsidR="00721111">
        <w:rPr>
          <w:sz w:val="20"/>
        </w:rPr>
        <w:t xml:space="preserve"> only</w:t>
      </w:r>
      <w:r w:rsidR="00A03A98">
        <w:rPr>
          <w:sz w:val="20"/>
        </w:rPr>
        <w:t xml:space="preserve"> to the permissible continuation of </w:t>
      </w:r>
      <w:r w:rsidR="00761683">
        <w:rPr>
          <w:sz w:val="20"/>
        </w:rPr>
        <w:t>savings through early replacement or direct install</w:t>
      </w:r>
      <w:r w:rsidR="002E0360">
        <w:rPr>
          <w:sz w:val="20"/>
        </w:rPr>
        <w:t xml:space="preserve"> programs</w:t>
      </w:r>
      <w:r w:rsidR="00761683">
        <w:rPr>
          <w:sz w:val="20"/>
        </w:rPr>
        <w:t xml:space="preserve"> (i.e. retrofitting existing fluorescent fixtures with LEDs)</w:t>
      </w:r>
      <w:r w:rsidR="009D789D">
        <w:rPr>
          <w:sz w:val="20"/>
        </w:rPr>
        <w:t>,</w:t>
      </w:r>
      <w:r w:rsidR="00761683">
        <w:rPr>
          <w:sz w:val="20"/>
        </w:rPr>
        <w:t xml:space="preserve"> and that </w:t>
      </w:r>
      <w:r w:rsidR="00BE644F">
        <w:rPr>
          <w:sz w:val="20"/>
        </w:rPr>
        <w:t xml:space="preserve">ongoing lifetime savings of LED fixtures </w:t>
      </w:r>
      <w:r w:rsidR="002E0360">
        <w:rPr>
          <w:sz w:val="20"/>
        </w:rPr>
        <w:t xml:space="preserve">installed </w:t>
      </w:r>
      <w:r w:rsidR="00BE644F">
        <w:rPr>
          <w:sz w:val="20"/>
        </w:rPr>
        <w:t xml:space="preserve">in </w:t>
      </w:r>
      <w:r w:rsidR="00761683">
        <w:rPr>
          <w:sz w:val="20"/>
        </w:rPr>
        <w:t>past</w:t>
      </w:r>
      <w:r w:rsidR="00BE644F">
        <w:rPr>
          <w:sz w:val="20"/>
        </w:rPr>
        <w:t xml:space="preserve"> years should continue to be claimed</w:t>
      </w:r>
      <w:r w:rsidR="00670F37">
        <w:rPr>
          <w:sz w:val="20"/>
        </w:rPr>
        <w:t>,</w:t>
      </w:r>
      <w:r w:rsidR="00BE644F">
        <w:rPr>
          <w:sz w:val="20"/>
        </w:rPr>
        <w:t xml:space="preserve"> but that </w:t>
      </w:r>
      <w:r w:rsidR="00A57217">
        <w:rPr>
          <w:sz w:val="20"/>
        </w:rPr>
        <w:t xml:space="preserve">programs relating to </w:t>
      </w:r>
      <w:r w:rsidR="006F5682">
        <w:rPr>
          <w:sz w:val="20"/>
        </w:rPr>
        <w:t xml:space="preserve">purchases of new </w:t>
      </w:r>
      <w:r w:rsidR="008751EC">
        <w:rPr>
          <w:sz w:val="20"/>
        </w:rPr>
        <w:t xml:space="preserve">LED </w:t>
      </w:r>
      <w:r w:rsidR="006F5682">
        <w:rPr>
          <w:sz w:val="20"/>
        </w:rPr>
        <w:t>fixtures</w:t>
      </w:r>
      <w:r w:rsidR="008751EC">
        <w:rPr>
          <w:sz w:val="20"/>
        </w:rPr>
        <w:t xml:space="preserve"> in place of new less efficient alternatives</w:t>
      </w:r>
      <w:r w:rsidR="006F5682">
        <w:rPr>
          <w:sz w:val="20"/>
        </w:rPr>
        <w:t xml:space="preserve"> (</w:t>
      </w:r>
      <w:r w:rsidR="008D238B">
        <w:rPr>
          <w:sz w:val="20"/>
        </w:rPr>
        <w:t xml:space="preserve">e.g. through </w:t>
      </w:r>
      <w:r w:rsidR="00920444">
        <w:rPr>
          <w:sz w:val="20"/>
        </w:rPr>
        <w:t>mid stream</w:t>
      </w:r>
      <w:r w:rsidR="00F42A13">
        <w:rPr>
          <w:sz w:val="20"/>
        </w:rPr>
        <w:t>,</w:t>
      </w:r>
      <w:r w:rsidR="002A76C5">
        <w:rPr>
          <w:sz w:val="20"/>
        </w:rPr>
        <w:t xml:space="preserve"> </w:t>
      </w:r>
      <w:r w:rsidR="00F42A13">
        <w:rPr>
          <w:sz w:val="20"/>
        </w:rPr>
        <w:t>retail or new construction</w:t>
      </w:r>
      <w:r w:rsidR="006F5682">
        <w:rPr>
          <w:sz w:val="20"/>
        </w:rPr>
        <w:t>)</w:t>
      </w:r>
      <w:r w:rsidR="002A76C5">
        <w:rPr>
          <w:sz w:val="20"/>
        </w:rPr>
        <w:t xml:space="preserve"> should now end.</w:t>
      </w:r>
      <w:r w:rsidR="00BE644F">
        <w:rPr>
          <w:sz w:val="20"/>
        </w:rPr>
        <w:t xml:space="preserve"> </w:t>
      </w:r>
    </w:p>
    <w:p w14:paraId="20E7842D" w14:textId="0DB149A3" w:rsidR="00A56C0A" w:rsidRPr="00A56C0A" w:rsidRDefault="00543A6C" w:rsidP="00AA52A3">
      <w:pPr>
        <w:spacing w:after="120"/>
        <w:jc w:val="both"/>
        <w:rPr>
          <w:sz w:val="20"/>
        </w:rPr>
      </w:pPr>
      <w:r>
        <w:rPr>
          <w:sz w:val="20"/>
        </w:rPr>
        <w:t xml:space="preserve">As a next step, </w:t>
      </w:r>
      <w:r w:rsidR="00766222">
        <w:rPr>
          <w:sz w:val="20"/>
        </w:rPr>
        <w:t xml:space="preserve">the group agreed to a </w:t>
      </w:r>
      <w:r>
        <w:rPr>
          <w:sz w:val="20"/>
        </w:rPr>
        <w:t xml:space="preserve">VEIC </w:t>
      </w:r>
      <w:r w:rsidR="00766222">
        <w:rPr>
          <w:sz w:val="20"/>
        </w:rPr>
        <w:t>proposal</w:t>
      </w:r>
      <w:r>
        <w:rPr>
          <w:sz w:val="20"/>
        </w:rPr>
        <w:t xml:space="preserve"> </w:t>
      </w:r>
      <w:r w:rsidR="00F90D11">
        <w:rPr>
          <w:sz w:val="20"/>
        </w:rPr>
        <w:t>to collect written statements from interested parties</w:t>
      </w:r>
      <w:r w:rsidR="00CC61F4">
        <w:rPr>
          <w:sz w:val="20"/>
        </w:rPr>
        <w:t xml:space="preserve"> to assess whether consensus might be reached in time to update commercial lighting measures for TRM version 15.</w:t>
      </w:r>
    </w:p>
    <w:p w14:paraId="2A10AC60" w14:textId="4CDA38E6" w:rsidR="003D265C" w:rsidRDefault="004905DA" w:rsidP="00AA52A3">
      <w:pPr>
        <w:spacing w:after="120"/>
        <w:jc w:val="both"/>
        <w:rPr>
          <w:sz w:val="20"/>
        </w:rPr>
      </w:pPr>
      <w:r>
        <w:rPr>
          <w:sz w:val="20"/>
        </w:rPr>
        <w:t xml:space="preserve">To collect </w:t>
      </w:r>
      <w:r w:rsidR="002F121D">
        <w:rPr>
          <w:sz w:val="20"/>
        </w:rPr>
        <w:t>written statements, VEIC posed t</w:t>
      </w:r>
      <w:r w:rsidR="003D265C">
        <w:rPr>
          <w:sz w:val="20"/>
        </w:rPr>
        <w:t>he following question</w:t>
      </w:r>
      <w:r w:rsidR="00F45F53">
        <w:rPr>
          <w:sz w:val="20"/>
        </w:rPr>
        <w:t>s</w:t>
      </w:r>
      <w:r w:rsidR="003D265C">
        <w:rPr>
          <w:sz w:val="20"/>
        </w:rPr>
        <w:t>:</w:t>
      </w:r>
    </w:p>
    <w:p w14:paraId="071C0A11" w14:textId="0523875F" w:rsidR="003D265C" w:rsidRDefault="00A56C0A" w:rsidP="002F121D">
      <w:pPr>
        <w:spacing w:after="120"/>
        <w:ind w:left="720"/>
        <w:rPr>
          <w:b/>
          <w:bCs/>
          <w:sz w:val="20"/>
          <w:u w:val="single"/>
        </w:rPr>
      </w:pPr>
      <w:r w:rsidRPr="00A56C0A">
        <w:rPr>
          <w:b/>
          <w:bCs/>
          <w:sz w:val="20"/>
          <w:u w:val="single"/>
        </w:rPr>
        <w:t>For projects installed on or after January 1st, 2027, should fluorescent technology continue to serve as the prospective baseline for any commercial lighting measures, and if so, on what basis?</w:t>
      </w:r>
    </w:p>
    <w:p w14:paraId="23A4F46F" w14:textId="5D747798" w:rsidR="00D30715" w:rsidRDefault="00D30715" w:rsidP="002F121D">
      <w:pPr>
        <w:spacing w:after="120"/>
        <w:ind w:left="720"/>
        <w:rPr>
          <w:b/>
          <w:bCs/>
          <w:sz w:val="20"/>
          <w:u w:val="single"/>
        </w:rPr>
      </w:pPr>
      <w:r w:rsidRPr="00D30715">
        <w:rPr>
          <w:b/>
          <w:bCs/>
          <w:sz w:val="20"/>
          <w:u w:val="single"/>
        </w:rPr>
        <w:t>Please explain how your recommended technical treatment relates to the savings-preservation language in Sec. 21.8(f), without offering a legal conclusion, and in particular to distinguish between (i) the preservation of persisting savings from prior installations, (ii) the continued provision of rebates, recycling, and lawful targeted lighting services, and (iii) the eligibility of new prospective savings claims after the sales prohibition takes effect.</w:t>
      </w:r>
    </w:p>
    <w:p w14:paraId="3365A800" w14:textId="003C50F2" w:rsidR="005060A5" w:rsidRDefault="005060A5" w:rsidP="00B60465">
      <w:pPr>
        <w:spacing w:after="120"/>
        <w:rPr>
          <w:sz w:val="20"/>
        </w:rPr>
      </w:pPr>
      <w:r>
        <w:rPr>
          <w:sz w:val="20"/>
        </w:rPr>
        <w:t>See Comparison Exhibit 1 below for Stakeholder responses.</w:t>
      </w:r>
    </w:p>
    <w:p w14:paraId="4527D0EC" w14:textId="3F8E5E77" w:rsidR="003D265C" w:rsidRDefault="005060A5" w:rsidP="00AA52A3">
      <w:pPr>
        <w:spacing w:after="120"/>
        <w:jc w:val="both"/>
        <w:rPr>
          <w:sz w:val="20"/>
        </w:rPr>
      </w:pPr>
      <w:r>
        <w:rPr>
          <w:sz w:val="20"/>
        </w:rPr>
        <w:lastRenderedPageBreak/>
        <w:t>T</w:t>
      </w:r>
      <w:r w:rsidR="00A76A84">
        <w:rPr>
          <w:sz w:val="20"/>
        </w:rPr>
        <w:t xml:space="preserve">here is </w:t>
      </w:r>
      <w:r w:rsidR="00FC7F23">
        <w:rPr>
          <w:sz w:val="20"/>
        </w:rPr>
        <w:t>agreement from all sides that program designs involving early replacement and direct install of LEDs replacing existing fluorescent lamps should be able to continue to claim savings.</w:t>
      </w:r>
    </w:p>
    <w:p w14:paraId="5B71A6B2" w14:textId="090F3B41" w:rsidR="00563657" w:rsidRDefault="000B0480" w:rsidP="00B60465">
      <w:pPr>
        <w:spacing w:after="120"/>
        <w:jc w:val="both"/>
        <w:rPr>
          <w:sz w:val="20"/>
        </w:rPr>
      </w:pPr>
      <w:r>
        <w:rPr>
          <w:sz w:val="20"/>
        </w:rPr>
        <w:t>However</w:t>
      </w:r>
      <w:r w:rsidR="00B910B1">
        <w:rPr>
          <w:sz w:val="20"/>
        </w:rPr>
        <w:t>,</w:t>
      </w:r>
      <w:r>
        <w:rPr>
          <w:sz w:val="20"/>
        </w:rPr>
        <w:t xml:space="preserve"> </w:t>
      </w:r>
      <w:r w:rsidR="00B910B1">
        <w:rPr>
          <w:sz w:val="20"/>
        </w:rPr>
        <w:t>with</w:t>
      </w:r>
      <w:r w:rsidR="0017618F">
        <w:rPr>
          <w:sz w:val="20"/>
        </w:rPr>
        <w:t xml:space="preserve"> no clear agreement and significant differences in the Act’s </w:t>
      </w:r>
      <w:r w:rsidR="00683EAC">
        <w:rPr>
          <w:sz w:val="20"/>
        </w:rPr>
        <w:t>reach beyond that</w:t>
      </w:r>
      <w:r w:rsidR="0017618F">
        <w:rPr>
          <w:sz w:val="20"/>
        </w:rPr>
        <w:t>, t</w:t>
      </w:r>
      <w:r w:rsidR="00AE77A8">
        <w:rPr>
          <w:sz w:val="20"/>
        </w:rPr>
        <w:t xml:space="preserve">he TAC </w:t>
      </w:r>
      <w:r w:rsidR="003B1A54">
        <w:rPr>
          <w:sz w:val="20"/>
        </w:rPr>
        <w:t xml:space="preserve">is </w:t>
      </w:r>
      <w:r w:rsidR="00AE77A8">
        <w:rPr>
          <w:sz w:val="20"/>
        </w:rPr>
        <w:t>see</w:t>
      </w:r>
      <w:r w:rsidR="008B46C7">
        <w:rPr>
          <w:sz w:val="20"/>
        </w:rPr>
        <w:t>king</w:t>
      </w:r>
      <w:r w:rsidR="00AE77A8">
        <w:rPr>
          <w:sz w:val="20"/>
        </w:rPr>
        <w:t xml:space="preserve"> </w:t>
      </w:r>
      <w:r w:rsidR="00D4164A">
        <w:rPr>
          <w:sz w:val="20"/>
        </w:rPr>
        <w:t xml:space="preserve">clarity on </w:t>
      </w:r>
      <w:r w:rsidR="00D52A95">
        <w:rPr>
          <w:sz w:val="20"/>
        </w:rPr>
        <w:t xml:space="preserve">whether the Act </w:t>
      </w:r>
      <w:r w:rsidR="00E829FD">
        <w:rPr>
          <w:sz w:val="20"/>
        </w:rPr>
        <w:t>should impact the baseline</w:t>
      </w:r>
      <w:r w:rsidR="009B1E9D">
        <w:rPr>
          <w:sz w:val="20"/>
        </w:rPr>
        <w:t>,</w:t>
      </w:r>
      <w:r w:rsidR="00E829FD">
        <w:rPr>
          <w:sz w:val="20"/>
        </w:rPr>
        <w:t xml:space="preserve"> and therefore ability of the programs to continue support</w:t>
      </w:r>
      <w:r w:rsidR="009B1E9D">
        <w:rPr>
          <w:sz w:val="20"/>
        </w:rPr>
        <w:t xml:space="preserve"> for,</w:t>
      </w:r>
      <w:r w:rsidR="00E83768">
        <w:rPr>
          <w:sz w:val="20"/>
        </w:rPr>
        <w:t xml:space="preserve"> </w:t>
      </w:r>
      <w:r w:rsidR="009B1E9D">
        <w:rPr>
          <w:sz w:val="20"/>
        </w:rPr>
        <w:t xml:space="preserve">LED fixture </w:t>
      </w:r>
      <w:r w:rsidR="00E83768">
        <w:rPr>
          <w:sz w:val="20"/>
        </w:rPr>
        <w:t>measure</w:t>
      </w:r>
      <w:r w:rsidR="009B1E9D">
        <w:rPr>
          <w:sz w:val="20"/>
        </w:rPr>
        <w:t>s</w:t>
      </w:r>
      <w:r w:rsidR="00E83768">
        <w:rPr>
          <w:sz w:val="20"/>
        </w:rPr>
        <w:t xml:space="preserve"> </w:t>
      </w:r>
      <w:r w:rsidR="00B910B1">
        <w:rPr>
          <w:sz w:val="20"/>
        </w:rPr>
        <w:t xml:space="preserve">that are delivered </w:t>
      </w:r>
      <w:r w:rsidR="00401760">
        <w:rPr>
          <w:sz w:val="20"/>
        </w:rPr>
        <w:t>through</w:t>
      </w:r>
      <w:r w:rsidR="00E83768">
        <w:rPr>
          <w:sz w:val="20"/>
        </w:rPr>
        <w:t xml:space="preserve"> </w:t>
      </w:r>
      <w:r w:rsidR="005E306B">
        <w:rPr>
          <w:sz w:val="20"/>
        </w:rPr>
        <w:t>other program delivery channels (e.g., Midstream, Retail, etc.).</w:t>
      </w:r>
      <w:r w:rsidR="000755B5">
        <w:rPr>
          <w:sz w:val="20"/>
        </w:rPr>
        <w:t xml:space="preserve"> </w:t>
      </w:r>
    </w:p>
    <w:p w14:paraId="22DEF2E4" w14:textId="22AC4D57" w:rsidR="00227DD7" w:rsidRDefault="00523DB1" w:rsidP="00B60465">
      <w:pPr>
        <w:spacing w:after="120"/>
        <w:jc w:val="both"/>
        <w:rPr>
          <w:sz w:val="20"/>
        </w:rPr>
      </w:pPr>
      <w:r>
        <w:rPr>
          <w:sz w:val="20"/>
        </w:rPr>
        <w:t>There are a</w:t>
      </w:r>
      <w:r w:rsidR="00024D4D">
        <w:rPr>
          <w:sz w:val="20"/>
        </w:rPr>
        <w:t xml:space="preserve">dditional </w:t>
      </w:r>
      <w:r w:rsidR="001720E3">
        <w:rPr>
          <w:sz w:val="20"/>
        </w:rPr>
        <w:t xml:space="preserve">market </w:t>
      </w:r>
      <w:r w:rsidR="009358D4">
        <w:rPr>
          <w:sz w:val="20"/>
        </w:rPr>
        <w:t>considerations</w:t>
      </w:r>
      <w:r>
        <w:rPr>
          <w:sz w:val="20"/>
        </w:rPr>
        <w:t xml:space="preserve"> that the TAC</w:t>
      </w:r>
      <w:r w:rsidR="00534072">
        <w:rPr>
          <w:sz w:val="20"/>
        </w:rPr>
        <w:t xml:space="preserve"> will</w:t>
      </w:r>
      <w:r>
        <w:rPr>
          <w:sz w:val="20"/>
        </w:rPr>
        <w:t xml:space="preserve"> need to </w:t>
      </w:r>
      <w:r w:rsidR="00534072">
        <w:rPr>
          <w:sz w:val="20"/>
        </w:rPr>
        <w:t>consider</w:t>
      </w:r>
      <w:r w:rsidR="000E07E3">
        <w:rPr>
          <w:sz w:val="20"/>
        </w:rPr>
        <w:t>, for example</w:t>
      </w:r>
      <w:r w:rsidR="009358D4">
        <w:rPr>
          <w:sz w:val="20"/>
        </w:rPr>
        <w:t xml:space="preserve"> the potential </w:t>
      </w:r>
      <w:r w:rsidR="001720E3">
        <w:rPr>
          <w:sz w:val="20"/>
        </w:rPr>
        <w:t xml:space="preserve">for </w:t>
      </w:r>
      <w:r w:rsidR="00CC074B">
        <w:rPr>
          <w:sz w:val="20"/>
        </w:rPr>
        <w:t xml:space="preserve">continued </w:t>
      </w:r>
      <w:r w:rsidR="009358D4">
        <w:rPr>
          <w:sz w:val="20"/>
        </w:rPr>
        <w:t xml:space="preserve">purchasing of </w:t>
      </w:r>
      <w:r w:rsidR="001720E3">
        <w:rPr>
          <w:sz w:val="20"/>
        </w:rPr>
        <w:t>fluorescent</w:t>
      </w:r>
      <w:r w:rsidR="009358D4">
        <w:rPr>
          <w:sz w:val="20"/>
        </w:rPr>
        <w:t xml:space="preserve"> fixtures either out of State or online, the </w:t>
      </w:r>
      <w:r w:rsidR="00CC074B">
        <w:rPr>
          <w:sz w:val="20"/>
        </w:rPr>
        <w:t xml:space="preserve">sell through of </w:t>
      </w:r>
      <w:r w:rsidR="007E2761">
        <w:rPr>
          <w:sz w:val="20"/>
        </w:rPr>
        <w:t xml:space="preserve">remaining stock </w:t>
      </w:r>
      <w:r w:rsidR="00CC074B">
        <w:rPr>
          <w:sz w:val="20"/>
        </w:rPr>
        <w:t>inventory and</w:t>
      </w:r>
      <w:r w:rsidR="00A560EB">
        <w:rPr>
          <w:sz w:val="20"/>
        </w:rPr>
        <w:t xml:space="preserve"> the</w:t>
      </w:r>
      <w:r w:rsidR="00CC074B">
        <w:rPr>
          <w:sz w:val="20"/>
        </w:rPr>
        <w:t xml:space="preserve"> </w:t>
      </w:r>
      <w:r w:rsidR="00821176">
        <w:rPr>
          <w:sz w:val="20"/>
        </w:rPr>
        <w:t>uncertainties</w:t>
      </w:r>
      <w:r w:rsidR="007E2761">
        <w:rPr>
          <w:sz w:val="20"/>
        </w:rPr>
        <w:t xml:space="preserve"> on</w:t>
      </w:r>
      <w:r w:rsidR="00821176">
        <w:rPr>
          <w:sz w:val="20"/>
        </w:rPr>
        <w:t xml:space="preserve"> the</w:t>
      </w:r>
      <w:r w:rsidR="007E2761">
        <w:rPr>
          <w:sz w:val="20"/>
        </w:rPr>
        <w:t xml:space="preserve"> </w:t>
      </w:r>
      <w:r w:rsidR="00CC074B">
        <w:rPr>
          <w:sz w:val="20"/>
        </w:rPr>
        <w:t>enforcement</w:t>
      </w:r>
      <w:r w:rsidR="007E2761">
        <w:rPr>
          <w:sz w:val="20"/>
        </w:rPr>
        <w:t xml:space="preserve"> of the Act</w:t>
      </w:r>
      <w:r w:rsidR="008A361B">
        <w:rPr>
          <w:sz w:val="20"/>
        </w:rPr>
        <w:t>.</w:t>
      </w:r>
      <w:r w:rsidR="007E2761">
        <w:rPr>
          <w:sz w:val="20"/>
        </w:rPr>
        <w:t xml:space="preserve"> </w:t>
      </w:r>
      <w:r w:rsidR="008A361B">
        <w:rPr>
          <w:sz w:val="20"/>
        </w:rPr>
        <w:t>To</w:t>
      </w:r>
      <w:r w:rsidR="00534072">
        <w:rPr>
          <w:sz w:val="20"/>
        </w:rPr>
        <w:t xml:space="preserve"> further</w:t>
      </w:r>
      <w:r w:rsidR="008A361B">
        <w:rPr>
          <w:sz w:val="20"/>
        </w:rPr>
        <w:t xml:space="preserve"> inform the TAC</w:t>
      </w:r>
      <w:r w:rsidR="008706F1">
        <w:rPr>
          <w:sz w:val="20"/>
        </w:rPr>
        <w:t xml:space="preserve"> and</w:t>
      </w:r>
      <w:r w:rsidR="008A361B">
        <w:rPr>
          <w:sz w:val="20"/>
        </w:rPr>
        <w:t xml:space="preserve"> </w:t>
      </w:r>
      <w:r w:rsidR="008706F1">
        <w:rPr>
          <w:sz w:val="20"/>
        </w:rPr>
        <w:t xml:space="preserve">to assess how the market </w:t>
      </w:r>
      <w:r w:rsidR="002A6264">
        <w:rPr>
          <w:sz w:val="20"/>
        </w:rPr>
        <w:t>responds</w:t>
      </w:r>
      <w:r w:rsidR="008706F1">
        <w:rPr>
          <w:sz w:val="20"/>
        </w:rPr>
        <w:t xml:space="preserve"> to the fluorescent ban, st</w:t>
      </w:r>
      <w:r w:rsidR="003F39DB">
        <w:rPr>
          <w:sz w:val="20"/>
        </w:rPr>
        <w:t xml:space="preserve">akeholders have committed to performing market </w:t>
      </w:r>
      <w:r w:rsidR="00227DD7">
        <w:rPr>
          <w:sz w:val="20"/>
        </w:rPr>
        <w:t>evaluation</w:t>
      </w:r>
      <w:r w:rsidR="005B05B6">
        <w:rPr>
          <w:sz w:val="20"/>
        </w:rPr>
        <w:t>s</w:t>
      </w:r>
      <w:r w:rsidR="00227DD7">
        <w:rPr>
          <w:sz w:val="20"/>
        </w:rPr>
        <w:t xml:space="preserve"> early in 202</w:t>
      </w:r>
      <w:r w:rsidR="005B05B6">
        <w:rPr>
          <w:sz w:val="20"/>
        </w:rPr>
        <w:t>7</w:t>
      </w:r>
      <w:r w:rsidR="007A7F2E">
        <w:rPr>
          <w:sz w:val="20"/>
        </w:rPr>
        <w:t>.</w:t>
      </w:r>
      <w:r w:rsidR="00D33840">
        <w:rPr>
          <w:sz w:val="20"/>
        </w:rPr>
        <w:t xml:space="preserve"> </w:t>
      </w:r>
    </w:p>
    <w:p w14:paraId="3052CB33" w14:textId="11EB0E5F" w:rsidR="00B60465" w:rsidRPr="000614B2" w:rsidRDefault="00C24F47" w:rsidP="00B60465">
      <w:pPr>
        <w:spacing w:after="120"/>
        <w:jc w:val="both"/>
        <w:rPr>
          <w:sz w:val="20"/>
        </w:rPr>
        <w:sectPr w:rsidR="00B60465" w:rsidRPr="000614B2" w:rsidSect="004C053C">
          <w:pgSz w:w="12240" w:h="15840"/>
          <w:pgMar w:top="1440" w:right="1440" w:bottom="1440" w:left="1440" w:header="720" w:footer="720" w:gutter="0"/>
          <w:cols w:space="720"/>
          <w:docGrid w:linePitch="360"/>
        </w:sectPr>
      </w:pPr>
      <w:r>
        <w:rPr>
          <w:sz w:val="20"/>
        </w:rPr>
        <w:t>VEIC propose</w:t>
      </w:r>
      <w:r w:rsidR="00BE14BD">
        <w:rPr>
          <w:sz w:val="20"/>
        </w:rPr>
        <w:t>s</w:t>
      </w:r>
      <w:r>
        <w:rPr>
          <w:sz w:val="20"/>
        </w:rPr>
        <w:t xml:space="preserve"> delaying any baseline changes in the TRM in </w:t>
      </w:r>
      <w:r w:rsidR="005B05B6">
        <w:rPr>
          <w:sz w:val="20"/>
        </w:rPr>
        <w:t xml:space="preserve">v15 (effective through </w:t>
      </w:r>
      <w:r>
        <w:rPr>
          <w:sz w:val="20"/>
        </w:rPr>
        <w:t>2027</w:t>
      </w:r>
      <w:r w:rsidR="005B05B6">
        <w:rPr>
          <w:sz w:val="20"/>
        </w:rPr>
        <w:t>)</w:t>
      </w:r>
      <w:r>
        <w:rPr>
          <w:sz w:val="20"/>
        </w:rPr>
        <w:t xml:space="preserve"> while this additional evaluation is performed and </w:t>
      </w:r>
      <w:r w:rsidR="009D784A">
        <w:rPr>
          <w:sz w:val="20"/>
        </w:rPr>
        <w:t>to allow</w:t>
      </w:r>
      <w:r w:rsidR="000755B5">
        <w:rPr>
          <w:sz w:val="20"/>
        </w:rPr>
        <w:t xml:space="preserve"> clarity </w:t>
      </w:r>
      <w:r w:rsidR="009D784A">
        <w:rPr>
          <w:sz w:val="20"/>
        </w:rPr>
        <w:t>on the Act’s intent be</w:t>
      </w:r>
      <w:r w:rsidR="000755B5">
        <w:rPr>
          <w:sz w:val="20"/>
        </w:rPr>
        <w:t xml:space="preserve"> provided by </w:t>
      </w:r>
      <w:r w:rsidR="00C14B7A">
        <w:rPr>
          <w:sz w:val="20"/>
        </w:rPr>
        <w:t>the Illinois Commerce Commission</w:t>
      </w:r>
      <w:r w:rsidR="003E5872">
        <w:rPr>
          <w:sz w:val="20"/>
        </w:rPr>
        <w:t xml:space="preserve">. </w:t>
      </w:r>
      <w:r w:rsidR="007B4F9C">
        <w:rPr>
          <w:sz w:val="20"/>
        </w:rPr>
        <w:t xml:space="preserve">This will allow </w:t>
      </w:r>
      <w:r w:rsidR="00937B67">
        <w:rPr>
          <w:sz w:val="20"/>
        </w:rPr>
        <w:t>informed discussion and resolution within the TAC in 2027 to inform v16 (2028) TRM updates.</w:t>
      </w:r>
      <w:r w:rsidR="00D33840">
        <w:rPr>
          <w:sz w:val="20"/>
        </w:rPr>
        <w:t xml:space="preserve"> </w:t>
      </w:r>
    </w:p>
    <w:bookmarkEnd w:id="1"/>
    <w:p w14:paraId="4581FCB4" w14:textId="40F1C8B6" w:rsidR="000614B2" w:rsidRPr="00177BF6" w:rsidRDefault="006A1E59" w:rsidP="00E93373">
      <w:pPr>
        <w:pStyle w:val="Heading2"/>
      </w:pPr>
      <w:r w:rsidRPr="00177BF6">
        <w:lastRenderedPageBreak/>
        <w:t>Comparison Exhibit</w:t>
      </w:r>
      <w:r w:rsidR="0000285C">
        <w:t>: Issue #1</w:t>
      </w:r>
    </w:p>
    <w:bookmarkEnd w:id="2"/>
    <w:p w14:paraId="6D4180B1" w14:textId="77777777" w:rsidR="00E061FE" w:rsidRDefault="00E061FE"/>
    <w:p w14:paraId="04F2F92B" w14:textId="10EC6200" w:rsidR="00E061FE" w:rsidRDefault="00E061FE" w:rsidP="00E061FE"/>
    <w:tbl>
      <w:tblPr>
        <w:tblStyle w:val="TableGrid"/>
        <w:tblW w:w="5000" w:type="pct"/>
        <w:tblLook w:val="04A0" w:firstRow="1" w:lastRow="0" w:firstColumn="1" w:lastColumn="0" w:noHBand="0" w:noVBand="1"/>
      </w:tblPr>
      <w:tblGrid>
        <w:gridCol w:w="1194"/>
        <w:gridCol w:w="11751"/>
        <w:gridCol w:w="1445"/>
      </w:tblGrid>
      <w:tr w:rsidR="009B73B7" w:rsidRPr="009B73B7" w14:paraId="6B590AD4" w14:textId="77777777" w:rsidTr="009B73B7">
        <w:trPr>
          <w:tblHeader/>
        </w:trPr>
        <w:tc>
          <w:tcPr>
            <w:tcW w:w="5000" w:type="pct"/>
            <w:gridSpan w:val="3"/>
            <w:shd w:val="clear" w:color="auto" w:fill="808080"/>
            <w:vAlign w:val="center"/>
          </w:tcPr>
          <w:p w14:paraId="1561FDFA" w14:textId="7081CD10" w:rsidR="009B73B7" w:rsidRPr="009B73B7" w:rsidRDefault="009B73B7" w:rsidP="009B73B7">
            <w:pPr>
              <w:jc w:val="center"/>
              <w:rPr>
                <w:rFonts w:ascii="Calibri" w:eastAsia="Calibri" w:hAnsi="Calibri" w:cs="Times New Roman"/>
                <w:sz w:val="20"/>
                <w:szCs w:val="20"/>
              </w:rPr>
            </w:pPr>
            <w:r w:rsidRPr="009B73B7">
              <w:rPr>
                <w:rFonts w:ascii="Calibri" w:eastAsia="Calibri" w:hAnsi="Calibri" w:cs="Times New Roman"/>
                <w:b/>
                <w:bCs/>
                <w:color w:val="FFFFFF"/>
                <w:sz w:val="20"/>
                <w:szCs w:val="20"/>
              </w:rPr>
              <w:t xml:space="preserve">Illinois Statewide TRM Version </w:t>
            </w:r>
            <w:r w:rsidR="00E31A9B">
              <w:rPr>
                <w:rFonts w:ascii="Calibri" w:eastAsia="Calibri" w:hAnsi="Calibri" w:cs="Times New Roman"/>
                <w:b/>
                <w:bCs/>
                <w:color w:val="FFFFFF"/>
                <w:sz w:val="20"/>
                <w:szCs w:val="20"/>
              </w:rPr>
              <w:t>15</w:t>
            </w:r>
            <w:r w:rsidRPr="009B73B7">
              <w:rPr>
                <w:rFonts w:ascii="Calibri" w:eastAsia="Calibri" w:hAnsi="Calibri" w:cs="Times New Roman"/>
                <w:b/>
                <w:bCs/>
                <w:color w:val="FFFFFF"/>
                <w:sz w:val="20"/>
                <w:szCs w:val="20"/>
              </w:rPr>
              <w:t>.0 Update: Comparison Exhibit of Non-Consensus Issues</w:t>
            </w:r>
          </w:p>
        </w:tc>
      </w:tr>
      <w:tr w:rsidR="009B73B7" w:rsidRPr="009B73B7" w14:paraId="16A311FB" w14:textId="77777777" w:rsidTr="00EF24FF">
        <w:trPr>
          <w:tblHeader/>
        </w:trPr>
        <w:tc>
          <w:tcPr>
            <w:tcW w:w="5000" w:type="pct"/>
            <w:gridSpan w:val="3"/>
          </w:tcPr>
          <w:p w14:paraId="52014AE5" w14:textId="374AEA2C" w:rsidR="009B73B7" w:rsidRPr="00ED2A3F" w:rsidRDefault="0000285C" w:rsidP="00ED2A3F">
            <w:pPr>
              <w:spacing w:after="120"/>
              <w:rPr>
                <w:b/>
                <w:bCs/>
                <w:sz w:val="20"/>
                <w:u w:val="single"/>
              </w:rPr>
            </w:pPr>
            <w:r>
              <w:rPr>
                <w:rFonts w:ascii="Calibri" w:eastAsia="Calibri" w:hAnsi="Calibri" w:cs="Times New Roman"/>
                <w:b/>
                <w:bCs/>
                <w:sz w:val="20"/>
                <w:szCs w:val="20"/>
              </w:rPr>
              <w:t>Policy Question</w:t>
            </w:r>
            <w:r w:rsidR="009B73B7" w:rsidRPr="009B73B7">
              <w:rPr>
                <w:rFonts w:ascii="Calibri" w:eastAsia="Calibri" w:hAnsi="Calibri" w:cs="Times New Roman"/>
                <w:b/>
                <w:bCs/>
                <w:sz w:val="20"/>
                <w:szCs w:val="20"/>
              </w:rPr>
              <w:t xml:space="preserve">: </w:t>
            </w:r>
            <w:r w:rsidR="00ED2A3F" w:rsidRPr="00ED2A3F">
              <w:rPr>
                <w:b/>
                <w:bCs/>
                <w:sz w:val="20"/>
              </w:rPr>
              <w:t>For projects installed on or after January 1st, 2027, should fluorescent technology continue to serve as the prospective baseline for any commercial lighting measures, and if so, on what basis?</w:t>
            </w:r>
          </w:p>
        </w:tc>
      </w:tr>
      <w:tr w:rsidR="009B73B7" w:rsidRPr="009B73B7" w14:paraId="5027B095" w14:textId="77777777" w:rsidTr="00EF24FF">
        <w:trPr>
          <w:tblHeader/>
        </w:trPr>
        <w:tc>
          <w:tcPr>
            <w:tcW w:w="415" w:type="pct"/>
            <w:vAlign w:val="center"/>
          </w:tcPr>
          <w:p w14:paraId="08F5750C" w14:textId="77777777" w:rsidR="009B73B7" w:rsidRPr="009B73B7" w:rsidRDefault="009B73B7" w:rsidP="009B73B7">
            <w:pPr>
              <w:jc w:val="center"/>
              <w:rPr>
                <w:rFonts w:ascii="Calibri" w:eastAsia="Calibri" w:hAnsi="Calibri" w:cs="Times New Roman"/>
                <w:b/>
                <w:bCs/>
                <w:sz w:val="20"/>
                <w:szCs w:val="20"/>
              </w:rPr>
            </w:pPr>
            <w:r w:rsidRPr="009B73B7">
              <w:rPr>
                <w:rFonts w:ascii="Calibri" w:eastAsia="Calibri" w:hAnsi="Calibri" w:cs="Times New Roman"/>
                <w:b/>
                <w:bCs/>
                <w:sz w:val="20"/>
                <w:szCs w:val="20"/>
              </w:rPr>
              <w:t>Position</w:t>
            </w:r>
          </w:p>
        </w:tc>
        <w:tc>
          <w:tcPr>
            <w:tcW w:w="4083" w:type="pct"/>
            <w:vAlign w:val="center"/>
          </w:tcPr>
          <w:p w14:paraId="4B97FCF0" w14:textId="77777777" w:rsidR="009B73B7" w:rsidRPr="009B73B7" w:rsidRDefault="009B73B7" w:rsidP="009B73B7">
            <w:pPr>
              <w:jc w:val="center"/>
              <w:rPr>
                <w:rFonts w:ascii="Calibri" w:eastAsia="Calibri" w:hAnsi="Calibri" w:cs="Times New Roman"/>
                <w:b/>
                <w:bCs/>
                <w:sz w:val="20"/>
                <w:szCs w:val="20"/>
              </w:rPr>
            </w:pPr>
            <w:r w:rsidRPr="009B73B7">
              <w:rPr>
                <w:rFonts w:ascii="Calibri" w:eastAsia="Calibri" w:hAnsi="Calibri" w:cs="Times New Roman"/>
                <w:b/>
                <w:bCs/>
                <w:sz w:val="20"/>
                <w:szCs w:val="20"/>
              </w:rPr>
              <w:t>Rationale</w:t>
            </w:r>
          </w:p>
        </w:tc>
        <w:tc>
          <w:tcPr>
            <w:tcW w:w="502" w:type="pct"/>
            <w:vAlign w:val="center"/>
          </w:tcPr>
          <w:p w14:paraId="20CF6A24" w14:textId="77777777" w:rsidR="009B73B7" w:rsidRPr="009B73B7" w:rsidRDefault="009B73B7" w:rsidP="009B73B7">
            <w:pPr>
              <w:jc w:val="center"/>
              <w:rPr>
                <w:rFonts w:ascii="Calibri" w:eastAsia="Calibri" w:hAnsi="Calibri" w:cs="Times New Roman"/>
                <w:b/>
                <w:bCs/>
                <w:sz w:val="20"/>
                <w:szCs w:val="20"/>
              </w:rPr>
            </w:pPr>
            <w:r w:rsidRPr="009B73B7">
              <w:rPr>
                <w:rFonts w:ascii="Calibri" w:eastAsia="Calibri" w:hAnsi="Calibri" w:cs="Times New Roman"/>
                <w:b/>
                <w:bCs/>
                <w:sz w:val="20"/>
                <w:szCs w:val="20"/>
              </w:rPr>
              <w:t>Supporting Stakeholders</w:t>
            </w:r>
          </w:p>
        </w:tc>
      </w:tr>
      <w:tr w:rsidR="002B12EC" w:rsidRPr="009B73B7" w14:paraId="16BFEADF" w14:textId="77777777" w:rsidTr="00EF24FF">
        <w:tc>
          <w:tcPr>
            <w:tcW w:w="415" w:type="pct"/>
          </w:tcPr>
          <w:p w14:paraId="47CB09B0" w14:textId="5D49C646" w:rsidR="002B12EC" w:rsidRPr="00E11FA6" w:rsidRDefault="00D238B7" w:rsidP="009B73B7">
            <w:pPr>
              <w:jc w:val="center"/>
              <w:rPr>
                <w:rFonts w:ascii="Calibri" w:eastAsia="Calibri" w:hAnsi="Calibri" w:cs="Times New Roman"/>
                <w:sz w:val="20"/>
                <w:szCs w:val="20"/>
              </w:rPr>
            </w:pPr>
            <w:r w:rsidRPr="00E11FA6">
              <w:rPr>
                <w:rFonts w:ascii="Calibri" w:eastAsia="Calibri" w:hAnsi="Calibri" w:cs="Times New Roman"/>
                <w:sz w:val="20"/>
                <w:szCs w:val="20"/>
              </w:rPr>
              <w:t>VEIC</w:t>
            </w:r>
          </w:p>
        </w:tc>
        <w:tc>
          <w:tcPr>
            <w:tcW w:w="4083" w:type="pct"/>
          </w:tcPr>
          <w:p w14:paraId="533F78C8" w14:textId="3978EF6C" w:rsidR="00602171" w:rsidRPr="00E11FA6" w:rsidRDefault="00E11FA6" w:rsidP="00602171">
            <w:pPr>
              <w:spacing w:after="120"/>
              <w:rPr>
                <w:rFonts w:ascii="Calibri" w:eastAsia="Calibri" w:hAnsi="Calibri" w:cs="Calibri"/>
                <w:color w:val="000000"/>
                <w:sz w:val="20"/>
                <w:szCs w:val="20"/>
              </w:rPr>
            </w:pPr>
            <w:r w:rsidRPr="00E11FA6">
              <w:rPr>
                <w:rFonts w:ascii="Calibri" w:eastAsia="Calibri" w:hAnsi="Calibri" w:cs="Calibri"/>
                <w:color w:val="000000"/>
                <w:sz w:val="20"/>
                <w:szCs w:val="20"/>
              </w:rPr>
              <w:t xml:space="preserve">VEIC proposes that no </w:t>
            </w:r>
            <w:r>
              <w:rPr>
                <w:rFonts w:ascii="Calibri" w:eastAsia="Calibri" w:hAnsi="Calibri" w:cs="Calibri"/>
                <w:color w:val="000000"/>
                <w:sz w:val="20"/>
                <w:szCs w:val="20"/>
              </w:rPr>
              <w:t xml:space="preserve">changes be made to commercial lighting measures </w:t>
            </w:r>
            <w:r w:rsidR="00553A39">
              <w:rPr>
                <w:rFonts w:ascii="Calibri" w:eastAsia="Calibri" w:hAnsi="Calibri" w:cs="Calibri"/>
                <w:color w:val="000000"/>
                <w:sz w:val="20"/>
                <w:szCs w:val="20"/>
              </w:rPr>
              <w:t xml:space="preserve">in TRM v15 </w:t>
            </w:r>
            <w:r w:rsidR="008F7FF1">
              <w:rPr>
                <w:rFonts w:ascii="Calibri" w:eastAsia="Calibri" w:hAnsi="Calibri" w:cs="Calibri"/>
                <w:color w:val="000000"/>
                <w:sz w:val="20"/>
                <w:szCs w:val="20"/>
              </w:rPr>
              <w:t>in response to the Clean Lighting Act</w:t>
            </w:r>
            <w:r w:rsidR="007323EF">
              <w:rPr>
                <w:rFonts w:ascii="Calibri" w:eastAsia="Calibri" w:hAnsi="Calibri" w:cs="Calibri"/>
                <w:color w:val="000000"/>
                <w:sz w:val="20"/>
                <w:szCs w:val="20"/>
              </w:rPr>
              <w:t xml:space="preserve">. This would preserve measures as they are for 2027. Data could be collected </w:t>
            </w:r>
            <w:r w:rsidR="004345A8">
              <w:rPr>
                <w:rFonts w:ascii="Calibri" w:eastAsia="Calibri" w:hAnsi="Calibri" w:cs="Calibri"/>
                <w:color w:val="000000"/>
                <w:sz w:val="20"/>
                <w:szCs w:val="20"/>
              </w:rPr>
              <w:t>e</w:t>
            </w:r>
            <w:r w:rsidR="007323EF">
              <w:rPr>
                <w:rFonts w:ascii="Calibri" w:eastAsia="Calibri" w:hAnsi="Calibri" w:cs="Calibri"/>
                <w:color w:val="000000"/>
                <w:sz w:val="20"/>
                <w:szCs w:val="20"/>
              </w:rPr>
              <w:t>arly in the 2027 TRM update cycle</w:t>
            </w:r>
            <w:r w:rsidR="004345A8">
              <w:rPr>
                <w:rFonts w:ascii="Calibri" w:eastAsia="Calibri" w:hAnsi="Calibri" w:cs="Calibri"/>
                <w:color w:val="000000"/>
                <w:sz w:val="20"/>
                <w:szCs w:val="20"/>
              </w:rPr>
              <w:t xml:space="preserve"> to evaluate how the market is responding to the fluorescent lighting </w:t>
            </w:r>
            <w:r w:rsidR="00B4293C">
              <w:rPr>
                <w:rFonts w:ascii="Calibri" w:eastAsia="Calibri" w:hAnsi="Calibri" w:cs="Calibri"/>
                <w:color w:val="000000"/>
                <w:sz w:val="20"/>
                <w:szCs w:val="20"/>
              </w:rPr>
              <w:t>sales ban directed by the Act</w:t>
            </w:r>
            <w:r w:rsidR="000755B5">
              <w:rPr>
                <w:rFonts w:ascii="Calibri" w:eastAsia="Calibri" w:hAnsi="Calibri" w:cs="Calibri"/>
                <w:color w:val="000000"/>
                <w:sz w:val="20"/>
                <w:szCs w:val="20"/>
              </w:rPr>
              <w:t xml:space="preserve">. </w:t>
            </w:r>
            <w:r w:rsidR="003B588E">
              <w:rPr>
                <w:rFonts w:ascii="Calibri" w:eastAsia="Calibri" w:hAnsi="Calibri" w:cs="Calibri"/>
                <w:color w:val="000000"/>
                <w:sz w:val="20"/>
                <w:szCs w:val="20"/>
              </w:rPr>
              <w:t xml:space="preserve">Once the TAC has </w:t>
            </w:r>
            <w:r w:rsidR="00977CD2">
              <w:rPr>
                <w:rFonts w:ascii="Calibri" w:eastAsia="Calibri" w:hAnsi="Calibri" w:cs="Calibri"/>
                <w:color w:val="000000"/>
                <w:sz w:val="20"/>
                <w:szCs w:val="20"/>
              </w:rPr>
              <w:t>received direction from the Illinois Commerce Commission on the extent and detail of the Act’s language</w:t>
            </w:r>
            <w:r w:rsidR="00033D6A">
              <w:rPr>
                <w:rFonts w:ascii="Calibri" w:eastAsia="Calibri" w:hAnsi="Calibri" w:cs="Calibri"/>
                <w:color w:val="000000"/>
                <w:sz w:val="20"/>
                <w:szCs w:val="20"/>
              </w:rPr>
              <w:t>, the TAC will then determine the appropriate impact to baselines in the TRM going forward.</w:t>
            </w:r>
          </w:p>
        </w:tc>
        <w:tc>
          <w:tcPr>
            <w:tcW w:w="502" w:type="pct"/>
          </w:tcPr>
          <w:p w14:paraId="45097450" w14:textId="3EA4D4E6" w:rsidR="002B12EC" w:rsidRPr="00E11FA6" w:rsidRDefault="002B12EC" w:rsidP="009B73B7">
            <w:pPr>
              <w:rPr>
                <w:rFonts w:ascii="Calibri" w:eastAsia="Calibri" w:hAnsi="Calibri" w:cs="Times New Roman"/>
                <w:sz w:val="20"/>
                <w:szCs w:val="20"/>
              </w:rPr>
            </w:pPr>
          </w:p>
        </w:tc>
      </w:tr>
      <w:tr w:rsidR="009B73B7" w:rsidRPr="009B73B7" w14:paraId="3045AF86" w14:textId="77777777" w:rsidTr="00EF24FF">
        <w:tc>
          <w:tcPr>
            <w:tcW w:w="415" w:type="pct"/>
          </w:tcPr>
          <w:p w14:paraId="1DAE253D" w14:textId="4789E4E2" w:rsidR="009B73B7" w:rsidRPr="00E11FA6" w:rsidRDefault="00B7779B" w:rsidP="009B73B7">
            <w:pPr>
              <w:jc w:val="center"/>
              <w:rPr>
                <w:rFonts w:ascii="Calibri" w:eastAsia="Calibri" w:hAnsi="Calibri" w:cs="Times New Roman"/>
                <w:sz w:val="20"/>
                <w:szCs w:val="20"/>
              </w:rPr>
            </w:pPr>
            <w:r>
              <w:rPr>
                <w:rFonts w:ascii="Calibri" w:eastAsia="Calibri" w:hAnsi="Calibri" w:cs="Times New Roman"/>
                <w:sz w:val="20"/>
                <w:szCs w:val="20"/>
              </w:rPr>
              <w:t>ComEd</w:t>
            </w:r>
          </w:p>
        </w:tc>
        <w:tc>
          <w:tcPr>
            <w:tcW w:w="4083" w:type="pct"/>
          </w:tcPr>
          <w:p w14:paraId="72D8B595" w14:textId="4882B50C" w:rsidR="00B7779B" w:rsidRPr="00B7779B" w:rsidRDefault="00B7779B" w:rsidP="00B7779B">
            <w:pPr>
              <w:spacing w:after="120"/>
              <w:rPr>
                <w:rFonts w:ascii="Calibri" w:eastAsia="Calibri" w:hAnsi="Calibri" w:cs="Times New Roman"/>
                <w:sz w:val="20"/>
                <w:szCs w:val="20"/>
              </w:rPr>
            </w:pPr>
            <w:r w:rsidRPr="00B7779B">
              <w:rPr>
                <w:rFonts w:ascii="Calibri" w:eastAsia="Calibri" w:hAnsi="Calibri" w:cs="Times New Roman"/>
                <w:sz w:val="20"/>
                <w:szCs w:val="20"/>
              </w:rPr>
              <w:t xml:space="preserve">Yes, the baseline must remain unchanged.  Applying the plain language of the statue and reading its provisions as a whole so that all sections operate harmoniously-consistent with well-established tenets of statutory interpretation-supports this conclusion.  The law is clear that nothing, including the prohibition on new sales of fluorescent lighting, is to limit using that baseline. 415 ILCS 5/21.8 (f).   </w:t>
            </w:r>
          </w:p>
          <w:p w14:paraId="681D476B" w14:textId="3A9181E7" w:rsidR="00B7779B" w:rsidRPr="00B7779B" w:rsidRDefault="00B7779B" w:rsidP="00B7779B">
            <w:pPr>
              <w:spacing w:after="120"/>
              <w:rPr>
                <w:rFonts w:ascii="Calibri" w:eastAsia="Calibri" w:hAnsi="Calibri" w:cs="Times New Roman"/>
                <w:sz w:val="20"/>
                <w:szCs w:val="20"/>
              </w:rPr>
            </w:pPr>
            <w:r w:rsidRPr="00B7779B">
              <w:rPr>
                <w:rFonts w:ascii="Calibri" w:eastAsia="Calibri" w:hAnsi="Calibri" w:cs="Times New Roman"/>
                <w:sz w:val="20"/>
                <w:szCs w:val="20"/>
              </w:rPr>
              <w:t xml:space="preserve">The prohibition on the future sales of fluorescent lamps establishes a change in market availability, not a change in the baseline used for calculating or assessing energy savings. Section 21.8(f) expressly preserves the utility's ability to claim persisting savings, which confirms the Legislature’s intent not to modify or disrupt the potential to achieve savings.    </w:t>
            </w:r>
          </w:p>
          <w:p w14:paraId="18FDB2B7" w14:textId="5ADE9936" w:rsidR="00B7779B" w:rsidRPr="00B7779B" w:rsidRDefault="00B7779B" w:rsidP="00B7779B">
            <w:pPr>
              <w:spacing w:after="120"/>
              <w:rPr>
                <w:rFonts w:ascii="Calibri" w:eastAsia="Calibri" w:hAnsi="Calibri" w:cs="Times New Roman"/>
                <w:sz w:val="20"/>
                <w:szCs w:val="20"/>
              </w:rPr>
            </w:pPr>
            <w:r w:rsidRPr="00B7779B">
              <w:rPr>
                <w:rFonts w:ascii="Calibri" w:eastAsia="Calibri" w:hAnsi="Calibri" w:cs="Times New Roman"/>
                <w:sz w:val="20"/>
                <w:szCs w:val="20"/>
              </w:rPr>
              <w:t xml:space="preserve">Accordingly, when the two statutory provisions are read together, the result is straightforward: new sales of pin-based type compact and linear fluorescent lamps are now prohibited but utilities will still use fluorescent lamps as the baseline (in the IL-TRM) for calculating energy savings.  Interpreting the sales prohibition to alter the baseline would conflict with the express preservation of persisting savings in Section 21.8(f) and would fail to give effect to all provisions of the statute.  </w:t>
            </w:r>
          </w:p>
          <w:p w14:paraId="296C317C" w14:textId="78D63FB8" w:rsidR="00B7779B" w:rsidRPr="00B7779B" w:rsidRDefault="00B7779B" w:rsidP="00B7779B">
            <w:pPr>
              <w:spacing w:after="120"/>
              <w:rPr>
                <w:rFonts w:ascii="Calibri" w:eastAsia="Calibri" w:hAnsi="Calibri" w:cs="Times New Roman"/>
                <w:sz w:val="20"/>
                <w:szCs w:val="20"/>
              </w:rPr>
            </w:pPr>
            <w:r w:rsidRPr="00B7779B">
              <w:rPr>
                <w:rFonts w:ascii="Calibri" w:eastAsia="Calibri" w:hAnsi="Calibri" w:cs="Times New Roman"/>
                <w:sz w:val="20"/>
                <w:szCs w:val="20"/>
              </w:rPr>
              <w:t xml:space="preserve">Although the Clean Lighting Act will influence future market adoption, Illinois continues to have a substantial installed base of linear fluorescent lighting. Recent (2024) statewide baseline research found that linear fluorescent lighting remains prevalent across the Illinois nonresidential sector. The study found that more than 90% of nonresidential facilities contain linear lighting systems and well over half (63%) of those facilities remain fluorescent (43% T8 fluorescent and 20% T12 fluorescent). The study projects new savings opportunities related to LED Linear Lamps to persist well past 2030. While the Clean Lighting act passed after this study was completed, these findings suggest that a meaningful portion of the market continues to operate fluorescent systems and supports the continued existence of early replacement opportunities. Consequently, a transition in product availability does not necessarily indicate that the appropriate TRM baseline has already shifted to LED. </w:t>
            </w:r>
          </w:p>
          <w:p w14:paraId="5EE24472" w14:textId="36B32B67" w:rsidR="009B73B7" w:rsidRPr="00E11FA6" w:rsidRDefault="00B7779B" w:rsidP="00B7779B">
            <w:pPr>
              <w:spacing w:after="120"/>
              <w:rPr>
                <w:rFonts w:ascii="Calibri" w:eastAsia="Calibri" w:hAnsi="Calibri" w:cs="Times New Roman"/>
                <w:sz w:val="20"/>
                <w:szCs w:val="20"/>
              </w:rPr>
            </w:pPr>
            <w:r w:rsidRPr="00B7779B">
              <w:rPr>
                <w:rFonts w:ascii="Calibri" w:eastAsia="Calibri" w:hAnsi="Calibri" w:cs="Times New Roman"/>
                <w:sz w:val="20"/>
                <w:szCs w:val="20"/>
              </w:rPr>
              <w:t>Questions regarding increased free ridership resulting from the legislation are more appropriately addressed through evaluation and net-to-gross processes. Stakeholders acknowledged that the TRM Working Group is not responsible for establishing net-to-gross assumptions. Even then, though, the law must be followed. The law is clear that nothing [in the Clean Lighting Act], including increased free ridership or changes to the net-to-gross assumptions resulting from the prohibitions of the Clean Lighting Act, can limit a utility claiming savings for its EE portfolio from energy savings based on fluorescent technology. Therefore, concerns regarding market effects are inappropriate for this venue, and ultimately, are not to be taken into account at all, when following the law.</w:t>
            </w:r>
          </w:p>
        </w:tc>
        <w:tc>
          <w:tcPr>
            <w:tcW w:w="502" w:type="pct"/>
          </w:tcPr>
          <w:p w14:paraId="2968B071" w14:textId="2F6F15B8" w:rsidR="009B73B7" w:rsidRPr="00E11FA6" w:rsidRDefault="009B73B7" w:rsidP="009B73B7">
            <w:pPr>
              <w:rPr>
                <w:rFonts w:ascii="Calibri" w:eastAsia="Calibri" w:hAnsi="Calibri" w:cs="Times New Roman"/>
                <w:sz w:val="20"/>
                <w:szCs w:val="20"/>
              </w:rPr>
            </w:pPr>
          </w:p>
        </w:tc>
      </w:tr>
      <w:tr w:rsidR="009B73B7" w:rsidRPr="009B73B7" w14:paraId="1BCC3717" w14:textId="77777777" w:rsidTr="00EF24FF">
        <w:tc>
          <w:tcPr>
            <w:tcW w:w="415" w:type="pct"/>
          </w:tcPr>
          <w:p w14:paraId="7C6B84AA" w14:textId="27E6E421" w:rsidR="009B73B7" w:rsidRPr="00E11FA6" w:rsidRDefault="00467489" w:rsidP="009B73B7">
            <w:pPr>
              <w:jc w:val="center"/>
              <w:rPr>
                <w:rFonts w:ascii="Calibri" w:eastAsia="Calibri" w:hAnsi="Calibri" w:cs="Times New Roman"/>
                <w:sz w:val="20"/>
                <w:szCs w:val="20"/>
              </w:rPr>
            </w:pPr>
            <w:r>
              <w:rPr>
                <w:rFonts w:ascii="Calibri" w:eastAsia="Calibri" w:hAnsi="Calibri" w:cs="Times New Roman"/>
                <w:sz w:val="20"/>
                <w:szCs w:val="20"/>
              </w:rPr>
              <w:t>Ameren Illinois</w:t>
            </w:r>
          </w:p>
        </w:tc>
        <w:tc>
          <w:tcPr>
            <w:tcW w:w="4083" w:type="pct"/>
          </w:tcPr>
          <w:p w14:paraId="12E5208E" w14:textId="29ED4093" w:rsidR="005E52FF" w:rsidRPr="005E52FF" w:rsidRDefault="005E52FF" w:rsidP="005E52FF">
            <w:pPr>
              <w:spacing w:after="120"/>
              <w:rPr>
                <w:rFonts w:ascii="Calibri" w:eastAsia="Calibri" w:hAnsi="Calibri" w:cs="Times New Roman"/>
                <w:sz w:val="20"/>
                <w:szCs w:val="20"/>
              </w:rPr>
            </w:pPr>
            <w:r w:rsidRPr="005E52FF">
              <w:rPr>
                <w:rFonts w:ascii="Calibri" w:eastAsia="Calibri" w:hAnsi="Calibri" w:cs="Times New Roman"/>
                <w:sz w:val="20"/>
                <w:szCs w:val="20"/>
              </w:rPr>
              <w:t xml:space="preserve">Fluorescent technology should continue to serve as the prospective baseline for applicable commercial lighting measures installed on or after January 1, 2027. The Clean Lighting Act expressly preserves the ability of utilities to claim energy savings based on fluorescent technology through Illinois Commerce Commission-approved energy efficiency plans. Section 21.8(f) states that “nothing in this Section shall be interpreted to limit the ability of a utility to ... claim persisting energy savings based on fluorescent technology.” This language demonstrates a clear legislative intent to preserve fluorescent-based savings claims notwithstanding the Act’s restrictions on the sale and distribution of certain fluorescent lamps. </w:t>
            </w:r>
          </w:p>
          <w:p w14:paraId="62462E6E" w14:textId="4B34C196" w:rsidR="005E52FF" w:rsidRPr="005E52FF" w:rsidRDefault="005E52FF" w:rsidP="005E52FF">
            <w:pPr>
              <w:spacing w:after="120"/>
              <w:rPr>
                <w:rFonts w:ascii="Calibri" w:eastAsia="Calibri" w:hAnsi="Calibri" w:cs="Times New Roman"/>
                <w:sz w:val="20"/>
                <w:szCs w:val="20"/>
              </w:rPr>
            </w:pPr>
            <w:r w:rsidRPr="005E52FF">
              <w:rPr>
                <w:rFonts w:ascii="Calibri" w:eastAsia="Calibri" w:hAnsi="Calibri" w:cs="Times New Roman"/>
                <w:sz w:val="20"/>
                <w:szCs w:val="20"/>
              </w:rPr>
              <w:t xml:space="preserve">Ameren Illinois maintains a distinction between the statutory prohibition on the sale of certain fluorescent lamps and the continued existence of fluorescent technology as a baseline condition. The Act does not prohibit the possession, operation, maintenance, or continued use of existing fluorescent systems, nor does it state that fluorescent technology can no longer be recognized as a baseline for energy efficiency purposes. Consequently, fluorescent systems are expected to remain in operation throughout the commercial sector well beyond January 1, 2027. </w:t>
            </w:r>
          </w:p>
          <w:p w14:paraId="1A8D08A1" w14:textId="15C3F5CE" w:rsidR="005E52FF" w:rsidRPr="005E52FF" w:rsidRDefault="005E52FF" w:rsidP="005E52FF">
            <w:pPr>
              <w:spacing w:after="120"/>
              <w:rPr>
                <w:rFonts w:ascii="Calibri" w:eastAsia="Calibri" w:hAnsi="Calibri" w:cs="Times New Roman"/>
                <w:sz w:val="20"/>
                <w:szCs w:val="20"/>
              </w:rPr>
            </w:pPr>
            <w:r w:rsidRPr="005E52FF">
              <w:rPr>
                <w:rFonts w:ascii="Calibri" w:eastAsia="Calibri" w:hAnsi="Calibri" w:cs="Times New Roman"/>
                <w:sz w:val="20"/>
                <w:szCs w:val="20"/>
              </w:rPr>
              <w:t xml:space="preserve">Additionally, commercial customers and distributors are expected to maintain inventories of fluorescent lamps and related replacement components through normal stocking practices and purchases made prior to the sales prohibition. These inventories will continue to support ongoing operation of fluorescent systems after 2027 and reinforce the reasonableness of retaining fluorescent baseline assumptions. </w:t>
            </w:r>
          </w:p>
          <w:p w14:paraId="61BDDF6A" w14:textId="5AE08697" w:rsidR="005E52FF" w:rsidRPr="005E52FF" w:rsidRDefault="005E52FF" w:rsidP="005E52FF">
            <w:pPr>
              <w:spacing w:after="120"/>
              <w:rPr>
                <w:rFonts w:ascii="Calibri" w:eastAsia="Calibri" w:hAnsi="Calibri" w:cs="Times New Roman"/>
                <w:sz w:val="20"/>
                <w:szCs w:val="20"/>
              </w:rPr>
            </w:pPr>
            <w:r w:rsidRPr="005E52FF">
              <w:rPr>
                <w:rFonts w:ascii="Calibri" w:eastAsia="Calibri" w:hAnsi="Calibri" w:cs="Times New Roman"/>
                <w:sz w:val="20"/>
                <w:szCs w:val="20"/>
              </w:rPr>
              <w:t xml:space="preserve">Further, while the Act restricts sales within Illinois, it does not eliminate the availability of fluorescent products from suppliers located outside the state. Commercial customers, particularly those operating across multiple states, may continue to obtain fluorescent products through national procurement channels and cross-border purchases. As a result, the sales prohibition should not be treated as a de facto efficiency standard requiring an immediate baseline shift. </w:t>
            </w:r>
          </w:p>
          <w:p w14:paraId="2E2D8335" w14:textId="4C30C989" w:rsidR="009B73B7" w:rsidRPr="00E11FA6" w:rsidRDefault="005E52FF" w:rsidP="005E52FF">
            <w:pPr>
              <w:spacing w:after="120"/>
              <w:rPr>
                <w:rFonts w:ascii="Calibri" w:eastAsia="Calibri" w:hAnsi="Calibri" w:cs="Times New Roman"/>
                <w:sz w:val="20"/>
                <w:szCs w:val="20"/>
              </w:rPr>
            </w:pPr>
            <w:r w:rsidRPr="005E52FF">
              <w:rPr>
                <w:rFonts w:ascii="Calibri" w:eastAsia="Calibri" w:hAnsi="Calibri" w:cs="Times New Roman"/>
                <w:sz w:val="20"/>
                <w:szCs w:val="20"/>
              </w:rPr>
              <w:t>Consistent with longstanding TRM practice, baseline assumptions should reflect actual market conditions and realistic customer alternatives. Because fluorescent technology will remain present, operable, and reasonably available through existing inventories, stocking practices, and out-of-state procurement channels, fluorescent technology should continue to serve as the prospective baseline unless and until there is clear evidence that such baseline conditions no longer represent a realistic customer alternative.</w:t>
            </w:r>
          </w:p>
        </w:tc>
        <w:tc>
          <w:tcPr>
            <w:tcW w:w="502" w:type="pct"/>
          </w:tcPr>
          <w:p w14:paraId="230F44B9" w14:textId="53A1109B" w:rsidR="009B73B7" w:rsidRPr="00E11FA6" w:rsidRDefault="009B73B7" w:rsidP="009B73B7">
            <w:pPr>
              <w:rPr>
                <w:rFonts w:ascii="Calibri" w:eastAsia="Calibri" w:hAnsi="Calibri" w:cs="Times New Roman"/>
                <w:sz w:val="20"/>
                <w:szCs w:val="20"/>
              </w:rPr>
            </w:pPr>
          </w:p>
        </w:tc>
      </w:tr>
      <w:tr w:rsidR="009B73B7" w:rsidRPr="009B73B7" w14:paraId="4B58849B" w14:textId="77777777" w:rsidTr="00EF24FF">
        <w:tc>
          <w:tcPr>
            <w:tcW w:w="415" w:type="pct"/>
          </w:tcPr>
          <w:p w14:paraId="046A2495" w14:textId="128D4CA2" w:rsidR="009B73B7" w:rsidRPr="00E11FA6" w:rsidRDefault="00FB6070" w:rsidP="009B73B7">
            <w:pPr>
              <w:jc w:val="center"/>
              <w:rPr>
                <w:rFonts w:ascii="Calibri" w:eastAsia="Calibri" w:hAnsi="Calibri" w:cs="Times New Roman"/>
                <w:sz w:val="20"/>
                <w:szCs w:val="20"/>
              </w:rPr>
            </w:pPr>
            <w:r>
              <w:rPr>
                <w:rFonts w:ascii="Calibri" w:eastAsia="Calibri" w:hAnsi="Calibri" w:cs="Times New Roman"/>
                <w:sz w:val="20"/>
                <w:szCs w:val="20"/>
              </w:rPr>
              <w:t>Guidehouse</w:t>
            </w:r>
          </w:p>
        </w:tc>
        <w:tc>
          <w:tcPr>
            <w:tcW w:w="4083" w:type="pct"/>
          </w:tcPr>
          <w:p w14:paraId="7F3710BE" w14:textId="250FBC79" w:rsidR="006164A8" w:rsidRPr="006164A8" w:rsidRDefault="006164A8" w:rsidP="006164A8">
            <w:pPr>
              <w:spacing w:after="120"/>
              <w:rPr>
                <w:rFonts w:ascii="Calibri" w:eastAsia="Calibri" w:hAnsi="Calibri" w:cs="Times New Roman"/>
                <w:sz w:val="20"/>
                <w:szCs w:val="20"/>
              </w:rPr>
            </w:pPr>
            <w:r>
              <w:rPr>
                <w:rFonts w:ascii="Calibri" w:eastAsia="Calibri" w:hAnsi="Calibri" w:cs="Times New Roman"/>
                <w:sz w:val="20"/>
                <w:szCs w:val="20"/>
              </w:rPr>
              <w:t>T</w:t>
            </w:r>
            <w:r w:rsidRPr="006164A8">
              <w:rPr>
                <w:rFonts w:ascii="Calibri" w:eastAsia="Calibri" w:hAnsi="Calibri" w:cs="Times New Roman"/>
                <w:sz w:val="20"/>
                <w:szCs w:val="20"/>
              </w:rPr>
              <w:t>here are still several important technical questions that would benefit from additional research before making a decision on baseline treatment in the TRM. In particular, there is uncertainty around the future availability of fluorescent products through existing inventory and cross-border purchases, as well as the impacts on baseline assumptions, savings estimates, and NTG values.</w:t>
            </w:r>
          </w:p>
          <w:p w14:paraId="7E8A3464" w14:textId="77777777" w:rsidR="006164A8" w:rsidRPr="006164A8" w:rsidRDefault="006164A8" w:rsidP="006164A8">
            <w:pPr>
              <w:spacing w:after="120"/>
              <w:rPr>
                <w:rFonts w:ascii="Calibri" w:eastAsia="Calibri" w:hAnsi="Calibri" w:cs="Times New Roman"/>
                <w:sz w:val="20"/>
                <w:szCs w:val="20"/>
              </w:rPr>
            </w:pPr>
            <w:r w:rsidRPr="006164A8">
              <w:rPr>
                <w:rFonts w:ascii="Calibri" w:eastAsia="Calibri" w:hAnsi="Calibri" w:cs="Times New Roman"/>
                <w:sz w:val="20"/>
                <w:szCs w:val="20"/>
              </w:rPr>
              <w:t>We recommend reviewing existing research, including the IL baseline study, and considering whether additional research is needed to better understand market availability, early replacement dynamics, and resulting savings impacts. We also note that Illinois previously used transition-period approaches during implementation of EISA lighting requirements, which may provide useful context for the current discussion.</w:t>
            </w:r>
          </w:p>
          <w:p w14:paraId="2DF73767" w14:textId="51C1A10B" w:rsidR="009B73B7" w:rsidRPr="00E11FA6" w:rsidRDefault="006164A8" w:rsidP="006164A8">
            <w:pPr>
              <w:spacing w:after="120"/>
              <w:rPr>
                <w:rFonts w:ascii="Calibri" w:eastAsia="Calibri" w:hAnsi="Calibri" w:cs="Times New Roman"/>
                <w:sz w:val="20"/>
                <w:szCs w:val="20"/>
              </w:rPr>
            </w:pPr>
            <w:r w:rsidRPr="006164A8">
              <w:rPr>
                <w:rFonts w:ascii="Calibri" w:eastAsia="Calibri" w:hAnsi="Calibri" w:cs="Times New Roman"/>
                <w:sz w:val="20"/>
                <w:szCs w:val="20"/>
              </w:rPr>
              <w:t>Given the remaining uncertainties, we believe a research-based approach is the most appropriate path forward</w:t>
            </w:r>
            <w:r w:rsidR="00FB6070">
              <w:rPr>
                <w:rFonts w:ascii="Calibri" w:eastAsia="Calibri" w:hAnsi="Calibri" w:cs="Times New Roman"/>
                <w:sz w:val="20"/>
                <w:szCs w:val="20"/>
              </w:rPr>
              <w:t>.</w:t>
            </w:r>
          </w:p>
        </w:tc>
        <w:tc>
          <w:tcPr>
            <w:tcW w:w="502" w:type="pct"/>
          </w:tcPr>
          <w:p w14:paraId="0015472F" w14:textId="3767DB13" w:rsidR="009B73B7" w:rsidRPr="00E11FA6" w:rsidRDefault="009B73B7" w:rsidP="009B73B7">
            <w:pPr>
              <w:rPr>
                <w:rFonts w:ascii="Calibri" w:eastAsia="Calibri" w:hAnsi="Calibri" w:cs="Times New Roman"/>
                <w:sz w:val="20"/>
                <w:szCs w:val="20"/>
              </w:rPr>
            </w:pPr>
          </w:p>
        </w:tc>
      </w:tr>
      <w:tr w:rsidR="00B60465" w:rsidRPr="009B73B7" w14:paraId="54CEF505" w14:textId="77777777" w:rsidTr="00EF24FF">
        <w:tc>
          <w:tcPr>
            <w:tcW w:w="415" w:type="pct"/>
          </w:tcPr>
          <w:p w14:paraId="1DE4006F" w14:textId="11F0CF22" w:rsidR="00B60465" w:rsidRPr="00E11FA6" w:rsidRDefault="003A5FD7" w:rsidP="00B60465">
            <w:pPr>
              <w:jc w:val="center"/>
              <w:rPr>
                <w:rFonts w:ascii="Calibri" w:eastAsia="Calibri" w:hAnsi="Calibri" w:cs="Times New Roman"/>
                <w:sz w:val="20"/>
                <w:szCs w:val="20"/>
              </w:rPr>
            </w:pPr>
            <w:r>
              <w:rPr>
                <w:rFonts w:ascii="Calibri" w:eastAsia="Calibri" w:hAnsi="Calibri" w:cs="Times New Roman"/>
                <w:sz w:val="20"/>
                <w:szCs w:val="20"/>
              </w:rPr>
              <w:t>Office of the Illinois Attorney General</w:t>
            </w:r>
          </w:p>
        </w:tc>
        <w:tc>
          <w:tcPr>
            <w:tcW w:w="4083" w:type="pct"/>
          </w:tcPr>
          <w:p w14:paraId="1C109D9F" w14:textId="2FAF8891" w:rsidR="00B60465" w:rsidRPr="00E11FA6" w:rsidRDefault="009F0841" w:rsidP="00B60465">
            <w:pPr>
              <w:rPr>
                <w:rFonts w:ascii="Calibri" w:eastAsia="Calibri" w:hAnsi="Calibri" w:cs="Times New Roman"/>
                <w:sz w:val="20"/>
                <w:szCs w:val="20"/>
              </w:rPr>
            </w:pPr>
            <w:r w:rsidRPr="009F0841">
              <w:rPr>
                <w:rFonts w:ascii="Calibri" w:eastAsia="Calibri" w:hAnsi="Calibri" w:cs="Times New Roman"/>
                <w:sz w:val="20"/>
                <w:szCs w:val="20"/>
              </w:rPr>
              <w:t>For projects installed on or after January 1, 2027, fluorescent technology may continue to serve as the baseline exclusively for lighting measures that are early replacement and direct install. While the statute prohibits the sale, offer of sale, or distribution of new pin-base type compact fluorescent lamps and linear fluorescent lamps, it does not prohibit the ability of a utility to offer energy efficient lighting. 415 ILCS 5/21.8 (c)-(d), (e) 8. Replacement of fluorescent technology qualifies as energy efficient lighting if it is early replacement and direct install, and, as such, fluorescent technology may continue to serve as the baseline under these limited circumstances. Fluorescent technology as the baseline for savings does not qualify as energy efficient lighting under any other circumstances.</w:t>
            </w:r>
          </w:p>
        </w:tc>
        <w:tc>
          <w:tcPr>
            <w:tcW w:w="502" w:type="pct"/>
          </w:tcPr>
          <w:p w14:paraId="447B99FA" w14:textId="264C2E7D" w:rsidR="00B60465" w:rsidRPr="00E11FA6" w:rsidRDefault="00B60465" w:rsidP="00B60465">
            <w:pPr>
              <w:rPr>
                <w:rFonts w:ascii="Calibri" w:eastAsia="Calibri" w:hAnsi="Calibri" w:cs="Times New Roman"/>
                <w:sz w:val="20"/>
                <w:szCs w:val="20"/>
              </w:rPr>
            </w:pPr>
          </w:p>
        </w:tc>
      </w:tr>
      <w:tr w:rsidR="00B60465" w:rsidRPr="009B73B7" w14:paraId="64868DA7" w14:textId="77777777" w:rsidTr="00EF24FF">
        <w:tc>
          <w:tcPr>
            <w:tcW w:w="415" w:type="pct"/>
          </w:tcPr>
          <w:p w14:paraId="229A9B8F" w14:textId="2945B531" w:rsidR="00B60465" w:rsidRPr="00E11FA6" w:rsidRDefault="00A87B6A" w:rsidP="00B60465">
            <w:pPr>
              <w:jc w:val="center"/>
              <w:rPr>
                <w:rFonts w:ascii="Calibri" w:eastAsia="Calibri" w:hAnsi="Calibri" w:cs="Times New Roman"/>
                <w:sz w:val="20"/>
                <w:szCs w:val="20"/>
              </w:rPr>
            </w:pPr>
            <w:r>
              <w:rPr>
                <w:rFonts w:ascii="Calibri" w:eastAsia="Calibri" w:hAnsi="Calibri" w:cs="Times New Roman"/>
                <w:sz w:val="20"/>
                <w:szCs w:val="20"/>
              </w:rPr>
              <w:t>Natural Resources Defense Council</w:t>
            </w:r>
          </w:p>
        </w:tc>
        <w:tc>
          <w:tcPr>
            <w:tcW w:w="4083" w:type="pct"/>
          </w:tcPr>
          <w:p w14:paraId="7D39B558" w14:textId="50498FB3" w:rsidR="002A3EA2" w:rsidRPr="002A3EA2" w:rsidRDefault="002A3EA2" w:rsidP="002A3EA2">
            <w:pPr>
              <w:spacing w:after="120"/>
              <w:rPr>
                <w:rFonts w:ascii="Calibri" w:eastAsia="Calibri" w:hAnsi="Calibri" w:cs="Times New Roman"/>
                <w:sz w:val="20"/>
                <w:szCs w:val="20"/>
              </w:rPr>
            </w:pPr>
            <w:r w:rsidRPr="002A3EA2">
              <w:rPr>
                <w:rFonts w:ascii="Calibri" w:eastAsia="Calibri" w:hAnsi="Calibri" w:cs="Times New Roman"/>
                <w:sz w:val="20"/>
                <w:szCs w:val="20"/>
              </w:rPr>
              <w:t xml:space="preserve">NRDC takes the position that the Illinois Clean Lighting Act should change the assumed baseline for various approaches to promoting commercial LED bulbs and fixtures. In particular, it should make the baseline for “time-of-sale” or “time-of-natural-replacement” situations a standard new LED technology that meets the law’s minimum efficiency requirements. The rationale is that any customer who was planning to purchase a bulb or fixture absent utility program influence would have to purchase an LED.  </w:t>
            </w:r>
          </w:p>
          <w:p w14:paraId="4F5EEE74" w14:textId="0510E912" w:rsidR="002A3EA2" w:rsidRPr="002A3EA2" w:rsidRDefault="002A3EA2" w:rsidP="002A3EA2">
            <w:pPr>
              <w:spacing w:after="120"/>
              <w:rPr>
                <w:rFonts w:ascii="Calibri" w:eastAsia="Calibri" w:hAnsi="Calibri" w:cs="Times New Roman"/>
                <w:sz w:val="20"/>
                <w:szCs w:val="20"/>
              </w:rPr>
            </w:pPr>
            <w:r w:rsidRPr="002A3EA2">
              <w:rPr>
                <w:rFonts w:ascii="Calibri" w:eastAsia="Calibri" w:hAnsi="Calibri" w:cs="Times New Roman"/>
                <w:sz w:val="20"/>
                <w:szCs w:val="20"/>
              </w:rPr>
              <w:t xml:space="preserve">That said, NRDC also believes that there are conditions under which it would be appropriate to assume a fluorescent baseline for the purpose of calculating savings. A fluorescent baseline would be appropriate in cases in which the customer would not have replaced an existing lamp or fixture but is influenced by a utility program to do so – i.e., “early replacement” situations.  </w:t>
            </w:r>
          </w:p>
          <w:p w14:paraId="6CE0C853" w14:textId="1622866D" w:rsidR="002A3EA2" w:rsidRPr="002A3EA2" w:rsidRDefault="002A3EA2" w:rsidP="002A3EA2">
            <w:pPr>
              <w:spacing w:after="120"/>
              <w:rPr>
                <w:rFonts w:ascii="Calibri" w:eastAsia="Calibri" w:hAnsi="Calibri" w:cs="Times New Roman"/>
                <w:sz w:val="20"/>
                <w:szCs w:val="20"/>
              </w:rPr>
            </w:pPr>
            <w:r w:rsidRPr="002A3EA2">
              <w:rPr>
                <w:rFonts w:ascii="Calibri" w:eastAsia="Calibri" w:hAnsi="Calibri" w:cs="Times New Roman"/>
                <w:sz w:val="20"/>
                <w:szCs w:val="20"/>
              </w:rPr>
              <w:t xml:space="preserve">Generally speaking, this position would suggest that midstream or other point-of-purchase rebate programs would have an LED baseline and that direct install program installations where the existing lamp is fluorescent would have a fluorescent baseline as an early replacement measure. The exception to this practice would be if evaluation can show that a portion of purchases through midstream or other point-of-purchase channels are (A) early replacements that are (B) caused by the rebate the utility offers. </w:t>
            </w:r>
          </w:p>
          <w:p w14:paraId="60C71C1E" w14:textId="3DFE11C7" w:rsidR="002A3EA2" w:rsidRPr="002A3EA2" w:rsidRDefault="002A3EA2" w:rsidP="002A3EA2">
            <w:pPr>
              <w:spacing w:after="120"/>
              <w:rPr>
                <w:rFonts w:ascii="Calibri" w:eastAsia="Calibri" w:hAnsi="Calibri" w:cs="Times New Roman"/>
                <w:sz w:val="20"/>
                <w:szCs w:val="20"/>
              </w:rPr>
            </w:pPr>
            <w:r w:rsidRPr="002A3EA2">
              <w:rPr>
                <w:rFonts w:ascii="Calibri" w:eastAsia="Calibri" w:hAnsi="Calibri" w:cs="Times New Roman"/>
                <w:sz w:val="20"/>
                <w:szCs w:val="20"/>
              </w:rPr>
              <w:t xml:space="preserve">NRDC believes that this position is consistent with the statute, including the language that states that “nothing in this Section shall be interpreted to limit the ability of a utility to offer efficient lighting, rebates, or recycling services, or to claim persisting savings based on fluorescent technology resulting from such programs, through its energy conservation and optimization plans approved by the Illinois Commerce Commission…”, for the following reasons: </w:t>
            </w:r>
          </w:p>
          <w:p w14:paraId="67F6853F" w14:textId="2A08C573" w:rsidR="002A3EA2" w:rsidRPr="008E088B" w:rsidRDefault="002A3EA2" w:rsidP="008E088B">
            <w:pPr>
              <w:pStyle w:val="ListParagraph"/>
              <w:numPr>
                <w:ilvl w:val="0"/>
                <w:numId w:val="17"/>
              </w:numPr>
              <w:spacing w:after="120"/>
              <w:rPr>
                <w:rFonts w:ascii="Calibri" w:eastAsia="Calibri" w:hAnsi="Calibri" w:cs="Times New Roman"/>
                <w:sz w:val="20"/>
                <w:szCs w:val="20"/>
              </w:rPr>
            </w:pPr>
            <w:r w:rsidRPr="008E088B">
              <w:rPr>
                <w:rFonts w:ascii="Calibri" w:eastAsia="Calibri" w:hAnsi="Calibri" w:cs="Times New Roman"/>
                <w:sz w:val="20"/>
                <w:szCs w:val="20"/>
              </w:rPr>
              <w:t xml:space="preserve">Utilities would still be permitted to offer efficient lighting rebates; they would just be more limited in the scenarios in which such offers would generate substantial savings. Even in the time-of-sale market, there may be savings potential associated with the most efficient LED technology and/or products with controls that provide additional savings. </w:t>
            </w:r>
          </w:p>
          <w:p w14:paraId="20303B63" w14:textId="3BF14E41" w:rsidR="002A3EA2" w:rsidRPr="008E088B" w:rsidRDefault="002A3EA2" w:rsidP="008E088B">
            <w:pPr>
              <w:pStyle w:val="ListParagraph"/>
              <w:numPr>
                <w:ilvl w:val="0"/>
                <w:numId w:val="17"/>
              </w:numPr>
              <w:spacing w:after="120"/>
              <w:rPr>
                <w:rFonts w:ascii="Calibri" w:eastAsia="Calibri" w:hAnsi="Calibri" w:cs="Times New Roman"/>
                <w:sz w:val="20"/>
                <w:szCs w:val="20"/>
              </w:rPr>
            </w:pPr>
            <w:r w:rsidRPr="008E088B">
              <w:rPr>
                <w:rFonts w:ascii="Calibri" w:eastAsia="Calibri" w:hAnsi="Calibri" w:cs="Times New Roman"/>
                <w:sz w:val="20"/>
                <w:szCs w:val="20"/>
              </w:rPr>
              <w:t xml:space="preserve">The reference to claiming savings relative to fluorescent technology is with regards to “persisting savings.” With the passage of Illinois’ 2026 Clean and Reliable Grid Affordability Act (CRGA), utility savings goals are no longer expressed in terms of “persisting savings”, and the changes to Section 8-103B of the Public Utilities Act under CRGA were not accompanied by any changes to the Clean Lighting Act language. Thus, one could reasonably argue that the language does not apply to CRGA’s incremental annual savings goals.  </w:t>
            </w:r>
          </w:p>
          <w:p w14:paraId="7309BFE4" w14:textId="00A1BA8D" w:rsidR="002A3EA2" w:rsidRPr="008E088B" w:rsidRDefault="002A3EA2" w:rsidP="008E088B">
            <w:pPr>
              <w:pStyle w:val="ListParagraph"/>
              <w:numPr>
                <w:ilvl w:val="0"/>
                <w:numId w:val="17"/>
              </w:numPr>
              <w:spacing w:after="120"/>
              <w:rPr>
                <w:rFonts w:ascii="Calibri" w:eastAsia="Calibri" w:hAnsi="Calibri" w:cs="Times New Roman"/>
                <w:sz w:val="20"/>
                <w:szCs w:val="20"/>
              </w:rPr>
            </w:pPr>
            <w:r w:rsidRPr="008E088B">
              <w:rPr>
                <w:rFonts w:ascii="Calibri" w:eastAsia="Calibri" w:hAnsi="Calibri" w:cs="Times New Roman"/>
                <w:sz w:val="20"/>
                <w:szCs w:val="20"/>
              </w:rPr>
              <w:t xml:space="preserve">Even if CRGA had not passed, NRDC interprets the purpose of the language to mean that savings from LED products rebated prior to passage of the Clean Lighting Act could not be retroactively changed (e.g., changing the multi-year stream of savings from an early replacement of a lamp in 2024 so that it is providing less savings in 2030 – or whenever an assumed baseline shift would have been assumed to happen) rather than to allow claiming of savings indefinitely into the future relative to a baseline precluded by law. </w:t>
            </w:r>
          </w:p>
          <w:p w14:paraId="7D99448D" w14:textId="1611C4CE" w:rsidR="002A3EA2" w:rsidRPr="008E088B" w:rsidRDefault="002A3EA2" w:rsidP="008E088B">
            <w:pPr>
              <w:pStyle w:val="ListParagraph"/>
              <w:numPr>
                <w:ilvl w:val="0"/>
                <w:numId w:val="17"/>
              </w:numPr>
              <w:spacing w:after="120"/>
              <w:rPr>
                <w:rFonts w:ascii="Calibri" w:eastAsia="Calibri" w:hAnsi="Calibri" w:cs="Times New Roman"/>
                <w:sz w:val="20"/>
                <w:szCs w:val="20"/>
              </w:rPr>
            </w:pPr>
            <w:r w:rsidRPr="008E088B">
              <w:rPr>
                <w:rFonts w:ascii="Calibri" w:eastAsia="Calibri" w:hAnsi="Calibri" w:cs="Times New Roman"/>
                <w:sz w:val="20"/>
                <w:szCs w:val="20"/>
              </w:rPr>
              <w:t xml:space="preserve">The language references savings claimed through “plans approved by the Illinois Commerce Commission.” NRDC views this qualifying language as important, as it requires an ICC check on what kinds of programs would be appropriate. We find it hard to believe that the ICC would find it prudent for utilities to spend ratepayer dollars on rebates for products that customers would have to buy without utility influence (let alone for such rebates to lead to large volumes of extremely low cost savings which ratepayers would pay for again in the form of increased returns on equity on EE spending). </w:t>
            </w:r>
          </w:p>
          <w:p w14:paraId="28D5A482" w14:textId="7BE7D473" w:rsidR="00B60465" w:rsidRPr="008E088B" w:rsidRDefault="002A3EA2" w:rsidP="008E088B">
            <w:pPr>
              <w:pStyle w:val="ListParagraph"/>
              <w:numPr>
                <w:ilvl w:val="0"/>
                <w:numId w:val="17"/>
              </w:numPr>
              <w:spacing w:after="120"/>
              <w:rPr>
                <w:rFonts w:ascii="Calibri" w:eastAsia="Calibri" w:hAnsi="Calibri" w:cs="Times New Roman"/>
                <w:sz w:val="20"/>
                <w:szCs w:val="20"/>
              </w:rPr>
            </w:pPr>
            <w:r w:rsidRPr="008E088B">
              <w:rPr>
                <w:rFonts w:ascii="Calibri" w:eastAsia="Calibri" w:hAnsi="Calibri" w:cs="Times New Roman"/>
                <w:sz w:val="20"/>
                <w:szCs w:val="20"/>
              </w:rPr>
              <w:t>Under the interpretation that utilities could indefinitely claim savings relative to a fluorescent for all time-of-natural-replacement purchases of LEDs, utilities could offer midstream programs that provided extremely low rebates – even lower than past midstream rebates for TLEDs – and claim savings for every single LED lamp purchased in the market (which would be a much larger number than in the past because the law requires that all sales would have to be LED). Utilities may argue that is not what they plan to do, but their legal interpretation of the statute would allow it. It is hard to imagine that being the legislative intent.</w:t>
            </w:r>
          </w:p>
        </w:tc>
        <w:tc>
          <w:tcPr>
            <w:tcW w:w="502" w:type="pct"/>
          </w:tcPr>
          <w:p w14:paraId="2714D044" w14:textId="1EF38155" w:rsidR="00B60465" w:rsidRPr="00E11FA6" w:rsidRDefault="00B60465" w:rsidP="00B60465">
            <w:pPr>
              <w:rPr>
                <w:rFonts w:ascii="Calibri" w:eastAsia="Calibri" w:hAnsi="Calibri" w:cs="Times New Roman"/>
                <w:sz w:val="20"/>
                <w:szCs w:val="20"/>
              </w:rPr>
            </w:pPr>
          </w:p>
        </w:tc>
      </w:tr>
      <w:tr w:rsidR="00B60465" w:rsidRPr="009B73B7" w14:paraId="783C27C7" w14:textId="77777777" w:rsidTr="00EF24FF">
        <w:tc>
          <w:tcPr>
            <w:tcW w:w="415" w:type="pct"/>
          </w:tcPr>
          <w:p w14:paraId="18F52E6A" w14:textId="0C64C1DC" w:rsidR="00B60465" w:rsidRPr="00E11FA6" w:rsidRDefault="00B60465" w:rsidP="00B60465">
            <w:pPr>
              <w:jc w:val="center"/>
              <w:rPr>
                <w:rFonts w:ascii="Calibri" w:eastAsia="Calibri" w:hAnsi="Calibri" w:cs="Times New Roman"/>
                <w:sz w:val="20"/>
                <w:szCs w:val="20"/>
              </w:rPr>
            </w:pPr>
          </w:p>
        </w:tc>
        <w:tc>
          <w:tcPr>
            <w:tcW w:w="4083" w:type="pct"/>
          </w:tcPr>
          <w:p w14:paraId="22D5F571" w14:textId="20984390" w:rsidR="00B60465" w:rsidRPr="00E11FA6" w:rsidRDefault="00B60465" w:rsidP="00B60465">
            <w:pPr>
              <w:spacing w:after="120"/>
              <w:rPr>
                <w:rFonts w:ascii="Calibri" w:eastAsia="Calibri" w:hAnsi="Calibri" w:cs="Times New Roman"/>
                <w:sz w:val="20"/>
                <w:szCs w:val="20"/>
                <w:u w:val="single"/>
              </w:rPr>
            </w:pPr>
          </w:p>
        </w:tc>
        <w:tc>
          <w:tcPr>
            <w:tcW w:w="502" w:type="pct"/>
          </w:tcPr>
          <w:p w14:paraId="0535B3B7" w14:textId="7EB54E8D" w:rsidR="00B60465" w:rsidRPr="00E11FA6" w:rsidRDefault="00B60465" w:rsidP="00B60465">
            <w:pPr>
              <w:rPr>
                <w:rFonts w:ascii="Calibri" w:eastAsia="Calibri" w:hAnsi="Calibri" w:cs="Times New Roman"/>
                <w:sz w:val="20"/>
                <w:szCs w:val="20"/>
              </w:rPr>
            </w:pPr>
          </w:p>
        </w:tc>
      </w:tr>
      <w:tr w:rsidR="00B60465" w:rsidRPr="009B73B7" w14:paraId="28DF21FF" w14:textId="77777777" w:rsidTr="00EF24FF">
        <w:tc>
          <w:tcPr>
            <w:tcW w:w="415" w:type="pct"/>
          </w:tcPr>
          <w:p w14:paraId="36CEF541" w14:textId="106DC089" w:rsidR="00B60465" w:rsidRPr="00E11FA6" w:rsidRDefault="00B60465" w:rsidP="00B60465">
            <w:pPr>
              <w:jc w:val="center"/>
              <w:rPr>
                <w:rFonts w:ascii="Calibri" w:eastAsia="Calibri" w:hAnsi="Calibri" w:cs="Times New Roman"/>
                <w:sz w:val="20"/>
                <w:szCs w:val="20"/>
              </w:rPr>
            </w:pPr>
          </w:p>
        </w:tc>
        <w:tc>
          <w:tcPr>
            <w:tcW w:w="4083" w:type="pct"/>
          </w:tcPr>
          <w:p w14:paraId="6A02B87C" w14:textId="7E8538FA" w:rsidR="00B60465" w:rsidRPr="00E11FA6" w:rsidRDefault="00B60465" w:rsidP="00B60465">
            <w:pPr>
              <w:spacing w:after="120"/>
              <w:rPr>
                <w:rFonts w:ascii="Calibri" w:eastAsia="Calibri" w:hAnsi="Calibri" w:cs="Times New Roman"/>
                <w:sz w:val="20"/>
                <w:szCs w:val="20"/>
              </w:rPr>
            </w:pPr>
          </w:p>
        </w:tc>
        <w:tc>
          <w:tcPr>
            <w:tcW w:w="502" w:type="pct"/>
          </w:tcPr>
          <w:p w14:paraId="056C5AAC" w14:textId="57E7C103" w:rsidR="00B60465" w:rsidRPr="00E11FA6" w:rsidRDefault="00B60465" w:rsidP="00B60465">
            <w:pPr>
              <w:rPr>
                <w:rFonts w:ascii="Calibri" w:eastAsia="Calibri" w:hAnsi="Calibri" w:cs="Times New Roman"/>
                <w:sz w:val="20"/>
                <w:szCs w:val="20"/>
              </w:rPr>
            </w:pPr>
          </w:p>
        </w:tc>
      </w:tr>
    </w:tbl>
    <w:p w14:paraId="66D55D76" w14:textId="77777777" w:rsidR="00DA6401" w:rsidRDefault="00DA6401" w:rsidP="00E061FE">
      <w:pPr>
        <w:tabs>
          <w:tab w:val="left" w:pos="13545"/>
        </w:tabs>
      </w:pPr>
    </w:p>
    <w:tbl>
      <w:tblPr>
        <w:tblStyle w:val="TableGrid"/>
        <w:tblW w:w="5000" w:type="pct"/>
        <w:tblLook w:val="04A0" w:firstRow="1" w:lastRow="0" w:firstColumn="1" w:lastColumn="0" w:noHBand="0" w:noVBand="1"/>
      </w:tblPr>
      <w:tblGrid>
        <w:gridCol w:w="1194"/>
        <w:gridCol w:w="11751"/>
        <w:gridCol w:w="1445"/>
      </w:tblGrid>
      <w:tr w:rsidR="00EB6B23" w:rsidRPr="009B73B7" w14:paraId="087133B5" w14:textId="77777777" w:rsidTr="00701EB7">
        <w:trPr>
          <w:tblHeader/>
        </w:trPr>
        <w:tc>
          <w:tcPr>
            <w:tcW w:w="5000" w:type="pct"/>
            <w:gridSpan w:val="3"/>
            <w:shd w:val="clear" w:color="auto" w:fill="808080"/>
            <w:vAlign w:val="center"/>
          </w:tcPr>
          <w:p w14:paraId="4A8C6E53" w14:textId="77777777" w:rsidR="00EB6B23" w:rsidRPr="009B73B7" w:rsidRDefault="00EB6B23" w:rsidP="00701EB7">
            <w:pPr>
              <w:jc w:val="center"/>
              <w:rPr>
                <w:rFonts w:ascii="Calibri" w:eastAsia="Calibri" w:hAnsi="Calibri" w:cs="Times New Roman"/>
                <w:sz w:val="20"/>
                <w:szCs w:val="20"/>
              </w:rPr>
            </w:pPr>
            <w:r w:rsidRPr="009B73B7">
              <w:rPr>
                <w:rFonts w:ascii="Calibri" w:eastAsia="Calibri" w:hAnsi="Calibri" w:cs="Times New Roman"/>
                <w:b/>
                <w:bCs/>
                <w:color w:val="FFFFFF"/>
                <w:sz w:val="20"/>
                <w:szCs w:val="20"/>
              </w:rPr>
              <w:t xml:space="preserve">Illinois Statewide TRM Version </w:t>
            </w:r>
            <w:r>
              <w:rPr>
                <w:rFonts w:ascii="Calibri" w:eastAsia="Calibri" w:hAnsi="Calibri" w:cs="Times New Roman"/>
                <w:b/>
                <w:bCs/>
                <w:color w:val="FFFFFF"/>
                <w:sz w:val="20"/>
                <w:szCs w:val="20"/>
              </w:rPr>
              <w:t>15</w:t>
            </w:r>
            <w:r w:rsidRPr="009B73B7">
              <w:rPr>
                <w:rFonts w:ascii="Calibri" w:eastAsia="Calibri" w:hAnsi="Calibri" w:cs="Times New Roman"/>
                <w:b/>
                <w:bCs/>
                <w:color w:val="FFFFFF"/>
                <w:sz w:val="20"/>
                <w:szCs w:val="20"/>
              </w:rPr>
              <w:t>.0 Update: Comparison Exhibit of Non-Consensus Issues</w:t>
            </w:r>
          </w:p>
        </w:tc>
      </w:tr>
      <w:tr w:rsidR="00EB6B23" w:rsidRPr="009B73B7" w14:paraId="22647B3D" w14:textId="77777777" w:rsidTr="00701EB7">
        <w:trPr>
          <w:tblHeader/>
        </w:trPr>
        <w:tc>
          <w:tcPr>
            <w:tcW w:w="5000" w:type="pct"/>
            <w:gridSpan w:val="3"/>
          </w:tcPr>
          <w:p w14:paraId="79D95A27" w14:textId="2DBA07BD" w:rsidR="00EB6B23" w:rsidRPr="00ED2A3F" w:rsidRDefault="00EB6B23" w:rsidP="00EB6B23">
            <w:pPr>
              <w:spacing w:after="120"/>
              <w:rPr>
                <w:b/>
                <w:bCs/>
                <w:sz w:val="20"/>
                <w:u w:val="single"/>
              </w:rPr>
            </w:pPr>
            <w:r>
              <w:rPr>
                <w:rFonts w:ascii="Calibri" w:eastAsia="Calibri" w:hAnsi="Calibri" w:cs="Times New Roman"/>
                <w:b/>
                <w:bCs/>
                <w:sz w:val="20"/>
                <w:szCs w:val="20"/>
              </w:rPr>
              <w:t>Policy Question</w:t>
            </w:r>
            <w:r w:rsidRPr="009B73B7">
              <w:rPr>
                <w:rFonts w:ascii="Calibri" w:eastAsia="Calibri" w:hAnsi="Calibri" w:cs="Times New Roman"/>
                <w:b/>
                <w:bCs/>
                <w:sz w:val="20"/>
                <w:szCs w:val="20"/>
              </w:rPr>
              <w:t xml:space="preserve">: </w:t>
            </w:r>
            <w:r w:rsidRPr="00EB6B23">
              <w:rPr>
                <w:b/>
                <w:bCs/>
                <w:sz w:val="20"/>
              </w:rPr>
              <w:t>Please explain how your recommended technical treatment relates to the savings-preservation language in Sec. 21.8(f), without offering a legal conclusion, and in particular to distinguish between (i) the preservation of persisting savings from prior installations, (ii) the continued provision of rebates, recycling, and lawful targeted lighting services, and (iii) the eligibility of new prospective savings claims after the sales prohibition takes effect.</w:t>
            </w:r>
          </w:p>
        </w:tc>
      </w:tr>
      <w:tr w:rsidR="00EB6B23" w:rsidRPr="009B73B7" w14:paraId="53D7DEEC" w14:textId="77777777" w:rsidTr="00701EB7">
        <w:trPr>
          <w:tblHeader/>
        </w:trPr>
        <w:tc>
          <w:tcPr>
            <w:tcW w:w="415" w:type="pct"/>
            <w:vAlign w:val="center"/>
          </w:tcPr>
          <w:p w14:paraId="03D88A63" w14:textId="77777777" w:rsidR="00EB6B23" w:rsidRPr="009B73B7" w:rsidRDefault="00EB6B23" w:rsidP="00701EB7">
            <w:pPr>
              <w:jc w:val="center"/>
              <w:rPr>
                <w:rFonts w:ascii="Calibri" w:eastAsia="Calibri" w:hAnsi="Calibri" w:cs="Times New Roman"/>
                <w:b/>
                <w:bCs/>
                <w:sz w:val="20"/>
                <w:szCs w:val="20"/>
              </w:rPr>
            </w:pPr>
            <w:r w:rsidRPr="009B73B7">
              <w:rPr>
                <w:rFonts w:ascii="Calibri" w:eastAsia="Calibri" w:hAnsi="Calibri" w:cs="Times New Roman"/>
                <w:b/>
                <w:bCs/>
                <w:sz w:val="20"/>
                <w:szCs w:val="20"/>
              </w:rPr>
              <w:t>Position</w:t>
            </w:r>
          </w:p>
        </w:tc>
        <w:tc>
          <w:tcPr>
            <w:tcW w:w="4083" w:type="pct"/>
            <w:vAlign w:val="center"/>
          </w:tcPr>
          <w:p w14:paraId="2541A66C" w14:textId="77777777" w:rsidR="00EB6B23" w:rsidRPr="009B73B7" w:rsidRDefault="00EB6B23" w:rsidP="00701EB7">
            <w:pPr>
              <w:jc w:val="center"/>
              <w:rPr>
                <w:rFonts w:ascii="Calibri" w:eastAsia="Calibri" w:hAnsi="Calibri" w:cs="Times New Roman"/>
                <w:b/>
                <w:bCs/>
                <w:sz w:val="20"/>
                <w:szCs w:val="20"/>
              </w:rPr>
            </w:pPr>
            <w:r w:rsidRPr="009B73B7">
              <w:rPr>
                <w:rFonts w:ascii="Calibri" w:eastAsia="Calibri" w:hAnsi="Calibri" w:cs="Times New Roman"/>
                <w:b/>
                <w:bCs/>
                <w:sz w:val="20"/>
                <w:szCs w:val="20"/>
              </w:rPr>
              <w:t>Rationale</w:t>
            </w:r>
          </w:p>
        </w:tc>
        <w:tc>
          <w:tcPr>
            <w:tcW w:w="502" w:type="pct"/>
            <w:vAlign w:val="center"/>
          </w:tcPr>
          <w:p w14:paraId="629A4863" w14:textId="77777777" w:rsidR="00EB6B23" w:rsidRPr="009B73B7" w:rsidRDefault="00EB6B23" w:rsidP="00701EB7">
            <w:pPr>
              <w:jc w:val="center"/>
              <w:rPr>
                <w:rFonts w:ascii="Calibri" w:eastAsia="Calibri" w:hAnsi="Calibri" w:cs="Times New Roman"/>
                <w:b/>
                <w:bCs/>
                <w:sz w:val="20"/>
                <w:szCs w:val="20"/>
              </w:rPr>
            </w:pPr>
            <w:r w:rsidRPr="009B73B7">
              <w:rPr>
                <w:rFonts w:ascii="Calibri" w:eastAsia="Calibri" w:hAnsi="Calibri" w:cs="Times New Roman"/>
                <w:b/>
                <w:bCs/>
                <w:sz w:val="20"/>
                <w:szCs w:val="20"/>
              </w:rPr>
              <w:t>Supporting Stakeholders</w:t>
            </w:r>
          </w:p>
        </w:tc>
      </w:tr>
      <w:tr w:rsidR="00EB6B23" w:rsidRPr="009B73B7" w14:paraId="11CF4C03" w14:textId="77777777" w:rsidTr="00701EB7">
        <w:tc>
          <w:tcPr>
            <w:tcW w:w="415" w:type="pct"/>
          </w:tcPr>
          <w:p w14:paraId="1B8FDF39" w14:textId="76770B64" w:rsidR="00EB6B23" w:rsidRPr="00E11FA6" w:rsidRDefault="000542A7" w:rsidP="00701EB7">
            <w:pPr>
              <w:jc w:val="center"/>
              <w:rPr>
                <w:rFonts w:ascii="Calibri" w:eastAsia="Calibri" w:hAnsi="Calibri" w:cs="Times New Roman"/>
                <w:sz w:val="20"/>
                <w:szCs w:val="20"/>
              </w:rPr>
            </w:pPr>
            <w:r>
              <w:rPr>
                <w:rFonts w:ascii="Calibri" w:eastAsia="Calibri" w:hAnsi="Calibri" w:cs="Times New Roman"/>
                <w:sz w:val="20"/>
                <w:szCs w:val="20"/>
              </w:rPr>
              <w:t>ComEd</w:t>
            </w:r>
          </w:p>
        </w:tc>
        <w:tc>
          <w:tcPr>
            <w:tcW w:w="4083" w:type="pct"/>
          </w:tcPr>
          <w:p w14:paraId="79735F3A" w14:textId="5211A45F" w:rsidR="00EB6B23" w:rsidRPr="00E11FA6" w:rsidRDefault="000542A7" w:rsidP="00701EB7">
            <w:pPr>
              <w:spacing w:after="120"/>
              <w:rPr>
                <w:rFonts w:ascii="Calibri" w:eastAsia="Calibri" w:hAnsi="Calibri" w:cs="Calibri"/>
                <w:color w:val="000000"/>
                <w:sz w:val="20"/>
                <w:szCs w:val="20"/>
              </w:rPr>
            </w:pPr>
            <w:r w:rsidRPr="000542A7">
              <w:rPr>
                <w:rFonts w:ascii="Calibri" w:eastAsia="Calibri" w:hAnsi="Calibri" w:cs="Calibri"/>
                <w:color w:val="000000"/>
                <w:sz w:val="20"/>
                <w:szCs w:val="20"/>
              </w:rPr>
              <w:t>The law does not make the distinctions presented by VEIC; rather, it is clear that nothing shall limit utility savings relative to fluorescent lamps, regardless of installation (prior, current, or future) time periods. The IL-TRM may not be updated based on the prohibitions in the Clean Lighting Act, and there are no other reasons to update the baselines, now or in the future.</w:t>
            </w:r>
          </w:p>
        </w:tc>
        <w:tc>
          <w:tcPr>
            <w:tcW w:w="502" w:type="pct"/>
          </w:tcPr>
          <w:p w14:paraId="5A1925E3" w14:textId="77777777" w:rsidR="00EB6B23" w:rsidRPr="00E11FA6" w:rsidRDefault="00EB6B23" w:rsidP="00701EB7">
            <w:pPr>
              <w:rPr>
                <w:rFonts w:ascii="Calibri" w:eastAsia="Calibri" w:hAnsi="Calibri" w:cs="Times New Roman"/>
                <w:sz w:val="20"/>
                <w:szCs w:val="20"/>
              </w:rPr>
            </w:pPr>
          </w:p>
        </w:tc>
      </w:tr>
      <w:tr w:rsidR="00EB6B23" w:rsidRPr="009B73B7" w14:paraId="50976B24" w14:textId="77777777" w:rsidTr="00701EB7">
        <w:tc>
          <w:tcPr>
            <w:tcW w:w="415" w:type="pct"/>
          </w:tcPr>
          <w:p w14:paraId="58A3BAB2" w14:textId="0CB93088" w:rsidR="00EB6B23" w:rsidRPr="00E11FA6" w:rsidRDefault="005E52FF" w:rsidP="00701EB7">
            <w:pPr>
              <w:jc w:val="center"/>
              <w:rPr>
                <w:rFonts w:ascii="Calibri" w:eastAsia="Calibri" w:hAnsi="Calibri" w:cs="Times New Roman"/>
                <w:sz w:val="20"/>
                <w:szCs w:val="20"/>
              </w:rPr>
            </w:pPr>
            <w:r>
              <w:rPr>
                <w:rFonts w:ascii="Calibri" w:eastAsia="Calibri" w:hAnsi="Calibri" w:cs="Times New Roman"/>
                <w:sz w:val="20"/>
                <w:szCs w:val="20"/>
              </w:rPr>
              <w:t>Ameren Illinois</w:t>
            </w:r>
          </w:p>
        </w:tc>
        <w:tc>
          <w:tcPr>
            <w:tcW w:w="4083" w:type="pct"/>
          </w:tcPr>
          <w:p w14:paraId="1B69F48D" w14:textId="6169B053" w:rsidR="005E52FF" w:rsidRPr="005E52FF" w:rsidRDefault="005E52FF" w:rsidP="005E52FF">
            <w:pPr>
              <w:spacing w:after="120"/>
              <w:rPr>
                <w:rFonts w:ascii="Calibri" w:eastAsia="Calibri" w:hAnsi="Calibri" w:cs="Times New Roman"/>
                <w:sz w:val="20"/>
                <w:szCs w:val="20"/>
              </w:rPr>
            </w:pPr>
            <w:r w:rsidRPr="005E52FF">
              <w:rPr>
                <w:rFonts w:ascii="Calibri" w:eastAsia="Calibri" w:hAnsi="Calibri" w:cs="Times New Roman"/>
                <w:sz w:val="20"/>
                <w:szCs w:val="20"/>
              </w:rPr>
              <w:t xml:space="preserve">Ameren Illinois' recommended technical treatment recognizes three related but distinct concepts reflected in Section 21.8(f). </w:t>
            </w:r>
          </w:p>
          <w:p w14:paraId="46E240D6" w14:textId="5FC9398D" w:rsidR="005E52FF" w:rsidRPr="005E52FF" w:rsidRDefault="005E52FF" w:rsidP="005E52FF">
            <w:pPr>
              <w:spacing w:after="120"/>
              <w:rPr>
                <w:rFonts w:ascii="Calibri" w:eastAsia="Calibri" w:hAnsi="Calibri" w:cs="Times New Roman"/>
                <w:sz w:val="20"/>
                <w:szCs w:val="20"/>
              </w:rPr>
            </w:pPr>
            <w:r w:rsidRPr="005E52FF">
              <w:rPr>
                <w:rFonts w:ascii="Calibri" w:eastAsia="Calibri" w:hAnsi="Calibri" w:cs="Times New Roman"/>
                <w:sz w:val="20"/>
                <w:szCs w:val="20"/>
              </w:rPr>
              <w:t xml:space="preserve">First, persisting savings from prior installations should continue to be recognized for the duration of their established measure lives. </w:t>
            </w:r>
          </w:p>
          <w:p w14:paraId="18AD689C" w14:textId="27765BA8" w:rsidR="005E52FF" w:rsidRPr="005E52FF" w:rsidRDefault="005E52FF" w:rsidP="005E52FF">
            <w:pPr>
              <w:spacing w:after="120"/>
              <w:rPr>
                <w:rFonts w:ascii="Calibri" w:eastAsia="Calibri" w:hAnsi="Calibri" w:cs="Times New Roman"/>
                <w:sz w:val="20"/>
                <w:szCs w:val="20"/>
              </w:rPr>
            </w:pPr>
            <w:r w:rsidRPr="005E52FF">
              <w:rPr>
                <w:rFonts w:ascii="Calibri" w:eastAsia="Calibri" w:hAnsi="Calibri" w:cs="Times New Roman"/>
                <w:sz w:val="20"/>
                <w:szCs w:val="20"/>
              </w:rPr>
              <w:t xml:space="preserve">Second, the statute contemplates the continued provision of lighting rebates, recycling services, and other lighting-related program offerings, indicating that fluorescent technology remains relevant within energy efficiency programs following implementation of the sales prohibition. </w:t>
            </w:r>
          </w:p>
          <w:p w14:paraId="535BC9B6" w14:textId="3197E9EF" w:rsidR="005E52FF" w:rsidRPr="005E52FF" w:rsidRDefault="005E52FF" w:rsidP="005E52FF">
            <w:pPr>
              <w:spacing w:after="120"/>
              <w:rPr>
                <w:rFonts w:ascii="Calibri" w:eastAsia="Calibri" w:hAnsi="Calibri" w:cs="Times New Roman"/>
                <w:sz w:val="20"/>
                <w:szCs w:val="20"/>
              </w:rPr>
            </w:pPr>
            <w:r w:rsidRPr="005E52FF">
              <w:rPr>
                <w:rFonts w:ascii="Calibri" w:eastAsia="Calibri" w:hAnsi="Calibri" w:cs="Times New Roman"/>
                <w:sz w:val="20"/>
                <w:szCs w:val="20"/>
              </w:rPr>
              <w:t xml:space="preserve">Third, with respect to new prospective savings claims, the sales prohibition does not necessarily eliminate fluorescent technology as a reasonable baseline assumption. Existing fluorescent systems will remain in operation for many years, customers are likely to maintain inventories through normal stocking practices, and fluorescent products may continue to be available through national procurement channels and out-of-state suppliers. As a result, fluorescent technology may continue to represent a realistic customer alternative and baseline condition after January 1, 2027. </w:t>
            </w:r>
          </w:p>
          <w:p w14:paraId="1C3E33EE" w14:textId="03563CCA" w:rsidR="00EB6B23" w:rsidRPr="00E11FA6" w:rsidRDefault="005E52FF" w:rsidP="005E52FF">
            <w:pPr>
              <w:spacing w:after="120"/>
              <w:rPr>
                <w:rFonts w:ascii="Calibri" w:eastAsia="Calibri" w:hAnsi="Calibri" w:cs="Times New Roman"/>
                <w:sz w:val="20"/>
                <w:szCs w:val="20"/>
              </w:rPr>
            </w:pPr>
            <w:r w:rsidRPr="005E52FF">
              <w:rPr>
                <w:rFonts w:ascii="Calibri" w:eastAsia="Calibri" w:hAnsi="Calibri" w:cs="Times New Roman"/>
                <w:sz w:val="20"/>
                <w:szCs w:val="20"/>
              </w:rPr>
              <w:t>Accordingly, baseline assumptions should continue to be based on actual market conditions and realistic customer options rather than on the existence of the sales prohibition alone.</w:t>
            </w:r>
          </w:p>
        </w:tc>
        <w:tc>
          <w:tcPr>
            <w:tcW w:w="502" w:type="pct"/>
          </w:tcPr>
          <w:p w14:paraId="195AEF34" w14:textId="77777777" w:rsidR="00EB6B23" w:rsidRPr="00E11FA6" w:rsidRDefault="00EB6B23" w:rsidP="00701EB7">
            <w:pPr>
              <w:rPr>
                <w:rFonts w:ascii="Calibri" w:eastAsia="Calibri" w:hAnsi="Calibri" w:cs="Times New Roman"/>
                <w:sz w:val="20"/>
                <w:szCs w:val="20"/>
              </w:rPr>
            </w:pPr>
          </w:p>
        </w:tc>
      </w:tr>
      <w:tr w:rsidR="00EB6B23" w:rsidRPr="009B73B7" w14:paraId="607BF55F" w14:textId="77777777" w:rsidTr="00701EB7">
        <w:tc>
          <w:tcPr>
            <w:tcW w:w="415" w:type="pct"/>
          </w:tcPr>
          <w:p w14:paraId="5BF62855" w14:textId="0D70AB2E" w:rsidR="00EB6B23" w:rsidRPr="00E11FA6" w:rsidRDefault="004964B8" w:rsidP="00701EB7">
            <w:pPr>
              <w:jc w:val="center"/>
              <w:rPr>
                <w:rFonts w:ascii="Calibri" w:eastAsia="Calibri" w:hAnsi="Calibri" w:cs="Times New Roman"/>
                <w:sz w:val="20"/>
                <w:szCs w:val="20"/>
              </w:rPr>
            </w:pPr>
            <w:r>
              <w:rPr>
                <w:rFonts w:ascii="Calibri" w:eastAsia="Calibri" w:hAnsi="Calibri" w:cs="Times New Roman"/>
                <w:sz w:val="20"/>
                <w:szCs w:val="20"/>
              </w:rPr>
              <w:t>Office of the Illinois Attorney General</w:t>
            </w:r>
          </w:p>
        </w:tc>
        <w:tc>
          <w:tcPr>
            <w:tcW w:w="4083" w:type="pct"/>
          </w:tcPr>
          <w:p w14:paraId="593A9668" w14:textId="14C8BE1B" w:rsidR="004964B8" w:rsidRPr="004964B8" w:rsidRDefault="004964B8" w:rsidP="004964B8">
            <w:pPr>
              <w:spacing w:after="120"/>
              <w:rPr>
                <w:rFonts w:ascii="Calibri" w:eastAsia="Calibri" w:hAnsi="Calibri" w:cs="Times New Roman"/>
                <w:sz w:val="20"/>
                <w:szCs w:val="20"/>
              </w:rPr>
            </w:pPr>
            <w:r w:rsidRPr="004964B8">
              <w:rPr>
                <w:rFonts w:ascii="Calibri" w:eastAsia="Calibri" w:hAnsi="Calibri" w:cs="Times New Roman"/>
                <w:sz w:val="20"/>
                <w:szCs w:val="20"/>
              </w:rPr>
              <w:t xml:space="preserve">Fluorescent technology may continue to serve as the baseline for measures installed before January 1, 2027 for the purposes of persisting savings. Utilities may not continue to provide rebates, recycling, or targeted lighting services using fluorescent technology as the baseline after January 1, 2027 except under the limited circumstances described in the previous response. New savings may be claimed after the sales prohibition is effective under the limited circumstances described in the previous response.  </w:t>
            </w:r>
          </w:p>
          <w:p w14:paraId="0D762012" w14:textId="37A8FAA9" w:rsidR="00EB6B23" w:rsidRPr="00E11FA6" w:rsidRDefault="004964B8" w:rsidP="004964B8">
            <w:pPr>
              <w:spacing w:after="120"/>
              <w:rPr>
                <w:rFonts w:ascii="Calibri" w:eastAsia="Calibri" w:hAnsi="Calibri" w:cs="Times New Roman"/>
                <w:sz w:val="20"/>
                <w:szCs w:val="20"/>
              </w:rPr>
            </w:pPr>
            <w:r w:rsidRPr="004964B8">
              <w:rPr>
                <w:rFonts w:ascii="Calibri" w:eastAsia="Calibri" w:hAnsi="Calibri" w:cs="Times New Roman"/>
                <w:sz w:val="20"/>
                <w:szCs w:val="20"/>
              </w:rPr>
              <w:t xml:space="preserve">Additionally, the AG offers the following question: May a mechanism similar to the midlife adjustment that was developed for the phase-out of T12 technologies be utilized to navigate the phase-out of fluorescents?  </w:t>
            </w:r>
          </w:p>
        </w:tc>
        <w:tc>
          <w:tcPr>
            <w:tcW w:w="502" w:type="pct"/>
          </w:tcPr>
          <w:p w14:paraId="07B90831" w14:textId="77777777" w:rsidR="00EB6B23" w:rsidRPr="00E11FA6" w:rsidRDefault="00EB6B23" w:rsidP="00701EB7">
            <w:pPr>
              <w:rPr>
                <w:rFonts w:ascii="Calibri" w:eastAsia="Calibri" w:hAnsi="Calibri" w:cs="Times New Roman"/>
                <w:sz w:val="20"/>
                <w:szCs w:val="20"/>
              </w:rPr>
            </w:pPr>
          </w:p>
        </w:tc>
      </w:tr>
      <w:tr w:rsidR="00EB6B23" w:rsidRPr="009B73B7" w14:paraId="325F0AFF" w14:textId="77777777" w:rsidTr="00701EB7">
        <w:tc>
          <w:tcPr>
            <w:tcW w:w="415" w:type="pct"/>
          </w:tcPr>
          <w:p w14:paraId="0E8138D9" w14:textId="77777777" w:rsidR="00EB6B23" w:rsidRPr="00E11FA6" w:rsidRDefault="00EB6B23" w:rsidP="00701EB7">
            <w:pPr>
              <w:jc w:val="center"/>
              <w:rPr>
                <w:rFonts w:ascii="Calibri" w:eastAsia="Calibri" w:hAnsi="Calibri" w:cs="Times New Roman"/>
                <w:sz w:val="20"/>
                <w:szCs w:val="20"/>
              </w:rPr>
            </w:pPr>
          </w:p>
        </w:tc>
        <w:tc>
          <w:tcPr>
            <w:tcW w:w="4083" w:type="pct"/>
          </w:tcPr>
          <w:p w14:paraId="0E6E8F90" w14:textId="77777777" w:rsidR="00EB6B23" w:rsidRPr="00E11FA6" w:rsidRDefault="00EB6B23" w:rsidP="00701EB7">
            <w:pPr>
              <w:spacing w:after="120"/>
              <w:rPr>
                <w:rFonts w:ascii="Calibri" w:eastAsia="Calibri" w:hAnsi="Calibri" w:cs="Times New Roman"/>
                <w:sz w:val="20"/>
                <w:szCs w:val="20"/>
              </w:rPr>
            </w:pPr>
          </w:p>
        </w:tc>
        <w:tc>
          <w:tcPr>
            <w:tcW w:w="502" w:type="pct"/>
          </w:tcPr>
          <w:p w14:paraId="428639AA" w14:textId="77777777" w:rsidR="00EB6B23" w:rsidRPr="00E11FA6" w:rsidRDefault="00EB6B23" w:rsidP="00701EB7">
            <w:pPr>
              <w:rPr>
                <w:rFonts w:ascii="Calibri" w:eastAsia="Calibri" w:hAnsi="Calibri" w:cs="Times New Roman"/>
                <w:sz w:val="20"/>
                <w:szCs w:val="20"/>
              </w:rPr>
            </w:pPr>
          </w:p>
        </w:tc>
      </w:tr>
      <w:tr w:rsidR="00EB6B23" w:rsidRPr="009B73B7" w14:paraId="081AE56C" w14:textId="77777777" w:rsidTr="00701EB7">
        <w:tc>
          <w:tcPr>
            <w:tcW w:w="415" w:type="pct"/>
          </w:tcPr>
          <w:p w14:paraId="0335A31F" w14:textId="77777777" w:rsidR="00EB6B23" w:rsidRPr="00E11FA6" w:rsidRDefault="00EB6B23" w:rsidP="00701EB7">
            <w:pPr>
              <w:jc w:val="center"/>
              <w:rPr>
                <w:rFonts w:ascii="Calibri" w:eastAsia="Calibri" w:hAnsi="Calibri" w:cs="Times New Roman"/>
                <w:sz w:val="20"/>
                <w:szCs w:val="20"/>
              </w:rPr>
            </w:pPr>
          </w:p>
        </w:tc>
        <w:tc>
          <w:tcPr>
            <w:tcW w:w="4083" w:type="pct"/>
          </w:tcPr>
          <w:p w14:paraId="3BBF7E81" w14:textId="77777777" w:rsidR="00EB6B23" w:rsidRPr="00E11FA6" w:rsidRDefault="00EB6B23" w:rsidP="00701EB7">
            <w:pPr>
              <w:rPr>
                <w:rFonts w:ascii="Calibri" w:eastAsia="Calibri" w:hAnsi="Calibri" w:cs="Times New Roman"/>
                <w:sz w:val="20"/>
                <w:szCs w:val="20"/>
              </w:rPr>
            </w:pPr>
          </w:p>
        </w:tc>
        <w:tc>
          <w:tcPr>
            <w:tcW w:w="502" w:type="pct"/>
          </w:tcPr>
          <w:p w14:paraId="3C64F514" w14:textId="77777777" w:rsidR="00EB6B23" w:rsidRPr="00E11FA6" w:rsidRDefault="00EB6B23" w:rsidP="00701EB7">
            <w:pPr>
              <w:rPr>
                <w:rFonts w:ascii="Calibri" w:eastAsia="Calibri" w:hAnsi="Calibri" w:cs="Times New Roman"/>
                <w:sz w:val="20"/>
                <w:szCs w:val="20"/>
              </w:rPr>
            </w:pPr>
          </w:p>
        </w:tc>
      </w:tr>
      <w:tr w:rsidR="00EB6B23" w:rsidRPr="009B73B7" w14:paraId="4DC04475" w14:textId="77777777" w:rsidTr="00701EB7">
        <w:tc>
          <w:tcPr>
            <w:tcW w:w="415" w:type="pct"/>
          </w:tcPr>
          <w:p w14:paraId="0AE01BF5" w14:textId="77777777" w:rsidR="00EB6B23" w:rsidRPr="00E11FA6" w:rsidRDefault="00EB6B23" w:rsidP="00701EB7">
            <w:pPr>
              <w:jc w:val="center"/>
              <w:rPr>
                <w:rFonts w:ascii="Calibri" w:eastAsia="Calibri" w:hAnsi="Calibri" w:cs="Times New Roman"/>
                <w:sz w:val="20"/>
                <w:szCs w:val="20"/>
              </w:rPr>
            </w:pPr>
          </w:p>
        </w:tc>
        <w:tc>
          <w:tcPr>
            <w:tcW w:w="4083" w:type="pct"/>
          </w:tcPr>
          <w:p w14:paraId="529D3090" w14:textId="77777777" w:rsidR="00EB6B23" w:rsidRPr="00E11FA6" w:rsidRDefault="00EB6B23" w:rsidP="00701EB7">
            <w:pPr>
              <w:spacing w:after="120"/>
              <w:rPr>
                <w:rFonts w:ascii="Calibri" w:eastAsia="Calibri" w:hAnsi="Calibri" w:cs="Times New Roman"/>
                <w:sz w:val="20"/>
                <w:szCs w:val="20"/>
              </w:rPr>
            </w:pPr>
          </w:p>
        </w:tc>
        <w:tc>
          <w:tcPr>
            <w:tcW w:w="502" w:type="pct"/>
          </w:tcPr>
          <w:p w14:paraId="735CE4BE" w14:textId="77777777" w:rsidR="00EB6B23" w:rsidRPr="00E11FA6" w:rsidRDefault="00EB6B23" w:rsidP="00701EB7">
            <w:pPr>
              <w:rPr>
                <w:rFonts w:ascii="Calibri" w:eastAsia="Calibri" w:hAnsi="Calibri" w:cs="Times New Roman"/>
                <w:sz w:val="20"/>
                <w:szCs w:val="20"/>
              </w:rPr>
            </w:pPr>
          </w:p>
        </w:tc>
      </w:tr>
      <w:tr w:rsidR="00EB6B23" w:rsidRPr="009B73B7" w14:paraId="2CBBE349" w14:textId="77777777" w:rsidTr="00701EB7">
        <w:tc>
          <w:tcPr>
            <w:tcW w:w="415" w:type="pct"/>
          </w:tcPr>
          <w:p w14:paraId="640F2B05" w14:textId="77777777" w:rsidR="00EB6B23" w:rsidRPr="00E11FA6" w:rsidRDefault="00EB6B23" w:rsidP="00701EB7">
            <w:pPr>
              <w:jc w:val="center"/>
              <w:rPr>
                <w:rFonts w:ascii="Calibri" w:eastAsia="Calibri" w:hAnsi="Calibri" w:cs="Times New Roman"/>
                <w:sz w:val="20"/>
                <w:szCs w:val="20"/>
              </w:rPr>
            </w:pPr>
          </w:p>
        </w:tc>
        <w:tc>
          <w:tcPr>
            <w:tcW w:w="4083" w:type="pct"/>
          </w:tcPr>
          <w:p w14:paraId="34F25BF3" w14:textId="77777777" w:rsidR="00EB6B23" w:rsidRPr="00E11FA6" w:rsidRDefault="00EB6B23" w:rsidP="00701EB7">
            <w:pPr>
              <w:spacing w:after="120"/>
              <w:rPr>
                <w:rFonts w:ascii="Calibri" w:eastAsia="Calibri" w:hAnsi="Calibri" w:cs="Times New Roman"/>
                <w:sz w:val="20"/>
                <w:szCs w:val="20"/>
                <w:u w:val="single"/>
              </w:rPr>
            </w:pPr>
          </w:p>
        </w:tc>
        <w:tc>
          <w:tcPr>
            <w:tcW w:w="502" w:type="pct"/>
          </w:tcPr>
          <w:p w14:paraId="50BE39CA" w14:textId="77777777" w:rsidR="00EB6B23" w:rsidRPr="00E11FA6" w:rsidRDefault="00EB6B23" w:rsidP="00701EB7">
            <w:pPr>
              <w:rPr>
                <w:rFonts w:ascii="Calibri" w:eastAsia="Calibri" w:hAnsi="Calibri" w:cs="Times New Roman"/>
                <w:sz w:val="20"/>
                <w:szCs w:val="20"/>
              </w:rPr>
            </w:pPr>
          </w:p>
        </w:tc>
      </w:tr>
      <w:tr w:rsidR="00EB6B23" w:rsidRPr="009B73B7" w14:paraId="67F89966" w14:textId="77777777" w:rsidTr="00701EB7">
        <w:tc>
          <w:tcPr>
            <w:tcW w:w="415" w:type="pct"/>
          </w:tcPr>
          <w:p w14:paraId="3F0B2662" w14:textId="77777777" w:rsidR="00EB6B23" w:rsidRPr="00E11FA6" w:rsidRDefault="00EB6B23" w:rsidP="00701EB7">
            <w:pPr>
              <w:jc w:val="center"/>
              <w:rPr>
                <w:rFonts w:ascii="Calibri" w:eastAsia="Calibri" w:hAnsi="Calibri" w:cs="Times New Roman"/>
                <w:sz w:val="20"/>
                <w:szCs w:val="20"/>
              </w:rPr>
            </w:pPr>
          </w:p>
        </w:tc>
        <w:tc>
          <w:tcPr>
            <w:tcW w:w="4083" w:type="pct"/>
          </w:tcPr>
          <w:p w14:paraId="29CC66A7" w14:textId="77777777" w:rsidR="00EB6B23" w:rsidRPr="00E11FA6" w:rsidRDefault="00EB6B23" w:rsidP="00701EB7">
            <w:pPr>
              <w:spacing w:after="120"/>
              <w:rPr>
                <w:rFonts w:ascii="Calibri" w:eastAsia="Calibri" w:hAnsi="Calibri" w:cs="Times New Roman"/>
                <w:sz w:val="20"/>
                <w:szCs w:val="20"/>
              </w:rPr>
            </w:pPr>
          </w:p>
        </w:tc>
        <w:tc>
          <w:tcPr>
            <w:tcW w:w="502" w:type="pct"/>
          </w:tcPr>
          <w:p w14:paraId="218AE179" w14:textId="77777777" w:rsidR="00EB6B23" w:rsidRPr="00E11FA6" w:rsidRDefault="00EB6B23" w:rsidP="00701EB7">
            <w:pPr>
              <w:rPr>
                <w:rFonts w:ascii="Calibri" w:eastAsia="Calibri" w:hAnsi="Calibri" w:cs="Times New Roman"/>
                <w:sz w:val="20"/>
                <w:szCs w:val="20"/>
              </w:rPr>
            </w:pPr>
          </w:p>
        </w:tc>
      </w:tr>
    </w:tbl>
    <w:p w14:paraId="2B6D40BE" w14:textId="77777777" w:rsidR="00951B8A" w:rsidRDefault="00951B8A" w:rsidP="001F4B76">
      <w:pPr>
        <w:pStyle w:val="Heading1"/>
        <w:sectPr w:rsidR="00951B8A" w:rsidSect="00027911">
          <w:pgSz w:w="15840" w:h="12240" w:orient="landscape"/>
          <w:pgMar w:top="720" w:right="720" w:bottom="720" w:left="720" w:header="720" w:footer="720" w:gutter="0"/>
          <w:cols w:space="720"/>
          <w:docGrid w:linePitch="360"/>
        </w:sectPr>
      </w:pPr>
    </w:p>
    <w:p w14:paraId="72B47E65" w14:textId="77777777" w:rsidR="001F4B76" w:rsidRDefault="001F4B76">
      <w:pPr>
        <w:rPr>
          <w:rFonts w:ascii="Calibri" w:eastAsia="Times New Roman" w:hAnsi="Calibri" w:cs="Arial"/>
          <w:bCs/>
          <w:iCs/>
          <w:sz w:val="32"/>
          <w:szCs w:val="28"/>
        </w:rPr>
      </w:pPr>
    </w:p>
    <w:p w14:paraId="3BB8B2DD" w14:textId="26C77FC0" w:rsidR="006A5198" w:rsidRDefault="006A5198" w:rsidP="001F4B76">
      <w:pPr>
        <w:pStyle w:val="Heading1"/>
        <w:ind w:left="432" w:hanging="432"/>
      </w:pPr>
      <w:r w:rsidRPr="00CB205A">
        <w:t>APPENDIX</w:t>
      </w:r>
      <w:r>
        <w:t xml:space="preserve"> </w:t>
      </w:r>
      <w:r w:rsidR="00B60465">
        <w:t>A</w:t>
      </w:r>
      <w:r w:rsidR="000D0070">
        <w:t xml:space="preserve">:  </w:t>
      </w:r>
      <w:r w:rsidR="0024717B">
        <w:t xml:space="preserve">TRM Characterization </w:t>
      </w:r>
    </w:p>
    <w:p w14:paraId="1CCC0421" w14:textId="77777777" w:rsidR="0065191F" w:rsidRDefault="0065191F" w:rsidP="0065191F">
      <w:pPr>
        <w:pStyle w:val="ListParagraph"/>
      </w:pPr>
    </w:p>
    <w:p w14:paraId="1D985D74" w14:textId="143133AD" w:rsidR="002815D4" w:rsidRPr="002815D4" w:rsidRDefault="0024717B" w:rsidP="002815D4">
      <w:pPr>
        <w:numPr>
          <w:ilvl w:val="2"/>
          <w:numId w:val="0"/>
        </w:numPr>
        <w:spacing w:before="120" w:after="120"/>
        <w:ind w:left="720" w:hanging="720"/>
        <w:jc w:val="both"/>
        <w:outlineLvl w:val="2"/>
        <w:rPr>
          <w:rFonts w:ascii="Calibri" w:eastAsia="Yu Mincho" w:hAnsi="Calibri" w:cs="Arial"/>
          <w:bCs/>
          <w:sz w:val="24"/>
          <w:szCs w:val="24"/>
        </w:rPr>
      </w:pPr>
      <w:bookmarkStart w:id="3" w:name="_Toc437855238"/>
      <w:bookmarkStart w:id="4" w:name="_Toc315447643"/>
      <w:bookmarkStart w:id="5" w:name="_Ref325900086"/>
      <w:bookmarkStart w:id="6" w:name="_Ref325900094"/>
      <w:bookmarkStart w:id="7" w:name="_Ref325900172"/>
      <w:bookmarkStart w:id="8" w:name="_Ref325900179"/>
      <w:bookmarkStart w:id="9" w:name="_Toc325918727"/>
      <w:bookmarkStart w:id="10" w:name="_Ref329777840"/>
      <w:bookmarkStart w:id="11" w:name="_Ref329777847"/>
      <w:bookmarkStart w:id="12" w:name="_Toc333219050"/>
      <w:bookmarkStart w:id="13" w:name="_Ref355960961"/>
      <w:bookmarkStart w:id="14" w:name="_Ref406677058"/>
      <w:bookmarkStart w:id="15" w:name="_Toc437608351"/>
      <w:bookmarkStart w:id="16" w:name="_Toc466463551"/>
      <w:bookmarkStart w:id="17" w:name="_Toc207897340"/>
      <w:bookmarkStart w:id="18" w:name="_Hlk521588755"/>
      <w:r>
        <w:rPr>
          <w:rFonts w:ascii="Calibri" w:eastAsia="Yu Mincho" w:hAnsi="Calibri" w:cs="Arial"/>
          <w:bCs/>
          <w:sz w:val="24"/>
          <w:szCs w:val="24"/>
        </w:rPr>
        <w:t>4.5.4</w:t>
      </w:r>
      <w:r>
        <w:rPr>
          <w:rFonts w:ascii="Calibri" w:eastAsia="Yu Mincho" w:hAnsi="Calibri" w:cs="Arial"/>
          <w:bCs/>
          <w:sz w:val="24"/>
          <w:szCs w:val="24"/>
        </w:rPr>
        <w:tab/>
      </w:r>
      <w:r w:rsidR="002815D4" w:rsidRPr="002815D4">
        <w:rPr>
          <w:rFonts w:ascii="Calibri" w:eastAsia="Yu Mincho" w:hAnsi="Calibri" w:cs="Arial"/>
          <w:bCs/>
          <w:sz w:val="24"/>
          <w:szCs w:val="24"/>
        </w:rPr>
        <w:t>LED Bulbs and Fixtures</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2815D4" w:rsidRPr="002815D4">
        <w:rPr>
          <w:rFonts w:ascii="Calibri" w:eastAsia="Yu Mincho" w:hAnsi="Calibri" w:cs="Arial"/>
          <w:bCs/>
          <w:sz w:val="24"/>
          <w:szCs w:val="24"/>
        </w:rPr>
        <w:t xml:space="preserve"> </w:t>
      </w:r>
    </w:p>
    <w:p w14:paraId="7945DDF0" w14:textId="77777777" w:rsidR="002815D4" w:rsidRPr="002815D4" w:rsidRDefault="002815D4" w:rsidP="002815D4">
      <w:pPr>
        <w:keepNext/>
        <w:keepLines/>
        <w:tabs>
          <w:tab w:val="left" w:pos="5040"/>
        </w:tabs>
        <w:spacing w:before="40" w:after="120"/>
        <w:jc w:val="both"/>
        <w:outlineLvl w:val="5"/>
        <w:rPr>
          <w:rFonts w:ascii="Calibri" w:eastAsia="Calibri" w:hAnsi="Calibri" w:cs="Calibri"/>
          <w:b/>
          <w:smallCaps/>
          <w:sz w:val="20"/>
          <w:szCs w:val="20"/>
        </w:rPr>
      </w:pPr>
      <w:r w:rsidRPr="002815D4">
        <w:rPr>
          <w:rFonts w:ascii="Calibri" w:eastAsia="Calibri" w:hAnsi="Calibri" w:cs="Calibri"/>
          <w:b/>
          <w:smallCaps/>
          <w:sz w:val="20"/>
          <w:szCs w:val="20"/>
        </w:rPr>
        <w:t xml:space="preserve">Description </w:t>
      </w:r>
    </w:p>
    <w:p w14:paraId="0860463D" w14:textId="77777777" w:rsidR="002815D4" w:rsidRPr="002815D4" w:rsidRDefault="002815D4" w:rsidP="002815D4">
      <w:pPr>
        <w:spacing w:after="120"/>
        <w:jc w:val="both"/>
        <w:rPr>
          <w:rFonts w:ascii="Calibri" w:eastAsia="Calibri" w:hAnsi="Calibri" w:cs="Arial"/>
          <w:sz w:val="20"/>
          <w:szCs w:val="20"/>
        </w:rPr>
      </w:pPr>
      <w:r w:rsidRPr="002815D4">
        <w:rPr>
          <w:rFonts w:ascii="Calibri" w:eastAsia="Calibri" w:hAnsi="Calibri" w:cs="Arial"/>
          <w:sz w:val="20"/>
          <w:szCs w:val="20"/>
        </w:rPr>
        <w:t xml:space="preserve">This characterization provides savings assumptions for a variety of LED lamps including Omnidirectional (e.g., A-Type lamps), Decorative (e.g., Globes and Torpedoes), Directional (PAR Lamps, Reflectors, MR16), Mogul (E39, EX39), TLEDs and fixtures including refrigerated case, recessed and outdoor/garage fixtures. </w:t>
      </w:r>
    </w:p>
    <w:p w14:paraId="707343FC" w14:textId="77777777" w:rsidR="002815D4" w:rsidRPr="002815D4" w:rsidRDefault="002815D4" w:rsidP="002815D4">
      <w:pPr>
        <w:spacing w:after="120"/>
        <w:jc w:val="both"/>
        <w:rPr>
          <w:rFonts w:ascii="Calibri" w:eastAsia="Calibri" w:hAnsi="Calibri" w:cs="Arial"/>
          <w:sz w:val="20"/>
          <w:szCs w:val="20"/>
        </w:rPr>
      </w:pPr>
      <w:r w:rsidRPr="002815D4">
        <w:rPr>
          <w:rFonts w:ascii="Calibri" w:eastAsia="Calibri" w:hAnsi="Calibri" w:cs="Calibri"/>
          <w:sz w:val="20"/>
          <w:szCs w:val="20"/>
        </w:rPr>
        <w:t xml:space="preserve">If the implementation strategy does not allow for the installation location to be known, </w:t>
      </w:r>
      <w:r w:rsidRPr="002815D4">
        <w:rPr>
          <w:rFonts w:ascii="Calibri" w:eastAsia="Calibri" w:hAnsi="Calibri" w:cs="Arial"/>
          <w:sz w:val="20"/>
          <w:szCs w:val="20"/>
        </w:rPr>
        <w:t xml:space="preserve">100% Commercial targeted programs and 0% Residential targeted programs for LED Fixtures, Mogul LEDs and TLEDs </w:t>
      </w:r>
      <w:r w:rsidRPr="002815D4">
        <w:rPr>
          <w:rFonts w:ascii="Calibri" w:eastAsia="Calibri" w:hAnsi="Calibri" w:cs="Calibri"/>
          <w:sz w:val="20"/>
          <w:szCs w:val="20"/>
        </w:rPr>
        <w:t>should be used.</w:t>
      </w:r>
      <w:r w:rsidRPr="002815D4">
        <w:rPr>
          <w:rFonts w:ascii="Arial" w:eastAsia="Yu Mincho" w:hAnsi="Arial" w:cs="Times New Roman"/>
          <w:sz w:val="20"/>
          <w:szCs w:val="20"/>
          <w:vertAlign w:val="superscript"/>
        </w:rPr>
        <w:footnoteReference w:id="1"/>
      </w:r>
    </w:p>
    <w:p w14:paraId="110412BC" w14:textId="77777777" w:rsidR="002815D4" w:rsidRPr="002815D4" w:rsidRDefault="002815D4" w:rsidP="002815D4">
      <w:pPr>
        <w:spacing w:after="120"/>
        <w:rPr>
          <w:rFonts w:ascii="Calibri" w:eastAsia="Calibri" w:hAnsi="Calibri" w:cs="Calibri"/>
          <w:sz w:val="20"/>
          <w:szCs w:val="20"/>
        </w:rPr>
      </w:pPr>
      <w:r w:rsidRPr="002815D4">
        <w:rPr>
          <w:rFonts w:ascii="Calibri" w:eastAsia="Calibri" w:hAnsi="Calibri" w:cs="Calibri"/>
          <w:sz w:val="20"/>
          <w:szCs w:val="20"/>
        </w:rPr>
        <w:t xml:space="preserve">This measure was developed to be applicable to the following program types:  TOS, NC, EREP, DI, KITS.  </w:t>
      </w:r>
    </w:p>
    <w:p w14:paraId="644F7742" w14:textId="77777777" w:rsidR="002815D4" w:rsidRPr="002815D4" w:rsidRDefault="002815D4" w:rsidP="002815D4">
      <w:pPr>
        <w:spacing w:after="120"/>
        <w:rPr>
          <w:rFonts w:ascii="Calibri" w:eastAsia="Calibri" w:hAnsi="Calibri" w:cs="Calibri"/>
          <w:sz w:val="20"/>
          <w:szCs w:val="20"/>
        </w:rPr>
      </w:pPr>
      <w:r w:rsidRPr="002815D4">
        <w:rPr>
          <w:rFonts w:ascii="Calibri" w:eastAsia="Calibri" w:hAnsi="Calibri" w:cs="Calibri"/>
          <w:sz w:val="20"/>
          <w:szCs w:val="20"/>
        </w:rPr>
        <w:t>If applied to other program types, the measure savings should be verified.</w:t>
      </w:r>
    </w:p>
    <w:p w14:paraId="579F0B52" w14:textId="77777777" w:rsidR="002815D4" w:rsidRPr="002815D4" w:rsidRDefault="002815D4" w:rsidP="002815D4">
      <w:pPr>
        <w:keepNext/>
        <w:keepLines/>
        <w:tabs>
          <w:tab w:val="left" w:pos="5040"/>
        </w:tabs>
        <w:spacing w:before="40" w:after="120"/>
        <w:jc w:val="both"/>
        <w:outlineLvl w:val="5"/>
        <w:rPr>
          <w:rFonts w:ascii="Calibri" w:eastAsia="Calibri" w:hAnsi="Calibri" w:cs="Calibri"/>
          <w:b/>
          <w:smallCaps/>
          <w:sz w:val="20"/>
          <w:szCs w:val="20"/>
        </w:rPr>
      </w:pPr>
      <w:r w:rsidRPr="002815D4">
        <w:rPr>
          <w:rFonts w:ascii="Calibri" w:eastAsia="Calibri" w:hAnsi="Calibri" w:cs="Calibri"/>
          <w:b/>
          <w:smallCaps/>
          <w:sz w:val="20"/>
          <w:szCs w:val="20"/>
        </w:rPr>
        <w:t xml:space="preserve">Definition of Efficient Equipment </w:t>
      </w:r>
    </w:p>
    <w:p w14:paraId="0B823BA8" w14:textId="77777777" w:rsidR="002815D4" w:rsidRPr="002815D4" w:rsidRDefault="002815D4" w:rsidP="002815D4">
      <w:pPr>
        <w:spacing w:after="120"/>
        <w:rPr>
          <w:rFonts w:ascii="Calibri" w:eastAsia="Calibri" w:hAnsi="Calibri" w:cs="Arial"/>
          <w:sz w:val="20"/>
          <w:szCs w:val="20"/>
        </w:rPr>
      </w:pPr>
      <w:r w:rsidRPr="002815D4">
        <w:rPr>
          <w:rFonts w:ascii="Calibri" w:eastAsia="Calibri" w:hAnsi="Calibri" w:cs="Arial"/>
          <w:sz w:val="20"/>
          <w:szCs w:val="20"/>
        </w:rPr>
        <w:t>For this characterization to apply, new lamps should meet performance specifications equivalent to EnergyStar Lamps V2.1 Specification, as amended (effective June 2, 2020). EnergyStar no longer lists new lamps as of December 31, 2024.  Fixtures must meet current ENERGY STAR</w:t>
      </w:r>
      <w:r w:rsidRPr="002815D4">
        <w:rPr>
          <w:rFonts w:ascii="Arial" w:eastAsia="Calibri" w:hAnsi="Arial" w:cs="Times New Roman"/>
          <w:sz w:val="20"/>
          <w:szCs w:val="20"/>
          <w:vertAlign w:val="superscript"/>
        </w:rPr>
        <w:footnoteReference w:id="2"/>
      </w:r>
      <w:r w:rsidRPr="002815D4">
        <w:rPr>
          <w:rFonts w:ascii="Calibri" w:eastAsia="Calibri" w:hAnsi="Calibri" w:cs="Arial"/>
          <w:sz w:val="20"/>
          <w:szCs w:val="20"/>
        </w:rPr>
        <w:t xml:space="preserve">  specifications where appropriate (Downlights v1.0 Final Specification and Luminaires v2.2 Final Specification) </w:t>
      </w:r>
      <w:r w:rsidRPr="002815D4">
        <w:rPr>
          <w:rFonts w:ascii="Calibri" w:eastAsia="Calibri" w:hAnsi="Calibri" w:cs="Calibri"/>
          <w:sz w:val="20"/>
          <w:szCs w:val="20"/>
        </w:rPr>
        <w:t>or be listed on the Design Lights Consortium Qualifying Product List.</w:t>
      </w:r>
    </w:p>
    <w:p w14:paraId="1E3760F8" w14:textId="77777777" w:rsidR="002815D4" w:rsidRPr="002815D4" w:rsidRDefault="002815D4" w:rsidP="002815D4">
      <w:pPr>
        <w:keepNext/>
        <w:keepLines/>
        <w:tabs>
          <w:tab w:val="left" w:pos="5040"/>
        </w:tabs>
        <w:spacing w:before="40" w:after="120"/>
        <w:jc w:val="both"/>
        <w:outlineLvl w:val="5"/>
        <w:rPr>
          <w:rFonts w:ascii="Calibri" w:eastAsia="Calibri" w:hAnsi="Calibri" w:cs="Calibri"/>
          <w:b/>
          <w:smallCaps/>
          <w:sz w:val="20"/>
          <w:szCs w:val="20"/>
        </w:rPr>
      </w:pPr>
      <w:r w:rsidRPr="002815D4">
        <w:rPr>
          <w:rFonts w:ascii="Calibri" w:eastAsia="Calibri" w:hAnsi="Calibri" w:cs="Calibri"/>
          <w:b/>
          <w:smallCaps/>
          <w:sz w:val="20"/>
          <w:szCs w:val="20"/>
        </w:rPr>
        <w:t xml:space="preserve">Definition of Baseline Equipment </w:t>
      </w:r>
    </w:p>
    <w:p w14:paraId="4D8FC1C4" w14:textId="77777777" w:rsidR="002815D4" w:rsidRPr="002815D4" w:rsidRDefault="002815D4" w:rsidP="002815D4">
      <w:pPr>
        <w:spacing w:after="120"/>
        <w:jc w:val="both"/>
        <w:rPr>
          <w:rFonts w:ascii="Calibri" w:eastAsia="Calibri" w:hAnsi="Calibri" w:cs="Arial"/>
          <w:sz w:val="20"/>
          <w:szCs w:val="20"/>
        </w:rPr>
      </w:pPr>
      <w:r w:rsidRPr="002815D4">
        <w:rPr>
          <w:rFonts w:ascii="Calibri" w:eastAsia="Calibri" w:hAnsi="Calibri" w:cs="Arial"/>
          <w:sz w:val="20"/>
          <w:szCs w:val="20"/>
        </w:rPr>
        <w:t>The Standard Rx Program will assume a Time of Sale baseline for all one to one replacements, and early replacement for lighting redesign and early retirement for delamping.</w:t>
      </w:r>
    </w:p>
    <w:p w14:paraId="1F095479" w14:textId="77777777" w:rsidR="002815D4" w:rsidRPr="002815D4" w:rsidRDefault="002815D4" w:rsidP="002815D4">
      <w:pPr>
        <w:spacing w:after="120"/>
        <w:jc w:val="both"/>
        <w:rPr>
          <w:rFonts w:ascii="Calibri" w:eastAsia="Calibri" w:hAnsi="Calibri" w:cs="Arial"/>
          <w:sz w:val="20"/>
          <w:szCs w:val="20"/>
        </w:rPr>
      </w:pPr>
      <w:r w:rsidRPr="002815D4">
        <w:rPr>
          <w:rFonts w:ascii="Calibri" w:eastAsia="Calibri" w:hAnsi="Calibri" w:cs="Arial"/>
          <w:sz w:val="20"/>
          <w:szCs w:val="20"/>
        </w:rPr>
        <w:t xml:space="preserve">For early replacement, the baseline is the existing fixture being replaced. </w:t>
      </w:r>
    </w:p>
    <w:p w14:paraId="43FA5862" w14:textId="77777777" w:rsidR="002815D4" w:rsidRPr="002815D4" w:rsidRDefault="002815D4" w:rsidP="002815D4">
      <w:pPr>
        <w:spacing w:after="120"/>
        <w:jc w:val="both"/>
        <w:rPr>
          <w:rFonts w:ascii="Calibri" w:eastAsia="Calibri" w:hAnsi="Calibri" w:cs="Arial"/>
          <w:sz w:val="20"/>
          <w:szCs w:val="20"/>
        </w:rPr>
      </w:pPr>
      <w:r w:rsidRPr="002815D4">
        <w:rPr>
          <w:rFonts w:ascii="Calibri" w:eastAsia="Calibri" w:hAnsi="Calibri" w:cs="Arial"/>
          <w:sz w:val="20"/>
          <w:szCs w:val="20"/>
        </w:rPr>
        <w:t>If the existing fixture is a T12: In July 14, 2012, Federal Standards were enacted that were expected to eliminate T-12s as an option for linear fluorescent fixtures. Through v3.0 of the TRM, it was assumed that the T-12 would no longer be baseline for retrofits from 1/1/2016. However, due to significant loopholes in the legislation, T-12 compliant product is still freely available and in Illinois T-12s continue to hold a significant share of the existing and replacement lamp market. From v8.0 on, a midlife adjustment is applied after the remaining useful life of the T12 fixture (calculated as 1/3 of the 40,000 hour ballast life/ hours). This assumes that T12 replacement lamps will continue to be available until then. See ‘Early Replacement Measures with T12 baseline’ section.</w:t>
      </w:r>
    </w:p>
    <w:p w14:paraId="761D8ACE" w14:textId="77777777" w:rsidR="002815D4" w:rsidRPr="002815D4" w:rsidRDefault="002815D4" w:rsidP="002815D4">
      <w:pPr>
        <w:spacing w:after="120"/>
        <w:jc w:val="both"/>
        <w:rPr>
          <w:rFonts w:ascii="Calibri" w:eastAsia="Calibri" w:hAnsi="Calibri" w:cs="Arial"/>
          <w:sz w:val="20"/>
          <w:szCs w:val="20"/>
        </w:rPr>
      </w:pPr>
      <w:r w:rsidRPr="002815D4">
        <w:rPr>
          <w:rFonts w:ascii="Calibri" w:eastAsia="Calibri" w:hAnsi="Calibri" w:cs="Arial"/>
          <w:sz w:val="20"/>
          <w:szCs w:val="20"/>
        </w:rPr>
        <w:t xml:space="preserve">For Time of Sale, refer to the baseline tables at the end of this measure.  </w:t>
      </w:r>
    </w:p>
    <w:p w14:paraId="6662ED8E" w14:textId="77777777" w:rsidR="002815D4" w:rsidRPr="002815D4" w:rsidRDefault="002815D4" w:rsidP="002815D4">
      <w:pPr>
        <w:spacing w:after="120"/>
        <w:jc w:val="both"/>
        <w:rPr>
          <w:rFonts w:ascii="Calibri" w:eastAsia="Calibri" w:hAnsi="Calibri" w:cs="Arial"/>
          <w:sz w:val="20"/>
          <w:szCs w:val="20"/>
        </w:rPr>
      </w:pPr>
    </w:p>
    <w:p w14:paraId="7C405000" w14:textId="77777777" w:rsidR="002815D4" w:rsidRPr="002815D4" w:rsidRDefault="002815D4" w:rsidP="002815D4">
      <w:pPr>
        <w:spacing w:after="120"/>
        <w:jc w:val="both"/>
        <w:rPr>
          <w:rFonts w:ascii="Calibri" w:eastAsia="Calibri" w:hAnsi="Calibri" w:cs="Arial"/>
          <w:sz w:val="20"/>
          <w:szCs w:val="20"/>
        </w:rPr>
      </w:pPr>
      <w:r w:rsidRPr="002815D4">
        <w:rPr>
          <w:rFonts w:ascii="Calibri" w:eastAsia="Calibri" w:hAnsi="Calibri" w:cs="Arial"/>
          <w:sz w:val="20"/>
          <w:szCs w:val="20"/>
        </w:rPr>
        <w:t xml:space="preserve">General Service Screw Based Lamps and </w:t>
      </w:r>
      <w:r w:rsidRPr="002815D4">
        <w:rPr>
          <w:rFonts w:ascii="Calibri" w:eastAsia="Calibri" w:hAnsi="Calibri" w:cs="Calibri"/>
          <w:sz w:val="20"/>
          <w:szCs w:val="20"/>
        </w:rPr>
        <w:t>ENERGY STAR fixtures</w:t>
      </w:r>
      <w:r w:rsidRPr="002815D4">
        <w:rPr>
          <w:rFonts w:ascii="Calibri" w:eastAsia="Calibri" w:hAnsi="Calibri" w:cs="Arial"/>
          <w:sz w:val="20"/>
          <w:szCs w:val="20"/>
        </w:rPr>
        <w:t xml:space="preserve">: In 2012, Federal legislation stemming from the Energy Independence and Security Act of 2007 (EIAS) required all general-purpose light bulbs (defined as omni-directional or standard A-lamps) between 40 watts and 100 watts to have ~30% increased efficiency, essentially phasing out standard incandescent technology.  In 2012, the 100 w lamp standards went in to effect followed by the 75 w lamp standards in 2013 and 60 w and 40 w lamps in 2014.  </w:t>
      </w:r>
    </w:p>
    <w:p w14:paraId="4A4A1406" w14:textId="77777777" w:rsidR="002815D4" w:rsidRPr="002815D4" w:rsidRDefault="002815D4" w:rsidP="002815D4">
      <w:pPr>
        <w:spacing w:after="120"/>
        <w:jc w:val="both"/>
        <w:rPr>
          <w:rFonts w:ascii="Calibri" w:eastAsia="Calibri" w:hAnsi="Calibri" w:cs="Calibri"/>
          <w:sz w:val="20"/>
          <w:szCs w:val="20"/>
        </w:rPr>
      </w:pPr>
      <w:r w:rsidRPr="002815D4">
        <w:rPr>
          <w:rFonts w:ascii="Calibri" w:eastAsia="Calibri" w:hAnsi="Calibri" w:cs="Arial"/>
          <w:sz w:val="20"/>
          <w:szCs w:val="20"/>
        </w:rPr>
        <w:t xml:space="preserve">Additionally, an EISA backstop provision was included that would require replacement baseline lamps to meet an efficacy requirement of 45 lumens/watt or higher beginning on 1/1/2020. </w:t>
      </w:r>
      <w:bookmarkStart w:id="19" w:name="_Hlk19076943"/>
    </w:p>
    <w:p w14:paraId="16EF061F" w14:textId="77777777" w:rsidR="002815D4" w:rsidRPr="002815D4" w:rsidRDefault="002815D4" w:rsidP="002815D4">
      <w:pPr>
        <w:spacing w:after="120"/>
        <w:jc w:val="both"/>
        <w:rPr>
          <w:rFonts w:ascii="Calibri" w:eastAsia="Calibri" w:hAnsi="Calibri" w:cs="Calibri"/>
          <w:sz w:val="20"/>
          <w:szCs w:val="20"/>
        </w:rPr>
      </w:pPr>
      <w:r w:rsidRPr="002815D4">
        <w:rPr>
          <w:rFonts w:ascii="Calibri" w:eastAsia="Calibri" w:hAnsi="Calibri" w:cs="Calibri"/>
          <w:sz w:val="20"/>
          <w:szCs w:val="20"/>
        </w:rPr>
        <w:t xml:space="preserve">However, in December 2019, DOE issued a final determination for General Service Incandescent Lamps (GSILs), finding that this more stringent standard was not economically justified. However, in May 2022 DOE reversed this decision by issuing a Final rule for both the broadened General Service Lamp definition as well as the implementation of the 45 lumen per watt backstop. DOE stated that it will use its enforcement discretion to minimize impacts on the supply chain and effectively allow companies to continue the manufacture and import of noncompliant bulbs through the remainder of 2022, and allow retailers to continue selling them with limited enforcement until July 2023. </w:t>
      </w:r>
    </w:p>
    <w:p w14:paraId="6ACA81DD" w14:textId="77777777" w:rsidR="002815D4" w:rsidRPr="002815D4" w:rsidRDefault="002815D4" w:rsidP="002815D4">
      <w:pPr>
        <w:spacing w:after="120"/>
        <w:jc w:val="both"/>
        <w:rPr>
          <w:rFonts w:ascii="Calibri" w:eastAsia="Calibri" w:hAnsi="Calibri" w:cs="Calibri"/>
          <w:sz w:val="20"/>
          <w:szCs w:val="20"/>
        </w:rPr>
      </w:pPr>
      <w:r w:rsidRPr="002815D4">
        <w:rPr>
          <w:rFonts w:ascii="Calibri" w:eastAsia="Calibri" w:hAnsi="Calibri" w:cs="Calibri"/>
          <w:sz w:val="20"/>
          <w:szCs w:val="20"/>
        </w:rPr>
        <w:t>As of 1/1/2026, no savings are claimed for screw based LED lamps or ENERGY STAR fixtures due to the EISA backstop unless installed via direct install programs. Direct Install programs where it can be shown that the LED is replacing working inefficient lighting should continue to use the existing inefficient lighting as baseline and assume a measure life of 2 years.</w:t>
      </w:r>
    </w:p>
    <w:bookmarkEnd w:id="19"/>
    <w:p w14:paraId="75E4FABC" w14:textId="77777777" w:rsidR="002815D4" w:rsidRPr="002815D4" w:rsidRDefault="002815D4" w:rsidP="002815D4">
      <w:pPr>
        <w:keepNext/>
        <w:keepLines/>
        <w:tabs>
          <w:tab w:val="left" w:pos="5040"/>
        </w:tabs>
        <w:spacing w:before="40" w:after="120"/>
        <w:jc w:val="both"/>
        <w:outlineLvl w:val="5"/>
        <w:rPr>
          <w:rFonts w:ascii="Calibri" w:eastAsia="Calibri" w:hAnsi="Calibri" w:cs="Calibri"/>
          <w:b/>
          <w:smallCaps/>
          <w:sz w:val="20"/>
          <w:szCs w:val="20"/>
        </w:rPr>
      </w:pPr>
      <w:r w:rsidRPr="002815D4">
        <w:rPr>
          <w:rFonts w:ascii="Calibri" w:eastAsia="Calibri" w:hAnsi="Calibri" w:cs="Calibri"/>
          <w:b/>
          <w:smallCaps/>
          <w:sz w:val="20"/>
          <w:szCs w:val="20"/>
        </w:rPr>
        <w:t xml:space="preserve">Deemed Lifetime of Efficient Equipment </w:t>
      </w:r>
    </w:p>
    <w:p w14:paraId="6C73FD73" w14:textId="77777777" w:rsidR="002815D4" w:rsidRPr="002815D4" w:rsidRDefault="002815D4" w:rsidP="002815D4">
      <w:pPr>
        <w:spacing w:after="120"/>
        <w:jc w:val="both"/>
        <w:rPr>
          <w:rFonts w:ascii="Calibri" w:eastAsia="Calibri" w:hAnsi="Calibri" w:cs="Arial"/>
          <w:sz w:val="20"/>
          <w:szCs w:val="20"/>
        </w:rPr>
      </w:pPr>
      <w:r w:rsidRPr="002815D4">
        <w:rPr>
          <w:rFonts w:ascii="Calibri" w:eastAsia="Calibri" w:hAnsi="Calibri" w:cs="Arial"/>
          <w:sz w:val="20"/>
          <w:szCs w:val="20"/>
        </w:rPr>
        <w:t>For interior fixtures, and Mogul LEDs, the lifetime is the life of the product, at the reported operating hours (lamp life in hours divided by operating hours per year – see reference table "LED component Costs and Lifetime"), capped at 15 years  (GDS Measure Life Report, June 2007).</w:t>
      </w:r>
    </w:p>
    <w:p w14:paraId="38CF080F" w14:textId="77777777" w:rsidR="002815D4" w:rsidRPr="002815D4" w:rsidRDefault="002815D4" w:rsidP="002815D4">
      <w:pPr>
        <w:spacing w:after="120"/>
        <w:jc w:val="both"/>
        <w:rPr>
          <w:rFonts w:ascii="Calibri" w:eastAsia="Calibri" w:hAnsi="Calibri" w:cs="Arial"/>
          <w:sz w:val="20"/>
          <w:szCs w:val="20"/>
        </w:rPr>
      </w:pPr>
      <w:r w:rsidRPr="002815D4">
        <w:rPr>
          <w:rFonts w:ascii="Calibri" w:eastAsia="Calibri" w:hAnsi="Calibri" w:cs="Arial"/>
          <w:sz w:val="20"/>
          <w:szCs w:val="20"/>
        </w:rPr>
        <w:t>For exterior fixtures, the lifetime is the life of the product, at the reported operating hours (lamp life in hours divided by operating hours per year), capped at 25 years. Default lifetimes are assumed to be 16 years for Dusk-to-Dawn (4303 hours) applications, or 25 years for Dusk-to-Business-Close Year Round (1609 hours) and Dusk-to-Business-Close Seasonal (&lt;1000 hours).</w:t>
      </w:r>
      <w:r w:rsidRPr="002815D4">
        <w:rPr>
          <w:rFonts w:ascii="Arial" w:eastAsia="Calibri" w:hAnsi="Arial" w:cs="Times New Roman"/>
          <w:sz w:val="20"/>
          <w:szCs w:val="20"/>
          <w:vertAlign w:val="superscript"/>
        </w:rPr>
        <w:footnoteReference w:id="3"/>
      </w:r>
    </w:p>
    <w:p w14:paraId="7974F4D9" w14:textId="77777777" w:rsidR="002815D4" w:rsidRPr="002815D4" w:rsidRDefault="002815D4" w:rsidP="002815D4">
      <w:pPr>
        <w:spacing w:after="120"/>
        <w:jc w:val="both"/>
        <w:rPr>
          <w:rFonts w:ascii="Calibri" w:eastAsia="Calibri" w:hAnsi="Calibri" w:cs="Arial"/>
          <w:b/>
          <w:iCs/>
          <w:sz w:val="20"/>
          <w:szCs w:val="20"/>
        </w:rPr>
      </w:pPr>
      <w:r w:rsidRPr="002815D4">
        <w:rPr>
          <w:rFonts w:ascii="Calibri" w:eastAsia="Calibri" w:hAnsi="Calibri" w:cs="Arial"/>
          <w:sz w:val="20"/>
          <w:szCs w:val="20"/>
        </w:rPr>
        <w:t xml:space="preserve">For lamps and LED Downlight Fixtures with a baseline impacted by the EISA backstop as indicated in tables below the measure life is assumed to be </w:t>
      </w:r>
      <w:r w:rsidRPr="002815D4">
        <w:rPr>
          <w:rFonts w:ascii="Calibri" w:eastAsia="Calibri" w:hAnsi="Calibri" w:cs="Calibri"/>
          <w:sz w:val="20"/>
          <w:szCs w:val="20"/>
        </w:rPr>
        <w:t xml:space="preserve">two years for direct install programs. </w:t>
      </w:r>
    </w:p>
    <w:p w14:paraId="16E21B07" w14:textId="77777777" w:rsidR="002815D4" w:rsidRPr="002815D4" w:rsidRDefault="002815D4" w:rsidP="002815D4">
      <w:pPr>
        <w:rPr>
          <w:rFonts w:ascii="Times New Roman" w:eastAsia="Calibri" w:hAnsi="Times New Roman" w:cs="Arial"/>
          <w:sz w:val="24"/>
          <w:szCs w:val="24"/>
        </w:rPr>
      </w:pPr>
      <w:r w:rsidRPr="002815D4">
        <w:rPr>
          <w:rFonts w:ascii="Calibri" w:eastAsia="Calibri" w:hAnsi="Calibri" w:cs="Arial"/>
          <w:sz w:val="20"/>
          <w:szCs w:val="20"/>
        </w:rPr>
        <w:t>For lamps not impacted by the EISA backstop, the lifetime is calculated as the rated lifetime of the product (actual if available, otherwise assume 20,000 hours for Omnidirectional, 17,000 hours for decorative and 25,000 for directional lamps based on average rated life of lamps on the ENERGY STAR Qualified Products list (accessed 6/16/2020)) divided by the reported operating hours, capped at 10 years.</w:t>
      </w:r>
      <w:r w:rsidRPr="002815D4">
        <w:rPr>
          <w:rFonts w:ascii="Arial" w:eastAsia="Calibri" w:hAnsi="Arial" w:cs="Times New Roman"/>
          <w:sz w:val="20"/>
          <w:szCs w:val="20"/>
          <w:vertAlign w:val="superscript"/>
        </w:rPr>
        <w:footnoteReference w:id="4"/>
      </w:r>
    </w:p>
    <w:p w14:paraId="7B33881F" w14:textId="77777777" w:rsidR="002815D4" w:rsidRPr="002815D4" w:rsidRDefault="002815D4" w:rsidP="002815D4">
      <w:pPr>
        <w:rPr>
          <w:rFonts w:ascii="Times New Roman" w:eastAsia="Calibri" w:hAnsi="Times New Roman" w:cs="Arial"/>
          <w:sz w:val="24"/>
          <w:szCs w:val="24"/>
        </w:rPr>
      </w:pPr>
    </w:p>
    <w:p w14:paraId="02FA1064" w14:textId="77777777" w:rsidR="00AA453A" w:rsidRPr="002815D4" w:rsidRDefault="00AA453A" w:rsidP="002815D4">
      <w:pPr>
        <w:keepNext/>
        <w:keepLines/>
        <w:tabs>
          <w:tab w:val="left" w:pos="5040"/>
        </w:tabs>
        <w:spacing w:before="40" w:after="120"/>
        <w:jc w:val="both"/>
        <w:outlineLvl w:val="5"/>
        <w:rPr>
          <w:rFonts w:ascii="Calibri" w:eastAsia="Calibri" w:hAnsi="Calibri" w:cs="Calibri"/>
          <w:b/>
          <w:smallCaps/>
          <w:sz w:val="20"/>
          <w:szCs w:val="20"/>
        </w:rPr>
      </w:pPr>
      <w:r w:rsidRPr="002815D4">
        <w:rPr>
          <w:rFonts w:ascii="Calibri" w:eastAsia="Calibri" w:hAnsi="Calibri" w:cs="Calibri"/>
          <w:b/>
          <w:smallCaps/>
          <w:sz w:val="20"/>
          <w:szCs w:val="20"/>
        </w:rPr>
        <w:t xml:space="preserve">Deemed Measure Cost </w:t>
      </w:r>
    </w:p>
    <w:p w14:paraId="4E537B02" w14:textId="77777777" w:rsidR="002815D4" w:rsidRPr="002815D4" w:rsidRDefault="002815D4" w:rsidP="002815D4">
      <w:pPr>
        <w:spacing w:after="120"/>
        <w:jc w:val="both"/>
        <w:rPr>
          <w:rFonts w:ascii="Calibri" w:eastAsia="Calibri" w:hAnsi="Calibri" w:cs="Arial"/>
          <w:b/>
          <w:iCs/>
          <w:sz w:val="20"/>
          <w:szCs w:val="20"/>
        </w:rPr>
      </w:pPr>
      <w:r w:rsidRPr="002815D4">
        <w:rPr>
          <w:rFonts w:ascii="Calibri" w:eastAsia="Calibri" w:hAnsi="Calibri" w:cs="Arial"/>
          <w:sz w:val="20"/>
          <w:szCs w:val="20"/>
        </w:rPr>
        <w:t>Wherever possible, actual incremental costs should be used. Refer to reference table “LED component Cost &amp; Lifetime” for defaults.</w:t>
      </w:r>
    </w:p>
    <w:p w14:paraId="73A2DBC9" w14:textId="77777777" w:rsidR="002815D4" w:rsidRPr="002815D4" w:rsidRDefault="002815D4" w:rsidP="002815D4">
      <w:pPr>
        <w:keepNext/>
        <w:keepLines/>
        <w:tabs>
          <w:tab w:val="left" w:pos="5040"/>
        </w:tabs>
        <w:spacing w:before="40" w:after="120"/>
        <w:jc w:val="both"/>
        <w:outlineLvl w:val="5"/>
        <w:rPr>
          <w:rFonts w:ascii="Calibri" w:eastAsia="Calibri" w:hAnsi="Calibri" w:cs="Calibri"/>
          <w:b/>
          <w:iCs/>
          <w:smallCaps/>
          <w:sz w:val="20"/>
          <w:szCs w:val="20"/>
        </w:rPr>
      </w:pPr>
      <w:r w:rsidRPr="002815D4">
        <w:rPr>
          <w:rFonts w:ascii="Calibri" w:eastAsia="Calibri" w:hAnsi="Calibri" w:cs="Calibri"/>
          <w:b/>
          <w:smallCaps/>
          <w:sz w:val="20"/>
          <w:szCs w:val="20"/>
        </w:rPr>
        <w:t>Loadshape</w:t>
      </w:r>
    </w:p>
    <w:tbl>
      <w:tblPr>
        <w:tblW w:w="8120" w:type="dxa"/>
        <w:tblInd w:w="93" w:type="dxa"/>
        <w:tblLook w:val="04A0" w:firstRow="1" w:lastRow="0" w:firstColumn="1" w:lastColumn="0" w:noHBand="0" w:noVBand="1"/>
      </w:tblPr>
      <w:tblGrid>
        <w:gridCol w:w="8120"/>
      </w:tblGrid>
      <w:tr w:rsidR="002815D4" w:rsidRPr="002815D4" w14:paraId="48D015F1" w14:textId="77777777" w:rsidTr="00935A18">
        <w:trPr>
          <w:trHeight w:val="300"/>
        </w:trPr>
        <w:tc>
          <w:tcPr>
            <w:tcW w:w="8120" w:type="dxa"/>
            <w:noWrap/>
            <w:vAlign w:val="center"/>
            <w:hideMark/>
          </w:tcPr>
          <w:p w14:paraId="49D6999E" w14:textId="77777777" w:rsidR="002815D4" w:rsidRPr="002815D4" w:rsidRDefault="002815D4" w:rsidP="002815D4">
            <w:pPr>
              <w:spacing w:line="276" w:lineRule="auto"/>
              <w:rPr>
                <w:rFonts w:ascii="Calibri" w:eastAsia="Calibri" w:hAnsi="Calibri" w:cs="Calibri"/>
                <w:color w:val="000000"/>
                <w:sz w:val="20"/>
                <w:szCs w:val="20"/>
              </w:rPr>
            </w:pPr>
            <w:r w:rsidRPr="002815D4">
              <w:rPr>
                <w:rFonts w:ascii="Calibri" w:eastAsia="Calibri" w:hAnsi="Calibri" w:cs="Calibri"/>
                <w:color w:val="000000"/>
                <w:sz w:val="20"/>
                <w:szCs w:val="20"/>
              </w:rPr>
              <w:t>Loadshape C06 - Commercial Indoor Lighting</w:t>
            </w:r>
          </w:p>
        </w:tc>
      </w:tr>
      <w:tr w:rsidR="002815D4" w:rsidRPr="002815D4" w14:paraId="397C02F4" w14:textId="77777777" w:rsidTr="00935A18">
        <w:trPr>
          <w:trHeight w:val="300"/>
        </w:trPr>
        <w:tc>
          <w:tcPr>
            <w:tcW w:w="8120" w:type="dxa"/>
            <w:noWrap/>
            <w:vAlign w:val="center"/>
            <w:hideMark/>
          </w:tcPr>
          <w:p w14:paraId="71E6ACB1" w14:textId="77777777" w:rsidR="002815D4" w:rsidRPr="002815D4" w:rsidRDefault="002815D4" w:rsidP="002815D4">
            <w:pPr>
              <w:spacing w:line="276" w:lineRule="auto"/>
              <w:rPr>
                <w:rFonts w:ascii="Calibri" w:eastAsia="Calibri" w:hAnsi="Calibri" w:cs="Calibri"/>
                <w:color w:val="000000"/>
                <w:sz w:val="20"/>
                <w:szCs w:val="20"/>
              </w:rPr>
            </w:pPr>
            <w:r w:rsidRPr="002815D4">
              <w:rPr>
                <w:rFonts w:ascii="Calibri" w:eastAsia="Calibri" w:hAnsi="Calibri" w:cs="Calibri"/>
                <w:color w:val="000000"/>
                <w:sz w:val="20"/>
                <w:szCs w:val="20"/>
              </w:rPr>
              <w:t>Loadshape C07 - Grocery/Conv. Store Indoor Lighting</w:t>
            </w:r>
          </w:p>
        </w:tc>
      </w:tr>
      <w:tr w:rsidR="002815D4" w:rsidRPr="002815D4" w14:paraId="7EF41C5F" w14:textId="77777777" w:rsidTr="00935A18">
        <w:trPr>
          <w:trHeight w:val="300"/>
        </w:trPr>
        <w:tc>
          <w:tcPr>
            <w:tcW w:w="8120" w:type="dxa"/>
            <w:noWrap/>
            <w:vAlign w:val="center"/>
            <w:hideMark/>
          </w:tcPr>
          <w:p w14:paraId="658A1FD5" w14:textId="77777777" w:rsidR="002815D4" w:rsidRPr="002815D4" w:rsidRDefault="002815D4" w:rsidP="002815D4">
            <w:pPr>
              <w:spacing w:line="276" w:lineRule="auto"/>
              <w:rPr>
                <w:rFonts w:ascii="Calibri" w:eastAsia="Calibri" w:hAnsi="Calibri" w:cs="Calibri"/>
                <w:color w:val="000000"/>
                <w:sz w:val="20"/>
                <w:szCs w:val="20"/>
              </w:rPr>
            </w:pPr>
            <w:r w:rsidRPr="002815D4">
              <w:rPr>
                <w:rFonts w:ascii="Calibri" w:eastAsia="Calibri" w:hAnsi="Calibri" w:cs="Calibri"/>
                <w:color w:val="000000"/>
                <w:sz w:val="20"/>
                <w:szCs w:val="20"/>
              </w:rPr>
              <w:t>Loadshape C08 - Hospital Indoor Lighting</w:t>
            </w:r>
          </w:p>
        </w:tc>
      </w:tr>
      <w:tr w:rsidR="002815D4" w:rsidRPr="002815D4" w14:paraId="47459D81" w14:textId="77777777" w:rsidTr="00935A18">
        <w:trPr>
          <w:trHeight w:val="300"/>
        </w:trPr>
        <w:tc>
          <w:tcPr>
            <w:tcW w:w="8120" w:type="dxa"/>
            <w:noWrap/>
            <w:vAlign w:val="center"/>
            <w:hideMark/>
          </w:tcPr>
          <w:p w14:paraId="75F15B39" w14:textId="77777777" w:rsidR="002815D4" w:rsidRPr="002815D4" w:rsidRDefault="002815D4" w:rsidP="002815D4">
            <w:pPr>
              <w:spacing w:line="276" w:lineRule="auto"/>
              <w:rPr>
                <w:rFonts w:ascii="Calibri" w:eastAsia="Calibri" w:hAnsi="Calibri" w:cs="Calibri"/>
                <w:color w:val="000000"/>
                <w:sz w:val="20"/>
                <w:szCs w:val="20"/>
              </w:rPr>
            </w:pPr>
            <w:r w:rsidRPr="002815D4">
              <w:rPr>
                <w:rFonts w:ascii="Calibri" w:eastAsia="Calibri" w:hAnsi="Calibri" w:cs="Calibri"/>
                <w:color w:val="000000"/>
                <w:sz w:val="20"/>
                <w:szCs w:val="20"/>
              </w:rPr>
              <w:t>Loadshape C09 - Office Indoor Lighting</w:t>
            </w:r>
          </w:p>
        </w:tc>
      </w:tr>
      <w:tr w:rsidR="002815D4" w:rsidRPr="002815D4" w14:paraId="3D292470" w14:textId="77777777" w:rsidTr="00935A18">
        <w:trPr>
          <w:trHeight w:val="300"/>
        </w:trPr>
        <w:tc>
          <w:tcPr>
            <w:tcW w:w="8120" w:type="dxa"/>
            <w:noWrap/>
            <w:vAlign w:val="center"/>
            <w:hideMark/>
          </w:tcPr>
          <w:p w14:paraId="54B84B2F" w14:textId="77777777" w:rsidR="002815D4" w:rsidRPr="002815D4" w:rsidRDefault="002815D4" w:rsidP="002815D4">
            <w:pPr>
              <w:spacing w:line="276" w:lineRule="auto"/>
              <w:rPr>
                <w:rFonts w:ascii="Calibri" w:eastAsia="Calibri" w:hAnsi="Calibri" w:cs="Calibri"/>
                <w:color w:val="000000"/>
                <w:sz w:val="20"/>
                <w:szCs w:val="20"/>
              </w:rPr>
            </w:pPr>
            <w:r w:rsidRPr="002815D4">
              <w:rPr>
                <w:rFonts w:ascii="Calibri" w:eastAsia="Calibri" w:hAnsi="Calibri" w:cs="Calibri"/>
                <w:color w:val="000000"/>
                <w:sz w:val="20"/>
                <w:szCs w:val="20"/>
              </w:rPr>
              <w:t>Loadshape C10 - Restaurant Indoor Lighting</w:t>
            </w:r>
          </w:p>
        </w:tc>
      </w:tr>
      <w:tr w:rsidR="002815D4" w:rsidRPr="002815D4" w14:paraId="1C2866D6" w14:textId="77777777" w:rsidTr="00935A18">
        <w:trPr>
          <w:trHeight w:val="300"/>
        </w:trPr>
        <w:tc>
          <w:tcPr>
            <w:tcW w:w="8120" w:type="dxa"/>
            <w:noWrap/>
            <w:vAlign w:val="center"/>
            <w:hideMark/>
          </w:tcPr>
          <w:p w14:paraId="6E67B8C6" w14:textId="77777777" w:rsidR="002815D4" w:rsidRPr="002815D4" w:rsidRDefault="002815D4" w:rsidP="002815D4">
            <w:pPr>
              <w:spacing w:line="276" w:lineRule="auto"/>
              <w:rPr>
                <w:rFonts w:ascii="Calibri" w:eastAsia="Calibri" w:hAnsi="Calibri" w:cs="Calibri"/>
                <w:color w:val="000000"/>
                <w:sz w:val="20"/>
                <w:szCs w:val="20"/>
              </w:rPr>
            </w:pPr>
            <w:r w:rsidRPr="002815D4">
              <w:rPr>
                <w:rFonts w:ascii="Calibri" w:eastAsia="Calibri" w:hAnsi="Calibri" w:cs="Calibri"/>
                <w:color w:val="000000"/>
                <w:sz w:val="20"/>
                <w:szCs w:val="20"/>
              </w:rPr>
              <w:t>Loadshape C11 - Retail Indoor Lighting</w:t>
            </w:r>
          </w:p>
        </w:tc>
      </w:tr>
      <w:tr w:rsidR="002815D4" w:rsidRPr="002815D4" w14:paraId="2D03AA52" w14:textId="77777777" w:rsidTr="00935A18">
        <w:trPr>
          <w:trHeight w:val="300"/>
        </w:trPr>
        <w:tc>
          <w:tcPr>
            <w:tcW w:w="8120" w:type="dxa"/>
            <w:noWrap/>
            <w:vAlign w:val="center"/>
            <w:hideMark/>
          </w:tcPr>
          <w:p w14:paraId="54FDF097" w14:textId="77777777" w:rsidR="002815D4" w:rsidRPr="002815D4" w:rsidRDefault="002815D4" w:rsidP="002815D4">
            <w:pPr>
              <w:spacing w:line="276" w:lineRule="auto"/>
              <w:rPr>
                <w:rFonts w:ascii="Calibri" w:eastAsia="Calibri" w:hAnsi="Calibri" w:cs="Calibri"/>
                <w:color w:val="000000"/>
                <w:sz w:val="20"/>
                <w:szCs w:val="20"/>
              </w:rPr>
            </w:pPr>
            <w:r w:rsidRPr="002815D4">
              <w:rPr>
                <w:rFonts w:ascii="Calibri" w:eastAsia="Calibri" w:hAnsi="Calibri" w:cs="Calibri"/>
                <w:color w:val="000000"/>
                <w:sz w:val="20"/>
                <w:szCs w:val="20"/>
              </w:rPr>
              <w:t>Loadshape C12 - Warehouse Indoor Lighting</w:t>
            </w:r>
          </w:p>
        </w:tc>
      </w:tr>
      <w:tr w:rsidR="002815D4" w:rsidRPr="002815D4" w14:paraId="1028EB2E" w14:textId="77777777" w:rsidTr="00935A18">
        <w:trPr>
          <w:trHeight w:val="300"/>
        </w:trPr>
        <w:tc>
          <w:tcPr>
            <w:tcW w:w="8120" w:type="dxa"/>
            <w:noWrap/>
            <w:vAlign w:val="center"/>
            <w:hideMark/>
          </w:tcPr>
          <w:p w14:paraId="00A9E0FD" w14:textId="77777777" w:rsidR="002815D4" w:rsidRPr="002815D4" w:rsidRDefault="002815D4" w:rsidP="002815D4">
            <w:pPr>
              <w:spacing w:line="276" w:lineRule="auto"/>
              <w:rPr>
                <w:rFonts w:ascii="Calibri" w:eastAsia="Calibri" w:hAnsi="Calibri" w:cs="Calibri"/>
                <w:color w:val="000000"/>
                <w:sz w:val="20"/>
                <w:szCs w:val="20"/>
              </w:rPr>
            </w:pPr>
            <w:r w:rsidRPr="002815D4">
              <w:rPr>
                <w:rFonts w:ascii="Calibri" w:eastAsia="Calibri" w:hAnsi="Calibri" w:cs="Calibri"/>
                <w:color w:val="000000"/>
                <w:sz w:val="20"/>
                <w:szCs w:val="20"/>
              </w:rPr>
              <w:t>Loadshape C13 - K-12 School Indoor Lighting</w:t>
            </w:r>
          </w:p>
        </w:tc>
      </w:tr>
      <w:tr w:rsidR="002815D4" w:rsidRPr="002815D4" w14:paraId="181C1EAD" w14:textId="77777777" w:rsidTr="00935A18">
        <w:trPr>
          <w:trHeight w:val="300"/>
        </w:trPr>
        <w:tc>
          <w:tcPr>
            <w:tcW w:w="8120" w:type="dxa"/>
            <w:noWrap/>
            <w:vAlign w:val="center"/>
            <w:hideMark/>
          </w:tcPr>
          <w:p w14:paraId="0CD31011" w14:textId="77777777" w:rsidR="002815D4" w:rsidRPr="002815D4" w:rsidRDefault="002815D4" w:rsidP="002815D4">
            <w:pPr>
              <w:spacing w:line="276" w:lineRule="auto"/>
              <w:rPr>
                <w:rFonts w:ascii="Calibri" w:eastAsia="Calibri" w:hAnsi="Calibri" w:cs="Calibri"/>
                <w:color w:val="000000"/>
                <w:sz w:val="20"/>
                <w:szCs w:val="20"/>
              </w:rPr>
            </w:pPr>
            <w:r w:rsidRPr="002815D4">
              <w:rPr>
                <w:rFonts w:ascii="Calibri" w:eastAsia="Calibri" w:hAnsi="Calibri" w:cs="Calibri"/>
                <w:color w:val="000000"/>
                <w:sz w:val="20"/>
                <w:szCs w:val="20"/>
              </w:rPr>
              <w:t>Loadshape C14 - Indust. 1-shift (8/5) (e.g., comp. air, lights)</w:t>
            </w:r>
          </w:p>
        </w:tc>
      </w:tr>
      <w:tr w:rsidR="002815D4" w:rsidRPr="002815D4" w14:paraId="4A2A1113" w14:textId="77777777" w:rsidTr="00935A18">
        <w:trPr>
          <w:trHeight w:val="300"/>
        </w:trPr>
        <w:tc>
          <w:tcPr>
            <w:tcW w:w="8120" w:type="dxa"/>
            <w:noWrap/>
            <w:vAlign w:val="center"/>
            <w:hideMark/>
          </w:tcPr>
          <w:p w14:paraId="09D1A16A" w14:textId="77777777" w:rsidR="002815D4" w:rsidRPr="002815D4" w:rsidRDefault="002815D4" w:rsidP="002815D4">
            <w:pPr>
              <w:spacing w:line="276" w:lineRule="auto"/>
              <w:rPr>
                <w:rFonts w:ascii="Calibri" w:eastAsia="Calibri" w:hAnsi="Calibri" w:cs="Calibri"/>
                <w:color w:val="000000"/>
                <w:sz w:val="20"/>
                <w:szCs w:val="20"/>
              </w:rPr>
            </w:pPr>
            <w:r w:rsidRPr="002815D4">
              <w:rPr>
                <w:rFonts w:ascii="Calibri" w:eastAsia="Calibri" w:hAnsi="Calibri" w:cs="Calibri"/>
                <w:color w:val="000000"/>
                <w:sz w:val="20"/>
                <w:szCs w:val="20"/>
              </w:rPr>
              <w:t>Loadshape C15 - Indust. 2-shift (16/5) (e.g., comp. air, lights)</w:t>
            </w:r>
          </w:p>
        </w:tc>
      </w:tr>
      <w:tr w:rsidR="002815D4" w:rsidRPr="002815D4" w14:paraId="3AE1F48F" w14:textId="77777777" w:rsidTr="00935A18">
        <w:trPr>
          <w:trHeight w:val="300"/>
        </w:trPr>
        <w:tc>
          <w:tcPr>
            <w:tcW w:w="8120" w:type="dxa"/>
            <w:noWrap/>
            <w:vAlign w:val="center"/>
            <w:hideMark/>
          </w:tcPr>
          <w:p w14:paraId="4ADDD284" w14:textId="77777777" w:rsidR="002815D4" w:rsidRPr="002815D4" w:rsidRDefault="002815D4" w:rsidP="002815D4">
            <w:pPr>
              <w:spacing w:line="276" w:lineRule="auto"/>
              <w:rPr>
                <w:rFonts w:ascii="Calibri" w:eastAsia="Calibri" w:hAnsi="Calibri" w:cs="Calibri"/>
                <w:color w:val="000000"/>
                <w:sz w:val="20"/>
                <w:szCs w:val="20"/>
              </w:rPr>
            </w:pPr>
            <w:r w:rsidRPr="002815D4">
              <w:rPr>
                <w:rFonts w:ascii="Calibri" w:eastAsia="Calibri" w:hAnsi="Calibri" w:cs="Calibri"/>
                <w:color w:val="000000"/>
                <w:sz w:val="20"/>
                <w:szCs w:val="20"/>
              </w:rPr>
              <w:t>Loadshape C16 - Indust. 3-shift (24/5) (e.g., comp. air, lights)</w:t>
            </w:r>
          </w:p>
        </w:tc>
      </w:tr>
      <w:tr w:rsidR="002815D4" w:rsidRPr="002815D4" w14:paraId="25EEF378" w14:textId="77777777" w:rsidTr="00935A18">
        <w:trPr>
          <w:trHeight w:val="300"/>
        </w:trPr>
        <w:tc>
          <w:tcPr>
            <w:tcW w:w="8120" w:type="dxa"/>
            <w:noWrap/>
            <w:vAlign w:val="center"/>
            <w:hideMark/>
          </w:tcPr>
          <w:p w14:paraId="096FED4A" w14:textId="77777777" w:rsidR="002815D4" w:rsidRPr="002815D4" w:rsidRDefault="002815D4" w:rsidP="002815D4">
            <w:pPr>
              <w:spacing w:line="276" w:lineRule="auto"/>
              <w:rPr>
                <w:rFonts w:ascii="Calibri" w:eastAsia="Calibri" w:hAnsi="Calibri" w:cs="Calibri"/>
                <w:color w:val="000000"/>
                <w:sz w:val="20"/>
                <w:szCs w:val="20"/>
              </w:rPr>
            </w:pPr>
            <w:r w:rsidRPr="002815D4">
              <w:rPr>
                <w:rFonts w:ascii="Calibri" w:eastAsia="Calibri" w:hAnsi="Calibri" w:cs="Calibri"/>
                <w:color w:val="000000"/>
                <w:sz w:val="20"/>
                <w:szCs w:val="20"/>
              </w:rPr>
              <w:t>Loadshape C17 - Indust. 4-shift (24/7) (e.g., comp. air, lights)</w:t>
            </w:r>
          </w:p>
        </w:tc>
      </w:tr>
      <w:tr w:rsidR="002815D4" w:rsidRPr="002815D4" w14:paraId="0706EA9B" w14:textId="77777777" w:rsidTr="00935A18">
        <w:trPr>
          <w:trHeight w:val="300"/>
        </w:trPr>
        <w:tc>
          <w:tcPr>
            <w:tcW w:w="8120" w:type="dxa"/>
            <w:noWrap/>
            <w:vAlign w:val="center"/>
            <w:hideMark/>
          </w:tcPr>
          <w:p w14:paraId="5AFF164A" w14:textId="77777777" w:rsidR="002815D4" w:rsidRPr="002815D4" w:rsidRDefault="002815D4" w:rsidP="002815D4">
            <w:pPr>
              <w:spacing w:line="276" w:lineRule="auto"/>
              <w:rPr>
                <w:rFonts w:ascii="Calibri" w:eastAsia="Calibri" w:hAnsi="Calibri" w:cs="Calibri"/>
                <w:color w:val="000000"/>
                <w:sz w:val="20"/>
                <w:szCs w:val="20"/>
              </w:rPr>
            </w:pPr>
            <w:r w:rsidRPr="002815D4">
              <w:rPr>
                <w:rFonts w:ascii="Calibri" w:eastAsia="Calibri" w:hAnsi="Calibri" w:cs="Calibri"/>
                <w:color w:val="000000"/>
                <w:sz w:val="20"/>
                <w:szCs w:val="20"/>
              </w:rPr>
              <w:t>Loadshape C18 - Industrial Indoor Lighting</w:t>
            </w:r>
          </w:p>
        </w:tc>
      </w:tr>
      <w:tr w:rsidR="002815D4" w:rsidRPr="002815D4" w14:paraId="006AD125" w14:textId="77777777" w:rsidTr="00935A18">
        <w:trPr>
          <w:trHeight w:val="300"/>
        </w:trPr>
        <w:tc>
          <w:tcPr>
            <w:tcW w:w="8120" w:type="dxa"/>
            <w:noWrap/>
            <w:vAlign w:val="center"/>
            <w:hideMark/>
          </w:tcPr>
          <w:p w14:paraId="2F62E7FE" w14:textId="77777777" w:rsidR="002815D4" w:rsidRPr="002815D4" w:rsidRDefault="002815D4" w:rsidP="002815D4">
            <w:pPr>
              <w:spacing w:line="276" w:lineRule="auto"/>
              <w:rPr>
                <w:rFonts w:ascii="Calibri" w:eastAsia="Calibri" w:hAnsi="Calibri" w:cs="Calibri"/>
                <w:color w:val="000000"/>
                <w:sz w:val="20"/>
                <w:szCs w:val="20"/>
              </w:rPr>
            </w:pPr>
            <w:r w:rsidRPr="002815D4">
              <w:rPr>
                <w:rFonts w:ascii="Calibri" w:eastAsia="Calibri" w:hAnsi="Calibri" w:cs="Calibri"/>
                <w:color w:val="000000"/>
                <w:sz w:val="20"/>
                <w:szCs w:val="20"/>
              </w:rPr>
              <w:t>Loadshape C19 - Industrial Outdoor Lighting</w:t>
            </w:r>
          </w:p>
        </w:tc>
      </w:tr>
      <w:tr w:rsidR="002815D4" w:rsidRPr="002815D4" w14:paraId="3ED2F9F9" w14:textId="77777777" w:rsidTr="00935A18">
        <w:trPr>
          <w:trHeight w:val="300"/>
        </w:trPr>
        <w:tc>
          <w:tcPr>
            <w:tcW w:w="8120" w:type="dxa"/>
            <w:noWrap/>
            <w:vAlign w:val="center"/>
            <w:hideMark/>
          </w:tcPr>
          <w:p w14:paraId="1CE63210" w14:textId="77777777" w:rsidR="002815D4" w:rsidRPr="002815D4" w:rsidRDefault="002815D4" w:rsidP="002815D4">
            <w:pPr>
              <w:spacing w:line="276" w:lineRule="auto"/>
              <w:rPr>
                <w:rFonts w:ascii="Calibri" w:eastAsia="Calibri" w:hAnsi="Calibri" w:cs="Calibri"/>
                <w:color w:val="000000"/>
                <w:sz w:val="20"/>
                <w:szCs w:val="20"/>
              </w:rPr>
            </w:pPr>
            <w:r w:rsidRPr="002815D4">
              <w:rPr>
                <w:rFonts w:ascii="Calibri" w:eastAsia="Calibri" w:hAnsi="Calibri" w:cs="Calibri"/>
                <w:color w:val="000000"/>
                <w:sz w:val="20"/>
                <w:szCs w:val="20"/>
              </w:rPr>
              <w:t>Loadshape C20 - Commercial Outdoor Lighting</w:t>
            </w:r>
          </w:p>
          <w:p w14:paraId="461B5D70" w14:textId="77777777" w:rsidR="002815D4" w:rsidRPr="002815D4" w:rsidRDefault="002815D4" w:rsidP="002815D4">
            <w:pPr>
              <w:spacing w:line="276" w:lineRule="auto"/>
              <w:rPr>
                <w:rFonts w:ascii="Calibri" w:eastAsia="Calibri" w:hAnsi="Calibri" w:cs="Calibri"/>
                <w:color w:val="000000"/>
                <w:sz w:val="20"/>
                <w:szCs w:val="20"/>
              </w:rPr>
            </w:pPr>
            <w:r w:rsidRPr="002815D4">
              <w:rPr>
                <w:rFonts w:ascii="Calibri" w:eastAsia="Calibri" w:hAnsi="Calibri" w:cs="Calibri"/>
                <w:color w:val="000000"/>
                <w:sz w:val="20"/>
                <w:szCs w:val="20"/>
              </w:rPr>
              <w:t>Loadshape C60 – Non-Residential Agriculture Lighting – 6 Hours</w:t>
            </w:r>
          </w:p>
          <w:p w14:paraId="22DC7DEC" w14:textId="77777777" w:rsidR="002815D4" w:rsidRPr="002815D4" w:rsidRDefault="002815D4" w:rsidP="002815D4">
            <w:pPr>
              <w:spacing w:line="276" w:lineRule="auto"/>
              <w:rPr>
                <w:rFonts w:ascii="Calibri" w:eastAsia="Calibri" w:hAnsi="Calibri" w:cs="Calibri"/>
                <w:color w:val="000000"/>
                <w:sz w:val="20"/>
                <w:szCs w:val="20"/>
              </w:rPr>
            </w:pPr>
            <w:r w:rsidRPr="002815D4">
              <w:rPr>
                <w:rFonts w:ascii="Calibri" w:eastAsia="Calibri" w:hAnsi="Calibri" w:cs="Calibri"/>
                <w:color w:val="000000"/>
                <w:sz w:val="20"/>
                <w:szCs w:val="20"/>
              </w:rPr>
              <w:t>Loadshape C61 – Non-Residential Agriculture Lighting – 8 Hours</w:t>
            </w:r>
          </w:p>
          <w:p w14:paraId="7FD79C00" w14:textId="77777777" w:rsidR="002815D4" w:rsidRPr="002815D4" w:rsidRDefault="002815D4" w:rsidP="002815D4">
            <w:pPr>
              <w:spacing w:line="276" w:lineRule="auto"/>
              <w:rPr>
                <w:rFonts w:ascii="Calibri" w:eastAsia="Calibri" w:hAnsi="Calibri" w:cs="Calibri"/>
                <w:color w:val="000000"/>
                <w:sz w:val="20"/>
                <w:szCs w:val="20"/>
              </w:rPr>
            </w:pPr>
            <w:r w:rsidRPr="002815D4">
              <w:rPr>
                <w:rFonts w:ascii="Calibri" w:eastAsia="Calibri" w:hAnsi="Calibri" w:cs="Calibri"/>
                <w:color w:val="000000"/>
                <w:sz w:val="20"/>
                <w:szCs w:val="20"/>
              </w:rPr>
              <w:t>Loadshape C62 – Non-Residential Agriculture Lighting – 12 Hours</w:t>
            </w:r>
          </w:p>
          <w:p w14:paraId="0D88A0F7" w14:textId="77777777" w:rsidR="002815D4" w:rsidRPr="002815D4" w:rsidRDefault="002815D4" w:rsidP="002815D4">
            <w:pPr>
              <w:spacing w:line="276" w:lineRule="auto"/>
              <w:rPr>
                <w:rFonts w:ascii="Calibri" w:eastAsia="Calibri" w:hAnsi="Calibri" w:cs="Calibri"/>
                <w:color w:val="000000"/>
                <w:sz w:val="20"/>
                <w:szCs w:val="20"/>
              </w:rPr>
            </w:pPr>
            <w:r w:rsidRPr="002815D4">
              <w:rPr>
                <w:rFonts w:ascii="Calibri" w:eastAsia="Calibri" w:hAnsi="Calibri" w:cs="Calibri"/>
                <w:color w:val="000000"/>
                <w:sz w:val="20"/>
                <w:szCs w:val="20"/>
              </w:rPr>
              <w:t>Loadshape C63 – Non-Residential Dairy Long Day Lighting – 17 Hours</w:t>
            </w:r>
          </w:p>
          <w:p w14:paraId="4D93EC09" w14:textId="77777777" w:rsidR="002815D4" w:rsidRPr="002815D4" w:rsidRDefault="002815D4" w:rsidP="002815D4">
            <w:pPr>
              <w:spacing w:line="276" w:lineRule="auto"/>
              <w:rPr>
                <w:rFonts w:ascii="Calibri" w:eastAsia="Calibri" w:hAnsi="Calibri" w:cs="Calibri"/>
                <w:color w:val="000000"/>
                <w:sz w:val="20"/>
                <w:szCs w:val="20"/>
              </w:rPr>
            </w:pPr>
            <w:r w:rsidRPr="002815D4">
              <w:rPr>
                <w:rFonts w:ascii="Calibri" w:eastAsia="Calibri" w:hAnsi="Calibri" w:cs="Calibri"/>
                <w:color w:val="000000"/>
                <w:sz w:val="20"/>
                <w:szCs w:val="20"/>
              </w:rPr>
              <w:t>Loadshape C64 – Non-Residential Agriculture Lighting – 24 Hours</w:t>
            </w:r>
          </w:p>
        </w:tc>
      </w:tr>
    </w:tbl>
    <w:p w14:paraId="3ECCA418" w14:textId="77777777" w:rsidR="002815D4" w:rsidRPr="002815D4" w:rsidRDefault="002815D4" w:rsidP="002815D4">
      <w:pPr>
        <w:keepNext/>
        <w:keepLines/>
        <w:tabs>
          <w:tab w:val="left" w:pos="5040"/>
        </w:tabs>
        <w:spacing w:before="40" w:after="120"/>
        <w:jc w:val="both"/>
        <w:outlineLvl w:val="5"/>
        <w:rPr>
          <w:rFonts w:ascii="Calibri" w:eastAsia="Calibri" w:hAnsi="Calibri" w:cs="Calibri"/>
          <w:b/>
          <w:smallCaps/>
          <w:sz w:val="20"/>
          <w:szCs w:val="20"/>
        </w:rPr>
      </w:pPr>
      <w:r w:rsidRPr="002815D4">
        <w:rPr>
          <w:rFonts w:ascii="Calibri" w:eastAsia="Calibri" w:hAnsi="Calibri" w:cs="Calibri"/>
          <w:b/>
          <w:smallCaps/>
          <w:sz w:val="20"/>
          <w:szCs w:val="20"/>
        </w:rPr>
        <w:t xml:space="preserve">Coincidence Factor </w:t>
      </w:r>
    </w:p>
    <w:p w14:paraId="4BBFF001" w14:textId="77777777" w:rsidR="002815D4" w:rsidRPr="002815D4" w:rsidRDefault="002815D4" w:rsidP="002815D4">
      <w:pPr>
        <w:spacing w:after="120"/>
        <w:jc w:val="both"/>
        <w:rPr>
          <w:rFonts w:ascii="Calibri" w:eastAsia="Calibri" w:hAnsi="Calibri" w:cs="Arial"/>
          <w:sz w:val="20"/>
          <w:szCs w:val="20"/>
        </w:rPr>
      </w:pPr>
      <w:r w:rsidRPr="002815D4">
        <w:rPr>
          <w:rFonts w:ascii="Calibri" w:eastAsia="Calibri" w:hAnsi="Calibri" w:cs="Arial"/>
          <w:sz w:val="20"/>
          <w:szCs w:val="20"/>
        </w:rPr>
        <w:t>The summer peak coincidence factor for this measure is dependent on the location type. Values are provided for each building type in the reference section below.</w:t>
      </w:r>
    </w:p>
    <w:p w14:paraId="1D67348D" w14:textId="77777777" w:rsidR="002815D4" w:rsidRPr="002815D4" w:rsidRDefault="002815D4" w:rsidP="002815D4">
      <w:pPr>
        <w:keepNext/>
        <w:pBdr>
          <w:top w:val="double" w:sz="4" w:space="1" w:color="auto"/>
          <w:bottom w:val="double" w:sz="4" w:space="1" w:color="auto"/>
        </w:pBdr>
        <w:spacing w:after="120"/>
        <w:jc w:val="center"/>
        <w:rPr>
          <w:rFonts w:ascii="Calibri" w:eastAsia="Calibri" w:hAnsi="Calibri" w:cs="Calibri"/>
          <w:b/>
          <w:sz w:val="20"/>
          <w:szCs w:val="20"/>
        </w:rPr>
      </w:pPr>
      <w:r w:rsidRPr="002815D4">
        <w:rPr>
          <w:rFonts w:ascii="Calibri" w:eastAsia="Calibri" w:hAnsi="Calibri" w:cs="Calibri"/>
          <w:b/>
          <w:sz w:val="20"/>
          <w:szCs w:val="20"/>
        </w:rPr>
        <w:t>Algorithm</w:t>
      </w:r>
    </w:p>
    <w:p w14:paraId="1B57C510" w14:textId="77777777" w:rsidR="002815D4" w:rsidRPr="002815D4" w:rsidRDefault="002815D4" w:rsidP="002815D4">
      <w:pPr>
        <w:keepNext/>
        <w:keepLines/>
        <w:tabs>
          <w:tab w:val="left" w:pos="5040"/>
        </w:tabs>
        <w:spacing w:before="40" w:after="120"/>
        <w:jc w:val="both"/>
        <w:outlineLvl w:val="5"/>
        <w:rPr>
          <w:rFonts w:ascii="Calibri" w:eastAsia="Calibri" w:hAnsi="Calibri" w:cs="Calibri"/>
          <w:b/>
          <w:smallCaps/>
          <w:sz w:val="20"/>
          <w:szCs w:val="20"/>
        </w:rPr>
      </w:pPr>
      <w:r w:rsidRPr="002815D4">
        <w:rPr>
          <w:rFonts w:ascii="Calibri" w:eastAsia="Calibri" w:hAnsi="Calibri" w:cs="Calibri"/>
          <w:b/>
          <w:smallCaps/>
          <w:sz w:val="20"/>
          <w:szCs w:val="20"/>
        </w:rPr>
        <w:t>Calculation of Savings</w:t>
      </w:r>
    </w:p>
    <w:p w14:paraId="112FC75D" w14:textId="77777777" w:rsidR="002815D4" w:rsidRPr="002815D4" w:rsidRDefault="002815D4" w:rsidP="002815D4">
      <w:pPr>
        <w:keepNext/>
        <w:keepLines/>
        <w:tabs>
          <w:tab w:val="left" w:pos="5040"/>
        </w:tabs>
        <w:spacing w:before="40" w:after="120"/>
        <w:jc w:val="both"/>
        <w:outlineLvl w:val="5"/>
        <w:rPr>
          <w:rFonts w:ascii="Calibri" w:eastAsia="Calibri" w:hAnsi="Calibri" w:cs="Calibri"/>
          <w:b/>
          <w:smallCaps/>
          <w:sz w:val="20"/>
          <w:szCs w:val="20"/>
        </w:rPr>
      </w:pPr>
      <w:r w:rsidRPr="002815D4">
        <w:rPr>
          <w:rFonts w:ascii="Calibri" w:eastAsia="Calibri" w:hAnsi="Calibri" w:cs="Calibri"/>
          <w:b/>
          <w:smallCaps/>
          <w:sz w:val="20"/>
          <w:szCs w:val="20"/>
        </w:rPr>
        <w:t xml:space="preserve">Electric Energy Savings </w:t>
      </w:r>
    </w:p>
    <w:p w14:paraId="70FFF860" w14:textId="77777777" w:rsidR="002815D4" w:rsidRPr="002815D4" w:rsidRDefault="002815D4" w:rsidP="002815D4">
      <w:pPr>
        <w:spacing w:after="120"/>
        <w:ind w:left="1440" w:hanging="180"/>
        <w:jc w:val="both"/>
        <w:rPr>
          <w:rFonts w:ascii="Calibri" w:eastAsia="Calibri" w:hAnsi="Calibri" w:cs="Arial"/>
          <w:noProof/>
          <w:sz w:val="20"/>
          <w:szCs w:val="20"/>
        </w:rPr>
      </w:pPr>
      <w:r w:rsidRPr="002815D4">
        <w:rPr>
          <w:rFonts w:ascii="Calibri" w:eastAsia="Calibri" w:hAnsi="Calibri" w:cs="Arial"/>
          <w:noProof/>
          <w:sz w:val="20"/>
          <w:szCs w:val="20"/>
        </w:rPr>
        <w:t xml:space="preserve">ΔkWh  = </w:t>
      </w:r>
      <m:oMath>
        <m:r>
          <w:rPr>
            <w:rFonts w:ascii="Cambria Math" w:eastAsia="Calibri" w:hAnsi="Cambria Math" w:cs="Arial"/>
            <w:noProof/>
            <w:sz w:val="20"/>
            <w:szCs w:val="20"/>
          </w:rPr>
          <m:t>((</m:t>
        </m:r>
        <m:sSub>
          <m:sSubPr>
            <m:ctrlPr>
              <w:rPr>
                <w:rFonts w:ascii="Cambria Math" w:eastAsia="Calibri" w:hAnsi="Cambria Math" w:cs="Arial"/>
                <w:i/>
                <w:noProof/>
                <w:sz w:val="20"/>
                <w:szCs w:val="20"/>
              </w:rPr>
            </m:ctrlPr>
          </m:sSubPr>
          <m:e>
            <m:r>
              <w:rPr>
                <w:rFonts w:ascii="Cambria Math" w:eastAsia="Calibri" w:hAnsi="Cambria Math" w:cs="Arial"/>
                <w:noProof/>
                <w:sz w:val="20"/>
                <w:szCs w:val="20"/>
              </w:rPr>
              <m:t>Watts</m:t>
            </m:r>
          </m:e>
          <m:sub>
            <m:r>
              <w:rPr>
                <w:rFonts w:ascii="Cambria Math" w:eastAsia="Calibri" w:hAnsi="Cambria Math" w:cs="Arial"/>
                <w:noProof/>
                <w:sz w:val="20"/>
                <w:szCs w:val="20"/>
                <w:vertAlign w:val="subscript"/>
              </w:rPr>
              <m:t>base</m:t>
            </m:r>
          </m:sub>
        </m:sSub>
        <m:r>
          <w:rPr>
            <w:rFonts w:ascii="Cambria Math" w:eastAsia="Calibri" w:hAnsi="Cambria Math" w:cs="Arial"/>
            <w:noProof/>
            <w:sz w:val="20"/>
            <w:szCs w:val="20"/>
          </w:rPr>
          <m:t>-</m:t>
        </m:r>
        <m:sSub>
          <m:sSubPr>
            <m:ctrlPr>
              <w:rPr>
                <w:rFonts w:ascii="Cambria Math" w:eastAsia="Calibri" w:hAnsi="Cambria Math" w:cs="Arial"/>
                <w:i/>
                <w:noProof/>
                <w:sz w:val="20"/>
                <w:szCs w:val="20"/>
              </w:rPr>
            </m:ctrlPr>
          </m:sSubPr>
          <m:e>
            <m:r>
              <w:rPr>
                <w:rFonts w:ascii="Cambria Math" w:eastAsia="Calibri" w:hAnsi="Cambria Math" w:cs="Arial"/>
                <w:noProof/>
                <w:sz w:val="20"/>
                <w:szCs w:val="20"/>
              </w:rPr>
              <m:t>Watts</m:t>
            </m:r>
          </m:e>
          <m:sub>
            <m:r>
              <w:rPr>
                <w:rFonts w:ascii="Cambria Math" w:eastAsia="Calibri" w:hAnsi="Cambria Math" w:cs="Arial"/>
                <w:noProof/>
                <w:sz w:val="20"/>
                <w:szCs w:val="20"/>
                <w:vertAlign w:val="subscript"/>
              </w:rPr>
              <m:t>EE</m:t>
            </m:r>
          </m:sub>
        </m:sSub>
        <m:r>
          <w:rPr>
            <w:rFonts w:ascii="Cambria Math" w:eastAsia="Calibri" w:hAnsi="Cambria Math" w:cs="Arial"/>
            <w:noProof/>
            <w:sz w:val="20"/>
            <w:szCs w:val="20"/>
          </w:rPr>
          <m:t>)/1,000)  * Hours *</m:t>
        </m:r>
        <m:sSub>
          <m:sSubPr>
            <m:ctrlPr>
              <w:rPr>
                <w:rFonts w:ascii="Cambria Math" w:eastAsia="Calibri" w:hAnsi="Cambria Math" w:cs="Arial"/>
                <w:i/>
                <w:noProof/>
                <w:sz w:val="20"/>
                <w:szCs w:val="20"/>
              </w:rPr>
            </m:ctrlPr>
          </m:sSubPr>
          <m:e>
            <m:r>
              <w:rPr>
                <w:rFonts w:ascii="Cambria Math" w:eastAsia="Calibri" w:hAnsi="Cambria Math" w:cs="Arial"/>
                <w:noProof/>
                <w:sz w:val="20"/>
                <w:szCs w:val="20"/>
              </w:rPr>
              <m:t xml:space="preserve"> WHF</m:t>
            </m:r>
          </m:e>
          <m:sub>
            <m:r>
              <w:rPr>
                <w:rFonts w:ascii="Cambria Math" w:eastAsia="Calibri" w:hAnsi="Cambria Math" w:cs="Arial"/>
                <w:noProof/>
                <w:sz w:val="20"/>
                <w:szCs w:val="20"/>
                <w:vertAlign w:val="subscript"/>
              </w:rPr>
              <m:t>e</m:t>
            </m:r>
          </m:sub>
        </m:sSub>
        <m:r>
          <w:rPr>
            <w:rFonts w:ascii="Cambria Math" w:eastAsia="Calibri" w:hAnsi="Cambria Math" w:cs="Arial"/>
            <w:noProof/>
            <w:sz w:val="20"/>
            <w:szCs w:val="20"/>
            <w:vertAlign w:val="subscript"/>
          </w:rPr>
          <m:t xml:space="preserve"> </m:t>
        </m:r>
        <m:r>
          <w:rPr>
            <w:rFonts w:ascii="Cambria Math" w:eastAsia="Calibri" w:hAnsi="Cambria Math" w:cs="Arial"/>
            <w:noProof/>
            <w:sz w:val="20"/>
            <w:szCs w:val="20"/>
          </w:rPr>
          <m:t>* ISR * (1-Leakage)</m:t>
        </m:r>
      </m:oMath>
    </w:p>
    <w:p w14:paraId="26E8608E" w14:textId="77777777" w:rsidR="002815D4" w:rsidRPr="002815D4" w:rsidRDefault="002815D4" w:rsidP="002815D4">
      <w:pPr>
        <w:spacing w:after="120"/>
        <w:jc w:val="both"/>
        <w:rPr>
          <w:rFonts w:ascii="Calibri" w:eastAsia="Calibri" w:hAnsi="Calibri" w:cs="Arial"/>
          <w:noProof/>
          <w:sz w:val="20"/>
          <w:szCs w:val="20"/>
        </w:rPr>
      </w:pPr>
      <w:r w:rsidRPr="002815D4">
        <w:rPr>
          <w:rFonts w:ascii="Calibri" w:eastAsia="Calibri" w:hAnsi="Calibri" w:cs="Arial"/>
          <w:noProof/>
          <w:sz w:val="20"/>
          <w:szCs w:val="20"/>
        </w:rPr>
        <w:t>Where:</w:t>
      </w:r>
    </w:p>
    <w:p w14:paraId="3BCCEDCB" w14:textId="77777777" w:rsidR="002815D4" w:rsidRPr="002815D4" w:rsidRDefault="002815D4" w:rsidP="002815D4">
      <w:pPr>
        <w:spacing w:after="120"/>
        <w:ind w:left="2160" w:hanging="1440"/>
        <w:jc w:val="both"/>
        <w:rPr>
          <w:rFonts w:ascii="Calibri" w:eastAsia="Calibri" w:hAnsi="Calibri" w:cs="Arial"/>
          <w:noProof/>
          <w:sz w:val="20"/>
          <w:szCs w:val="20"/>
        </w:rPr>
      </w:pPr>
      <w:r w:rsidRPr="002815D4">
        <w:rPr>
          <w:rFonts w:ascii="Calibri" w:eastAsia="Calibri" w:hAnsi="Calibri" w:cs="Arial"/>
          <w:noProof/>
          <w:sz w:val="20"/>
          <w:szCs w:val="20"/>
        </w:rPr>
        <w:t>Watts</w:t>
      </w:r>
      <w:r w:rsidRPr="002815D4">
        <w:rPr>
          <w:rFonts w:ascii="Calibri" w:eastAsia="Calibri" w:hAnsi="Calibri" w:cs="Arial"/>
          <w:noProof/>
          <w:sz w:val="20"/>
          <w:szCs w:val="20"/>
          <w:vertAlign w:val="subscript"/>
        </w:rPr>
        <w:t>base</w:t>
      </w:r>
      <w:r w:rsidRPr="002815D4">
        <w:rPr>
          <w:rFonts w:ascii="Calibri" w:eastAsia="Calibri" w:hAnsi="Calibri" w:cs="Arial"/>
          <w:noProof/>
          <w:sz w:val="20"/>
          <w:szCs w:val="20"/>
        </w:rPr>
        <w:t xml:space="preserve"> </w:t>
      </w:r>
      <w:r w:rsidRPr="002815D4">
        <w:rPr>
          <w:rFonts w:ascii="Calibri" w:eastAsia="Calibri" w:hAnsi="Calibri" w:cs="Arial"/>
          <w:noProof/>
          <w:sz w:val="20"/>
          <w:szCs w:val="20"/>
        </w:rPr>
        <w:tab/>
        <w:t>= Input wattage of the existing (for early replacement) or baseline system. Reference  the “</w:t>
      </w:r>
      <w:r w:rsidRPr="002815D4">
        <w:rPr>
          <w:rFonts w:ascii="Calibri" w:eastAsia="Calibri" w:hAnsi="Calibri" w:cs="Arial"/>
          <w:sz w:val="20"/>
          <w:szCs w:val="20"/>
        </w:rPr>
        <w:t>LED New and Baseline Assumptions</w:t>
      </w:r>
      <w:r w:rsidRPr="002815D4">
        <w:rPr>
          <w:rFonts w:ascii="Calibri" w:eastAsia="Calibri" w:hAnsi="Calibri" w:cs="Arial"/>
          <w:noProof/>
          <w:sz w:val="20"/>
          <w:szCs w:val="20"/>
        </w:rPr>
        <w:t>” table for default values.</w:t>
      </w:r>
    </w:p>
    <w:p w14:paraId="3FCB6627" w14:textId="77777777" w:rsidR="002815D4" w:rsidRPr="002815D4" w:rsidRDefault="002815D4" w:rsidP="002815D4">
      <w:pPr>
        <w:spacing w:after="120"/>
        <w:ind w:left="2160" w:hanging="1440"/>
        <w:jc w:val="both"/>
        <w:rPr>
          <w:rFonts w:ascii="Calibri" w:eastAsia="Calibri" w:hAnsi="Calibri" w:cs="Arial"/>
          <w:noProof/>
          <w:sz w:val="20"/>
          <w:szCs w:val="20"/>
        </w:rPr>
      </w:pPr>
      <w:r w:rsidRPr="002815D4">
        <w:rPr>
          <w:rFonts w:ascii="Calibri" w:eastAsia="Calibri" w:hAnsi="Calibri" w:cs="Arial"/>
          <w:noProof/>
          <w:sz w:val="20"/>
          <w:szCs w:val="20"/>
        </w:rPr>
        <w:t>Watts</w:t>
      </w:r>
      <w:r w:rsidRPr="002815D4">
        <w:rPr>
          <w:rFonts w:ascii="Calibri" w:eastAsia="Calibri" w:hAnsi="Calibri" w:cs="Arial"/>
          <w:noProof/>
          <w:sz w:val="20"/>
          <w:szCs w:val="20"/>
          <w:vertAlign w:val="subscript"/>
        </w:rPr>
        <w:t>EE</w:t>
      </w:r>
      <w:r w:rsidRPr="002815D4">
        <w:rPr>
          <w:rFonts w:ascii="Calibri" w:eastAsia="Calibri" w:hAnsi="Calibri" w:cs="Arial"/>
          <w:noProof/>
          <w:sz w:val="20"/>
          <w:szCs w:val="20"/>
        </w:rPr>
        <w:tab/>
        <w:t xml:space="preserve">= </w:t>
      </w:r>
      <w:r w:rsidRPr="002815D4">
        <w:rPr>
          <w:rFonts w:ascii="Calibri" w:eastAsia="Calibri" w:hAnsi="Calibri" w:cs="Calibri"/>
          <w:noProof/>
          <w:sz w:val="20"/>
          <w:szCs w:val="20"/>
        </w:rPr>
        <w:t xml:space="preserve">Actual wattage of LED purchased / installed. If unknown, use default provided below: </w:t>
      </w:r>
    </w:p>
    <w:p w14:paraId="791AC519" w14:textId="77777777" w:rsidR="002815D4" w:rsidRPr="002815D4" w:rsidRDefault="002815D4" w:rsidP="002815D4">
      <w:pPr>
        <w:spacing w:after="120"/>
        <w:ind w:left="2160" w:hanging="1440"/>
        <w:jc w:val="both"/>
        <w:rPr>
          <w:rFonts w:ascii="Calibri" w:eastAsia="Calibri" w:hAnsi="Calibri" w:cs="Arial"/>
          <w:noProof/>
          <w:sz w:val="20"/>
          <w:szCs w:val="20"/>
        </w:rPr>
      </w:pPr>
      <w:r w:rsidRPr="002815D4">
        <w:rPr>
          <w:rFonts w:ascii="Calibri" w:eastAsia="Calibri" w:hAnsi="Calibri" w:cs="Arial"/>
          <w:noProof/>
          <w:sz w:val="20"/>
          <w:szCs w:val="20"/>
        </w:rPr>
        <w:tab/>
        <w:t>For ENERGY STAR rated lamps the following lumen equivalence tables should be used:</w:t>
      </w:r>
      <w:r w:rsidRPr="002815D4">
        <w:rPr>
          <w:rFonts w:ascii="Arial" w:eastAsia="Calibri" w:hAnsi="Arial" w:cs="Times New Roman"/>
          <w:noProof/>
          <w:sz w:val="20"/>
          <w:szCs w:val="20"/>
          <w:vertAlign w:val="superscript"/>
        </w:rPr>
        <w:footnoteReference w:id="5"/>
      </w:r>
    </w:p>
    <w:p w14:paraId="1308559B" w14:textId="77777777" w:rsidR="002815D4" w:rsidRPr="002815D4" w:rsidRDefault="002815D4" w:rsidP="002815D4">
      <w:pPr>
        <w:spacing w:after="120"/>
        <w:jc w:val="center"/>
        <w:rPr>
          <w:rFonts w:ascii="Calibri" w:eastAsia="Calibri" w:hAnsi="Calibri" w:cs="Arial"/>
          <w:b/>
          <w:noProof/>
          <w:sz w:val="20"/>
          <w:szCs w:val="20"/>
        </w:rPr>
      </w:pPr>
      <w:r w:rsidRPr="002815D4">
        <w:rPr>
          <w:rFonts w:ascii="Calibri" w:eastAsia="Calibri" w:hAnsi="Calibri" w:cs="Arial"/>
          <w:b/>
          <w:noProof/>
          <w:sz w:val="20"/>
          <w:szCs w:val="20"/>
        </w:rPr>
        <w:t>Omnidirectional Lamps - ENERGY STAR Minimum Luminous Efficacy = 80Lm/W for &lt;90 CRI lamps and 70Lm/W for &gt;=90 CRI lamps.</w:t>
      </w:r>
    </w:p>
    <w:tbl>
      <w:tblPr>
        <w:tblW w:w="7128" w:type="dxa"/>
        <w:jc w:val="center"/>
        <w:tblLook w:val="04A0" w:firstRow="1" w:lastRow="0" w:firstColumn="1" w:lastColumn="0" w:noHBand="0" w:noVBand="1"/>
      </w:tblPr>
      <w:tblGrid>
        <w:gridCol w:w="1150"/>
        <w:gridCol w:w="1150"/>
        <w:gridCol w:w="1303"/>
        <w:gridCol w:w="1315"/>
        <w:gridCol w:w="1105"/>
        <w:gridCol w:w="1105"/>
      </w:tblGrid>
      <w:tr w:rsidR="002815D4" w:rsidRPr="002815D4" w14:paraId="1767C03F" w14:textId="77777777" w:rsidTr="00935A18">
        <w:trPr>
          <w:trHeight w:val="1463"/>
          <w:tblHeader/>
          <w:jc w:val="center"/>
        </w:trPr>
        <w:tc>
          <w:tcPr>
            <w:tcW w:w="1150" w:type="dxa"/>
            <w:tcBorders>
              <w:top w:val="single" w:sz="4" w:space="0" w:color="auto"/>
              <w:left w:val="single" w:sz="4" w:space="0" w:color="auto"/>
              <w:bottom w:val="single" w:sz="4" w:space="0" w:color="auto"/>
              <w:right w:val="single" w:sz="4" w:space="0" w:color="auto"/>
            </w:tcBorders>
            <w:shd w:val="clear" w:color="auto" w:fill="7F7F7F"/>
            <w:vAlign w:val="center"/>
            <w:hideMark/>
          </w:tcPr>
          <w:p w14:paraId="41C8E929" w14:textId="77777777" w:rsidR="002815D4" w:rsidRPr="002815D4" w:rsidRDefault="002815D4" w:rsidP="002815D4">
            <w:pPr>
              <w:spacing w:line="276" w:lineRule="auto"/>
              <w:jc w:val="center"/>
              <w:rPr>
                <w:rFonts w:ascii="Calibri" w:eastAsia="Calibri" w:hAnsi="Calibri" w:cs="Arial"/>
                <w:b/>
                <w:bCs/>
                <w:color w:val="FFFFFF"/>
                <w:sz w:val="20"/>
                <w:szCs w:val="20"/>
              </w:rPr>
            </w:pPr>
            <w:r w:rsidRPr="002815D4">
              <w:rPr>
                <w:rFonts w:ascii="Calibri" w:eastAsia="Calibri" w:hAnsi="Calibri" w:cs="Arial"/>
                <w:b/>
                <w:bCs/>
                <w:color w:val="FFFFFF"/>
                <w:sz w:val="20"/>
                <w:szCs w:val="20"/>
              </w:rPr>
              <w:t>Minimum Lumens</w:t>
            </w:r>
          </w:p>
        </w:tc>
        <w:tc>
          <w:tcPr>
            <w:tcW w:w="1150" w:type="dxa"/>
            <w:tcBorders>
              <w:top w:val="single" w:sz="4" w:space="0" w:color="auto"/>
              <w:left w:val="single" w:sz="4" w:space="0" w:color="auto"/>
              <w:bottom w:val="single" w:sz="4" w:space="0" w:color="auto"/>
              <w:right w:val="single" w:sz="4" w:space="0" w:color="auto"/>
            </w:tcBorders>
            <w:shd w:val="clear" w:color="auto" w:fill="7F7F7F"/>
            <w:vAlign w:val="center"/>
            <w:hideMark/>
          </w:tcPr>
          <w:p w14:paraId="53A5992B" w14:textId="77777777" w:rsidR="002815D4" w:rsidRPr="002815D4" w:rsidRDefault="002815D4" w:rsidP="002815D4">
            <w:pPr>
              <w:spacing w:line="276" w:lineRule="auto"/>
              <w:jc w:val="center"/>
              <w:rPr>
                <w:rFonts w:ascii="Calibri" w:eastAsia="Calibri" w:hAnsi="Calibri" w:cs="Arial"/>
                <w:b/>
                <w:bCs/>
                <w:color w:val="FFFFFF"/>
                <w:sz w:val="20"/>
                <w:szCs w:val="20"/>
              </w:rPr>
            </w:pPr>
            <w:r w:rsidRPr="002815D4">
              <w:rPr>
                <w:rFonts w:ascii="Calibri" w:eastAsia="Calibri" w:hAnsi="Calibri" w:cs="Arial"/>
                <w:b/>
                <w:bCs/>
                <w:color w:val="FFFFFF"/>
                <w:sz w:val="20"/>
                <w:szCs w:val="20"/>
              </w:rPr>
              <w:t>Maximum Lumens</w:t>
            </w:r>
          </w:p>
        </w:tc>
        <w:tc>
          <w:tcPr>
            <w:tcW w:w="1303" w:type="dxa"/>
            <w:tcBorders>
              <w:top w:val="single" w:sz="4" w:space="0" w:color="auto"/>
              <w:left w:val="single" w:sz="4" w:space="0" w:color="auto"/>
              <w:bottom w:val="single" w:sz="4" w:space="0" w:color="auto"/>
              <w:right w:val="single" w:sz="4" w:space="0" w:color="auto"/>
            </w:tcBorders>
            <w:shd w:val="clear" w:color="auto" w:fill="7F7F7F"/>
            <w:vAlign w:val="center"/>
            <w:hideMark/>
          </w:tcPr>
          <w:p w14:paraId="12F1E735" w14:textId="77777777" w:rsidR="002815D4" w:rsidRPr="002815D4" w:rsidRDefault="002815D4" w:rsidP="002815D4">
            <w:pPr>
              <w:spacing w:line="276" w:lineRule="auto"/>
              <w:jc w:val="center"/>
              <w:rPr>
                <w:rFonts w:ascii="Calibri" w:eastAsia="Calibri" w:hAnsi="Calibri" w:cs="Arial"/>
                <w:b/>
                <w:bCs/>
                <w:color w:val="FFFFFF"/>
                <w:sz w:val="20"/>
                <w:szCs w:val="20"/>
              </w:rPr>
            </w:pPr>
            <w:r w:rsidRPr="002815D4">
              <w:rPr>
                <w:rFonts w:ascii="Calibri" w:eastAsia="Calibri" w:hAnsi="Calibri" w:cs="Arial"/>
                <w:b/>
                <w:bCs/>
                <w:color w:val="FFFFFF"/>
                <w:sz w:val="20"/>
                <w:szCs w:val="20"/>
              </w:rPr>
              <w:t>LED Wattage</w:t>
            </w:r>
            <w:r w:rsidRPr="002815D4">
              <w:rPr>
                <w:rFonts w:ascii="Calibri" w:eastAsia="Calibri" w:hAnsi="Calibri" w:cs="Arial"/>
                <w:b/>
                <w:bCs/>
                <w:color w:val="FFFFFF"/>
                <w:sz w:val="20"/>
                <w:szCs w:val="20"/>
              </w:rPr>
              <w:br/>
              <w:t>(WattsEE)</w:t>
            </w:r>
          </w:p>
        </w:tc>
        <w:tc>
          <w:tcPr>
            <w:tcW w:w="1315" w:type="dxa"/>
            <w:tcBorders>
              <w:top w:val="single" w:sz="4" w:space="0" w:color="auto"/>
              <w:left w:val="single" w:sz="4" w:space="0" w:color="auto"/>
              <w:bottom w:val="single" w:sz="4" w:space="0" w:color="auto"/>
              <w:right w:val="single" w:sz="4" w:space="0" w:color="auto"/>
            </w:tcBorders>
            <w:shd w:val="clear" w:color="auto" w:fill="7F7F7F"/>
            <w:vAlign w:val="center"/>
            <w:hideMark/>
          </w:tcPr>
          <w:p w14:paraId="653F94E6" w14:textId="77777777" w:rsidR="002815D4" w:rsidRPr="002815D4" w:rsidRDefault="002815D4" w:rsidP="002815D4">
            <w:pPr>
              <w:spacing w:line="276" w:lineRule="auto"/>
              <w:jc w:val="center"/>
              <w:rPr>
                <w:rFonts w:ascii="Calibri" w:eastAsia="Calibri" w:hAnsi="Calibri" w:cs="Arial"/>
                <w:b/>
                <w:bCs/>
                <w:color w:val="FFFFFF"/>
                <w:sz w:val="20"/>
                <w:szCs w:val="20"/>
              </w:rPr>
            </w:pPr>
            <w:r w:rsidRPr="002815D4">
              <w:rPr>
                <w:rFonts w:ascii="Calibri" w:eastAsia="Calibri" w:hAnsi="Calibri" w:cs="Arial"/>
                <w:b/>
                <w:bCs/>
                <w:color w:val="FFFFFF"/>
                <w:sz w:val="20"/>
                <w:szCs w:val="20"/>
              </w:rPr>
              <w:t xml:space="preserve">Baseline </w:t>
            </w:r>
            <w:r w:rsidRPr="002815D4">
              <w:rPr>
                <w:rFonts w:ascii="Calibri" w:eastAsia="Calibri" w:hAnsi="Calibri" w:cs="Arial"/>
                <w:b/>
                <w:bCs/>
                <w:color w:val="FFFFFF"/>
                <w:sz w:val="20"/>
                <w:szCs w:val="20"/>
              </w:rPr>
              <w:br/>
              <w:t>(WattsBase)</w:t>
            </w:r>
          </w:p>
        </w:tc>
        <w:tc>
          <w:tcPr>
            <w:tcW w:w="1105" w:type="dxa"/>
            <w:tcBorders>
              <w:top w:val="single" w:sz="4" w:space="0" w:color="auto"/>
              <w:left w:val="single" w:sz="4" w:space="0" w:color="auto"/>
              <w:bottom w:val="single" w:sz="4" w:space="0" w:color="auto"/>
              <w:right w:val="single" w:sz="4" w:space="0" w:color="auto"/>
            </w:tcBorders>
            <w:shd w:val="clear" w:color="auto" w:fill="7F7F7F"/>
            <w:vAlign w:val="center"/>
            <w:hideMark/>
          </w:tcPr>
          <w:p w14:paraId="534021AE" w14:textId="77777777" w:rsidR="002815D4" w:rsidRPr="002815D4" w:rsidRDefault="002815D4" w:rsidP="002815D4">
            <w:pPr>
              <w:spacing w:line="276" w:lineRule="auto"/>
              <w:jc w:val="center"/>
              <w:rPr>
                <w:rFonts w:ascii="Calibri" w:eastAsia="Calibri" w:hAnsi="Calibri" w:cs="Arial"/>
                <w:b/>
                <w:bCs/>
                <w:color w:val="FFFFFF"/>
                <w:sz w:val="20"/>
                <w:szCs w:val="20"/>
              </w:rPr>
            </w:pPr>
            <w:r w:rsidRPr="002815D4">
              <w:rPr>
                <w:rFonts w:ascii="Calibri" w:eastAsia="Calibri" w:hAnsi="Calibri" w:cs="Arial"/>
                <w:b/>
                <w:bCs/>
                <w:color w:val="FFFFFF"/>
                <w:sz w:val="20"/>
                <w:szCs w:val="20"/>
              </w:rPr>
              <w:t xml:space="preserve">Delta Watts </w:t>
            </w:r>
            <w:r w:rsidRPr="002815D4">
              <w:rPr>
                <w:rFonts w:ascii="Calibri" w:eastAsia="Calibri" w:hAnsi="Calibri" w:cs="Arial"/>
                <w:b/>
                <w:bCs/>
                <w:color w:val="FFFFFF"/>
                <w:sz w:val="20"/>
                <w:szCs w:val="20"/>
              </w:rPr>
              <w:br/>
              <w:t>(WattsEE)</w:t>
            </w:r>
          </w:p>
        </w:tc>
        <w:tc>
          <w:tcPr>
            <w:tcW w:w="1105" w:type="dxa"/>
            <w:tcBorders>
              <w:top w:val="single" w:sz="4" w:space="0" w:color="auto"/>
              <w:left w:val="single" w:sz="4" w:space="0" w:color="auto"/>
              <w:right w:val="single" w:sz="4" w:space="0" w:color="auto"/>
            </w:tcBorders>
            <w:shd w:val="clear" w:color="auto" w:fill="7F7F7F"/>
            <w:vAlign w:val="center"/>
          </w:tcPr>
          <w:p w14:paraId="5E590027" w14:textId="77777777" w:rsidR="002815D4" w:rsidRPr="002815D4" w:rsidRDefault="002815D4" w:rsidP="002815D4">
            <w:pPr>
              <w:spacing w:line="276" w:lineRule="auto"/>
              <w:jc w:val="center"/>
              <w:rPr>
                <w:rFonts w:ascii="Calibri" w:eastAsia="Calibri" w:hAnsi="Calibri" w:cs="Arial"/>
                <w:b/>
                <w:bCs/>
                <w:color w:val="FFFFFF"/>
                <w:sz w:val="20"/>
                <w:szCs w:val="20"/>
              </w:rPr>
            </w:pPr>
            <w:r w:rsidRPr="002815D4">
              <w:rPr>
                <w:rFonts w:ascii="Calibri" w:eastAsia="Calibri" w:hAnsi="Calibri" w:cs="Arial"/>
                <w:b/>
                <w:bCs/>
                <w:color w:val="FFFFFF"/>
                <w:sz w:val="20"/>
                <w:szCs w:val="20"/>
              </w:rPr>
              <w:t>Impacted by EISA Backstop</w:t>
            </w:r>
          </w:p>
        </w:tc>
      </w:tr>
      <w:tr w:rsidR="002815D4" w:rsidRPr="002815D4" w14:paraId="45D33B7D" w14:textId="77777777" w:rsidTr="00935A18">
        <w:trPr>
          <w:trHeight w:val="17"/>
          <w:jc w:val="center"/>
        </w:trPr>
        <w:tc>
          <w:tcPr>
            <w:tcW w:w="1150" w:type="dxa"/>
            <w:tcBorders>
              <w:top w:val="single" w:sz="4" w:space="0" w:color="auto"/>
              <w:left w:val="single" w:sz="4" w:space="0" w:color="auto"/>
              <w:bottom w:val="single" w:sz="4" w:space="0" w:color="auto"/>
              <w:right w:val="single" w:sz="4" w:space="0" w:color="auto"/>
            </w:tcBorders>
            <w:vAlign w:val="bottom"/>
            <w:hideMark/>
          </w:tcPr>
          <w:p w14:paraId="0246EFD5"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120</w:t>
            </w:r>
          </w:p>
        </w:tc>
        <w:tc>
          <w:tcPr>
            <w:tcW w:w="1150" w:type="dxa"/>
            <w:tcBorders>
              <w:top w:val="single" w:sz="4" w:space="0" w:color="auto"/>
              <w:left w:val="nil"/>
              <w:bottom w:val="single" w:sz="4" w:space="0" w:color="auto"/>
              <w:right w:val="single" w:sz="4" w:space="0" w:color="auto"/>
            </w:tcBorders>
            <w:vAlign w:val="bottom"/>
            <w:hideMark/>
          </w:tcPr>
          <w:p w14:paraId="766B61AB"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309</w:t>
            </w:r>
          </w:p>
        </w:tc>
        <w:tc>
          <w:tcPr>
            <w:tcW w:w="1303" w:type="dxa"/>
            <w:tcBorders>
              <w:top w:val="single" w:sz="4" w:space="0" w:color="auto"/>
              <w:left w:val="nil"/>
              <w:bottom w:val="single" w:sz="4" w:space="0" w:color="auto"/>
              <w:right w:val="single" w:sz="4" w:space="0" w:color="auto"/>
            </w:tcBorders>
            <w:vAlign w:val="bottom"/>
            <w:hideMark/>
          </w:tcPr>
          <w:p w14:paraId="108ECC2C"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4.0</w:t>
            </w:r>
          </w:p>
        </w:tc>
        <w:tc>
          <w:tcPr>
            <w:tcW w:w="1315" w:type="dxa"/>
            <w:tcBorders>
              <w:top w:val="single" w:sz="4" w:space="0" w:color="auto"/>
              <w:left w:val="nil"/>
              <w:bottom w:val="single" w:sz="4" w:space="0" w:color="auto"/>
              <w:right w:val="single" w:sz="4" w:space="0" w:color="auto"/>
            </w:tcBorders>
            <w:vAlign w:val="bottom"/>
            <w:hideMark/>
          </w:tcPr>
          <w:p w14:paraId="513B5F84"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25</w:t>
            </w:r>
          </w:p>
        </w:tc>
        <w:tc>
          <w:tcPr>
            <w:tcW w:w="1105" w:type="dxa"/>
            <w:tcBorders>
              <w:top w:val="single" w:sz="4" w:space="0" w:color="auto"/>
              <w:left w:val="nil"/>
              <w:bottom w:val="single" w:sz="4" w:space="0" w:color="auto"/>
              <w:right w:val="single" w:sz="4" w:space="0" w:color="auto"/>
            </w:tcBorders>
            <w:vAlign w:val="bottom"/>
            <w:hideMark/>
          </w:tcPr>
          <w:p w14:paraId="6DCC393F"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21.0</w:t>
            </w:r>
          </w:p>
        </w:tc>
        <w:tc>
          <w:tcPr>
            <w:tcW w:w="1105" w:type="dxa"/>
            <w:tcBorders>
              <w:top w:val="single" w:sz="4" w:space="0" w:color="auto"/>
              <w:left w:val="nil"/>
              <w:bottom w:val="single" w:sz="4" w:space="0" w:color="auto"/>
              <w:right w:val="single" w:sz="4" w:space="0" w:color="auto"/>
            </w:tcBorders>
          </w:tcPr>
          <w:p w14:paraId="4EBD0E1D"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No</w:t>
            </w:r>
          </w:p>
        </w:tc>
      </w:tr>
      <w:tr w:rsidR="002815D4" w:rsidRPr="002815D4" w14:paraId="69184E3F" w14:textId="77777777" w:rsidTr="00935A18">
        <w:trPr>
          <w:trHeight w:val="17"/>
          <w:jc w:val="center"/>
        </w:trPr>
        <w:tc>
          <w:tcPr>
            <w:tcW w:w="1150" w:type="dxa"/>
            <w:tcBorders>
              <w:top w:val="single" w:sz="4" w:space="0" w:color="auto"/>
              <w:left w:val="single" w:sz="4" w:space="0" w:color="auto"/>
              <w:bottom w:val="single" w:sz="4" w:space="0" w:color="auto"/>
              <w:right w:val="single" w:sz="4" w:space="0" w:color="auto"/>
            </w:tcBorders>
            <w:vAlign w:val="bottom"/>
          </w:tcPr>
          <w:p w14:paraId="539DF2CA"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310</w:t>
            </w:r>
          </w:p>
        </w:tc>
        <w:tc>
          <w:tcPr>
            <w:tcW w:w="1150" w:type="dxa"/>
            <w:tcBorders>
              <w:top w:val="single" w:sz="4" w:space="0" w:color="auto"/>
              <w:left w:val="nil"/>
              <w:bottom w:val="single" w:sz="4" w:space="0" w:color="auto"/>
              <w:right w:val="single" w:sz="4" w:space="0" w:color="auto"/>
            </w:tcBorders>
            <w:vAlign w:val="bottom"/>
          </w:tcPr>
          <w:p w14:paraId="6D781B0D" w14:textId="77777777" w:rsidR="002815D4" w:rsidRPr="002815D4" w:rsidDel="006412B0"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399</w:t>
            </w:r>
          </w:p>
        </w:tc>
        <w:tc>
          <w:tcPr>
            <w:tcW w:w="1303" w:type="dxa"/>
            <w:tcBorders>
              <w:top w:val="single" w:sz="4" w:space="0" w:color="auto"/>
              <w:left w:val="nil"/>
              <w:bottom w:val="single" w:sz="4" w:space="0" w:color="auto"/>
              <w:right w:val="single" w:sz="4" w:space="0" w:color="auto"/>
            </w:tcBorders>
            <w:vAlign w:val="bottom"/>
          </w:tcPr>
          <w:p w14:paraId="33B2C29A"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4.0</w:t>
            </w:r>
          </w:p>
        </w:tc>
        <w:tc>
          <w:tcPr>
            <w:tcW w:w="1315" w:type="dxa"/>
            <w:tcBorders>
              <w:top w:val="single" w:sz="4" w:space="0" w:color="auto"/>
              <w:left w:val="nil"/>
              <w:bottom w:val="single" w:sz="4" w:space="0" w:color="auto"/>
              <w:right w:val="single" w:sz="4" w:space="0" w:color="auto"/>
            </w:tcBorders>
            <w:vAlign w:val="bottom"/>
          </w:tcPr>
          <w:p w14:paraId="6BE0519A"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25</w:t>
            </w:r>
          </w:p>
        </w:tc>
        <w:tc>
          <w:tcPr>
            <w:tcW w:w="1105" w:type="dxa"/>
            <w:tcBorders>
              <w:top w:val="single" w:sz="4" w:space="0" w:color="auto"/>
              <w:left w:val="nil"/>
              <w:bottom w:val="single" w:sz="4" w:space="0" w:color="auto"/>
              <w:right w:val="single" w:sz="4" w:space="0" w:color="auto"/>
            </w:tcBorders>
            <w:vAlign w:val="bottom"/>
          </w:tcPr>
          <w:p w14:paraId="17A781FA"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21.0</w:t>
            </w:r>
          </w:p>
        </w:tc>
        <w:tc>
          <w:tcPr>
            <w:tcW w:w="1105" w:type="dxa"/>
            <w:tcBorders>
              <w:top w:val="single" w:sz="4" w:space="0" w:color="auto"/>
              <w:left w:val="nil"/>
              <w:bottom w:val="single" w:sz="4" w:space="0" w:color="auto"/>
              <w:right w:val="single" w:sz="4" w:space="0" w:color="auto"/>
            </w:tcBorders>
          </w:tcPr>
          <w:p w14:paraId="1031FF35"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4D30D942" w14:textId="77777777" w:rsidTr="00935A18">
        <w:trPr>
          <w:trHeight w:val="17"/>
          <w:jc w:val="center"/>
        </w:trPr>
        <w:tc>
          <w:tcPr>
            <w:tcW w:w="1150" w:type="dxa"/>
            <w:tcBorders>
              <w:top w:val="nil"/>
              <w:left w:val="single" w:sz="4" w:space="0" w:color="auto"/>
              <w:bottom w:val="single" w:sz="4" w:space="0" w:color="auto"/>
              <w:right w:val="single" w:sz="4" w:space="0" w:color="auto"/>
            </w:tcBorders>
            <w:vAlign w:val="bottom"/>
            <w:hideMark/>
          </w:tcPr>
          <w:p w14:paraId="647EB75A"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400</w:t>
            </w:r>
          </w:p>
        </w:tc>
        <w:tc>
          <w:tcPr>
            <w:tcW w:w="1150" w:type="dxa"/>
            <w:tcBorders>
              <w:top w:val="nil"/>
              <w:left w:val="nil"/>
              <w:bottom w:val="single" w:sz="4" w:space="0" w:color="auto"/>
              <w:right w:val="single" w:sz="4" w:space="0" w:color="auto"/>
            </w:tcBorders>
            <w:vAlign w:val="bottom"/>
            <w:hideMark/>
          </w:tcPr>
          <w:p w14:paraId="6C4CEA2F"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749</w:t>
            </w:r>
          </w:p>
        </w:tc>
        <w:tc>
          <w:tcPr>
            <w:tcW w:w="1303" w:type="dxa"/>
            <w:tcBorders>
              <w:top w:val="nil"/>
              <w:left w:val="nil"/>
              <w:bottom w:val="single" w:sz="4" w:space="0" w:color="auto"/>
              <w:right w:val="single" w:sz="4" w:space="0" w:color="auto"/>
            </w:tcBorders>
            <w:vAlign w:val="bottom"/>
            <w:hideMark/>
          </w:tcPr>
          <w:p w14:paraId="5DC0FBE4"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6.6</w:t>
            </w:r>
          </w:p>
        </w:tc>
        <w:tc>
          <w:tcPr>
            <w:tcW w:w="1315" w:type="dxa"/>
            <w:tcBorders>
              <w:top w:val="nil"/>
              <w:left w:val="nil"/>
              <w:bottom w:val="single" w:sz="4" w:space="0" w:color="auto"/>
              <w:right w:val="single" w:sz="4" w:space="0" w:color="auto"/>
            </w:tcBorders>
            <w:vAlign w:val="bottom"/>
            <w:hideMark/>
          </w:tcPr>
          <w:p w14:paraId="4F8C4C8B"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29</w:t>
            </w:r>
          </w:p>
        </w:tc>
        <w:tc>
          <w:tcPr>
            <w:tcW w:w="1105" w:type="dxa"/>
            <w:tcBorders>
              <w:top w:val="nil"/>
              <w:left w:val="nil"/>
              <w:bottom w:val="single" w:sz="4" w:space="0" w:color="auto"/>
              <w:right w:val="single" w:sz="4" w:space="0" w:color="auto"/>
            </w:tcBorders>
            <w:vAlign w:val="bottom"/>
            <w:hideMark/>
          </w:tcPr>
          <w:p w14:paraId="54614DDB"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22.4</w:t>
            </w:r>
          </w:p>
        </w:tc>
        <w:tc>
          <w:tcPr>
            <w:tcW w:w="1105" w:type="dxa"/>
            <w:tcBorders>
              <w:top w:val="nil"/>
              <w:left w:val="nil"/>
              <w:bottom w:val="single" w:sz="4" w:space="0" w:color="auto"/>
              <w:right w:val="single" w:sz="4" w:space="0" w:color="auto"/>
            </w:tcBorders>
          </w:tcPr>
          <w:p w14:paraId="33F4B0D6"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534F3B03" w14:textId="77777777" w:rsidTr="00935A18">
        <w:trPr>
          <w:trHeight w:val="17"/>
          <w:jc w:val="center"/>
        </w:trPr>
        <w:tc>
          <w:tcPr>
            <w:tcW w:w="1150" w:type="dxa"/>
            <w:tcBorders>
              <w:top w:val="nil"/>
              <w:left w:val="single" w:sz="4" w:space="0" w:color="auto"/>
              <w:bottom w:val="single" w:sz="4" w:space="0" w:color="auto"/>
              <w:right w:val="single" w:sz="4" w:space="0" w:color="auto"/>
            </w:tcBorders>
            <w:vAlign w:val="bottom"/>
            <w:hideMark/>
          </w:tcPr>
          <w:p w14:paraId="660B98CF"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750</w:t>
            </w:r>
          </w:p>
        </w:tc>
        <w:tc>
          <w:tcPr>
            <w:tcW w:w="1150" w:type="dxa"/>
            <w:tcBorders>
              <w:top w:val="nil"/>
              <w:left w:val="nil"/>
              <w:bottom w:val="single" w:sz="4" w:space="0" w:color="auto"/>
              <w:right w:val="single" w:sz="4" w:space="0" w:color="auto"/>
            </w:tcBorders>
            <w:vAlign w:val="bottom"/>
            <w:hideMark/>
          </w:tcPr>
          <w:p w14:paraId="65F22340"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899</w:t>
            </w:r>
          </w:p>
        </w:tc>
        <w:tc>
          <w:tcPr>
            <w:tcW w:w="1303" w:type="dxa"/>
            <w:tcBorders>
              <w:top w:val="nil"/>
              <w:left w:val="nil"/>
              <w:bottom w:val="single" w:sz="4" w:space="0" w:color="auto"/>
              <w:right w:val="single" w:sz="4" w:space="0" w:color="auto"/>
            </w:tcBorders>
            <w:vAlign w:val="bottom"/>
            <w:hideMark/>
          </w:tcPr>
          <w:p w14:paraId="153F373A"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9.6</w:t>
            </w:r>
          </w:p>
        </w:tc>
        <w:tc>
          <w:tcPr>
            <w:tcW w:w="1315" w:type="dxa"/>
            <w:tcBorders>
              <w:top w:val="nil"/>
              <w:left w:val="nil"/>
              <w:bottom w:val="single" w:sz="4" w:space="0" w:color="auto"/>
              <w:right w:val="single" w:sz="4" w:space="0" w:color="auto"/>
            </w:tcBorders>
            <w:vAlign w:val="bottom"/>
            <w:hideMark/>
          </w:tcPr>
          <w:p w14:paraId="353671E8"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43</w:t>
            </w:r>
          </w:p>
        </w:tc>
        <w:tc>
          <w:tcPr>
            <w:tcW w:w="1105" w:type="dxa"/>
            <w:tcBorders>
              <w:top w:val="nil"/>
              <w:left w:val="nil"/>
              <w:bottom w:val="single" w:sz="4" w:space="0" w:color="auto"/>
              <w:right w:val="single" w:sz="4" w:space="0" w:color="auto"/>
            </w:tcBorders>
            <w:vAlign w:val="bottom"/>
            <w:hideMark/>
          </w:tcPr>
          <w:p w14:paraId="04BC8FDA"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33.4</w:t>
            </w:r>
          </w:p>
        </w:tc>
        <w:tc>
          <w:tcPr>
            <w:tcW w:w="1105" w:type="dxa"/>
            <w:tcBorders>
              <w:top w:val="nil"/>
              <w:left w:val="nil"/>
              <w:bottom w:val="single" w:sz="4" w:space="0" w:color="auto"/>
              <w:right w:val="single" w:sz="4" w:space="0" w:color="auto"/>
            </w:tcBorders>
          </w:tcPr>
          <w:p w14:paraId="50E74502"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1FE68DC4" w14:textId="77777777" w:rsidTr="00935A18">
        <w:trPr>
          <w:trHeight w:val="17"/>
          <w:jc w:val="center"/>
        </w:trPr>
        <w:tc>
          <w:tcPr>
            <w:tcW w:w="1150" w:type="dxa"/>
            <w:tcBorders>
              <w:top w:val="nil"/>
              <w:left w:val="single" w:sz="4" w:space="0" w:color="auto"/>
              <w:bottom w:val="single" w:sz="4" w:space="0" w:color="auto"/>
              <w:right w:val="single" w:sz="4" w:space="0" w:color="auto"/>
            </w:tcBorders>
            <w:vAlign w:val="bottom"/>
            <w:hideMark/>
          </w:tcPr>
          <w:p w14:paraId="2197C167"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900</w:t>
            </w:r>
          </w:p>
        </w:tc>
        <w:tc>
          <w:tcPr>
            <w:tcW w:w="1150" w:type="dxa"/>
            <w:tcBorders>
              <w:top w:val="nil"/>
              <w:left w:val="nil"/>
              <w:bottom w:val="single" w:sz="4" w:space="0" w:color="auto"/>
              <w:right w:val="single" w:sz="4" w:space="0" w:color="auto"/>
            </w:tcBorders>
            <w:vAlign w:val="bottom"/>
            <w:hideMark/>
          </w:tcPr>
          <w:p w14:paraId="55E341B1"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1,399</w:t>
            </w:r>
          </w:p>
        </w:tc>
        <w:tc>
          <w:tcPr>
            <w:tcW w:w="1303" w:type="dxa"/>
            <w:tcBorders>
              <w:top w:val="nil"/>
              <w:left w:val="nil"/>
              <w:bottom w:val="single" w:sz="4" w:space="0" w:color="auto"/>
              <w:right w:val="single" w:sz="4" w:space="0" w:color="auto"/>
            </w:tcBorders>
            <w:vAlign w:val="bottom"/>
            <w:hideMark/>
          </w:tcPr>
          <w:p w14:paraId="0A5C02C3"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13.1</w:t>
            </w:r>
          </w:p>
        </w:tc>
        <w:tc>
          <w:tcPr>
            <w:tcW w:w="1315" w:type="dxa"/>
            <w:tcBorders>
              <w:top w:val="nil"/>
              <w:left w:val="nil"/>
              <w:bottom w:val="single" w:sz="4" w:space="0" w:color="auto"/>
              <w:right w:val="single" w:sz="4" w:space="0" w:color="auto"/>
            </w:tcBorders>
            <w:vAlign w:val="bottom"/>
            <w:hideMark/>
          </w:tcPr>
          <w:p w14:paraId="06E2B60E"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53</w:t>
            </w:r>
          </w:p>
        </w:tc>
        <w:tc>
          <w:tcPr>
            <w:tcW w:w="1105" w:type="dxa"/>
            <w:tcBorders>
              <w:top w:val="nil"/>
              <w:left w:val="nil"/>
              <w:bottom w:val="single" w:sz="4" w:space="0" w:color="auto"/>
              <w:right w:val="single" w:sz="4" w:space="0" w:color="auto"/>
            </w:tcBorders>
            <w:vAlign w:val="bottom"/>
            <w:hideMark/>
          </w:tcPr>
          <w:p w14:paraId="426EE7F0"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39.9</w:t>
            </w:r>
          </w:p>
        </w:tc>
        <w:tc>
          <w:tcPr>
            <w:tcW w:w="1105" w:type="dxa"/>
            <w:tcBorders>
              <w:top w:val="nil"/>
              <w:left w:val="nil"/>
              <w:bottom w:val="single" w:sz="4" w:space="0" w:color="auto"/>
              <w:right w:val="single" w:sz="4" w:space="0" w:color="auto"/>
            </w:tcBorders>
          </w:tcPr>
          <w:p w14:paraId="33C4CC83"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22AF685A" w14:textId="77777777" w:rsidTr="00935A18">
        <w:trPr>
          <w:trHeight w:val="17"/>
          <w:jc w:val="center"/>
        </w:trPr>
        <w:tc>
          <w:tcPr>
            <w:tcW w:w="1150" w:type="dxa"/>
            <w:tcBorders>
              <w:top w:val="nil"/>
              <w:left w:val="single" w:sz="4" w:space="0" w:color="auto"/>
              <w:bottom w:val="single" w:sz="4" w:space="0" w:color="auto"/>
              <w:right w:val="single" w:sz="4" w:space="0" w:color="auto"/>
            </w:tcBorders>
            <w:vAlign w:val="bottom"/>
            <w:hideMark/>
          </w:tcPr>
          <w:p w14:paraId="6AD95950"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sz w:val="20"/>
                <w:szCs w:val="20"/>
              </w:rPr>
              <w:t>1,400</w:t>
            </w:r>
          </w:p>
        </w:tc>
        <w:tc>
          <w:tcPr>
            <w:tcW w:w="1150" w:type="dxa"/>
            <w:tcBorders>
              <w:top w:val="nil"/>
              <w:left w:val="nil"/>
              <w:bottom w:val="single" w:sz="4" w:space="0" w:color="auto"/>
              <w:right w:val="single" w:sz="4" w:space="0" w:color="auto"/>
            </w:tcBorders>
            <w:vAlign w:val="bottom"/>
            <w:hideMark/>
          </w:tcPr>
          <w:p w14:paraId="2F444C59"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sz w:val="20"/>
                <w:szCs w:val="20"/>
              </w:rPr>
              <w:t>1,999</w:t>
            </w:r>
          </w:p>
        </w:tc>
        <w:tc>
          <w:tcPr>
            <w:tcW w:w="1303" w:type="dxa"/>
            <w:tcBorders>
              <w:top w:val="nil"/>
              <w:left w:val="nil"/>
              <w:bottom w:val="single" w:sz="4" w:space="0" w:color="auto"/>
              <w:right w:val="single" w:sz="4" w:space="0" w:color="auto"/>
            </w:tcBorders>
            <w:vAlign w:val="bottom"/>
            <w:hideMark/>
          </w:tcPr>
          <w:p w14:paraId="6A31B697"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sz w:val="20"/>
                <w:szCs w:val="20"/>
              </w:rPr>
              <w:t>16.0</w:t>
            </w:r>
          </w:p>
        </w:tc>
        <w:tc>
          <w:tcPr>
            <w:tcW w:w="1315" w:type="dxa"/>
            <w:tcBorders>
              <w:top w:val="nil"/>
              <w:left w:val="nil"/>
              <w:bottom w:val="single" w:sz="4" w:space="0" w:color="auto"/>
              <w:right w:val="single" w:sz="4" w:space="0" w:color="auto"/>
            </w:tcBorders>
            <w:vAlign w:val="bottom"/>
            <w:hideMark/>
          </w:tcPr>
          <w:p w14:paraId="1036AAE8"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sz w:val="20"/>
                <w:szCs w:val="20"/>
              </w:rPr>
              <w:t>72</w:t>
            </w:r>
          </w:p>
        </w:tc>
        <w:tc>
          <w:tcPr>
            <w:tcW w:w="1105" w:type="dxa"/>
            <w:tcBorders>
              <w:top w:val="nil"/>
              <w:left w:val="nil"/>
              <w:bottom w:val="single" w:sz="4" w:space="0" w:color="auto"/>
              <w:right w:val="single" w:sz="4" w:space="0" w:color="auto"/>
            </w:tcBorders>
            <w:vAlign w:val="bottom"/>
            <w:hideMark/>
          </w:tcPr>
          <w:p w14:paraId="1C4736EA"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sz w:val="20"/>
                <w:szCs w:val="20"/>
              </w:rPr>
              <w:t>56.0</w:t>
            </w:r>
          </w:p>
        </w:tc>
        <w:tc>
          <w:tcPr>
            <w:tcW w:w="1105" w:type="dxa"/>
            <w:tcBorders>
              <w:top w:val="nil"/>
              <w:left w:val="nil"/>
              <w:bottom w:val="single" w:sz="4" w:space="0" w:color="auto"/>
              <w:right w:val="single" w:sz="4" w:space="0" w:color="auto"/>
            </w:tcBorders>
          </w:tcPr>
          <w:p w14:paraId="73125E0F" w14:textId="77777777" w:rsidR="002815D4" w:rsidRPr="002815D4" w:rsidRDefault="002815D4" w:rsidP="002815D4">
            <w:pPr>
              <w:spacing w:line="276" w:lineRule="auto"/>
              <w:jc w:val="center"/>
              <w:rPr>
                <w:rFonts w:ascii="Calibri" w:eastAsia="Calibri" w:hAnsi="Calibri" w:cs="Arial"/>
                <w:sz w:val="20"/>
                <w:szCs w:val="20"/>
              </w:rPr>
            </w:pPr>
            <w:r w:rsidRPr="002815D4">
              <w:rPr>
                <w:rFonts w:ascii="Calibri" w:eastAsia="Calibri" w:hAnsi="Calibri" w:cs="Arial"/>
                <w:sz w:val="20"/>
                <w:szCs w:val="20"/>
              </w:rPr>
              <w:t>Yes</w:t>
            </w:r>
          </w:p>
        </w:tc>
      </w:tr>
      <w:tr w:rsidR="002815D4" w:rsidRPr="002815D4" w14:paraId="6E7B1EA3" w14:textId="77777777" w:rsidTr="00935A18">
        <w:trPr>
          <w:trHeight w:val="17"/>
          <w:jc w:val="center"/>
        </w:trPr>
        <w:tc>
          <w:tcPr>
            <w:tcW w:w="1150" w:type="dxa"/>
            <w:tcBorders>
              <w:top w:val="nil"/>
              <w:left w:val="single" w:sz="4" w:space="0" w:color="auto"/>
              <w:bottom w:val="single" w:sz="4" w:space="0" w:color="auto"/>
              <w:right w:val="single" w:sz="4" w:space="0" w:color="auto"/>
            </w:tcBorders>
            <w:vAlign w:val="bottom"/>
            <w:hideMark/>
          </w:tcPr>
          <w:p w14:paraId="3E4304C2"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2,000</w:t>
            </w:r>
          </w:p>
        </w:tc>
        <w:tc>
          <w:tcPr>
            <w:tcW w:w="1150" w:type="dxa"/>
            <w:tcBorders>
              <w:top w:val="nil"/>
              <w:left w:val="nil"/>
              <w:bottom w:val="single" w:sz="4" w:space="0" w:color="auto"/>
              <w:right w:val="single" w:sz="4" w:space="0" w:color="auto"/>
            </w:tcBorders>
            <w:vAlign w:val="bottom"/>
            <w:hideMark/>
          </w:tcPr>
          <w:p w14:paraId="2C1A6BEE"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2,999</w:t>
            </w:r>
          </w:p>
        </w:tc>
        <w:tc>
          <w:tcPr>
            <w:tcW w:w="1303" w:type="dxa"/>
            <w:tcBorders>
              <w:top w:val="nil"/>
              <w:left w:val="nil"/>
              <w:bottom w:val="single" w:sz="4" w:space="0" w:color="auto"/>
              <w:right w:val="single" w:sz="4" w:space="0" w:color="auto"/>
            </w:tcBorders>
            <w:vAlign w:val="bottom"/>
            <w:hideMark/>
          </w:tcPr>
          <w:p w14:paraId="0CAB610E"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21.8</w:t>
            </w:r>
          </w:p>
        </w:tc>
        <w:tc>
          <w:tcPr>
            <w:tcW w:w="1315" w:type="dxa"/>
            <w:tcBorders>
              <w:top w:val="nil"/>
              <w:left w:val="nil"/>
              <w:bottom w:val="single" w:sz="4" w:space="0" w:color="auto"/>
              <w:right w:val="single" w:sz="4" w:space="0" w:color="auto"/>
            </w:tcBorders>
            <w:vAlign w:val="bottom"/>
            <w:hideMark/>
          </w:tcPr>
          <w:p w14:paraId="25B71687"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150</w:t>
            </w:r>
          </w:p>
        </w:tc>
        <w:tc>
          <w:tcPr>
            <w:tcW w:w="1105" w:type="dxa"/>
            <w:tcBorders>
              <w:top w:val="nil"/>
              <w:left w:val="nil"/>
              <w:bottom w:val="single" w:sz="4" w:space="0" w:color="auto"/>
              <w:right w:val="single" w:sz="4" w:space="0" w:color="auto"/>
            </w:tcBorders>
            <w:vAlign w:val="bottom"/>
            <w:hideMark/>
          </w:tcPr>
          <w:p w14:paraId="7BE7F49C"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128.2</w:t>
            </w:r>
          </w:p>
        </w:tc>
        <w:tc>
          <w:tcPr>
            <w:tcW w:w="1105" w:type="dxa"/>
            <w:tcBorders>
              <w:top w:val="nil"/>
              <w:left w:val="nil"/>
              <w:bottom w:val="single" w:sz="4" w:space="0" w:color="auto"/>
              <w:right w:val="single" w:sz="4" w:space="0" w:color="auto"/>
            </w:tcBorders>
          </w:tcPr>
          <w:p w14:paraId="0C9FEE06"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432F5683" w14:textId="77777777" w:rsidTr="00935A18">
        <w:trPr>
          <w:trHeight w:val="17"/>
          <w:jc w:val="center"/>
        </w:trPr>
        <w:tc>
          <w:tcPr>
            <w:tcW w:w="1150" w:type="dxa"/>
            <w:tcBorders>
              <w:top w:val="nil"/>
              <w:left w:val="single" w:sz="4" w:space="0" w:color="auto"/>
              <w:bottom w:val="single" w:sz="4" w:space="0" w:color="auto"/>
              <w:right w:val="single" w:sz="4" w:space="0" w:color="auto"/>
            </w:tcBorders>
            <w:vAlign w:val="bottom"/>
            <w:hideMark/>
          </w:tcPr>
          <w:p w14:paraId="045357D8"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3,000</w:t>
            </w:r>
          </w:p>
        </w:tc>
        <w:tc>
          <w:tcPr>
            <w:tcW w:w="1150" w:type="dxa"/>
            <w:tcBorders>
              <w:top w:val="nil"/>
              <w:left w:val="nil"/>
              <w:bottom w:val="single" w:sz="4" w:space="0" w:color="auto"/>
              <w:right w:val="single" w:sz="4" w:space="0" w:color="auto"/>
            </w:tcBorders>
            <w:vAlign w:val="bottom"/>
            <w:hideMark/>
          </w:tcPr>
          <w:p w14:paraId="0C5D9A11"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3,299</w:t>
            </w:r>
          </w:p>
        </w:tc>
        <w:tc>
          <w:tcPr>
            <w:tcW w:w="1303" w:type="dxa"/>
            <w:tcBorders>
              <w:top w:val="nil"/>
              <w:left w:val="nil"/>
              <w:bottom w:val="single" w:sz="4" w:space="0" w:color="auto"/>
              <w:right w:val="single" w:sz="4" w:space="0" w:color="auto"/>
            </w:tcBorders>
            <w:vAlign w:val="bottom"/>
            <w:hideMark/>
          </w:tcPr>
          <w:p w14:paraId="7DEC322C"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28.9</w:t>
            </w:r>
          </w:p>
        </w:tc>
        <w:tc>
          <w:tcPr>
            <w:tcW w:w="1315" w:type="dxa"/>
            <w:tcBorders>
              <w:top w:val="nil"/>
              <w:left w:val="nil"/>
              <w:bottom w:val="single" w:sz="4" w:space="0" w:color="auto"/>
              <w:right w:val="single" w:sz="4" w:space="0" w:color="auto"/>
            </w:tcBorders>
            <w:vAlign w:val="bottom"/>
            <w:hideMark/>
          </w:tcPr>
          <w:p w14:paraId="694DC46F"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200</w:t>
            </w:r>
          </w:p>
        </w:tc>
        <w:tc>
          <w:tcPr>
            <w:tcW w:w="1105" w:type="dxa"/>
            <w:tcBorders>
              <w:top w:val="nil"/>
              <w:left w:val="nil"/>
              <w:bottom w:val="single" w:sz="4" w:space="0" w:color="auto"/>
              <w:right w:val="single" w:sz="4" w:space="0" w:color="auto"/>
            </w:tcBorders>
            <w:vAlign w:val="bottom"/>
            <w:hideMark/>
          </w:tcPr>
          <w:p w14:paraId="6775B94D"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171.1</w:t>
            </w:r>
          </w:p>
        </w:tc>
        <w:tc>
          <w:tcPr>
            <w:tcW w:w="1105" w:type="dxa"/>
            <w:tcBorders>
              <w:top w:val="nil"/>
              <w:left w:val="nil"/>
              <w:bottom w:val="single" w:sz="4" w:space="0" w:color="auto"/>
              <w:right w:val="single" w:sz="4" w:space="0" w:color="auto"/>
            </w:tcBorders>
          </w:tcPr>
          <w:p w14:paraId="2A52BD27"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23822514" w14:textId="77777777" w:rsidTr="00935A18">
        <w:trPr>
          <w:trHeight w:val="17"/>
          <w:jc w:val="center"/>
        </w:trPr>
        <w:tc>
          <w:tcPr>
            <w:tcW w:w="1150" w:type="dxa"/>
            <w:tcBorders>
              <w:top w:val="nil"/>
              <w:left w:val="single" w:sz="4" w:space="0" w:color="auto"/>
              <w:bottom w:val="single" w:sz="4" w:space="0" w:color="auto"/>
              <w:right w:val="single" w:sz="4" w:space="0" w:color="auto"/>
            </w:tcBorders>
            <w:vAlign w:val="bottom"/>
          </w:tcPr>
          <w:p w14:paraId="0A16B529"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3,300</w:t>
            </w:r>
          </w:p>
        </w:tc>
        <w:tc>
          <w:tcPr>
            <w:tcW w:w="1150" w:type="dxa"/>
            <w:tcBorders>
              <w:top w:val="nil"/>
              <w:left w:val="nil"/>
              <w:bottom w:val="single" w:sz="4" w:space="0" w:color="auto"/>
              <w:right w:val="single" w:sz="4" w:space="0" w:color="auto"/>
            </w:tcBorders>
            <w:vAlign w:val="bottom"/>
          </w:tcPr>
          <w:p w14:paraId="2430AA02"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3,999</w:t>
            </w:r>
          </w:p>
        </w:tc>
        <w:tc>
          <w:tcPr>
            <w:tcW w:w="1303" w:type="dxa"/>
            <w:tcBorders>
              <w:top w:val="nil"/>
              <w:left w:val="nil"/>
              <w:bottom w:val="single" w:sz="4" w:space="0" w:color="auto"/>
              <w:right w:val="single" w:sz="4" w:space="0" w:color="auto"/>
            </w:tcBorders>
            <w:vAlign w:val="bottom"/>
          </w:tcPr>
          <w:p w14:paraId="79F6C678"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28.9</w:t>
            </w:r>
          </w:p>
        </w:tc>
        <w:tc>
          <w:tcPr>
            <w:tcW w:w="1315" w:type="dxa"/>
            <w:tcBorders>
              <w:top w:val="nil"/>
              <w:left w:val="nil"/>
              <w:bottom w:val="single" w:sz="4" w:space="0" w:color="auto"/>
              <w:right w:val="single" w:sz="4" w:space="0" w:color="auto"/>
            </w:tcBorders>
            <w:vAlign w:val="bottom"/>
          </w:tcPr>
          <w:p w14:paraId="0B28EF32"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200</w:t>
            </w:r>
          </w:p>
        </w:tc>
        <w:tc>
          <w:tcPr>
            <w:tcW w:w="1105" w:type="dxa"/>
            <w:tcBorders>
              <w:top w:val="nil"/>
              <w:left w:val="nil"/>
              <w:bottom w:val="single" w:sz="4" w:space="0" w:color="auto"/>
              <w:right w:val="single" w:sz="4" w:space="0" w:color="auto"/>
            </w:tcBorders>
            <w:vAlign w:val="bottom"/>
          </w:tcPr>
          <w:p w14:paraId="3C6CFF8C"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171.1</w:t>
            </w:r>
          </w:p>
        </w:tc>
        <w:tc>
          <w:tcPr>
            <w:tcW w:w="1105" w:type="dxa"/>
            <w:tcBorders>
              <w:top w:val="nil"/>
              <w:left w:val="nil"/>
              <w:bottom w:val="single" w:sz="4" w:space="0" w:color="auto"/>
              <w:right w:val="single" w:sz="4" w:space="0" w:color="auto"/>
            </w:tcBorders>
          </w:tcPr>
          <w:p w14:paraId="3C94620B"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No</w:t>
            </w:r>
          </w:p>
        </w:tc>
      </w:tr>
      <w:tr w:rsidR="002815D4" w:rsidRPr="002815D4" w14:paraId="040B1252" w14:textId="77777777" w:rsidTr="00935A18">
        <w:trPr>
          <w:trHeight w:val="17"/>
          <w:jc w:val="center"/>
        </w:trPr>
        <w:tc>
          <w:tcPr>
            <w:tcW w:w="1150" w:type="dxa"/>
            <w:tcBorders>
              <w:top w:val="nil"/>
              <w:left w:val="single" w:sz="4" w:space="0" w:color="auto"/>
              <w:bottom w:val="single" w:sz="4" w:space="0" w:color="auto"/>
              <w:right w:val="single" w:sz="4" w:space="0" w:color="auto"/>
            </w:tcBorders>
            <w:vAlign w:val="bottom"/>
            <w:hideMark/>
          </w:tcPr>
          <w:p w14:paraId="52D52504"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4,000</w:t>
            </w:r>
          </w:p>
        </w:tc>
        <w:tc>
          <w:tcPr>
            <w:tcW w:w="1150" w:type="dxa"/>
            <w:tcBorders>
              <w:top w:val="nil"/>
              <w:left w:val="nil"/>
              <w:bottom w:val="single" w:sz="4" w:space="0" w:color="auto"/>
              <w:right w:val="single" w:sz="4" w:space="0" w:color="auto"/>
            </w:tcBorders>
            <w:vAlign w:val="bottom"/>
            <w:hideMark/>
          </w:tcPr>
          <w:p w14:paraId="55F9DF7F"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5,000</w:t>
            </w:r>
          </w:p>
        </w:tc>
        <w:tc>
          <w:tcPr>
            <w:tcW w:w="1303" w:type="dxa"/>
            <w:tcBorders>
              <w:top w:val="nil"/>
              <w:left w:val="nil"/>
              <w:bottom w:val="single" w:sz="4" w:space="0" w:color="auto"/>
              <w:right w:val="single" w:sz="4" w:space="0" w:color="auto"/>
            </w:tcBorders>
            <w:vAlign w:val="bottom"/>
            <w:hideMark/>
          </w:tcPr>
          <w:p w14:paraId="6DFFEB31"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35.7</w:t>
            </w:r>
          </w:p>
        </w:tc>
        <w:tc>
          <w:tcPr>
            <w:tcW w:w="1315" w:type="dxa"/>
            <w:tcBorders>
              <w:top w:val="nil"/>
              <w:left w:val="nil"/>
              <w:bottom w:val="single" w:sz="4" w:space="0" w:color="auto"/>
              <w:right w:val="single" w:sz="4" w:space="0" w:color="auto"/>
            </w:tcBorders>
            <w:vAlign w:val="bottom"/>
            <w:hideMark/>
          </w:tcPr>
          <w:p w14:paraId="0DEEB1C3"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300</w:t>
            </w:r>
          </w:p>
        </w:tc>
        <w:tc>
          <w:tcPr>
            <w:tcW w:w="1105" w:type="dxa"/>
            <w:tcBorders>
              <w:top w:val="nil"/>
              <w:left w:val="nil"/>
              <w:bottom w:val="single" w:sz="4" w:space="0" w:color="auto"/>
              <w:right w:val="single" w:sz="4" w:space="0" w:color="auto"/>
            </w:tcBorders>
            <w:vAlign w:val="bottom"/>
            <w:hideMark/>
          </w:tcPr>
          <w:p w14:paraId="19263C2A"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264.3</w:t>
            </w:r>
          </w:p>
        </w:tc>
        <w:tc>
          <w:tcPr>
            <w:tcW w:w="1105" w:type="dxa"/>
            <w:tcBorders>
              <w:top w:val="nil"/>
              <w:left w:val="nil"/>
              <w:bottom w:val="single" w:sz="4" w:space="0" w:color="auto"/>
              <w:right w:val="single" w:sz="4" w:space="0" w:color="auto"/>
            </w:tcBorders>
          </w:tcPr>
          <w:p w14:paraId="6ADEE52E" w14:textId="77777777" w:rsidR="002815D4" w:rsidRPr="002815D4" w:rsidRDefault="002815D4" w:rsidP="002815D4">
            <w:pPr>
              <w:spacing w:line="276" w:lineRule="auto"/>
              <w:jc w:val="center"/>
              <w:rPr>
                <w:rFonts w:ascii="Calibri" w:eastAsia="Calibri" w:hAnsi="Calibri" w:cs="Arial"/>
                <w:color w:val="000000"/>
                <w:sz w:val="20"/>
                <w:szCs w:val="20"/>
              </w:rPr>
            </w:pPr>
            <w:r w:rsidRPr="002815D4">
              <w:rPr>
                <w:rFonts w:ascii="Calibri" w:eastAsia="Calibri" w:hAnsi="Calibri" w:cs="Arial"/>
                <w:color w:val="000000"/>
                <w:sz w:val="20"/>
                <w:szCs w:val="20"/>
              </w:rPr>
              <w:t>No</w:t>
            </w:r>
          </w:p>
        </w:tc>
      </w:tr>
    </w:tbl>
    <w:p w14:paraId="37CA89F7" w14:textId="77777777" w:rsidR="002815D4" w:rsidRPr="002815D4" w:rsidRDefault="002815D4" w:rsidP="002815D4">
      <w:pPr>
        <w:spacing w:after="120"/>
        <w:ind w:left="2880" w:hanging="1440"/>
        <w:jc w:val="both"/>
        <w:rPr>
          <w:rFonts w:ascii="Calibri" w:eastAsia="Calibri" w:hAnsi="Calibri" w:cs="Arial"/>
          <w:b/>
          <w:noProof/>
          <w:sz w:val="20"/>
          <w:szCs w:val="20"/>
        </w:rPr>
      </w:pPr>
    </w:p>
    <w:p w14:paraId="701B88B7" w14:textId="77777777" w:rsidR="002815D4" w:rsidRPr="002815D4" w:rsidRDefault="002815D4" w:rsidP="002815D4">
      <w:pPr>
        <w:spacing w:after="120"/>
        <w:ind w:left="2880" w:hanging="1440"/>
        <w:jc w:val="both"/>
        <w:rPr>
          <w:rFonts w:ascii="Calibri" w:eastAsia="Calibri" w:hAnsi="Calibri" w:cs="Arial"/>
          <w:b/>
          <w:noProof/>
          <w:sz w:val="20"/>
          <w:szCs w:val="20"/>
        </w:rPr>
      </w:pPr>
    </w:p>
    <w:p w14:paraId="6B58D953" w14:textId="77777777" w:rsidR="002815D4" w:rsidRPr="002815D4" w:rsidRDefault="002815D4" w:rsidP="002815D4">
      <w:pPr>
        <w:spacing w:after="120"/>
        <w:ind w:left="2880" w:hanging="1440"/>
        <w:jc w:val="both"/>
        <w:rPr>
          <w:rFonts w:ascii="Calibri" w:eastAsia="Calibri" w:hAnsi="Calibri" w:cs="Arial"/>
          <w:noProof/>
          <w:sz w:val="20"/>
          <w:szCs w:val="20"/>
        </w:rPr>
      </w:pPr>
      <w:r w:rsidRPr="002815D4">
        <w:rPr>
          <w:rFonts w:ascii="Calibri" w:eastAsia="Calibri" w:hAnsi="Calibri" w:cs="Arial"/>
          <w:b/>
          <w:noProof/>
          <w:sz w:val="20"/>
          <w:szCs w:val="20"/>
        </w:rPr>
        <w:t>Decorative Lamps - ENERGY STAR Minimum Luminous Efficacy = 65Lm/W for all lamps</w:t>
      </w:r>
    </w:p>
    <w:tbl>
      <w:tblP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1032"/>
        <w:gridCol w:w="1127"/>
        <w:gridCol w:w="990"/>
        <w:gridCol w:w="1170"/>
        <w:gridCol w:w="1112"/>
        <w:gridCol w:w="1112"/>
      </w:tblGrid>
      <w:tr w:rsidR="002815D4" w:rsidRPr="002815D4" w14:paraId="275B7147" w14:textId="77777777" w:rsidTr="002815D4">
        <w:trPr>
          <w:trHeight w:val="1044"/>
          <w:tblHeader/>
          <w:jc w:val="center"/>
        </w:trPr>
        <w:tc>
          <w:tcPr>
            <w:tcW w:w="1882" w:type="dxa"/>
            <w:shd w:val="clear" w:color="000000" w:fill="808080"/>
            <w:vAlign w:val="center"/>
            <w:hideMark/>
          </w:tcPr>
          <w:p w14:paraId="4A96474D" w14:textId="77777777" w:rsidR="002815D4" w:rsidRPr="002815D4" w:rsidRDefault="002815D4" w:rsidP="002815D4">
            <w:pPr>
              <w:jc w:val="center"/>
              <w:rPr>
                <w:rFonts w:ascii="Calibri" w:eastAsia="Calibri" w:hAnsi="Calibri" w:cs="Calibri"/>
                <w:b/>
                <w:bCs/>
                <w:color w:val="FFFFFF"/>
                <w:sz w:val="20"/>
                <w:szCs w:val="20"/>
              </w:rPr>
            </w:pPr>
            <w:r w:rsidRPr="002815D4">
              <w:rPr>
                <w:rFonts w:ascii="Calibri" w:eastAsia="Calibri" w:hAnsi="Calibri" w:cs="Calibri"/>
                <w:b/>
                <w:bCs/>
                <w:color w:val="FFFFFF"/>
                <w:sz w:val="20"/>
                <w:szCs w:val="20"/>
              </w:rPr>
              <w:t>Bulb Type</w:t>
            </w:r>
          </w:p>
        </w:tc>
        <w:tc>
          <w:tcPr>
            <w:tcW w:w="1032" w:type="dxa"/>
            <w:shd w:val="clear" w:color="000000" w:fill="808080"/>
            <w:vAlign w:val="center"/>
            <w:hideMark/>
          </w:tcPr>
          <w:p w14:paraId="023A4272" w14:textId="77777777" w:rsidR="002815D4" w:rsidRPr="002815D4" w:rsidRDefault="002815D4" w:rsidP="002815D4">
            <w:pPr>
              <w:jc w:val="center"/>
              <w:rPr>
                <w:rFonts w:ascii="Calibri" w:eastAsia="Calibri" w:hAnsi="Calibri" w:cs="Calibri"/>
                <w:b/>
                <w:bCs/>
                <w:color w:val="FFFFFF"/>
                <w:sz w:val="20"/>
                <w:szCs w:val="20"/>
              </w:rPr>
            </w:pPr>
            <w:r w:rsidRPr="002815D4">
              <w:rPr>
                <w:rFonts w:ascii="Calibri" w:eastAsia="Calibri" w:hAnsi="Calibri" w:cs="Calibri"/>
                <w:b/>
                <w:bCs/>
                <w:color w:val="FFFFFF"/>
                <w:sz w:val="20"/>
                <w:szCs w:val="20"/>
              </w:rPr>
              <w:t>Minimum Lumens</w:t>
            </w:r>
          </w:p>
        </w:tc>
        <w:tc>
          <w:tcPr>
            <w:tcW w:w="1127" w:type="dxa"/>
            <w:shd w:val="clear" w:color="000000" w:fill="808080"/>
            <w:vAlign w:val="center"/>
            <w:hideMark/>
          </w:tcPr>
          <w:p w14:paraId="1013D15B" w14:textId="77777777" w:rsidR="002815D4" w:rsidRPr="002815D4" w:rsidRDefault="002815D4" w:rsidP="002815D4">
            <w:pPr>
              <w:jc w:val="center"/>
              <w:rPr>
                <w:rFonts w:ascii="Calibri" w:eastAsia="Calibri" w:hAnsi="Calibri" w:cs="Calibri"/>
                <w:b/>
                <w:bCs/>
                <w:color w:val="FFFFFF"/>
                <w:sz w:val="20"/>
                <w:szCs w:val="20"/>
              </w:rPr>
            </w:pPr>
            <w:r w:rsidRPr="002815D4">
              <w:rPr>
                <w:rFonts w:ascii="Calibri" w:eastAsia="Calibri" w:hAnsi="Calibri" w:cs="Calibri"/>
                <w:b/>
                <w:bCs/>
                <w:color w:val="FFFFFF"/>
                <w:sz w:val="20"/>
                <w:szCs w:val="20"/>
              </w:rPr>
              <w:t>Maximum Lumens</w:t>
            </w:r>
          </w:p>
        </w:tc>
        <w:tc>
          <w:tcPr>
            <w:tcW w:w="990" w:type="dxa"/>
            <w:shd w:val="clear" w:color="000000" w:fill="808080"/>
            <w:vAlign w:val="center"/>
            <w:hideMark/>
          </w:tcPr>
          <w:p w14:paraId="63533D8A" w14:textId="77777777" w:rsidR="002815D4" w:rsidRPr="002815D4" w:rsidRDefault="002815D4" w:rsidP="002815D4">
            <w:pPr>
              <w:jc w:val="center"/>
              <w:rPr>
                <w:rFonts w:ascii="Calibri" w:eastAsia="Calibri" w:hAnsi="Calibri" w:cs="Calibri"/>
                <w:b/>
                <w:bCs/>
                <w:color w:val="FFFFFF"/>
                <w:sz w:val="20"/>
                <w:szCs w:val="20"/>
              </w:rPr>
            </w:pPr>
            <w:r w:rsidRPr="002815D4">
              <w:rPr>
                <w:rFonts w:ascii="Calibri" w:eastAsia="Calibri" w:hAnsi="Calibri" w:cs="Calibri"/>
                <w:b/>
                <w:bCs/>
                <w:color w:val="FFFFFF"/>
                <w:sz w:val="20"/>
                <w:szCs w:val="20"/>
              </w:rPr>
              <w:t>LED Wattage (Watts</w:t>
            </w:r>
            <w:r w:rsidRPr="002815D4">
              <w:rPr>
                <w:rFonts w:ascii="Calibri" w:eastAsia="Calibri" w:hAnsi="Calibri" w:cs="Calibri"/>
                <w:b/>
                <w:bCs/>
                <w:color w:val="FFFFFF"/>
                <w:sz w:val="20"/>
                <w:szCs w:val="20"/>
                <w:vertAlign w:val="subscript"/>
              </w:rPr>
              <w:t>EE</w:t>
            </w:r>
            <w:r w:rsidRPr="002815D4">
              <w:rPr>
                <w:rFonts w:ascii="Calibri" w:eastAsia="Calibri" w:hAnsi="Calibri" w:cs="Calibri"/>
                <w:b/>
                <w:bCs/>
                <w:color w:val="FFFFFF"/>
                <w:sz w:val="20"/>
                <w:szCs w:val="20"/>
              </w:rPr>
              <w:t>)</w:t>
            </w:r>
          </w:p>
        </w:tc>
        <w:tc>
          <w:tcPr>
            <w:tcW w:w="1170" w:type="dxa"/>
            <w:shd w:val="clear" w:color="000000" w:fill="808080"/>
            <w:vAlign w:val="center"/>
            <w:hideMark/>
          </w:tcPr>
          <w:p w14:paraId="0B6CD1CB" w14:textId="77777777" w:rsidR="002815D4" w:rsidRPr="002815D4" w:rsidRDefault="002815D4" w:rsidP="002815D4">
            <w:pPr>
              <w:jc w:val="center"/>
              <w:rPr>
                <w:rFonts w:ascii="Calibri" w:eastAsia="Calibri" w:hAnsi="Calibri" w:cs="Calibri"/>
                <w:b/>
                <w:bCs/>
                <w:color w:val="FFFFFF"/>
                <w:sz w:val="20"/>
                <w:szCs w:val="20"/>
              </w:rPr>
            </w:pPr>
            <w:r w:rsidRPr="002815D4">
              <w:rPr>
                <w:rFonts w:ascii="Calibri" w:eastAsia="Calibri" w:hAnsi="Calibri" w:cs="Calibri"/>
                <w:b/>
                <w:bCs/>
                <w:color w:val="FFFFFF"/>
                <w:sz w:val="20"/>
                <w:szCs w:val="20"/>
              </w:rPr>
              <w:t>Baseline (Watts</w:t>
            </w:r>
            <w:r w:rsidRPr="002815D4">
              <w:rPr>
                <w:rFonts w:ascii="Calibri" w:eastAsia="Calibri" w:hAnsi="Calibri" w:cs="Calibri"/>
                <w:b/>
                <w:bCs/>
                <w:color w:val="FFFFFF"/>
                <w:sz w:val="20"/>
                <w:szCs w:val="20"/>
                <w:vertAlign w:val="subscript"/>
              </w:rPr>
              <w:t>Base</w:t>
            </w:r>
            <w:r w:rsidRPr="002815D4">
              <w:rPr>
                <w:rFonts w:ascii="Calibri" w:eastAsia="Calibri" w:hAnsi="Calibri" w:cs="Calibri"/>
                <w:b/>
                <w:bCs/>
                <w:color w:val="FFFFFF"/>
                <w:sz w:val="20"/>
                <w:szCs w:val="20"/>
              </w:rPr>
              <w:t>)</w:t>
            </w:r>
          </w:p>
        </w:tc>
        <w:tc>
          <w:tcPr>
            <w:tcW w:w="1112" w:type="dxa"/>
            <w:shd w:val="clear" w:color="auto" w:fill="808080"/>
            <w:vAlign w:val="center"/>
            <w:hideMark/>
          </w:tcPr>
          <w:p w14:paraId="68B9197B" w14:textId="77777777" w:rsidR="002815D4" w:rsidRPr="002815D4" w:rsidRDefault="002815D4" w:rsidP="002815D4">
            <w:pPr>
              <w:jc w:val="center"/>
              <w:rPr>
                <w:rFonts w:ascii="Calibri" w:eastAsia="Calibri" w:hAnsi="Calibri" w:cs="Calibri"/>
                <w:b/>
                <w:bCs/>
                <w:color w:val="FFFFFF"/>
                <w:sz w:val="20"/>
                <w:szCs w:val="20"/>
              </w:rPr>
            </w:pPr>
            <w:r w:rsidRPr="002815D4">
              <w:rPr>
                <w:rFonts w:ascii="Calibri" w:eastAsia="Calibri" w:hAnsi="Calibri" w:cs="Calibri"/>
                <w:b/>
                <w:bCs/>
                <w:color w:val="FFFFFF"/>
                <w:sz w:val="20"/>
                <w:szCs w:val="20"/>
              </w:rPr>
              <w:t xml:space="preserve">Delta Watts </w:t>
            </w:r>
            <w:r w:rsidRPr="002815D4">
              <w:rPr>
                <w:rFonts w:ascii="Calibri" w:eastAsia="Calibri" w:hAnsi="Calibri" w:cs="Calibri"/>
                <w:b/>
                <w:bCs/>
                <w:color w:val="FFFFFF"/>
                <w:sz w:val="20"/>
                <w:szCs w:val="20"/>
              </w:rPr>
              <w:br/>
              <w:t>(WattsEE)</w:t>
            </w:r>
          </w:p>
        </w:tc>
        <w:tc>
          <w:tcPr>
            <w:tcW w:w="1112" w:type="dxa"/>
            <w:shd w:val="clear" w:color="auto" w:fill="808080"/>
            <w:vAlign w:val="center"/>
          </w:tcPr>
          <w:p w14:paraId="2013817E" w14:textId="77777777" w:rsidR="002815D4" w:rsidRPr="002815D4" w:rsidRDefault="002815D4" w:rsidP="002815D4">
            <w:pPr>
              <w:jc w:val="center"/>
              <w:rPr>
                <w:rFonts w:ascii="Calibri" w:eastAsia="Calibri" w:hAnsi="Calibri" w:cs="Calibri"/>
                <w:b/>
                <w:bCs/>
                <w:color w:val="FFFFFF"/>
                <w:sz w:val="20"/>
                <w:szCs w:val="20"/>
              </w:rPr>
            </w:pPr>
            <w:r w:rsidRPr="002815D4">
              <w:rPr>
                <w:rFonts w:ascii="Calibri" w:eastAsia="Calibri" w:hAnsi="Calibri" w:cs="Calibri"/>
                <w:b/>
                <w:bCs/>
                <w:color w:val="FFFFFF"/>
                <w:sz w:val="20"/>
                <w:szCs w:val="20"/>
              </w:rPr>
              <w:t>Impacted by EISA Backstop</w:t>
            </w:r>
          </w:p>
        </w:tc>
      </w:tr>
      <w:tr w:rsidR="002815D4" w:rsidRPr="002815D4" w14:paraId="38349B9E" w14:textId="77777777" w:rsidTr="00935A18">
        <w:trPr>
          <w:trHeight w:val="274"/>
          <w:jc w:val="center"/>
        </w:trPr>
        <w:tc>
          <w:tcPr>
            <w:tcW w:w="1882" w:type="dxa"/>
            <w:vMerge w:val="restart"/>
            <w:vAlign w:val="center"/>
            <w:hideMark/>
          </w:tcPr>
          <w:p w14:paraId="7A15749A"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Calibri"/>
                <w:sz w:val="20"/>
                <w:szCs w:val="20"/>
              </w:rPr>
              <w:t xml:space="preserve">Omni-Directional </w:t>
            </w:r>
          </w:p>
          <w:p w14:paraId="2427208C"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Calibri"/>
                <w:sz w:val="20"/>
                <w:szCs w:val="20"/>
              </w:rPr>
              <w:t>3-Way</w:t>
            </w:r>
          </w:p>
        </w:tc>
        <w:tc>
          <w:tcPr>
            <w:tcW w:w="1032" w:type="dxa"/>
            <w:vAlign w:val="center"/>
            <w:hideMark/>
          </w:tcPr>
          <w:p w14:paraId="0C186438"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1,100</w:t>
            </w:r>
          </w:p>
        </w:tc>
        <w:tc>
          <w:tcPr>
            <w:tcW w:w="1127" w:type="dxa"/>
            <w:vAlign w:val="center"/>
            <w:hideMark/>
          </w:tcPr>
          <w:p w14:paraId="1EC96527"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1,999</w:t>
            </w:r>
          </w:p>
        </w:tc>
        <w:tc>
          <w:tcPr>
            <w:tcW w:w="990" w:type="dxa"/>
            <w:vAlign w:val="center"/>
            <w:hideMark/>
          </w:tcPr>
          <w:p w14:paraId="2F3A5479"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14.7</w:t>
            </w:r>
          </w:p>
        </w:tc>
        <w:tc>
          <w:tcPr>
            <w:tcW w:w="1170" w:type="dxa"/>
            <w:vAlign w:val="center"/>
            <w:hideMark/>
          </w:tcPr>
          <w:p w14:paraId="6BC76E7C" w14:textId="77777777" w:rsidR="002815D4" w:rsidRPr="002815D4" w:rsidRDefault="002815D4" w:rsidP="002815D4">
            <w:pPr>
              <w:jc w:val="center"/>
              <w:rPr>
                <w:rFonts w:ascii="Calibri" w:eastAsia="Calibri" w:hAnsi="Calibri" w:cs="Calibri"/>
                <w:color w:val="0D0D0D"/>
                <w:sz w:val="20"/>
                <w:szCs w:val="20"/>
              </w:rPr>
            </w:pPr>
            <w:r w:rsidRPr="002815D4">
              <w:rPr>
                <w:rFonts w:ascii="Calibri" w:eastAsia="Calibri" w:hAnsi="Calibri" w:cs="Calibri"/>
                <w:color w:val="0D0D0D"/>
                <w:sz w:val="20"/>
                <w:szCs w:val="20"/>
              </w:rPr>
              <w:t>100</w:t>
            </w:r>
          </w:p>
        </w:tc>
        <w:tc>
          <w:tcPr>
            <w:tcW w:w="1112" w:type="dxa"/>
            <w:vAlign w:val="center"/>
            <w:hideMark/>
          </w:tcPr>
          <w:p w14:paraId="5CE684A7"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85.3</w:t>
            </w:r>
          </w:p>
        </w:tc>
        <w:tc>
          <w:tcPr>
            <w:tcW w:w="1112" w:type="dxa"/>
          </w:tcPr>
          <w:p w14:paraId="127BF361"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6C363363" w14:textId="77777777" w:rsidTr="00935A18">
        <w:trPr>
          <w:trHeight w:val="274"/>
          <w:jc w:val="center"/>
        </w:trPr>
        <w:tc>
          <w:tcPr>
            <w:tcW w:w="1882" w:type="dxa"/>
            <w:vMerge/>
            <w:vAlign w:val="center"/>
            <w:hideMark/>
          </w:tcPr>
          <w:p w14:paraId="5542CBE5" w14:textId="77777777" w:rsidR="002815D4" w:rsidRPr="002815D4" w:rsidRDefault="002815D4" w:rsidP="002815D4">
            <w:pPr>
              <w:rPr>
                <w:rFonts w:ascii="Calibri" w:eastAsia="Calibri" w:hAnsi="Calibri" w:cs="Calibri"/>
                <w:sz w:val="20"/>
                <w:szCs w:val="20"/>
              </w:rPr>
            </w:pPr>
          </w:p>
        </w:tc>
        <w:tc>
          <w:tcPr>
            <w:tcW w:w="1032" w:type="dxa"/>
            <w:vAlign w:val="center"/>
            <w:hideMark/>
          </w:tcPr>
          <w:p w14:paraId="7E9505AD"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2,000</w:t>
            </w:r>
          </w:p>
        </w:tc>
        <w:tc>
          <w:tcPr>
            <w:tcW w:w="1127" w:type="dxa"/>
            <w:vAlign w:val="center"/>
            <w:hideMark/>
          </w:tcPr>
          <w:p w14:paraId="3607B6DC"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2,700</w:t>
            </w:r>
          </w:p>
        </w:tc>
        <w:tc>
          <w:tcPr>
            <w:tcW w:w="990" w:type="dxa"/>
            <w:vAlign w:val="center"/>
            <w:hideMark/>
          </w:tcPr>
          <w:p w14:paraId="60FED6E2"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22.6</w:t>
            </w:r>
          </w:p>
        </w:tc>
        <w:tc>
          <w:tcPr>
            <w:tcW w:w="1170" w:type="dxa"/>
            <w:vAlign w:val="center"/>
            <w:hideMark/>
          </w:tcPr>
          <w:p w14:paraId="2B868873"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Calibri"/>
                <w:color w:val="000000"/>
                <w:sz w:val="20"/>
                <w:szCs w:val="20"/>
              </w:rPr>
              <w:t>150</w:t>
            </w:r>
          </w:p>
        </w:tc>
        <w:tc>
          <w:tcPr>
            <w:tcW w:w="1112" w:type="dxa"/>
            <w:vAlign w:val="center"/>
            <w:hideMark/>
          </w:tcPr>
          <w:p w14:paraId="632D7047"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127.4</w:t>
            </w:r>
          </w:p>
        </w:tc>
        <w:tc>
          <w:tcPr>
            <w:tcW w:w="1112" w:type="dxa"/>
          </w:tcPr>
          <w:p w14:paraId="61393F17"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3D34AAC4" w14:textId="77777777" w:rsidTr="00935A18">
        <w:trPr>
          <w:trHeight w:val="274"/>
          <w:jc w:val="center"/>
        </w:trPr>
        <w:tc>
          <w:tcPr>
            <w:tcW w:w="1882" w:type="dxa"/>
            <w:vMerge w:val="restart"/>
            <w:vAlign w:val="center"/>
            <w:hideMark/>
          </w:tcPr>
          <w:p w14:paraId="765E5B97"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Calibri"/>
                <w:sz w:val="20"/>
                <w:szCs w:val="20"/>
              </w:rPr>
              <w:t>Globe</w:t>
            </w:r>
            <w:r w:rsidRPr="002815D4">
              <w:rPr>
                <w:rFonts w:ascii="Calibri" w:eastAsia="Calibri" w:hAnsi="Calibri" w:cs="Calibri"/>
                <w:sz w:val="20"/>
                <w:szCs w:val="20"/>
              </w:rPr>
              <w:br/>
              <w:t>(medium and intermediate bases less than 750 lumens)</w:t>
            </w:r>
          </w:p>
        </w:tc>
        <w:tc>
          <w:tcPr>
            <w:tcW w:w="1032" w:type="dxa"/>
            <w:vAlign w:val="center"/>
            <w:hideMark/>
          </w:tcPr>
          <w:p w14:paraId="1CECAF29"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150</w:t>
            </w:r>
          </w:p>
        </w:tc>
        <w:tc>
          <w:tcPr>
            <w:tcW w:w="1127" w:type="dxa"/>
            <w:vAlign w:val="center"/>
            <w:hideMark/>
          </w:tcPr>
          <w:p w14:paraId="3F0882C0"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309</w:t>
            </w:r>
          </w:p>
        </w:tc>
        <w:tc>
          <w:tcPr>
            <w:tcW w:w="990" w:type="dxa"/>
            <w:vAlign w:val="center"/>
            <w:hideMark/>
          </w:tcPr>
          <w:p w14:paraId="448CC4D5"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3.0</w:t>
            </w:r>
          </w:p>
        </w:tc>
        <w:tc>
          <w:tcPr>
            <w:tcW w:w="1170" w:type="dxa"/>
            <w:vAlign w:val="center"/>
            <w:hideMark/>
          </w:tcPr>
          <w:p w14:paraId="67680B59"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25</w:t>
            </w:r>
          </w:p>
        </w:tc>
        <w:tc>
          <w:tcPr>
            <w:tcW w:w="1112" w:type="dxa"/>
            <w:vAlign w:val="center"/>
            <w:hideMark/>
          </w:tcPr>
          <w:p w14:paraId="1D884BB9"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22</w:t>
            </w:r>
          </w:p>
        </w:tc>
        <w:tc>
          <w:tcPr>
            <w:tcW w:w="1112" w:type="dxa"/>
          </w:tcPr>
          <w:p w14:paraId="10CDAB63"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No</w:t>
            </w:r>
          </w:p>
        </w:tc>
      </w:tr>
      <w:tr w:rsidR="002815D4" w:rsidRPr="002815D4" w14:paraId="7353700B" w14:textId="77777777" w:rsidTr="00935A18">
        <w:trPr>
          <w:trHeight w:val="274"/>
          <w:jc w:val="center"/>
        </w:trPr>
        <w:tc>
          <w:tcPr>
            <w:tcW w:w="1882" w:type="dxa"/>
            <w:vMerge/>
            <w:vAlign w:val="center"/>
          </w:tcPr>
          <w:p w14:paraId="2887E4B7" w14:textId="77777777" w:rsidR="002815D4" w:rsidRPr="002815D4" w:rsidRDefault="002815D4" w:rsidP="002815D4">
            <w:pPr>
              <w:rPr>
                <w:rFonts w:ascii="Calibri" w:eastAsia="Calibri" w:hAnsi="Calibri" w:cs="Calibri"/>
                <w:sz w:val="20"/>
                <w:szCs w:val="20"/>
              </w:rPr>
            </w:pPr>
          </w:p>
        </w:tc>
        <w:tc>
          <w:tcPr>
            <w:tcW w:w="1032" w:type="dxa"/>
            <w:vAlign w:val="center"/>
          </w:tcPr>
          <w:p w14:paraId="005E0D36"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310</w:t>
            </w:r>
          </w:p>
        </w:tc>
        <w:tc>
          <w:tcPr>
            <w:tcW w:w="1127" w:type="dxa"/>
            <w:vAlign w:val="center"/>
          </w:tcPr>
          <w:p w14:paraId="332D8418"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349</w:t>
            </w:r>
          </w:p>
        </w:tc>
        <w:tc>
          <w:tcPr>
            <w:tcW w:w="990" w:type="dxa"/>
            <w:vAlign w:val="center"/>
          </w:tcPr>
          <w:p w14:paraId="74315E64"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3.0</w:t>
            </w:r>
          </w:p>
        </w:tc>
        <w:tc>
          <w:tcPr>
            <w:tcW w:w="1170" w:type="dxa"/>
            <w:vAlign w:val="center"/>
          </w:tcPr>
          <w:p w14:paraId="24FF0A1B"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25</w:t>
            </w:r>
          </w:p>
        </w:tc>
        <w:tc>
          <w:tcPr>
            <w:tcW w:w="1112" w:type="dxa"/>
            <w:vAlign w:val="center"/>
          </w:tcPr>
          <w:p w14:paraId="67337750"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22</w:t>
            </w:r>
          </w:p>
        </w:tc>
        <w:tc>
          <w:tcPr>
            <w:tcW w:w="1112" w:type="dxa"/>
          </w:tcPr>
          <w:p w14:paraId="3C75192C"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551AEEFC" w14:textId="77777777" w:rsidTr="00935A18">
        <w:trPr>
          <w:trHeight w:val="274"/>
          <w:jc w:val="center"/>
        </w:trPr>
        <w:tc>
          <w:tcPr>
            <w:tcW w:w="1882" w:type="dxa"/>
            <w:vMerge/>
            <w:vAlign w:val="center"/>
            <w:hideMark/>
          </w:tcPr>
          <w:p w14:paraId="62FE45A3" w14:textId="77777777" w:rsidR="002815D4" w:rsidRPr="002815D4" w:rsidRDefault="002815D4" w:rsidP="002815D4">
            <w:pPr>
              <w:rPr>
                <w:rFonts w:ascii="Calibri" w:eastAsia="Calibri" w:hAnsi="Calibri" w:cs="Calibri"/>
                <w:sz w:val="20"/>
                <w:szCs w:val="20"/>
              </w:rPr>
            </w:pPr>
          </w:p>
        </w:tc>
        <w:tc>
          <w:tcPr>
            <w:tcW w:w="1032" w:type="dxa"/>
            <w:vAlign w:val="center"/>
            <w:hideMark/>
          </w:tcPr>
          <w:p w14:paraId="4FC270EE"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350</w:t>
            </w:r>
          </w:p>
        </w:tc>
        <w:tc>
          <w:tcPr>
            <w:tcW w:w="1127" w:type="dxa"/>
            <w:vAlign w:val="center"/>
            <w:hideMark/>
          </w:tcPr>
          <w:p w14:paraId="717337D2"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499</w:t>
            </w:r>
          </w:p>
        </w:tc>
        <w:tc>
          <w:tcPr>
            <w:tcW w:w="990" w:type="dxa"/>
            <w:vAlign w:val="center"/>
            <w:hideMark/>
          </w:tcPr>
          <w:p w14:paraId="6C315990"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4.7</w:t>
            </w:r>
          </w:p>
        </w:tc>
        <w:tc>
          <w:tcPr>
            <w:tcW w:w="1170" w:type="dxa"/>
            <w:vAlign w:val="center"/>
            <w:hideMark/>
          </w:tcPr>
          <w:p w14:paraId="3C45E744"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40</w:t>
            </w:r>
          </w:p>
        </w:tc>
        <w:tc>
          <w:tcPr>
            <w:tcW w:w="1112" w:type="dxa"/>
            <w:vAlign w:val="center"/>
            <w:hideMark/>
          </w:tcPr>
          <w:p w14:paraId="60C60294"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35.3</w:t>
            </w:r>
          </w:p>
        </w:tc>
        <w:tc>
          <w:tcPr>
            <w:tcW w:w="1112" w:type="dxa"/>
          </w:tcPr>
          <w:p w14:paraId="275DD0AB"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1EE62492" w14:textId="77777777" w:rsidTr="00935A18">
        <w:trPr>
          <w:trHeight w:val="274"/>
          <w:jc w:val="center"/>
        </w:trPr>
        <w:tc>
          <w:tcPr>
            <w:tcW w:w="1882" w:type="dxa"/>
            <w:vMerge/>
            <w:vAlign w:val="center"/>
            <w:hideMark/>
          </w:tcPr>
          <w:p w14:paraId="054F229A" w14:textId="77777777" w:rsidR="002815D4" w:rsidRPr="002815D4" w:rsidRDefault="002815D4" w:rsidP="002815D4">
            <w:pPr>
              <w:rPr>
                <w:rFonts w:ascii="Calibri" w:eastAsia="Calibri" w:hAnsi="Calibri" w:cs="Calibri"/>
                <w:sz w:val="20"/>
                <w:szCs w:val="20"/>
              </w:rPr>
            </w:pPr>
          </w:p>
        </w:tc>
        <w:tc>
          <w:tcPr>
            <w:tcW w:w="1032" w:type="dxa"/>
            <w:vAlign w:val="center"/>
            <w:hideMark/>
          </w:tcPr>
          <w:p w14:paraId="47EF1462"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500</w:t>
            </w:r>
          </w:p>
        </w:tc>
        <w:tc>
          <w:tcPr>
            <w:tcW w:w="1127" w:type="dxa"/>
            <w:vAlign w:val="center"/>
            <w:hideMark/>
          </w:tcPr>
          <w:p w14:paraId="39EDD469"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574</w:t>
            </w:r>
          </w:p>
        </w:tc>
        <w:tc>
          <w:tcPr>
            <w:tcW w:w="990" w:type="dxa"/>
            <w:vAlign w:val="center"/>
            <w:hideMark/>
          </w:tcPr>
          <w:p w14:paraId="73FA8DB1"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5.7</w:t>
            </w:r>
          </w:p>
        </w:tc>
        <w:tc>
          <w:tcPr>
            <w:tcW w:w="1170" w:type="dxa"/>
            <w:vAlign w:val="center"/>
            <w:hideMark/>
          </w:tcPr>
          <w:p w14:paraId="6E1ABF6D"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60</w:t>
            </w:r>
          </w:p>
        </w:tc>
        <w:tc>
          <w:tcPr>
            <w:tcW w:w="1112" w:type="dxa"/>
            <w:vAlign w:val="center"/>
            <w:hideMark/>
          </w:tcPr>
          <w:p w14:paraId="132EA9D1"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54.3</w:t>
            </w:r>
          </w:p>
        </w:tc>
        <w:tc>
          <w:tcPr>
            <w:tcW w:w="1112" w:type="dxa"/>
          </w:tcPr>
          <w:p w14:paraId="00357C17"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2C3E0ED3" w14:textId="77777777" w:rsidTr="00935A18">
        <w:trPr>
          <w:trHeight w:val="274"/>
          <w:jc w:val="center"/>
        </w:trPr>
        <w:tc>
          <w:tcPr>
            <w:tcW w:w="1882" w:type="dxa"/>
            <w:vMerge/>
            <w:vAlign w:val="center"/>
          </w:tcPr>
          <w:p w14:paraId="7E15C0F0" w14:textId="77777777" w:rsidR="002815D4" w:rsidRPr="002815D4" w:rsidRDefault="002815D4" w:rsidP="002815D4">
            <w:pPr>
              <w:rPr>
                <w:rFonts w:ascii="Calibri" w:eastAsia="Calibri" w:hAnsi="Calibri" w:cs="Calibri"/>
                <w:sz w:val="20"/>
                <w:szCs w:val="20"/>
              </w:rPr>
            </w:pPr>
          </w:p>
        </w:tc>
        <w:tc>
          <w:tcPr>
            <w:tcW w:w="1032" w:type="dxa"/>
            <w:vAlign w:val="center"/>
          </w:tcPr>
          <w:p w14:paraId="2397C5DA"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575</w:t>
            </w:r>
          </w:p>
        </w:tc>
        <w:tc>
          <w:tcPr>
            <w:tcW w:w="1127" w:type="dxa"/>
            <w:vAlign w:val="center"/>
          </w:tcPr>
          <w:p w14:paraId="108E100B"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649</w:t>
            </w:r>
          </w:p>
        </w:tc>
        <w:tc>
          <w:tcPr>
            <w:tcW w:w="990" w:type="dxa"/>
            <w:vAlign w:val="center"/>
          </w:tcPr>
          <w:p w14:paraId="350A334A"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6.5</w:t>
            </w:r>
          </w:p>
        </w:tc>
        <w:tc>
          <w:tcPr>
            <w:tcW w:w="1170" w:type="dxa"/>
            <w:vAlign w:val="center"/>
          </w:tcPr>
          <w:p w14:paraId="635E67AF"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75</w:t>
            </w:r>
          </w:p>
        </w:tc>
        <w:tc>
          <w:tcPr>
            <w:tcW w:w="1112" w:type="dxa"/>
            <w:vAlign w:val="center"/>
          </w:tcPr>
          <w:p w14:paraId="37BCA18E"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68.5</w:t>
            </w:r>
          </w:p>
        </w:tc>
        <w:tc>
          <w:tcPr>
            <w:tcW w:w="1112" w:type="dxa"/>
          </w:tcPr>
          <w:p w14:paraId="5A8E9D86"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4AF3D245" w14:textId="77777777" w:rsidTr="00935A18">
        <w:trPr>
          <w:trHeight w:val="274"/>
          <w:jc w:val="center"/>
        </w:trPr>
        <w:tc>
          <w:tcPr>
            <w:tcW w:w="1882" w:type="dxa"/>
            <w:vMerge/>
            <w:vAlign w:val="center"/>
            <w:hideMark/>
          </w:tcPr>
          <w:p w14:paraId="63CB72C4" w14:textId="77777777" w:rsidR="002815D4" w:rsidRPr="002815D4" w:rsidRDefault="002815D4" w:rsidP="002815D4">
            <w:pPr>
              <w:rPr>
                <w:rFonts w:ascii="Calibri" w:eastAsia="Calibri" w:hAnsi="Calibri" w:cs="Calibri"/>
                <w:sz w:val="20"/>
                <w:szCs w:val="20"/>
              </w:rPr>
            </w:pPr>
          </w:p>
        </w:tc>
        <w:tc>
          <w:tcPr>
            <w:tcW w:w="1032" w:type="dxa"/>
            <w:vAlign w:val="center"/>
            <w:hideMark/>
          </w:tcPr>
          <w:p w14:paraId="0EFEB94D"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650</w:t>
            </w:r>
          </w:p>
        </w:tc>
        <w:tc>
          <w:tcPr>
            <w:tcW w:w="1127" w:type="dxa"/>
            <w:vAlign w:val="center"/>
            <w:hideMark/>
          </w:tcPr>
          <w:p w14:paraId="5D176842"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1,000</w:t>
            </w:r>
          </w:p>
        </w:tc>
        <w:tc>
          <w:tcPr>
            <w:tcW w:w="990" w:type="dxa"/>
            <w:vAlign w:val="center"/>
            <w:hideMark/>
          </w:tcPr>
          <w:p w14:paraId="66078909"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8.2</w:t>
            </w:r>
          </w:p>
        </w:tc>
        <w:tc>
          <w:tcPr>
            <w:tcW w:w="1170" w:type="dxa"/>
            <w:vAlign w:val="center"/>
            <w:hideMark/>
          </w:tcPr>
          <w:p w14:paraId="4A210F09"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100</w:t>
            </w:r>
          </w:p>
        </w:tc>
        <w:tc>
          <w:tcPr>
            <w:tcW w:w="1112" w:type="dxa"/>
            <w:vAlign w:val="center"/>
            <w:hideMark/>
          </w:tcPr>
          <w:p w14:paraId="714AB444"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91.8</w:t>
            </w:r>
          </w:p>
        </w:tc>
        <w:tc>
          <w:tcPr>
            <w:tcW w:w="1112" w:type="dxa"/>
          </w:tcPr>
          <w:p w14:paraId="59F29966"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5DD67C26" w14:textId="77777777" w:rsidTr="00935A18">
        <w:trPr>
          <w:trHeight w:val="274"/>
          <w:jc w:val="center"/>
        </w:trPr>
        <w:tc>
          <w:tcPr>
            <w:tcW w:w="1882" w:type="dxa"/>
            <w:vMerge w:val="restart"/>
            <w:vAlign w:val="center"/>
          </w:tcPr>
          <w:p w14:paraId="06D67058"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Calibri"/>
                <w:sz w:val="20"/>
                <w:szCs w:val="20"/>
              </w:rPr>
              <w:t>Globe</w:t>
            </w:r>
            <w:r w:rsidRPr="002815D4">
              <w:rPr>
                <w:rFonts w:ascii="Calibri" w:eastAsia="Calibri" w:hAnsi="Calibri" w:cs="Calibri"/>
                <w:sz w:val="20"/>
                <w:szCs w:val="20"/>
              </w:rPr>
              <w:br/>
              <w:t>(candelabra bases less than 1050 lumens)</w:t>
            </w:r>
          </w:p>
        </w:tc>
        <w:tc>
          <w:tcPr>
            <w:tcW w:w="1032" w:type="dxa"/>
            <w:vAlign w:val="center"/>
          </w:tcPr>
          <w:p w14:paraId="6BA09A30"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150</w:t>
            </w:r>
          </w:p>
        </w:tc>
        <w:tc>
          <w:tcPr>
            <w:tcW w:w="1127" w:type="dxa"/>
            <w:vAlign w:val="center"/>
          </w:tcPr>
          <w:p w14:paraId="0B480273"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309</w:t>
            </w:r>
          </w:p>
        </w:tc>
        <w:tc>
          <w:tcPr>
            <w:tcW w:w="990" w:type="dxa"/>
            <w:vAlign w:val="center"/>
          </w:tcPr>
          <w:p w14:paraId="6492B58A"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3.5</w:t>
            </w:r>
          </w:p>
        </w:tc>
        <w:tc>
          <w:tcPr>
            <w:tcW w:w="1170" w:type="dxa"/>
            <w:vAlign w:val="center"/>
          </w:tcPr>
          <w:p w14:paraId="6B4B5F13"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25</w:t>
            </w:r>
          </w:p>
        </w:tc>
        <w:tc>
          <w:tcPr>
            <w:tcW w:w="1112" w:type="dxa"/>
            <w:vAlign w:val="center"/>
          </w:tcPr>
          <w:p w14:paraId="458B43FA"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21.5</w:t>
            </w:r>
          </w:p>
        </w:tc>
        <w:tc>
          <w:tcPr>
            <w:tcW w:w="1112" w:type="dxa"/>
          </w:tcPr>
          <w:p w14:paraId="0ABBB334"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No</w:t>
            </w:r>
          </w:p>
        </w:tc>
      </w:tr>
      <w:tr w:rsidR="002815D4" w:rsidRPr="002815D4" w14:paraId="2E2FC61E" w14:textId="77777777" w:rsidTr="00935A18">
        <w:trPr>
          <w:trHeight w:val="274"/>
          <w:jc w:val="center"/>
        </w:trPr>
        <w:tc>
          <w:tcPr>
            <w:tcW w:w="1882" w:type="dxa"/>
            <w:vMerge/>
            <w:vAlign w:val="center"/>
          </w:tcPr>
          <w:p w14:paraId="0865A8BB" w14:textId="77777777" w:rsidR="002815D4" w:rsidRPr="002815D4" w:rsidRDefault="002815D4" w:rsidP="002815D4">
            <w:pPr>
              <w:jc w:val="center"/>
              <w:rPr>
                <w:rFonts w:ascii="Calibri" w:eastAsia="Calibri" w:hAnsi="Calibri" w:cs="Calibri"/>
                <w:sz w:val="20"/>
                <w:szCs w:val="20"/>
              </w:rPr>
            </w:pPr>
          </w:p>
        </w:tc>
        <w:tc>
          <w:tcPr>
            <w:tcW w:w="1032" w:type="dxa"/>
            <w:vAlign w:val="center"/>
          </w:tcPr>
          <w:p w14:paraId="3F06C921"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310</w:t>
            </w:r>
          </w:p>
        </w:tc>
        <w:tc>
          <w:tcPr>
            <w:tcW w:w="1127" w:type="dxa"/>
            <w:vAlign w:val="center"/>
          </w:tcPr>
          <w:p w14:paraId="025EBD80"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349</w:t>
            </w:r>
          </w:p>
        </w:tc>
        <w:tc>
          <w:tcPr>
            <w:tcW w:w="990" w:type="dxa"/>
            <w:vAlign w:val="center"/>
          </w:tcPr>
          <w:p w14:paraId="0798880F"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3.5</w:t>
            </w:r>
          </w:p>
        </w:tc>
        <w:tc>
          <w:tcPr>
            <w:tcW w:w="1170" w:type="dxa"/>
            <w:vAlign w:val="center"/>
          </w:tcPr>
          <w:p w14:paraId="01A84F8B"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25</w:t>
            </w:r>
          </w:p>
        </w:tc>
        <w:tc>
          <w:tcPr>
            <w:tcW w:w="1112" w:type="dxa"/>
            <w:vAlign w:val="center"/>
          </w:tcPr>
          <w:p w14:paraId="3100326C"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21.5</w:t>
            </w:r>
          </w:p>
        </w:tc>
        <w:tc>
          <w:tcPr>
            <w:tcW w:w="1112" w:type="dxa"/>
          </w:tcPr>
          <w:p w14:paraId="6F9B26E3"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3B11054B" w14:textId="77777777" w:rsidTr="00935A18">
        <w:trPr>
          <w:trHeight w:val="274"/>
          <w:jc w:val="center"/>
        </w:trPr>
        <w:tc>
          <w:tcPr>
            <w:tcW w:w="1882" w:type="dxa"/>
            <w:vMerge/>
            <w:vAlign w:val="center"/>
          </w:tcPr>
          <w:p w14:paraId="79D0417D" w14:textId="77777777" w:rsidR="002815D4" w:rsidRPr="002815D4" w:rsidRDefault="002815D4" w:rsidP="002815D4">
            <w:pPr>
              <w:jc w:val="center"/>
              <w:rPr>
                <w:rFonts w:ascii="Calibri" w:eastAsia="Calibri" w:hAnsi="Calibri" w:cs="Calibri"/>
                <w:sz w:val="20"/>
                <w:szCs w:val="20"/>
              </w:rPr>
            </w:pPr>
          </w:p>
        </w:tc>
        <w:tc>
          <w:tcPr>
            <w:tcW w:w="1032" w:type="dxa"/>
            <w:vAlign w:val="center"/>
          </w:tcPr>
          <w:p w14:paraId="456D5B63"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350</w:t>
            </w:r>
          </w:p>
        </w:tc>
        <w:tc>
          <w:tcPr>
            <w:tcW w:w="1127" w:type="dxa"/>
            <w:vAlign w:val="center"/>
          </w:tcPr>
          <w:p w14:paraId="0F57ABED"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499</w:t>
            </w:r>
          </w:p>
        </w:tc>
        <w:tc>
          <w:tcPr>
            <w:tcW w:w="990" w:type="dxa"/>
            <w:vAlign w:val="center"/>
          </w:tcPr>
          <w:p w14:paraId="316B5719"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4.4</w:t>
            </w:r>
          </w:p>
        </w:tc>
        <w:tc>
          <w:tcPr>
            <w:tcW w:w="1170" w:type="dxa"/>
            <w:vAlign w:val="center"/>
          </w:tcPr>
          <w:p w14:paraId="7DF9362A"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40</w:t>
            </w:r>
          </w:p>
        </w:tc>
        <w:tc>
          <w:tcPr>
            <w:tcW w:w="1112" w:type="dxa"/>
            <w:vAlign w:val="center"/>
          </w:tcPr>
          <w:p w14:paraId="5C9FF286"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35.6</w:t>
            </w:r>
          </w:p>
        </w:tc>
        <w:tc>
          <w:tcPr>
            <w:tcW w:w="1112" w:type="dxa"/>
          </w:tcPr>
          <w:p w14:paraId="7F27F5E3"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3A4F3991" w14:textId="77777777" w:rsidTr="00935A18">
        <w:trPr>
          <w:trHeight w:val="274"/>
          <w:jc w:val="center"/>
        </w:trPr>
        <w:tc>
          <w:tcPr>
            <w:tcW w:w="1882" w:type="dxa"/>
            <w:vMerge/>
            <w:vAlign w:val="center"/>
          </w:tcPr>
          <w:p w14:paraId="1704E398" w14:textId="77777777" w:rsidR="002815D4" w:rsidRPr="002815D4" w:rsidRDefault="002815D4" w:rsidP="002815D4">
            <w:pPr>
              <w:jc w:val="center"/>
              <w:rPr>
                <w:rFonts w:ascii="Calibri" w:eastAsia="Calibri" w:hAnsi="Calibri" w:cs="Calibri"/>
                <w:sz w:val="20"/>
                <w:szCs w:val="20"/>
              </w:rPr>
            </w:pPr>
          </w:p>
        </w:tc>
        <w:tc>
          <w:tcPr>
            <w:tcW w:w="1032" w:type="dxa"/>
            <w:vAlign w:val="center"/>
          </w:tcPr>
          <w:p w14:paraId="319BED6D"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500</w:t>
            </w:r>
          </w:p>
        </w:tc>
        <w:tc>
          <w:tcPr>
            <w:tcW w:w="1127" w:type="dxa"/>
            <w:vAlign w:val="center"/>
          </w:tcPr>
          <w:p w14:paraId="45F032B5"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574</w:t>
            </w:r>
          </w:p>
        </w:tc>
        <w:tc>
          <w:tcPr>
            <w:tcW w:w="990" w:type="dxa"/>
            <w:vAlign w:val="center"/>
          </w:tcPr>
          <w:p w14:paraId="2AD627DE"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5.5</w:t>
            </w:r>
          </w:p>
        </w:tc>
        <w:tc>
          <w:tcPr>
            <w:tcW w:w="1170" w:type="dxa"/>
            <w:vAlign w:val="center"/>
          </w:tcPr>
          <w:p w14:paraId="74C42884"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60</w:t>
            </w:r>
          </w:p>
        </w:tc>
        <w:tc>
          <w:tcPr>
            <w:tcW w:w="1112" w:type="dxa"/>
            <w:vAlign w:val="center"/>
          </w:tcPr>
          <w:p w14:paraId="24534AFD"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54.5</w:t>
            </w:r>
          </w:p>
        </w:tc>
        <w:tc>
          <w:tcPr>
            <w:tcW w:w="1112" w:type="dxa"/>
          </w:tcPr>
          <w:p w14:paraId="2A708947"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3E85BEC5" w14:textId="77777777" w:rsidTr="00935A18">
        <w:trPr>
          <w:trHeight w:val="274"/>
          <w:jc w:val="center"/>
        </w:trPr>
        <w:tc>
          <w:tcPr>
            <w:tcW w:w="1882" w:type="dxa"/>
            <w:vMerge w:val="restart"/>
            <w:vAlign w:val="center"/>
            <w:hideMark/>
          </w:tcPr>
          <w:p w14:paraId="0C60422D"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Calibri"/>
                <w:sz w:val="20"/>
                <w:szCs w:val="20"/>
              </w:rPr>
              <w:t>Decorative</w:t>
            </w:r>
            <w:r w:rsidRPr="002815D4">
              <w:rPr>
                <w:rFonts w:ascii="Calibri" w:eastAsia="Calibri" w:hAnsi="Calibri" w:cs="Calibri"/>
                <w:sz w:val="20"/>
                <w:szCs w:val="20"/>
              </w:rPr>
              <w:br/>
              <w:t>(Shapes B, BA, C, CA, DC, F, G, medium and intermediate bases less than 750 lumens)</w:t>
            </w:r>
          </w:p>
        </w:tc>
        <w:tc>
          <w:tcPr>
            <w:tcW w:w="1032" w:type="dxa"/>
            <w:vAlign w:val="center"/>
            <w:hideMark/>
          </w:tcPr>
          <w:p w14:paraId="63D76B4C"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160</w:t>
            </w:r>
          </w:p>
        </w:tc>
        <w:tc>
          <w:tcPr>
            <w:tcW w:w="1127" w:type="dxa"/>
            <w:vAlign w:val="center"/>
            <w:hideMark/>
          </w:tcPr>
          <w:p w14:paraId="5A3C303A"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299</w:t>
            </w:r>
          </w:p>
        </w:tc>
        <w:tc>
          <w:tcPr>
            <w:tcW w:w="990" w:type="dxa"/>
            <w:vAlign w:val="center"/>
            <w:hideMark/>
          </w:tcPr>
          <w:p w14:paraId="5213174E"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2.6</w:t>
            </w:r>
          </w:p>
        </w:tc>
        <w:tc>
          <w:tcPr>
            <w:tcW w:w="1170" w:type="dxa"/>
            <w:vAlign w:val="center"/>
            <w:hideMark/>
          </w:tcPr>
          <w:p w14:paraId="4171FD4D"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25</w:t>
            </w:r>
          </w:p>
        </w:tc>
        <w:tc>
          <w:tcPr>
            <w:tcW w:w="1112" w:type="dxa"/>
            <w:vAlign w:val="center"/>
            <w:hideMark/>
          </w:tcPr>
          <w:p w14:paraId="4D0F5760"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22.4</w:t>
            </w:r>
          </w:p>
        </w:tc>
        <w:tc>
          <w:tcPr>
            <w:tcW w:w="1112" w:type="dxa"/>
          </w:tcPr>
          <w:p w14:paraId="6097E6FF"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No</w:t>
            </w:r>
          </w:p>
        </w:tc>
      </w:tr>
      <w:tr w:rsidR="002815D4" w:rsidRPr="002815D4" w14:paraId="609B4203" w14:textId="77777777" w:rsidTr="00935A18">
        <w:trPr>
          <w:trHeight w:val="274"/>
          <w:jc w:val="center"/>
        </w:trPr>
        <w:tc>
          <w:tcPr>
            <w:tcW w:w="1882" w:type="dxa"/>
            <w:vMerge/>
            <w:vAlign w:val="center"/>
            <w:hideMark/>
          </w:tcPr>
          <w:p w14:paraId="2BF46841" w14:textId="77777777" w:rsidR="002815D4" w:rsidRPr="002815D4" w:rsidRDefault="002815D4" w:rsidP="002815D4">
            <w:pPr>
              <w:rPr>
                <w:rFonts w:ascii="Calibri" w:eastAsia="Calibri" w:hAnsi="Calibri" w:cs="Calibri"/>
                <w:sz w:val="20"/>
                <w:szCs w:val="20"/>
              </w:rPr>
            </w:pPr>
          </w:p>
        </w:tc>
        <w:tc>
          <w:tcPr>
            <w:tcW w:w="1032" w:type="dxa"/>
            <w:vAlign w:val="center"/>
            <w:hideMark/>
          </w:tcPr>
          <w:p w14:paraId="5A50538A"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300</w:t>
            </w:r>
          </w:p>
        </w:tc>
        <w:tc>
          <w:tcPr>
            <w:tcW w:w="1127" w:type="dxa"/>
            <w:vAlign w:val="center"/>
            <w:hideMark/>
          </w:tcPr>
          <w:p w14:paraId="56A1AB60"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309</w:t>
            </w:r>
          </w:p>
        </w:tc>
        <w:tc>
          <w:tcPr>
            <w:tcW w:w="990" w:type="dxa"/>
            <w:vAlign w:val="center"/>
            <w:hideMark/>
          </w:tcPr>
          <w:p w14:paraId="13385E57"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4.3</w:t>
            </w:r>
          </w:p>
        </w:tc>
        <w:tc>
          <w:tcPr>
            <w:tcW w:w="1170" w:type="dxa"/>
            <w:vAlign w:val="center"/>
            <w:hideMark/>
          </w:tcPr>
          <w:p w14:paraId="7487E89F"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40</w:t>
            </w:r>
          </w:p>
        </w:tc>
        <w:tc>
          <w:tcPr>
            <w:tcW w:w="1112" w:type="dxa"/>
            <w:vAlign w:val="center"/>
            <w:hideMark/>
          </w:tcPr>
          <w:p w14:paraId="1CF424BC"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35.7</w:t>
            </w:r>
          </w:p>
        </w:tc>
        <w:tc>
          <w:tcPr>
            <w:tcW w:w="1112" w:type="dxa"/>
          </w:tcPr>
          <w:p w14:paraId="5D31F545"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No</w:t>
            </w:r>
          </w:p>
        </w:tc>
      </w:tr>
      <w:tr w:rsidR="002815D4" w:rsidRPr="002815D4" w14:paraId="77B44FC0" w14:textId="77777777" w:rsidTr="00935A18">
        <w:trPr>
          <w:trHeight w:val="274"/>
          <w:jc w:val="center"/>
        </w:trPr>
        <w:tc>
          <w:tcPr>
            <w:tcW w:w="1882" w:type="dxa"/>
            <w:vMerge/>
            <w:vAlign w:val="center"/>
          </w:tcPr>
          <w:p w14:paraId="3F406726" w14:textId="77777777" w:rsidR="002815D4" w:rsidRPr="002815D4" w:rsidRDefault="002815D4" w:rsidP="002815D4">
            <w:pPr>
              <w:rPr>
                <w:rFonts w:ascii="Calibri" w:eastAsia="Calibri" w:hAnsi="Calibri" w:cs="Calibri"/>
                <w:sz w:val="20"/>
                <w:szCs w:val="20"/>
              </w:rPr>
            </w:pPr>
          </w:p>
        </w:tc>
        <w:tc>
          <w:tcPr>
            <w:tcW w:w="1032" w:type="dxa"/>
            <w:vAlign w:val="center"/>
          </w:tcPr>
          <w:p w14:paraId="24C1F286"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310</w:t>
            </w:r>
          </w:p>
        </w:tc>
        <w:tc>
          <w:tcPr>
            <w:tcW w:w="1127" w:type="dxa"/>
            <w:vAlign w:val="center"/>
          </w:tcPr>
          <w:p w14:paraId="3F81D0BA"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499</w:t>
            </w:r>
          </w:p>
        </w:tc>
        <w:tc>
          <w:tcPr>
            <w:tcW w:w="990" w:type="dxa"/>
            <w:vAlign w:val="center"/>
          </w:tcPr>
          <w:p w14:paraId="7231456F"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4.3</w:t>
            </w:r>
          </w:p>
        </w:tc>
        <w:tc>
          <w:tcPr>
            <w:tcW w:w="1170" w:type="dxa"/>
            <w:vAlign w:val="center"/>
          </w:tcPr>
          <w:p w14:paraId="6741B9AB"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40</w:t>
            </w:r>
          </w:p>
        </w:tc>
        <w:tc>
          <w:tcPr>
            <w:tcW w:w="1112" w:type="dxa"/>
            <w:vAlign w:val="center"/>
          </w:tcPr>
          <w:p w14:paraId="5F7CC92F"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35.7</w:t>
            </w:r>
          </w:p>
        </w:tc>
        <w:tc>
          <w:tcPr>
            <w:tcW w:w="1112" w:type="dxa"/>
          </w:tcPr>
          <w:p w14:paraId="513EF7C6"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2B47C032" w14:textId="77777777" w:rsidTr="00935A18">
        <w:trPr>
          <w:trHeight w:val="274"/>
          <w:jc w:val="center"/>
        </w:trPr>
        <w:tc>
          <w:tcPr>
            <w:tcW w:w="1882" w:type="dxa"/>
            <w:vMerge/>
            <w:vAlign w:val="center"/>
            <w:hideMark/>
          </w:tcPr>
          <w:p w14:paraId="5B647D5F" w14:textId="77777777" w:rsidR="002815D4" w:rsidRPr="002815D4" w:rsidRDefault="002815D4" w:rsidP="002815D4">
            <w:pPr>
              <w:rPr>
                <w:rFonts w:ascii="Calibri" w:eastAsia="Calibri" w:hAnsi="Calibri" w:cs="Calibri"/>
                <w:sz w:val="20"/>
                <w:szCs w:val="20"/>
              </w:rPr>
            </w:pPr>
          </w:p>
        </w:tc>
        <w:tc>
          <w:tcPr>
            <w:tcW w:w="1032" w:type="dxa"/>
            <w:vAlign w:val="center"/>
            <w:hideMark/>
          </w:tcPr>
          <w:p w14:paraId="392A92D5"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500</w:t>
            </w:r>
          </w:p>
        </w:tc>
        <w:tc>
          <w:tcPr>
            <w:tcW w:w="1127" w:type="dxa"/>
            <w:vAlign w:val="center"/>
            <w:hideMark/>
          </w:tcPr>
          <w:p w14:paraId="314FCFBE"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800</w:t>
            </w:r>
          </w:p>
        </w:tc>
        <w:tc>
          <w:tcPr>
            <w:tcW w:w="990" w:type="dxa"/>
            <w:vAlign w:val="center"/>
            <w:hideMark/>
          </w:tcPr>
          <w:p w14:paraId="5DE1881C"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5.8</w:t>
            </w:r>
          </w:p>
        </w:tc>
        <w:tc>
          <w:tcPr>
            <w:tcW w:w="1170" w:type="dxa"/>
            <w:vAlign w:val="center"/>
            <w:hideMark/>
          </w:tcPr>
          <w:p w14:paraId="302F7D14"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60</w:t>
            </w:r>
          </w:p>
        </w:tc>
        <w:tc>
          <w:tcPr>
            <w:tcW w:w="1112" w:type="dxa"/>
            <w:vAlign w:val="center"/>
            <w:hideMark/>
          </w:tcPr>
          <w:p w14:paraId="28DE391D"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54.2</w:t>
            </w:r>
          </w:p>
        </w:tc>
        <w:tc>
          <w:tcPr>
            <w:tcW w:w="1112" w:type="dxa"/>
            <w:vAlign w:val="center"/>
          </w:tcPr>
          <w:p w14:paraId="7041E6FF"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7ED87DFD" w14:textId="77777777" w:rsidTr="00935A18">
        <w:trPr>
          <w:trHeight w:val="274"/>
          <w:jc w:val="center"/>
        </w:trPr>
        <w:tc>
          <w:tcPr>
            <w:tcW w:w="1882" w:type="dxa"/>
            <w:vMerge w:val="restart"/>
            <w:vAlign w:val="center"/>
            <w:hideMark/>
          </w:tcPr>
          <w:p w14:paraId="7AA505DE"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Calibri"/>
                <w:sz w:val="20"/>
                <w:szCs w:val="20"/>
              </w:rPr>
              <w:t>Decorative</w:t>
            </w:r>
            <w:r w:rsidRPr="002815D4">
              <w:rPr>
                <w:rFonts w:ascii="Calibri" w:eastAsia="Calibri" w:hAnsi="Calibri" w:cs="Calibri"/>
                <w:sz w:val="20"/>
                <w:szCs w:val="20"/>
              </w:rPr>
              <w:br/>
              <w:t>(Shapes B, BA, C, CA, DC, F, G, T candelabra bases less than 1050 lumens)</w:t>
            </w:r>
          </w:p>
        </w:tc>
        <w:tc>
          <w:tcPr>
            <w:tcW w:w="1032" w:type="dxa"/>
            <w:vAlign w:val="center"/>
            <w:hideMark/>
          </w:tcPr>
          <w:p w14:paraId="27DF0F55"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120</w:t>
            </w:r>
          </w:p>
        </w:tc>
        <w:tc>
          <w:tcPr>
            <w:tcW w:w="1127" w:type="dxa"/>
            <w:vAlign w:val="center"/>
            <w:hideMark/>
          </w:tcPr>
          <w:p w14:paraId="335C091F"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159</w:t>
            </w:r>
          </w:p>
        </w:tc>
        <w:tc>
          <w:tcPr>
            <w:tcW w:w="990" w:type="dxa"/>
            <w:vAlign w:val="center"/>
            <w:hideMark/>
          </w:tcPr>
          <w:p w14:paraId="6CD6AA8C"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1.5</w:t>
            </w:r>
          </w:p>
        </w:tc>
        <w:tc>
          <w:tcPr>
            <w:tcW w:w="1170" w:type="dxa"/>
            <w:vAlign w:val="center"/>
            <w:hideMark/>
          </w:tcPr>
          <w:p w14:paraId="0259B739"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15</w:t>
            </w:r>
          </w:p>
        </w:tc>
        <w:tc>
          <w:tcPr>
            <w:tcW w:w="1112" w:type="dxa"/>
            <w:vAlign w:val="center"/>
            <w:hideMark/>
          </w:tcPr>
          <w:p w14:paraId="46D6AAA6"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13.5</w:t>
            </w:r>
          </w:p>
        </w:tc>
        <w:tc>
          <w:tcPr>
            <w:tcW w:w="1112" w:type="dxa"/>
          </w:tcPr>
          <w:p w14:paraId="345D6AD7"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No</w:t>
            </w:r>
          </w:p>
        </w:tc>
      </w:tr>
      <w:tr w:rsidR="002815D4" w:rsidRPr="002815D4" w14:paraId="46FA9CE1" w14:textId="77777777" w:rsidTr="00935A18">
        <w:trPr>
          <w:trHeight w:val="274"/>
          <w:jc w:val="center"/>
        </w:trPr>
        <w:tc>
          <w:tcPr>
            <w:tcW w:w="1882" w:type="dxa"/>
            <w:vMerge/>
            <w:vAlign w:val="center"/>
            <w:hideMark/>
          </w:tcPr>
          <w:p w14:paraId="5266427A" w14:textId="77777777" w:rsidR="002815D4" w:rsidRPr="002815D4" w:rsidRDefault="002815D4" w:rsidP="002815D4">
            <w:pPr>
              <w:rPr>
                <w:rFonts w:ascii="Calibri" w:eastAsia="Calibri" w:hAnsi="Calibri" w:cs="Calibri"/>
                <w:sz w:val="20"/>
                <w:szCs w:val="20"/>
              </w:rPr>
            </w:pPr>
          </w:p>
        </w:tc>
        <w:tc>
          <w:tcPr>
            <w:tcW w:w="1032" w:type="dxa"/>
            <w:vAlign w:val="center"/>
            <w:hideMark/>
          </w:tcPr>
          <w:p w14:paraId="38112DFE"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160</w:t>
            </w:r>
          </w:p>
        </w:tc>
        <w:tc>
          <w:tcPr>
            <w:tcW w:w="1127" w:type="dxa"/>
            <w:vAlign w:val="center"/>
            <w:hideMark/>
          </w:tcPr>
          <w:p w14:paraId="061E43CA"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299</w:t>
            </w:r>
          </w:p>
        </w:tc>
        <w:tc>
          <w:tcPr>
            <w:tcW w:w="990" w:type="dxa"/>
            <w:vAlign w:val="center"/>
            <w:hideMark/>
          </w:tcPr>
          <w:p w14:paraId="521B600B"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2.7</w:t>
            </w:r>
          </w:p>
        </w:tc>
        <w:tc>
          <w:tcPr>
            <w:tcW w:w="1170" w:type="dxa"/>
            <w:vAlign w:val="center"/>
            <w:hideMark/>
          </w:tcPr>
          <w:p w14:paraId="7F4060A8"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25</w:t>
            </w:r>
          </w:p>
        </w:tc>
        <w:tc>
          <w:tcPr>
            <w:tcW w:w="1112" w:type="dxa"/>
            <w:vAlign w:val="center"/>
            <w:hideMark/>
          </w:tcPr>
          <w:p w14:paraId="63C904FD"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22.3</w:t>
            </w:r>
          </w:p>
        </w:tc>
        <w:tc>
          <w:tcPr>
            <w:tcW w:w="1112" w:type="dxa"/>
          </w:tcPr>
          <w:p w14:paraId="31D156C5"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No</w:t>
            </w:r>
          </w:p>
        </w:tc>
      </w:tr>
      <w:tr w:rsidR="002815D4" w:rsidRPr="002815D4" w14:paraId="2D153A3F" w14:textId="77777777" w:rsidTr="00935A18">
        <w:trPr>
          <w:trHeight w:val="274"/>
          <w:jc w:val="center"/>
        </w:trPr>
        <w:tc>
          <w:tcPr>
            <w:tcW w:w="1882" w:type="dxa"/>
            <w:vMerge/>
            <w:vAlign w:val="center"/>
            <w:hideMark/>
          </w:tcPr>
          <w:p w14:paraId="1761515C" w14:textId="77777777" w:rsidR="002815D4" w:rsidRPr="002815D4" w:rsidRDefault="002815D4" w:rsidP="002815D4">
            <w:pPr>
              <w:rPr>
                <w:rFonts w:ascii="Calibri" w:eastAsia="Calibri" w:hAnsi="Calibri" w:cs="Calibri"/>
                <w:sz w:val="20"/>
                <w:szCs w:val="20"/>
              </w:rPr>
            </w:pPr>
          </w:p>
        </w:tc>
        <w:tc>
          <w:tcPr>
            <w:tcW w:w="1032" w:type="dxa"/>
            <w:vAlign w:val="center"/>
            <w:hideMark/>
          </w:tcPr>
          <w:p w14:paraId="0B7B064D"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300</w:t>
            </w:r>
          </w:p>
        </w:tc>
        <w:tc>
          <w:tcPr>
            <w:tcW w:w="1127" w:type="dxa"/>
            <w:vAlign w:val="center"/>
            <w:hideMark/>
          </w:tcPr>
          <w:p w14:paraId="09AD5D37"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309</w:t>
            </w:r>
          </w:p>
        </w:tc>
        <w:tc>
          <w:tcPr>
            <w:tcW w:w="990" w:type="dxa"/>
            <w:vAlign w:val="center"/>
            <w:hideMark/>
          </w:tcPr>
          <w:p w14:paraId="5ADDC505"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4.2</w:t>
            </w:r>
          </w:p>
        </w:tc>
        <w:tc>
          <w:tcPr>
            <w:tcW w:w="1170" w:type="dxa"/>
            <w:vAlign w:val="center"/>
            <w:hideMark/>
          </w:tcPr>
          <w:p w14:paraId="08DC39F2"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40</w:t>
            </w:r>
          </w:p>
        </w:tc>
        <w:tc>
          <w:tcPr>
            <w:tcW w:w="1112" w:type="dxa"/>
            <w:vAlign w:val="center"/>
            <w:hideMark/>
          </w:tcPr>
          <w:p w14:paraId="03A7A653"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35.8</w:t>
            </w:r>
          </w:p>
        </w:tc>
        <w:tc>
          <w:tcPr>
            <w:tcW w:w="1112" w:type="dxa"/>
          </w:tcPr>
          <w:p w14:paraId="51A47479"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No</w:t>
            </w:r>
          </w:p>
        </w:tc>
      </w:tr>
      <w:tr w:rsidR="002815D4" w:rsidRPr="002815D4" w14:paraId="752CC25A" w14:textId="77777777" w:rsidTr="00935A18">
        <w:trPr>
          <w:trHeight w:val="274"/>
          <w:jc w:val="center"/>
        </w:trPr>
        <w:tc>
          <w:tcPr>
            <w:tcW w:w="1882" w:type="dxa"/>
            <w:vMerge/>
            <w:vAlign w:val="center"/>
          </w:tcPr>
          <w:p w14:paraId="22685922" w14:textId="77777777" w:rsidR="002815D4" w:rsidRPr="002815D4" w:rsidRDefault="002815D4" w:rsidP="002815D4">
            <w:pPr>
              <w:rPr>
                <w:rFonts w:ascii="Calibri" w:eastAsia="Calibri" w:hAnsi="Calibri" w:cs="Calibri"/>
                <w:sz w:val="20"/>
                <w:szCs w:val="20"/>
              </w:rPr>
            </w:pPr>
          </w:p>
        </w:tc>
        <w:tc>
          <w:tcPr>
            <w:tcW w:w="1032" w:type="dxa"/>
            <w:vAlign w:val="center"/>
          </w:tcPr>
          <w:p w14:paraId="18302374"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color w:val="000000"/>
                <w:sz w:val="20"/>
                <w:szCs w:val="20"/>
              </w:rPr>
              <w:t>310</w:t>
            </w:r>
          </w:p>
        </w:tc>
        <w:tc>
          <w:tcPr>
            <w:tcW w:w="1127" w:type="dxa"/>
            <w:vAlign w:val="center"/>
          </w:tcPr>
          <w:p w14:paraId="09CCD22A"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color w:val="000000"/>
                <w:sz w:val="20"/>
                <w:szCs w:val="20"/>
              </w:rPr>
              <w:t>499</w:t>
            </w:r>
          </w:p>
        </w:tc>
        <w:tc>
          <w:tcPr>
            <w:tcW w:w="990" w:type="dxa"/>
            <w:vAlign w:val="center"/>
          </w:tcPr>
          <w:p w14:paraId="11A75181"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4.2</w:t>
            </w:r>
          </w:p>
        </w:tc>
        <w:tc>
          <w:tcPr>
            <w:tcW w:w="1170" w:type="dxa"/>
            <w:vAlign w:val="center"/>
          </w:tcPr>
          <w:p w14:paraId="5AEE76D6"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40</w:t>
            </w:r>
          </w:p>
        </w:tc>
        <w:tc>
          <w:tcPr>
            <w:tcW w:w="1112" w:type="dxa"/>
            <w:vAlign w:val="center"/>
          </w:tcPr>
          <w:p w14:paraId="0951D9B2"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35.8</w:t>
            </w:r>
          </w:p>
        </w:tc>
        <w:tc>
          <w:tcPr>
            <w:tcW w:w="1112" w:type="dxa"/>
          </w:tcPr>
          <w:p w14:paraId="24192EFF"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6C33E86C" w14:textId="77777777" w:rsidTr="00935A18">
        <w:trPr>
          <w:trHeight w:val="274"/>
          <w:jc w:val="center"/>
        </w:trPr>
        <w:tc>
          <w:tcPr>
            <w:tcW w:w="1882" w:type="dxa"/>
            <w:vMerge/>
            <w:vAlign w:val="center"/>
            <w:hideMark/>
          </w:tcPr>
          <w:p w14:paraId="5128EF1B" w14:textId="77777777" w:rsidR="002815D4" w:rsidRPr="002815D4" w:rsidRDefault="002815D4" w:rsidP="002815D4">
            <w:pPr>
              <w:rPr>
                <w:rFonts w:ascii="Calibri" w:eastAsia="Calibri" w:hAnsi="Calibri" w:cs="Calibri"/>
                <w:sz w:val="20"/>
                <w:szCs w:val="20"/>
              </w:rPr>
            </w:pPr>
          </w:p>
        </w:tc>
        <w:tc>
          <w:tcPr>
            <w:tcW w:w="1032" w:type="dxa"/>
            <w:vAlign w:val="center"/>
            <w:hideMark/>
          </w:tcPr>
          <w:p w14:paraId="2A69B4C1"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sz w:val="20"/>
                <w:szCs w:val="20"/>
              </w:rPr>
              <w:t>500</w:t>
            </w:r>
          </w:p>
        </w:tc>
        <w:tc>
          <w:tcPr>
            <w:tcW w:w="1127" w:type="dxa"/>
            <w:vAlign w:val="center"/>
            <w:hideMark/>
          </w:tcPr>
          <w:p w14:paraId="344810B4"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sz w:val="20"/>
                <w:szCs w:val="20"/>
              </w:rPr>
              <w:t>650</w:t>
            </w:r>
          </w:p>
        </w:tc>
        <w:tc>
          <w:tcPr>
            <w:tcW w:w="990" w:type="dxa"/>
            <w:vAlign w:val="center"/>
            <w:hideMark/>
          </w:tcPr>
          <w:p w14:paraId="4BB592E5"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5.5</w:t>
            </w:r>
          </w:p>
        </w:tc>
        <w:tc>
          <w:tcPr>
            <w:tcW w:w="1170" w:type="dxa"/>
            <w:vAlign w:val="center"/>
            <w:hideMark/>
          </w:tcPr>
          <w:p w14:paraId="0FD13C4D"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60</w:t>
            </w:r>
          </w:p>
        </w:tc>
        <w:tc>
          <w:tcPr>
            <w:tcW w:w="1112" w:type="dxa"/>
            <w:vAlign w:val="center"/>
            <w:hideMark/>
          </w:tcPr>
          <w:p w14:paraId="69031908"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54.5</w:t>
            </w:r>
          </w:p>
        </w:tc>
        <w:tc>
          <w:tcPr>
            <w:tcW w:w="1112" w:type="dxa"/>
          </w:tcPr>
          <w:p w14:paraId="36E4378D"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0E039C0B" w14:textId="77777777" w:rsidTr="00935A18">
        <w:trPr>
          <w:trHeight w:val="274"/>
          <w:jc w:val="center"/>
        </w:trPr>
        <w:tc>
          <w:tcPr>
            <w:tcW w:w="1882" w:type="dxa"/>
            <w:vMerge w:val="restart"/>
            <w:vAlign w:val="center"/>
          </w:tcPr>
          <w:p w14:paraId="1E686D06"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Calibri"/>
                <w:sz w:val="20"/>
                <w:szCs w:val="20"/>
              </w:rPr>
              <w:t>Decorative</w:t>
            </w:r>
          </w:p>
          <w:p w14:paraId="272B4756"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Calibri"/>
                <w:sz w:val="20"/>
                <w:szCs w:val="20"/>
              </w:rPr>
              <w:t>(Shape ST)</w:t>
            </w:r>
          </w:p>
        </w:tc>
        <w:tc>
          <w:tcPr>
            <w:tcW w:w="1032" w:type="dxa"/>
            <w:vAlign w:val="center"/>
          </w:tcPr>
          <w:p w14:paraId="425C8502"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250</w:t>
            </w:r>
          </w:p>
        </w:tc>
        <w:tc>
          <w:tcPr>
            <w:tcW w:w="1127" w:type="dxa"/>
            <w:vAlign w:val="center"/>
          </w:tcPr>
          <w:p w14:paraId="7267849A"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309</w:t>
            </w:r>
          </w:p>
        </w:tc>
        <w:tc>
          <w:tcPr>
            <w:tcW w:w="990" w:type="dxa"/>
            <w:vAlign w:val="center"/>
          </w:tcPr>
          <w:p w14:paraId="0856F0D9"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6.5</w:t>
            </w:r>
          </w:p>
        </w:tc>
        <w:tc>
          <w:tcPr>
            <w:tcW w:w="1170" w:type="dxa"/>
            <w:vAlign w:val="center"/>
          </w:tcPr>
          <w:p w14:paraId="0A6273B3"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40</w:t>
            </w:r>
          </w:p>
        </w:tc>
        <w:tc>
          <w:tcPr>
            <w:tcW w:w="1112" w:type="dxa"/>
            <w:vAlign w:val="bottom"/>
          </w:tcPr>
          <w:p w14:paraId="7DFD5CB6"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Calibri"/>
                <w:color w:val="000000"/>
                <w:sz w:val="20"/>
                <w:szCs w:val="20"/>
              </w:rPr>
              <w:t>33.5</w:t>
            </w:r>
          </w:p>
        </w:tc>
        <w:tc>
          <w:tcPr>
            <w:tcW w:w="1112" w:type="dxa"/>
          </w:tcPr>
          <w:p w14:paraId="7BDAA547"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No</w:t>
            </w:r>
          </w:p>
        </w:tc>
      </w:tr>
      <w:tr w:rsidR="002815D4" w:rsidRPr="002815D4" w14:paraId="1D1C189C" w14:textId="77777777" w:rsidTr="00935A18">
        <w:trPr>
          <w:trHeight w:val="274"/>
          <w:jc w:val="center"/>
        </w:trPr>
        <w:tc>
          <w:tcPr>
            <w:tcW w:w="1882" w:type="dxa"/>
            <w:vMerge/>
            <w:vAlign w:val="center"/>
          </w:tcPr>
          <w:p w14:paraId="3B86003A" w14:textId="77777777" w:rsidR="002815D4" w:rsidRPr="002815D4" w:rsidRDefault="002815D4" w:rsidP="002815D4">
            <w:pPr>
              <w:jc w:val="center"/>
              <w:rPr>
                <w:rFonts w:ascii="Calibri" w:eastAsia="Calibri" w:hAnsi="Calibri" w:cs="Calibri"/>
                <w:sz w:val="20"/>
                <w:szCs w:val="20"/>
              </w:rPr>
            </w:pPr>
          </w:p>
        </w:tc>
        <w:tc>
          <w:tcPr>
            <w:tcW w:w="1032" w:type="dxa"/>
            <w:vAlign w:val="center"/>
          </w:tcPr>
          <w:p w14:paraId="1EC38DAF"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310</w:t>
            </w:r>
          </w:p>
        </w:tc>
        <w:tc>
          <w:tcPr>
            <w:tcW w:w="1127" w:type="dxa"/>
            <w:vAlign w:val="center"/>
          </w:tcPr>
          <w:p w14:paraId="4F1F3988"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499</w:t>
            </w:r>
          </w:p>
        </w:tc>
        <w:tc>
          <w:tcPr>
            <w:tcW w:w="990" w:type="dxa"/>
            <w:vAlign w:val="center"/>
          </w:tcPr>
          <w:p w14:paraId="7BEEF0C4"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6.5</w:t>
            </w:r>
          </w:p>
        </w:tc>
        <w:tc>
          <w:tcPr>
            <w:tcW w:w="1170" w:type="dxa"/>
            <w:vAlign w:val="center"/>
          </w:tcPr>
          <w:p w14:paraId="189791A8"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40</w:t>
            </w:r>
          </w:p>
        </w:tc>
        <w:tc>
          <w:tcPr>
            <w:tcW w:w="1112" w:type="dxa"/>
            <w:vAlign w:val="bottom"/>
          </w:tcPr>
          <w:p w14:paraId="09BB96A7"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Calibri"/>
                <w:color w:val="000000"/>
                <w:sz w:val="20"/>
                <w:szCs w:val="20"/>
              </w:rPr>
              <w:t>33.5</w:t>
            </w:r>
          </w:p>
        </w:tc>
        <w:tc>
          <w:tcPr>
            <w:tcW w:w="1112" w:type="dxa"/>
          </w:tcPr>
          <w:p w14:paraId="7C8F361E"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4E9AD2D4" w14:textId="77777777" w:rsidTr="00935A18">
        <w:trPr>
          <w:trHeight w:val="274"/>
          <w:jc w:val="center"/>
        </w:trPr>
        <w:tc>
          <w:tcPr>
            <w:tcW w:w="1882" w:type="dxa"/>
            <w:vMerge/>
            <w:vAlign w:val="center"/>
          </w:tcPr>
          <w:p w14:paraId="59E8C7F3" w14:textId="77777777" w:rsidR="002815D4" w:rsidRPr="002815D4" w:rsidRDefault="002815D4" w:rsidP="002815D4">
            <w:pPr>
              <w:jc w:val="center"/>
              <w:rPr>
                <w:rFonts w:ascii="Calibri" w:eastAsia="Calibri" w:hAnsi="Calibri" w:cs="Calibri"/>
                <w:sz w:val="20"/>
                <w:szCs w:val="20"/>
              </w:rPr>
            </w:pPr>
          </w:p>
        </w:tc>
        <w:tc>
          <w:tcPr>
            <w:tcW w:w="1032" w:type="dxa"/>
            <w:vAlign w:val="center"/>
          </w:tcPr>
          <w:p w14:paraId="524BA6B8"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500</w:t>
            </w:r>
          </w:p>
        </w:tc>
        <w:tc>
          <w:tcPr>
            <w:tcW w:w="1127" w:type="dxa"/>
            <w:vAlign w:val="center"/>
          </w:tcPr>
          <w:p w14:paraId="3B47BAD5"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999</w:t>
            </w:r>
          </w:p>
        </w:tc>
        <w:tc>
          <w:tcPr>
            <w:tcW w:w="990" w:type="dxa"/>
            <w:vAlign w:val="center"/>
          </w:tcPr>
          <w:p w14:paraId="49D75CFD"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8.8</w:t>
            </w:r>
          </w:p>
        </w:tc>
        <w:tc>
          <w:tcPr>
            <w:tcW w:w="1170" w:type="dxa"/>
            <w:vAlign w:val="center"/>
          </w:tcPr>
          <w:p w14:paraId="6617270E"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60</w:t>
            </w:r>
          </w:p>
        </w:tc>
        <w:tc>
          <w:tcPr>
            <w:tcW w:w="1112" w:type="dxa"/>
            <w:vAlign w:val="bottom"/>
          </w:tcPr>
          <w:p w14:paraId="2142396D"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Calibri"/>
                <w:color w:val="000000"/>
                <w:sz w:val="20"/>
                <w:szCs w:val="20"/>
              </w:rPr>
              <w:t>51.2</w:t>
            </w:r>
          </w:p>
        </w:tc>
        <w:tc>
          <w:tcPr>
            <w:tcW w:w="1112" w:type="dxa"/>
          </w:tcPr>
          <w:p w14:paraId="04A1CF50"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Yes</w:t>
            </w:r>
          </w:p>
        </w:tc>
      </w:tr>
      <w:tr w:rsidR="002815D4" w:rsidRPr="002815D4" w14:paraId="13C4A232" w14:textId="77777777" w:rsidTr="00935A18">
        <w:trPr>
          <w:trHeight w:val="274"/>
          <w:jc w:val="center"/>
        </w:trPr>
        <w:tc>
          <w:tcPr>
            <w:tcW w:w="1882" w:type="dxa"/>
            <w:vMerge/>
            <w:vAlign w:val="center"/>
          </w:tcPr>
          <w:p w14:paraId="2496F3A5" w14:textId="77777777" w:rsidR="002815D4" w:rsidRPr="002815D4" w:rsidRDefault="002815D4" w:rsidP="002815D4">
            <w:pPr>
              <w:jc w:val="center"/>
              <w:rPr>
                <w:rFonts w:ascii="Calibri" w:eastAsia="Calibri" w:hAnsi="Calibri" w:cs="Calibri"/>
                <w:sz w:val="20"/>
                <w:szCs w:val="20"/>
              </w:rPr>
            </w:pPr>
          </w:p>
        </w:tc>
        <w:tc>
          <w:tcPr>
            <w:tcW w:w="1032" w:type="dxa"/>
            <w:vAlign w:val="center"/>
          </w:tcPr>
          <w:p w14:paraId="4E0DD89B"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1000</w:t>
            </w:r>
          </w:p>
        </w:tc>
        <w:tc>
          <w:tcPr>
            <w:tcW w:w="1127" w:type="dxa"/>
            <w:vAlign w:val="center"/>
          </w:tcPr>
          <w:p w14:paraId="043BA015"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1500</w:t>
            </w:r>
          </w:p>
        </w:tc>
        <w:tc>
          <w:tcPr>
            <w:tcW w:w="990" w:type="dxa"/>
            <w:vAlign w:val="center"/>
          </w:tcPr>
          <w:p w14:paraId="7E78FD13"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10.0</w:t>
            </w:r>
          </w:p>
        </w:tc>
        <w:tc>
          <w:tcPr>
            <w:tcW w:w="1170" w:type="dxa"/>
            <w:vAlign w:val="center"/>
          </w:tcPr>
          <w:p w14:paraId="0291ABA1"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100</w:t>
            </w:r>
          </w:p>
        </w:tc>
        <w:tc>
          <w:tcPr>
            <w:tcW w:w="1112" w:type="dxa"/>
            <w:vAlign w:val="bottom"/>
          </w:tcPr>
          <w:p w14:paraId="2971FE5B"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Calibri"/>
                <w:color w:val="000000"/>
                <w:sz w:val="20"/>
                <w:szCs w:val="20"/>
              </w:rPr>
              <w:t>90.0</w:t>
            </w:r>
          </w:p>
        </w:tc>
        <w:tc>
          <w:tcPr>
            <w:tcW w:w="1112" w:type="dxa"/>
          </w:tcPr>
          <w:p w14:paraId="1537ABC0"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Yes</w:t>
            </w:r>
          </w:p>
        </w:tc>
      </w:tr>
      <w:tr w:rsidR="002815D4" w:rsidRPr="002815D4" w14:paraId="0F3E1772" w14:textId="77777777" w:rsidTr="00935A18">
        <w:trPr>
          <w:trHeight w:val="274"/>
          <w:jc w:val="center"/>
        </w:trPr>
        <w:tc>
          <w:tcPr>
            <w:tcW w:w="1882" w:type="dxa"/>
            <w:vMerge w:val="restart"/>
            <w:vAlign w:val="center"/>
          </w:tcPr>
          <w:p w14:paraId="798F098A"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Calibri"/>
                <w:sz w:val="20"/>
                <w:szCs w:val="20"/>
              </w:rPr>
              <w:t xml:space="preserve">Decorative     </w:t>
            </w:r>
          </w:p>
          <w:p w14:paraId="7F6DE7DE"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Calibri"/>
                <w:sz w:val="20"/>
                <w:szCs w:val="20"/>
              </w:rPr>
              <w:t>(Shape S)</w:t>
            </w:r>
          </w:p>
        </w:tc>
        <w:tc>
          <w:tcPr>
            <w:tcW w:w="1032" w:type="dxa"/>
            <w:vAlign w:val="center"/>
          </w:tcPr>
          <w:p w14:paraId="36652FDA"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50</w:t>
            </w:r>
          </w:p>
        </w:tc>
        <w:tc>
          <w:tcPr>
            <w:tcW w:w="1127" w:type="dxa"/>
            <w:vAlign w:val="center"/>
          </w:tcPr>
          <w:p w14:paraId="62E98FF1"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75</w:t>
            </w:r>
          </w:p>
        </w:tc>
        <w:tc>
          <w:tcPr>
            <w:tcW w:w="990" w:type="dxa"/>
            <w:vAlign w:val="center"/>
          </w:tcPr>
          <w:p w14:paraId="3543F0E9"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1.0</w:t>
            </w:r>
          </w:p>
        </w:tc>
        <w:tc>
          <w:tcPr>
            <w:tcW w:w="1170" w:type="dxa"/>
            <w:vAlign w:val="center"/>
          </w:tcPr>
          <w:p w14:paraId="0A7DE4C1"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11</w:t>
            </w:r>
          </w:p>
        </w:tc>
        <w:tc>
          <w:tcPr>
            <w:tcW w:w="1112" w:type="dxa"/>
            <w:vAlign w:val="bottom"/>
          </w:tcPr>
          <w:p w14:paraId="1ABD65E1"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Calibri"/>
                <w:color w:val="000000"/>
                <w:sz w:val="20"/>
                <w:szCs w:val="20"/>
              </w:rPr>
              <w:t>10.0</w:t>
            </w:r>
          </w:p>
        </w:tc>
        <w:tc>
          <w:tcPr>
            <w:tcW w:w="1112" w:type="dxa"/>
          </w:tcPr>
          <w:p w14:paraId="6EFA3131"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No</w:t>
            </w:r>
          </w:p>
        </w:tc>
      </w:tr>
      <w:tr w:rsidR="002815D4" w:rsidRPr="002815D4" w14:paraId="4C22C27E" w14:textId="77777777" w:rsidTr="00935A18">
        <w:trPr>
          <w:trHeight w:val="274"/>
          <w:jc w:val="center"/>
        </w:trPr>
        <w:tc>
          <w:tcPr>
            <w:tcW w:w="1882" w:type="dxa"/>
            <w:vMerge/>
            <w:vAlign w:val="center"/>
          </w:tcPr>
          <w:p w14:paraId="5C162097" w14:textId="77777777" w:rsidR="002815D4" w:rsidRPr="002815D4" w:rsidRDefault="002815D4" w:rsidP="002815D4">
            <w:pPr>
              <w:rPr>
                <w:rFonts w:ascii="Calibri" w:eastAsia="Calibri" w:hAnsi="Calibri" w:cs="Calibri"/>
                <w:b/>
                <w:bCs/>
                <w:sz w:val="20"/>
                <w:szCs w:val="20"/>
              </w:rPr>
            </w:pPr>
          </w:p>
        </w:tc>
        <w:tc>
          <w:tcPr>
            <w:tcW w:w="1032" w:type="dxa"/>
            <w:vAlign w:val="center"/>
          </w:tcPr>
          <w:p w14:paraId="57ED3930"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100</w:t>
            </w:r>
          </w:p>
        </w:tc>
        <w:tc>
          <w:tcPr>
            <w:tcW w:w="1127" w:type="dxa"/>
            <w:vAlign w:val="center"/>
          </w:tcPr>
          <w:p w14:paraId="42B7DBB3"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120</w:t>
            </w:r>
          </w:p>
        </w:tc>
        <w:tc>
          <w:tcPr>
            <w:tcW w:w="990" w:type="dxa"/>
            <w:vAlign w:val="center"/>
          </w:tcPr>
          <w:p w14:paraId="22744622"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1.2</w:t>
            </w:r>
          </w:p>
        </w:tc>
        <w:tc>
          <w:tcPr>
            <w:tcW w:w="1170" w:type="dxa"/>
            <w:vAlign w:val="center"/>
          </w:tcPr>
          <w:p w14:paraId="61B3539A"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15</w:t>
            </w:r>
          </w:p>
        </w:tc>
        <w:tc>
          <w:tcPr>
            <w:tcW w:w="1112" w:type="dxa"/>
            <w:vAlign w:val="bottom"/>
          </w:tcPr>
          <w:p w14:paraId="379B1F33"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Calibri"/>
                <w:color w:val="000000"/>
                <w:sz w:val="20"/>
                <w:szCs w:val="20"/>
              </w:rPr>
              <w:t>13.8</w:t>
            </w:r>
          </w:p>
        </w:tc>
        <w:tc>
          <w:tcPr>
            <w:tcW w:w="1112" w:type="dxa"/>
          </w:tcPr>
          <w:p w14:paraId="5508C2B7"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No</w:t>
            </w:r>
          </w:p>
        </w:tc>
      </w:tr>
      <w:tr w:rsidR="002815D4" w:rsidRPr="002815D4" w14:paraId="3FFF75F2" w14:textId="77777777" w:rsidTr="00935A18">
        <w:trPr>
          <w:trHeight w:val="274"/>
          <w:jc w:val="center"/>
        </w:trPr>
        <w:tc>
          <w:tcPr>
            <w:tcW w:w="1882" w:type="dxa"/>
            <w:vMerge/>
            <w:vAlign w:val="center"/>
          </w:tcPr>
          <w:p w14:paraId="6C8C37B5" w14:textId="77777777" w:rsidR="002815D4" w:rsidRPr="002815D4" w:rsidRDefault="002815D4" w:rsidP="002815D4">
            <w:pPr>
              <w:rPr>
                <w:rFonts w:ascii="Calibri" w:eastAsia="Calibri" w:hAnsi="Calibri" w:cs="Calibri"/>
                <w:b/>
                <w:bCs/>
                <w:sz w:val="20"/>
                <w:szCs w:val="20"/>
              </w:rPr>
            </w:pPr>
          </w:p>
        </w:tc>
        <w:tc>
          <w:tcPr>
            <w:tcW w:w="1032" w:type="dxa"/>
            <w:vAlign w:val="center"/>
          </w:tcPr>
          <w:p w14:paraId="5A421616"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120</w:t>
            </w:r>
          </w:p>
        </w:tc>
        <w:tc>
          <w:tcPr>
            <w:tcW w:w="1127" w:type="dxa"/>
            <w:vAlign w:val="center"/>
          </w:tcPr>
          <w:p w14:paraId="3456233C"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309</w:t>
            </w:r>
          </w:p>
        </w:tc>
        <w:tc>
          <w:tcPr>
            <w:tcW w:w="990" w:type="dxa"/>
            <w:vAlign w:val="center"/>
          </w:tcPr>
          <w:p w14:paraId="67927515"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2.25</w:t>
            </w:r>
          </w:p>
        </w:tc>
        <w:tc>
          <w:tcPr>
            <w:tcW w:w="1170" w:type="dxa"/>
            <w:vAlign w:val="center"/>
          </w:tcPr>
          <w:p w14:paraId="78A2A0FC"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25</w:t>
            </w:r>
          </w:p>
        </w:tc>
        <w:tc>
          <w:tcPr>
            <w:tcW w:w="1112" w:type="dxa"/>
            <w:vAlign w:val="bottom"/>
          </w:tcPr>
          <w:p w14:paraId="1206D524"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Calibri"/>
                <w:color w:val="000000"/>
                <w:sz w:val="20"/>
                <w:szCs w:val="20"/>
              </w:rPr>
              <w:t>22.8</w:t>
            </w:r>
          </w:p>
        </w:tc>
        <w:tc>
          <w:tcPr>
            <w:tcW w:w="1112" w:type="dxa"/>
          </w:tcPr>
          <w:p w14:paraId="2B2B87A4"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No</w:t>
            </w:r>
          </w:p>
        </w:tc>
      </w:tr>
      <w:tr w:rsidR="002815D4" w:rsidRPr="002815D4" w14:paraId="69892876" w14:textId="77777777" w:rsidTr="00935A18">
        <w:trPr>
          <w:trHeight w:val="274"/>
          <w:jc w:val="center"/>
        </w:trPr>
        <w:tc>
          <w:tcPr>
            <w:tcW w:w="1882" w:type="dxa"/>
            <w:vMerge/>
            <w:vAlign w:val="center"/>
          </w:tcPr>
          <w:p w14:paraId="465C96D0" w14:textId="77777777" w:rsidR="002815D4" w:rsidRPr="002815D4" w:rsidRDefault="002815D4" w:rsidP="002815D4">
            <w:pPr>
              <w:rPr>
                <w:rFonts w:ascii="Calibri" w:eastAsia="Calibri" w:hAnsi="Calibri" w:cs="Calibri"/>
                <w:b/>
                <w:bCs/>
                <w:sz w:val="20"/>
                <w:szCs w:val="20"/>
              </w:rPr>
            </w:pPr>
          </w:p>
        </w:tc>
        <w:tc>
          <w:tcPr>
            <w:tcW w:w="1032" w:type="dxa"/>
            <w:vAlign w:val="center"/>
          </w:tcPr>
          <w:p w14:paraId="6912717E"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310</w:t>
            </w:r>
          </w:p>
        </w:tc>
        <w:tc>
          <w:tcPr>
            <w:tcW w:w="1127" w:type="dxa"/>
            <w:vAlign w:val="center"/>
          </w:tcPr>
          <w:p w14:paraId="0398D701"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340</w:t>
            </w:r>
          </w:p>
        </w:tc>
        <w:tc>
          <w:tcPr>
            <w:tcW w:w="990" w:type="dxa"/>
            <w:vAlign w:val="center"/>
          </w:tcPr>
          <w:p w14:paraId="197CE7E1"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2.25</w:t>
            </w:r>
          </w:p>
        </w:tc>
        <w:tc>
          <w:tcPr>
            <w:tcW w:w="1170" w:type="dxa"/>
            <w:vAlign w:val="center"/>
          </w:tcPr>
          <w:p w14:paraId="67D86426"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25</w:t>
            </w:r>
          </w:p>
        </w:tc>
        <w:tc>
          <w:tcPr>
            <w:tcW w:w="1112" w:type="dxa"/>
            <w:vAlign w:val="bottom"/>
          </w:tcPr>
          <w:p w14:paraId="7386F598"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Calibri"/>
                <w:color w:val="000000"/>
                <w:sz w:val="20"/>
                <w:szCs w:val="20"/>
              </w:rPr>
              <w:t>22.8</w:t>
            </w:r>
          </w:p>
        </w:tc>
        <w:tc>
          <w:tcPr>
            <w:tcW w:w="1112" w:type="dxa"/>
          </w:tcPr>
          <w:p w14:paraId="1B88C8B9"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bl>
    <w:p w14:paraId="4DE22D1A" w14:textId="77777777" w:rsidR="002815D4" w:rsidRPr="002815D4" w:rsidRDefault="002815D4" w:rsidP="002815D4">
      <w:pPr>
        <w:spacing w:after="120" w:line="276" w:lineRule="auto"/>
        <w:jc w:val="center"/>
        <w:rPr>
          <w:rFonts w:ascii="Calibri" w:eastAsia="Calibri" w:hAnsi="Calibri" w:cs="Arial"/>
          <w:noProof/>
          <w:sz w:val="20"/>
          <w:szCs w:val="20"/>
        </w:rPr>
      </w:pPr>
    </w:p>
    <w:p w14:paraId="78E93068" w14:textId="77777777" w:rsidR="002815D4" w:rsidRPr="002815D4" w:rsidRDefault="002815D4" w:rsidP="002815D4">
      <w:pPr>
        <w:spacing w:after="120"/>
        <w:ind w:left="1440"/>
        <w:jc w:val="both"/>
        <w:rPr>
          <w:rFonts w:ascii="Calibri" w:eastAsia="Calibri" w:hAnsi="Calibri" w:cs="Arial"/>
          <w:noProof/>
          <w:sz w:val="20"/>
          <w:szCs w:val="20"/>
        </w:rPr>
      </w:pPr>
      <w:r w:rsidRPr="002815D4">
        <w:rPr>
          <w:rFonts w:ascii="Calibri" w:eastAsia="Calibri" w:hAnsi="Calibri" w:cs="Arial"/>
          <w:b/>
          <w:noProof/>
          <w:sz w:val="20"/>
          <w:szCs w:val="20"/>
        </w:rPr>
        <w:t xml:space="preserve">Directional Lamps - </w:t>
      </w:r>
      <w:r w:rsidRPr="002815D4">
        <w:rPr>
          <w:rFonts w:ascii="Calibri" w:eastAsia="Calibri" w:hAnsi="Calibri" w:cs="Arial"/>
          <w:noProof/>
          <w:sz w:val="20"/>
          <w:szCs w:val="20"/>
        </w:rPr>
        <w:t>ENERGY STAR Minimum Luminous Efficacy = 70Lm/W for &lt;90 CRI lamps and 61 Lm/W for &gt;=90CRI lamps.</w:t>
      </w:r>
    </w:p>
    <w:p w14:paraId="24F3108D" w14:textId="77777777" w:rsidR="002815D4" w:rsidRPr="002815D4" w:rsidRDefault="002815D4" w:rsidP="002815D4">
      <w:pPr>
        <w:spacing w:after="120"/>
        <w:ind w:left="1440"/>
        <w:jc w:val="both"/>
        <w:rPr>
          <w:rFonts w:ascii="Calibri" w:eastAsia="Calibri" w:hAnsi="Calibri" w:cs="Arial"/>
          <w:noProof/>
          <w:sz w:val="20"/>
          <w:szCs w:val="20"/>
        </w:rPr>
      </w:pPr>
      <w:r w:rsidRPr="002815D4">
        <w:rPr>
          <w:rFonts w:ascii="Calibri" w:eastAsia="Calibri" w:hAnsi="Calibri" w:cs="Arial"/>
          <w:noProof/>
          <w:sz w:val="20"/>
          <w:szCs w:val="20"/>
        </w:rPr>
        <w:t>For Directional R, BR, ER,</w:t>
      </w:r>
      <w:r w:rsidRPr="002815D4">
        <w:rPr>
          <w:rFonts w:ascii="Calibri" w:eastAsia="Calibri" w:hAnsi="Calibri" w:cs="Arial"/>
          <w:sz w:val="20"/>
          <w:szCs w:val="20"/>
        </w:rPr>
        <w:t xml:space="preserve"> PAR, MR and MRX </w:t>
      </w:r>
      <w:r w:rsidRPr="002815D4">
        <w:rPr>
          <w:rFonts w:ascii="Calibri" w:eastAsia="Calibri" w:hAnsi="Calibri" w:cs="Arial"/>
          <w:noProof/>
          <w:sz w:val="20"/>
          <w:szCs w:val="20"/>
        </w:rPr>
        <w:t xml:space="preserve"> lamp types. </w:t>
      </w:r>
      <w:r w:rsidRPr="002815D4">
        <w:rPr>
          <w:rFonts w:ascii="Calibri" w:eastAsia="Calibri" w:hAnsi="Calibri" w:cs="Arial"/>
          <w:sz w:val="20"/>
          <w:szCs w:val="20"/>
        </w:rPr>
        <w:t>Note the Center Beam Candle Power (CBCP) methodology described below the default table is the preferred methodology for PAR, MR and MRX lamps and should be used where data allows. Defaults for use when this information is not available are provided below</w:t>
      </w:r>
      <w:r w:rsidRPr="002815D4">
        <w:rPr>
          <w:rFonts w:ascii="Calibri" w:eastAsia="Calibri" w:hAnsi="Calibri" w:cs="Arial"/>
          <w:noProof/>
          <w:sz w:val="20"/>
          <w:szCs w:val="20"/>
        </w:rPr>
        <w:t xml:space="preserve">: </w:t>
      </w:r>
    </w:p>
    <w:tbl>
      <w:tblPr>
        <w:tblW w:w="8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1080"/>
        <w:gridCol w:w="1080"/>
        <w:gridCol w:w="969"/>
        <w:gridCol w:w="1094"/>
        <w:gridCol w:w="1080"/>
        <w:gridCol w:w="1080"/>
      </w:tblGrid>
      <w:tr w:rsidR="002815D4" w:rsidRPr="002815D4" w14:paraId="3BBA7938" w14:textId="77777777" w:rsidTr="002815D4">
        <w:trPr>
          <w:trHeight w:val="989"/>
          <w:tblHeader/>
          <w:jc w:val="center"/>
        </w:trPr>
        <w:tc>
          <w:tcPr>
            <w:tcW w:w="1890" w:type="dxa"/>
            <w:shd w:val="clear" w:color="000000" w:fill="808080"/>
            <w:vAlign w:val="center"/>
            <w:hideMark/>
          </w:tcPr>
          <w:p w14:paraId="1BCEB3FC" w14:textId="77777777" w:rsidR="002815D4" w:rsidRPr="002815D4" w:rsidRDefault="002815D4" w:rsidP="002815D4">
            <w:pPr>
              <w:jc w:val="center"/>
              <w:rPr>
                <w:rFonts w:ascii="Calibri" w:eastAsia="Calibri" w:hAnsi="Calibri" w:cs="Arial"/>
                <w:b/>
                <w:bCs/>
                <w:color w:val="FFFFFF"/>
                <w:sz w:val="20"/>
                <w:szCs w:val="20"/>
              </w:rPr>
            </w:pPr>
            <w:r w:rsidRPr="002815D4">
              <w:rPr>
                <w:rFonts w:ascii="Calibri" w:eastAsia="Calibri" w:hAnsi="Calibri" w:cs="Arial"/>
                <w:b/>
                <w:bCs/>
                <w:color w:val="FFFFFF"/>
                <w:sz w:val="20"/>
                <w:szCs w:val="20"/>
              </w:rPr>
              <w:t>Bulb Type</w:t>
            </w:r>
          </w:p>
        </w:tc>
        <w:tc>
          <w:tcPr>
            <w:tcW w:w="1080" w:type="dxa"/>
            <w:shd w:val="clear" w:color="000000" w:fill="808080"/>
            <w:vAlign w:val="center"/>
            <w:hideMark/>
          </w:tcPr>
          <w:p w14:paraId="63DB9E51" w14:textId="77777777" w:rsidR="002815D4" w:rsidRPr="002815D4" w:rsidRDefault="002815D4" w:rsidP="002815D4">
            <w:pPr>
              <w:jc w:val="center"/>
              <w:rPr>
                <w:rFonts w:ascii="Calibri" w:eastAsia="Calibri" w:hAnsi="Calibri" w:cs="Arial"/>
                <w:b/>
                <w:bCs/>
                <w:color w:val="FFFFFF"/>
                <w:sz w:val="20"/>
                <w:szCs w:val="20"/>
              </w:rPr>
            </w:pPr>
            <w:r w:rsidRPr="002815D4">
              <w:rPr>
                <w:rFonts w:ascii="Calibri" w:eastAsia="Calibri" w:hAnsi="Calibri" w:cs="Arial"/>
                <w:b/>
                <w:bCs/>
                <w:color w:val="FFFFFF"/>
                <w:sz w:val="20"/>
                <w:szCs w:val="20"/>
              </w:rPr>
              <w:t>Minimum Lumens</w:t>
            </w:r>
          </w:p>
        </w:tc>
        <w:tc>
          <w:tcPr>
            <w:tcW w:w="1080" w:type="dxa"/>
            <w:shd w:val="clear" w:color="000000" w:fill="808080"/>
            <w:vAlign w:val="center"/>
            <w:hideMark/>
          </w:tcPr>
          <w:p w14:paraId="7B55661C" w14:textId="77777777" w:rsidR="002815D4" w:rsidRPr="002815D4" w:rsidRDefault="002815D4" w:rsidP="002815D4">
            <w:pPr>
              <w:jc w:val="center"/>
              <w:rPr>
                <w:rFonts w:ascii="Calibri" w:eastAsia="Calibri" w:hAnsi="Calibri" w:cs="Arial"/>
                <w:b/>
                <w:bCs/>
                <w:color w:val="FFFFFF"/>
                <w:sz w:val="20"/>
                <w:szCs w:val="20"/>
              </w:rPr>
            </w:pPr>
            <w:r w:rsidRPr="002815D4">
              <w:rPr>
                <w:rFonts w:ascii="Calibri" w:eastAsia="Calibri" w:hAnsi="Calibri" w:cs="Arial"/>
                <w:b/>
                <w:bCs/>
                <w:color w:val="FFFFFF"/>
                <w:sz w:val="20"/>
                <w:szCs w:val="20"/>
              </w:rPr>
              <w:t>Maximum Lumens</w:t>
            </w:r>
          </w:p>
        </w:tc>
        <w:tc>
          <w:tcPr>
            <w:tcW w:w="969" w:type="dxa"/>
            <w:shd w:val="clear" w:color="000000" w:fill="808080"/>
            <w:vAlign w:val="center"/>
            <w:hideMark/>
          </w:tcPr>
          <w:p w14:paraId="163B3477" w14:textId="77777777" w:rsidR="002815D4" w:rsidRPr="002815D4" w:rsidRDefault="002815D4" w:rsidP="002815D4">
            <w:pPr>
              <w:jc w:val="center"/>
              <w:rPr>
                <w:rFonts w:ascii="Calibri" w:eastAsia="Calibri" w:hAnsi="Calibri" w:cs="Arial"/>
                <w:b/>
                <w:bCs/>
                <w:color w:val="FFFFFF"/>
                <w:sz w:val="20"/>
                <w:szCs w:val="20"/>
              </w:rPr>
            </w:pPr>
            <w:r w:rsidRPr="002815D4">
              <w:rPr>
                <w:rFonts w:ascii="Calibri" w:eastAsia="Calibri" w:hAnsi="Calibri" w:cs="Calibri"/>
                <w:b/>
                <w:bCs/>
                <w:color w:val="FFFFFF"/>
                <w:sz w:val="20"/>
                <w:szCs w:val="20"/>
              </w:rPr>
              <w:t>LED Wattage (Watts</w:t>
            </w:r>
            <w:r w:rsidRPr="002815D4">
              <w:rPr>
                <w:rFonts w:ascii="Calibri" w:eastAsia="Calibri" w:hAnsi="Calibri" w:cs="Calibri"/>
                <w:b/>
                <w:bCs/>
                <w:color w:val="FFFFFF"/>
                <w:sz w:val="20"/>
                <w:szCs w:val="20"/>
                <w:vertAlign w:val="subscript"/>
              </w:rPr>
              <w:t>EE</w:t>
            </w:r>
            <w:r w:rsidRPr="002815D4">
              <w:rPr>
                <w:rFonts w:ascii="Calibri" w:eastAsia="Calibri" w:hAnsi="Calibri" w:cs="Calibri"/>
                <w:b/>
                <w:bCs/>
                <w:color w:val="FFFFFF"/>
                <w:sz w:val="20"/>
                <w:szCs w:val="20"/>
              </w:rPr>
              <w:t>)</w:t>
            </w:r>
          </w:p>
        </w:tc>
        <w:tc>
          <w:tcPr>
            <w:tcW w:w="1094" w:type="dxa"/>
            <w:shd w:val="clear" w:color="000000" w:fill="808080"/>
            <w:vAlign w:val="center"/>
          </w:tcPr>
          <w:p w14:paraId="7858691B" w14:textId="77777777" w:rsidR="002815D4" w:rsidRPr="002815D4" w:rsidRDefault="002815D4" w:rsidP="002815D4">
            <w:pPr>
              <w:jc w:val="center"/>
              <w:rPr>
                <w:rFonts w:ascii="Calibri" w:eastAsia="Calibri" w:hAnsi="Calibri" w:cs="Arial"/>
                <w:b/>
                <w:bCs/>
                <w:color w:val="FFFFFF"/>
                <w:sz w:val="20"/>
                <w:szCs w:val="20"/>
              </w:rPr>
            </w:pPr>
            <w:r w:rsidRPr="002815D4">
              <w:rPr>
                <w:rFonts w:ascii="Calibri" w:eastAsia="Calibri" w:hAnsi="Calibri" w:cs="Calibri"/>
                <w:b/>
                <w:bCs/>
                <w:color w:val="FFFFFF"/>
                <w:sz w:val="20"/>
                <w:szCs w:val="20"/>
              </w:rPr>
              <w:t>Baseline  (Watts</w:t>
            </w:r>
            <w:r w:rsidRPr="002815D4">
              <w:rPr>
                <w:rFonts w:ascii="Calibri" w:eastAsia="Calibri" w:hAnsi="Calibri" w:cs="Calibri"/>
                <w:b/>
                <w:bCs/>
                <w:color w:val="FFFFFF"/>
                <w:sz w:val="20"/>
                <w:szCs w:val="20"/>
                <w:vertAlign w:val="subscript"/>
              </w:rPr>
              <w:t>Base</w:t>
            </w:r>
            <w:r w:rsidRPr="002815D4">
              <w:rPr>
                <w:rFonts w:ascii="Calibri" w:eastAsia="Calibri" w:hAnsi="Calibri" w:cs="Calibri"/>
                <w:b/>
                <w:bCs/>
                <w:color w:val="FFFFFF"/>
                <w:sz w:val="20"/>
                <w:szCs w:val="20"/>
              </w:rPr>
              <w:t>)</w:t>
            </w:r>
          </w:p>
        </w:tc>
        <w:tc>
          <w:tcPr>
            <w:tcW w:w="1080" w:type="dxa"/>
            <w:shd w:val="clear" w:color="auto" w:fill="808080"/>
            <w:vAlign w:val="center"/>
            <w:hideMark/>
          </w:tcPr>
          <w:p w14:paraId="72C533A1" w14:textId="77777777" w:rsidR="002815D4" w:rsidRPr="002815D4" w:rsidRDefault="002815D4" w:rsidP="002815D4">
            <w:pPr>
              <w:jc w:val="center"/>
              <w:rPr>
                <w:rFonts w:ascii="Calibri" w:eastAsia="Calibri" w:hAnsi="Calibri" w:cs="Arial"/>
                <w:b/>
                <w:bCs/>
                <w:color w:val="FFFFFF"/>
                <w:sz w:val="20"/>
                <w:szCs w:val="20"/>
              </w:rPr>
            </w:pPr>
            <w:r w:rsidRPr="002815D4">
              <w:rPr>
                <w:rFonts w:ascii="Calibri" w:eastAsia="Calibri" w:hAnsi="Calibri" w:cs="Calibri"/>
                <w:b/>
                <w:bCs/>
                <w:color w:val="FFFFFF"/>
                <w:sz w:val="20"/>
                <w:szCs w:val="20"/>
              </w:rPr>
              <w:t xml:space="preserve">Delta Watts </w:t>
            </w:r>
            <w:r w:rsidRPr="002815D4">
              <w:rPr>
                <w:rFonts w:ascii="Calibri" w:eastAsia="Calibri" w:hAnsi="Calibri" w:cs="Calibri"/>
                <w:b/>
                <w:bCs/>
                <w:color w:val="FFFFFF"/>
                <w:sz w:val="20"/>
                <w:szCs w:val="20"/>
              </w:rPr>
              <w:br/>
              <w:t>(WattsEE)</w:t>
            </w:r>
          </w:p>
        </w:tc>
        <w:tc>
          <w:tcPr>
            <w:tcW w:w="1080" w:type="dxa"/>
            <w:shd w:val="clear" w:color="auto" w:fill="808080"/>
            <w:vAlign w:val="center"/>
          </w:tcPr>
          <w:p w14:paraId="125AAD63" w14:textId="77777777" w:rsidR="002815D4" w:rsidRPr="002815D4" w:rsidRDefault="002815D4" w:rsidP="002815D4">
            <w:pPr>
              <w:jc w:val="center"/>
              <w:rPr>
                <w:rFonts w:ascii="Calibri" w:eastAsia="Calibri" w:hAnsi="Calibri" w:cs="Calibri"/>
                <w:b/>
                <w:bCs/>
                <w:color w:val="FFFFFF"/>
                <w:sz w:val="20"/>
                <w:szCs w:val="20"/>
              </w:rPr>
            </w:pPr>
            <w:r w:rsidRPr="002815D4">
              <w:rPr>
                <w:rFonts w:ascii="Calibri" w:eastAsia="Calibri" w:hAnsi="Calibri" w:cs="Calibri"/>
                <w:b/>
                <w:bCs/>
                <w:color w:val="FFFFFF"/>
                <w:sz w:val="20"/>
                <w:szCs w:val="20"/>
              </w:rPr>
              <w:t>Impacted by EISA Backstop</w:t>
            </w:r>
          </w:p>
        </w:tc>
      </w:tr>
      <w:tr w:rsidR="002815D4" w:rsidRPr="002815D4" w14:paraId="1A4D28CF" w14:textId="77777777" w:rsidTr="00935A18">
        <w:trPr>
          <w:trHeight w:val="20"/>
          <w:jc w:val="center"/>
        </w:trPr>
        <w:tc>
          <w:tcPr>
            <w:tcW w:w="1890" w:type="dxa"/>
            <w:vMerge w:val="restart"/>
            <w:vAlign w:val="center"/>
            <w:hideMark/>
          </w:tcPr>
          <w:p w14:paraId="7BC93367"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 xml:space="preserve">Reflector lamp types with medium screw bases (PAR20, PAR30(S,L), PAR38, R40, etc.) w/ diameter &gt;2.25" </w:t>
            </w:r>
          </w:p>
          <w:p w14:paraId="70C6035B" w14:textId="77777777" w:rsidR="002815D4" w:rsidRPr="002815D4" w:rsidRDefault="002815D4" w:rsidP="002815D4">
            <w:pPr>
              <w:jc w:val="center"/>
              <w:rPr>
                <w:rFonts w:ascii="Calibri" w:eastAsia="Calibri" w:hAnsi="Calibri" w:cs="Arial"/>
                <w:b/>
                <w:bCs/>
                <w:color w:val="000000"/>
                <w:sz w:val="20"/>
                <w:szCs w:val="20"/>
              </w:rPr>
            </w:pPr>
            <w:r w:rsidRPr="002815D4">
              <w:rPr>
                <w:rFonts w:ascii="Calibri" w:eastAsia="Calibri" w:hAnsi="Calibri" w:cs="Arial"/>
                <w:color w:val="000000"/>
                <w:sz w:val="20"/>
                <w:szCs w:val="20"/>
              </w:rPr>
              <w:t>(*see exceptions below)</w:t>
            </w:r>
          </w:p>
        </w:tc>
        <w:tc>
          <w:tcPr>
            <w:tcW w:w="1080" w:type="dxa"/>
            <w:vAlign w:val="center"/>
            <w:hideMark/>
          </w:tcPr>
          <w:p w14:paraId="777BAD85"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400</w:t>
            </w:r>
          </w:p>
        </w:tc>
        <w:tc>
          <w:tcPr>
            <w:tcW w:w="1080" w:type="dxa"/>
            <w:vAlign w:val="center"/>
            <w:hideMark/>
          </w:tcPr>
          <w:p w14:paraId="5EBCC412"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649</w:t>
            </w:r>
          </w:p>
        </w:tc>
        <w:tc>
          <w:tcPr>
            <w:tcW w:w="969" w:type="dxa"/>
            <w:noWrap/>
            <w:vAlign w:val="center"/>
            <w:hideMark/>
          </w:tcPr>
          <w:p w14:paraId="0ABAD104"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7.0</w:t>
            </w:r>
          </w:p>
        </w:tc>
        <w:tc>
          <w:tcPr>
            <w:tcW w:w="1094" w:type="dxa"/>
            <w:vAlign w:val="center"/>
          </w:tcPr>
          <w:p w14:paraId="3BF13E33"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50</w:t>
            </w:r>
          </w:p>
        </w:tc>
        <w:tc>
          <w:tcPr>
            <w:tcW w:w="1080" w:type="dxa"/>
            <w:noWrap/>
            <w:vAlign w:val="center"/>
            <w:hideMark/>
          </w:tcPr>
          <w:p w14:paraId="30EC09C3"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43</w:t>
            </w:r>
          </w:p>
        </w:tc>
        <w:tc>
          <w:tcPr>
            <w:tcW w:w="1080" w:type="dxa"/>
          </w:tcPr>
          <w:p w14:paraId="6A3F5282"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54D242C2" w14:textId="77777777" w:rsidTr="00935A18">
        <w:trPr>
          <w:trHeight w:val="20"/>
          <w:jc w:val="center"/>
        </w:trPr>
        <w:tc>
          <w:tcPr>
            <w:tcW w:w="1890" w:type="dxa"/>
            <w:vMerge/>
            <w:vAlign w:val="center"/>
            <w:hideMark/>
          </w:tcPr>
          <w:p w14:paraId="1D23500A" w14:textId="77777777" w:rsidR="002815D4" w:rsidRPr="002815D4" w:rsidRDefault="002815D4" w:rsidP="002815D4">
            <w:pPr>
              <w:rPr>
                <w:rFonts w:ascii="Calibri" w:eastAsia="Calibri" w:hAnsi="Calibri" w:cs="Arial"/>
                <w:b/>
                <w:bCs/>
                <w:color w:val="000000"/>
                <w:sz w:val="20"/>
                <w:szCs w:val="20"/>
              </w:rPr>
            </w:pPr>
          </w:p>
        </w:tc>
        <w:tc>
          <w:tcPr>
            <w:tcW w:w="1080" w:type="dxa"/>
            <w:vAlign w:val="center"/>
            <w:hideMark/>
          </w:tcPr>
          <w:p w14:paraId="6EC24401"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650</w:t>
            </w:r>
          </w:p>
        </w:tc>
        <w:tc>
          <w:tcPr>
            <w:tcW w:w="1080" w:type="dxa"/>
            <w:vAlign w:val="center"/>
            <w:hideMark/>
          </w:tcPr>
          <w:p w14:paraId="2DB7D94B"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899</w:t>
            </w:r>
          </w:p>
        </w:tc>
        <w:tc>
          <w:tcPr>
            <w:tcW w:w="969" w:type="dxa"/>
            <w:noWrap/>
            <w:vAlign w:val="center"/>
            <w:hideMark/>
          </w:tcPr>
          <w:p w14:paraId="0117E0B3"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10.7</w:t>
            </w:r>
          </w:p>
        </w:tc>
        <w:tc>
          <w:tcPr>
            <w:tcW w:w="1094" w:type="dxa"/>
            <w:vAlign w:val="center"/>
          </w:tcPr>
          <w:p w14:paraId="0C13ED53"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75</w:t>
            </w:r>
          </w:p>
        </w:tc>
        <w:tc>
          <w:tcPr>
            <w:tcW w:w="1080" w:type="dxa"/>
            <w:noWrap/>
            <w:vAlign w:val="center"/>
            <w:hideMark/>
          </w:tcPr>
          <w:p w14:paraId="738448C4"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64.3</w:t>
            </w:r>
          </w:p>
        </w:tc>
        <w:tc>
          <w:tcPr>
            <w:tcW w:w="1080" w:type="dxa"/>
          </w:tcPr>
          <w:p w14:paraId="34E874B6"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7724C3E8" w14:textId="77777777" w:rsidTr="00935A18">
        <w:trPr>
          <w:trHeight w:val="20"/>
          <w:jc w:val="center"/>
        </w:trPr>
        <w:tc>
          <w:tcPr>
            <w:tcW w:w="1890" w:type="dxa"/>
            <w:vMerge/>
            <w:vAlign w:val="center"/>
            <w:hideMark/>
          </w:tcPr>
          <w:p w14:paraId="2157E1BF" w14:textId="77777777" w:rsidR="002815D4" w:rsidRPr="002815D4" w:rsidRDefault="002815D4" w:rsidP="002815D4">
            <w:pPr>
              <w:rPr>
                <w:rFonts w:ascii="Calibri" w:eastAsia="Calibri" w:hAnsi="Calibri" w:cs="Arial"/>
                <w:b/>
                <w:bCs/>
                <w:color w:val="000000"/>
                <w:sz w:val="20"/>
                <w:szCs w:val="20"/>
              </w:rPr>
            </w:pPr>
          </w:p>
        </w:tc>
        <w:tc>
          <w:tcPr>
            <w:tcW w:w="1080" w:type="dxa"/>
            <w:vAlign w:val="center"/>
            <w:hideMark/>
          </w:tcPr>
          <w:p w14:paraId="437C2AFD"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900</w:t>
            </w:r>
          </w:p>
        </w:tc>
        <w:tc>
          <w:tcPr>
            <w:tcW w:w="1080" w:type="dxa"/>
            <w:vAlign w:val="center"/>
            <w:hideMark/>
          </w:tcPr>
          <w:p w14:paraId="0D89F425"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1,049</w:t>
            </w:r>
          </w:p>
        </w:tc>
        <w:tc>
          <w:tcPr>
            <w:tcW w:w="969" w:type="dxa"/>
            <w:noWrap/>
            <w:vAlign w:val="center"/>
            <w:hideMark/>
          </w:tcPr>
          <w:p w14:paraId="0067E6D1"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13.9</w:t>
            </w:r>
          </w:p>
        </w:tc>
        <w:tc>
          <w:tcPr>
            <w:tcW w:w="1094" w:type="dxa"/>
            <w:vAlign w:val="center"/>
          </w:tcPr>
          <w:p w14:paraId="2D0E9C52"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90</w:t>
            </w:r>
          </w:p>
        </w:tc>
        <w:tc>
          <w:tcPr>
            <w:tcW w:w="1080" w:type="dxa"/>
            <w:noWrap/>
            <w:vAlign w:val="center"/>
            <w:hideMark/>
          </w:tcPr>
          <w:p w14:paraId="248FB8B4"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76.1</w:t>
            </w:r>
          </w:p>
        </w:tc>
        <w:tc>
          <w:tcPr>
            <w:tcW w:w="1080" w:type="dxa"/>
          </w:tcPr>
          <w:p w14:paraId="38AD9B1F"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3BF29E74" w14:textId="77777777" w:rsidTr="00935A18">
        <w:trPr>
          <w:trHeight w:val="20"/>
          <w:jc w:val="center"/>
        </w:trPr>
        <w:tc>
          <w:tcPr>
            <w:tcW w:w="1890" w:type="dxa"/>
            <w:vMerge/>
            <w:vAlign w:val="center"/>
            <w:hideMark/>
          </w:tcPr>
          <w:p w14:paraId="587C9EB4" w14:textId="77777777" w:rsidR="002815D4" w:rsidRPr="002815D4" w:rsidRDefault="002815D4" w:rsidP="002815D4">
            <w:pPr>
              <w:rPr>
                <w:rFonts w:ascii="Calibri" w:eastAsia="Calibri" w:hAnsi="Calibri" w:cs="Arial"/>
                <w:b/>
                <w:bCs/>
                <w:color w:val="000000"/>
                <w:sz w:val="20"/>
                <w:szCs w:val="20"/>
              </w:rPr>
            </w:pPr>
          </w:p>
        </w:tc>
        <w:tc>
          <w:tcPr>
            <w:tcW w:w="1080" w:type="dxa"/>
            <w:vAlign w:val="center"/>
            <w:hideMark/>
          </w:tcPr>
          <w:p w14:paraId="3FE1504F"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1,050</w:t>
            </w:r>
          </w:p>
        </w:tc>
        <w:tc>
          <w:tcPr>
            <w:tcW w:w="1080" w:type="dxa"/>
            <w:vAlign w:val="center"/>
            <w:hideMark/>
          </w:tcPr>
          <w:p w14:paraId="41D2B646"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1,199</w:t>
            </w:r>
          </w:p>
        </w:tc>
        <w:tc>
          <w:tcPr>
            <w:tcW w:w="969" w:type="dxa"/>
            <w:noWrap/>
            <w:vAlign w:val="center"/>
            <w:hideMark/>
          </w:tcPr>
          <w:p w14:paraId="4BA77186"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13.8</w:t>
            </w:r>
          </w:p>
        </w:tc>
        <w:tc>
          <w:tcPr>
            <w:tcW w:w="1094" w:type="dxa"/>
            <w:vAlign w:val="center"/>
          </w:tcPr>
          <w:p w14:paraId="71BAF034"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100</w:t>
            </w:r>
          </w:p>
        </w:tc>
        <w:tc>
          <w:tcPr>
            <w:tcW w:w="1080" w:type="dxa"/>
            <w:noWrap/>
            <w:vAlign w:val="center"/>
            <w:hideMark/>
          </w:tcPr>
          <w:p w14:paraId="2B9DE285"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86.2</w:t>
            </w:r>
          </w:p>
        </w:tc>
        <w:tc>
          <w:tcPr>
            <w:tcW w:w="1080" w:type="dxa"/>
          </w:tcPr>
          <w:p w14:paraId="6307C3E2"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33419519" w14:textId="77777777" w:rsidTr="00935A18">
        <w:trPr>
          <w:trHeight w:val="20"/>
          <w:jc w:val="center"/>
        </w:trPr>
        <w:tc>
          <w:tcPr>
            <w:tcW w:w="1890" w:type="dxa"/>
            <w:vMerge/>
            <w:vAlign w:val="center"/>
            <w:hideMark/>
          </w:tcPr>
          <w:p w14:paraId="65B58A73" w14:textId="77777777" w:rsidR="002815D4" w:rsidRPr="002815D4" w:rsidRDefault="002815D4" w:rsidP="002815D4">
            <w:pPr>
              <w:rPr>
                <w:rFonts w:ascii="Calibri" w:eastAsia="Calibri" w:hAnsi="Calibri" w:cs="Arial"/>
                <w:b/>
                <w:bCs/>
                <w:color w:val="000000"/>
                <w:sz w:val="20"/>
                <w:szCs w:val="20"/>
              </w:rPr>
            </w:pPr>
          </w:p>
        </w:tc>
        <w:tc>
          <w:tcPr>
            <w:tcW w:w="1080" w:type="dxa"/>
            <w:vAlign w:val="center"/>
            <w:hideMark/>
          </w:tcPr>
          <w:p w14:paraId="008D5478"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1,200</w:t>
            </w:r>
          </w:p>
        </w:tc>
        <w:tc>
          <w:tcPr>
            <w:tcW w:w="1080" w:type="dxa"/>
            <w:vAlign w:val="center"/>
            <w:hideMark/>
          </w:tcPr>
          <w:p w14:paraId="48EE2848"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1,499</w:t>
            </w:r>
          </w:p>
        </w:tc>
        <w:tc>
          <w:tcPr>
            <w:tcW w:w="969" w:type="dxa"/>
            <w:noWrap/>
            <w:vAlign w:val="center"/>
            <w:hideMark/>
          </w:tcPr>
          <w:p w14:paraId="738C1DD5"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15.9</w:t>
            </w:r>
          </w:p>
        </w:tc>
        <w:tc>
          <w:tcPr>
            <w:tcW w:w="1094" w:type="dxa"/>
            <w:vAlign w:val="center"/>
          </w:tcPr>
          <w:p w14:paraId="61616B37"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120</w:t>
            </w:r>
          </w:p>
        </w:tc>
        <w:tc>
          <w:tcPr>
            <w:tcW w:w="1080" w:type="dxa"/>
            <w:noWrap/>
            <w:vAlign w:val="center"/>
            <w:hideMark/>
          </w:tcPr>
          <w:p w14:paraId="715AFA1D"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104.1</w:t>
            </w:r>
          </w:p>
        </w:tc>
        <w:tc>
          <w:tcPr>
            <w:tcW w:w="1080" w:type="dxa"/>
          </w:tcPr>
          <w:p w14:paraId="4A3A2245"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0225A1A3" w14:textId="77777777" w:rsidTr="00935A18">
        <w:trPr>
          <w:trHeight w:val="20"/>
          <w:jc w:val="center"/>
        </w:trPr>
        <w:tc>
          <w:tcPr>
            <w:tcW w:w="1890" w:type="dxa"/>
            <w:vMerge/>
            <w:vAlign w:val="center"/>
            <w:hideMark/>
          </w:tcPr>
          <w:p w14:paraId="7601A65D" w14:textId="77777777" w:rsidR="002815D4" w:rsidRPr="002815D4" w:rsidRDefault="002815D4" w:rsidP="002815D4">
            <w:pPr>
              <w:rPr>
                <w:rFonts w:ascii="Calibri" w:eastAsia="Calibri" w:hAnsi="Calibri" w:cs="Arial"/>
                <w:b/>
                <w:bCs/>
                <w:color w:val="000000"/>
                <w:sz w:val="20"/>
                <w:szCs w:val="20"/>
              </w:rPr>
            </w:pPr>
          </w:p>
        </w:tc>
        <w:tc>
          <w:tcPr>
            <w:tcW w:w="1080" w:type="dxa"/>
            <w:vAlign w:val="center"/>
            <w:hideMark/>
          </w:tcPr>
          <w:p w14:paraId="38582629"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1,500</w:t>
            </w:r>
          </w:p>
        </w:tc>
        <w:tc>
          <w:tcPr>
            <w:tcW w:w="1080" w:type="dxa"/>
            <w:vAlign w:val="center"/>
            <w:hideMark/>
          </w:tcPr>
          <w:p w14:paraId="28BCCDC9"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1,999</w:t>
            </w:r>
          </w:p>
        </w:tc>
        <w:tc>
          <w:tcPr>
            <w:tcW w:w="969" w:type="dxa"/>
            <w:noWrap/>
            <w:vAlign w:val="center"/>
            <w:hideMark/>
          </w:tcPr>
          <w:p w14:paraId="6E2F5828"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18.9</w:t>
            </w:r>
          </w:p>
        </w:tc>
        <w:tc>
          <w:tcPr>
            <w:tcW w:w="1094" w:type="dxa"/>
            <w:vAlign w:val="center"/>
          </w:tcPr>
          <w:p w14:paraId="2955E2F4"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150</w:t>
            </w:r>
          </w:p>
        </w:tc>
        <w:tc>
          <w:tcPr>
            <w:tcW w:w="1080" w:type="dxa"/>
            <w:noWrap/>
            <w:vAlign w:val="center"/>
            <w:hideMark/>
          </w:tcPr>
          <w:p w14:paraId="5EF07E2F"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131.1</w:t>
            </w:r>
          </w:p>
        </w:tc>
        <w:tc>
          <w:tcPr>
            <w:tcW w:w="1080" w:type="dxa"/>
          </w:tcPr>
          <w:p w14:paraId="4B25BF38"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26DB6A20" w14:textId="77777777" w:rsidTr="00935A18">
        <w:trPr>
          <w:trHeight w:val="20"/>
          <w:jc w:val="center"/>
        </w:trPr>
        <w:tc>
          <w:tcPr>
            <w:tcW w:w="1890" w:type="dxa"/>
            <w:vMerge/>
            <w:vAlign w:val="center"/>
            <w:hideMark/>
          </w:tcPr>
          <w:p w14:paraId="78B698F8" w14:textId="77777777" w:rsidR="002815D4" w:rsidRPr="002815D4" w:rsidRDefault="002815D4" w:rsidP="002815D4">
            <w:pPr>
              <w:rPr>
                <w:rFonts w:ascii="Calibri" w:eastAsia="Calibri" w:hAnsi="Calibri" w:cs="Arial"/>
                <w:b/>
                <w:bCs/>
                <w:color w:val="000000"/>
                <w:sz w:val="20"/>
                <w:szCs w:val="20"/>
              </w:rPr>
            </w:pPr>
          </w:p>
        </w:tc>
        <w:tc>
          <w:tcPr>
            <w:tcW w:w="1080" w:type="dxa"/>
            <w:vAlign w:val="center"/>
            <w:hideMark/>
          </w:tcPr>
          <w:p w14:paraId="10174920"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2,000</w:t>
            </w:r>
          </w:p>
        </w:tc>
        <w:tc>
          <w:tcPr>
            <w:tcW w:w="1080" w:type="dxa"/>
            <w:vAlign w:val="center"/>
            <w:hideMark/>
          </w:tcPr>
          <w:p w14:paraId="685D11BC"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3,299</w:t>
            </w:r>
          </w:p>
        </w:tc>
        <w:tc>
          <w:tcPr>
            <w:tcW w:w="969" w:type="dxa"/>
            <w:noWrap/>
            <w:vAlign w:val="center"/>
            <w:hideMark/>
          </w:tcPr>
          <w:p w14:paraId="557E5394"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27.3</w:t>
            </w:r>
          </w:p>
        </w:tc>
        <w:tc>
          <w:tcPr>
            <w:tcW w:w="1094" w:type="dxa"/>
            <w:vAlign w:val="center"/>
          </w:tcPr>
          <w:p w14:paraId="6A593F63"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250</w:t>
            </w:r>
          </w:p>
        </w:tc>
        <w:tc>
          <w:tcPr>
            <w:tcW w:w="1080" w:type="dxa"/>
            <w:noWrap/>
            <w:vAlign w:val="center"/>
            <w:hideMark/>
          </w:tcPr>
          <w:p w14:paraId="7CE1A502"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222.7</w:t>
            </w:r>
          </w:p>
        </w:tc>
        <w:tc>
          <w:tcPr>
            <w:tcW w:w="1080" w:type="dxa"/>
          </w:tcPr>
          <w:p w14:paraId="77843B14"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2742846F" w14:textId="77777777" w:rsidTr="00935A18">
        <w:trPr>
          <w:trHeight w:val="20"/>
          <w:jc w:val="center"/>
        </w:trPr>
        <w:tc>
          <w:tcPr>
            <w:tcW w:w="1890" w:type="dxa"/>
            <w:vMerge/>
            <w:vAlign w:val="center"/>
          </w:tcPr>
          <w:p w14:paraId="4A830AD7" w14:textId="77777777" w:rsidR="002815D4" w:rsidRPr="002815D4" w:rsidRDefault="002815D4" w:rsidP="002815D4">
            <w:pPr>
              <w:rPr>
                <w:rFonts w:ascii="Calibri" w:eastAsia="Calibri" w:hAnsi="Calibri" w:cs="Arial"/>
                <w:b/>
                <w:bCs/>
                <w:color w:val="000000"/>
                <w:sz w:val="20"/>
                <w:szCs w:val="20"/>
              </w:rPr>
            </w:pPr>
          </w:p>
        </w:tc>
        <w:tc>
          <w:tcPr>
            <w:tcW w:w="1080" w:type="dxa"/>
            <w:vAlign w:val="center"/>
          </w:tcPr>
          <w:p w14:paraId="2043C34F"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3,300</w:t>
            </w:r>
          </w:p>
        </w:tc>
        <w:tc>
          <w:tcPr>
            <w:tcW w:w="1080" w:type="dxa"/>
            <w:vAlign w:val="center"/>
          </w:tcPr>
          <w:p w14:paraId="62A86213"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4,200</w:t>
            </w:r>
          </w:p>
        </w:tc>
        <w:tc>
          <w:tcPr>
            <w:tcW w:w="969" w:type="dxa"/>
            <w:noWrap/>
            <w:vAlign w:val="center"/>
          </w:tcPr>
          <w:p w14:paraId="70C74B77"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27.3</w:t>
            </w:r>
          </w:p>
        </w:tc>
        <w:tc>
          <w:tcPr>
            <w:tcW w:w="1094" w:type="dxa"/>
            <w:vAlign w:val="center"/>
          </w:tcPr>
          <w:p w14:paraId="28A708E5"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250</w:t>
            </w:r>
          </w:p>
        </w:tc>
        <w:tc>
          <w:tcPr>
            <w:tcW w:w="1080" w:type="dxa"/>
            <w:noWrap/>
            <w:vAlign w:val="center"/>
          </w:tcPr>
          <w:p w14:paraId="2B0D0BFD"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222.7</w:t>
            </w:r>
          </w:p>
        </w:tc>
        <w:tc>
          <w:tcPr>
            <w:tcW w:w="1080" w:type="dxa"/>
          </w:tcPr>
          <w:p w14:paraId="2E91B7BC"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No</w:t>
            </w:r>
          </w:p>
        </w:tc>
      </w:tr>
      <w:tr w:rsidR="002815D4" w:rsidRPr="002815D4" w14:paraId="31CC4FAF" w14:textId="77777777" w:rsidTr="00935A18">
        <w:trPr>
          <w:trHeight w:val="20"/>
          <w:jc w:val="center"/>
        </w:trPr>
        <w:tc>
          <w:tcPr>
            <w:tcW w:w="1890" w:type="dxa"/>
            <w:vMerge w:val="restart"/>
            <w:vAlign w:val="center"/>
            <w:hideMark/>
          </w:tcPr>
          <w:p w14:paraId="3DDF67B2"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 xml:space="preserve">Reflector lamp types with medium screw bases (PAR16, R14, R16, etc.) w/ diameter &lt;2.25" </w:t>
            </w:r>
          </w:p>
          <w:p w14:paraId="3E99FB8B" w14:textId="77777777" w:rsidR="002815D4" w:rsidRPr="002815D4" w:rsidRDefault="002815D4" w:rsidP="002815D4">
            <w:pPr>
              <w:jc w:val="center"/>
              <w:rPr>
                <w:rFonts w:ascii="Calibri" w:eastAsia="Calibri" w:hAnsi="Calibri" w:cs="Arial"/>
                <w:b/>
                <w:bCs/>
                <w:color w:val="000000"/>
                <w:sz w:val="20"/>
                <w:szCs w:val="20"/>
              </w:rPr>
            </w:pPr>
            <w:r w:rsidRPr="002815D4">
              <w:rPr>
                <w:rFonts w:ascii="Calibri" w:eastAsia="Calibri" w:hAnsi="Calibri" w:cs="Arial"/>
                <w:color w:val="000000"/>
                <w:sz w:val="20"/>
                <w:szCs w:val="20"/>
              </w:rPr>
              <w:t>(*see exceptions below)</w:t>
            </w:r>
          </w:p>
        </w:tc>
        <w:tc>
          <w:tcPr>
            <w:tcW w:w="1080" w:type="dxa"/>
            <w:vAlign w:val="center"/>
            <w:hideMark/>
          </w:tcPr>
          <w:p w14:paraId="3453E235"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280</w:t>
            </w:r>
          </w:p>
        </w:tc>
        <w:tc>
          <w:tcPr>
            <w:tcW w:w="1080" w:type="dxa"/>
            <w:vAlign w:val="center"/>
            <w:hideMark/>
          </w:tcPr>
          <w:p w14:paraId="1119D583"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309</w:t>
            </w:r>
          </w:p>
        </w:tc>
        <w:tc>
          <w:tcPr>
            <w:tcW w:w="969" w:type="dxa"/>
            <w:noWrap/>
            <w:vAlign w:val="center"/>
            <w:hideMark/>
          </w:tcPr>
          <w:p w14:paraId="2720B64B"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4.6</w:t>
            </w:r>
          </w:p>
        </w:tc>
        <w:tc>
          <w:tcPr>
            <w:tcW w:w="1094" w:type="dxa"/>
            <w:vAlign w:val="center"/>
          </w:tcPr>
          <w:p w14:paraId="2CFE1B76"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35</w:t>
            </w:r>
          </w:p>
        </w:tc>
        <w:tc>
          <w:tcPr>
            <w:tcW w:w="1080" w:type="dxa"/>
            <w:noWrap/>
            <w:vAlign w:val="center"/>
            <w:hideMark/>
          </w:tcPr>
          <w:p w14:paraId="2B704AE5"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30.4</w:t>
            </w:r>
          </w:p>
        </w:tc>
        <w:tc>
          <w:tcPr>
            <w:tcW w:w="1080" w:type="dxa"/>
          </w:tcPr>
          <w:p w14:paraId="0DF6028B"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No</w:t>
            </w:r>
          </w:p>
        </w:tc>
      </w:tr>
      <w:tr w:rsidR="002815D4" w:rsidRPr="002815D4" w14:paraId="18239F07" w14:textId="77777777" w:rsidTr="00935A18">
        <w:trPr>
          <w:trHeight w:val="20"/>
          <w:jc w:val="center"/>
        </w:trPr>
        <w:tc>
          <w:tcPr>
            <w:tcW w:w="1890" w:type="dxa"/>
            <w:vMerge/>
            <w:vAlign w:val="center"/>
          </w:tcPr>
          <w:p w14:paraId="0619C777" w14:textId="77777777" w:rsidR="002815D4" w:rsidRPr="002815D4" w:rsidRDefault="002815D4" w:rsidP="002815D4">
            <w:pPr>
              <w:jc w:val="center"/>
              <w:rPr>
                <w:rFonts w:ascii="Calibri" w:eastAsia="Calibri" w:hAnsi="Calibri" w:cs="Arial"/>
                <w:color w:val="000000"/>
                <w:sz w:val="20"/>
                <w:szCs w:val="20"/>
              </w:rPr>
            </w:pPr>
          </w:p>
        </w:tc>
        <w:tc>
          <w:tcPr>
            <w:tcW w:w="1080" w:type="dxa"/>
            <w:vAlign w:val="center"/>
          </w:tcPr>
          <w:p w14:paraId="2605E05F"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310</w:t>
            </w:r>
          </w:p>
        </w:tc>
        <w:tc>
          <w:tcPr>
            <w:tcW w:w="1080" w:type="dxa"/>
            <w:vAlign w:val="center"/>
          </w:tcPr>
          <w:p w14:paraId="4A7D6292"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374</w:t>
            </w:r>
          </w:p>
        </w:tc>
        <w:tc>
          <w:tcPr>
            <w:tcW w:w="969" w:type="dxa"/>
            <w:noWrap/>
            <w:vAlign w:val="center"/>
          </w:tcPr>
          <w:p w14:paraId="473B4E82"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4.6</w:t>
            </w:r>
          </w:p>
        </w:tc>
        <w:tc>
          <w:tcPr>
            <w:tcW w:w="1094" w:type="dxa"/>
            <w:vAlign w:val="center"/>
          </w:tcPr>
          <w:p w14:paraId="493FB867"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35</w:t>
            </w:r>
          </w:p>
        </w:tc>
        <w:tc>
          <w:tcPr>
            <w:tcW w:w="1080" w:type="dxa"/>
            <w:noWrap/>
            <w:vAlign w:val="center"/>
          </w:tcPr>
          <w:p w14:paraId="2C9225D4"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30.4</w:t>
            </w:r>
          </w:p>
        </w:tc>
        <w:tc>
          <w:tcPr>
            <w:tcW w:w="1080" w:type="dxa"/>
          </w:tcPr>
          <w:p w14:paraId="7DC20AC2"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22F68E05" w14:textId="77777777" w:rsidTr="00935A18">
        <w:trPr>
          <w:trHeight w:val="20"/>
          <w:jc w:val="center"/>
        </w:trPr>
        <w:tc>
          <w:tcPr>
            <w:tcW w:w="1890" w:type="dxa"/>
            <w:vMerge/>
            <w:vAlign w:val="center"/>
            <w:hideMark/>
          </w:tcPr>
          <w:p w14:paraId="29988E69" w14:textId="77777777" w:rsidR="002815D4" w:rsidRPr="002815D4" w:rsidRDefault="002815D4" w:rsidP="002815D4">
            <w:pPr>
              <w:rPr>
                <w:rFonts w:ascii="Calibri" w:eastAsia="Calibri" w:hAnsi="Calibri" w:cs="Arial"/>
                <w:b/>
                <w:bCs/>
                <w:color w:val="000000"/>
                <w:sz w:val="20"/>
                <w:szCs w:val="20"/>
              </w:rPr>
            </w:pPr>
          </w:p>
        </w:tc>
        <w:tc>
          <w:tcPr>
            <w:tcW w:w="1080" w:type="dxa"/>
            <w:vAlign w:val="center"/>
            <w:hideMark/>
          </w:tcPr>
          <w:p w14:paraId="5C9C14D4"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375</w:t>
            </w:r>
          </w:p>
        </w:tc>
        <w:tc>
          <w:tcPr>
            <w:tcW w:w="1080" w:type="dxa"/>
            <w:vAlign w:val="center"/>
            <w:hideMark/>
          </w:tcPr>
          <w:p w14:paraId="6AD7FC2E"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600</w:t>
            </w:r>
          </w:p>
        </w:tc>
        <w:tc>
          <w:tcPr>
            <w:tcW w:w="969" w:type="dxa"/>
            <w:noWrap/>
            <w:vAlign w:val="center"/>
            <w:hideMark/>
          </w:tcPr>
          <w:p w14:paraId="7AF25184"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6.4</w:t>
            </w:r>
          </w:p>
        </w:tc>
        <w:tc>
          <w:tcPr>
            <w:tcW w:w="1094" w:type="dxa"/>
            <w:vAlign w:val="center"/>
          </w:tcPr>
          <w:p w14:paraId="3D2E28DE"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50</w:t>
            </w:r>
          </w:p>
        </w:tc>
        <w:tc>
          <w:tcPr>
            <w:tcW w:w="1080" w:type="dxa"/>
            <w:noWrap/>
            <w:vAlign w:val="center"/>
            <w:hideMark/>
          </w:tcPr>
          <w:p w14:paraId="2EE2A67D"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43.6</w:t>
            </w:r>
          </w:p>
        </w:tc>
        <w:tc>
          <w:tcPr>
            <w:tcW w:w="1080" w:type="dxa"/>
          </w:tcPr>
          <w:p w14:paraId="4819DB15"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744CB366" w14:textId="77777777" w:rsidTr="00935A18">
        <w:trPr>
          <w:trHeight w:val="20"/>
          <w:jc w:val="center"/>
        </w:trPr>
        <w:tc>
          <w:tcPr>
            <w:tcW w:w="1890" w:type="dxa"/>
            <w:vMerge w:val="restart"/>
            <w:vAlign w:val="center"/>
            <w:hideMark/>
          </w:tcPr>
          <w:p w14:paraId="67B3240A"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*BR30, BR40, or ER40</w:t>
            </w:r>
          </w:p>
        </w:tc>
        <w:tc>
          <w:tcPr>
            <w:tcW w:w="1080" w:type="dxa"/>
            <w:vAlign w:val="center"/>
            <w:hideMark/>
          </w:tcPr>
          <w:p w14:paraId="5E7A85BF"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650</w:t>
            </w:r>
          </w:p>
        </w:tc>
        <w:tc>
          <w:tcPr>
            <w:tcW w:w="1080" w:type="dxa"/>
            <w:vAlign w:val="center"/>
            <w:hideMark/>
          </w:tcPr>
          <w:p w14:paraId="1D69E2BB"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949</w:t>
            </w:r>
          </w:p>
        </w:tc>
        <w:tc>
          <w:tcPr>
            <w:tcW w:w="969" w:type="dxa"/>
            <w:noWrap/>
            <w:vAlign w:val="center"/>
            <w:hideMark/>
          </w:tcPr>
          <w:p w14:paraId="022BDA75"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9.3</w:t>
            </w:r>
          </w:p>
        </w:tc>
        <w:tc>
          <w:tcPr>
            <w:tcW w:w="1094" w:type="dxa"/>
            <w:vAlign w:val="center"/>
          </w:tcPr>
          <w:p w14:paraId="676868A8"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65</w:t>
            </w:r>
          </w:p>
        </w:tc>
        <w:tc>
          <w:tcPr>
            <w:tcW w:w="1080" w:type="dxa"/>
            <w:noWrap/>
            <w:vAlign w:val="center"/>
            <w:hideMark/>
          </w:tcPr>
          <w:p w14:paraId="2B83F10B"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55.7</w:t>
            </w:r>
          </w:p>
        </w:tc>
        <w:tc>
          <w:tcPr>
            <w:tcW w:w="1080" w:type="dxa"/>
          </w:tcPr>
          <w:p w14:paraId="7FC2EEB6"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5F9A5235" w14:textId="77777777" w:rsidTr="00935A18">
        <w:trPr>
          <w:trHeight w:val="20"/>
          <w:jc w:val="center"/>
        </w:trPr>
        <w:tc>
          <w:tcPr>
            <w:tcW w:w="1890" w:type="dxa"/>
            <w:vMerge/>
            <w:vAlign w:val="center"/>
            <w:hideMark/>
          </w:tcPr>
          <w:p w14:paraId="3D8B56DA" w14:textId="77777777" w:rsidR="002815D4" w:rsidRPr="002815D4" w:rsidRDefault="002815D4" w:rsidP="002815D4">
            <w:pPr>
              <w:rPr>
                <w:rFonts w:ascii="Calibri" w:eastAsia="Calibri" w:hAnsi="Calibri" w:cs="Arial"/>
                <w:color w:val="000000"/>
                <w:sz w:val="20"/>
                <w:szCs w:val="20"/>
              </w:rPr>
            </w:pPr>
          </w:p>
        </w:tc>
        <w:tc>
          <w:tcPr>
            <w:tcW w:w="1080" w:type="dxa"/>
            <w:vAlign w:val="center"/>
            <w:hideMark/>
          </w:tcPr>
          <w:p w14:paraId="258FBA58"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950</w:t>
            </w:r>
          </w:p>
        </w:tc>
        <w:tc>
          <w:tcPr>
            <w:tcW w:w="1080" w:type="dxa"/>
            <w:vAlign w:val="center"/>
            <w:hideMark/>
          </w:tcPr>
          <w:p w14:paraId="15EC90F2"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1,099</w:t>
            </w:r>
          </w:p>
        </w:tc>
        <w:tc>
          <w:tcPr>
            <w:tcW w:w="969" w:type="dxa"/>
            <w:noWrap/>
            <w:vAlign w:val="center"/>
            <w:hideMark/>
          </w:tcPr>
          <w:p w14:paraId="2F8158A0"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12.7</w:t>
            </w:r>
          </w:p>
        </w:tc>
        <w:tc>
          <w:tcPr>
            <w:tcW w:w="1094" w:type="dxa"/>
            <w:vAlign w:val="center"/>
          </w:tcPr>
          <w:p w14:paraId="1031BB42"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75</w:t>
            </w:r>
          </w:p>
        </w:tc>
        <w:tc>
          <w:tcPr>
            <w:tcW w:w="1080" w:type="dxa"/>
            <w:noWrap/>
            <w:vAlign w:val="center"/>
            <w:hideMark/>
          </w:tcPr>
          <w:p w14:paraId="5EE9913E"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62.3</w:t>
            </w:r>
          </w:p>
        </w:tc>
        <w:tc>
          <w:tcPr>
            <w:tcW w:w="1080" w:type="dxa"/>
          </w:tcPr>
          <w:p w14:paraId="4175CF31"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42CD9D4D" w14:textId="77777777" w:rsidTr="00935A18">
        <w:trPr>
          <w:trHeight w:val="20"/>
          <w:jc w:val="center"/>
        </w:trPr>
        <w:tc>
          <w:tcPr>
            <w:tcW w:w="1890" w:type="dxa"/>
            <w:vMerge/>
            <w:vAlign w:val="center"/>
          </w:tcPr>
          <w:p w14:paraId="3E509911" w14:textId="77777777" w:rsidR="002815D4" w:rsidRPr="002815D4" w:rsidRDefault="002815D4" w:rsidP="002815D4">
            <w:pPr>
              <w:rPr>
                <w:rFonts w:ascii="Calibri" w:eastAsia="Calibri" w:hAnsi="Calibri" w:cs="Arial"/>
                <w:color w:val="000000"/>
                <w:sz w:val="20"/>
                <w:szCs w:val="20"/>
              </w:rPr>
            </w:pPr>
          </w:p>
        </w:tc>
        <w:tc>
          <w:tcPr>
            <w:tcW w:w="1080" w:type="dxa"/>
            <w:vAlign w:val="center"/>
          </w:tcPr>
          <w:p w14:paraId="350CE48A"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1,100</w:t>
            </w:r>
          </w:p>
        </w:tc>
        <w:tc>
          <w:tcPr>
            <w:tcW w:w="1080" w:type="dxa"/>
            <w:vAlign w:val="center"/>
          </w:tcPr>
          <w:p w14:paraId="4AA840EC"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1,399</w:t>
            </w:r>
          </w:p>
        </w:tc>
        <w:tc>
          <w:tcPr>
            <w:tcW w:w="969" w:type="dxa"/>
            <w:noWrap/>
            <w:vAlign w:val="center"/>
          </w:tcPr>
          <w:p w14:paraId="33CF7FD1"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14.4</w:t>
            </w:r>
          </w:p>
        </w:tc>
        <w:tc>
          <w:tcPr>
            <w:tcW w:w="1094" w:type="dxa"/>
            <w:vAlign w:val="center"/>
          </w:tcPr>
          <w:p w14:paraId="3A6745D9"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85</w:t>
            </w:r>
          </w:p>
        </w:tc>
        <w:tc>
          <w:tcPr>
            <w:tcW w:w="1080" w:type="dxa"/>
            <w:noWrap/>
            <w:vAlign w:val="center"/>
          </w:tcPr>
          <w:p w14:paraId="26EF7644"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70.6</w:t>
            </w:r>
          </w:p>
        </w:tc>
        <w:tc>
          <w:tcPr>
            <w:tcW w:w="1080" w:type="dxa"/>
          </w:tcPr>
          <w:p w14:paraId="4B98DFC6"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64E0A3A9" w14:textId="77777777" w:rsidTr="00935A18">
        <w:trPr>
          <w:trHeight w:val="20"/>
          <w:jc w:val="center"/>
        </w:trPr>
        <w:tc>
          <w:tcPr>
            <w:tcW w:w="1890" w:type="dxa"/>
            <w:vMerge/>
            <w:vAlign w:val="center"/>
          </w:tcPr>
          <w:p w14:paraId="65185BCD" w14:textId="77777777" w:rsidR="002815D4" w:rsidRPr="002815D4" w:rsidRDefault="002815D4" w:rsidP="002815D4">
            <w:pPr>
              <w:rPr>
                <w:rFonts w:ascii="Calibri" w:eastAsia="Calibri" w:hAnsi="Calibri" w:cs="Arial"/>
                <w:color w:val="000000"/>
                <w:sz w:val="20"/>
                <w:szCs w:val="20"/>
              </w:rPr>
            </w:pPr>
          </w:p>
        </w:tc>
        <w:tc>
          <w:tcPr>
            <w:tcW w:w="1080" w:type="dxa"/>
            <w:vAlign w:val="center"/>
          </w:tcPr>
          <w:p w14:paraId="7286B697"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1,400</w:t>
            </w:r>
          </w:p>
        </w:tc>
        <w:tc>
          <w:tcPr>
            <w:tcW w:w="1080" w:type="dxa"/>
            <w:vAlign w:val="center"/>
          </w:tcPr>
          <w:p w14:paraId="3517A702"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1,600</w:t>
            </w:r>
          </w:p>
        </w:tc>
        <w:tc>
          <w:tcPr>
            <w:tcW w:w="969" w:type="dxa"/>
            <w:noWrap/>
            <w:vAlign w:val="center"/>
          </w:tcPr>
          <w:p w14:paraId="676EBDC8"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16.6</w:t>
            </w:r>
          </w:p>
        </w:tc>
        <w:tc>
          <w:tcPr>
            <w:tcW w:w="1094" w:type="dxa"/>
            <w:vAlign w:val="center"/>
          </w:tcPr>
          <w:p w14:paraId="1E739B7E"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100</w:t>
            </w:r>
          </w:p>
        </w:tc>
        <w:tc>
          <w:tcPr>
            <w:tcW w:w="1080" w:type="dxa"/>
            <w:noWrap/>
            <w:vAlign w:val="center"/>
          </w:tcPr>
          <w:p w14:paraId="5420F196"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83.4</w:t>
            </w:r>
          </w:p>
        </w:tc>
        <w:tc>
          <w:tcPr>
            <w:tcW w:w="1080" w:type="dxa"/>
          </w:tcPr>
          <w:p w14:paraId="0EE0E5E8"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1E806C0E" w14:textId="77777777" w:rsidTr="00935A18">
        <w:trPr>
          <w:trHeight w:val="20"/>
          <w:jc w:val="center"/>
        </w:trPr>
        <w:tc>
          <w:tcPr>
            <w:tcW w:w="1890" w:type="dxa"/>
            <w:vMerge/>
            <w:vAlign w:val="center"/>
            <w:hideMark/>
          </w:tcPr>
          <w:p w14:paraId="18F374F2" w14:textId="77777777" w:rsidR="002815D4" w:rsidRPr="002815D4" w:rsidRDefault="002815D4" w:rsidP="002815D4">
            <w:pPr>
              <w:rPr>
                <w:rFonts w:ascii="Calibri" w:eastAsia="Calibri" w:hAnsi="Calibri" w:cs="Arial"/>
                <w:color w:val="000000"/>
                <w:sz w:val="20"/>
                <w:szCs w:val="20"/>
              </w:rPr>
            </w:pPr>
          </w:p>
        </w:tc>
        <w:tc>
          <w:tcPr>
            <w:tcW w:w="1080" w:type="dxa"/>
            <w:vAlign w:val="center"/>
            <w:hideMark/>
          </w:tcPr>
          <w:p w14:paraId="4EDA26A1"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1,601</w:t>
            </w:r>
          </w:p>
        </w:tc>
        <w:tc>
          <w:tcPr>
            <w:tcW w:w="1080" w:type="dxa"/>
            <w:vAlign w:val="center"/>
            <w:hideMark/>
          </w:tcPr>
          <w:p w14:paraId="2208C99A"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1,800</w:t>
            </w:r>
          </w:p>
        </w:tc>
        <w:tc>
          <w:tcPr>
            <w:tcW w:w="969" w:type="dxa"/>
            <w:noWrap/>
            <w:vAlign w:val="center"/>
            <w:hideMark/>
          </w:tcPr>
          <w:p w14:paraId="462AEDFD"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22.2</w:t>
            </w:r>
          </w:p>
        </w:tc>
        <w:tc>
          <w:tcPr>
            <w:tcW w:w="1094" w:type="dxa"/>
            <w:vAlign w:val="center"/>
          </w:tcPr>
          <w:p w14:paraId="77F8E2F7"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120</w:t>
            </w:r>
          </w:p>
        </w:tc>
        <w:tc>
          <w:tcPr>
            <w:tcW w:w="1080" w:type="dxa"/>
            <w:noWrap/>
            <w:vAlign w:val="center"/>
            <w:hideMark/>
          </w:tcPr>
          <w:p w14:paraId="222818B1"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97.8</w:t>
            </w:r>
          </w:p>
        </w:tc>
        <w:tc>
          <w:tcPr>
            <w:tcW w:w="1080" w:type="dxa"/>
          </w:tcPr>
          <w:p w14:paraId="7747F49F"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04DBBC48" w14:textId="77777777" w:rsidTr="00935A18">
        <w:trPr>
          <w:trHeight w:val="20"/>
          <w:jc w:val="center"/>
        </w:trPr>
        <w:tc>
          <w:tcPr>
            <w:tcW w:w="1890" w:type="dxa"/>
            <w:vMerge w:val="restart"/>
            <w:vAlign w:val="center"/>
            <w:hideMark/>
          </w:tcPr>
          <w:p w14:paraId="3FBE04F7"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*R20</w:t>
            </w:r>
          </w:p>
        </w:tc>
        <w:tc>
          <w:tcPr>
            <w:tcW w:w="1080" w:type="dxa"/>
            <w:vAlign w:val="center"/>
            <w:hideMark/>
          </w:tcPr>
          <w:p w14:paraId="77D15430"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450</w:t>
            </w:r>
          </w:p>
        </w:tc>
        <w:tc>
          <w:tcPr>
            <w:tcW w:w="1080" w:type="dxa"/>
            <w:vAlign w:val="center"/>
            <w:hideMark/>
          </w:tcPr>
          <w:p w14:paraId="3497BB2F"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524</w:t>
            </w:r>
          </w:p>
        </w:tc>
        <w:tc>
          <w:tcPr>
            <w:tcW w:w="969" w:type="dxa"/>
            <w:noWrap/>
            <w:vAlign w:val="center"/>
            <w:hideMark/>
          </w:tcPr>
          <w:p w14:paraId="3BF4DCC1"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6.0</w:t>
            </w:r>
          </w:p>
        </w:tc>
        <w:tc>
          <w:tcPr>
            <w:tcW w:w="1094" w:type="dxa"/>
            <w:vAlign w:val="center"/>
          </w:tcPr>
          <w:p w14:paraId="3BC5BA6B"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40</w:t>
            </w:r>
          </w:p>
        </w:tc>
        <w:tc>
          <w:tcPr>
            <w:tcW w:w="1080" w:type="dxa"/>
            <w:noWrap/>
            <w:vAlign w:val="center"/>
            <w:hideMark/>
          </w:tcPr>
          <w:p w14:paraId="2B8D80B3"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34.0</w:t>
            </w:r>
          </w:p>
        </w:tc>
        <w:tc>
          <w:tcPr>
            <w:tcW w:w="1080" w:type="dxa"/>
          </w:tcPr>
          <w:p w14:paraId="6E8F2718"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1EEEA349" w14:textId="77777777" w:rsidTr="00935A18">
        <w:trPr>
          <w:trHeight w:val="20"/>
          <w:jc w:val="center"/>
        </w:trPr>
        <w:tc>
          <w:tcPr>
            <w:tcW w:w="1890" w:type="dxa"/>
            <w:vMerge/>
            <w:vAlign w:val="center"/>
            <w:hideMark/>
          </w:tcPr>
          <w:p w14:paraId="7CD2D3AB" w14:textId="77777777" w:rsidR="002815D4" w:rsidRPr="002815D4" w:rsidRDefault="002815D4" w:rsidP="002815D4">
            <w:pPr>
              <w:rPr>
                <w:rFonts w:ascii="Calibri" w:eastAsia="Calibri" w:hAnsi="Calibri" w:cs="Arial"/>
                <w:color w:val="000000"/>
                <w:sz w:val="20"/>
                <w:szCs w:val="20"/>
              </w:rPr>
            </w:pPr>
          </w:p>
        </w:tc>
        <w:tc>
          <w:tcPr>
            <w:tcW w:w="1080" w:type="dxa"/>
            <w:vAlign w:val="center"/>
            <w:hideMark/>
          </w:tcPr>
          <w:p w14:paraId="3F0F4C32"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525</w:t>
            </w:r>
          </w:p>
        </w:tc>
        <w:tc>
          <w:tcPr>
            <w:tcW w:w="1080" w:type="dxa"/>
            <w:vAlign w:val="center"/>
            <w:hideMark/>
          </w:tcPr>
          <w:p w14:paraId="48EAE46B"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750</w:t>
            </w:r>
          </w:p>
        </w:tc>
        <w:tc>
          <w:tcPr>
            <w:tcW w:w="969" w:type="dxa"/>
            <w:noWrap/>
            <w:vAlign w:val="center"/>
            <w:hideMark/>
          </w:tcPr>
          <w:p w14:paraId="7649B6EF"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7.1</w:t>
            </w:r>
          </w:p>
        </w:tc>
        <w:tc>
          <w:tcPr>
            <w:tcW w:w="1094" w:type="dxa"/>
            <w:vAlign w:val="center"/>
          </w:tcPr>
          <w:p w14:paraId="04FBD568"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45</w:t>
            </w:r>
          </w:p>
        </w:tc>
        <w:tc>
          <w:tcPr>
            <w:tcW w:w="1080" w:type="dxa"/>
            <w:noWrap/>
            <w:vAlign w:val="center"/>
            <w:hideMark/>
          </w:tcPr>
          <w:p w14:paraId="4C369D85"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37.9</w:t>
            </w:r>
          </w:p>
        </w:tc>
        <w:tc>
          <w:tcPr>
            <w:tcW w:w="1080" w:type="dxa"/>
          </w:tcPr>
          <w:p w14:paraId="6645CDA2"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430EFB24" w14:textId="77777777" w:rsidTr="00935A18">
        <w:trPr>
          <w:trHeight w:val="20"/>
          <w:jc w:val="center"/>
        </w:trPr>
        <w:tc>
          <w:tcPr>
            <w:tcW w:w="1890" w:type="dxa"/>
            <w:vMerge w:val="restart"/>
            <w:vAlign w:val="center"/>
            <w:hideMark/>
          </w:tcPr>
          <w:p w14:paraId="43FADC6B"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*MR16</w:t>
            </w:r>
          </w:p>
        </w:tc>
        <w:tc>
          <w:tcPr>
            <w:tcW w:w="1080" w:type="dxa"/>
            <w:vAlign w:val="center"/>
            <w:hideMark/>
          </w:tcPr>
          <w:p w14:paraId="09E6D7DB"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sz w:val="20"/>
                <w:szCs w:val="20"/>
              </w:rPr>
              <w:t>250</w:t>
            </w:r>
          </w:p>
        </w:tc>
        <w:tc>
          <w:tcPr>
            <w:tcW w:w="1080" w:type="dxa"/>
            <w:vAlign w:val="center"/>
            <w:hideMark/>
          </w:tcPr>
          <w:p w14:paraId="77F39E02"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sz w:val="20"/>
                <w:szCs w:val="20"/>
              </w:rPr>
              <w:t>309</w:t>
            </w:r>
          </w:p>
        </w:tc>
        <w:tc>
          <w:tcPr>
            <w:tcW w:w="969" w:type="dxa"/>
            <w:noWrap/>
            <w:vAlign w:val="center"/>
            <w:hideMark/>
          </w:tcPr>
          <w:p w14:paraId="5801AE6F"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3.8</w:t>
            </w:r>
          </w:p>
        </w:tc>
        <w:tc>
          <w:tcPr>
            <w:tcW w:w="1094" w:type="dxa"/>
            <w:vAlign w:val="center"/>
          </w:tcPr>
          <w:p w14:paraId="538DADF7"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20.0</w:t>
            </w:r>
          </w:p>
        </w:tc>
        <w:tc>
          <w:tcPr>
            <w:tcW w:w="1080" w:type="dxa"/>
            <w:noWrap/>
            <w:vAlign w:val="center"/>
            <w:hideMark/>
          </w:tcPr>
          <w:p w14:paraId="7D57CE2B"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16.2</w:t>
            </w:r>
          </w:p>
        </w:tc>
        <w:tc>
          <w:tcPr>
            <w:tcW w:w="1080" w:type="dxa"/>
          </w:tcPr>
          <w:p w14:paraId="2C8D47FA"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No</w:t>
            </w:r>
          </w:p>
        </w:tc>
      </w:tr>
      <w:tr w:rsidR="002815D4" w:rsidRPr="002815D4" w14:paraId="21254475" w14:textId="77777777" w:rsidTr="00935A18">
        <w:trPr>
          <w:trHeight w:val="20"/>
          <w:jc w:val="center"/>
        </w:trPr>
        <w:tc>
          <w:tcPr>
            <w:tcW w:w="1890" w:type="dxa"/>
            <w:vMerge/>
            <w:vAlign w:val="center"/>
          </w:tcPr>
          <w:p w14:paraId="30C56C32" w14:textId="77777777" w:rsidR="002815D4" w:rsidRPr="002815D4" w:rsidRDefault="002815D4" w:rsidP="002815D4">
            <w:pPr>
              <w:rPr>
                <w:rFonts w:ascii="Calibri" w:eastAsia="Calibri" w:hAnsi="Calibri" w:cs="Arial"/>
                <w:b/>
                <w:bCs/>
                <w:color w:val="000000"/>
                <w:sz w:val="20"/>
                <w:szCs w:val="20"/>
              </w:rPr>
            </w:pPr>
          </w:p>
        </w:tc>
        <w:tc>
          <w:tcPr>
            <w:tcW w:w="1080" w:type="dxa"/>
            <w:vAlign w:val="center"/>
          </w:tcPr>
          <w:p w14:paraId="20D48505"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310</w:t>
            </w:r>
          </w:p>
        </w:tc>
        <w:tc>
          <w:tcPr>
            <w:tcW w:w="1080" w:type="dxa"/>
            <w:vAlign w:val="center"/>
          </w:tcPr>
          <w:p w14:paraId="13FFD5E7"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324</w:t>
            </w:r>
          </w:p>
        </w:tc>
        <w:tc>
          <w:tcPr>
            <w:tcW w:w="969" w:type="dxa"/>
            <w:noWrap/>
            <w:vAlign w:val="center"/>
          </w:tcPr>
          <w:p w14:paraId="58BDC486"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3.8</w:t>
            </w:r>
          </w:p>
        </w:tc>
        <w:tc>
          <w:tcPr>
            <w:tcW w:w="1094" w:type="dxa"/>
            <w:vAlign w:val="center"/>
          </w:tcPr>
          <w:p w14:paraId="03293F12"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20.0</w:t>
            </w:r>
          </w:p>
        </w:tc>
        <w:tc>
          <w:tcPr>
            <w:tcW w:w="1080" w:type="dxa"/>
            <w:noWrap/>
            <w:vAlign w:val="center"/>
          </w:tcPr>
          <w:p w14:paraId="606548B7"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16.2</w:t>
            </w:r>
          </w:p>
        </w:tc>
        <w:tc>
          <w:tcPr>
            <w:tcW w:w="1080" w:type="dxa"/>
          </w:tcPr>
          <w:p w14:paraId="28A370A5"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5B773962" w14:textId="77777777" w:rsidTr="00935A18">
        <w:trPr>
          <w:trHeight w:val="20"/>
          <w:jc w:val="center"/>
        </w:trPr>
        <w:tc>
          <w:tcPr>
            <w:tcW w:w="1890" w:type="dxa"/>
            <w:vMerge/>
            <w:vAlign w:val="center"/>
          </w:tcPr>
          <w:p w14:paraId="2DC0002A" w14:textId="77777777" w:rsidR="002815D4" w:rsidRPr="002815D4" w:rsidRDefault="002815D4" w:rsidP="002815D4">
            <w:pPr>
              <w:rPr>
                <w:rFonts w:ascii="Calibri" w:eastAsia="Calibri" w:hAnsi="Calibri" w:cs="Arial"/>
                <w:b/>
                <w:bCs/>
                <w:color w:val="000000"/>
                <w:sz w:val="20"/>
                <w:szCs w:val="20"/>
              </w:rPr>
            </w:pPr>
          </w:p>
        </w:tc>
        <w:tc>
          <w:tcPr>
            <w:tcW w:w="1080" w:type="dxa"/>
            <w:vAlign w:val="center"/>
          </w:tcPr>
          <w:p w14:paraId="39D325EC"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sz w:val="20"/>
                <w:szCs w:val="20"/>
              </w:rPr>
              <w:t>325</w:t>
            </w:r>
          </w:p>
        </w:tc>
        <w:tc>
          <w:tcPr>
            <w:tcW w:w="1080" w:type="dxa"/>
            <w:vAlign w:val="center"/>
          </w:tcPr>
          <w:p w14:paraId="7462A054"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sz w:val="20"/>
                <w:szCs w:val="20"/>
              </w:rPr>
              <w:t>369</w:t>
            </w:r>
          </w:p>
        </w:tc>
        <w:tc>
          <w:tcPr>
            <w:tcW w:w="969" w:type="dxa"/>
            <w:noWrap/>
            <w:vAlign w:val="center"/>
          </w:tcPr>
          <w:p w14:paraId="06ADAF4E"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4.8</w:t>
            </w:r>
          </w:p>
        </w:tc>
        <w:tc>
          <w:tcPr>
            <w:tcW w:w="1094" w:type="dxa"/>
            <w:vAlign w:val="center"/>
          </w:tcPr>
          <w:p w14:paraId="502AEF51"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25.0</w:t>
            </w:r>
          </w:p>
        </w:tc>
        <w:tc>
          <w:tcPr>
            <w:tcW w:w="1080" w:type="dxa"/>
            <w:noWrap/>
            <w:vAlign w:val="center"/>
          </w:tcPr>
          <w:p w14:paraId="1A2BE82B"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20.2</w:t>
            </w:r>
          </w:p>
        </w:tc>
        <w:tc>
          <w:tcPr>
            <w:tcW w:w="1080" w:type="dxa"/>
          </w:tcPr>
          <w:p w14:paraId="2176891F"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5349030E" w14:textId="77777777" w:rsidTr="00935A18">
        <w:trPr>
          <w:trHeight w:val="20"/>
          <w:jc w:val="center"/>
        </w:trPr>
        <w:tc>
          <w:tcPr>
            <w:tcW w:w="1890" w:type="dxa"/>
            <w:vMerge/>
            <w:vAlign w:val="center"/>
            <w:hideMark/>
          </w:tcPr>
          <w:p w14:paraId="07E15D9D" w14:textId="77777777" w:rsidR="002815D4" w:rsidRPr="002815D4" w:rsidRDefault="002815D4" w:rsidP="002815D4">
            <w:pPr>
              <w:rPr>
                <w:rFonts w:ascii="Calibri" w:eastAsia="Calibri" w:hAnsi="Calibri" w:cs="Arial"/>
                <w:b/>
                <w:bCs/>
                <w:color w:val="000000"/>
                <w:sz w:val="20"/>
                <w:szCs w:val="20"/>
              </w:rPr>
            </w:pPr>
          </w:p>
        </w:tc>
        <w:tc>
          <w:tcPr>
            <w:tcW w:w="1080" w:type="dxa"/>
            <w:vAlign w:val="center"/>
            <w:hideMark/>
          </w:tcPr>
          <w:p w14:paraId="6BD110EC"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sz w:val="20"/>
                <w:szCs w:val="20"/>
              </w:rPr>
              <w:t>370</w:t>
            </w:r>
          </w:p>
        </w:tc>
        <w:tc>
          <w:tcPr>
            <w:tcW w:w="1080" w:type="dxa"/>
            <w:vAlign w:val="center"/>
            <w:hideMark/>
          </w:tcPr>
          <w:p w14:paraId="4E83131D"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sz w:val="20"/>
                <w:szCs w:val="20"/>
              </w:rPr>
              <w:t>400</w:t>
            </w:r>
          </w:p>
        </w:tc>
        <w:tc>
          <w:tcPr>
            <w:tcW w:w="969" w:type="dxa"/>
            <w:noWrap/>
            <w:vAlign w:val="center"/>
            <w:hideMark/>
          </w:tcPr>
          <w:p w14:paraId="1581103C"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4.9</w:t>
            </w:r>
          </w:p>
        </w:tc>
        <w:tc>
          <w:tcPr>
            <w:tcW w:w="1094" w:type="dxa"/>
            <w:vAlign w:val="center"/>
          </w:tcPr>
          <w:p w14:paraId="13589954"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25.0</w:t>
            </w:r>
          </w:p>
        </w:tc>
        <w:tc>
          <w:tcPr>
            <w:tcW w:w="1080" w:type="dxa"/>
            <w:noWrap/>
            <w:vAlign w:val="center"/>
            <w:hideMark/>
          </w:tcPr>
          <w:p w14:paraId="48FEE296"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20.1</w:t>
            </w:r>
          </w:p>
        </w:tc>
        <w:tc>
          <w:tcPr>
            <w:tcW w:w="1080" w:type="dxa"/>
          </w:tcPr>
          <w:p w14:paraId="754781BC"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bl>
    <w:p w14:paraId="3307105F" w14:textId="77777777" w:rsidR="002815D4" w:rsidRPr="002815D4" w:rsidRDefault="002815D4" w:rsidP="002815D4">
      <w:pPr>
        <w:spacing w:after="120"/>
        <w:ind w:left="1440"/>
        <w:jc w:val="both"/>
        <w:rPr>
          <w:rFonts w:ascii="Calibri" w:eastAsia="Calibri" w:hAnsi="Calibri" w:cs="Arial"/>
          <w:noProof/>
          <w:sz w:val="20"/>
          <w:szCs w:val="20"/>
        </w:rPr>
      </w:pPr>
    </w:p>
    <w:p w14:paraId="310BCFA6" w14:textId="77777777" w:rsidR="002815D4" w:rsidRPr="002815D4" w:rsidRDefault="002815D4" w:rsidP="002815D4">
      <w:pPr>
        <w:spacing w:after="120"/>
        <w:ind w:left="1440"/>
        <w:jc w:val="both"/>
        <w:rPr>
          <w:rFonts w:ascii="Calibri" w:eastAsia="Calibri" w:hAnsi="Calibri" w:cs="Arial"/>
          <w:b/>
          <w:noProof/>
          <w:sz w:val="20"/>
          <w:szCs w:val="20"/>
        </w:rPr>
      </w:pPr>
    </w:p>
    <w:p w14:paraId="2D29E38E" w14:textId="77777777" w:rsidR="002815D4" w:rsidRPr="002815D4" w:rsidRDefault="002815D4" w:rsidP="002815D4">
      <w:pPr>
        <w:spacing w:after="120"/>
        <w:ind w:firstLine="720"/>
        <w:jc w:val="both"/>
        <w:rPr>
          <w:rFonts w:ascii="Calibri" w:eastAsia="Calibri" w:hAnsi="Calibri" w:cs="Arial"/>
          <w:noProof/>
          <w:sz w:val="20"/>
          <w:szCs w:val="20"/>
        </w:rPr>
      </w:pPr>
      <w:r w:rsidRPr="002815D4">
        <w:rPr>
          <w:rFonts w:ascii="Calibri" w:eastAsia="Calibri" w:hAnsi="Calibri" w:cs="Arial"/>
          <w:noProof/>
          <w:sz w:val="20"/>
          <w:szCs w:val="20"/>
        </w:rPr>
        <w:t>For PAR, MR, and MRX Lamps Types:</w:t>
      </w:r>
    </w:p>
    <w:p w14:paraId="3B0B86AB" w14:textId="77777777" w:rsidR="002815D4" w:rsidRPr="002815D4" w:rsidRDefault="002815D4" w:rsidP="002815D4">
      <w:pPr>
        <w:spacing w:after="120"/>
        <w:ind w:left="720"/>
        <w:jc w:val="both"/>
        <w:rPr>
          <w:rFonts w:ascii="Calibri" w:eastAsia="Calibri" w:hAnsi="Calibri" w:cs="Arial"/>
          <w:noProof/>
          <w:sz w:val="20"/>
          <w:szCs w:val="20"/>
        </w:rPr>
      </w:pPr>
      <w:r w:rsidRPr="002815D4">
        <w:rPr>
          <w:rFonts w:ascii="Calibri" w:eastAsia="Calibri" w:hAnsi="Calibri" w:cs="Arial"/>
          <w:noProof/>
          <w:sz w:val="20"/>
          <w:szCs w:val="20"/>
        </w:rPr>
        <w:t>For these highly focused directional lamp types, it is necessary to have Center Beam Candle Power (CBCP) and beam angle measurements to accurately estimate the equivalent baseline wattage.  The formula below is based on the Energy Star Center Beam Candle Power tool.</w:t>
      </w:r>
      <w:r w:rsidRPr="002815D4">
        <w:rPr>
          <w:rFonts w:ascii="Arial" w:eastAsia="Calibri" w:hAnsi="Arial" w:cs="Times New Roman"/>
          <w:noProof/>
          <w:sz w:val="20"/>
          <w:szCs w:val="20"/>
          <w:vertAlign w:val="superscript"/>
        </w:rPr>
        <w:footnoteReference w:id="6"/>
      </w:r>
      <w:r w:rsidRPr="002815D4">
        <w:rPr>
          <w:rFonts w:ascii="Calibri" w:eastAsia="Calibri" w:hAnsi="Calibri" w:cs="Arial"/>
          <w:noProof/>
          <w:sz w:val="20"/>
          <w:szCs w:val="20"/>
        </w:rPr>
        <w:t xml:space="preserve"> If CBCP and beam angle information are not available or if the equation below returns a negative value (or undefined), use the manufacturer’s recommended baseline wattage equivalent.</w:t>
      </w:r>
      <w:r w:rsidRPr="002815D4">
        <w:rPr>
          <w:rFonts w:ascii="Arial" w:eastAsia="Calibri" w:hAnsi="Arial" w:cs="Times New Roman"/>
          <w:noProof/>
          <w:sz w:val="20"/>
          <w:szCs w:val="20"/>
          <w:vertAlign w:val="superscript"/>
        </w:rPr>
        <w:footnoteReference w:id="7"/>
      </w:r>
    </w:p>
    <w:p w14:paraId="443A1DEB" w14:textId="77777777" w:rsidR="002815D4" w:rsidRPr="002815D4" w:rsidRDefault="00003A1E" w:rsidP="002815D4">
      <w:pPr>
        <w:spacing w:after="120"/>
        <w:ind w:left="720"/>
        <w:jc w:val="both"/>
        <w:rPr>
          <w:rFonts w:ascii="Calibri" w:eastAsia="Calibri" w:hAnsi="Calibri" w:cs="Arial"/>
          <w:noProof/>
          <w:sz w:val="17"/>
          <w:szCs w:val="17"/>
        </w:rPr>
      </w:pPr>
      <m:oMathPara>
        <m:oMathParaPr>
          <m:jc m:val="left"/>
        </m:oMathParaPr>
        <m:oMath>
          <m:r>
            <m:rPr>
              <m:sty m:val="p"/>
            </m:rPr>
            <w:rPr>
              <w:rFonts w:ascii="Cambria Math" w:eastAsia="Calibri" w:hAnsi="Cambria Math" w:cs="Arial"/>
              <w:noProof/>
              <w:sz w:val="17"/>
              <w:szCs w:val="17"/>
            </w:rPr>
            <m:t>Wattsbase</m:t>
          </m:r>
          <m:r>
            <w:rPr>
              <w:rFonts w:ascii="Cambria Math" w:eastAsia="Calibri" w:hAnsi="Cambria Math" w:cs="Arial"/>
              <w:noProof/>
              <w:sz w:val="17"/>
              <w:szCs w:val="17"/>
            </w:rPr>
            <m:t>=</m:t>
          </m:r>
        </m:oMath>
      </m:oMathPara>
    </w:p>
    <w:p w14:paraId="049AAB5F" w14:textId="77777777" w:rsidR="002815D4" w:rsidRPr="002815D4" w:rsidRDefault="00003A1E" w:rsidP="002815D4">
      <w:pPr>
        <w:spacing w:after="120"/>
        <w:jc w:val="both"/>
        <w:rPr>
          <w:rFonts w:ascii="Calibri" w:eastAsia="Calibri" w:hAnsi="Calibri" w:cs="Arial"/>
          <w:noProof/>
          <w:sz w:val="17"/>
          <w:szCs w:val="17"/>
        </w:rPr>
      </w:pPr>
      <m:oMathPara>
        <m:oMath>
          <m:r>
            <w:rPr>
              <w:rFonts w:ascii="Cambria Math" w:eastAsia="Calibri" w:hAnsi="Cambria Math" w:cs="Arial"/>
              <w:noProof/>
              <w:sz w:val="17"/>
              <w:szCs w:val="17"/>
            </w:rPr>
            <m:t>375.1-4.355</m:t>
          </m:r>
          <m:d>
            <m:dPr>
              <m:ctrlPr>
                <w:rPr>
                  <w:rFonts w:ascii="Cambria Math" w:eastAsia="Calibri" w:hAnsi="Cambria Math" w:cs="Arial"/>
                  <w:i/>
                  <w:noProof/>
                  <w:sz w:val="17"/>
                  <w:szCs w:val="17"/>
                </w:rPr>
              </m:ctrlPr>
            </m:dPr>
            <m:e>
              <m:r>
                <w:rPr>
                  <w:rFonts w:ascii="Cambria Math" w:eastAsia="Calibri" w:hAnsi="Cambria Math" w:cs="Arial"/>
                  <w:noProof/>
                  <w:sz w:val="17"/>
                  <w:szCs w:val="17"/>
                </w:rPr>
                <m:t>D</m:t>
              </m:r>
            </m:e>
          </m:d>
          <m:r>
            <w:rPr>
              <w:rFonts w:ascii="Cambria Math" w:eastAsia="Calibri" w:hAnsi="Cambria Math" w:cs="Arial"/>
              <w:noProof/>
              <w:sz w:val="17"/>
              <w:szCs w:val="17"/>
            </w:rPr>
            <m:t xml:space="preserve">- </m:t>
          </m:r>
          <m:rad>
            <m:radPr>
              <m:degHide m:val="1"/>
              <m:ctrlPr>
                <w:rPr>
                  <w:rFonts w:ascii="Cambria Math" w:eastAsia="Calibri" w:hAnsi="Cambria Math" w:cs="Arial"/>
                  <w:i/>
                  <w:noProof/>
                  <w:sz w:val="17"/>
                  <w:szCs w:val="17"/>
                </w:rPr>
              </m:ctrlPr>
            </m:radPr>
            <m:deg/>
            <m:e>
              <m:r>
                <w:rPr>
                  <w:rFonts w:ascii="Cambria Math" w:eastAsia="Calibri" w:hAnsi="Cambria Math" w:cs="Arial"/>
                  <w:noProof/>
                  <w:sz w:val="17"/>
                  <w:szCs w:val="17"/>
                </w:rPr>
                <m:t>227,800-937.9</m:t>
              </m:r>
              <m:d>
                <m:dPr>
                  <m:ctrlPr>
                    <w:rPr>
                      <w:rFonts w:ascii="Cambria Math" w:eastAsia="Calibri" w:hAnsi="Cambria Math" w:cs="Arial"/>
                      <w:i/>
                      <w:noProof/>
                      <w:sz w:val="17"/>
                      <w:szCs w:val="17"/>
                    </w:rPr>
                  </m:ctrlPr>
                </m:dPr>
                <m:e>
                  <m:r>
                    <w:rPr>
                      <w:rFonts w:ascii="Cambria Math" w:eastAsia="Calibri" w:hAnsi="Cambria Math" w:cs="Arial"/>
                      <w:noProof/>
                      <w:sz w:val="17"/>
                      <w:szCs w:val="17"/>
                    </w:rPr>
                    <m:t>D</m:t>
                  </m:r>
                </m:e>
              </m:d>
              <m:r>
                <w:rPr>
                  <w:rFonts w:ascii="Cambria Math" w:eastAsia="Calibri" w:hAnsi="Cambria Math" w:cs="Arial"/>
                  <w:noProof/>
                  <w:sz w:val="17"/>
                  <w:szCs w:val="17"/>
                </w:rPr>
                <m:t>-0.9903</m:t>
              </m:r>
              <m:d>
                <m:dPr>
                  <m:ctrlPr>
                    <w:rPr>
                      <w:rFonts w:ascii="Cambria Math" w:eastAsia="Calibri" w:hAnsi="Cambria Math" w:cs="Arial"/>
                      <w:i/>
                      <w:noProof/>
                      <w:sz w:val="17"/>
                      <w:szCs w:val="17"/>
                    </w:rPr>
                  </m:ctrlPr>
                </m:dPr>
                <m:e>
                  <m:sSup>
                    <m:sSupPr>
                      <m:ctrlPr>
                        <w:rPr>
                          <w:rFonts w:ascii="Cambria Math" w:eastAsia="Calibri" w:hAnsi="Cambria Math" w:cs="Arial"/>
                          <w:i/>
                          <w:noProof/>
                          <w:sz w:val="17"/>
                          <w:szCs w:val="17"/>
                        </w:rPr>
                      </m:ctrlPr>
                    </m:sSupPr>
                    <m:e>
                      <m:r>
                        <w:rPr>
                          <w:rFonts w:ascii="Cambria Math" w:eastAsia="Calibri" w:hAnsi="Cambria Math" w:cs="Arial"/>
                          <w:noProof/>
                          <w:sz w:val="17"/>
                          <w:szCs w:val="17"/>
                        </w:rPr>
                        <m:t>D</m:t>
                      </m:r>
                    </m:e>
                    <m:sup>
                      <m:r>
                        <w:rPr>
                          <w:rFonts w:ascii="Cambria Math" w:eastAsia="Calibri" w:hAnsi="Cambria Math" w:cs="Arial"/>
                          <w:noProof/>
                          <w:sz w:val="17"/>
                          <w:szCs w:val="17"/>
                        </w:rPr>
                        <m:t>2</m:t>
                      </m:r>
                    </m:sup>
                  </m:sSup>
                </m:e>
              </m:d>
              <m:r>
                <w:rPr>
                  <w:rFonts w:ascii="Cambria Math" w:eastAsia="Calibri" w:hAnsi="Cambria Math" w:cs="Arial"/>
                  <w:noProof/>
                  <w:sz w:val="17"/>
                  <w:szCs w:val="17"/>
                </w:rPr>
                <m:t>-1479</m:t>
              </m:r>
              <m:d>
                <m:dPr>
                  <m:ctrlPr>
                    <w:rPr>
                      <w:rFonts w:ascii="Cambria Math" w:eastAsia="Calibri" w:hAnsi="Cambria Math" w:cs="Arial"/>
                      <w:i/>
                      <w:noProof/>
                      <w:sz w:val="17"/>
                      <w:szCs w:val="17"/>
                    </w:rPr>
                  </m:ctrlPr>
                </m:dPr>
                <m:e>
                  <m:r>
                    <w:rPr>
                      <w:rFonts w:ascii="Cambria Math" w:eastAsia="Calibri" w:hAnsi="Cambria Math" w:cs="Arial"/>
                      <w:noProof/>
                      <w:sz w:val="17"/>
                      <w:szCs w:val="17"/>
                    </w:rPr>
                    <m:t>BA</m:t>
                  </m:r>
                </m:e>
              </m:d>
              <m:r>
                <w:rPr>
                  <w:rFonts w:ascii="Cambria Math" w:eastAsia="Calibri" w:hAnsi="Cambria Math" w:cs="Arial"/>
                  <w:noProof/>
                  <w:sz w:val="17"/>
                  <w:szCs w:val="17"/>
                </w:rPr>
                <m:t>-12.02</m:t>
              </m:r>
              <m:d>
                <m:dPr>
                  <m:ctrlPr>
                    <w:rPr>
                      <w:rFonts w:ascii="Cambria Math" w:eastAsia="Calibri" w:hAnsi="Cambria Math" w:cs="Arial"/>
                      <w:i/>
                      <w:noProof/>
                      <w:sz w:val="17"/>
                      <w:szCs w:val="17"/>
                    </w:rPr>
                  </m:ctrlPr>
                </m:dPr>
                <m:e>
                  <m:r>
                    <w:rPr>
                      <w:rFonts w:ascii="Cambria Math" w:eastAsia="Calibri" w:hAnsi="Cambria Math" w:cs="Arial"/>
                      <w:noProof/>
                      <w:sz w:val="17"/>
                      <w:szCs w:val="17"/>
                    </w:rPr>
                    <m:t>D*BA</m:t>
                  </m:r>
                </m:e>
              </m:d>
              <m:r>
                <w:rPr>
                  <w:rFonts w:ascii="Cambria Math" w:eastAsia="Calibri" w:hAnsi="Cambria Math" w:cs="Arial"/>
                  <w:noProof/>
                  <w:sz w:val="17"/>
                  <w:szCs w:val="17"/>
                </w:rPr>
                <m:t>+14.69</m:t>
              </m:r>
              <m:d>
                <m:dPr>
                  <m:ctrlPr>
                    <w:rPr>
                      <w:rFonts w:ascii="Cambria Math" w:eastAsia="Calibri" w:hAnsi="Cambria Math" w:cs="Arial"/>
                      <w:i/>
                      <w:noProof/>
                      <w:sz w:val="17"/>
                      <w:szCs w:val="17"/>
                    </w:rPr>
                  </m:ctrlPr>
                </m:dPr>
                <m:e>
                  <m:sSup>
                    <m:sSupPr>
                      <m:ctrlPr>
                        <w:rPr>
                          <w:rFonts w:ascii="Cambria Math" w:eastAsia="Calibri" w:hAnsi="Cambria Math" w:cs="Arial"/>
                          <w:i/>
                          <w:noProof/>
                          <w:sz w:val="17"/>
                          <w:szCs w:val="17"/>
                        </w:rPr>
                      </m:ctrlPr>
                    </m:sSupPr>
                    <m:e>
                      <m:r>
                        <w:rPr>
                          <w:rFonts w:ascii="Cambria Math" w:eastAsia="Calibri" w:hAnsi="Cambria Math" w:cs="Arial"/>
                          <w:noProof/>
                          <w:sz w:val="17"/>
                          <w:szCs w:val="17"/>
                        </w:rPr>
                        <m:t>BA</m:t>
                      </m:r>
                    </m:e>
                    <m:sup>
                      <m:r>
                        <w:rPr>
                          <w:rFonts w:ascii="Cambria Math" w:eastAsia="Calibri" w:hAnsi="Cambria Math" w:cs="Arial"/>
                          <w:noProof/>
                          <w:sz w:val="17"/>
                          <w:szCs w:val="17"/>
                        </w:rPr>
                        <m:t>2</m:t>
                      </m:r>
                    </m:sup>
                  </m:sSup>
                </m:e>
              </m:d>
              <m:r>
                <w:rPr>
                  <w:rFonts w:ascii="Cambria Math" w:eastAsia="Calibri" w:hAnsi="Cambria Math" w:cs="Arial"/>
                  <w:noProof/>
                  <w:sz w:val="17"/>
                  <w:szCs w:val="17"/>
                </w:rPr>
                <m:t>-16,720*</m:t>
              </m:r>
              <m:r>
                <m:rPr>
                  <m:sty m:val="p"/>
                </m:rPr>
                <w:rPr>
                  <w:rFonts w:ascii="Cambria Math" w:eastAsia="Calibri" w:hAnsi="Cambria Math" w:cs="Arial"/>
                  <w:noProof/>
                  <w:sz w:val="17"/>
                  <w:szCs w:val="17"/>
                </w:rPr>
                <m:t>ln⁡</m:t>
              </m:r>
              <m:r>
                <w:rPr>
                  <w:rFonts w:ascii="Cambria Math" w:eastAsia="Calibri" w:hAnsi="Cambria Math" w:cs="Arial"/>
                  <w:noProof/>
                  <w:sz w:val="17"/>
                  <w:szCs w:val="17"/>
                </w:rPr>
                <m:t>(CBCP)</m:t>
              </m:r>
            </m:e>
          </m:rad>
        </m:oMath>
      </m:oMathPara>
    </w:p>
    <w:p w14:paraId="3CAD1DAD" w14:textId="77777777" w:rsidR="002815D4" w:rsidRPr="002815D4" w:rsidRDefault="002815D4" w:rsidP="002815D4">
      <w:pPr>
        <w:spacing w:after="120"/>
        <w:ind w:left="1440"/>
        <w:jc w:val="both"/>
        <w:rPr>
          <w:rFonts w:ascii="Calibri" w:eastAsia="Calibri" w:hAnsi="Calibri" w:cs="Arial"/>
          <w:noProof/>
          <w:sz w:val="20"/>
          <w:szCs w:val="20"/>
        </w:rPr>
      </w:pPr>
      <w:r w:rsidRPr="002815D4">
        <w:rPr>
          <w:rFonts w:ascii="Calibri" w:eastAsia="Calibri" w:hAnsi="Calibri" w:cs="Arial"/>
          <w:noProof/>
          <w:sz w:val="20"/>
          <w:szCs w:val="20"/>
        </w:rPr>
        <w:t>Where:</w:t>
      </w:r>
    </w:p>
    <w:p w14:paraId="5858383C" w14:textId="77777777" w:rsidR="002815D4" w:rsidRPr="002815D4" w:rsidRDefault="002815D4" w:rsidP="002815D4">
      <w:pPr>
        <w:spacing w:after="120"/>
        <w:ind w:left="1440"/>
        <w:jc w:val="both"/>
        <w:rPr>
          <w:rFonts w:ascii="Calibri" w:eastAsia="Calibri" w:hAnsi="Calibri" w:cs="Arial"/>
          <w:noProof/>
          <w:sz w:val="20"/>
          <w:szCs w:val="20"/>
        </w:rPr>
      </w:pPr>
      <w:r w:rsidRPr="002815D4">
        <w:rPr>
          <w:rFonts w:ascii="Calibri" w:eastAsia="Calibri" w:hAnsi="Calibri" w:cs="Arial"/>
          <w:noProof/>
          <w:sz w:val="20"/>
          <w:szCs w:val="20"/>
        </w:rPr>
        <w:tab/>
        <w:t xml:space="preserve">D </w:t>
      </w:r>
      <w:r w:rsidRPr="002815D4">
        <w:rPr>
          <w:rFonts w:ascii="Calibri" w:eastAsia="Calibri" w:hAnsi="Calibri" w:cs="Arial"/>
          <w:noProof/>
          <w:sz w:val="20"/>
          <w:szCs w:val="20"/>
        </w:rPr>
        <w:tab/>
      </w:r>
      <w:r w:rsidRPr="002815D4">
        <w:rPr>
          <w:rFonts w:ascii="Calibri" w:eastAsia="Calibri" w:hAnsi="Calibri" w:cs="Arial"/>
          <w:noProof/>
          <w:sz w:val="20"/>
          <w:szCs w:val="20"/>
        </w:rPr>
        <w:tab/>
        <w:t>= Bulb diameter (e.g.  for PAR20 D = 20)</w:t>
      </w:r>
    </w:p>
    <w:p w14:paraId="4B722D17" w14:textId="77777777" w:rsidR="002815D4" w:rsidRPr="002815D4" w:rsidRDefault="002815D4" w:rsidP="002815D4">
      <w:pPr>
        <w:spacing w:after="120"/>
        <w:ind w:left="1440"/>
        <w:jc w:val="both"/>
        <w:rPr>
          <w:rFonts w:ascii="Calibri" w:eastAsia="Calibri" w:hAnsi="Calibri" w:cs="Arial"/>
          <w:noProof/>
          <w:sz w:val="20"/>
          <w:szCs w:val="20"/>
        </w:rPr>
      </w:pPr>
      <w:r w:rsidRPr="002815D4">
        <w:rPr>
          <w:rFonts w:ascii="Calibri" w:eastAsia="Calibri" w:hAnsi="Calibri" w:cs="Arial"/>
          <w:noProof/>
          <w:sz w:val="20"/>
          <w:szCs w:val="20"/>
        </w:rPr>
        <w:tab/>
        <w:t>BA</w:t>
      </w:r>
      <w:r w:rsidRPr="002815D4">
        <w:rPr>
          <w:rFonts w:ascii="Calibri" w:eastAsia="Calibri" w:hAnsi="Calibri" w:cs="Arial"/>
          <w:noProof/>
          <w:sz w:val="20"/>
          <w:szCs w:val="20"/>
        </w:rPr>
        <w:tab/>
      </w:r>
      <w:r w:rsidRPr="002815D4">
        <w:rPr>
          <w:rFonts w:ascii="Calibri" w:eastAsia="Calibri" w:hAnsi="Calibri" w:cs="Arial"/>
          <w:noProof/>
          <w:sz w:val="20"/>
          <w:szCs w:val="20"/>
        </w:rPr>
        <w:tab/>
        <w:t>= Beam angle</w:t>
      </w:r>
    </w:p>
    <w:p w14:paraId="76389648" w14:textId="77777777" w:rsidR="002815D4" w:rsidRPr="002815D4" w:rsidRDefault="002815D4" w:rsidP="002815D4">
      <w:pPr>
        <w:spacing w:after="120"/>
        <w:ind w:left="1440"/>
        <w:jc w:val="both"/>
        <w:rPr>
          <w:rFonts w:ascii="Calibri" w:eastAsia="Calibri" w:hAnsi="Calibri" w:cs="Arial"/>
          <w:noProof/>
          <w:sz w:val="20"/>
          <w:szCs w:val="20"/>
        </w:rPr>
      </w:pPr>
      <w:r w:rsidRPr="002815D4">
        <w:rPr>
          <w:rFonts w:ascii="Calibri" w:eastAsia="Calibri" w:hAnsi="Calibri" w:cs="Arial"/>
          <w:noProof/>
          <w:sz w:val="20"/>
          <w:szCs w:val="20"/>
        </w:rPr>
        <w:tab/>
        <w:t>CBCP</w:t>
      </w:r>
      <w:r w:rsidRPr="002815D4">
        <w:rPr>
          <w:rFonts w:ascii="Calibri" w:eastAsia="Calibri" w:hAnsi="Calibri" w:cs="Arial"/>
          <w:noProof/>
          <w:sz w:val="20"/>
          <w:szCs w:val="20"/>
        </w:rPr>
        <w:tab/>
      </w:r>
      <w:r w:rsidRPr="002815D4">
        <w:rPr>
          <w:rFonts w:ascii="Calibri" w:eastAsia="Calibri" w:hAnsi="Calibri" w:cs="Arial"/>
          <w:noProof/>
          <w:sz w:val="20"/>
          <w:szCs w:val="20"/>
        </w:rPr>
        <w:tab/>
        <w:t>= Center beam candle power</w:t>
      </w:r>
    </w:p>
    <w:p w14:paraId="73EA3A92" w14:textId="77777777" w:rsidR="002815D4" w:rsidRPr="002815D4" w:rsidRDefault="002815D4" w:rsidP="002815D4">
      <w:pPr>
        <w:spacing w:after="120"/>
        <w:jc w:val="both"/>
        <w:rPr>
          <w:rFonts w:ascii="Calibri" w:eastAsia="Calibri" w:hAnsi="Calibri" w:cs="Arial"/>
          <w:noProof/>
          <w:sz w:val="20"/>
          <w:szCs w:val="20"/>
        </w:rPr>
      </w:pPr>
      <w:r w:rsidRPr="002815D4">
        <w:rPr>
          <w:rFonts w:ascii="Calibri" w:eastAsia="Calibri" w:hAnsi="Calibri" w:cs="Arial"/>
          <w:noProof/>
          <w:sz w:val="20"/>
          <w:szCs w:val="20"/>
        </w:rPr>
        <w:t>The result of the equation above should be rounded DOWN to the nearest wattage established by Energy Star:</w:t>
      </w:r>
    </w:p>
    <w:tbl>
      <w:tblPr>
        <w:tblW w:w="7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4490"/>
      </w:tblGrid>
      <w:tr w:rsidR="002815D4" w:rsidRPr="002815D4" w14:paraId="258C29ED" w14:textId="77777777" w:rsidTr="00935A18">
        <w:trPr>
          <w:trHeight w:val="20"/>
          <w:tblHeader/>
          <w:jc w:val="center"/>
        </w:trPr>
        <w:tc>
          <w:tcPr>
            <w:tcW w:w="2540" w:type="dxa"/>
            <w:shd w:val="clear" w:color="000000" w:fill="808080"/>
            <w:vAlign w:val="center"/>
            <w:hideMark/>
          </w:tcPr>
          <w:p w14:paraId="7BD5DAF6" w14:textId="77777777" w:rsidR="002815D4" w:rsidRPr="002815D4" w:rsidRDefault="002815D4" w:rsidP="002815D4">
            <w:pPr>
              <w:jc w:val="center"/>
              <w:rPr>
                <w:rFonts w:ascii="Calibri" w:eastAsia="Calibri" w:hAnsi="Calibri" w:cs="Calibri"/>
                <w:b/>
                <w:bCs/>
                <w:color w:val="FFFFFF"/>
                <w:sz w:val="20"/>
                <w:szCs w:val="20"/>
              </w:rPr>
            </w:pPr>
            <w:r w:rsidRPr="002815D4">
              <w:rPr>
                <w:rFonts w:ascii="Calibri" w:eastAsia="Calibri" w:hAnsi="Calibri" w:cs="Calibri"/>
                <w:b/>
                <w:bCs/>
                <w:color w:val="FFFFFF"/>
                <w:sz w:val="20"/>
                <w:szCs w:val="20"/>
              </w:rPr>
              <w:t>Diameter</w:t>
            </w:r>
          </w:p>
        </w:tc>
        <w:tc>
          <w:tcPr>
            <w:tcW w:w="4490" w:type="dxa"/>
            <w:shd w:val="clear" w:color="000000" w:fill="808080"/>
            <w:vAlign w:val="center"/>
            <w:hideMark/>
          </w:tcPr>
          <w:p w14:paraId="563E0D2C" w14:textId="77777777" w:rsidR="002815D4" w:rsidRPr="002815D4" w:rsidRDefault="002815D4" w:rsidP="002815D4">
            <w:pPr>
              <w:jc w:val="center"/>
              <w:rPr>
                <w:rFonts w:ascii="Calibri" w:eastAsia="Calibri" w:hAnsi="Calibri" w:cs="Calibri"/>
                <w:b/>
                <w:bCs/>
                <w:color w:val="FFFFFF"/>
                <w:sz w:val="20"/>
                <w:szCs w:val="20"/>
              </w:rPr>
            </w:pPr>
            <w:r w:rsidRPr="002815D4">
              <w:rPr>
                <w:rFonts w:ascii="Calibri" w:eastAsia="Calibri" w:hAnsi="Calibri" w:cs="Calibri"/>
                <w:b/>
                <w:bCs/>
                <w:color w:val="FFFFFF"/>
                <w:sz w:val="20"/>
                <w:szCs w:val="20"/>
              </w:rPr>
              <w:t>Permitted Wattages</w:t>
            </w:r>
          </w:p>
        </w:tc>
      </w:tr>
      <w:tr w:rsidR="002815D4" w:rsidRPr="002815D4" w14:paraId="1BB4274A" w14:textId="77777777" w:rsidTr="00935A18">
        <w:trPr>
          <w:trHeight w:val="20"/>
          <w:jc w:val="center"/>
        </w:trPr>
        <w:tc>
          <w:tcPr>
            <w:tcW w:w="2540" w:type="dxa"/>
            <w:vAlign w:val="center"/>
            <w:hideMark/>
          </w:tcPr>
          <w:p w14:paraId="0D3133E1"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Calibri"/>
                <w:color w:val="000000"/>
                <w:sz w:val="20"/>
                <w:szCs w:val="20"/>
              </w:rPr>
              <w:t>16</w:t>
            </w:r>
          </w:p>
        </w:tc>
        <w:tc>
          <w:tcPr>
            <w:tcW w:w="4490" w:type="dxa"/>
            <w:vAlign w:val="center"/>
            <w:hideMark/>
          </w:tcPr>
          <w:p w14:paraId="339FFCDB" w14:textId="77777777" w:rsidR="002815D4" w:rsidRPr="002815D4" w:rsidRDefault="002815D4" w:rsidP="002815D4">
            <w:pPr>
              <w:rPr>
                <w:rFonts w:ascii="Calibri" w:eastAsia="Calibri" w:hAnsi="Calibri" w:cs="Calibri"/>
                <w:color w:val="000000"/>
                <w:sz w:val="20"/>
                <w:szCs w:val="20"/>
              </w:rPr>
            </w:pPr>
            <w:r w:rsidRPr="002815D4">
              <w:rPr>
                <w:rFonts w:ascii="Calibri" w:eastAsia="Calibri" w:hAnsi="Calibri" w:cs="Calibri"/>
                <w:color w:val="000000"/>
                <w:sz w:val="20"/>
                <w:szCs w:val="20"/>
              </w:rPr>
              <w:t>20, 35, 40, 45, 50, 60, 75</w:t>
            </w:r>
          </w:p>
        </w:tc>
      </w:tr>
      <w:tr w:rsidR="002815D4" w:rsidRPr="002815D4" w14:paraId="57F4A4FF" w14:textId="77777777" w:rsidTr="00935A18">
        <w:trPr>
          <w:trHeight w:val="20"/>
          <w:jc w:val="center"/>
        </w:trPr>
        <w:tc>
          <w:tcPr>
            <w:tcW w:w="2540" w:type="dxa"/>
            <w:vAlign w:val="center"/>
            <w:hideMark/>
          </w:tcPr>
          <w:p w14:paraId="69541188"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Calibri"/>
                <w:color w:val="000000"/>
                <w:sz w:val="20"/>
                <w:szCs w:val="20"/>
              </w:rPr>
              <w:t>20</w:t>
            </w:r>
          </w:p>
        </w:tc>
        <w:tc>
          <w:tcPr>
            <w:tcW w:w="4490" w:type="dxa"/>
            <w:vAlign w:val="center"/>
            <w:hideMark/>
          </w:tcPr>
          <w:p w14:paraId="59316B77" w14:textId="77777777" w:rsidR="002815D4" w:rsidRPr="002815D4" w:rsidRDefault="002815D4" w:rsidP="002815D4">
            <w:pPr>
              <w:rPr>
                <w:rFonts w:ascii="Calibri" w:eastAsia="Calibri" w:hAnsi="Calibri" w:cs="Calibri"/>
                <w:color w:val="000000"/>
                <w:sz w:val="20"/>
                <w:szCs w:val="20"/>
              </w:rPr>
            </w:pPr>
            <w:r w:rsidRPr="002815D4">
              <w:rPr>
                <w:rFonts w:ascii="Calibri" w:eastAsia="Calibri" w:hAnsi="Calibri" w:cs="Calibri"/>
                <w:color w:val="000000"/>
                <w:sz w:val="20"/>
                <w:szCs w:val="20"/>
              </w:rPr>
              <w:t>50</w:t>
            </w:r>
          </w:p>
        </w:tc>
      </w:tr>
      <w:tr w:rsidR="002815D4" w:rsidRPr="002815D4" w14:paraId="7EFFEFFF" w14:textId="77777777" w:rsidTr="00935A18">
        <w:trPr>
          <w:trHeight w:val="20"/>
          <w:jc w:val="center"/>
        </w:trPr>
        <w:tc>
          <w:tcPr>
            <w:tcW w:w="2540" w:type="dxa"/>
            <w:vAlign w:val="center"/>
            <w:hideMark/>
          </w:tcPr>
          <w:p w14:paraId="5F6AB2A3"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Calibri"/>
                <w:color w:val="000000"/>
                <w:sz w:val="20"/>
                <w:szCs w:val="20"/>
              </w:rPr>
              <w:t>30S</w:t>
            </w:r>
          </w:p>
        </w:tc>
        <w:tc>
          <w:tcPr>
            <w:tcW w:w="4490" w:type="dxa"/>
            <w:vAlign w:val="center"/>
            <w:hideMark/>
          </w:tcPr>
          <w:p w14:paraId="1B53F58D" w14:textId="77777777" w:rsidR="002815D4" w:rsidRPr="002815D4" w:rsidRDefault="002815D4" w:rsidP="002815D4">
            <w:pPr>
              <w:rPr>
                <w:rFonts w:ascii="Calibri" w:eastAsia="Calibri" w:hAnsi="Calibri" w:cs="Calibri"/>
                <w:color w:val="000000"/>
                <w:sz w:val="20"/>
                <w:szCs w:val="20"/>
              </w:rPr>
            </w:pPr>
            <w:r w:rsidRPr="002815D4">
              <w:rPr>
                <w:rFonts w:ascii="Calibri" w:eastAsia="Calibri" w:hAnsi="Calibri" w:cs="Calibri"/>
                <w:color w:val="000000"/>
                <w:sz w:val="20"/>
                <w:szCs w:val="20"/>
              </w:rPr>
              <w:t>40, 45, 50, 60, 75</w:t>
            </w:r>
          </w:p>
        </w:tc>
      </w:tr>
      <w:tr w:rsidR="002815D4" w:rsidRPr="002815D4" w14:paraId="3C4E1723" w14:textId="77777777" w:rsidTr="00935A18">
        <w:trPr>
          <w:trHeight w:val="20"/>
          <w:jc w:val="center"/>
        </w:trPr>
        <w:tc>
          <w:tcPr>
            <w:tcW w:w="2540" w:type="dxa"/>
            <w:vAlign w:val="center"/>
            <w:hideMark/>
          </w:tcPr>
          <w:p w14:paraId="3BA6F84E"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Calibri"/>
                <w:color w:val="000000"/>
                <w:sz w:val="20"/>
                <w:szCs w:val="20"/>
              </w:rPr>
              <w:t>30L</w:t>
            </w:r>
          </w:p>
        </w:tc>
        <w:tc>
          <w:tcPr>
            <w:tcW w:w="4490" w:type="dxa"/>
            <w:vAlign w:val="center"/>
            <w:hideMark/>
          </w:tcPr>
          <w:p w14:paraId="0F90AD1E" w14:textId="77777777" w:rsidR="002815D4" w:rsidRPr="002815D4" w:rsidRDefault="002815D4" w:rsidP="002815D4">
            <w:pPr>
              <w:rPr>
                <w:rFonts w:ascii="Calibri" w:eastAsia="Calibri" w:hAnsi="Calibri" w:cs="Calibri"/>
                <w:color w:val="000000"/>
                <w:sz w:val="20"/>
                <w:szCs w:val="20"/>
              </w:rPr>
            </w:pPr>
            <w:r w:rsidRPr="002815D4">
              <w:rPr>
                <w:rFonts w:ascii="Calibri" w:eastAsia="Calibri" w:hAnsi="Calibri" w:cs="Calibri"/>
                <w:color w:val="000000"/>
                <w:sz w:val="20"/>
                <w:szCs w:val="20"/>
              </w:rPr>
              <w:t>50, 75</w:t>
            </w:r>
          </w:p>
        </w:tc>
      </w:tr>
      <w:tr w:rsidR="002815D4" w:rsidRPr="002815D4" w14:paraId="6283A44F" w14:textId="77777777" w:rsidTr="00935A18">
        <w:trPr>
          <w:trHeight w:val="20"/>
          <w:jc w:val="center"/>
        </w:trPr>
        <w:tc>
          <w:tcPr>
            <w:tcW w:w="2540" w:type="dxa"/>
            <w:vAlign w:val="center"/>
            <w:hideMark/>
          </w:tcPr>
          <w:p w14:paraId="1ADA7F3F"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Calibri"/>
                <w:color w:val="000000"/>
                <w:sz w:val="20"/>
                <w:szCs w:val="20"/>
              </w:rPr>
              <w:t>38</w:t>
            </w:r>
          </w:p>
        </w:tc>
        <w:tc>
          <w:tcPr>
            <w:tcW w:w="4490" w:type="dxa"/>
            <w:vAlign w:val="center"/>
            <w:hideMark/>
          </w:tcPr>
          <w:p w14:paraId="4B504C15" w14:textId="77777777" w:rsidR="002815D4" w:rsidRPr="002815D4" w:rsidRDefault="002815D4" w:rsidP="002815D4">
            <w:pPr>
              <w:rPr>
                <w:rFonts w:ascii="Calibri" w:eastAsia="Calibri" w:hAnsi="Calibri" w:cs="Calibri"/>
                <w:color w:val="000000"/>
                <w:sz w:val="20"/>
                <w:szCs w:val="20"/>
              </w:rPr>
            </w:pPr>
            <w:r w:rsidRPr="002815D4">
              <w:rPr>
                <w:rFonts w:ascii="Calibri" w:eastAsia="Calibri" w:hAnsi="Calibri" w:cs="Calibri"/>
                <w:color w:val="000000"/>
                <w:sz w:val="20"/>
                <w:szCs w:val="20"/>
              </w:rPr>
              <w:t>40, 45, 50, 55, 60, 65, 75, 85, 90, 100, 120, 150, 250</w:t>
            </w:r>
          </w:p>
        </w:tc>
      </w:tr>
    </w:tbl>
    <w:p w14:paraId="6F434D01" w14:textId="77777777" w:rsidR="002815D4" w:rsidRPr="002815D4" w:rsidRDefault="002815D4" w:rsidP="002815D4">
      <w:pPr>
        <w:spacing w:after="120"/>
        <w:jc w:val="both"/>
        <w:rPr>
          <w:rFonts w:ascii="Calibri" w:eastAsia="Calibri" w:hAnsi="Calibri" w:cs="Arial"/>
          <w:noProof/>
          <w:sz w:val="20"/>
          <w:szCs w:val="20"/>
        </w:rPr>
      </w:pPr>
    </w:p>
    <w:p w14:paraId="03EE0532" w14:textId="77777777" w:rsidR="002815D4" w:rsidRPr="002815D4" w:rsidRDefault="002815D4" w:rsidP="002815D4">
      <w:pPr>
        <w:spacing w:after="120"/>
        <w:ind w:firstLine="720"/>
        <w:jc w:val="both"/>
        <w:rPr>
          <w:rFonts w:ascii="Calibri" w:eastAsia="Calibri" w:hAnsi="Calibri" w:cs="Calibri"/>
          <w:noProof/>
          <w:sz w:val="20"/>
          <w:szCs w:val="20"/>
        </w:rPr>
      </w:pPr>
      <w:r w:rsidRPr="002815D4">
        <w:rPr>
          <w:rFonts w:ascii="Calibri" w:eastAsia="Calibri" w:hAnsi="Calibri" w:cs="Calibri"/>
          <w:noProof/>
          <w:sz w:val="20"/>
          <w:szCs w:val="20"/>
        </w:rPr>
        <w:t>Additional bulb types:</w:t>
      </w:r>
    </w:p>
    <w:tbl>
      <w:tblPr>
        <w:tblW w:w="7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0"/>
        <w:gridCol w:w="1030"/>
        <w:gridCol w:w="1064"/>
        <w:gridCol w:w="966"/>
        <w:gridCol w:w="1094"/>
        <w:gridCol w:w="1035"/>
        <w:gridCol w:w="1035"/>
      </w:tblGrid>
      <w:tr w:rsidR="002815D4" w:rsidRPr="002815D4" w14:paraId="2BCC8239" w14:textId="77777777" w:rsidTr="00935A18">
        <w:trPr>
          <w:trHeight w:val="989"/>
          <w:jc w:val="center"/>
        </w:trPr>
        <w:tc>
          <w:tcPr>
            <w:tcW w:w="1700" w:type="dxa"/>
            <w:shd w:val="clear" w:color="000000" w:fill="808080"/>
            <w:vAlign w:val="center"/>
            <w:hideMark/>
          </w:tcPr>
          <w:p w14:paraId="5D49FCF2" w14:textId="77777777" w:rsidR="002815D4" w:rsidRPr="002815D4" w:rsidRDefault="002815D4" w:rsidP="002815D4">
            <w:pPr>
              <w:jc w:val="center"/>
              <w:rPr>
                <w:rFonts w:ascii="Calibri" w:eastAsia="Calibri" w:hAnsi="Calibri" w:cs="Calibri"/>
                <w:b/>
                <w:bCs/>
                <w:color w:val="FFFFFF"/>
                <w:sz w:val="20"/>
                <w:szCs w:val="20"/>
              </w:rPr>
            </w:pPr>
            <w:r w:rsidRPr="002815D4">
              <w:rPr>
                <w:rFonts w:ascii="Calibri" w:eastAsia="Calibri" w:hAnsi="Calibri" w:cs="Calibri"/>
                <w:b/>
                <w:bCs/>
                <w:color w:val="FFFFFF"/>
                <w:sz w:val="20"/>
                <w:szCs w:val="20"/>
              </w:rPr>
              <w:t>Bulb Type</w:t>
            </w:r>
          </w:p>
        </w:tc>
        <w:tc>
          <w:tcPr>
            <w:tcW w:w="1030" w:type="dxa"/>
            <w:shd w:val="clear" w:color="000000" w:fill="808080"/>
            <w:vAlign w:val="center"/>
            <w:hideMark/>
          </w:tcPr>
          <w:p w14:paraId="7A79A913" w14:textId="77777777" w:rsidR="002815D4" w:rsidRPr="002815D4" w:rsidRDefault="002815D4" w:rsidP="002815D4">
            <w:pPr>
              <w:jc w:val="center"/>
              <w:rPr>
                <w:rFonts w:ascii="Calibri" w:eastAsia="Calibri" w:hAnsi="Calibri" w:cs="Calibri"/>
                <w:b/>
                <w:bCs/>
                <w:color w:val="FFFFFF"/>
                <w:sz w:val="20"/>
                <w:szCs w:val="20"/>
              </w:rPr>
            </w:pPr>
            <w:r w:rsidRPr="002815D4">
              <w:rPr>
                <w:rFonts w:ascii="Calibri" w:eastAsia="Calibri" w:hAnsi="Calibri" w:cs="Calibri"/>
                <w:b/>
                <w:bCs/>
                <w:color w:val="FFFFFF"/>
                <w:sz w:val="20"/>
                <w:szCs w:val="20"/>
              </w:rPr>
              <w:t>Minimum Lumens</w:t>
            </w:r>
          </w:p>
        </w:tc>
        <w:tc>
          <w:tcPr>
            <w:tcW w:w="0" w:type="auto"/>
            <w:shd w:val="clear" w:color="000000" w:fill="808080"/>
            <w:vAlign w:val="center"/>
            <w:hideMark/>
          </w:tcPr>
          <w:p w14:paraId="285843F3" w14:textId="77777777" w:rsidR="002815D4" w:rsidRPr="002815D4" w:rsidRDefault="002815D4" w:rsidP="002815D4">
            <w:pPr>
              <w:jc w:val="center"/>
              <w:rPr>
                <w:rFonts w:ascii="Calibri" w:eastAsia="Calibri" w:hAnsi="Calibri" w:cs="Calibri"/>
                <w:b/>
                <w:bCs/>
                <w:color w:val="FFFFFF"/>
                <w:sz w:val="20"/>
                <w:szCs w:val="20"/>
              </w:rPr>
            </w:pPr>
            <w:r w:rsidRPr="002815D4">
              <w:rPr>
                <w:rFonts w:ascii="Calibri" w:eastAsia="Calibri" w:hAnsi="Calibri" w:cs="Calibri"/>
                <w:b/>
                <w:bCs/>
                <w:color w:val="FFFFFF"/>
                <w:sz w:val="20"/>
                <w:szCs w:val="20"/>
              </w:rPr>
              <w:t>Maximum Lumens</w:t>
            </w:r>
          </w:p>
        </w:tc>
        <w:tc>
          <w:tcPr>
            <w:tcW w:w="0" w:type="auto"/>
            <w:shd w:val="clear" w:color="000000" w:fill="808080"/>
            <w:vAlign w:val="center"/>
            <w:hideMark/>
          </w:tcPr>
          <w:p w14:paraId="5D339977" w14:textId="77777777" w:rsidR="002815D4" w:rsidRPr="002815D4" w:rsidRDefault="002815D4" w:rsidP="002815D4">
            <w:pPr>
              <w:jc w:val="center"/>
              <w:rPr>
                <w:rFonts w:ascii="Calibri" w:eastAsia="Calibri" w:hAnsi="Calibri" w:cs="Calibri"/>
                <w:b/>
                <w:bCs/>
                <w:color w:val="FFFFFF"/>
                <w:sz w:val="20"/>
                <w:szCs w:val="20"/>
              </w:rPr>
            </w:pPr>
            <w:r w:rsidRPr="002815D4">
              <w:rPr>
                <w:rFonts w:ascii="Calibri" w:eastAsia="Calibri" w:hAnsi="Calibri" w:cs="Calibri"/>
                <w:b/>
                <w:bCs/>
                <w:color w:val="FFFFFF"/>
                <w:sz w:val="20"/>
                <w:szCs w:val="20"/>
              </w:rPr>
              <w:t>LED Wattage (Watts</w:t>
            </w:r>
            <w:r w:rsidRPr="002815D4">
              <w:rPr>
                <w:rFonts w:ascii="Calibri" w:eastAsia="Calibri" w:hAnsi="Calibri" w:cs="Calibri"/>
                <w:b/>
                <w:bCs/>
                <w:color w:val="FFFFFF"/>
                <w:sz w:val="20"/>
                <w:szCs w:val="20"/>
                <w:vertAlign w:val="subscript"/>
              </w:rPr>
              <w:t>EE</w:t>
            </w:r>
            <w:r w:rsidRPr="002815D4">
              <w:rPr>
                <w:rFonts w:ascii="Calibri" w:eastAsia="Calibri" w:hAnsi="Calibri" w:cs="Calibri"/>
                <w:b/>
                <w:bCs/>
                <w:color w:val="FFFFFF"/>
                <w:sz w:val="20"/>
                <w:szCs w:val="20"/>
              </w:rPr>
              <w:t>)</w:t>
            </w:r>
          </w:p>
        </w:tc>
        <w:tc>
          <w:tcPr>
            <w:tcW w:w="0" w:type="auto"/>
            <w:shd w:val="clear" w:color="000000" w:fill="808080"/>
            <w:vAlign w:val="center"/>
            <w:hideMark/>
          </w:tcPr>
          <w:p w14:paraId="1F93626B" w14:textId="77777777" w:rsidR="002815D4" w:rsidRPr="002815D4" w:rsidRDefault="002815D4" w:rsidP="002815D4">
            <w:pPr>
              <w:jc w:val="center"/>
              <w:rPr>
                <w:rFonts w:ascii="Calibri" w:eastAsia="Calibri" w:hAnsi="Calibri" w:cs="Calibri"/>
                <w:b/>
                <w:bCs/>
                <w:color w:val="FFFFFF"/>
                <w:sz w:val="20"/>
                <w:szCs w:val="20"/>
              </w:rPr>
            </w:pPr>
            <w:r w:rsidRPr="002815D4">
              <w:rPr>
                <w:rFonts w:ascii="Calibri" w:eastAsia="Calibri" w:hAnsi="Calibri" w:cs="Calibri"/>
                <w:b/>
                <w:bCs/>
                <w:color w:val="FFFFFF"/>
                <w:sz w:val="20"/>
                <w:szCs w:val="20"/>
              </w:rPr>
              <w:t>Baseline (Watts</w:t>
            </w:r>
            <w:r w:rsidRPr="002815D4">
              <w:rPr>
                <w:rFonts w:ascii="Calibri" w:eastAsia="Calibri" w:hAnsi="Calibri" w:cs="Calibri"/>
                <w:b/>
                <w:bCs/>
                <w:color w:val="FFFFFF"/>
                <w:sz w:val="20"/>
                <w:szCs w:val="20"/>
                <w:vertAlign w:val="subscript"/>
              </w:rPr>
              <w:t>Base</w:t>
            </w:r>
            <w:r w:rsidRPr="002815D4">
              <w:rPr>
                <w:rFonts w:ascii="Calibri" w:eastAsia="Calibri" w:hAnsi="Calibri" w:cs="Calibri"/>
                <w:b/>
                <w:bCs/>
                <w:color w:val="FFFFFF"/>
                <w:sz w:val="20"/>
                <w:szCs w:val="20"/>
              </w:rPr>
              <w:t>)</w:t>
            </w:r>
          </w:p>
        </w:tc>
        <w:tc>
          <w:tcPr>
            <w:tcW w:w="1035" w:type="dxa"/>
            <w:shd w:val="clear" w:color="000000" w:fill="808080"/>
            <w:vAlign w:val="center"/>
            <w:hideMark/>
          </w:tcPr>
          <w:p w14:paraId="743363D5" w14:textId="77777777" w:rsidR="002815D4" w:rsidRPr="002815D4" w:rsidRDefault="002815D4" w:rsidP="002815D4">
            <w:pPr>
              <w:jc w:val="center"/>
              <w:rPr>
                <w:rFonts w:ascii="Calibri" w:eastAsia="Calibri" w:hAnsi="Calibri" w:cs="Calibri"/>
                <w:b/>
                <w:bCs/>
                <w:color w:val="FFFFFF"/>
                <w:sz w:val="20"/>
                <w:szCs w:val="20"/>
              </w:rPr>
            </w:pPr>
            <w:r w:rsidRPr="002815D4">
              <w:rPr>
                <w:rFonts w:ascii="Calibri" w:eastAsia="Calibri" w:hAnsi="Calibri" w:cs="Calibri"/>
                <w:b/>
                <w:bCs/>
                <w:color w:val="FFFFFF"/>
                <w:sz w:val="20"/>
                <w:szCs w:val="20"/>
              </w:rPr>
              <w:t xml:space="preserve">Delta Watts </w:t>
            </w:r>
            <w:r w:rsidRPr="002815D4">
              <w:rPr>
                <w:rFonts w:ascii="Calibri" w:eastAsia="Calibri" w:hAnsi="Calibri" w:cs="Calibri"/>
                <w:b/>
                <w:bCs/>
                <w:color w:val="FFFFFF"/>
                <w:sz w:val="20"/>
                <w:szCs w:val="20"/>
              </w:rPr>
              <w:br/>
              <w:t>(WattsEE)</w:t>
            </w:r>
          </w:p>
        </w:tc>
        <w:tc>
          <w:tcPr>
            <w:tcW w:w="1035" w:type="dxa"/>
            <w:shd w:val="clear" w:color="000000" w:fill="808080"/>
            <w:vAlign w:val="center"/>
          </w:tcPr>
          <w:p w14:paraId="7289CEB9" w14:textId="77777777" w:rsidR="002815D4" w:rsidRPr="002815D4" w:rsidRDefault="002815D4" w:rsidP="002815D4">
            <w:pPr>
              <w:jc w:val="center"/>
              <w:rPr>
                <w:rFonts w:ascii="Calibri" w:eastAsia="Calibri" w:hAnsi="Calibri" w:cs="Calibri"/>
                <w:b/>
                <w:bCs/>
                <w:color w:val="FFFFFF"/>
                <w:sz w:val="20"/>
                <w:szCs w:val="20"/>
              </w:rPr>
            </w:pPr>
            <w:r w:rsidRPr="002815D4">
              <w:rPr>
                <w:rFonts w:ascii="Calibri" w:eastAsia="Calibri" w:hAnsi="Calibri" w:cs="Calibri"/>
                <w:b/>
                <w:bCs/>
                <w:color w:val="FFFFFF"/>
                <w:sz w:val="20"/>
                <w:szCs w:val="20"/>
              </w:rPr>
              <w:t>Impacted by EISA Backstop</w:t>
            </w:r>
          </w:p>
        </w:tc>
      </w:tr>
      <w:tr w:rsidR="002815D4" w:rsidRPr="002815D4" w14:paraId="3705157C" w14:textId="77777777" w:rsidTr="00935A18">
        <w:trPr>
          <w:trHeight w:val="20"/>
          <w:jc w:val="center"/>
        </w:trPr>
        <w:tc>
          <w:tcPr>
            <w:tcW w:w="1700" w:type="dxa"/>
            <w:vMerge w:val="restart"/>
            <w:vAlign w:val="center"/>
          </w:tcPr>
          <w:p w14:paraId="5FAC97A7"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Calibri"/>
                <w:color w:val="000000"/>
                <w:sz w:val="20"/>
                <w:szCs w:val="20"/>
              </w:rPr>
              <w:t>Dimmable Twist, Globe (less than 5" in diameter and &gt; 749 lumens), candle (shapes B, BA, CA &gt; 749 lumens), Candelabra Base Lamps (&gt;1049 lumens), Intermediate Base Lamps (&gt;749 lumens)</w:t>
            </w:r>
          </w:p>
        </w:tc>
        <w:tc>
          <w:tcPr>
            <w:tcW w:w="1030" w:type="dxa"/>
            <w:vAlign w:val="center"/>
          </w:tcPr>
          <w:p w14:paraId="7B42BE6D"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120</w:t>
            </w:r>
          </w:p>
        </w:tc>
        <w:tc>
          <w:tcPr>
            <w:tcW w:w="0" w:type="auto"/>
            <w:vAlign w:val="center"/>
          </w:tcPr>
          <w:p w14:paraId="4A9056DB"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309</w:t>
            </w:r>
          </w:p>
        </w:tc>
        <w:tc>
          <w:tcPr>
            <w:tcW w:w="0" w:type="auto"/>
            <w:vAlign w:val="center"/>
          </w:tcPr>
          <w:p w14:paraId="1E60E1C2"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4.0</w:t>
            </w:r>
          </w:p>
        </w:tc>
        <w:tc>
          <w:tcPr>
            <w:tcW w:w="0" w:type="auto"/>
            <w:vAlign w:val="center"/>
          </w:tcPr>
          <w:p w14:paraId="05C18CEC"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25</w:t>
            </w:r>
          </w:p>
        </w:tc>
        <w:tc>
          <w:tcPr>
            <w:tcW w:w="1035" w:type="dxa"/>
            <w:vAlign w:val="center"/>
          </w:tcPr>
          <w:p w14:paraId="6D47EB1C"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21.0</w:t>
            </w:r>
          </w:p>
        </w:tc>
        <w:tc>
          <w:tcPr>
            <w:tcW w:w="1035" w:type="dxa"/>
            <w:vAlign w:val="center"/>
          </w:tcPr>
          <w:p w14:paraId="7B1385E8"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No</w:t>
            </w:r>
          </w:p>
        </w:tc>
      </w:tr>
      <w:tr w:rsidR="002815D4" w:rsidRPr="002815D4" w14:paraId="19899469" w14:textId="77777777" w:rsidTr="00935A18">
        <w:trPr>
          <w:trHeight w:val="20"/>
          <w:jc w:val="center"/>
        </w:trPr>
        <w:tc>
          <w:tcPr>
            <w:tcW w:w="1700" w:type="dxa"/>
            <w:vMerge/>
            <w:vAlign w:val="center"/>
          </w:tcPr>
          <w:p w14:paraId="591607CB" w14:textId="77777777" w:rsidR="002815D4" w:rsidRPr="002815D4" w:rsidRDefault="002815D4" w:rsidP="002815D4">
            <w:pPr>
              <w:jc w:val="center"/>
              <w:rPr>
                <w:rFonts w:ascii="Calibri" w:eastAsia="Calibri" w:hAnsi="Calibri" w:cs="Calibri"/>
                <w:b/>
                <w:bCs/>
                <w:color w:val="000000"/>
                <w:sz w:val="20"/>
                <w:szCs w:val="20"/>
              </w:rPr>
            </w:pPr>
          </w:p>
        </w:tc>
        <w:tc>
          <w:tcPr>
            <w:tcW w:w="1030" w:type="dxa"/>
            <w:vAlign w:val="center"/>
          </w:tcPr>
          <w:p w14:paraId="3D35D71B"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310</w:t>
            </w:r>
          </w:p>
        </w:tc>
        <w:tc>
          <w:tcPr>
            <w:tcW w:w="0" w:type="auto"/>
            <w:vAlign w:val="center"/>
          </w:tcPr>
          <w:p w14:paraId="5589F0E9"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399</w:t>
            </w:r>
          </w:p>
        </w:tc>
        <w:tc>
          <w:tcPr>
            <w:tcW w:w="0" w:type="auto"/>
            <w:vAlign w:val="center"/>
          </w:tcPr>
          <w:p w14:paraId="27EC0D23"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4.0</w:t>
            </w:r>
          </w:p>
        </w:tc>
        <w:tc>
          <w:tcPr>
            <w:tcW w:w="0" w:type="auto"/>
            <w:vAlign w:val="center"/>
          </w:tcPr>
          <w:p w14:paraId="25C0C02C"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25</w:t>
            </w:r>
          </w:p>
        </w:tc>
        <w:tc>
          <w:tcPr>
            <w:tcW w:w="1035" w:type="dxa"/>
            <w:vAlign w:val="center"/>
          </w:tcPr>
          <w:p w14:paraId="6E992442"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21.0</w:t>
            </w:r>
          </w:p>
        </w:tc>
        <w:tc>
          <w:tcPr>
            <w:tcW w:w="1035" w:type="dxa"/>
          </w:tcPr>
          <w:p w14:paraId="0410F4BC"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6F1AFB10" w14:textId="77777777" w:rsidTr="00935A18">
        <w:trPr>
          <w:trHeight w:val="20"/>
          <w:jc w:val="center"/>
        </w:trPr>
        <w:tc>
          <w:tcPr>
            <w:tcW w:w="1700" w:type="dxa"/>
            <w:vMerge/>
            <w:vAlign w:val="center"/>
            <w:hideMark/>
          </w:tcPr>
          <w:p w14:paraId="4E0F37E4" w14:textId="77777777" w:rsidR="002815D4" w:rsidRPr="002815D4" w:rsidRDefault="002815D4" w:rsidP="002815D4">
            <w:pPr>
              <w:jc w:val="center"/>
              <w:rPr>
                <w:rFonts w:ascii="Calibri" w:eastAsia="Calibri" w:hAnsi="Calibri" w:cs="Calibri"/>
                <w:b/>
                <w:bCs/>
                <w:color w:val="000000"/>
                <w:sz w:val="20"/>
                <w:szCs w:val="20"/>
              </w:rPr>
            </w:pPr>
          </w:p>
        </w:tc>
        <w:tc>
          <w:tcPr>
            <w:tcW w:w="1030" w:type="dxa"/>
            <w:vAlign w:val="center"/>
            <w:hideMark/>
          </w:tcPr>
          <w:p w14:paraId="38E00510"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400</w:t>
            </w:r>
          </w:p>
        </w:tc>
        <w:tc>
          <w:tcPr>
            <w:tcW w:w="0" w:type="auto"/>
            <w:vAlign w:val="center"/>
            <w:hideMark/>
          </w:tcPr>
          <w:p w14:paraId="052F0B7C"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749</w:t>
            </w:r>
          </w:p>
        </w:tc>
        <w:tc>
          <w:tcPr>
            <w:tcW w:w="0" w:type="auto"/>
            <w:vAlign w:val="center"/>
            <w:hideMark/>
          </w:tcPr>
          <w:p w14:paraId="78D85143"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6.6</w:t>
            </w:r>
          </w:p>
        </w:tc>
        <w:tc>
          <w:tcPr>
            <w:tcW w:w="0" w:type="auto"/>
            <w:vAlign w:val="center"/>
            <w:hideMark/>
          </w:tcPr>
          <w:p w14:paraId="1DB2608B"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29</w:t>
            </w:r>
          </w:p>
        </w:tc>
        <w:tc>
          <w:tcPr>
            <w:tcW w:w="1035" w:type="dxa"/>
            <w:vAlign w:val="center"/>
            <w:hideMark/>
          </w:tcPr>
          <w:p w14:paraId="5F2E68DF"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22.4</w:t>
            </w:r>
          </w:p>
        </w:tc>
        <w:tc>
          <w:tcPr>
            <w:tcW w:w="1035" w:type="dxa"/>
            <w:vAlign w:val="center"/>
          </w:tcPr>
          <w:p w14:paraId="127A0B94"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4D03B9F2" w14:textId="77777777" w:rsidTr="00935A18">
        <w:trPr>
          <w:trHeight w:val="20"/>
          <w:jc w:val="center"/>
        </w:trPr>
        <w:tc>
          <w:tcPr>
            <w:tcW w:w="1700" w:type="dxa"/>
            <w:vMerge/>
            <w:vAlign w:val="center"/>
            <w:hideMark/>
          </w:tcPr>
          <w:p w14:paraId="791E8DE5" w14:textId="77777777" w:rsidR="002815D4" w:rsidRPr="002815D4" w:rsidRDefault="002815D4" w:rsidP="002815D4">
            <w:pPr>
              <w:rPr>
                <w:rFonts w:ascii="Calibri" w:eastAsia="Calibri" w:hAnsi="Calibri" w:cs="Calibri"/>
                <w:b/>
                <w:bCs/>
                <w:color w:val="000000"/>
                <w:sz w:val="20"/>
                <w:szCs w:val="20"/>
              </w:rPr>
            </w:pPr>
          </w:p>
        </w:tc>
        <w:tc>
          <w:tcPr>
            <w:tcW w:w="1030" w:type="dxa"/>
            <w:vAlign w:val="center"/>
            <w:hideMark/>
          </w:tcPr>
          <w:p w14:paraId="2436786A"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750</w:t>
            </w:r>
          </w:p>
        </w:tc>
        <w:tc>
          <w:tcPr>
            <w:tcW w:w="0" w:type="auto"/>
            <w:vAlign w:val="center"/>
            <w:hideMark/>
          </w:tcPr>
          <w:p w14:paraId="58B6357A"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899</w:t>
            </w:r>
          </w:p>
        </w:tc>
        <w:tc>
          <w:tcPr>
            <w:tcW w:w="0" w:type="auto"/>
            <w:vAlign w:val="center"/>
            <w:hideMark/>
          </w:tcPr>
          <w:p w14:paraId="612E6149"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9.6</w:t>
            </w:r>
          </w:p>
        </w:tc>
        <w:tc>
          <w:tcPr>
            <w:tcW w:w="0" w:type="auto"/>
            <w:vAlign w:val="center"/>
            <w:hideMark/>
          </w:tcPr>
          <w:p w14:paraId="4B5710CD"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43</w:t>
            </w:r>
          </w:p>
        </w:tc>
        <w:tc>
          <w:tcPr>
            <w:tcW w:w="1035" w:type="dxa"/>
            <w:vAlign w:val="center"/>
            <w:hideMark/>
          </w:tcPr>
          <w:p w14:paraId="662C55CC"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33.4</w:t>
            </w:r>
          </w:p>
        </w:tc>
        <w:tc>
          <w:tcPr>
            <w:tcW w:w="1035" w:type="dxa"/>
            <w:vAlign w:val="center"/>
          </w:tcPr>
          <w:p w14:paraId="4DE45E55"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69C8DDC5" w14:textId="77777777" w:rsidTr="00935A18">
        <w:trPr>
          <w:trHeight w:val="20"/>
          <w:jc w:val="center"/>
        </w:trPr>
        <w:tc>
          <w:tcPr>
            <w:tcW w:w="1700" w:type="dxa"/>
            <w:vMerge/>
            <w:vAlign w:val="center"/>
            <w:hideMark/>
          </w:tcPr>
          <w:p w14:paraId="2301554E" w14:textId="77777777" w:rsidR="002815D4" w:rsidRPr="002815D4" w:rsidRDefault="002815D4" w:rsidP="002815D4">
            <w:pPr>
              <w:rPr>
                <w:rFonts w:ascii="Calibri" w:eastAsia="Calibri" w:hAnsi="Calibri" w:cs="Calibri"/>
                <w:b/>
                <w:bCs/>
                <w:color w:val="000000"/>
                <w:sz w:val="20"/>
                <w:szCs w:val="20"/>
              </w:rPr>
            </w:pPr>
          </w:p>
        </w:tc>
        <w:tc>
          <w:tcPr>
            <w:tcW w:w="1030" w:type="dxa"/>
            <w:vAlign w:val="center"/>
            <w:hideMark/>
          </w:tcPr>
          <w:p w14:paraId="05324364"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900</w:t>
            </w:r>
          </w:p>
        </w:tc>
        <w:tc>
          <w:tcPr>
            <w:tcW w:w="0" w:type="auto"/>
            <w:vAlign w:val="center"/>
            <w:hideMark/>
          </w:tcPr>
          <w:p w14:paraId="745013B0"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1,399</w:t>
            </w:r>
          </w:p>
        </w:tc>
        <w:tc>
          <w:tcPr>
            <w:tcW w:w="0" w:type="auto"/>
            <w:vAlign w:val="center"/>
            <w:hideMark/>
          </w:tcPr>
          <w:p w14:paraId="3F104844"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13.1</w:t>
            </w:r>
          </w:p>
        </w:tc>
        <w:tc>
          <w:tcPr>
            <w:tcW w:w="0" w:type="auto"/>
            <w:vAlign w:val="center"/>
            <w:hideMark/>
          </w:tcPr>
          <w:p w14:paraId="6EB11FF5"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color w:val="000000"/>
                <w:sz w:val="20"/>
                <w:szCs w:val="20"/>
              </w:rPr>
              <w:t>53</w:t>
            </w:r>
          </w:p>
        </w:tc>
        <w:tc>
          <w:tcPr>
            <w:tcW w:w="1035" w:type="dxa"/>
            <w:vAlign w:val="center"/>
            <w:hideMark/>
          </w:tcPr>
          <w:p w14:paraId="1C23F03E"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color w:val="000000"/>
                <w:sz w:val="20"/>
                <w:szCs w:val="20"/>
              </w:rPr>
              <w:t>39.9</w:t>
            </w:r>
          </w:p>
        </w:tc>
        <w:tc>
          <w:tcPr>
            <w:tcW w:w="1035" w:type="dxa"/>
            <w:vAlign w:val="center"/>
          </w:tcPr>
          <w:p w14:paraId="29C44647"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Yes</w:t>
            </w:r>
          </w:p>
        </w:tc>
      </w:tr>
      <w:tr w:rsidR="002815D4" w:rsidRPr="002815D4" w14:paraId="3F905784" w14:textId="77777777" w:rsidTr="00935A18">
        <w:trPr>
          <w:trHeight w:val="20"/>
          <w:jc w:val="center"/>
        </w:trPr>
        <w:tc>
          <w:tcPr>
            <w:tcW w:w="1700" w:type="dxa"/>
            <w:vMerge/>
            <w:vAlign w:val="center"/>
            <w:hideMark/>
          </w:tcPr>
          <w:p w14:paraId="59F0AF73" w14:textId="77777777" w:rsidR="002815D4" w:rsidRPr="002815D4" w:rsidRDefault="002815D4" w:rsidP="002815D4">
            <w:pPr>
              <w:rPr>
                <w:rFonts w:ascii="Calibri" w:eastAsia="Calibri" w:hAnsi="Calibri" w:cs="Calibri"/>
                <w:b/>
                <w:bCs/>
                <w:color w:val="000000"/>
                <w:sz w:val="20"/>
                <w:szCs w:val="20"/>
              </w:rPr>
            </w:pPr>
          </w:p>
        </w:tc>
        <w:tc>
          <w:tcPr>
            <w:tcW w:w="1030" w:type="dxa"/>
            <w:vAlign w:val="center"/>
            <w:hideMark/>
          </w:tcPr>
          <w:p w14:paraId="0187A34D"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sz w:val="20"/>
                <w:szCs w:val="20"/>
              </w:rPr>
              <w:t>1,400</w:t>
            </w:r>
          </w:p>
        </w:tc>
        <w:tc>
          <w:tcPr>
            <w:tcW w:w="0" w:type="auto"/>
            <w:vAlign w:val="center"/>
            <w:hideMark/>
          </w:tcPr>
          <w:p w14:paraId="4B907041"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sz w:val="20"/>
                <w:szCs w:val="20"/>
              </w:rPr>
              <w:t>1,999</w:t>
            </w:r>
          </w:p>
        </w:tc>
        <w:tc>
          <w:tcPr>
            <w:tcW w:w="0" w:type="auto"/>
            <w:vAlign w:val="center"/>
            <w:hideMark/>
          </w:tcPr>
          <w:p w14:paraId="7F2F38B0"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sz w:val="20"/>
                <w:szCs w:val="20"/>
              </w:rPr>
              <w:t>16.0</w:t>
            </w:r>
          </w:p>
        </w:tc>
        <w:tc>
          <w:tcPr>
            <w:tcW w:w="0" w:type="auto"/>
            <w:vAlign w:val="center"/>
            <w:hideMark/>
          </w:tcPr>
          <w:p w14:paraId="519EC3C1"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Arial"/>
                <w:sz w:val="20"/>
                <w:szCs w:val="20"/>
              </w:rPr>
              <w:t>72</w:t>
            </w:r>
          </w:p>
        </w:tc>
        <w:tc>
          <w:tcPr>
            <w:tcW w:w="1035" w:type="dxa"/>
            <w:vAlign w:val="center"/>
            <w:hideMark/>
          </w:tcPr>
          <w:p w14:paraId="52C89ADA"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sz w:val="20"/>
                <w:szCs w:val="20"/>
              </w:rPr>
              <w:t>56.0</w:t>
            </w:r>
          </w:p>
        </w:tc>
        <w:tc>
          <w:tcPr>
            <w:tcW w:w="1035" w:type="dxa"/>
            <w:vAlign w:val="center"/>
          </w:tcPr>
          <w:p w14:paraId="74E991EE"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color w:val="000000"/>
                <w:sz w:val="20"/>
                <w:szCs w:val="20"/>
              </w:rPr>
              <w:t>Yes</w:t>
            </w:r>
          </w:p>
        </w:tc>
      </w:tr>
    </w:tbl>
    <w:p w14:paraId="1F7A26C4" w14:textId="77777777" w:rsidR="002815D4" w:rsidRPr="002815D4" w:rsidRDefault="002815D4" w:rsidP="002815D4">
      <w:pPr>
        <w:spacing w:after="120"/>
        <w:jc w:val="both"/>
        <w:rPr>
          <w:rFonts w:ascii="Calibri" w:eastAsia="Calibri" w:hAnsi="Calibri" w:cs="Arial"/>
          <w:noProof/>
          <w:sz w:val="20"/>
          <w:szCs w:val="20"/>
        </w:rPr>
      </w:pPr>
    </w:p>
    <w:p w14:paraId="2C2DEF71" w14:textId="77777777" w:rsidR="002815D4" w:rsidRPr="002815D4" w:rsidRDefault="002815D4" w:rsidP="002815D4">
      <w:pPr>
        <w:spacing w:after="120"/>
        <w:ind w:left="2160" w:hanging="1440"/>
        <w:jc w:val="both"/>
        <w:rPr>
          <w:rFonts w:ascii="Calibri" w:eastAsia="Calibri" w:hAnsi="Calibri" w:cs="Arial"/>
          <w:noProof/>
          <w:sz w:val="20"/>
          <w:szCs w:val="20"/>
        </w:rPr>
      </w:pPr>
      <w:r w:rsidRPr="002815D4">
        <w:rPr>
          <w:rFonts w:ascii="Calibri" w:eastAsia="Calibri" w:hAnsi="Calibri" w:cs="Arial"/>
          <w:noProof/>
          <w:sz w:val="20"/>
          <w:szCs w:val="20"/>
        </w:rPr>
        <w:t>Hours</w:t>
      </w:r>
      <w:r w:rsidRPr="002815D4">
        <w:rPr>
          <w:rFonts w:ascii="Calibri" w:eastAsia="Calibri" w:hAnsi="Calibri" w:cs="Arial"/>
          <w:noProof/>
          <w:sz w:val="20"/>
          <w:szCs w:val="20"/>
        </w:rPr>
        <w:tab/>
        <w:t xml:space="preserve">= Average hours of use per year are provided in the Reference Table in Section 4.5 </w:t>
      </w:r>
      <w:r w:rsidRPr="002815D4">
        <w:rPr>
          <w:rFonts w:ascii="Calibri" w:eastAsia="Calibri" w:hAnsi="Calibri" w:cs="Calibri"/>
          <w:noProof/>
          <w:sz w:val="20"/>
          <w:szCs w:val="20"/>
        </w:rPr>
        <w:t>for each building type</w:t>
      </w:r>
      <w:r w:rsidRPr="002815D4">
        <w:rPr>
          <w:rFonts w:ascii="Calibri" w:eastAsia="Calibri" w:hAnsi="Calibri" w:cs="Arial"/>
          <w:noProof/>
          <w:sz w:val="20"/>
          <w:szCs w:val="20"/>
        </w:rPr>
        <w:t xml:space="preserve">.  For Mogul LEDs, use fixture annual operating hours. If unknown, use the Miscellaneous value. </w:t>
      </w:r>
    </w:p>
    <w:p w14:paraId="79478B67" w14:textId="77777777" w:rsidR="002815D4" w:rsidRPr="002815D4" w:rsidRDefault="002815D4" w:rsidP="002815D4">
      <w:pPr>
        <w:spacing w:after="120"/>
        <w:ind w:left="2160" w:hanging="1440"/>
        <w:rPr>
          <w:rFonts w:ascii="Calibri" w:eastAsia="Calibri" w:hAnsi="Calibri" w:cs="Arial"/>
          <w:sz w:val="20"/>
          <w:szCs w:val="20"/>
        </w:rPr>
      </w:pPr>
      <w:r w:rsidRPr="002815D4">
        <w:rPr>
          <w:rFonts w:ascii="Calibri" w:eastAsia="Calibri" w:hAnsi="Calibri" w:cs="Arial"/>
          <w:noProof/>
          <w:sz w:val="20"/>
          <w:szCs w:val="20"/>
        </w:rPr>
        <w:t>WHFe</w:t>
      </w:r>
      <w:r w:rsidRPr="002815D4">
        <w:rPr>
          <w:rFonts w:ascii="Calibri" w:eastAsia="Calibri" w:hAnsi="Calibri" w:cs="Arial"/>
          <w:noProof/>
          <w:sz w:val="20"/>
          <w:szCs w:val="20"/>
        </w:rPr>
        <w:tab/>
      </w:r>
      <w:r w:rsidRPr="002815D4">
        <w:rPr>
          <w:rFonts w:ascii="Calibri" w:eastAsia="Calibri" w:hAnsi="Calibri" w:cs="Arial"/>
          <w:sz w:val="20"/>
          <w:szCs w:val="20"/>
        </w:rPr>
        <w:t>= Waste heat factor for energy to account for cooling energy savings from efficient lighting are provided below for each building type</w:t>
      </w:r>
      <w:r w:rsidRPr="002815D4">
        <w:rPr>
          <w:rFonts w:ascii="Calibri" w:eastAsia="Calibri" w:hAnsi="Calibri" w:cs="Arial"/>
          <w:noProof/>
          <w:sz w:val="20"/>
          <w:szCs w:val="20"/>
        </w:rPr>
        <w:t xml:space="preserve"> in the Referecne Table in Section 4.5</w:t>
      </w:r>
      <w:r w:rsidRPr="002815D4">
        <w:rPr>
          <w:rFonts w:ascii="Calibri" w:eastAsia="Calibri" w:hAnsi="Calibri" w:cs="Arial"/>
          <w:sz w:val="20"/>
          <w:szCs w:val="20"/>
        </w:rPr>
        <w:t xml:space="preserve">.  If unknown, use the Miscellaneous value. </w:t>
      </w:r>
    </w:p>
    <w:p w14:paraId="48BBE7F4" w14:textId="77777777" w:rsidR="002815D4" w:rsidRPr="002815D4" w:rsidRDefault="002815D4" w:rsidP="002815D4">
      <w:pPr>
        <w:spacing w:after="120"/>
        <w:ind w:firstLine="720"/>
        <w:jc w:val="both"/>
        <w:rPr>
          <w:rFonts w:ascii="Calibri" w:eastAsia="Calibri" w:hAnsi="Calibri" w:cs="Arial"/>
          <w:sz w:val="20"/>
          <w:szCs w:val="20"/>
        </w:rPr>
      </w:pPr>
      <w:r w:rsidRPr="002815D4">
        <w:rPr>
          <w:rFonts w:ascii="Calibri" w:eastAsia="Calibri" w:hAnsi="Calibri" w:cs="Arial"/>
          <w:sz w:val="20"/>
          <w:szCs w:val="20"/>
        </w:rPr>
        <w:t>ISR</w:t>
      </w:r>
      <w:r w:rsidRPr="002815D4">
        <w:rPr>
          <w:rFonts w:ascii="Calibri" w:eastAsia="Calibri" w:hAnsi="Calibri" w:cs="Arial"/>
          <w:sz w:val="20"/>
          <w:szCs w:val="20"/>
        </w:rPr>
        <w:tab/>
      </w:r>
      <w:r w:rsidRPr="002815D4">
        <w:rPr>
          <w:rFonts w:ascii="Calibri" w:eastAsia="Calibri" w:hAnsi="Calibri" w:cs="Arial"/>
          <w:sz w:val="20"/>
          <w:szCs w:val="20"/>
        </w:rPr>
        <w:tab/>
        <w:t xml:space="preserve">= In Service Rate -the percentage of units rebated that actually get installed. </w:t>
      </w:r>
    </w:p>
    <w:p w14:paraId="6BBE4717" w14:textId="77777777" w:rsidR="002815D4" w:rsidRPr="002815D4" w:rsidRDefault="002815D4" w:rsidP="002815D4">
      <w:pPr>
        <w:spacing w:after="120"/>
        <w:ind w:left="2160"/>
        <w:jc w:val="both"/>
        <w:rPr>
          <w:rFonts w:ascii="Calibri" w:eastAsia="Calibri" w:hAnsi="Calibri" w:cs="Calibri"/>
          <w:noProof/>
          <w:sz w:val="20"/>
          <w:szCs w:val="20"/>
        </w:rPr>
      </w:pPr>
      <w:r w:rsidRPr="002815D4">
        <w:rPr>
          <w:rFonts w:ascii="Calibri" w:eastAsia="Calibri" w:hAnsi="Calibri" w:cs="Calibri"/>
          <w:noProof/>
          <w:sz w:val="20"/>
          <w:szCs w:val="20"/>
        </w:rPr>
        <w:t>=100% if application form completed with sign off that equipment is not placed into storage.</w:t>
      </w:r>
      <w:r w:rsidRPr="002815D4">
        <w:rPr>
          <w:rFonts w:ascii="Arial" w:eastAsia="Yu Gothic Light" w:hAnsi="Arial" w:cs="Times New Roman"/>
          <w:sz w:val="20"/>
          <w:szCs w:val="20"/>
          <w:vertAlign w:val="superscript"/>
        </w:rPr>
        <w:footnoteReference w:id="8"/>
      </w:r>
      <w:r w:rsidRPr="002815D4">
        <w:rPr>
          <w:rFonts w:ascii="Calibri" w:eastAsia="Calibri" w:hAnsi="Calibri" w:cs="Calibri"/>
          <w:noProof/>
          <w:sz w:val="20"/>
          <w:szCs w:val="20"/>
        </w:rPr>
        <w:t xml:space="preserve"> If sign off form not completed, assume the following ISR assumptions, if program survey  data is not available:</w:t>
      </w:r>
    </w:p>
    <w:tbl>
      <w:tblPr>
        <w:tblStyle w:val="TableGrid4"/>
        <w:tblW w:w="0" w:type="auto"/>
        <w:jc w:val="center"/>
        <w:tblLook w:val="04A0" w:firstRow="1" w:lastRow="0" w:firstColumn="1" w:lastColumn="0" w:noHBand="0" w:noVBand="1"/>
      </w:tblPr>
      <w:tblGrid>
        <w:gridCol w:w="1479"/>
        <w:gridCol w:w="1479"/>
      </w:tblGrid>
      <w:tr w:rsidR="002815D4" w:rsidRPr="002815D4" w14:paraId="62D797E3" w14:textId="77777777" w:rsidTr="002815D4">
        <w:trPr>
          <w:trHeight w:val="22"/>
          <w:tblHeader/>
          <w:jc w:val="center"/>
        </w:trPr>
        <w:tc>
          <w:tcPr>
            <w:tcW w:w="1479" w:type="dxa"/>
            <w:tcBorders>
              <w:top w:val="single" w:sz="4" w:space="0" w:color="auto"/>
              <w:left w:val="single" w:sz="4" w:space="0" w:color="auto"/>
              <w:bottom w:val="single" w:sz="4" w:space="0" w:color="auto"/>
              <w:right w:val="single" w:sz="4" w:space="0" w:color="auto"/>
            </w:tcBorders>
            <w:shd w:val="clear" w:color="auto" w:fill="7F7F7F"/>
            <w:vAlign w:val="center"/>
          </w:tcPr>
          <w:p w14:paraId="7DBA3A2F" w14:textId="77777777" w:rsidR="002815D4" w:rsidRPr="002815D4" w:rsidRDefault="002815D4" w:rsidP="002815D4">
            <w:pPr>
              <w:jc w:val="center"/>
              <w:rPr>
                <w:rFonts w:ascii="Calibri" w:hAnsi="Calibri" w:cs="Calibri"/>
                <w:b/>
                <w:color w:val="FFFFFF"/>
              </w:rPr>
            </w:pPr>
            <w:r w:rsidRPr="002815D4">
              <w:rPr>
                <w:rFonts w:ascii="Calibri" w:hAnsi="Calibri" w:cs="Calibri"/>
                <w:b/>
                <w:color w:val="FFFFFF"/>
              </w:rPr>
              <w:t>Type</w:t>
            </w:r>
          </w:p>
        </w:tc>
        <w:tc>
          <w:tcPr>
            <w:tcW w:w="1479" w:type="dxa"/>
            <w:tcBorders>
              <w:top w:val="single" w:sz="4" w:space="0" w:color="auto"/>
              <w:left w:val="single" w:sz="4" w:space="0" w:color="auto"/>
              <w:bottom w:val="single" w:sz="4" w:space="0" w:color="auto"/>
              <w:right w:val="single" w:sz="4" w:space="0" w:color="auto"/>
            </w:tcBorders>
            <w:shd w:val="clear" w:color="auto" w:fill="7F7F7F"/>
            <w:vAlign w:val="center"/>
            <w:hideMark/>
          </w:tcPr>
          <w:p w14:paraId="6C570E97" w14:textId="77777777" w:rsidR="002815D4" w:rsidRPr="002815D4" w:rsidRDefault="002815D4" w:rsidP="002815D4">
            <w:pPr>
              <w:jc w:val="center"/>
              <w:rPr>
                <w:rFonts w:ascii="Calibri" w:hAnsi="Calibri" w:cs="Calibri"/>
                <w:b/>
                <w:color w:val="FFFFFF"/>
                <w:szCs w:val="22"/>
              </w:rPr>
            </w:pPr>
            <w:r w:rsidRPr="002815D4">
              <w:rPr>
                <w:rFonts w:ascii="Calibri" w:hAnsi="Calibri" w:cs="Calibri"/>
                <w:b/>
                <w:color w:val="FFFFFF"/>
              </w:rPr>
              <w:t>Lifetime In Service Rate (ISR)</w:t>
            </w:r>
            <w:r w:rsidRPr="002815D4">
              <w:rPr>
                <w:rFonts w:ascii="Arial" w:hAnsi="Arial"/>
                <w:b/>
                <w:color w:val="FFFFFF"/>
                <w:vertAlign w:val="superscript"/>
              </w:rPr>
              <w:footnoteReference w:id="9"/>
            </w:r>
          </w:p>
        </w:tc>
      </w:tr>
      <w:tr w:rsidR="002815D4" w:rsidRPr="002815D4" w14:paraId="73089C6E" w14:textId="77777777" w:rsidTr="00935A18">
        <w:trPr>
          <w:trHeight w:val="350"/>
          <w:jc w:val="center"/>
        </w:trPr>
        <w:tc>
          <w:tcPr>
            <w:tcW w:w="1479" w:type="dxa"/>
            <w:tcBorders>
              <w:top w:val="single" w:sz="4" w:space="0" w:color="auto"/>
              <w:left w:val="single" w:sz="4" w:space="0" w:color="auto"/>
              <w:bottom w:val="single" w:sz="4" w:space="0" w:color="auto"/>
              <w:right w:val="single" w:sz="4" w:space="0" w:color="auto"/>
            </w:tcBorders>
            <w:vAlign w:val="center"/>
          </w:tcPr>
          <w:p w14:paraId="03EAC200" w14:textId="77777777" w:rsidR="002815D4" w:rsidRPr="002815D4" w:rsidRDefault="002815D4" w:rsidP="002815D4">
            <w:pPr>
              <w:jc w:val="center"/>
              <w:rPr>
                <w:rFonts w:ascii="Calibri" w:hAnsi="Calibri" w:cs="Calibri"/>
              </w:rPr>
            </w:pPr>
            <w:r w:rsidRPr="002815D4">
              <w:rPr>
                <w:rFonts w:ascii="Calibri" w:hAnsi="Calibri" w:cs="Calibri"/>
              </w:rPr>
              <w:t>LED Bulbs</w:t>
            </w:r>
          </w:p>
        </w:tc>
        <w:tc>
          <w:tcPr>
            <w:tcW w:w="1479" w:type="dxa"/>
            <w:tcBorders>
              <w:top w:val="single" w:sz="4" w:space="0" w:color="auto"/>
              <w:left w:val="single" w:sz="4" w:space="0" w:color="auto"/>
              <w:bottom w:val="single" w:sz="4" w:space="0" w:color="auto"/>
              <w:right w:val="single" w:sz="4" w:space="0" w:color="auto"/>
            </w:tcBorders>
            <w:vAlign w:val="center"/>
            <w:hideMark/>
          </w:tcPr>
          <w:p w14:paraId="60212801" w14:textId="77777777" w:rsidR="002815D4" w:rsidRPr="002815D4" w:rsidRDefault="002815D4" w:rsidP="002815D4">
            <w:pPr>
              <w:jc w:val="center"/>
              <w:rPr>
                <w:rFonts w:ascii="Calibri" w:hAnsi="Calibri" w:cs="Calibri"/>
                <w:szCs w:val="22"/>
              </w:rPr>
            </w:pPr>
            <w:r w:rsidRPr="002815D4">
              <w:rPr>
                <w:rFonts w:ascii="Calibri" w:hAnsi="Calibri" w:cs="Calibri"/>
              </w:rPr>
              <w:t>97.6%</w:t>
            </w:r>
            <w:r w:rsidRPr="002815D4">
              <w:rPr>
                <w:rFonts w:ascii="Calibri" w:hAnsi="Calibri" w:cs="Calibri"/>
                <w:vertAlign w:val="superscript"/>
              </w:rPr>
              <w:footnoteReference w:id="10"/>
            </w:r>
          </w:p>
        </w:tc>
      </w:tr>
      <w:tr w:rsidR="002815D4" w:rsidRPr="002815D4" w14:paraId="6D191B5C" w14:textId="77777777" w:rsidTr="00935A18">
        <w:trPr>
          <w:trHeight w:val="350"/>
          <w:jc w:val="center"/>
        </w:trPr>
        <w:tc>
          <w:tcPr>
            <w:tcW w:w="1479" w:type="dxa"/>
            <w:tcBorders>
              <w:top w:val="single" w:sz="4" w:space="0" w:color="auto"/>
              <w:left w:val="single" w:sz="4" w:space="0" w:color="auto"/>
              <w:bottom w:val="single" w:sz="4" w:space="0" w:color="auto"/>
              <w:right w:val="single" w:sz="4" w:space="0" w:color="auto"/>
            </w:tcBorders>
            <w:vAlign w:val="center"/>
          </w:tcPr>
          <w:p w14:paraId="2C6621A5" w14:textId="77777777" w:rsidR="002815D4" w:rsidRPr="002815D4" w:rsidRDefault="002815D4" w:rsidP="002815D4">
            <w:pPr>
              <w:jc w:val="center"/>
              <w:rPr>
                <w:rFonts w:ascii="Calibri" w:hAnsi="Calibri" w:cs="Calibri"/>
              </w:rPr>
            </w:pPr>
            <w:r w:rsidRPr="002815D4">
              <w:rPr>
                <w:rFonts w:ascii="Calibri" w:hAnsi="Calibri" w:cs="Calibri"/>
              </w:rPr>
              <w:t>Mogul LEDs</w:t>
            </w:r>
          </w:p>
        </w:tc>
        <w:tc>
          <w:tcPr>
            <w:tcW w:w="1479" w:type="dxa"/>
            <w:tcBorders>
              <w:top w:val="single" w:sz="4" w:space="0" w:color="auto"/>
              <w:left w:val="single" w:sz="4" w:space="0" w:color="auto"/>
              <w:bottom w:val="single" w:sz="4" w:space="0" w:color="auto"/>
              <w:right w:val="single" w:sz="4" w:space="0" w:color="auto"/>
            </w:tcBorders>
            <w:vAlign w:val="center"/>
          </w:tcPr>
          <w:p w14:paraId="6525902E" w14:textId="77777777" w:rsidR="002815D4" w:rsidRPr="002815D4" w:rsidRDefault="002815D4" w:rsidP="002815D4">
            <w:pPr>
              <w:jc w:val="center"/>
              <w:rPr>
                <w:rFonts w:ascii="Calibri" w:hAnsi="Calibri" w:cs="Calibri"/>
              </w:rPr>
            </w:pPr>
            <w:r w:rsidRPr="002815D4">
              <w:rPr>
                <w:rFonts w:ascii="Calibri" w:hAnsi="Calibri" w:cs="Calibri"/>
              </w:rPr>
              <w:t>97.9%</w:t>
            </w:r>
            <w:r w:rsidRPr="002815D4">
              <w:rPr>
                <w:rFonts w:ascii="Arial" w:hAnsi="Arial"/>
                <w:vertAlign w:val="superscript"/>
              </w:rPr>
              <w:footnoteReference w:id="11"/>
            </w:r>
          </w:p>
        </w:tc>
      </w:tr>
      <w:tr w:rsidR="002815D4" w:rsidRPr="002815D4" w14:paraId="593C1EF9" w14:textId="77777777" w:rsidTr="00935A18">
        <w:trPr>
          <w:trHeight w:val="818"/>
          <w:jc w:val="center"/>
        </w:trPr>
        <w:tc>
          <w:tcPr>
            <w:tcW w:w="1479" w:type="dxa"/>
            <w:tcBorders>
              <w:top w:val="single" w:sz="4" w:space="0" w:color="auto"/>
              <w:left w:val="single" w:sz="4" w:space="0" w:color="auto"/>
              <w:bottom w:val="single" w:sz="4" w:space="0" w:color="auto"/>
              <w:right w:val="single" w:sz="4" w:space="0" w:color="auto"/>
            </w:tcBorders>
            <w:vAlign w:val="center"/>
          </w:tcPr>
          <w:p w14:paraId="773B92C7" w14:textId="77777777" w:rsidR="002815D4" w:rsidRPr="002815D4" w:rsidRDefault="002815D4" w:rsidP="002815D4">
            <w:pPr>
              <w:jc w:val="center"/>
              <w:rPr>
                <w:rFonts w:ascii="Calibri" w:hAnsi="Calibri" w:cs="Calibri"/>
              </w:rPr>
            </w:pPr>
            <w:r w:rsidRPr="002815D4">
              <w:rPr>
                <w:rFonts w:ascii="Calibri" w:hAnsi="Calibri" w:cs="Calibri"/>
              </w:rPr>
              <w:t>LED Fixtures (Energy Star Fixtures)</w:t>
            </w:r>
          </w:p>
        </w:tc>
        <w:tc>
          <w:tcPr>
            <w:tcW w:w="1479" w:type="dxa"/>
            <w:tcBorders>
              <w:top w:val="single" w:sz="4" w:space="0" w:color="auto"/>
              <w:left w:val="single" w:sz="4" w:space="0" w:color="auto"/>
              <w:bottom w:val="single" w:sz="4" w:space="0" w:color="auto"/>
              <w:right w:val="single" w:sz="4" w:space="0" w:color="auto"/>
            </w:tcBorders>
            <w:vAlign w:val="center"/>
          </w:tcPr>
          <w:p w14:paraId="437ACDF6" w14:textId="77777777" w:rsidR="002815D4" w:rsidRPr="002815D4" w:rsidRDefault="002815D4" w:rsidP="002815D4">
            <w:pPr>
              <w:jc w:val="center"/>
              <w:rPr>
                <w:rFonts w:ascii="Calibri" w:hAnsi="Calibri" w:cs="Calibri"/>
              </w:rPr>
            </w:pPr>
            <w:r w:rsidRPr="002815D4">
              <w:rPr>
                <w:rFonts w:ascii="Calibri" w:hAnsi="Calibri" w:cs="Calibri"/>
              </w:rPr>
              <w:t>97.9%</w:t>
            </w:r>
            <w:r w:rsidRPr="002815D4">
              <w:rPr>
                <w:rFonts w:ascii="Calibri" w:hAnsi="Calibri" w:cs="Calibri"/>
                <w:vertAlign w:val="superscript"/>
              </w:rPr>
              <w:footnoteReference w:id="12"/>
            </w:r>
          </w:p>
        </w:tc>
      </w:tr>
      <w:tr w:rsidR="002815D4" w:rsidRPr="002815D4" w14:paraId="5B228613" w14:textId="77777777" w:rsidTr="00935A18">
        <w:trPr>
          <w:trHeight w:val="359"/>
          <w:jc w:val="center"/>
        </w:trPr>
        <w:tc>
          <w:tcPr>
            <w:tcW w:w="1479" w:type="dxa"/>
            <w:tcBorders>
              <w:top w:val="single" w:sz="4" w:space="0" w:color="auto"/>
              <w:left w:val="single" w:sz="4" w:space="0" w:color="auto"/>
              <w:bottom w:val="single" w:sz="4" w:space="0" w:color="auto"/>
              <w:right w:val="single" w:sz="4" w:space="0" w:color="auto"/>
            </w:tcBorders>
            <w:vAlign w:val="center"/>
          </w:tcPr>
          <w:p w14:paraId="727D10AB" w14:textId="77777777" w:rsidR="002815D4" w:rsidRPr="002815D4" w:rsidRDefault="002815D4" w:rsidP="002815D4">
            <w:pPr>
              <w:jc w:val="center"/>
              <w:rPr>
                <w:rFonts w:ascii="Calibri" w:hAnsi="Calibri" w:cs="Calibri"/>
              </w:rPr>
            </w:pPr>
            <w:r w:rsidRPr="002815D4">
              <w:rPr>
                <w:rFonts w:ascii="Calibri" w:hAnsi="Calibri"/>
              </w:rPr>
              <w:t>Efficiency Kits</w:t>
            </w:r>
          </w:p>
        </w:tc>
        <w:tc>
          <w:tcPr>
            <w:tcW w:w="1479" w:type="dxa"/>
            <w:tcBorders>
              <w:top w:val="single" w:sz="4" w:space="0" w:color="auto"/>
              <w:left w:val="single" w:sz="4" w:space="0" w:color="auto"/>
              <w:bottom w:val="single" w:sz="4" w:space="0" w:color="auto"/>
              <w:right w:val="single" w:sz="4" w:space="0" w:color="auto"/>
            </w:tcBorders>
            <w:vAlign w:val="center"/>
          </w:tcPr>
          <w:p w14:paraId="42F564A2" w14:textId="77777777" w:rsidR="002815D4" w:rsidRPr="002815D4" w:rsidRDefault="002815D4" w:rsidP="002815D4">
            <w:pPr>
              <w:jc w:val="center"/>
              <w:rPr>
                <w:rFonts w:ascii="Calibri" w:hAnsi="Calibri" w:cs="Calibri"/>
              </w:rPr>
            </w:pPr>
            <w:r w:rsidRPr="002815D4">
              <w:rPr>
                <w:rFonts w:ascii="Calibri" w:hAnsi="Calibri" w:cs="Calibri"/>
              </w:rPr>
              <w:t>92.4%</w:t>
            </w:r>
            <w:r w:rsidRPr="002815D4">
              <w:rPr>
                <w:rFonts w:ascii="Calibri" w:hAnsi="Calibri" w:cs="Calibri"/>
                <w:vertAlign w:val="superscript"/>
              </w:rPr>
              <w:footnoteReference w:id="13"/>
            </w:r>
          </w:p>
        </w:tc>
      </w:tr>
    </w:tbl>
    <w:p w14:paraId="567E5DF8" w14:textId="77777777" w:rsidR="002815D4" w:rsidRPr="002815D4" w:rsidRDefault="002815D4" w:rsidP="002815D4">
      <w:pPr>
        <w:spacing w:after="120"/>
        <w:jc w:val="both"/>
        <w:rPr>
          <w:rFonts w:ascii="Calibri" w:eastAsia="Calibri" w:hAnsi="Calibri" w:cs="Calibri"/>
          <w:b/>
          <w:sz w:val="20"/>
          <w:szCs w:val="20"/>
        </w:rPr>
      </w:pPr>
    </w:p>
    <w:tbl>
      <w:tblPr>
        <w:tblStyle w:val="TableGrid4"/>
        <w:tblW w:w="0" w:type="auto"/>
        <w:jc w:val="center"/>
        <w:tblLook w:val="04A0" w:firstRow="1" w:lastRow="0" w:firstColumn="1" w:lastColumn="0" w:noHBand="0" w:noVBand="1"/>
      </w:tblPr>
      <w:tblGrid>
        <w:gridCol w:w="1479"/>
        <w:gridCol w:w="1479"/>
        <w:gridCol w:w="1279"/>
        <w:gridCol w:w="1279"/>
        <w:gridCol w:w="1679"/>
      </w:tblGrid>
      <w:tr w:rsidR="002815D4" w:rsidRPr="002815D4" w14:paraId="2F8BFD4A" w14:textId="77777777" w:rsidTr="002815D4">
        <w:trPr>
          <w:trHeight w:val="22"/>
          <w:tblHeader/>
          <w:jc w:val="center"/>
        </w:trPr>
        <w:tc>
          <w:tcPr>
            <w:tcW w:w="1479" w:type="dxa"/>
            <w:tcBorders>
              <w:top w:val="single" w:sz="4" w:space="0" w:color="auto"/>
              <w:left w:val="single" w:sz="4" w:space="0" w:color="auto"/>
              <w:bottom w:val="single" w:sz="4" w:space="0" w:color="auto"/>
              <w:right w:val="single" w:sz="4" w:space="0" w:color="auto"/>
            </w:tcBorders>
            <w:shd w:val="clear" w:color="auto" w:fill="7F7F7F"/>
            <w:vAlign w:val="center"/>
          </w:tcPr>
          <w:p w14:paraId="48E7CF7B" w14:textId="77777777" w:rsidR="002815D4" w:rsidRPr="002815D4" w:rsidRDefault="002815D4" w:rsidP="002815D4">
            <w:pPr>
              <w:jc w:val="center"/>
              <w:rPr>
                <w:rFonts w:ascii="Calibri" w:hAnsi="Calibri" w:cs="Calibri"/>
                <w:b/>
                <w:color w:val="FFFFFF"/>
              </w:rPr>
            </w:pPr>
            <w:r w:rsidRPr="002815D4">
              <w:rPr>
                <w:rFonts w:ascii="Calibri" w:hAnsi="Calibri" w:cs="Calibri"/>
                <w:b/>
                <w:color w:val="FFFFFF"/>
              </w:rPr>
              <w:t>Type</w:t>
            </w:r>
          </w:p>
        </w:tc>
        <w:tc>
          <w:tcPr>
            <w:tcW w:w="1479" w:type="dxa"/>
            <w:tcBorders>
              <w:top w:val="single" w:sz="4" w:space="0" w:color="auto"/>
              <w:left w:val="single" w:sz="4" w:space="0" w:color="auto"/>
              <w:bottom w:val="single" w:sz="4" w:space="0" w:color="auto"/>
              <w:right w:val="single" w:sz="4" w:space="0" w:color="auto"/>
            </w:tcBorders>
            <w:shd w:val="clear" w:color="auto" w:fill="7F7F7F"/>
            <w:vAlign w:val="center"/>
            <w:hideMark/>
          </w:tcPr>
          <w:p w14:paraId="000F7A1A" w14:textId="77777777" w:rsidR="002815D4" w:rsidRPr="002815D4" w:rsidRDefault="002815D4" w:rsidP="002815D4">
            <w:pPr>
              <w:jc w:val="center"/>
              <w:rPr>
                <w:rFonts w:ascii="Calibri" w:hAnsi="Calibri" w:cs="Calibri"/>
                <w:b/>
                <w:color w:val="FFFFFF"/>
                <w:szCs w:val="22"/>
              </w:rPr>
            </w:pPr>
            <w:r w:rsidRPr="002815D4">
              <w:rPr>
                <w:rFonts w:ascii="Calibri" w:hAnsi="Calibri" w:cs="Calibri"/>
                <w:b/>
                <w:color w:val="FFFFFF"/>
              </w:rPr>
              <w:t>Weighted Average 1st year In Service Rate (ISR)</w:t>
            </w:r>
          </w:p>
        </w:tc>
        <w:tc>
          <w:tcPr>
            <w:tcW w:w="1279" w:type="dxa"/>
            <w:tcBorders>
              <w:top w:val="single" w:sz="4" w:space="0" w:color="auto"/>
              <w:left w:val="single" w:sz="4" w:space="0" w:color="auto"/>
              <w:bottom w:val="single" w:sz="4" w:space="0" w:color="auto"/>
              <w:right w:val="single" w:sz="4" w:space="0" w:color="auto"/>
            </w:tcBorders>
            <w:shd w:val="clear" w:color="auto" w:fill="7F7F7F"/>
            <w:vAlign w:val="center"/>
            <w:hideMark/>
          </w:tcPr>
          <w:p w14:paraId="6CCBF7CE" w14:textId="77777777" w:rsidR="002815D4" w:rsidRPr="002815D4" w:rsidRDefault="002815D4" w:rsidP="002815D4">
            <w:pPr>
              <w:jc w:val="center"/>
              <w:rPr>
                <w:rFonts w:ascii="Calibri" w:hAnsi="Calibri" w:cs="Calibri"/>
                <w:b/>
                <w:color w:val="FFFFFF"/>
                <w:szCs w:val="22"/>
              </w:rPr>
            </w:pPr>
            <w:r w:rsidRPr="002815D4">
              <w:rPr>
                <w:rFonts w:ascii="Calibri" w:hAnsi="Calibri" w:cs="Calibri"/>
                <w:b/>
                <w:color w:val="FFFFFF"/>
              </w:rPr>
              <w:t>2nd year Installations</w:t>
            </w:r>
          </w:p>
        </w:tc>
        <w:tc>
          <w:tcPr>
            <w:tcW w:w="1279" w:type="dxa"/>
            <w:tcBorders>
              <w:top w:val="single" w:sz="4" w:space="0" w:color="auto"/>
              <w:left w:val="single" w:sz="4" w:space="0" w:color="auto"/>
              <w:bottom w:val="single" w:sz="4" w:space="0" w:color="auto"/>
              <w:right w:val="single" w:sz="4" w:space="0" w:color="auto"/>
            </w:tcBorders>
            <w:shd w:val="clear" w:color="auto" w:fill="7F7F7F"/>
            <w:vAlign w:val="center"/>
            <w:hideMark/>
          </w:tcPr>
          <w:p w14:paraId="67EE9B29" w14:textId="77777777" w:rsidR="002815D4" w:rsidRPr="002815D4" w:rsidRDefault="002815D4" w:rsidP="002815D4">
            <w:pPr>
              <w:jc w:val="center"/>
              <w:rPr>
                <w:rFonts w:ascii="Calibri" w:hAnsi="Calibri" w:cs="Calibri"/>
                <w:b/>
                <w:color w:val="FFFFFF"/>
                <w:szCs w:val="22"/>
              </w:rPr>
            </w:pPr>
            <w:r w:rsidRPr="002815D4">
              <w:rPr>
                <w:rFonts w:ascii="Calibri" w:hAnsi="Calibri" w:cs="Calibri"/>
                <w:b/>
                <w:color w:val="FFFFFF"/>
              </w:rPr>
              <w:t>3rd year Installations</w:t>
            </w:r>
          </w:p>
        </w:tc>
        <w:tc>
          <w:tcPr>
            <w:tcW w:w="1679" w:type="dxa"/>
            <w:tcBorders>
              <w:top w:val="single" w:sz="4" w:space="0" w:color="auto"/>
              <w:left w:val="single" w:sz="4" w:space="0" w:color="auto"/>
              <w:bottom w:val="single" w:sz="4" w:space="0" w:color="auto"/>
              <w:right w:val="single" w:sz="4" w:space="0" w:color="auto"/>
            </w:tcBorders>
            <w:shd w:val="clear" w:color="auto" w:fill="7F7F7F"/>
            <w:vAlign w:val="center"/>
            <w:hideMark/>
          </w:tcPr>
          <w:p w14:paraId="47C36F27" w14:textId="77777777" w:rsidR="002815D4" w:rsidRPr="002815D4" w:rsidRDefault="002815D4" w:rsidP="002815D4">
            <w:pPr>
              <w:jc w:val="center"/>
              <w:rPr>
                <w:rFonts w:ascii="Calibri" w:hAnsi="Calibri" w:cs="Calibri"/>
                <w:b/>
                <w:color w:val="FFFFFF"/>
                <w:szCs w:val="22"/>
              </w:rPr>
            </w:pPr>
            <w:r w:rsidRPr="002815D4">
              <w:rPr>
                <w:rFonts w:ascii="Calibri" w:hAnsi="Calibri" w:cs="Calibri"/>
                <w:b/>
                <w:color w:val="FFFFFF"/>
              </w:rPr>
              <w:t>Final Lifetime In Service Rate</w:t>
            </w:r>
          </w:p>
        </w:tc>
      </w:tr>
      <w:tr w:rsidR="002815D4" w:rsidRPr="002815D4" w14:paraId="2F883F6C" w14:textId="77777777" w:rsidTr="00935A18">
        <w:trPr>
          <w:trHeight w:val="350"/>
          <w:jc w:val="center"/>
        </w:trPr>
        <w:tc>
          <w:tcPr>
            <w:tcW w:w="1479" w:type="dxa"/>
            <w:tcBorders>
              <w:top w:val="single" w:sz="4" w:space="0" w:color="auto"/>
              <w:left w:val="single" w:sz="4" w:space="0" w:color="auto"/>
              <w:bottom w:val="single" w:sz="4" w:space="0" w:color="auto"/>
              <w:right w:val="single" w:sz="4" w:space="0" w:color="auto"/>
            </w:tcBorders>
            <w:vAlign w:val="center"/>
          </w:tcPr>
          <w:p w14:paraId="2880DCB9" w14:textId="77777777" w:rsidR="002815D4" w:rsidRPr="002815D4" w:rsidRDefault="002815D4" w:rsidP="002815D4">
            <w:pPr>
              <w:jc w:val="center"/>
              <w:rPr>
                <w:rFonts w:ascii="Calibri" w:hAnsi="Calibri" w:cs="Calibri"/>
              </w:rPr>
            </w:pPr>
            <w:r w:rsidRPr="002815D4">
              <w:rPr>
                <w:rFonts w:ascii="Calibri" w:hAnsi="Calibri" w:cs="Calibri"/>
              </w:rPr>
              <w:t>TLEDs</w:t>
            </w:r>
          </w:p>
        </w:tc>
        <w:tc>
          <w:tcPr>
            <w:tcW w:w="1479" w:type="dxa"/>
            <w:tcBorders>
              <w:top w:val="single" w:sz="4" w:space="0" w:color="auto"/>
              <w:left w:val="single" w:sz="4" w:space="0" w:color="auto"/>
              <w:bottom w:val="single" w:sz="4" w:space="0" w:color="auto"/>
              <w:right w:val="single" w:sz="4" w:space="0" w:color="auto"/>
            </w:tcBorders>
            <w:vAlign w:val="center"/>
          </w:tcPr>
          <w:p w14:paraId="72A05AB4" w14:textId="77777777" w:rsidR="002815D4" w:rsidRPr="002815D4" w:rsidRDefault="002815D4" w:rsidP="002815D4">
            <w:pPr>
              <w:jc w:val="center"/>
              <w:rPr>
                <w:rFonts w:ascii="Calibri" w:hAnsi="Calibri" w:cs="Calibri"/>
              </w:rPr>
            </w:pPr>
            <w:r w:rsidRPr="002815D4">
              <w:rPr>
                <w:rFonts w:ascii="Calibri" w:hAnsi="Calibri" w:cs="Calibri"/>
              </w:rPr>
              <w:t>83.1%</w:t>
            </w:r>
            <w:r w:rsidRPr="002815D4">
              <w:rPr>
                <w:rFonts w:ascii="Calibri" w:hAnsi="Calibri" w:cs="Calibri"/>
                <w:vertAlign w:val="superscript"/>
              </w:rPr>
              <w:footnoteReference w:id="14"/>
            </w:r>
          </w:p>
        </w:tc>
        <w:tc>
          <w:tcPr>
            <w:tcW w:w="1279" w:type="dxa"/>
            <w:tcBorders>
              <w:top w:val="single" w:sz="4" w:space="0" w:color="auto"/>
              <w:left w:val="single" w:sz="4" w:space="0" w:color="auto"/>
              <w:bottom w:val="single" w:sz="4" w:space="0" w:color="auto"/>
              <w:right w:val="single" w:sz="4" w:space="0" w:color="auto"/>
            </w:tcBorders>
            <w:vAlign w:val="center"/>
          </w:tcPr>
          <w:p w14:paraId="0CC49FC2" w14:textId="77777777" w:rsidR="002815D4" w:rsidRPr="002815D4" w:rsidRDefault="002815D4" w:rsidP="002815D4">
            <w:pPr>
              <w:jc w:val="center"/>
              <w:rPr>
                <w:rFonts w:ascii="Calibri" w:hAnsi="Calibri" w:cs="Calibri"/>
              </w:rPr>
            </w:pPr>
            <w:r w:rsidRPr="002815D4">
              <w:rPr>
                <w:rFonts w:ascii="Calibri" w:hAnsi="Calibri" w:cs="Calibri"/>
              </w:rPr>
              <w:t>8.1%</w:t>
            </w:r>
          </w:p>
        </w:tc>
        <w:tc>
          <w:tcPr>
            <w:tcW w:w="1279" w:type="dxa"/>
            <w:tcBorders>
              <w:top w:val="single" w:sz="4" w:space="0" w:color="auto"/>
              <w:left w:val="single" w:sz="4" w:space="0" w:color="auto"/>
              <w:bottom w:val="single" w:sz="4" w:space="0" w:color="auto"/>
              <w:right w:val="single" w:sz="4" w:space="0" w:color="auto"/>
            </w:tcBorders>
            <w:vAlign w:val="center"/>
          </w:tcPr>
          <w:p w14:paraId="6E318C66" w14:textId="77777777" w:rsidR="002815D4" w:rsidRPr="002815D4" w:rsidRDefault="002815D4" w:rsidP="002815D4">
            <w:pPr>
              <w:jc w:val="center"/>
              <w:rPr>
                <w:rFonts w:ascii="Calibri" w:hAnsi="Calibri" w:cs="Calibri"/>
              </w:rPr>
            </w:pPr>
            <w:r w:rsidRPr="002815D4">
              <w:rPr>
                <w:rFonts w:ascii="Calibri" w:hAnsi="Calibri" w:cs="Calibri"/>
              </w:rPr>
              <w:t>6.8%</w:t>
            </w:r>
          </w:p>
        </w:tc>
        <w:tc>
          <w:tcPr>
            <w:tcW w:w="1679" w:type="dxa"/>
            <w:tcBorders>
              <w:top w:val="single" w:sz="4" w:space="0" w:color="auto"/>
              <w:left w:val="single" w:sz="4" w:space="0" w:color="auto"/>
              <w:bottom w:val="single" w:sz="4" w:space="0" w:color="auto"/>
              <w:right w:val="single" w:sz="4" w:space="0" w:color="auto"/>
            </w:tcBorders>
            <w:vAlign w:val="center"/>
          </w:tcPr>
          <w:p w14:paraId="7DE4045C" w14:textId="77777777" w:rsidR="002815D4" w:rsidRPr="002815D4" w:rsidRDefault="002815D4" w:rsidP="002815D4">
            <w:pPr>
              <w:jc w:val="center"/>
              <w:rPr>
                <w:rFonts w:ascii="Calibri" w:hAnsi="Calibri" w:cs="Calibri"/>
              </w:rPr>
            </w:pPr>
            <w:r w:rsidRPr="002815D4">
              <w:rPr>
                <w:rFonts w:ascii="Calibri" w:hAnsi="Calibri" w:cs="Calibri"/>
              </w:rPr>
              <w:t>98.0%</w:t>
            </w:r>
          </w:p>
        </w:tc>
      </w:tr>
    </w:tbl>
    <w:p w14:paraId="18F5F1C5" w14:textId="77777777" w:rsidR="002815D4" w:rsidRPr="002815D4" w:rsidRDefault="002815D4" w:rsidP="002815D4">
      <w:pPr>
        <w:spacing w:after="120"/>
        <w:jc w:val="both"/>
        <w:rPr>
          <w:rFonts w:ascii="Calibri" w:eastAsia="Calibri" w:hAnsi="Calibri" w:cs="Calibri"/>
          <w:b/>
          <w:sz w:val="20"/>
          <w:szCs w:val="20"/>
        </w:rPr>
      </w:pPr>
    </w:p>
    <w:p w14:paraId="2E48DCBF" w14:textId="77777777" w:rsidR="002815D4" w:rsidRPr="002815D4" w:rsidRDefault="002815D4" w:rsidP="002815D4">
      <w:pPr>
        <w:spacing w:after="120"/>
        <w:ind w:left="2160" w:hanging="1440"/>
        <w:jc w:val="both"/>
        <w:rPr>
          <w:rFonts w:ascii="Calibri" w:eastAsia="Calibri" w:hAnsi="Calibri" w:cs="Calibri"/>
          <w:noProof/>
          <w:sz w:val="20"/>
          <w:szCs w:val="20"/>
        </w:rPr>
      </w:pPr>
      <w:r w:rsidRPr="002815D4">
        <w:rPr>
          <w:rFonts w:ascii="Calibri" w:eastAsia="Calibri" w:hAnsi="Calibri" w:cs="Arial"/>
          <w:noProof/>
          <w:sz w:val="20"/>
          <w:szCs w:val="20"/>
        </w:rPr>
        <w:t>Leakage</w:t>
      </w:r>
      <w:r w:rsidRPr="002815D4">
        <w:rPr>
          <w:rFonts w:ascii="Calibri" w:eastAsia="Calibri" w:hAnsi="Calibri" w:cs="Arial"/>
          <w:noProof/>
          <w:sz w:val="20"/>
          <w:szCs w:val="20"/>
        </w:rPr>
        <w:tab/>
        <w:t>=</w:t>
      </w:r>
      <w:r w:rsidRPr="002815D4">
        <w:rPr>
          <w:rFonts w:ascii="Calibri" w:eastAsia="Calibri" w:hAnsi="Calibri" w:cs="Calibri"/>
          <w:noProof/>
          <w:sz w:val="20"/>
          <w:szCs w:val="20"/>
        </w:rPr>
        <w:t xml:space="preserve"> Adjustment to account for the percentage of program bulbs that move out (and in if deemed appropriate)</w:t>
      </w:r>
      <w:r w:rsidRPr="002815D4">
        <w:rPr>
          <w:rFonts w:ascii="Arial" w:eastAsia="Calibri" w:hAnsi="Arial" w:cs="Times New Roman"/>
          <w:noProof/>
          <w:sz w:val="20"/>
          <w:szCs w:val="20"/>
          <w:vertAlign w:val="superscript"/>
        </w:rPr>
        <w:footnoteReference w:id="15"/>
      </w:r>
      <w:r w:rsidRPr="002815D4">
        <w:rPr>
          <w:rFonts w:ascii="Calibri" w:eastAsia="Calibri" w:hAnsi="Calibri" w:cs="Calibri"/>
          <w:noProof/>
          <w:sz w:val="20"/>
          <w:szCs w:val="20"/>
        </w:rPr>
        <w:t xml:space="preserve"> of the Utility Jurisdiction. </w:t>
      </w:r>
    </w:p>
    <w:p w14:paraId="3C495E7C" w14:textId="77777777" w:rsidR="002815D4" w:rsidRPr="002815D4" w:rsidRDefault="002815D4" w:rsidP="002815D4">
      <w:pPr>
        <w:spacing w:after="120"/>
        <w:ind w:left="2880" w:hanging="720"/>
        <w:jc w:val="both"/>
        <w:rPr>
          <w:rFonts w:ascii="Calibri" w:eastAsia="Calibri" w:hAnsi="Calibri" w:cs="Calibri"/>
          <w:noProof/>
          <w:sz w:val="20"/>
          <w:szCs w:val="20"/>
        </w:rPr>
      </w:pPr>
      <w:r w:rsidRPr="002815D4">
        <w:rPr>
          <w:rFonts w:ascii="Calibri" w:eastAsia="Calibri" w:hAnsi="Calibri" w:cs="Calibri"/>
          <w:noProof/>
          <w:sz w:val="20"/>
          <w:szCs w:val="20"/>
        </w:rPr>
        <w:t xml:space="preserve">Midstream (TOS) Lighting programs </w:t>
      </w:r>
      <w:r w:rsidRPr="002815D4">
        <w:rPr>
          <w:rFonts w:ascii="Calibri" w:eastAsia="Calibri" w:hAnsi="Calibri" w:cs="Calibri"/>
          <w:noProof/>
          <w:sz w:val="20"/>
          <w:szCs w:val="20"/>
        </w:rPr>
        <w:tab/>
        <w:t>=  Use deemed assumptions below:</w:t>
      </w:r>
      <w:r w:rsidRPr="002815D4">
        <w:rPr>
          <w:rFonts w:ascii="Arial" w:eastAsia="Calibri" w:hAnsi="Arial" w:cs="Times New Roman"/>
          <w:noProof/>
          <w:sz w:val="20"/>
          <w:szCs w:val="20"/>
          <w:vertAlign w:val="superscript"/>
        </w:rPr>
        <w:footnoteReference w:id="16"/>
      </w:r>
    </w:p>
    <w:p w14:paraId="65BA7F61" w14:textId="77777777" w:rsidR="002815D4" w:rsidRPr="002815D4" w:rsidRDefault="002815D4" w:rsidP="002815D4">
      <w:pPr>
        <w:spacing w:after="120"/>
        <w:ind w:left="2880" w:hanging="720"/>
        <w:jc w:val="both"/>
        <w:rPr>
          <w:rFonts w:ascii="Calibri" w:eastAsia="Calibri" w:hAnsi="Calibri" w:cs="Calibri"/>
          <w:noProof/>
          <w:sz w:val="20"/>
          <w:szCs w:val="20"/>
        </w:rPr>
      </w:pPr>
      <w:r w:rsidRPr="002815D4">
        <w:rPr>
          <w:rFonts w:ascii="Calibri" w:eastAsia="Calibri" w:hAnsi="Calibri" w:cs="Calibri"/>
          <w:noProof/>
          <w:sz w:val="20"/>
          <w:szCs w:val="20"/>
        </w:rPr>
        <w:tab/>
      </w:r>
      <w:r w:rsidRPr="002815D4">
        <w:rPr>
          <w:rFonts w:ascii="Calibri" w:eastAsia="Calibri" w:hAnsi="Calibri" w:cs="Calibri"/>
          <w:noProof/>
          <w:sz w:val="20"/>
          <w:szCs w:val="20"/>
        </w:rPr>
        <w:tab/>
      </w:r>
      <w:r w:rsidRPr="002815D4">
        <w:rPr>
          <w:rFonts w:ascii="Calibri" w:eastAsia="Calibri" w:hAnsi="Calibri" w:cs="Calibri"/>
          <w:sz w:val="20"/>
          <w:szCs w:val="20"/>
        </w:rPr>
        <w:t xml:space="preserve">ComEd: </w:t>
      </w:r>
      <w:r w:rsidRPr="002815D4">
        <w:rPr>
          <w:rFonts w:ascii="Calibri" w:eastAsia="Calibri" w:hAnsi="Calibri" w:cs="Calibri"/>
          <w:sz w:val="20"/>
          <w:szCs w:val="20"/>
        </w:rPr>
        <w:tab/>
      </w:r>
      <w:r w:rsidRPr="002815D4">
        <w:rPr>
          <w:rFonts w:ascii="Calibri" w:eastAsia="Calibri" w:hAnsi="Calibri" w:cs="Calibri"/>
          <w:sz w:val="20"/>
          <w:szCs w:val="20"/>
        </w:rPr>
        <w:tab/>
        <w:t>0.</w:t>
      </w:r>
      <w:r w:rsidRPr="002815D4">
        <w:rPr>
          <w:rFonts w:ascii="Calibri" w:eastAsia="Calibri" w:hAnsi="Calibri" w:cs="Calibri"/>
          <w:noProof/>
          <w:sz w:val="20"/>
          <w:szCs w:val="20"/>
        </w:rPr>
        <w:t>31%</w:t>
      </w:r>
    </w:p>
    <w:p w14:paraId="3EB59F41" w14:textId="77777777" w:rsidR="002815D4" w:rsidRPr="002815D4" w:rsidRDefault="002815D4" w:rsidP="002815D4">
      <w:pPr>
        <w:spacing w:after="120"/>
        <w:ind w:left="2880" w:hanging="720"/>
        <w:jc w:val="both"/>
        <w:rPr>
          <w:rFonts w:ascii="Calibri" w:eastAsia="Calibri" w:hAnsi="Calibri" w:cs="Calibri"/>
          <w:noProof/>
          <w:sz w:val="20"/>
          <w:szCs w:val="20"/>
        </w:rPr>
      </w:pPr>
      <w:r w:rsidRPr="002815D4">
        <w:rPr>
          <w:rFonts w:ascii="Calibri" w:eastAsia="Calibri" w:hAnsi="Calibri" w:cs="Calibri"/>
          <w:noProof/>
          <w:sz w:val="20"/>
          <w:szCs w:val="20"/>
        </w:rPr>
        <w:tab/>
      </w:r>
      <w:r w:rsidRPr="002815D4">
        <w:rPr>
          <w:rFonts w:ascii="Calibri" w:eastAsia="Calibri" w:hAnsi="Calibri" w:cs="Calibri"/>
          <w:noProof/>
          <w:sz w:val="20"/>
          <w:szCs w:val="20"/>
        </w:rPr>
        <w:tab/>
        <w:t xml:space="preserve">Ameren: </w:t>
      </w:r>
      <w:r w:rsidRPr="002815D4">
        <w:rPr>
          <w:rFonts w:ascii="Calibri" w:eastAsia="Calibri" w:hAnsi="Calibri" w:cs="Calibri"/>
          <w:noProof/>
          <w:sz w:val="20"/>
          <w:szCs w:val="20"/>
        </w:rPr>
        <w:tab/>
        <w:t>0%</w:t>
      </w:r>
      <w:r w:rsidRPr="002815D4">
        <w:rPr>
          <w:rFonts w:ascii="Arial" w:eastAsia="Calibri" w:hAnsi="Arial" w:cs="Times New Roman"/>
          <w:noProof/>
          <w:sz w:val="20"/>
          <w:szCs w:val="20"/>
          <w:vertAlign w:val="superscript"/>
        </w:rPr>
        <w:footnoteReference w:id="17"/>
      </w:r>
      <w:r w:rsidRPr="002815D4">
        <w:rPr>
          <w:rFonts w:ascii="Calibri" w:eastAsia="Calibri" w:hAnsi="Calibri" w:cs="Calibri"/>
          <w:noProof/>
          <w:sz w:val="20"/>
          <w:szCs w:val="20"/>
        </w:rPr>
        <w:t xml:space="preserve"> </w:t>
      </w:r>
    </w:p>
    <w:p w14:paraId="58AB537C" w14:textId="77777777" w:rsidR="002815D4" w:rsidRPr="002815D4" w:rsidRDefault="002815D4" w:rsidP="002815D4">
      <w:pPr>
        <w:spacing w:after="120"/>
        <w:ind w:left="2880" w:hanging="720"/>
        <w:jc w:val="both"/>
        <w:rPr>
          <w:rFonts w:ascii="Calibri" w:eastAsia="Calibri" w:hAnsi="Calibri" w:cs="Calibri"/>
          <w:noProof/>
          <w:sz w:val="20"/>
          <w:szCs w:val="20"/>
        </w:rPr>
      </w:pPr>
      <w:r w:rsidRPr="002815D4">
        <w:rPr>
          <w:rFonts w:ascii="Calibri" w:eastAsia="Calibri" w:hAnsi="Calibri" w:cs="Calibri"/>
          <w:noProof/>
          <w:sz w:val="20"/>
          <w:szCs w:val="20"/>
        </w:rPr>
        <w:t>All other programs</w:t>
      </w:r>
      <w:r w:rsidRPr="002815D4">
        <w:rPr>
          <w:rFonts w:ascii="Calibri" w:eastAsia="Calibri" w:hAnsi="Calibri" w:cs="Calibri"/>
          <w:noProof/>
          <w:sz w:val="20"/>
          <w:szCs w:val="20"/>
        </w:rPr>
        <w:tab/>
      </w:r>
      <w:r w:rsidRPr="002815D4">
        <w:rPr>
          <w:rFonts w:ascii="Calibri" w:eastAsia="Calibri" w:hAnsi="Calibri" w:cs="Calibri"/>
          <w:noProof/>
          <w:sz w:val="20"/>
          <w:szCs w:val="20"/>
        </w:rPr>
        <w:tab/>
        <w:t>= 0%</w:t>
      </w:r>
    </w:p>
    <w:p w14:paraId="3FAE91D7" w14:textId="77777777" w:rsidR="002815D4" w:rsidRPr="002815D4" w:rsidRDefault="002815D4" w:rsidP="002815D4">
      <w:pPr>
        <w:spacing w:after="120"/>
        <w:jc w:val="both"/>
        <w:rPr>
          <w:rFonts w:ascii="Calibri" w:eastAsia="Calibri" w:hAnsi="Calibri" w:cs="Calibri"/>
          <w:b/>
          <w:sz w:val="20"/>
          <w:szCs w:val="20"/>
        </w:rPr>
      </w:pPr>
    </w:p>
    <w:p w14:paraId="271DBE1F" w14:textId="77777777" w:rsidR="002815D4" w:rsidRPr="002815D4" w:rsidRDefault="002815D4" w:rsidP="002815D4">
      <w:pPr>
        <w:spacing w:after="120"/>
        <w:jc w:val="both"/>
        <w:rPr>
          <w:rFonts w:ascii="Calibri" w:eastAsia="Calibri" w:hAnsi="Calibri" w:cs="Calibri"/>
          <w:b/>
          <w:sz w:val="20"/>
          <w:szCs w:val="20"/>
        </w:rPr>
      </w:pPr>
    </w:p>
    <w:p w14:paraId="3B137D02" w14:textId="77777777" w:rsidR="002815D4" w:rsidRPr="002815D4" w:rsidRDefault="002815D4" w:rsidP="002815D4">
      <w:pPr>
        <w:spacing w:after="120"/>
        <w:jc w:val="both"/>
        <w:rPr>
          <w:rFonts w:ascii="Calibri" w:eastAsia="Calibri" w:hAnsi="Calibri" w:cs="Calibri"/>
          <w:b/>
          <w:sz w:val="20"/>
          <w:szCs w:val="20"/>
        </w:rPr>
      </w:pPr>
      <w:r w:rsidRPr="002815D4">
        <w:rPr>
          <w:rFonts w:ascii="Calibri" w:eastAsia="Calibri" w:hAnsi="Calibri" w:cs="Calibri"/>
          <w:b/>
          <w:sz w:val="20"/>
          <w:szCs w:val="20"/>
        </w:rPr>
        <w:t>Mid Life Baseline Adjustment</w:t>
      </w:r>
    </w:p>
    <w:p w14:paraId="75AF9615" w14:textId="77777777" w:rsidR="002815D4" w:rsidRPr="002815D4" w:rsidRDefault="002815D4" w:rsidP="002815D4">
      <w:pPr>
        <w:spacing w:after="120"/>
        <w:jc w:val="both"/>
        <w:rPr>
          <w:rFonts w:ascii="Calibri" w:eastAsia="Calibri" w:hAnsi="Calibri" w:cs="Calibri"/>
          <w:noProof/>
          <w:sz w:val="20"/>
          <w:szCs w:val="20"/>
          <w:u w:val="single"/>
        </w:rPr>
      </w:pPr>
      <w:r w:rsidRPr="002815D4">
        <w:rPr>
          <w:rFonts w:ascii="Calibri" w:eastAsia="Calibri" w:hAnsi="Calibri" w:cs="Calibri"/>
          <w:noProof/>
          <w:sz w:val="20"/>
          <w:szCs w:val="20"/>
          <w:u w:val="single"/>
        </w:rPr>
        <w:t>Early Replacement Measures with T12 Baseline</w:t>
      </w:r>
    </w:p>
    <w:p w14:paraId="6C1D9418" w14:textId="77777777" w:rsidR="002815D4" w:rsidRPr="002815D4" w:rsidRDefault="002815D4" w:rsidP="002815D4">
      <w:pPr>
        <w:spacing w:after="240"/>
        <w:jc w:val="both"/>
        <w:rPr>
          <w:rFonts w:ascii="Calibri" w:eastAsia="Calibri" w:hAnsi="Calibri" w:cs="Arial"/>
          <w:sz w:val="20"/>
          <w:szCs w:val="20"/>
        </w:rPr>
      </w:pPr>
      <w:r w:rsidRPr="002815D4">
        <w:rPr>
          <w:rFonts w:ascii="Calibri" w:eastAsia="Calibri" w:hAnsi="Calibri" w:cs="Arial"/>
          <w:sz w:val="20"/>
          <w:szCs w:val="20"/>
        </w:rPr>
        <w:t>For early replacement measures replacing existing T12 fixtures the full savings (as calculated above in the Algorithm section) will be claimed for the remaining useful life of the T12 fixture. This should be calculated as follows:</w:t>
      </w:r>
    </w:p>
    <w:p w14:paraId="45C74F49" w14:textId="77777777" w:rsidR="002815D4" w:rsidRPr="002815D4" w:rsidRDefault="002815D4" w:rsidP="002815D4">
      <w:pPr>
        <w:spacing w:after="240"/>
        <w:ind w:firstLine="720"/>
        <w:jc w:val="both"/>
        <w:rPr>
          <w:rFonts w:ascii="Calibri" w:eastAsia="Calibri" w:hAnsi="Calibri" w:cs="Arial"/>
          <w:sz w:val="20"/>
          <w:szCs w:val="20"/>
        </w:rPr>
      </w:pPr>
      <w:r w:rsidRPr="002815D4">
        <w:rPr>
          <w:rFonts w:ascii="Calibri" w:eastAsia="Calibri" w:hAnsi="Calibri" w:cs="Arial"/>
          <w:sz w:val="20"/>
          <w:szCs w:val="20"/>
        </w:rPr>
        <w:t xml:space="preserve">RUL of existing T12 fixture = </w:t>
      </w:r>
      <m:oMath>
        <m:r>
          <w:rPr>
            <w:rFonts w:ascii="Cambria Math" w:eastAsia="Calibri" w:hAnsi="Cambria Math" w:cs="Arial"/>
            <w:sz w:val="20"/>
            <w:szCs w:val="20"/>
          </w:rPr>
          <m:t xml:space="preserve">(1/3 * 40,000)/Hours </m:t>
        </m:r>
      </m:oMath>
    </w:p>
    <w:p w14:paraId="0A397306" w14:textId="77777777" w:rsidR="002815D4" w:rsidRPr="002815D4" w:rsidRDefault="002815D4" w:rsidP="002815D4">
      <w:pPr>
        <w:spacing w:after="240"/>
        <w:jc w:val="both"/>
        <w:rPr>
          <w:rFonts w:ascii="Calibri" w:eastAsia="Calibri" w:hAnsi="Calibri" w:cs="Arial"/>
          <w:sz w:val="20"/>
          <w:szCs w:val="20"/>
        </w:rPr>
      </w:pPr>
      <w:r w:rsidRPr="002815D4">
        <w:rPr>
          <w:rFonts w:ascii="Calibri" w:eastAsia="Calibri" w:hAnsi="Calibri" w:cs="Arial"/>
          <w:sz w:val="20"/>
          <w:szCs w:val="20"/>
        </w:rPr>
        <w:t>A savings adjustment should then be applied to the annual savings for the remainder of the measure life.  The adjustment factor to be applied for each T12 installation is 57%.</w:t>
      </w:r>
      <w:r w:rsidRPr="002815D4">
        <w:rPr>
          <w:rFonts w:ascii="Arial" w:eastAsia="Calibri" w:hAnsi="Arial" w:cs="Times New Roman"/>
          <w:sz w:val="20"/>
          <w:szCs w:val="20"/>
          <w:vertAlign w:val="superscript"/>
        </w:rPr>
        <w:footnoteReference w:id="18"/>
      </w:r>
    </w:p>
    <w:p w14:paraId="58FE55F1" w14:textId="77777777" w:rsidR="002815D4" w:rsidRPr="002815D4" w:rsidRDefault="002815D4" w:rsidP="002815D4">
      <w:pPr>
        <w:spacing w:after="240"/>
        <w:jc w:val="both"/>
        <w:rPr>
          <w:rFonts w:ascii="Calibri" w:eastAsia="Calibri" w:hAnsi="Calibri" w:cs="Arial"/>
          <w:sz w:val="20"/>
          <w:szCs w:val="20"/>
        </w:rPr>
      </w:pPr>
      <w:r w:rsidRPr="002815D4">
        <w:rPr>
          <w:rFonts w:ascii="Calibri" w:eastAsia="Calibri" w:hAnsi="Calibri" w:cs="Arial"/>
          <w:bCs/>
          <w:sz w:val="20"/>
          <w:szCs w:val="20"/>
        </w:rPr>
        <w:t xml:space="preserve">For example, for an existing 68W T12 fixture in a college is replaced by a 3000 lumen </w:t>
      </w:r>
      <w:r w:rsidRPr="002815D4">
        <w:rPr>
          <w:rFonts w:ascii="Calibri" w:eastAsia="Calibri" w:hAnsi="Calibri" w:cs="Arial"/>
          <w:sz w:val="20"/>
          <w:szCs w:val="20"/>
        </w:rPr>
        <w:t>LED 2x2 Recessed Light Fixture (25.4W)</w:t>
      </w:r>
      <w:r w:rsidRPr="002815D4">
        <w:rPr>
          <w:rFonts w:ascii="Calibri" w:eastAsia="Calibri" w:hAnsi="Calibri" w:cs="Arial"/>
          <w:bCs/>
          <w:sz w:val="20"/>
          <w:szCs w:val="20"/>
        </w:rPr>
        <w:t xml:space="preserve">, a mid life adjustment of 57% should be applied after </w:t>
      </w:r>
      <w:r w:rsidRPr="002815D4">
        <w:rPr>
          <w:rFonts w:ascii="Calibri" w:eastAsia="Calibri" w:hAnsi="Calibri" w:cs="Arial"/>
          <w:sz w:val="20"/>
          <w:szCs w:val="20"/>
        </w:rPr>
        <w:t>(1/3 * 40000)/3395 = 3.9 years.</w:t>
      </w:r>
    </w:p>
    <w:p w14:paraId="3033D133" w14:textId="77777777" w:rsidR="002815D4" w:rsidRPr="002815D4" w:rsidRDefault="002815D4" w:rsidP="002815D4">
      <w:pPr>
        <w:keepNext/>
        <w:keepLines/>
        <w:tabs>
          <w:tab w:val="left" w:pos="5040"/>
        </w:tabs>
        <w:spacing w:before="40" w:after="120"/>
        <w:jc w:val="both"/>
        <w:outlineLvl w:val="5"/>
        <w:rPr>
          <w:rFonts w:ascii="Calibri" w:eastAsia="Calibri" w:hAnsi="Calibri" w:cs="Calibri"/>
          <w:b/>
          <w:smallCaps/>
          <w:sz w:val="20"/>
          <w:szCs w:val="20"/>
        </w:rPr>
      </w:pPr>
      <w:r w:rsidRPr="002815D4">
        <w:rPr>
          <w:rFonts w:ascii="Calibri" w:eastAsia="Calibri" w:hAnsi="Calibri" w:cs="Calibri"/>
          <w:b/>
          <w:smallCaps/>
          <w:sz w:val="20"/>
          <w:szCs w:val="20"/>
        </w:rPr>
        <w:t>Heating Penalty</w:t>
      </w:r>
    </w:p>
    <w:p w14:paraId="4EED526A" w14:textId="77777777" w:rsidR="002815D4" w:rsidRPr="002815D4" w:rsidRDefault="002815D4" w:rsidP="002815D4">
      <w:pPr>
        <w:spacing w:after="120"/>
        <w:jc w:val="both"/>
        <w:rPr>
          <w:rFonts w:ascii="Calibri" w:eastAsia="Calibri" w:hAnsi="Calibri" w:cs="Calibri"/>
          <w:noProof/>
          <w:sz w:val="20"/>
          <w:szCs w:val="20"/>
        </w:rPr>
      </w:pPr>
      <w:r w:rsidRPr="002815D4">
        <w:rPr>
          <w:rFonts w:ascii="Calibri" w:eastAsia="Calibri" w:hAnsi="Calibri" w:cs="Calibri"/>
          <w:noProof/>
          <w:sz w:val="20"/>
          <w:szCs w:val="20"/>
        </w:rPr>
        <w:t>If electrically heated building:</w:t>
      </w:r>
    </w:p>
    <w:p w14:paraId="017F91E4" w14:textId="77777777" w:rsidR="002815D4" w:rsidRPr="002815D4" w:rsidRDefault="002815D4" w:rsidP="002815D4">
      <w:pPr>
        <w:spacing w:after="120"/>
        <w:ind w:left="720" w:firstLine="720"/>
        <w:jc w:val="both"/>
        <w:rPr>
          <w:rFonts w:ascii="Calibri" w:eastAsia="Calibri" w:hAnsi="Calibri" w:cs="Arial"/>
          <w:noProof/>
          <w:sz w:val="20"/>
          <w:szCs w:val="20"/>
        </w:rPr>
      </w:pPr>
      <w:r w:rsidRPr="002815D4">
        <w:rPr>
          <w:rFonts w:ascii="Calibri" w:eastAsia="Calibri" w:hAnsi="Calibri" w:cs="Arial"/>
          <w:noProof/>
          <w:sz w:val="20"/>
          <w:szCs w:val="20"/>
        </w:rPr>
        <w:t>ΔkWh</w:t>
      </w:r>
      <w:r w:rsidRPr="002815D4">
        <w:rPr>
          <w:rFonts w:ascii="Calibri" w:eastAsia="Calibri" w:hAnsi="Calibri" w:cs="Arial"/>
          <w:noProof/>
          <w:sz w:val="20"/>
          <w:szCs w:val="20"/>
          <w:vertAlign w:val="subscript"/>
        </w:rPr>
        <w:t>heatpenalty</w:t>
      </w:r>
      <w:r w:rsidRPr="002815D4">
        <w:rPr>
          <w:rFonts w:ascii="Arial" w:eastAsia="Yu Gothic Light" w:hAnsi="Arial" w:cs="Calibri"/>
          <w:sz w:val="20"/>
          <w:szCs w:val="20"/>
          <w:vertAlign w:val="superscript"/>
        </w:rPr>
        <w:footnoteReference w:id="19"/>
      </w:r>
      <w:r w:rsidRPr="002815D4">
        <w:rPr>
          <w:rFonts w:ascii="Calibri" w:eastAsia="Calibri" w:hAnsi="Calibri" w:cs="Arial"/>
          <w:noProof/>
          <w:sz w:val="20"/>
          <w:szCs w:val="20"/>
        </w:rPr>
        <w:t xml:space="preserve">  = </w:t>
      </w:r>
      <m:oMath>
        <m:r>
          <w:rPr>
            <w:rFonts w:ascii="Cambria Math" w:eastAsia="Calibri" w:hAnsi="Cambria Math" w:cs="Arial"/>
            <w:noProof/>
            <w:sz w:val="20"/>
            <w:szCs w:val="20"/>
          </w:rPr>
          <m:t>(((WattsBase-WattsEE)/1000) * ISR * Hours * -IFkWh</m:t>
        </m:r>
      </m:oMath>
      <w:r w:rsidRPr="002815D4">
        <w:rPr>
          <w:rFonts w:ascii="Calibri" w:eastAsia="Calibri" w:hAnsi="Calibri" w:cs="Arial"/>
          <w:noProof/>
          <w:sz w:val="20"/>
          <w:szCs w:val="20"/>
        </w:rPr>
        <w:tab/>
      </w:r>
    </w:p>
    <w:p w14:paraId="160C8217" w14:textId="77777777" w:rsidR="002815D4" w:rsidRPr="002815D4" w:rsidRDefault="002815D4" w:rsidP="002815D4">
      <w:pPr>
        <w:spacing w:after="120"/>
        <w:jc w:val="both"/>
        <w:rPr>
          <w:rFonts w:ascii="Calibri" w:eastAsia="Calibri" w:hAnsi="Calibri" w:cs="Arial"/>
          <w:noProof/>
          <w:sz w:val="20"/>
          <w:szCs w:val="20"/>
          <w:lang w:val="nl-NL"/>
        </w:rPr>
      </w:pPr>
      <w:r w:rsidRPr="002815D4">
        <w:rPr>
          <w:rFonts w:ascii="Calibri" w:eastAsia="Calibri" w:hAnsi="Calibri" w:cs="Arial"/>
          <w:noProof/>
          <w:sz w:val="20"/>
          <w:szCs w:val="20"/>
          <w:lang w:val="nl-NL"/>
        </w:rPr>
        <w:t>Where:</w:t>
      </w:r>
    </w:p>
    <w:p w14:paraId="78E770EA" w14:textId="77777777" w:rsidR="002815D4" w:rsidRPr="002815D4" w:rsidRDefault="002815D4" w:rsidP="002815D4">
      <w:pPr>
        <w:spacing w:after="120"/>
        <w:ind w:left="2160" w:hanging="1440"/>
        <w:jc w:val="both"/>
        <w:rPr>
          <w:rFonts w:ascii="Calibri" w:eastAsia="Calibri" w:hAnsi="Calibri" w:cs="Arial"/>
          <w:noProof/>
          <w:sz w:val="20"/>
          <w:szCs w:val="20"/>
          <w:lang w:val="nl-NL"/>
        </w:rPr>
      </w:pPr>
      <w:r w:rsidRPr="002815D4">
        <w:rPr>
          <w:rFonts w:ascii="Calibri" w:eastAsia="Calibri" w:hAnsi="Calibri" w:cs="Arial"/>
          <w:noProof/>
          <w:sz w:val="20"/>
          <w:szCs w:val="20"/>
          <w:lang w:val="nl-NL"/>
        </w:rPr>
        <w:t>IFkWh</w:t>
      </w:r>
      <w:r w:rsidRPr="002815D4">
        <w:rPr>
          <w:rFonts w:ascii="Calibri" w:eastAsia="Calibri" w:hAnsi="Calibri" w:cs="Arial"/>
          <w:noProof/>
          <w:sz w:val="20"/>
          <w:szCs w:val="20"/>
          <w:lang w:val="nl-NL"/>
        </w:rPr>
        <w:tab/>
        <w:t xml:space="preserve">= Lighting-HVAC Interation Factor for electric heating impacts; this factor represents the increased electric space heating requirements due to the reduction of waste heat rejected by the efficent lighting. </w:t>
      </w:r>
      <w:r w:rsidRPr="002815D4">
        <w:rPr>
          <w:rFonts w:ascii="Calibri" w:eastAsia="Calibri" w:hAnsi="Calibri" w:cs="Arial"/>
          <w:sz w:val="20"/>
          <w:szCs w:val="20"/>
        </w:rPr>
        <w:t>Values are</w:t>
      </w:r>
      <w:r w:rsidRPr="002815D4">
        <w:rPr>
          <w:rFonts w:ascii="Calibri" w:eastAsia="Calibri" w:hAnsi="Calibri" w:cs="Arial"/>
          <w:noProof/>
          <w:sz w:val="20"/>
          <w:szCs w:val="20"/>
        </w:rPr>
        <w:t xml:space="preserve"> provided in the Reference Table in Section 4.5</w:t>
      </w:r>
      <w:r w:rsidRPr="002815D4">
        <w:rPr>
          <w:rFonts w:ascii="Calibri" w:eastAsia="Calibri" w:hAnsi="Calibri" w:cs="Arial"/>
          <w:sz w:val="20"/>
          <w:szCs w:val="20"/>
        </w:rPr>
        <w:t>.  If unknown, use the Miscellaneous value.</w:t>
      </w:r>
    </w:p>
    <w:p w14:paraId="61E3AE10" w14:textId="77777777" w:rsidR="002815D4" w:rsidRPr="002815D4" w:rsidRDefault="002815D4" w:rsidP="002815D4">
      <w:pPr>
        <w:spacing w:after="120"/>
        <w:jc w:val="both"/>
        <w:rPr>
          <w:rFonts w:ascii="Calibri" w:eastAsia="Calibri" w:hAnsi="Calibri" w:cs="Calibri"/>
          <w:sz w:val="20"/>
          <w:szCs w:val="20"/>
        </w:rPr>
      </w:pPr>
      <w:r w:rsidRPr="002815D4">
        <w:rPr>
          <w:rFonts w:ascii="Calibri" w:eastAsia="Calibri" w:hAnsi="Calibri" w:cs="Arial"/>
          <w:noProof/>
          <w:sz w:val="20"/>
          <w:szCs w:val="20"/>
        </w:rPr>
        <mc:AlternateContent>
          <mc:Choice Requires="wps">
            <w:drawing>
              <wp:inline distT="0" distB="0" distL="0" distR="0" wp14:anchorId="74B81E19" wp14:editId="5667A6EF">
                <wp:extent cx="5943600" cy="1129665"/>
                <wp:effectExtent l="0" t="0" r="19050" b="18415"/>
                <wp:docPr id="482"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29665"/>
                        </a:xfrm>
                        <a:prstGeom prst="rect">
                          <a:avLst/>
                        </a:prstGeom>
                        <a:solidFill>
                          <a:srgbClr val="FFFFFF"/>
                        </a:solidFill>
                        <a:ln w="12700">
                          <a:solidFill>
                            <a:srgbClr val="000000"/>
                          </a:solidFill>
                          <a:miter lim="800000"/>
                          <a:headEnd/>
                          <a:tailEnd/>
                        </a:ln>
                      </wps:spPr>
                      <wps:txbx>
                        <w:txbxContent>
                          <w:p w14:paraId="621DBDA0" w14:textId="77777777" w:rsidR="002815D4" w:rsidRDefault="002815D4" w:rsidP="002815D4">
                            <w:pPr>
                              <w:spacing w:after="60"/>
                            </w:pPr>
                            <w:r w:rsidRPr="002815D4">
                              <w:rPr>
                                <w:rFonts w:cs="Calibri"/>
                                <w:b/>
                              </w:rPr>
                              <w:t>For example</w:t>
                            </w:r>
                            <w:r w:rsidRPr="002815D4">
                              <w:rPr>
                                <w:rFonts w:cs="Calibri"/>
                              </w:rPr>
                              <w:t xml:space="preserve">, a 9W LED omnidirectional lamp, 450 lumens, is installed in a heat pump heated mid rise office </w:t>
                            </w:r>
                            <w:r>
                              <w:t>and sign off form provided:</w:t>
                            </w:r>
                          </w:p>
                          <w:p w14:paraId="2A009491" w14:textId="77777777" w:rsidR="002815D4" w:rsidRDefault="002815D4" w:rsidP="002815D4">
                            <w:pPr>
                              <w:spacing w:after="60"/>
                              <w:ind w:left="720"/>
                              <w:rPr>
                                <w:noProof/>
                              </w:rPr>
                            </w:pPr>
                            <w:r>
                              <w:rPr>
                                <w:noProof/>
                              </w:rPr>
                              <w:t>ΔkWh</w:t>
                            </w:r>
                            <w:r>
                              <w:rPr>
                                <w:noProof/>
                                <w:vertAlign w:val="subscript"/>
                              </w:rPr>
                              <w:t>heatpenalty</w:t>
                            </w:r>
                            <w:r>
                              <w:rPr>
                                <w:noProof/>
                              </w:rPr>
                              <w:tab/>
                              <w:t xml:space="preserve">= </w:t>
                            </w:r>
                            <w:r w:rsidRPr="002815D4">
                              <w:rPr>
                                <w:rFonts w:cs="Calibri"/>
                                <w:noProof/>
                              </w:rPr>
                              <w:t>((29-6.7)/1,000)*1.0*3088</w:t>
                            </w:r>
                            <w:r>
                              <w:rPr>
                                <w:noProof/>
                              </w:rPr>
                              <w:t>* -0.164</w:t>
                            </w:r>
                          </w:p>
                          <w:p w14:paraId="735058A9" w14:textId="77777777" w:rsidR="002815D4" w:rsidRDefault="002815D4" w:rsidP="002815D4">
                            <w:pPr>
                              <w:spacing w:after="60"/>
                              <w:ind w:left="720"/>
                            </w:pPr>
                            <w:r>
                              <w:tab/>
                            </w:r>
                            <w:r>
                              <w:tab/>
                            </w:r>
                            <w:r>
                              <w:tab/>
                              <w:t>= - 11.3 kWh</w:t>
                            </w:r>
                          </w:p>
                        </w:txbxContent>
                      </wps:txbx>
                      <wps:bodyPr rot="0" vert="horz" wrap="square" lIns="91440" tIns="45720" rIns="91440" bIns="45720" anchor="t" anchorCtr="0">
                        <a:spAutoFit/>
                      </wps:bodyPr>
                    </wps:wsp>
                  </a:graphicData>
                </a:graphic>
              </wp:inline>
            </w:drawing>
          </mc:Choice>
          <mc:Fallback>
            <w:pict>
              <v:shapetype w14:anchorId="74B81E19" id="_x0000_t202" coordsize="21600,21600" o:spt="202" path="m,l,21600r21600,l21600,xe">
                <v:stroke joinstyle="miter"/>
                <v:path gradientshapeok="t" o:connecttype="rect"/>
              </v:shapetype>
              <v:shape id="Text Box 482" o:spid="_x0000_s1026" type="#_x0000_t202" style="width:468pt;height:8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" strokeweight="1pt">
                <v:textbox style="mso-fit-shape-to-text:t">
                  <w:txbxContent>
                    <w:p w14:paraId="621DBDA0" w14:textId="77777777" w:rsidR="002815D4" w:rsidRDefault="002815D4" w:rsidP="002815D4">
                      <w:pPr>
                        <w:spacing w:after="60"/>
                      </w:pPr>
                      <w:r w:rsidRPr="002815D4">
                        <w:rPr>
                          <w:rFonts w:cs="Calibri"/>
                          <w:b/>
                        </w:rPr>
                        <w:t>For example</w:t>
                      </w:r>
                      <w:r w:rsidRPr="002815D4">
                        <w:rPr>
                          <w:rFonts w:cs="Calibri"/>
                        </w:rPr>
                        <w:t xml:space="preserve">, a 9W LED omnidirectional lamp, 450 lumens, is installed in a heat pump heated mid rise office </w:t>
                      </w:r>
                      <w:r>
                        <w:t>and sign off form provided:</w:t>
                      </w:r>
                    </w:p>
                    <w:p w14:paraId="2A009491" w14:textId="77777777" w:rsidR="002815D4" w:rsidRDefault="002815D4" w:rsidP="002815D4">
                      <w:pPr>
                        <w:spacing w:after="60"/>
                        <w:ind w:left="720"/>
                        <w:rPr>
                          <w:noProof/>
                        </w:rPr>
                      </w:pPr>
                      <w:r>
                        <w:rPr>
                          <w:noProof/>
                        </w:rPr>
                        <w:t>ΔkWh</w:t>
                      </w:r>
                      <w:r>
                        <w:rPr>
                          <w:noProof/>
                          <w:vertAlign w:val="subscript"/>
                        </w:rPr>
                        <w:t>heatpenalty</w:t>
                      </w:r>
                      <w:r>
                        <w:rPr>
                          <w:noProof/>
                        </w:rPr>
                        <w:tab/>
                        <w:t xml:space="preserve">= </w:t>
                      </w:r>
                      <w:r w:rsidRPr="002815D4">
                        <w:rPr>
                          <w:rFonts w:cs="Calibri"/>
                          <w:noProof/>
                        </w:rPr>
                        <w:t>((29-6.7)/1,000)*1.0*3088</w:t>
                      </w:r>
                      <w:r>
                        <w:rPr>
                          <w:noProof/>
                        </w:rPr>
                        <w:t>* -0.164</w:t>
                      </w:r>
                    </w:p>
                    <w:p w14:paraId="735058A9" w14:textId="77777777" w:rsidR="002815D4" w:rsidRDefault="002815D4" w:rsidP="002815D4">
                      <w:pPr>
                        <w:spacing w:after="60"/>
                        <w:ind w:left="720"/>
                      </w:pPr>
                      <w:r>
                        <w:tab/>
                      </w:r>
                      <w:r>
                        <w:tab/>
                      </w:r>
                      <w:r>
                        <w:tab/>
                        <w:t>= - 11.3 kWh</w:t>
                      </w:r>
                    </w:p>
                  </w:txbxContent>
                </v:textbox>
                <w10:anchorlock/>
              </v:shape>
            </w:pict>
          </mc:Fallback>
        </mc:AlternateContent>
      </w:r>
    </w:p>
    <w:p w14:paraId="7699975E" w14:textId="77777777" w:rsidR="002815D4" w:rsidRPr="002815D4" w:rsidRDefault="002815D4" w:rsidP="002815D4">
      <w:pPr>
        <w:keepNext/>
        <w:keepLines/>
        <w:tabs>
          <w:tab w:val="left" w:pos="5040"/>
        </w:tabs>
        <w:spacing w:before="40" w:after="120"/>
        <w:jc w:val="both"/>
        <w:outlineLvl w:val="5"/>
        <w:rPr>
          <w:rFonts w:ascii="Calibri" w:eastAsia="Calibri" w:hAnsi="Calibri" w:cs="Calibri"/>
          <w:b/>
          <w:smallCaps/>
          <w:sz w:val="20"/>
          <w:szCs w:val="20"/>
        </w:rPr>
      </w:pPr>
      <w:r w:rsidRPr="002815D4">
        <w:rPr>
          <w:rFonts w:ascii="Calibri" w:eastAsia="Calibri" w:hAnsi="Calibri" w:cs="Calibri"/>
          <w:b/>
          <w:smallCaps/>
          <w:sz w:val="20"/>
          <w:szCs w:val="20"/>
        </w:rPr>
        <w:t>Deferred Installs</w:t>
      </w:r>
    </w:p>
    <w:p w14:paraId="7D50DF24" w14:textId="77777777" w:rsidR="002815D4" w:rsidRPr="002815D4" w:rsidRDefault="002815D4" w:rsidP="002815D4">
      <w:pPr>
        <w:spacing w:after="120"/>
        <w:jc w:val="both"/>
        <w:rPr>
          <w:rFonts w:ascii="Calibri" w:eastAsia="Calibri" w:hAnsi="Calibri" w:cs="Arial"/>
          <w:sz w:val="20"/>
          <w:szCs w:val="20"/>
        </w:rPr>
      </w:pPr>
      <w:r w:rsidRPr="002815D4">
        <w:rPr>
          <w:rFonts w:ascii="Calibri" w:eastAsia="Calibri" w:hAnsi="Calibri" w:cs="Arial"/>
          <w:sz w:val="20"/>
          <w:szCs w:val="20"/>
        </w:rPr>
        <w:t>As presented above, if a sign off form is not completed the characterization assumes that a percentage of T-LED bulbs purchased are not installed until Year 2 and Year 3 (see ISR assumption above). The Illinois Technical Advisory Committee has determined the following methodology for calculating the savings of these future installs.</w:t>
      </w:r>
    </w:p>
    <w:p w14:paraId="228D5ACC" w14:textId="77777777" w:rsidR="002815D4" w:rsidRPr="002815D4" w:rsidRDefault="002815D4" w:rsidP="002815D4">
      <w:pPr>
        <w:spacing w:after="120"/>
        <w:ind w:left="3600" w:hanging="2880"/>
        <w:jc w:val="both"/>
        <w:rPr>
          <w:rFonts w:ascii="Calibri" w:eastAsia="Calibri" w:hAnsi="Calibri" w:cs="Arial"/>
          <w:sz w:val="20"/>
          <w:szCs w:val="20"/>
        </w:rPr>
      </w:pPr>
      <w:r w:rsidRPr="002815D4">
        <w:rPr>
          <w:rFonts w:ascii="Calibri" w:eastAsia="Calibri" w:hAnsi="Calibri" w:cs="Arial"/>
          <w:sz w:val="20"/>
          <w:szCs w:val="20"/>
        </w:rPr>
        <w:t>Year 1 (Purchase Year) installs:</w:t>
      </w:r>
      <w:r w:rsidRPr="002815D4">
        <w:rPr>
          <w:rFonts w:ascii="Calibri" w:eastAsia="Calibri" w:hAnsi="Calibri" w:cs="Arial"/>
          <w:sz w:val="20"/>
          <w:szCs w:val="20"/>
        </w:rPr>
        <w:tab/>
        <w:t>Characterized using assumptions provided above or evaluated assumptions if available.</w:t>
      </w:r>
    </w:p>
    <w:p w14:paraId="23E0FB2F" w14:textId="77777777" w:rsidR="002815D4" w:rsidRPr="002815D4" w:rsidRDefault="002815D4" w:rsidP="002815D4">
      <w:pPr>
        <w:spacing w:after="120"/>
        <w:ind w:left="3600" w:hanging="2880"/>
        <w:jc w:val="both"/>
        <w:rPr>
          <w:rFonts w:ascii="Calibri" w:eastAsia="Calibri" w:hAnsi="Calibri" w:cs="Arial"/>
          <w:sz w:val="20"/>
          <w:szCs w:val="20"/>
        </w:rPr>
      </w:pPr>
      <w:r w:rsidRPr="002815D4">
        <w:rPr>
          <w:rFonts w:ascii="Calibri" w:eastAsia="Calibri" w:hAnsi="Calibri" w:cs="Arial"/>
          <w:sz w:val="20"/>
          <w:szCs w:val="20"/>
        </w:rPr>
        <w:t xml:space="preserve">Year 2 and 3 installs: </w:t>
      </w:r>
      <w:r w:rsidRPr="002815D4">
        <w:rPr>
          <w:rFonts w:ascii="Calibri" w:eastAsia="Calibri" w:hAnsi="Calibri" w:cs="Arial"/>
          <w:sz w:val="20"/>
          <w:szCs w:val="20"/>
        </w:rPr>
        <w:tab/>
        <w:t xml:space="preserve">Characterized using delta watts assumption and hours of use from the Install Year, i.e., the actual deemed (or evaluated if available) assumptions active in Year 2 and 3 should be applied. </w:t>
      </w:r>
    </w:p>
    <w:p w14:paraId="091100F6" w14:textId="77777777" w:rsidR="002815D4" w:rsidRPr="002815D4" w:rsidRDefault="002815D4" w:rsidP="002815D4">
      <w:pPr>
        <w:spacing w:after="120"/>
        <w:ind w:left="3600"/>
        <w:jc w:val="both"/>
        <w:rPr>
          <w:rFonts w:ascii="Calibri" w:eastAsia="Calibri" w:hAnsi="Calibri" w:cs="Arial"/>
          <w:sz w:val="20"/>
          <w:szCs w:val="20"/>
        </w:rPr>
      </w:pPr>
      <w:r w:rsidRPr="002815D4">
        <w:rPr>
          <w:rFonts w:ascii="Calibri" w:eastAsia="Calibri" w:hAnsi="Calibri" w:cs="Arial"/>
          <w:sz w:val="20"/>
          <w:szCs w:val="20"/>
        </w:rPr>
        <w:t>The NTG factor for the Purchase Year should be applied.</w:t>
      </w:r>
    </w:p>
    <w:p w14:paraId="6C5E8A66" w14:textId="77777777" w:rsidR="002815D4" w:rsidRPr="002815D4" w:rsidRDefault="002815D4" w:rsidP="002815D4">
      <w:pPr>
        <w:keepNext/>
        <w:keepLines/>
        <w:tabs>
          <w:tab w:val="left" w:pos="5040"/>
        </w:tabs>
        <w:spacing w:before="40" w:after="120"/>
        <w:jc w:val="both"/>
        <w:outlineLvl w:val="5"/>
        <w:rPr>
          <w:rFonts w:ascii="Calibri" w:eastAsia="Calibri" w:hAnsi="Calibri" w:cs="Calibri"/>
          <w:b/>
          <w:smallCaps/>
          <w:sz w:val="20"/>
          <w:szCs w:val="20"/>
        </w:rPr>
      </w:pPr>
      <w:r w:rsidRPr="002815D4">
        <w:rPr>
          <w:rFonts w:ascii="Calibri" w:eastAsia="Calibri" w:hAnsi="Calibri" w:cs="Calibri"/>
          <w:b/>
          <w:smallCaps/>
          <w:sz w:val="20"/>
          <w:szCs w:val="20"/>
        </w:rPr>
        <w:t xml:space="preserve">Summer Coincident Peak Demand Savings </w:t>
      </w:r>
    </w:p>
    <w:p w14:paraId="01F04B44" w14:textId="77777777" w:rsidR="002815D4" w:rsidRPr="002815D4" w:rsidRDefault="002815D4" w:rsidP="002815D4">
      <w:pPr>
        <w:spacing w:after="120"/>
        <w:ind w:left="1440"/>
        <w:jc w:val="both"/>
        <w:rPr>
          <w:rFonts w:ascii="Calibri" w:eastAsia="Calibri" w:hAnsi="Calibri" w:cs="Arial"/>
          <w:noProof/>
          <w:sz w:val="20"/>
          <w:szCs w:val="20"/>
        </w:rPr>
      </w:pPr>
      <w:r w:rsidRPr="002815D4">
        <w:rPr>
          <w:rFonts w:ascii="Calibri" w:eastAsia="Calibri" w:hAnsi="Calibri" w:cs="Arial"/>
          <w:noProof/>
          <w:sz w:val="20"/>
          <w:szCs w:val="20"/>
        </w:rPr>
        <w:t xml:space="preserve">ΔkW  = </w:t>
      </w:r>
      <m:oMath>
        <m:r>
          <w:rPr>
            <w:rFonts w:ascii="Cambria Math" w:eastAsia="Calibri" w:hAnsi="Cambria Math" w:cs="Arial"/>
            <w:noProof/>
            <w:sz w:val="20"/>
            <w:szCs w:val="20"/>
          </w:rPr>
          <m:t>((</m:t>
        </m:r>
        <m:sSub>
          <m:sSubPr>
            <m:ctrlPr>
              <w:rPr>
                <w:rFonts w:ascii="Cambria Math" w:eastAsia="Calibri" w:hAnsi="Cambria Math" w:cs="Arial"/>
                <w:i/>
                <w:noProof/>
                <w:sz w:val="20"/>
                <w:szCs w:val="20"/>
              </w:rPr>
            </m:ctrlPr>
          </m:sSubPr>
          <m:e>
            <m:r>
              <w:rPr>
                <w:rFonts w:ascii="Cambria Math" w:eastAsia="Calibri" w:hAnsi="Cambria Math" w:cs="Arial"/>
                <w:noProof/>
                <w:sz w:val="20"/>
                <w:szCs w:val="20"/>
              </w:rPr>
              <m:t>Watts</m:t>
            </m:r>
          </m:e>
          <m:sub>
            <m:r>
              <w:rPr>
                <w:rFonts w:ascii="Cambria Math" w:eastAsia="Calibri" w:hAnsi="Cambria Math" w:cs="Arial"/>
                <w:noProof/>
                <w:sz w:val="20"/>
                <w:szCs w:val="20"/>
                <w:vertAlign w:val="subscript"/>
              </w:rPr>
              <m:t>base</m:t>
            </m:r>
          </m:sub>
        </m:sSub>
        <m:r>
          <w:rPr>
            <w:rFonts w:ascii="Cambria Math" w:eastAsia="Calibri" w:hAnsi="Cambria Math" w:cs="Arial"/>
            <w:noProof/>
            <w:sz w:val="20"/>
            <w:szCs w:val="20"/>
          </w:rPr>
          <m:t>-</m:t>
        </m:r>
        <m:sSub>
          <m:sSubPr>
            <m:ctrlPr>
              <w:rPr>
                <w:rFonts w:ascii="Cambria Math" w:eastAsia="Calibri" w:hAnsi="Cambria Math" w:cs="Arial"/>
                <w:i/>
                <w:noProof/>
                <w:sz w:val="20"/>
                <w:szCs w:val="20"/>
              </w:rPr>
            </m:ctrlPr>
          </m:sSubPr>
          <m:e>
            <m:r>
              <w:rPr>
                <w:rFonts w:ascii="Cambria Math" w:eastAsia="Calibri" w:hAnsi="Cambria Math" w:cs="Arial"/>
                <w:noProof/>
                <w:sz w:val="20"/>
                <w:szCs w:val="20"/>
              </w:rPr>
              <m:t>Watts</m:t>
            </m:r>
          </m:e>
          <m:sub>
            <m:r>
              <w:rPr>
                <w:rFonts w:ascii="Cambria Math" w:eastAsia="Calibri" w:hAnsi="Cambria Math" w:cs="Arial"/>
                <w:noProof/>
                <w:sz w:val="20"/>
                <w:szCs w:val="20"/>
                <w:vertAlign w:val="subscript"/>
              </w:rPr>
              <m:t>EE</m:t>
            </m:r>
          </m:sub>
        </m:sSub>
        <m:r>
          <w:rPr>
            <w:rFonts w:ascii="Cambria Math" w:eastAsia="Calibri" w:hAnsi="Cambria Math" w:cs="Arial"/>
            <w:noProof/>
            <w:sz w:val="20"/>
            <w:szCs w:val="20"/>
          </w:rPr>
          <m:t xml:space="preserve">)/1,000) * ISR * </m:t>
        </m:r>
        <m:sSub>
          <m:sSubPr>
            <m:ctrlPr>
              <w:rPr>
                <w:rFonts w:ascii="Cambria Math" w:eastAsia="Calibri" w:hAnsi="Cambria Math" w:cs="Arial"/>
                <w:i/>
                <w:noProof/>
                <w:sz w:val="20"/>
                <w:szCs w:val="20"/>
              </w:rPr>
            </m:ctrlPr>
          </m:sSubPr>
          <m:e>
            <m:r>
              <w:rPr>
                <w:rFonts w:ascii="Cambria Math" w:eastAsia="Calibri" w:hAnsi="Cambria Math" w:cs="Arial"/>
                <w:noProof/>
                <w:sz w:val="20"/>
                <w:szCs w:val="20"/>
              </w:rPr>
              <m:t>WHF</m:t>
            </m:r>
          </m:e>
          <m:sub>
            <m:r>
              <w:rPr>
                <w:rFonts w:ascii="Cambria Math" w:eastAsia="Calibri" w:hAnsi="Cambria Math" w:cs="Arial"/>
                <w:noProof/>
                <w:sz w:val="20"/>
                <w:szCs w:val="20"/>
                <w:vertAlign w:val="subscript"/>
              </w:rPr>
              <m:t>d</m:t>
            </m:r>
          </m:sub>
        </m:sSub>
        <m:r>
          <w:rPr>
            <w:rFonts w:ascii="Cambria Math" w:eastAsia="Calibri" w:hAnsi="Cambria Math" w:cs="Arial"/>
            <w:noProof/>
            <w:sz w:val="20"/>
            <w:szCs w:val="20"/>
            <w:vertAlign w:val="subscript"/>
          </w:rPr>
          <m:t xml:space="preserve"> </m:t>
        </m:r>
        <m:r>
          <w:rPr>
            <w:rFonts w:ascii="Cambria Math" w:eastAsia="Calibri" w:hAnsi="Cambria Math" w:cs="Arial"/>
            <w:noProof/>
            <w:sz w:val="20"/>
            <w:szCs w:val="20"/>
          </w:rPr>
          <m:t>* CF</m:t>
        </m:r>
      </m:oMath>
      <w:r w:rsidRPr="002815D4">
        <w:rPr>
          <w:rFonts w:ascii="Calibri" w:eastAsia="Calibri" w:hAnsi="Calibri" w:cs="Arial"/>
          <w:noProof/>
          <w:sz w:val="20"/>
          <w:szCs w:val="20"/>
        </w:rPr>
        <w:t xml:space="preserve"> </w:t>
      </w:r>
    </w:p>
    <w:p w14:paraId="7A842BDE" w14:textId="77777777" w:rsidR="002815D4" w:rsidRPr="002815D4" w:rsidRDefault="002815D4" w:rsidP="002815D4">
      <w:pPr>
        <w:spacing w:after="120"/>
        <w:jc w:val="both"/>
        <w:rPr>
          <w:rFonts w:ascii="Calibri" w:eastAsia="Calibri" w:hAnsi="Calibri" w:cs="Arial"/>
          <w:noProof/>
          <w:sz w:val="20"/>
          <w:szCs w:val="20"/>
          <w:lang w:val="nl-NL"/>
        </w:rPr>
      </w:pPr>
      <w:r w:rsidRPr="002815D4">
        <w:rPr>
          <w:rFonts w:ascii="Calibri" w:eastAsia="Calibri" w:hAnsi="Calibri" w:cs="Arial"/>
          <w:noProof/>
          <w:sz w:val="20"/>
          <w:szCs w:val="20"/>
          <w:lang w:val="nl-NL"/>
        </w:rPr>
        <w:t>Where:</w:t>
      </w:r>
    </w:p>
    <w:p w14:paraId="3B93DE62" w14:textId="77777777" w:rsidR="002815D4" w:rsidRPr="002815D4" w:rsidRDefault="002815D4" w:rsidP="002815D4">
      <w:pPr>
        <w:spacing w:after="120"/>
        <w:ind w:left="2160" w:hanging="1440"/>
        <w:rPr>
          <w:rFonts w:ascii="Calibri" w:eastAsia="Calibri" w:hAnsi="Calibri" w:cs="Arial"/>
          <w:noProof/>
          <w:sz w:val="20"/>
          <w:szCs w:val="20"/>
        </w:rPr>
      </w:pPr>
      <w:r w:rsidRPr="002815D4">
        <w:rPr>
          <w:rFonts w:ascii="Calibri" w:eastAsia="Calibri" w:hAnsi="Calibri" w:cs="Arial"/>
          <w:noProof/>
          <w:sz w:val="20"/>
          <w:szCs w:val="20"/>
        </w:rPr>
        <w:t>WHFd</w:t>
      </w:r>
      <w:r w:rsidRPr="002815D4">
        <w:rPr>
          <w:rFonts w:ascii="Calibri" w:eastAsia="Calibri" w:hAnsi="Calibri" w:cs="Arial"/>
          <w:noProof/>
          <w:sz w:val="20"/>
          <w:szCs w:val="20"/>
        </w:rPr>
        <w:tab/>
        <w:t>= Waste Heat Factor for Demand to account for cooling savings from efficient lighting in cooled buildings is provided in Referecne Table in Section 4.5</w:t>
      </w:r>
      <w:r w:rsidRPr="002815D4">
        <w:rPr>
          <w:rFonts w:ascii="Calibri" w:eastAsia="Calibri" w:hAnsi="Calibri" w:cs="Arial"/>
          <w:sz w:val="20"/>
          <w:szCs w:val="20"/>
        </w:rPr>
        <w:t>.  If unknown, use the Miscellaneous value.</w:t>
      </w:r>
      <w:r w:rsidRPr="002815D4">
        <w:rPr>
          <w:rFonts w:ascii="Calibri" w:eastAsia="Calibri" w:hAnsi="Calibri" w:cs="Arial"/>
          <w:noProof/>
          <w:sz w:val="20"/>
          <w:szCs w:val="20"/>
        </w:rPr>
        <w:t xml:space="preserve"> </w:t>
      </w:r>
    </w:p>
    <w:p w14:paraId="32C73463" w14:textId="77777777" w:rsidR="002815D4" w:rsidRPr="002815D4" w:rsidRDefault="002815D4" w:rsidP="002815D4">
      <w:pPr>
        <w:spacing w:after="120"/>
        <w:ind w:left="2160" w:hanging="1440"/>
        <w:jc w:val="both"/>
        <w:rPr>
          <w:rFonts w:ascii="Calibri" w:eastAsia="Calibri" w:hAnsi="Calibri" w:cs="Arial"/>
          <w:sz w:val="20"/>
          <w:szCs w:val="20"/>
        </w:rPr>
      </w:pPr>
      <w:r w:rsidRPr="002815D4">
        <w:rPr>
          <w:rFonts w:ascii="Calibri" w:eastAsia="Calibri" w:hAnsi="Calibri" w:cs="Arial"/>
          <w:noProof/>
          <w:sz w:val="20"/>
          <w:szCs w:val="20"/>
        </w:rPr>
        <w:t xml:space="preserve">CF </w:t>
      </w:r>
      <w:r w:rsidRPr="002815D4">
        <w:rPr>
          <w:rFonts w:ascii="Calibri" w:eastAsia="Calibri" w:hAnsi="Calibri" w:cs="Arial"/>
          <w:noProof/>
          <w:sz w:val="20"/>
          <w:szCs w:val="20"/>
        </w:rPr>
        <w:tab/>
        <w:t>= Summer Peak Coincidence Factor for measure is provided in the Reference Table in Section 4.5</w:t>
      </w:r>
      <w:r w:rsidRPr="002815D4">
        <w:rPr>
          <w:rFonts w:ascii="Calibri" w:eastAsia="Calibri" w:hAnsi="Calibri" w:cs="Arial"/>
          <w:sz w:val="20"/>
          <w:szCs w:val="20"/>
        </w:rPr>
        <w:t>.  If unknown, use the Miscellaneous value.</w:t>
      </w:r>
    </w:p>
    <w:p w14:paraId="1F318B30" w14:textId="77777777" w:rsidR="00AA453A" w:rsidRPr="00AA453A" w:rsidRDefault="002815D4" w:rsidP="00AA453A">
      <w:pPr>
        <w:spacing w:after="120"/>
        <w:jc w:val="both"/>
        <w:rPr>
          <w:rFonts w:ascii="Calibri" w:eastAsia="Calibri" w:hAnsi="Calibri" w:cs="Arial"/>
          <w:sz w:val="20"/>
          <w:szCs w:val="20"/>
        </w:rPr>
      </w:pPr>
      <w:r w:rsidRPr="002815D4">
        <w:rPr>
          <w:rFonts w:ascii="Calibri" w:eastAsia="Calibri" w:hAnsi="Calibri" w:cs="Arial"/>
          <w:noProof/>
          <w:sz w:val="20"/>
          <w:szCs w:val="20"/>
        </w:rPr>
        <mc:AlternateContent>
          <mc:Choice Requires="wps">
            <w:drawing>
              <wp:inline distT="0" distB="0" distL="0" distR="0" wp14:anchorId="617BF06B" wp14:editId="6AC331A7">
                <wp:extent cx="5943600" cy="868680"/>
                <wp:effectExtent l="0" t="0" r="19050" b="26670"/>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68680"/>
                        </a:xfrm>
                        <a:prstGeom prst="rect">
                          <a:avLst/>
                        </a:prstGeom>
                        <a:solidFill>
                          <a:srgbClr val="FFFFFF"/>
                        </a:solidFill>
                        <a:ln w="12700">
                          <a:solidFill>
                            <a:srgbClr val="000000"/>
                          </a:solidFill>
                          <a:miter lim="800000"/>
                          <a:headEnd/>
                          <a:tailEnd/>
                        </a:ln>
                      </wps:spPr>
                      <wps:txbx>
                        <w:txbxContent>
                          <w:p w14:paraId="6C66515D" w14:textId="77777777" w:rsidR="002815D4" w:rsidRDefault="002815D4" w:rsidP="002815D4">
                            <w:pPr>
                              <w:spacing w:after="60"/>
                            </w:pPr>
                            <w:r w:rsidRPr="00D03E0F">
                              <w:rPr>
                                <w:b/>
                              </w:rPr>
                              <w:t>For example,</w:t>
                            </w:r>
                            <w:r>
                              <w:t xml:space="preserve"> </w:t>
                            </w:r>
                            <w:r w:rsidRPr="002815D4">
                              <w:rPr>
                                <w:rFonts w:cs="Calibri"/>
                              </w:rPr>
                              <w:t xml:space="preserve">a 9W LED omnidirectional lamp, 450 lumens, is installed in a mid rise office </w:t>
                            </w:r>
                            <w:r>
                              <w:t>and sign off form provided:</w:t>
                            </w:r>
                          </w:p>
                          <w:p w14:paraId="2C4C544C" w14:textId="77777777" w:rsidR="002815D4" w:rsidRPr="002815D4" w:rsidRDefault="002815D4" w:rsidP="002815D4">
                            <w:pPr>
                              <w:spacing w:after="60"/>
                              <w:ind w:left="1440"/>
                              <w:rPr>
                                <w:rFonts w:cs="Calibri"/>
                              </w:rPr>
                            </w:pPr>
                            <w:r>
                              <w:rPr>
                                <w:noProof/>
                              </w:rPr>
                              <w:t xml:space="preserve">ΔkW  </w:t>
                            </w:r>
                            <w:r>
                              <w:rPr>
                                <w:noProof/>
                              </w:rPr>
                              <w:tab/>
                              <w:t xml:space="preserve">= </w:t>
                            </w:r>
                            <w:r w:rsidRPr="002815D4">
                              <w:rPr>
                                <w:rFonts w:cs="Calibri"/>
                                <w:noProof/>
                              </w:rPr>
                              <w:t>((29-6.7)/1,000)* 1.0*1.3*0.6</w:t>
                            </w:r>
                          </w:p>
                          <w:p w14:paraId="074AB6AA" w14:textId="77777777" w:rsidR="002815D4" w:rsidRDefault="002815D4" w:rsidP="002815D4">
                            <w:pPr>
                              <w:spacing w:after="60"/>
                              <w:ind w:left="720"/>
                            </w:pPr>
                            <w:r>
                              <w:tab/>
                            </w:r>
                            <w:r>
                              <w:tab/>
                              <w:t>= 0.017 kW</w:t>
                            </w:r>
                          </w:p>
                        </w:txbxContent>
                      </wps:txbx>
                      <wps:bodyPr rot="0" vert="horz" wrap="square" lIns="91440" tIns="45720" rIns="91440" bIns="45720" anchor="t" anchorCtr="0">
                        <a:noAutofit/>
                      </wps:bodyPr>
                    </wps:wsp>
                  </a:graphicData>
                </a:graphic>
              </wp:inline>
            </w:drawing>
          </mc:Choice>
          <mc:Fallback>
            <w:pict>
              <v:shape w14:anchorId="617BF06B" id="Text Box 311" o:spid="_x0000_s1027" type="#_x0000_t202" style="width:468pt;height:6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" strokeweight="1pt">
                <v:textbox>
                  <w:txbxContent>
                    <w:p w14:paraId="6C66515D" w14:textId="77777777" w:rsidR="002815D4" w:rsidRDefault="002815D4" w:rsidP="002815D4">
                      <w:pPr>
                        <w:spacing w:after="60"/>
                      </w:pPr>
                      <w:r w:rsidRPr="00D03E0F">
                        <w:rPr>
                          <w:b/>
                        </w:rPr>
                        <w:t>For example,</w:t>
                      </w:r>
                      <w:r>
                        <w:t xml:space="preserve"> </w:t>
                      </w:r>
                      <w:r w:rsidRPr="002815D4">
                        <w:rPr>
                          <w:rFonts w:cs="Calibri"/>
                        </w:rPr>
                        <w:t xml:space="preserve">a 9W LED omnidirectional lamp, 450 lumens, is installed in a mid rise office </w:t>
                      </w:r>
                      <w:r>
                        <w:t>and sign off form provided:</w:t>
                      </w:r>
                    </w:p>
                    <w:p w14:paraId="2C4C544C" w14:textId="77777777" w:rsidR="002815D4" w:rsidRPr="002815D4" w:rsidRDefault="002815D4" w:rsidP="002815D4">
                      <w:pPr>
                        <w:spacing w:after="60"/>
                        <w:ind w:left="1440"/>
                        <w:rPr>
                          <w:rFonts w:cs="Calibri"/>
                        </w:rPr>
                      </w:pPr>
                      <w:r>
                        <w:rPr>
                          <w:noProof/>
                        </w:rPr>
                        <w:t xml:space="preserve">ΔkW  </w:t>
                      </w:r>
                      <w:r>
                        <w:rPr>
                          <w:noProof/>
                        </w:rPr>
                        <w:tab/>
                        <w:t xml:space="preserve">= </w:t>
                      </w:r>
                      <w:r w:rsidRPr="002815D4">
                        <w:rPr>
                          <w:rFonts w:cs="Calibri"/>
                          <w:noProof/>
                        </w:rPr>
                        <w:t>((29-6.7)/1,000)* 1.0*1.3*0.6</w:t>
                      </w:r>
                    </w:p>
                    <w:p w14:paraId="074AB6AA" w14:textId="77777777" w:rsidR="002815D4" w:rsidRDefault="002815D4" w:rsidP="002815D4">
                      <w:pPr>
                        <w:spacing w:after="60"/>
                        <w:ind w:left="720"/>
                      </w:pPr>
                      <w:r>
                        <w:tab/>
                      </w:r>
                      <w:r>
                        <w:tab/>
                        <w:t>= 0.017 kW</w:t>
                      </w:r>
                    </w:p>
                  </w:txbxContent>
                </v:textbox>
                <w10:anchorlock/>
              </v:shape>
            </w:pict>
          </mc:Fallback>
        </mc:AlternateContent>
      </w:r>
    </w:p>
    <w:p w14:paraId="4AB58661" w14:textId="77777777" w:rsidR="00AA453A" w:rsidRPr="002815D4" w:rsidRDefault="00AA453A" w:rsidP="002815D4">
      <w:pPr>
        <w:keepNext/>
        <w:keepLines/>
        <w:tabs>
          <w:tab w:val="left" w:pos="5040"/>
        </w:tabs>
        <w:spacing w:before="40" w:after="120"/>
        <w:jc w:val="both"/>
        <w:outlineLvl w:val="5"/>
        <w:rPr>
          <w:rFonts w:ascii="Calibri" w:eastAsia="Calibri" w:hAnsi="Calibri" w:cs="Calibri"/>
          <w:b/>
          <w:smallCaps/>
          <w:sz w:val="20"/>
          <w:szCs w:val="20"/>
        </w:rPr>
      </w:pPr>
      <w:r w:rsidRPr="002815D4">
        <w:rPr>
          <w:rFonts w:ascii="Calibri" w:eastAsia="Calibri" w:hAnsi="Calibri" w:cs="Calibri"/>
          <w:b/>
          <w:smallCaps/>
          <w:sz w:val="20"/>
          <w:szCs w:val="20"/>
        </w:rPr>
        <w:t>Fossil Fuel Savings</w:t>
      </w:r>
    </w:p>
    <w:p w14:paraId="30F11E31" w14:textId="77777777" w:rsidR="002815D4" w:rsidRPr="002815D4" w:rsidRDefault="002815D4" w:rsidP="002815D4">
      <w:pPr>
        <w:spacing w:after="120"/>
        <w:jc w:val="both"/>
        <w:rPr>
          <w:rFonts w:ascii="Calibri" w:eastAsia="Calibri" w:hAnsi="Calibri" w:cs="Calibri"/>
          <w:noProof/>
          <w:sz w:val="20"/>
          <w:szCs w:val="20"/>
        </w:rPr>
      </w:pPr>
      <w:r w:rsidRPr="002815D4">
        <w:rPr>
          <w:rFonts w:ascii="Calibri" w:eastAsia="Calibri" w:hAnsi="Calibri" w:cs="Calibri"/>
          <w:noProof/>
          <w:sz w:val="20"/>
          <w:szCs w:val="20"/>
        </w:rPr>
        <w:t>Heating Penalty if fossil fuel heated building (or if heating fuel is unknown):</w:t>
      </w:r>
    </w:p>
    <w:p w14:paraId="2D20074F" w14:textId="77777777" w:rsidR="002815D4" w:rsidRPr="002815D4" w:rsidRDefault="002815D4" w:rsidP="002815D4">
      <w:pPr>
        <w:spacing w:after="120"/>
        <w:ind w:left="1440"/>
        <w:jc w:val="both"/>
        <w:rPr>
          <w:rFonts w:ascii="Calibri" w:eastAsia="Calibri" w:hAnsi="Calibri" w:cs="Arial"/>
          <w:sz w:val="20"/>
          <w:szCs w:val="20"/>
        </w:rPr>
      </w:pPr>
      <w:r w:rsidRPr="002815D4">
        <w:rPr>
          <w:rFonts w:ascii="Calibri" w:eastAsia="Calibri" w:hAnsi="Calibri" w:cs="Arial"/>
          <w:sz w:val="20"/>
          <w:szCs w:val="20"/>
        </w:rPr>
        <w:t xml:space="preserve">ΔTherms </w:t>
      </w:r>
      <w:r w:rsidRPr="002815D4">
        <w:rPr>
          <w:rFonts w:ascii="Calibri" w:eastAsia="Calibri" w:hAnsi="Calibri" w:cs="Calibri"/>
          <w:noProof/>
          <w:sz w:val="20"/>
          <w:szCs w:val="20"/>
        </w:rPr>
        <w:t xml:space="preserve">= </w:t>
      </w:r>
      <m:oMath>
        <m:r>
          <w:rPr>
            <w:rFonts w:ascii="Cambria Math" w:eastAsia="Calibri" w:hAnsi="Cambria Math" w:cs="Calibri"/>
            <w:noProof/>
            <w:sz w:val="20"/>
            <w:szCs w:val="20"/>
          </w:rPr>
          <m:t>((</m:t>
        </m:r>
        <m:sSub>
          <m:sSubPr>
            <m:ctrlPr>
              <w:rPr>
                <w:rFonts w:ascii="Cambria Math" w:eastAsia="Calibri" w:hAnsi="Cambria Math" w:cs="Calibri"/>
                <w:i/>
                <w:noProof/>
                <w:sz w:val="20"/>
                <w:szCs w:val="20"/>
              </w:rPr>
            </m:ctrlPr>
          </m:sSubPr>
          <m:e>
            <m:r>
              <w:rPr>
                <w:rFonts w:ascii="Cambria Math" w:eastAsia="Calibri" w:hAnsi="Cambria Math" w:cs="Calibri"/>
                <w:noProof/>
                <w:sz w:val="20"/>
                <w:szCs w:val="20"/>
              </w:rPr>
              <m:t>Watts</m:t>
            </m:r>
          </m:e>
          <m:sub>
            <m:r>
              <w:rPr>
                <w:rFonts w:ascii="Cambria Math" w:eastAsia="Calibri" w:hAnsi="Cambria Math" w:cs="Calibri"/>
                <w:noProof/>
                <w:sz w:val="20"/>
                <w:szCs w:val="20"/>
              </w:rPr>
              <m:t>Base</m:t>
            </m:r>
          </m:sub>
        </m:sSub>
        <m:r>
          <w:rPr>
            <w:rFonts w:ascii="Cambria Math" w:eastAsia="Calibri" w:hAnsi="Cambria Math" w:cs="Calibri"/>
            <w:noProof/>
            <w:sz w:val="20"/>
            <w:szCs w:val="20"/>
          </w:rPr>
          <m:t>-</m:t>
        </m:r>
        <m:sSub>
          <m:sSubPr>
            <m:ctrlPr>
              <w:rPr>
                <w:rFonts w:ascii="Cambria Math" w:eastAsia="Calibri" w:hAnsi="Cambria Math" w:cs="Calibri"/>
                <w:i/>
                <w:noProof/>
                <w:sz w:val="20"/>
                <w:szCs w:val="20"/>
              </w:rPr>
            </m:ctrlPr>
          </m:sSubPr>
          <m:e>
            <m:r>
              <w:rPr>
                <w:rFonts w:ascii="Cambria Math" w:eastAsia="Calibri" w:hAnsi="Cambria Math" w:cs="Calibri"/>
                <w:noProof/>
                <w:sz w:val="20"/>
                <w:szCs w:val="20"/>
              </w:rPr>
              <m:t>Watts</m:t>
            </m:r>
          </m:e>
          <m:sub>
            <m:r>
              <w:rPr>
                <w:rFonts w:ascii="Cambria Math" w:eastAsia="Calibri" w:hAnsi="Cambria Math" w:cs="Calibri"/>
                <w:noProof/>
                <w:sz w:val="20"/>
                <w:szCs w:val="20"/>
              </w:rPr>
              <m:t>EE</m:t>
            </m:r>
          </m:sub>
        </m:sSub>
        <m:r>
          <w:rPr>
            <w:rFonts w:ascii="Cambria Math" w:eastAsia="Calibri" w:hAnsi="Cambria Math" w:cs="Calibri"/>
            <w:noProof/>
            <w:sz w:val="20"/>
            <w:szCs w:val="20"/>
          </w:rPr>
          <m:t xml:space="preserve">)/1000) * ISR * Hours </m:t>
        </m:r>
        <m:r>
          <w:rPr>
            <w:rFonts w:ascii="Cambria Math" w:eastAsia="Calibri" w:hAnsi="Cambria Math" w:cs="Arial"/>
            <w:sz w:val="20"/>
            <w:szCs w:val="20"/>
          </w:rPr>
          <m:t xml:space="preserve">* - IFTherms </m:t>
        </m:r>
      </m:oMath>
    </w:p>
    <w:p w14:paraId="40C51C71" w14:textId="77777777" w:rsidR="002815D4" w:rsidRPr="002815D4" w:rsidRDefault="002815D4" w:rsidP="002815D4">
      <w:pPr>
        <w:spacing w:after="120"/>
        <w:jc w:val="both"/>
        <w:rPr>
          <w:rFonts w:ascii="Calibri" w:eastAsia="Calibri" w:hAnsi="Calibri" w:cs="Arial"/>
          <w:sz w:val="20"/>
          <w:szCs w:val="20"/>
        </w:rPr>
      </w:pPr>
      <w:r w:rsidRPr="002815D4">
        <w:rPr>
          <w:rFonts w:ascii="Calibri" w:eastAsia="Calibri" w:hAnsi="Calibri" w:cs="Arial"/>
          <w:sz w:val="20"/>
          <w:szCs w:val="20"/>
        </w:rPr>
        <w:t>Where:</w:t>
      </w:r>
    </w:p>
    <w:p w14:paraId="64E10479" w14:textId="77777777" w:rsidR="002815D4" w:rsidRPr="002815D4" w:rsidRDefault="002815D4" w:rsidP="002815D4">
      <w:pPr>
        <w:spacing w:after="120"/>
        <w:ind w:left="2160" w:hanging="1440"/>
        <w:jc w:val="both"/>
        <w:rPr>
          <w:rFonts w:ascii="Calibri" w:eastAsia="Calibri" w:hAnsi="Calibri" w:cs="Arial"/>
          <w:sz w:val="20"/>
          <w:szCs w:val="20"/>
        </w:rPr>
      </w:pPr>
      <w:r w:rsidRPr="002815D4">
        <w:rPr>
          <w:rFonts w:ascii="Calibri" w:eastAsia="Calibri" w:hAnsi="Calibri" w:cs="Arial"/>
          <w:sz w:val="20"/>
          <w:szCs w:val="20"/>
        </w:rPr>
        <w:t xml:space="preserve">IFTherms </w:t>
      </w:r>
      <w:r w:rsidRPr="002815D4">
        <w:rPr>
          <w:rFonts w:ascii="Calibri" w:eastAsia="Calibri" w:hAnsi="Calibri" w:cs="Arial"/>
          <w:sz w:val="20"/>
          <w:szCs w:val="20"/>
        </w:rPr>
        <w:tab/>
        <w:t>= Lighting-HVAC Integration Factor for gas heating impacts; this factor represents the increased gas space heating requirements due to the reduction of waste heat rejected by the efficient lighting.  Values are</w:t>
      </w:r>
      <w:r w:rsidRPr="002815D4">
        <w:rPr>
          <w:rFonts w:ascii="Calibri" w:eastAsia="Calibri" w:hAnsi="Calibri" w:cs="Arial"/>
          <w:noProof/>
          <w:sz w:val="20"/>
          <w:szCs w:val="20"/>
        </w:rPr>
        <w:t xml:space="preserve"> provided in the Referecne Table in Section 4.5</w:t>
      </w:r>
      <w:r w:rsidRPr="002815D4">
        <w:rPr>
          <w:rFonts w:ascii="Calibri" w:eastAsia="Calibri" w:hAnsi="Calibri" w:cs="Arial"/>
          <w:sz w:val="20"/>
          <w:szCs w:val="20"/>
        </w:rPr>
        <w:t>.  If unknown, use the Miscellaneous value.</w:t>
      </w:r>
    </w:p>
    <w:p w14:paraId="2775859A" w14:textId="77777777" w:rsidR="002815D4" w:rsidRPr="002815D4" w:rsidRDefault="002815D4" w:rsidP="002815D4">
      <w:pPr>
        <w:spacing w:after="120"/>
        <w:jc w:val="both"/>
        <w:rPr>
          <w:rFonts w:ascii="Calibri" w:eastAsia="Calibri" w:hAnsi="Calibri" w:cs="Arial"/>
          <w:sz w:val="20"/>
          <w:szCs w:val="20"/>
        </w:rPr>
      </w:pPr>
      <w:r w:rsidRPr="002815D4">
        <w:rPr>
          <w:rFonts w:ascii="Calibri" w:eastAsia="Calibri" w:hAnsi="Calibri" w:cs="Arial"/>
          <w:noProof/>
          <w:sz w:val="20"/>
          <w:szCs w:val="20"/>
        </w:rPr>
        <mc:AlternateContent>
          <mc:Choice Requires="wps">
            <w:drawing>
              <wp:inline distT="0" distB="0" distL="0" distR="0" wp14:anchorId="5D54CC60" wp14:editId="1931709E">
                <wp:extent cx="5943600" cy="1129665"/>
                <wp:effectExtent l="0" t="0" r="19050" b="21590"/>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29665"/>
                        </a:xfrm>
                        <a:prstGeom prst="rect">
                          <a:avLst/>
                        </a:prstGeom>
                        <a:solidFill>
                          <a:srgbClr val="FFFFFF"/>
                        </a:solidFill>
                        <a:ln w="12700">
                          <a:solidFill>
                            <a:srgbClr val="000000"/>
                          </a:solidFill>
                          <a:miter lim="800000"/>
                          <a:headEnd/>
                          <a:tailEnd/>
                        </a:ln>
                      </wps:spPr>
                      <wps:txbx>
                        <w:txbxContent>
                          <w:p w14:paraId="584E3D12" w14:textId="77777777" w:rsidR="002815D4" w:rsidRDefault="002815D4" w:rsidP="002815D4">
                            <w:pPr>
                              <w:spacing w:after="60"/>
                            </w:pPr>
                            <w:r w:rsidRPr="002815D4">
                              <w:rPr>
                                <w:rFonts w:cs="Calibri"/>
                                <w:b/>
                              </w:rPr>
                              <w:t>For example,</w:t>
                            </w:r>
                            <w:r w:rsidRPr="002815D4">
                              <w:rPr>
                                <w:rFonts w:cs="Calibri"/>
                              </w:rPr>
                              <w:t xml:space="preserve"> a 9W LED omnidirectional lamp, 450 lumens, is installed in a mid rise office </w:t>
                            </w:r>
                            <w:r>
                              <w:t>and sign off form provided:</w:t>
                            </w:r>
                          </w:p>
                          <w:p w14:paraId="4C89C6E9" w14:textId="77777777" w:rsidR="002815D4" w:rsidRDefault="002815D4" w:rsidP="002815D4">
                            <w:pPr>
                              <w:spacing w:after="60"/>
                              <w:ind w:left="720"/>
                              <w:rPr>
                                <w:noProof/>
                              </w:rPr>
                            </w:pPr>
                            <w:r>
                              <w:rPr>
                                <w:noProof/>
                              </w:rPr>
                              <w:t xml:space="preserve">ΔTherms  </w:t>
                            </w:r>
                            <w:r>
                              <w:rPr>
                                <w:noProof/>
                              </w:rPr>
                              <w:tab/>
                              <w:t xml:space="preserve">= </w:t>
                            </w:r>
                            <w:r w:rsidRPr="002815D4">
                              <w:rPr>
                                <w:rFonts w:cs="Calibri"/>
                                <w:noProof/>
                              </w:rPr>
                              <w:t>((29-6.7)/1,000)*1.0*3088</w:t>
                            </w:r>
                            <w:r>
                              <w:rPr>
                                <w:noProof/>
                              </w:rPr>
                              <w:t>* -0.016</w:t>
                            </w:r>
                          </w:p>
                          <w:p w14:paraId="5CA0BDA5" w14:textId="77777777" w:rsidR="002815D4" w:rsidRDefault="002815D4" w:rsidP="002815D4">
                            <w:pPr>
                              <w:spacing w:after="60"/>
                              <w:ind w:left="720"/>
                            </w:pPr>
                            <w:r>
                              <w:tab/>
                            </w:r>
                            <w:r>
                              <w:tab/>
                            </w:r>
                            <w:r>
                              <w:tab/>
                              <w:t>= - 1.10 therms</w:t>
                            </w:r>
                          </w:p>
                        </w:txbxContent>
                      </wps:txbx>
                      <wps:bodyPr rot="0" vert="horz" wrap="square" lIns="91440" tIns="45720" rIns="91440" bIns="45720" anchor="t" anchorCtr="0">
                        <a:spAutoFit/>
                      </wps:bodyPr>
                    </wps:wsp>
                  </a:graphicData>
                </a:graphic>
              </wp:inline>
            </w:drawing>
          </mc:Choice>
          <mc:Fallback>
            <w:pict>
              <v:shape w14:anchorId="5D54CC60" id="Text Box 312" o:spid="_x0000_s1028" type="#_x0000_t202" style="width:468pt;height:8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" strokeweight="1pt">
                <v:textbox style="mso-fit-shape-to-text:t">
                  <w:txbxContent>
                    <w:p w14:paraId="584E3D12" w14:textId="77777777" w:rsidR="002815D4" w:rsidRDefault="002815D4" w:rsidP="002815D4">
                      <w:pPr>
                        <w:spacing w:after="60"/>
                      </w:pPr>
                      <w:r w:rsidRPr="002815D4">
                        <w:rPr>
                          <w:rFonts w:cs="Calibri"/>
                          <w:b/>
                        </w:rPr>
                        <w:t>For example,</w:t>
                      </w:r>
                      <w:r w:rsidRPr="002815D4">
                        <w:rPr>
                          <w:rFonts w:cs="Calibri"/>
                        </w:rPr>
                        <w:t xml:space="preserve"> a 9W LED omnidirectional lamp, 450 lumens, is installed in a mid rise office </w:t>
                      </w:r>
                      <w:r>
                        <w:t>and sign off form provided:</w:t>
                      </w:r>
                    </w:p>
                    <w:p w14:paraId="4C89C6E9" w14:textId="77777777" w:rsidR="002815D4" w:rsidRDefault="002815D4" w:rsidP="002815D4">
                      <w:pPr>
                        <w:spacing w:after="60"/>
                        <w:ind w:left="720"/>
                        <w:rPr>
                          <w:noProof/>
                        </w:rPr>
                      </w:pPr>
                      <w:r>
                        <w:rPr>
                          <w:noProof/>
                        </w:rPr>
                        <w:t xml:space="preserve">ΔTherms  </w:t>
                      </w:r>
                      <w:r>
                        <w:rPr>
                          <w:noProof/>
                        </w:rPr>
                        <w:tab/>
                        <w:t xml:space="preserve">= </w:t>
                      </w:r>
                      <w:r w:rsidRPr="002815D4">
                        <w:rPr>
                          <w:rFonts w:cs="Calibri"/>
                          <w:noProof/>
                        </w:rPr>
                        <w:t>((29-6.7)/1,000)*1.0*3088</w:t>
                      </w:r>
                      <w:r>
                        <w:rPr>
                          <w:noProof/>
                        </w:rPr>
                        <w:t>* -0.016</w:t>
                      </w:r>
                    </w:p>
                    <w:p w14:paraId="5CA0BDA5" w14:textId="77777777" w:rsidR="002815D4" w:rsidRDefault="002815D4" w:rsidP="002815D4">
                      <w:pPr>
                        <w:spacing w:after="60"/>
                        <w:ind w:left="720"/>
                      </w:pPr>
                      <w:r>
                        <w:tab/>
                      </w:r>
                      <w:r>
                        <w:tab/>
                      </w:r>
                      <w:r>
                        <w:tab/>
                        <w:t>= - 1.10 therms</w:t>
                      </w:r>
                    </w:p>
                  </w:txbxContent>
                </v:textbox>
                <w10:anchorlock/>
              </v:shape>
            </w:pict>
          </mc:Fallback>
        </mc:AlternateContent>
      </w:r>
    </w:p>
    <w:p w14:paraId="62933125" w14:textId="77777777" w:rsidR="002815D4" w:rsidRPr="002815D4" w:rsidRDefault="002815D4" w:rsidP="002815D4">
      <w:pPr>
        <w:keepNext/>
        <w:keepLines/>
        <w:tabs>
          <w:tab w:val="left" w:pos="5040"/>
        </w:tabs>
        <w:spacing w:before="40" w:after="120"/>
        <w:jc w:val="both"/>
        <w:outlineLvl w:val="5"/>
        <w:rPr>
          <w:rFonts w:ascii="Calibri" w:eastAsia="Calibri" w:hAnsi="Calibri" w:cs="Calibri"/>
          <w:b/>
          <w:smallCaps/>
          <w:sz w:val="20"/>
          <w:szCs w:val="20"/>
        </w:rPr>
      </w:pPr>
      <w:r w:rsidRPr="002815D4">
        <w:rPr>
          <w:rFonts w:ascii="Calibri" w:eastAsia="Calibri" w:hAnsi="Calibri" w:cs="Calibri"/>
          <w:b/>
          <w:smallCaps/>
          <w:sz w:val="20"/>
          <w:szCs w:val="20"/>
        </w:rPr>
        <w:t xml:space="preserve">Water Impact Descriptions and Calculation  </w:t>
      </w:r>
    </w:p>
    <w:p w14:paraId="43D14E3B" w14:textId="77777777" w:rsidR="002815D4" w:rsidRPr="002815D4" w:rsidRDefault="002815D4" w:rsidP="002815D4">
      <w:pPr>
        <w:spacing w:after="120"/>
        <w:jc w:val="both"/>
        <w:rPr>
          <w:rFonts w:ascii="Calibri" w:eastAsia="Calibri" w:hAnsi="Calibri" w:cs="Arial"/>
          <w:iCs/>
          <w:sz w:val="20"/>
          <w:szCs w:val="20"/>
        </w:rPr>
      </w:pPr>
      <w:r w:rsidRPr="002815D4">
        <w:rPr>
          <w:rFonts w:ascii="Calibri" w:eastAsia="Calibri" w:hAnsi="Calibri" w:cs="Arial"/>
          <w:sz w:val="20"/>
          <w:szCs w:val="20"/>
        </w:rPr>
        <w:t>N/A</w:t>
      </w:r>
    </w:p>
    <w:p w14:paraId="4FB2F597" w14:textId="77777777" w:rsidR="002815D4" w:rsidRPr="002815D4" w:rsidRDefault="002815D4" w:rsidP="002815D4">
      <w:pPr>
        <w:keepNext/>
        <w:keepLines/>
        <w:tabs>
          <w:tab w:val="left" w:pos="5040"/>
        </w:tabs>
        <w:spacing w:before="40" w:after="120"/>
        <w:jc w:val="both"/>
        <w:outlineLvl w:val="5"/>
        <w:rPr>
          <w:rFonts w:ascii="Calibri" w:eastAsia="Calibri" w:hAnsi="Calibri" w:cs="Calibri"/>
          <w:b/>
          <w:iCs/>
          <w:smallCaps/>
          <w:sz w:val="20"/>
          <w:szCs w:val="20"/>
        </w:rPr>
      </w:pPr>
      <w:r w:rsidRPr="002815D4">
        <w:rPr>
          <w:rFonts w:ascii="Calibri" w:eastAsia="Calibri" w:hAnsi="Calibri" w:cs="Calibri"/>
          <w:b/>
          <w:smallCaps/>
          <w:sz w:val="20"/>
          <w:szCs w:val="20"/>
        </w:rPr>
        <w:t xml:space="preserve">Deemed O&amp;M Cost Adjustment Calculation </w:t>
      </w:r>
    </w:p>
    <w:p w14:paraId="1F8478A0" w14:textId="77777777" w:rsidR="002815D4" w:rsidRPr="002815D4" w:rsidRDefault="002815D4" w:rsidP="002815D4">
      <w:pPr>
        <w:spacing w:after="120"/>
        <w:jc w:val="both"/>
        <w:rPr>
          <w:rFonts w:ascii="Calibri" w:eastAsia="Calibri" w:hAnsi="Calibri" w:cs="Arial"/>
          <w:sz w:val="20"/>
          <w:szCs w:val="20"/>
        </w:rPr>
      </w:pPr>
      <w:r w:rsidRPr="002815D4">
        <w:rPr>
          <w:rFonts w:ascii="Calibri" w:eastAsia="Calibri" w:hAnsi="Calibri" w:cs="Arial"/>
          <w:sz w:val="20"/>
          <w:szCs w:val="20"/>
        </w:rPr>
        <w:t>For fixture measures, the individual component lifetimes and costs are provided in the reference table section below.</w:t>
      </w:r>
      <w:r w:rsidRPr="002815D4">
        <w:rPr>
          <w:rFonts w:ascii="Arial" w:eastAsia="Calibri" w:hAnsi="Arial" w:cs="Times New Roman"/>
          <w:sz w:val="20"/>
          <w:szCs w:val="20"/>
          <w:vertAlign w:val="superscript"/>
        </w:rPr>
        <w:footnoteReference w:id="20"/>
      </w:r>
      <w:r w:rsidRPr="002815D4">
        <w:rPr>
          <w:rFonts w:ascii="Calibri" w:eastAsia="Calibri" w:hAnsi="Calibri" w:cs="Arial"/>
          <w:sz w:val="20"/>
          <w:szCs w:val="20"/>
        </w:rPr>
        <w:t xml:space="preserve"> </w:t>
      </w:r>
    </w:p>
    <w:p w14:paraId="381452A4" w14:textId="77777777" w:rsidR="002815D4" w:rsidRPr="002815D4" w:rsidRDefault="002815D4" w:rsidP="002815D4">
      <w:pPr>
        <w:spacing w:after="120"/>
        <w:jc w:val="both"/>
        <w:rPr>
          <w:rFonts w:ascii="Calibri" w:eastAsia="Calibri" w:hAnsi="Calibri" w:cs="Arial"/>
          <w:sz w:val="20"/>
          <w:szCs w:val="20"/>
        </w:rPr>
      </w:pPr>
      <w:r w:rsidRPr="002815D4">
        <w:rPr>
          <w:rFonts w:ascii="Calibri" w:eastAsia="Calibri" w:hAnsi="Calibri" w:cs="Arial"/>
          <w:sz w:val="20"/>
          <w:szCs w:val="20"/>
        </w:rPr>
        <w:t xml:space="preserve">For lamps no O&amp;M costs should be applied. </w:t>
      </w:r>
    </w:p>
    <w:p w14:paraId="7EB3201C" w14:textId="77777777" w:rsidR="002815D4" w:rsidRPr="002815D4" w:rsidRDefault="002815D4" w:rsidP="002815D4">
      <w:pPr>
        <w:keepNext/>
        <w:keepLines/>
        <w:tabs>
          <w:tab w:val="left" w:pos="5040"/>
        </w:tabs>
        <w:spacing w:before="40" w:after="120"/>
        <w:jc w:val="both"/>
        <w:outlineLvl w:val="5"/>
        <w:rPr>
          <w:rFonts w:ascii="Calibri" w:eastAsia="Calibri" w:hAnsi="Calibri" w:cs="Calibri"/>
          <w:b/>
          <w:smallCaps/>
          <w:sz w:val="20"/>
          <w:szCs w:val="20"/>
        </w:rPr>
      </w:pPr>
      <w:r w:rsidRPr="002815D4">
        <w:rPr>
          <w:rFonts w:ascii="Calibri" w:eastAsia="Calibri" w:hAnsi="Calibri" w:cs="Calibri"/>
          <w:b/>
          <w:smallCaps/>
          <w:sz w:val="20"/>
          <w:szCs w:val="20"/>
        </w:rPr>
        <w:t xml:space="preserve">Reference Tables </w:t>
      </w:r>
    </w:p>
    <w:p w14:paraId="38E3DDC4" w14:textId="77777777" w:rsidR="002815D4" w:rsidRPr="002815D4" w:rsidRDefault="002815D4" w:rsidP="002815D4">
      <w:pPr>
        <w:spacing w:after="120"/>
        <w:jc w:val="both"/>
        <w:rPr>
          <w:rFonts w:ascii="Calibri" w:eastAsia="Calibri" w:hAnsi="Calibri" w:cs="Arial"/>
          <w:b/>
          <w:sz w:val="20"/>
          <w:szCs w:val="20"/>
        </w:rPr>
      </w:pPr>
      <w:r w:rsidRPr="002815D4">
        <w:rPr>
          <w:rFonts w:ascii="Calibri" w:eastAsia="Calibri" w:hAnsi="Calibri" w:cs="Arial"/>
          <w:b/>
          <w:sz w:val="20"/>
          <w:szCs w:val="20"/>
        </w:rPr>
        <w:t xml:space="preserve">LED Bulb Assumptions </w:t>
      </w:r>
    </w:p>
    <w:p w14:paraId="18BF6AF8" w14:textId="77777777" w:rsidR="002815D4" w:rsidRPr="002815D4" w:rsidRDefault="002815D4" w:rsidP="002815D4">
      <w:pPr>
        <w:spacing w:after="120"/>
        <w:jc w:val="both"/>
        <w:rPr>
          <w:rFonts w:ascii="Calibri" w:eastAsia="Calibri" w:hAnsi="Calibri" w:cs="Arial"/>
          <w:sz w:val="20"/>
          <w:szCs w:val="20"/>
        </w:rPr>
      </w:pPr>
      <w:r w:rsidRPr="002815D4">
        <w:rPr>
          <w:rFonts w:ascii="Calibri" w:eastAsia="Calibri" w:hAnsi="Calibri" w:cs="Arial"/>
          <w:sz w:val="20"/>
          <w:szCs w:val="20"/>
        </w:rPr>
        <w:t>Wherever possible, actual incremental costs should be used. If unavailable assume the following incremental costs:</w:t>
      </w:r>
      <w:r w:rsidRPr="002815D4">
        <w:rPr>
          <w:rFonts w:ascii="Arial" w:eastAsia="Yu Mincho" w:hAnsi="Arial" w:cs="Times New Roman"/>
          <w:sz w:val="20"/>
          <w:szCs w:val="20"/>
          <w:vertAlign w:val="superscript"/>
        </w:rPr>
        <w:footnoteReference w:id="21"/>
      </w:r>
    </w:p>
    <w:tbl>
      <w:tblPr>
        <w:tblW w:w="67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50"/>
        <w:gridCol w:w="1188"/>
        <w:gridCol w:w="1153"/>
        <w:gridCol w:w="1356"/>
        <w:gridCol w:w="1420"/>
      </w:tblGrid>
      <w:tr w:rsidR="002815D4" w:rsidRPr="002815D4" w14:paraId="2D60782F" w14:textId="77777777" w:rsidTr="002815D4">
        <w:trPr>
          <w:trHeight w:val="20"/>
          <w:tblHeader/>
          <w:jc w:val="center"/>
        </w:trPr>
        <w:tc>
          <w:tcPr>
            <w:tcW w:w="1650" w:type="dxa"/>
            <w:shd w:val="clear" w:color="auto" w:fill="808080"/>
            <w:vAlign w:val="center"/>
          </w:tcPr>
          <w:p w14:paraId="02775981" w14:textId="77777777" w:rsidR="002815D4" w:rsidRPr="002815D4" w:rsidRDefault="002815D4" w:rsidP="002815D4">
            <w:pPr>
              <w:autoSpaceDE w:val="0"/>
              <w:autoSpaceDN w:val="0"/>
              <w:adjustRightInd w:val="0"/>
              <w:jc w:val="center"/>
              <w:rPr>
                <w:rFonts w:ascii="Calibri" w:eastAsia="Calibri" w:hAnsi="Calibri" w:cs="Arial"/>
                <w:b/>
                <w:color w:val="FFFFFF"/>
                <w:sz w:val="20"/>
                <w:szCs w:val="20"/>
              </w:rPr>
            </w:pPr>
            <w:r w:rsidRPr="002815D4">
              <w:rPr>
                <w:rFonts w:ascii="Calibri" w:eastAsia="Calibri" w:hAnsi="Calibri" w:cs="Arial"/>
                <w:b/>
                <w:color w:val="FFFFFF"/>
                <w:sz w:val="20"/>
                <w:szCs w:val="20"/>
              </w:rPr>
              <w:t>Bulb Type</w:t>
            </w:r>
          </w:p>
        </w:tc>
        <w:tc>
          <w:tcPr>
            <w:tcW w:w="1188" w:type="dxa"/>
            <w:shd w:val="clear" w:color="auto" w:fill="808080"/>
            <w:vAlign w:val="center"/>
          </w:tcPr>
          <w:p w14:paraId="37B16030" w14:textId="77777777" w:rsidR="002815D4" w:rsidRPr="002815D4" w:rsidRDefault="002815D4" w:rsidP="002815D4">
            <w:pPr>
              <w:autoSpaceDE w:val="0"/>
              <w:autoSpaceDN w:val="0"/>
              <w:adjustRightInd w:val="0"/>
              <w:jc w:val="center"/>
              <w:rPr>
                <w:rFonts w:ascii="Calibri" w:eastAsia="Calibri" w:hAnsi="Calibri" w:cs="Arial"/>
                <w:b/>
                <w:color w:val="FFFFFF"/>
                <w:sz w:val="20"/>
                <w:szCs w:val="20"/>
              </w:rPr>
            </w:pPr>
            <w:r w:rsidRPr="002815D4">
              <w:rPr>
                <w:rFonts w:ascii="Calibri" w:eastAsia="Calibri" w:hAnsi="Calibri" w:cs="Arial"/>
                <w:b/>
                <w:color w:val="FFFFFF"/>
                <w:sz w:val="20"/>
                <w:szCs w:val="20"/>
              </w:rPr>
              <w:t>Year</w:t>
            </w:r>
          </w:p>
        </w:tc>
        <w:tc>
          <w:tcPr>
            <w:tcW w:w="1153" w:type="dxa"/>
            <w:shd w:val="clear" w:color="auto" w:fill="808080"/>
            <w:vAlign w:val="center"/>
          </w:tcPr>
          <w:p w14:paraId="2AC3DF5E" w14:textId="77777777" w:rsidR="002815D4" w:rsidRPr="002815D4" w:rsidRDefault="002815D4" w:rsidP="002815D4">
            <w:pPr>
              <w:autoSpaceDE w:val="0"/>
              <w:autoSpaceDN w:val="0"/>
              <w:adjustRightInd w:val="0"/>
              <w:jc w:val="center"/>
              <w:rPr>
                <w:rFonts w:ascii="Calibri" w:eastAsia="Calibri" w:hAnsi="Calibri" w:cs="Arial"/>
                <w:b/>
                <w:color w:val="FFFFFF"/>
                <w:sz w:val="20"/>
                <w:szCs w:val="20"/>
              </w:rPr>
            </w:pPr>
            <w:r w:rsidRPr="002815D4">
              <w:rPr>
                <w:rFonts w:ascii="Calibri" w:eastAsia="Calibri" w:hAnsi="Calibri" w:cs="Arial"/>
                <w:b/>
                <w:color w:val="FFFFFF"/>
                <w:sz w:val="20"/>
                <w:szCs w:val="20"/>
              </w:rPr>
              <w:t>LED</w:t>
            </w:r>
          </w:p>
        </w:tc>
        <w:tc>
          <w:tcPr>
            <w:tcW w:w="1356" w:type="dxa"/>
            <w:shd w:val="clear" w:color="auto" w:fill="808080"/>
            <w:vAlign w:val="center"/>
          </w:tcPr>
          <w:p w14:paraId="375CE008" w14:textId="77777777" w:rsidR="002815D4" w:rsidRPr="002815D4" w:rsidRDefault="002815D4" w:rsidP="002815D4">
            <w:pPr>
              <w:autoSpaceDE w:val="0"/>
              <w:autoSpaceDN w:val="0"/>
              <w:adjustRightInd w:val="0"/>
              <w:jc w:val="center"/>
              <w:rPr>
                <w:rFonts w:ascii="Calibri" w:eastAsia="Calibri" w:hAnsi="Calibri" w:cs="Arial"/>
                <w:b/>
                <w:color w:val="FFFFFF"/>
                <w:sz w:val="20"/>
                <w:szCs w:val="20"/>
              </w:rPr>
            </w:pPr>
            <w:r w:rsidRPr="002815D4">
              <w:rPr>
                <w:rFonts w:ascii="Calibri" w:eastAsia="Calibri" w:hAnsi="Calibri" w:cs="Arial"/>
                <w:b/>
                <w:color w:val="FFFFFF"/>
                <w:sz w:val="20"/>
                <w:szCs w:val="20"/>
              </w:rPr>
              <w:t>Incandescent</w:t>
            </w:r>
          </w:p>
        </w:tc>
        <w:tc>
          <w:tcPr>
            <w:tcW w:w="1420" w:type="dxa"/>
            <w:shd w:val="clear" w:color="auto" w:fill="808080"/>
            <w:vAlign w:val="center"/>
          </w:tcPr>
          <w:p w14:paraId="010B664E" w14:textId="77777777" w:rsidR="002815D4" w:rsidRPr="002815D4" w:rsidRDefault="002815D4" w:rsidP="002815D4">
            <w:pPr>
              <w:autoSpaceDE w:val="0"/>
              <w:autoSpaceDN w:val="0"/>
              <w:adjustRightInd w:val="0"/>
              <w:jc w:val="center"/>
              <w:rPr>
                <w:rFonts w:ascii="Calibri" w:eastAsia="Calibri" w:hAnsi="Calibri" w:cs="Arial"/>
                <w:b/>
                <w:color w:val="FFFFFF"/>
                <w:sz w:val="20"/>
                <w:szCs w:val="20"/>
              </w:rPr>
            </w:pPr>
            <w:r w:rsidRPr="002815D4">
              <w:rPr>
                <w:rFonts w:ascii="Calibri" w:eastAsia="Calibri" w:hAnsi="Calibri" w:cs="Arial"/>
                <w:b/>
                <w:color w:val="FFFFFF"/>
                <w:sz w:val="20"/>
                <w:szCs w:val="20"/>
              </w:rPr>
              <w:t>Incremental Cost</w:t>
            </w:r>
          </w:p>
        </w:tc>
      </w:tr>
      <w:tr w:rsidR="002815D4" w:rsidRPr="002815D4" w14:paraId="6D75EDE0" w14:textId="77777777" w:rsidTr="002815D4">
        <w:trPr>
          <w:trHeight w:val="20"/>
          <w:jc w:val="center"/>
        </w:trPr>
        <w:tc>
          <w:tcPr>
            <w:tcW w:w="1650" w:type="dxa"/>
            <w:vMerge w:val="restart"/>
            <w:shd w:val="clear" w:color="auto" w:fill="FFFFFF"/>
            <w:vAlign w:val="center"/>
          </w:tcPr>
          <w:p w14:paraId="68EF5F3E" w14:textId="77777777" w:rsidR="002815D4" w:rsidRPr="002815D4" w:rsidRDefault="002815D4" w:rsidP="002815D4">
            <w:pPr>
              <w:autoSpaceDE w:val="0"/>
              <w:autoSpaceDN w:val="0"/>
              <w:adjustRightInd w:val="0"/>
              <w:jc w:val="center"/>
              <w:rPr>
                <w:rFonts w:ascii="Calibri" w:eastAsia="Calibri" w:hAnsi="Calibri" w:cs="Arial"/>
                <w:b/>
                <w:color w:val="000000"/>
                <w:sz w:val="20"/>
                <w:szCs w:val="20"/>
              </w:rPr>
            </w:pPr>
            <w:r w:rsidRPr="002815D4">
              <w:rPr>
                <w:rFonts w:ascii="Calibri" w:eastAsia="Calibri" w:hAnsi="Calibri" w:cs="Arial"/>
                <w:b/>
                <w:color w:val="000000"/>
                <w:sz w:val="20"/>
                <w:szCs w:val="20"/>
              </w:rPr>
              <w:t>Omnidirectional</w:t>
            </w:r>
          </w:p>
        </w:tc>
        <w:tc>
          <w:tcPr>
            <w:tcW w:w="1188" w:type="dxa"/>
            <w:vAlign w:val="center"/>
          </w:tcPr>
          <w:p w14:paraId="4225AD65" w14:textId="77777777" w:rsidR="002815D4" w:rsidRPr="002815D4" w:rsidRDefault="002815D4" w:rsidP="002815D4">
            <w:pPr>
              <w:autoSpaceDE w:val="0"/>
              <w:autoSpaceDN w:val="0"/>
              <w:adjustRightInd w:val="0"/>
              <w:jc w:val="center"/>
              <w:rPr>
                <w:rFonts w:ascii="Calibri" w:eastAsia="Calibri" w:hAnsi="Calibri" w:cs="Arial"/>
                <w:color w:val="000000"/>
                <w:sz w:val="20"/>
                <w:szCs w:val="20"/>
              </w:rPr>
            </w:pPr>
            <w:r w:rsidRPr="002815D4">
              <w:rPr>
                <w:rFonts w:ascii="Calibri" w:eastAsia="Calibri" w:hAnsi="Calibri" w:cs="Arial"/>
                <w:color w:val="000000"/>
                <w:sz w:val="20"/>
                <w:szCs w:val="20"/>
              </w:rPr>
              <w:t>2017</w:t>
            </w:r>
          </w:p>
        </w:tc>
        <w:tc>
          <w:tcPr>
            <w:tcW w:w="1153" w:type="dxa"/>
            <w:vAlign w:val="center"/>
          </w:tcPr>
          <w:p w14:paraId="3A79D202"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Calibri"/>
                <w:color w:val="000000"/>
                <w:sz w:val="20"/>
                <w:szCs w:val="20"/>
              </w:rPr>
              <w:t>$3.21</w:t>
            </w:r>
          </w:p>
        </w:tc>
        <w:tc>
          <w:tcPr>
            <w:tcW w:w="1356" w:type="dxa"/>
            <w:vMerge w:val="restart"/>
            <w:vAlign w:val="center"/>
          </w:tcPr>
          <w:p w14:paraId="6E7A7A27"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$1.25</w:t>
            </w:r>
          </w:p>
        </w:tc>
        <w:tc>
          <w:tcPr>
            <w:tcW w:w="1420" w:type="dxa"/>
            <w:vAlign w:val="center"/>
          </w:tcPr>
          <w:p w14:paraId="6BAD2BCB"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Calibri"/>
                <w:color w:val="000000"/>
                <w:sz w:val="20"/>
                <w:szCs w:val="20"/>
              </w:rPr>
              <w:t>$1.96</w:t>
            </w:r>
          </w:p>
        </w:tc>
      </w:tr>
      <w:tr w:rsidR="002815D4" w:rsidRPr="002815D4" w14:paraId="5D126853" w14:textId="77777777" w:rsidTr="002815D4">
        <w:trPr>
          <w:trHeight w:val="20"/>
          <w:jc w:val="center"/>
        </w:trPr>
        <w:tc>
          <w:tcPr>
            <w:tcW w:w="1650" w:type="dxa"/>
            <w:vMerge/>
            <w:shd w:val="clear" w:color="auto" w:fill="FFFFFF"/>
            <w:vAlign w:val="center"/>
          </w:tcPr>
          <w:p w14:paraId="60339033" w14:textId="77777777" w:rsidR="002815D4" w:rsidRPr="002815D4" w:rsidRDefault="002815D4" w:rsidP="002815D4">
            <w:pPr>
              <w:autoSpaceDE w:val="0"/>
              <w:autoSpaceDN w:val="0"/>
              <w:adjustRightInd w:val="0"/>
              <w:jc w:val="center"/>
              <w:rPr>
                <w:rFonts w:ascii="Calibri" w:eastAsia="Calibri" w:hAnsi="Calibri" w:cs="Arial"/>
                <w:b/>
                <w:color w:val="000000"/>
                <w:sz w:val="20"/>
                <w:szCs w:val="20"/>
              </w:rPr>
            </w:pPr>
          </w:p>
        </w:tc>
        <w:tc>
          <w:tcPr>
            <w:tcW w:w="1188" w:type="dxa"/>
            <w:vAlign w:val="center"/>
          </w:tcPr>
          <w:p w14:paraId="352FEF09" w14:textId="77777777" w:rsidR="002815D4" w:rsidRPr="002815D4" w:rsidRDefault="002815D4" w:rsidP="002815D4">
            <w:pPr>
              <w:autoSpaceDE w:val="0"/>
              <w:autoSpaceDN w:val="0"/>
              <w:adjustRightInd w:val="0"/>
              <w:jc w:val="center"/>
              <w:rPr>
                <w:rFonts w:ascii="Calibri" w:eastAsia="Calibri" w:hAnsi="Calibri" w:cs="Arial"/>
                <w:color w:val="000000"/>
                <w:sz w:val="20"/>
                <w:szCs w:val="20"/>
              </w:rPr>
            </w:pPr>
            <w:r w:rsidRPr="002815D4">
              <w:rPr>
                <w:rFonts w:ascii="Calibri" w:eastAsia="Calibri" w:hAnsi="Calibri" w:cs="Arial"/>
                <w:color w:val="000000"/>
                <w:sz w:val="20"/>
                <w:szCs w:val="20"/>
              </w:rPr>
              <w:t>2018</w:t>
            </w:r>
          </w:p>
        </w:tc>
        <w:tc>
          <w:tcPr>
            <w:tcW w:w="1153" w:type="dxa"/>
            <w:vAlign w:val="center"/>
          </w:tcPr>
          <w:p w14:paraId="0AF20570"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Calibri"/>
                <w:color w:val="000000"/>
                <w:sz w:val="20"/>
                <w:szCs w:val="20"/>
              </w:rPr>
              <w:t>$3.21</w:t>
            </w:r>
          </w:p>
        </w:tc>
        <w:tc>
          <w:tcPr>
            <w:tcW w:w="1356" w:type="dxa"/>
            <w:vMerge/>
            <w:vAlign w:val="center"/>
          </w:tcPr>
          <w:p w14:paraId="01C75303" w14:textId="77777777" w:rsidR="002815D4" w:rsidRPr="002815D4" w:rsidRDefault="002815D4" w:rsidP="002815D4">
            <w:pPr>
              <w:jc w:val="center"/>
              <w:rPr>
                <w:rFonts w:ascii="Calibri" w:eastAsia="Calibri" w:hAnsi="Calibri" w:cs="Arial"/>
                <w:sz w:val="20"/>
                <w:szCs w:val="20"/>
              </w:rPr>
            </w:pPr>
          </w:p>
        </w:tc>
        <w:tc>
          <w:tcPr>
            <w:tcW w:w="1420" w:type="dxa"/>
            <w:vAlign w:val="center"/>
          </w:tcPr>
          <w:p w14:paraId="56C84BD7"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Calibri"/>
                <w:color w:val="000000"/>
                <w:sz w:val="20"/>
                <w:szCs w:val="20"/>
              </w:rPr>
              <w:t>$1.96</w:t>
            </w:r>
          </w:p>
        </w:tc>
      </w:tr>
      <w:tr w:rsidR="002815D4" w:rsidRPr="002815D4" w14:paraId="4C4E663D" w14:textId="77777777" w:rsidTr="002815D4">
        <w:trPr>
          <w:trHeight w:val="20"/>
          <w:jc w:val="center"/>
        </w:trPr>
        <w:tc>
          <w:tcPr>
            <w:tcW w:w="1650" w:type="dxa"/>
            <w:vMerge/>
            <w:shd w:val="clear" w:color="auto" w:fill="FFFFFF"/>
            <w:vAlign w:val="center"/>
          </w:tcPr>
          <w:p w14:paraId="2639143E" w14:textId="77777777" w:rsidR="002815D4" w:rsidRPr="002815D4" w:rsidRDefault="002815D4" w:rsidP="002815D4">
            <w:pPr>
              <w:autoSpaceDE w:val="0"/>
              <w:autoSpaceDN w:val="0"/>
              <w:adjustRightInd w:val="0"/>
              <w:jc w:val="center"/>
              <w:rPr>
                <w:rFonts w:ascii="Calibri" w:eastAsia="Calibri" w:hAnsi="Calibri" w:cs="Arial"/>
                <w:b/>
                <w:color w:val="000000"/>
                <w:sz w:val="20"/>
                <w:szCs w:val="20"/>
              </w:rPr>
            </w:pPr>
          </w:p>
        </w:tc>
        <w:tc>
          <w:tcPr>
            <w:tcW w:w="1188" w:type="dxa"/>
            <w:vAlign w:val="center"/>
          </w:tcPr>
          <w:p w14:paraId="76CA4B10" w14:textId="77777777" w:rsidR="002815D4" w:rsidRPr="002815D4" w:rsidRDefault="002815D4" w:rsidP="002815D4">
            <w:pPr>
              <w:autoSpaceDE w:val="0"/>
              <w:autoSpaceDN w:val="0"/>
              <w:adjustRightInd w:val="0"/>
              <w:jc w:val="center"/>
              <w:rPr>
                <w:rFonts w:ascii="Calibri" w:eastAsia="Calibri" w:hAnsi="Calibri" w:cs="Arial"/>
                <w:color w:val="000000"/>
                <w:sz w:val="20"/>
                <w:szCs w:val="20"/>
              </w:rPr>
            </w:pPr>
            <w:r w:rsidRPr="002815D4">
              <w:rPr>
                <w:rFonts w:ascii="Calibri" w:eastAsia="Calibri" w:hAnsi="Calibri" w:cs="Arial"/>
                <w:color w:val="000000"/>
                <w:sz w:val="20"/>
                <w:szCs w:val="20"/>
              </w:rPr>
              <w:t>2019</w:t>
            </w:r>
          </w:p>
        </w:tc>
        <w:tc>
          <w:tcPr>
            <w:tcW w:w="1153" w:type="dxa"/>
            <w:vAlign w:val="center"/>
          </w:tcPr>
          <w:p w14:paraId="49AE9C06"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Calibri"/>
                <w:color w:val="000000"/>
                <w:sz w:val="20"/>
                <w:szCs w:val="20"/>
              </w:rPr>
              <w:t>$3.11</w:t>
            </w:r>
          </w:p>
        </w:tc>
        <w:tc>
          <w:tcPr>
            <w:tcW w:w="1356" w:type="dxa"/>
            <w:vMerge/>
            <w:vAlign w:val="center"/>
          </w:tcPr>
          <w:p w14:paraId="4AA46BB8" w14:textId="77777777" w:rsidR="002815D4" w:rsidRPr="002815D4" w:rsidRDefault="002815D4" w:rsidP="002815D4">
            <w:pPr>
              <w:jc w:val="center"/>
              <w:rPr>
                <w:rFonts w:ascii="Calibri" w:eastAsia="Calibri" w:hAnsi="Calibri" w:cs="Arial"/>
                <w:sz w:val="20"/>
                <w:szCs w:val="20"/>
              </w:rPr>
            </w:pPr>
          </w:p>
        </w:tc>
        <w:tc>
          <w:tcPr>
            <w:tcW w:w="1420" w:type="dxa"/>
            <w:vAlign w:val="center"/>
          </w:tcPr>
          <w:p w14:paraId="20C54E02"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Calibri"/>
                <w:color w:val="000000"/>
                <w:sz w:val="20"/>
                <w:szCs w:val="20"/>
              </w:rPr>
              <w:t>$1.86</w:t>
            </w:r>
          </w:p>
        </w:tc>
      </w:tr>
      <w:tr w:rsidR="002815D4" w:rsidRPr="002815D4" w14:paraId="652CA494" w14:textId="77777777" w:rsidTr="002815D4">
        <w:trPr>
          <w:trHeight w:val="20"/>
          <w:jc w:val="center"/>
        </w:trPr>
        <w:tc>
          <w:tcPr>
            <w:tcW w:w="1650" w:type="dxa"/>
            <w:vMerge/>
            <w:shd w:val="clear" w:color="auto" w:fill="FFFFFF"/>
            <w:vAlign w:val="center"/>
          </w:tcPr>
          <w:p w14:paraId="76B4FEE2" w14:textId="77777777" w:rsidR="002815D4" w:rsidRPr="002815D4" w:rsidRDefault="002815D4" w:rsidP="002815D4">
            <w:pPr>
              <w:autoSpaceDE w:val="0"/>
              <w:autoSpaceDN w:val="0"/>
              <w:adjustRightInd w:val="0"/>
              <w:jc w:val="center"/>
              <w:rPr>
                <w:rFonts w:ascii="Calibri" w:eastAsia="Calibri" w:hAnsi="Calibri" w:cs="Arial"/>
                <w:b/>
                <w:color w:val="000000"/>
                <w:sz w:val="20"/>
                <w:szCs w:val="20"/>
              </w:rPr>
            </w:pPr>
          </w:p>
        </w:tc>
        <w:tc>
          <w:tcPr>
            <w:tcW w:w="1188" w:type="dxa"/>
            <w:vAlign w:val="center"/>
          </w:tcPr>
          <w:p w14:paraId="18A3244E" w14:textId="77777777" w:rsidR="002815D4" w:rsidRPr="002815D4" w:rsidRDefault="002815D4" w:rsidP="002815D4">
            <w:pPr>
              <w:autoSpaceDE w:val="0"/>
              <w:autoSpaceDN w:val="0"/>
              <w:adjustRightInd w:val="0"/>
              <w:jc w:val="center"/>
              <w:rPr>
                <w:rFonts w:ascii="Calibri" w:eastAsia="Calibri" w:hAnsi="Calibri" w:cs="Arial"/>
                <w:color w:val="000000"/>
                <w:sz w:val="20"/>
                <w:szCs w:val="20"/>
              </w:rPr>
            </w:pPr>
            <w:r w:rsidRPr="002815D4">
              <w:rPr>
                <w:rFonts w:ascii="Calibri" w:eastAsia="Calibri" w:hAnsi="Calibri" w:cs="Arial"/>
                <w:color w:val="000000"/>
                <w:sz w:val="20"/>
                <w:szCs w:val="20"/>
              </w:rPr>
              <w:t>2020</w:t>
            </w:r>
          </w:p>
        </w:tc>
        <w:tc>
          <w:tcPr>
            <w:tcW w:w="1153" w:type="dxa"/>
            <w:vAlign w:val="center"/>
          </w:tcPr>
          <w:p w14:paraId="45B49615"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Calibri"/>
                <w:color w:val="000000"/>
                <w:sz w:val="20"/>
                <w:szCs w:val="20"/>
              </w:rPr>
              <w:t>$2.70</w:t>
            </w:r>
          </w:p>
        </w:tc>
        <w:tc>
          <w:tcPr>
            <w:tcW w:w="1356" w:type="dxa"/>
            <w:vMerge/>
            <w:vAlign w:val="center"/>
          </w:tcPr>
          <w:p w14:paraId="3BEE83FD" w14:textId="77777777" w:rsidR="002815D4" w:rsidRPr="002815D4" w:rsidRDefault="002815D4" w:rsidP="002815D4">
            <w:pPr>
              <w:jc w:val="center"/>
              <w:rPr>
                <w:rFonts w:ascii="Calibri" w:eastAsia="Calibri" w:hAnsi="Calibri" w:cs="Arial"/>
                <w:sz w:val="20"/>
                <w:szCs w:val="20"/>
              </w:rPr>
            </w:pPr>
          </w:p>
        </w:tc>
        <w:tc>
          <w:tcPr>
            <w:tcW w:w="1420" w:type="dxa"/>
            <w:vAlign w:val="center"/>
          </w:tcPr>
          <w:p w14:paraId="484A4B04" w14:textId="77777777" w:rsidR="002815D4" w:rsidRPr="002815D4" w:rsidRDefault="002815D4" w:rsidP="002815D4">
            <w:pPr>
              <w:jc w:val="center"/>
              <w:rPr>
                <w:rFonts w:ascii="Calibri" w:eastAsia="Calibri" w:hAnsi="Calibri" w:cs="Calibri"/>
                <w:color w:val="000000"/>
                <w:sz w:val="20"/>
                <w:szCs w:val="20"/>
              </w:rPr>
            </w:pPr>
            <w:r w:rsidRPr="002815D4">
              <w:rPr>
                <w:rFonts w:ascii="Calibri" w:eastAsia="Calibri" w:hAnsi="Calibri" w:cs="Calibri"/>
                <w:color w:val="000000"/>
                <w:sz w:val="20"/>
                <w:szCs w:val="20"/>
              </w:rPr>
              <w:t>$1.45</w:t>
            </w:r>
          </w:p>
        </w:tc>
      </w:tr>
      <w:tr w:rsidR="002815D4" w:rsidRPr="002815D4" w14:paraId="3C0E0FC0" w14:textId="77777777" w:rsidTr="002815D4">
        <w:trPr>
          <w:trHeight w:val="20"/>
          <w:jc w:val="center"/>
        </w:trPr>
        <w:tc>
          <w:tcPr>
            <w:tcW w:w="1650" w:type="dxa"/>
            <w:vMerge w:val="restart"/>
            <w:shd w:val="clear" w:color="auto" w:fill="FFFFFF"/>
            <w:vAlign w:val="center"/>
          </w:tcPr>
          <w:p w14:paraId="7CB2B095" w14:textId="77777777" w:rsidR="002815D4" w:rsidRPr="002815D4" w:rsidRDefault="002815D4" w:rsidP="002815D4">
            <w:pPr>
              <w:autoSpaceDE w:val="0"/>
              <w:autoSpaceDN w:val="0"/>
              <w:adjustRightInd w:val="0"/>
              <w:jc w:val="center"/>
              <w:rPr>
                <w:rFonts w:ascii="Calibri" w:eastAsia="Calibri" w:hAnsi="Calibri" w:cs="Arial"/>
                <w:b/>
                <w:color w:val="000000"/>
                <w:sz w:val="20"/>
                <w:szCs w:val="20"/>
              </w:rPr>
            </w:pPr>
            <w:r w:rsidRPr="002815D4">
              <w:rPr>
                <w:rFonts w:ascii="Calibri" w:eastAsia="Calibri" w:hAnsi="Calibri" w:cs="Arial"/>
                <w:b/>
                <w:color w:val="000000"/>
                <w:sz w:val="20"/>
                <w:szCs w:val="20"/>
              </w:rPr>
              <w:t>Directional</w:t>
            </w:r>
          </w:p>
        </w:tc>
        <w:tc>
          <w:tcPr>
            <w:tcW w:w="1188" w:type="dxa"/>
            <w:vAlign w:val="center"/>
          </w:tcPr>
          <w:p w14:paraId="6E2D36C4" w14:textId="77777777" w:rsidR="002815D4" w:rsidRPr="002815D4" w:rsidRDefault="002815D4" w:rsidP="002815D4">
            <w:pPr>
              <w:autoSpaceDE w:val="0"/>
              <w:autoSpaceDN w:val="0"/>
              <w:adjustRightInd w:val="0"/>
              <w:jc w:val="center"/>
              <w:rPr>
                <w:rFonts w:ascii="Calibri" w:eastAsia="Calibri" w:hAnsi="Calibri" w:cs="Arial"/>
                <w:color w:val="000000"/>
                <w:sz w:val="20"/>
                <w:szCs w:val="20"/>
              </w:rPr>
            </w:pPr>
            <w:r w:rsidRPr="002815D4">
              <w:rPr>
                <w:rFonts w:ascii="Calibri" w:eastAsia="Calibri" w:hAnsi="Calibri" w:cs="Arial"/>
                <w:color w:val="000000"/>
                <w:sz w:val="20"/>
                <w:szCs w:val="20"/>
              </w:rPr>
              <w:t>2017</w:t>
            </w:r>
          </w:p>
        </w:tc>
        <w:tc>
          <w:tcPr>
            <w:tcW w:w="1153" w:type="dxa"/>
            <w:vAlign w:val="center"/>
          </w:tcPr>
          <w:p w14:paraId="579AFA1C"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$6.24</w:t>
            </w:r>
          </w:p>
        </w:tc>
        <w:tc>
          <w:tcPr>
            <w:tcW w:w="1356" w:type="dxa"/>
            <w:vMerge w:val="restart"/>
            <w:vAlign w:val="center"/>
          </w:tcPr>
          <w:p w14:paraId="6F79D637"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$3.53</w:t>
            </w:r>
          </w:p>
        </w:tc>
        <w:tc>
          <w:tcPr>
            <w:tcW w:w="1420" w:type="dxa"/>
            <w:vAlign w:val="center"/>
          </w:tcPr>
          <w:p w14:paraId="301BF836"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Calibri"/>
                <w:color w:val="000000"/>
                <w:sz w:val="20"/>
                <w:szCs w:val="20"/>
              </w:rPr>
              <w:t>$2.71</w:t>
            </w:r>
          </w:p>
        </w:tc>
      </w:tr>
      <w:tr w:rsidR="002815D4" w:rsidRPr="002815D4" w14:paraId="37EA0E15" w14:textId="77777777" w:rsidTr="002815D4">
        <w:trPr>
          <w:trHeight w:val="20"/>
          <w:jc w:val="center"/>
        </w:trPr>
        <w:tc>
          <w:tcPr>
            <w:tcW w:w="1650" w:type="dxa"/>
            <w:vMerge/>
            <w:shd w:val="clear" w:color="auto" w:fill="FFFFFF"/>
            <w:vAlign w:val="center"/>
          </w:tcPr>
          <w:p w14:paraId="027F1451" w14:textId="77777777" w:rsidR="002815D4" w:rsidRPr="002815D4" w:rsidRDefault="002815D4" w:rsidP="002815D4">
            <w:pPr>
              <w:autoSpaceDE w:val="0"/>
              <w:autoSpaceDN w:val="0"/>
              <w:adjustRightInd w:val="0"/>
              <w:jc w:val="center"/>
              <w:rPr>
                <w:rFonts w:ascii="Calibri" w:eastAsia="Calibri" w:hAnsi="Calibri" w:cs="Arial"/>
                <w:color w:val="000000"/>
                <w:sz w:val="20"/>
                <w:szCs w:val="20"/>
              </w:rPr>
            </w:pPr>
          </w:p>
        </w:tc>
        <w:tc>
          <w:tcPr>
            <w:tcW w:w="1188" w:type="dxa"/>
            <w:vAlign w:val="center"/>
          </w:tcPr>
          <w:p w14:paraId="603B198D" w14:textId="77777777" w:rsidR="002815D4" w:rsidRPr="002815D4" w:rsidRDefault="002815D4" w:rsidP="002815D4">
            <w:pPr>
              <w:autoSpaceDE w:val="0"/>
              <w:autoSpaceDN w:val="0"/>
              <w:adjustRightInd w:val="0"/>
              <w:jc w:val="center"/>
              <w:rPr>
                <w:rFonts w:ascii="Calibri" w:eastAsia="Calibri" w:hAnsi="Calibri" w:cs="Arial"/>
                <w:color w:val="000000"/>
                <w:sz w:val="20"/>
                <w:szCs w:val="20"/>
              </w:rPr>
            </w:pPr>
            <w:r w:rsidRPr="002815D4">
              <w:rPr>
                <w:rFonts w:ascii="Calibri" w:eastAsia="Calibri" w:hAnsi="Calibri" w:cs="Arial"/>
                <w:color w:val="000000"/>
                <w:sz w:val="20"/>
                <w:szCs w:val="20"/>
              </w:rPr>
              <w:t>2018+</w:t>
            </w:r>
          </w:p>
        </w:tc>
        <w:tc>
          <w:tcPr>
            <w:tcW w:w="1153" w:type="dxa"/>
            <w:vAlign w:val="center"/>
          </w:tcPr>
          <w:p w14:paraId="565023EB"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$5.18</w:t>
            </w:r>
          </w:p>
        </w:tc>
        <w:tc>
          <w:tcPr>
            <w:tcW w:w="1356" w:type="dxa"/>
            <w:vMerge/>
            <w:vAlign w:val="center"/>
          </w:tcPr>
          <w:p w14:paraId="5B7EDC37" w14:textId="77777777" w:rsidR="002815D4" w:rsidRPr="002815D4" w:rsidRDefault="002815D4" w:rsidP="002815D4">
            <w:pPr>
              <w:jc w:val="center"/>
              <w:rPr>
                <w:rFonts w:ascii="Calibri" w:eastAsia="Calibri" w:hAnsi="Calibri" w:cs="Arial"/>
                <w:sz w:val="20"/>
                <w:szCs w:val="20"/>
              </w:rPr>
            </w:pPr>
          </w:p>
        </w:tc>
        <w:tc>
          <w:tcPr>
            <w:tcW w:w="1420" w:type="dxa"/>
            <w:vAlign w:val="center"/>
          </w:tcPr>
          <w:p w14:paraId="2CD30EC3"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Calibri"/>
                <w:color w:val="000000"/>
                <w:sz w:val="20"/>
                <w:szCs w:val="20"/>
              </w:rPr>
              <w:t>$1.65</w:t>
            </w:r>
          </w:p>
        </w:tc>
      </w:tr>
      <w:tr w:rsidR="002815D4" w:rsidRPr="002815D4" w14:paraId="6DA7342A" w14:textId="77777777" w:rsidTr="002815D4">
        <w:trPr>
          <w:trHeight w:val="20"/>
          <w:jc w:val="center"/>
        </w:trPr>
        <w:tc>
          <w:tcPr>
            <w:tcW w:w="1650" w:type="dxa"/>
            <w:vMerge w:val="restart"/>
            <w:shd w:val="clear" w:color="auto" w:fill="FFFFFF"/>
            <w:vAlign w:val="center"/>
          </w:tcPr>
          <w:p w14:paraId="292AFACC" w14:textId="77777777" w:rsidR="002815D4" w:rsidRPr="002815D4" w:rsidRDefault="002815D4" w:rsidP="002815D4">
            <w:pPr>
              <w:autoSpaceDE w:val="0"/>
              <w:autoSpaceDN w:val="0"/>
              <w:adjustRightInd w:val="0"/>
              <w:jc w:val="center"/>
              <w:rPr>
                <w:rFonts w:ascii="Calibri" w:eastAsia="Calibri" w:hAnsi="Calibri" w:cs="Arial"/>
                <w:b/>
                <w:color w:val="000000"/>
                <w:sz w:val="20"/>
                <w:szCs w:val="20"/>
              </w:rPr>
            </w:pPr>
            <w:r w:rsidRPr="002815D4">
              <w:rPr>
                <w:rFonts w:ascii="Calibri" w:eastAsia="Calibri" w:hAnsi="Calibri" w:cs="Arial"/>
                <w:b/>
                <w:color w:val="000000"/>
                <w:sz w:val="20"/>
                <w:szCs w:val="20"/>
              </w:rPr>
              <w:t>Decorative and Globe</w:t>
            </w:r>
          </w:p>
        </w:tc>
        <w:tc>
          <w:tcPr>
            <w:tcW w:w="1188" w:type="dxa"/>
            <w:vAlign w:val="center"/>
          </w:tcPr>
          <w:p w14:paraId="70E41C4E" w14:textId="77777777" w:rsidR="002815D4" w:rsidRPr="002815D4" w:rsidRDefault="002815D4" w:rsidP="002815D4">
            <w:pPr>
              <w:autoSpaceDE w:val="0"/>
              <w:autoSpaceDN w:val="0"/>
              <w:adjustRightInd w:val="0"/>
              <w:jc w:val="center"/>
              <w:rPr>
                <w:rFonts w:ascii="Calibri" w:eastAsia="Calibri" w:hAnsi="Calibri" w:cs="Arial"/>
                <w:color w:val="000000"/>
                <w:sz w:val="20"/>
                <w:szCs w:val="20"/>
              </w:rPr>
            </w:pPr>
            <w:r w:rsidRPr="002815D4">
              <w:rPr>
                <w:rFonts w:ascii="Calibri" w:eastAsia="Calibri" w:hAnsi="Calibri" w:cs="Arial"/>
                <w:color w:val="000000"/>
                <w:sz w:val="20"/>
                <w:szCs w:val="20"/>
              </w:rPr>
              <w:t>2017</w:t>
            </w:r>
          </w:p>
        </w:tc>
        <w:tc>
          <w:tcPr>
            <w:tcW w:w="1153" w:type="dxa"/>
            <w:vAlign w:val="center"/>
          </w:tcPr>
          <w:p w14:paraId="7A1EBF03"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$3.50</w:t>
            </w:r>
          </w:p>
        </w:tc>
        <w:tc>
          <w:tcPr>
            <w:tcW w:w="1356" w:type="dxa"/>
            <w:vAlign w:val="center"/>
          </w:tcPr>
          <w:p w14:paraId="0892DED6"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$1.60</w:t>
            </w:r>
          </w:p>
        </w:tc>
        <w:tc>
          <w:tcPr>
            <w:tcW w:w="1420" w:type="dxa"/>
            <w:vAlign w:val="center"/>
          </w:tcPr>
          <w:p w14:paraId="057B7E41"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$1.90</w:t>
            </w:r>
          </w:p>
        </w:tc>
      </w:tr>
      <w:tr w:rsidR="002815D4" w:rsidRPr="002815D4" w14:paraId="7754AAD5" w14:textId="77777777" w:rsidTr="002815D4">
        <w:trPr>
          <w:trHeight w:val="20"/>
          <w:jc w:val="center"/>
        </w:trPr>
        <w:tc>
          <w:tcPr>
            <w:tcW w:w="1650" w:type="dxa"/>
            <w:vMerge/>
            <w:shd w:val="clear" w:color="auto" w:fill="FFFFFF"/>
            <w:vAlign w:val="center"/>
          </w:tcPr>
          <w:p w14:paraId="42892412" w14:textId="77777777" w:rsidR="002815D4" w:rsidRPr="002815D4" w:rsidRDefault="002815D4" w:rsidP="002815D4">
            <w:pPr>
              <w:autoSpaceDE w:val="0"/>
              <w:autoSpaceDN w:val="0"/>
              <w:adjustRightInd w:val="0"/>
              <w:jc w:val="center"/>
              <w:rPr>
                <w:rFonts w:ascii="Calibri" w:eastAsia="Calibri" w:hAnsi="Calibri" w:cs="Arial"/>
                <w:b/>
                <w:color w:val="000000"/>
                <w:sz w:val="20"/>
                <w:szCs w:val="20"/>
              </w:rPr>
            </w:pPr>
          </w:p>
        </w:tc>
        <w:tc>
          <w:tcPr>
            <w:tcW w:w="1188" w:type="dxa"/>
            <w:vAlign w:val="center"/>
          </w:tcPr>
          <w:p w14:paraId="2239A746" w14:textId="77777777" w:rsidR="002815D4" w:rsidRPr="002815D4" w:rsidRDefault="002815D4" w:rsidP="002815D4">
            <w:pPr>
              <w:autoSpaceDE w:val="0"/>
              <w:autoSpaceDN w:val="0"/>
              <w:adjustRightInd w:val="0"/>
              <w:jc w:val="center"/>
              <w:rPr>
                <w:rFonts w:ascii="Calibri" w:eastAsia="Calibri" w:hAnsi="Calibri" w:cs="Arial"/>
                <w:color w:val="000000"/>
                <w:sz w:val="20"/>
                <w:szCs w:val="20"/>
              </w:rPr>
            </w:pPr>
            <w:r w:rsidRPr="002815D4">
              <w:rPr>
                <w:rFonts w:ascii="Calibri" w:eastAsia="Calibri" w:hAnsi="Calibri" w:cs="Arial"/>
                <w:sz w:val="20"/>
                <w:szCs w:val="20"/>
              </w:rPr>
              <w:t>2018+</w:t>
            </w:r>
          </w:p>
        </w:tc>
        <w:tc>
          <w:tcPr>
            <w:tcW w:w="1153" w:type="dxa"/>
            <w:vAlign w:val="center"/>
          </w:tcPr>
          <w:p w14:paraId="18D2EF04"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$3.40</w:t>
            </w:r>
          </w:p>
        </w:tc>
        <w:tc>
          <w:tcPr>
            <w:tcW w:w="1356" w:type="dxa"/>
          </w:tcPr>
          <w:p w14:paraId="6F2823F9"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$1.74</w:t>
            </w:r>
          </w:p>
        </w:tc>
        <w:tc>
          <w:tcPr>
            <w:tcW w:w="1420" w:type="dxa"/>
            <w:vAlign w:val="center"/>
          </w:tcPr>
          <w:p w14:paraId="71F8F825" w14:textId="77777777" w:rsidR="002815D4" w:rsidRPr="002815D4" w:rsidRDefault="002815D4" w:rsidP="002815D4">
            <w:pPr>
              <w:jc w:val="center"/>
              <w:rPr>
                <w:rFonts w:ascii="Calibri" w:eastAsia="Calibri" w:hAnsi="Calibri" w:cs="Arial"/>
                <w:color w:val="000000"/>
                <w:sz w:val="20"/>
                <w:szCs w:val="20"/>
              </w:rPr>
            </w:pPr>
            <w:r w:rsidRPr="002815D4">
              <w:rPr>
                <w:rFonts w:ascii="Calibri" w:eastAsia="Calibri" w:hAnsi="Calibri" w:cs="Arial"/>
                <w:color w:val="000000"/>
                <w:sz w:val="20"/>
                <w:szCs w:val="20"/>
              </w:rPr>
              <w:t>$1.66</w:t>
            </w:r>
          </w:p>
        </w:tc>
      </w:tr>
    </w:tbl>
    <w:p w14:paraId="062AB647" w14:textId="77777777" w:rsidR="002815D4" w:rsidRPr="002815D4" w:rsidRDefault="002815D4" w:rsidP="002815D4">
      <w:pPr>
        <w:spacing w:after="120"/>
        <w:jc w:val="both"/>
        <w:rPr>
          <w:rFonts w:ascii="Calibri" w:eastAsia="Calibri" w:hAnsi="Calibri" w:cs="Arial"/>
          <w:b/>
          <w:iCs/>
          <w:sz w:val="20"/>
          <w:szCs w:val="20"/>
        </w:rPr>
      </w:pPr>
    </w:p>
    <w:p w14:paraId="2F9F6FE0" w14:textId="77777777" w:rsidR="002815D4" w:rsidRPr="002815D4" w:rsidRDefault="002815D4" w:rsidP="002815D4">
      <w:pPr>
        <w:spacing w:after="120"/>
        <w:jc w:val="both"/>
        <w:rPr>
          <w:rFonts w:ascii="Calibri" w:eastAsia="Calibri" w:hAnsi="Calibri" w:cs="Arial"/>
          <w:b/>
          <w:iCs/>
          <w:sz w:val="20"/>
          <w:szCs w:val="20"/>
        </w:rPr>
      </w:pPr>
      <w:r w:rsidRPr="002815D4">
        <w:rPr>
          <w:rFonts w:ascii="Calibri" w:eastAsia="Calibri" w:hAnsi="Calibri" w:cs="Arial"/>
          <w:b/>
          <w:iCs/>
          <w:sz w:val="20"/>
          <w:szCs w:val="20"/>
        </w:rPr>
        <w:t>LED Fixture Wattage, TOS Baseline and Incremental Cost Assumptions</w:t>
      </w:r>
      <w:r w:rsidRPr="002815D4">
        <w:rPr>
          <w:rFonts w:ascii="Arial" w:eastAsia="Calibri" w:hAnsi="Arial" w:cs="Arial"/>
          <w:sz w:val="20"/>
          <w:szCs w:val="20"/>
          <w:vertAlign w:val="superscript"/>
        </w:rPr>
        <w:footnoteReference w:id="22"/>
      </w:r>
    </w:p>
    <w:tbl>
      <w:tblPr>
        <w:tblW w:w="9551" w:type="dxa"/>
        <w:jc w:val="center"/>
        <w:tblLook w:val="04A0" w:firstRow="1" w:lastRow="0" w:firstColumn="1" w:lastColumn="0" w:noHBand="0" w:noVBand="1"/>
      </w:tblPr>
      <w:tblGrid>
        <w:gridCol w:w="1324"/>
        <w:gridCol w:w="1957"/>
        <w:gridCol w:w="1174"/>
        <w:gridCol w:w="2130"/>
        <w:gridCol w:w="1584"/>
        <w:gridCol w:w="1382"/>
      </w:tblGrid>
      <w:tr w:rsidR="002815D4" w:rsidRPr="002815D4" w14:paraId="0A4C74AE" w14:textId="77777777" w:rsidTr="00935A18">
        <w:trPr>
          <w:trHeight w:val="20"/>
          <w:tblHeader/>
          <w:jc w:val="center"/>
        </w:trPr>
        <w:tc>
          <w:tcPr>
            <w:tcW w:w="1324" w:type="dxa"/>
            <w:tcBorders>
              <w:top w:val="single" w:sz="4" w:space="0" w:color="auto"/>
              <w:left w:val="single" w:sz="4" w:space="0" w:color="auto"/>
              <w:bottom w:val="single" w:sz="4" w:space="0" w:color="auto"/>
              <w:right w:val="single" w:sz="4" w:space="0" w:color="auto"/>
            </w:tcBorders>
            <w:shd w:val="clear" w:color="000000" w:fill="808080"/>
            <w:vAlign w:val="center"/>
            <w:hideMark/>
          </w:tcPr>
          <w:p w14:paraId="1293B30E" w14:textId="77777777" w:rsidR="002815D4" w:rsidRPr="002815D4" w:rsidRDefault="002815D4" w:rsidP="002815D4">
            <w:pPr>
              <w:jc w:val="center"/>
              <w:rPr>
                <w:rFonts w:ascii="Calibri" w:eastAsia="Calibri" w:hAnsi="Calibri" w:cs="Arial"/>
                <w:b/>
                <w:bCs/>
                <w:color w:val="FFFFFF"/>
                <w:sz w:val="20"/>
                <w:szCs w:val="20"/>
              </w:rPr>
            </w:pPr>
            <w:r w:rsidRPr="002815D4">
              <w:rPr>
                <w:rFonts w:ascii="Calibri" w:eastAsia="Calibri" w:hAnsi="Calibri" w:cs="Arial"/>
                <w:b/>
                <w:bCs/>
                <w:color w:val="FFFFFF"/>
                <w:sz w:val="20"/>
                <w:szCs w:val="20"/>
              </w:rPr>
              <w:t>LED Category</w:t>
            </w:r>
          </w:p>
        </w:tc>
        <w:tc>
          <w:tcPr>
            <w:tcW w:w="1957" w:type="dxa"/>
            <w:tcBorders>
              <w:top w:val="single" w:sz="4" w:space="0" w:color="auto"/>
              <w:left w:val="nil"/>
              <w:bottom w:val="single" w:sz="4" w:space="0" w:color="auto"/>
              <w:right w:val="single" w:sz="4" w:space="0" w:color="auto"/>
            </w:tcBorders>
            <w:shd w:val="clear" w:color="000000" w:fill="808080"/>
            <w:vAlign w:val="center"/>
            <w:hideMark/>
          </w:tcPr>
          <w:p w14:paraId="4748C8EC" w14:textId="77777777" w:rsidR="002815D4" w:rsidRPr="002815D4" w:rsidRDefault="002815D4" w:rsidP="002815D4">
            <w:pPr>
              <w:jc w:val="center"/>
              <w:rPr>
                <w:rFonts w:ascii="Calibri" w:eastAsia="Calibri" w:hAnsi="Calibri" w:cs="Arial"/>
                <w:b/>
                <w:bCs/>
                <w:color w:val="FFFFFF"/>
                <w:sz w:val="20"/>
                <w:szCs w:val="20"/>
              </w:rPr>
            </w:pPr>
            <w:r w:rsidRPr="002815D4">
              <w:rPr>
                <w:rFonts w:ascii="Calibri" w:eastAsia="Calibri" w:hAnsi="Calibri" w:cs="Arial"/>
                <w:b/>
                <w:bCs/>
                <w:color w:val="FFFFFF"/>
                <w:sz w:val="20"/>
                <w:szCs w:val="20"/>
              </w:rPr>
              <w:t>EE Measure Description</w:t>
            </w:r>
          </w:p>
        </w:tc>
        <w:tc>
          <w:tcPr>
            <w:tcW w:w="1174" w:type="dxa"/>
            <w:tcBorders>
              <w:top w:val="single" w:sz="4" w:space="0" w:color="auto"/>
              <w:left w:val="nil"/>
              <w:bottom w:val="single" w:sz="4" w:space="0" w:color="auto"/>
              <w:right w:val="single" w:sz="4" w:space="0" w:color="auto"/>
            </w:tcBorders>
            <w:shd w:val="clear" w:color="000000" w:fill="808080"/>
            <w:vAlign w:val="center"/>
            <w:hideMark/>
          </w:tcPr>
          <w:p w14:paraId="4E50DF59" w14:textId="77777777" w:rsidR="002815D4" w:rsidRPr="002815D4" w:rsidRDefault="002815D4" w:rsidP="002815D4">
            <w:pPr>
              <w:jc w:val="center"/>
              <w:rPr>
                <w:rFonts w:ascii="Calibri" w:eastAsia="Calibri" w:hAnsi="Calibri" w:cs="Arial"/>
                <w:b/>
                <w:bCs/>
                <w:color w:val="FFFFFF"/>
                <w:sz w:val="20"/>
                <w:szCs w:val="20"/>
              </w:rPr>
            </w:pPr>
            <w:r w:rsidRPr="002815D4">
              <w:rPr>
                <w:rFonts w:ascii="Calibri" w:eastAsia="Calibri" w:hAnsi="Calibri" w:cs="Arial"/>
                <w:b/>
                <w:bCs/>
                <w:color w:val="FFFFFF"/>
                <w:sz w:val="20"/>
                <w:szCs w:val="20"/>
              </w:rPr>
              <w:t>Watts</w:t>
            </w:r>
            <w:r w:rsidRPr="002815D4">
              <w:rPr>
                <w:rFonts w:ascii="Calibri" w:eastAsia="Calibri" w:hAnsi="Calibri" w:cs="Arial"/>
                <w:b/>
                <w:bCs/>
                <w:color w:val="FFFFFF"/>
                <w:sz w:val="20"/>
                <w:szCs w:val="20"/>
                <w:vertAlign w:val="subscript"/>
              </w:rPr>
              <w:t>EE</w:t>
            </w:r>
          </w:p>
        </w:tc>
        <w:tc>
          <w:tcPr>
            <w:tcW w:w="2130" w:type="dxa"/>
            <w:tcBorders>
              <w:top w:val="single" w:sz="4" w:space="0" w:color="auto"/>
              <w:left w:val="nil"/>
              <w:bottom w:val="single" w:sz="4" w:space="0" w:color="auto"/>
              <w:right w:val="single" w:sz="4" w:space="0" w:color="auto"/>
            </w:tcBorders>
            <w:shd w:val="clear" w:color="000000" w:fill="808080"/>
            <w:vAlign w:val="center"/>
            <w:hideMark/>
          </w:tcPr>
          <w:p w14:paraId="0F953C77" w14:textId="77777777" w:rsidR="002815D4" w:rsidRPr="002815D4" w:rsidRDefault="002815D4" w:rsidP="002815D4">
            <w:pPr>
              <w:jc w:val="center"/>
              <w:rPr>
                <w:rFonts w:ascii="Calibri" w:eastAsia="Calibri" w:hAnsi="Calibri" w:cs="Arial"/>
                <w:b/>
                <w:bCs/>
                <w:color w:val="FFFFFF"/>
                <w:sz w:val="20"/>
                <w:szCs w:val="20"/>
              </w:rPr>
            </w:pPr>
            <w:r w:rsidRPr="002815D4">
              <w:rPr>
                <w:rFonts w:ascii="Calibri" w:eastAsia="Calibri" w:hAnsi="Calibri" w:cs="Arial"/>
                <w:b/>
                <w:bCs/>
                <w:color w:val="FFFFFF"/>
                <w:sz w:val="20"/>
                <w:szCs w:val="20"/>
              </w:rPr>
              <w:t>Baseline Description</w:t>
            </w:r>
          </w:p>
        </w:tc>
        <w:tc>
          <w:tcPr>
            <w:tcW w:w="1584" w:type="dxa"/>
            <w:tcBorders>
              <w:top w:val="single" w:sz="4" w:space="0" w:color="auto"/>
              <w:left w:val="nil"/>
              <w:bottom w:val="single" w:sz="4" w:space="0" w:color="auto"/>
              <w:right w:val="single" w:sz="4" w:space="0" w:color="auto"/>
            </w:tcBorders>
            <w:shd w:val="clear" w:color="000000" w:fill="808080"/>
            <w:vAlign w:val="center"/>
            <w:hideMark/>
          </w:tcPr>
          <w:p w14:paraId="6B3D609E" w14:textId="77777777" w:rsidR="002815D4" w:rsidRPr="002815D4" w:rsidRDefault="002815D4" w:rsidP="002815D4">
            <w:pPr>
              <w:jc w:val="center"/>
              <w:rPr>
                <w:rFonts w:ascii="Calibri" w:eastAsia="Calibri" w:hAnsi="Calibri" w:cs="Arial"/>
                <w:b/>
                <w:bCs/>
                <w:color w:val="FFFFFF"/>
                <w:sz w:val="20"/>
                <w:szCs w:val="20"/>
              </w:rPr>
            </w:pPr>
            <w:r w:rsidRPr="002815D4">
              <w:rPr>
                <w:rFonts w:ascii="Calibri" w:eastAsia="Calibri" w:hAnsi="Calibri" w:cs="Arial"/>
                <w:b/>
                <w:bCs/>
                <w:color w:val="FFFFFF"/>
                <w:sz w:val="20"/>
                <w:szCs w:val="20"/>
              </w:rPr>
              <w:t>Watts</w:t>
            </w:r>
            <w:r w:rsidRPr="002815D4">
              <w:rPr>
                <w:rFonts w:ascii="Calibri" w:eastAsia="Calibri" w:hAnsi="Calibri" w:cs="Arial"/>
                <w:b/>
                <w:bCs/>
                <w:color w:val="FFFFFF"/>
                <w:sz w:val="20"/>
                <w:szCs w:val="20"/>
                <w:vertAlign w:val="subscript"/>
              </w:rPr>
              <w:t>BASE</w:t>
            </w:r>
          </w:p>
        </w:tc>
        <w:tc>
          <w:tcPr>
            <w:tcW w:w="1382" w:type="dxa"/>
            <w:tcBorders>
              <w:top w:val="single" w:sz="4" w:space="0" w:color="auto"/>
              <w:left w:val="nil"/>
              <w:bottom w:val="single" w:sz="4" w:space="0" w:color="auto"/>
              <w:right w:val="single" w:sz="4" w:space="0" w:color="auto"/>
            </w:tcBorders>
            <w:shd w:val="clear" w:color="000000" w:fill="808080"/>
            <w:vAlign w:val="center"/>
            <w:hideMark/>
          </w:tcPr>
          <w:p w14:paraId="2CB080DD" w14:textId="77777777" w:rsidR="002815D4" w:rsidRPr="002815D4" w:rsidRDefault="002815D4" w:rsidP="002815D4">
            <w:pPr>
              <w:jc w:val="center"/>
              <w:rPr>
                <w:rFonts w:ascii="Calibri" w:eastAsia="Calibri" w:hAnsi="Calibri" w:cs="Arial"/>
                <w:b/>
                <w:bCs/>
                <w:color w:val="FFFFFF"/>
                <w:sz w:val="20"/>
                <w:szCs w:val="20"/>
              </w:rPr>
            </w:pPr>
            <w:r w:rsidRPr="002815D4">
              <w:rPr>
                <w:rFonts w:ascii="Calibri" w:eastAsia="Calibri" w:hAnsi="Calibri" w:cs="Arial"/>
                <w:b/>
                <w:bCs/>
                <w:color w:val="FFFFFF"/>
                <w:sz w:val="20"/>
                <w:szCs w:val="20"/>
              </w:rPr>
              <w:t>Incremental Cost</w:t>
            </w:r>
            <w:r w:rsidRPr="002815D4">
              <w:rPr>
                <w:rFonts w:ascii="Calibri" w:eastAsia="Calibri" w:hAnsi="Calibri" w:cs="Arial"/>
                <w:color w:val="FFFFFF"/>
                <w:sz w:val="20"/>
                <w:szCs w:val="20"/>
              </w:rPr>
              <w:t> </w:t>
            </w:r>
          </w:p>
        </w:tc>
      </w:tr>
      <w:tr w:rsidR="002815D4" w:rsidRPr="002815D4" w14:paraId="7E76D591" w14:textId="77777777" w:rsidTr="00935A18">
        <w:trPr>
          <w:trHeight w:val="20"/>
          <w:jc w:val="center"/>
        </w:trPr>
        <w:tc>
          <w:tcPr>
            <w:tcW w:w="1324" w:type="dxa"/>
            <w:tcBorders>
              <w:top w:val="nil"/>
              <w:left w:val="single" w:sz="4" w:space="0" w:color="auto"/>
              <w:bottom w:val="single" w:sz="4" w:space="0" w:color="auto"/>
              <w:right w:val="single" w:sz="4" w:space="0" w:color="auto"/>
            </w:tcBorders>
            <w:vAlign w:val="center"/>
            <w:hideMark/>
          </w:tcPr>
          <w:p w14:paraId="3224FB3F"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Downlight Fixtures* Impacted by EISA Backstop – apply 2 year measure life (or 8 years if IQ)</w:t>
            </w:r>
          </w:p>
        </w:tc>
        <w:tc>
          <w:tcPr>
            <w:tcW w:w="1957" w:type="dxa"/>
            <w:tcBorders>
              <w:top w:val="nil"/>
              <w:left w:val="nil"/>
              <w:bottom w:val="single" w:sz="4" w:space="0" w:color="auto"/>
              <w:right w:val="single" w:sz="4" w:space="0" w:color="auto"/>
            </w:tcBorders>
            <w:vAlign w:val="center"/>
            <w:hideMark/>
          </w:tcPr>
          <w:p w14:paraId="4FC77707"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Recessed, Surface, Pendant Downlights</w:t>
            </w:r>
          </w:p>
        </w:tc>
        <w:tc>
          <w:tcPr>
            <w:tcW w:w="1174" w:type="dxa"/>
            <w:tcBorders>
              <w:top w:val="nil"/>
              <w:left w:val="nil"/>
              <w:bottom w:val="single" w:sz="4" w:space="0" w:color="auto"/>
              <w:right w:val="single" w:sz="4" w:space="0" w:color="auto"/>
            </w:tcBorders>
            <w:noWrap/>
            <w:vAlign w:val="center"/>
            <w:hideMark/>
          </w:tcPr>
          <w:p w14:paraId="322E2AE6"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17.6</w:t>
            </w:r>
          </w:p>
        </w:tc>
        <w:tc>
          <w:tcPr>
            <w:tcW w:w="2130" w:type="dxa"/>
            <w:tcBorders>
              <w:top w:val="nil"/>
              <w:left w:val="nil"/>
              <w:bottom w:val="single" w:sz="4" w:space="0" w:color="auto"/>
              <w:right w:val="single" w:sz="4" w:space="0" w:color="auto"/>
            </w:tcBorders>
            <w:vAlign w:val="center"/>
            <w:hideMark/>
          </w:tcPr>
          <w:p w14:paraId="30308DDA"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Baseline Recessed, Surface, Pendant Downlights</w:t>
            </w:r>
          </w:p>
        </w:tc>
        <w:tc>
          <w:tcPr>
            <w:tcW w:w="1584" w:type="dxa"/>
            <w:tcBorders>
              <w:top w:val="nil"/>
              <w:left w:val="nil"/>
              <w:bottom w:val="single" w:sz="4" w:space="0" w:color="auto"/>
              <w:right w:val="single" w:sz="4" w:space="0" w:color="auto"/>
            </w:tcBorders>
            <w:noWrap/>
            <w:vAlign w:val="center"/>
            <w:hideMark/>
          </w:tcPr>
          <w:p w14:paraId="51BEA4EF"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54.3</w:t>
            </w:r>
          </w:p>
        </w:tc>
        <w:tc>
          <w:tcPr>
            <w:tcW w:w="1382" w:type="dxa"/>
            <w:tcBorders>
              <w:top w:val="nil"/>
              <w:left w:val="nil"/>
              <w:bottom w:val="single" w:sz="4" w:space="0" w:color="auto"/>
              <w:right w:val="single" w:sz="4" w:space="0" w:color="auto"/>
            </w:tcBorders>
            <w:noWrap/>
            <w:vAlign w:val="center"/>
            <w:hideMark/>
          </w:tcPr>
          <w:p w14:paraId="19CA3C45"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$27</w:t>
            </w:r>
          </w:p>
        </w:tc>
      </w:tr>
      <w:tr w:rsidR="002815D4" w:rsidRPr="002815D4" w14:paraId="66FF26B6" w14:textId="77777777" w:rsidTr="00935A18">
        <w:trPr>
          <w:trHeight w:val="20"/>
          <w:jc w:val="center"/>
        </w:trPr>
        <w:tc>
          <w:tcPr>
            <w:tcW w:w="1324" w:type="dxa"/>
            <w:vMerge w:val="restart"/>
            <w:tcBorders>
              <w:top w:val="nil"/>
              <w:left w:val="single" w:sz="4" w:space="0" w:color="auto"/>
              <w:bottom w:val="single" w:sz="4" w:space="0" w:color="auto"/>
              <w:right w:val="single" w:sz="4" w:space="0" w:color="auto"/>
            </w:tcBorders>
            <w:vAlign w:val="center"/>
            <w:hideMark/>
          </w:tcPr>
          <w:p w14:paraId="2FEC05DA"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Interior Directional</w:t>
            </w:r>
          </w:p>
        </w:tc>
        <w:tc>
          <w:tcPr>
            <w:tcW w:w="1957" w:type="dxa"/>
            <w:tcBorders>
              <w:top w:val="nil"/>
              <w:left w:val="nil"/>
              <w:bottom w:val="single" w:sz="4" w:space="0" w:color="auto"/>
              <w:right w:val="single" w:sz="4" w:space="0" w:color="auto"/>
            </w:tcBorders>
            <w:vAlign w:val="center"/>
            <w:hideMark/>
          </w:tcPr>
          <w:p w14:paraId="0CA93E83"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Track Lighting</w:t>
            </w:r>
          </w:p>
        </w:tc>
        <w:tc>
          <w:tcPr>
            <w:tcW w:w="1174" w:type="dxa"/>
            <w:tcBorders>
              <w:top w:val="nil"/>
              <w:left w:val="nil"/>
              <w:bottom w:val="single" w:sz="4" w:space="0" w:color="auto"/>
              <w:right w:val="single" w:sz="4" w:space="0" w:color="auto"/>
            </w:tcBorders>
            <w:noWrap/>
            <w:vAlign w:val="center"/>
            <w:hideMark/>
          </w:tcPr>
          <w:p w14:paraId="53CFD18C"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12.2</w:t>
            </w:r>
          </w:p>
        </w:tc>
        <w:tc>
          <w:tcPr>
            <w:tcW w:w="2130" w:type="dxa"/>
            <w:tcBorders>
              <w:top w:val="nil"/>
              <w:left w:val="nil"/>
              <w:bottom w:val="single" w:sz="4" w:space="0" w:color="auto"/>
              <w:right w:val="single" w:sz="4" w:space="0" w:color="auto"/>
            </w:tcBorders>
            <w:vAlign w:val="center"/>
            <w:hideMark/>
          </w:tcPr>
          <w:p w14:paraId="66A6DD45"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Baseline Track Lighting</w:t>
            </w:r>
          </w:p>
        </w:tc>
        <w:tc>
          <w:tcPr>
            <w:tcW w:w="1584" w:type="dxa"/>
            <w:tcBorders>
              <w:top w:val="nil"/>
              <w:left w:val="nil"/>
              <w:bottom w:val="single" w:sz="4" w:space="0" w:color="auto"/>
              <w:right w:val="single" w:sz="4" w:space="0" w:color="auto"/>
            </w:tcBorders>
            <w:noWrap/>
            <w:vAlign w:val="center"/>
            <w:hideMark/>
          </w:tcPr>
          <w:p w14:paraId="2A83921C"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60.4</w:t>
            </w:r>
          </w:p>
        </w:tc>
        <w:tc>
          <w:tcPr>
            <w:tcW w:w="1382" w:type="dxa"/>
            <w:tcBorders>
              <w:top w:val="nil"/>
              <w:left w:val="nil"/>
              <w:bottom w:val="single" w:sz="4" w:space="0" w:color="auto"/>
              <w:right w:val="single" w:sz="4" w:space="0" w:color="auto"/>
            </w:tcBorders>
            <w:noWrap/>
            <w:vAlign w:val="center"/>
            <w:hideMark/>
          </w:tcPr>
          <w:p w14:paraId="1489012F"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$59</w:t>
            </w:r>
          </w:p>
        </w:tc>
      </w:tr>
      <w:tr w:rsidR="002815D4" w:rsidRPr="002815D4" w14:paraId="11FD9885" w14:textId="77777777" w:rsidTr="00935A18">
        <w:trPr>
          <w:trHeight w:val="20"/>
          <w:jc w:val="center"/>
        </w:trPr>
        <w:tc>
          <w:tcPr>
            <w:tcW w:w="1324" w:type="dxa"/>
            <w:vMerge/>
            <w:tcBorders>
              <w:top w:val="nil"/>
              <w:left w:val="single" w:sz="4" w:space="0" w:color="auto"/>
              <w:bottom w:val="single" w:sz="4" w:space="0" w:color="auto"/>
              <w:right w:val="single" w:sz="4" w:space="0" w:color="auto"/>
            </w:tcBorders>
            <w:vAlign w:val="center"/>
            <w:hideMark/>
          </w:tcPr>
          <w:p w14:paraId="657D0E9F"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09A6E94B"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Wall-Wash Fixtures</w:t>
            </w:r>
          </w:p>
        </w:tc>
        <w:tc>
          <w:tcPr>
            <w:tcW w:w="1174" w:type="dxa"/>
            <w:tcBorders>
              <w:top w:val="nil"/>
              <w:left w:val="nil"/>
              <w:bottom w:val="single" w:sz="4" w:space="0" w:color="auto"/>
              <w:right w:val="single" w:sz="4" w:space="0" w:color="auto"/>
            </w:tcBorders>
            <w:noWrap/>
            <w:vAlign w:val="center"/>
            <w:hideMark/>
          </w:tcPr>
          <w:p w14:paraId="63509B90"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8.3</w:t>
            </w:r>
          </w:p>
        </w:tc>
        <w:tc>
          <w:tcPr>
            <w:tcW w:w="2130" w:type="dxa"/>
            <w:tcBorders>
              <w:top w:val="nil"/>
              <w:left w:val="nil"/>
              <w:bottom w:val="single" w:sz="4" w:space="0" w:color="auto"/>
              <w:right w:val="single" w:sz="4" w:space="0" w:color="auto"/>
            </w:tcBorders>
            <w:vAlign w:val="center"/>
            <w:hideMark/>
          </w:tcPr>
          <w:p w14:paraId="266CE1CB"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Baseline Wall-Wash Fixtures</w:t>
            </w:r>
          </w:p>
        </w:tc>
        <w:tc>
          <w:tcPr>
            <w:tcW w:w="1584" w:type="dxa"/>
            <w:tcBorders>
              <w:top w:val="nil"/>
              <w:left w:val="nil"/>
              <w:bottom w:val="single" w:sz="4" w:space="0" w:color="auto"/>
              <w:right w:val="single" w:sz="4" w:space="0" w:color="auto"/>
            </w:tcBorders>
            <w:noWrap/>
            <w:vAlign w:val="center"/>
            <w:hideMark/>
          </w:tcPr>
          <w:p w14:paraId="3A1EF39A"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17.7</w:t>
            </w:r>
          </w:p>
        </w:tc>
        <w:tc>
          <w:tcPr>
            <w:tcW w:w="1382" w:type="dxa"/>
            <w:tcBorders>
              <w:top w:val="nil"/>
              <w:left w:val="nil"/>
              <w:bottom w:val="single" w:sz="4" w:space="0" w:color="auto"/>
              <w:right w:val="single" w:sz="4" w:space="0" w:color="auto"/>
            </w:tcBorders>
            <w:noWrap/>
            <w:vAlign w:val="center"/>
            <w:hideMark/>
          </w:tcPr>
          <w:p w14:paraId="50742007"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$59</w:t>
            </w:r>
          </w:p>
        </w:tc>
      </w:tr>
      <w:tr w:rsidR="002815D4" w:rsidRPr="002815D4" w14:paraId="6805E8D5" w14:textId="77777777" w:rsidTr="00935A18">
        <w:trPr>
          <w:trHeight w:val="20"/>
          <w:jc w:val="center"/>
        </w:trPr>
        <w:tc>
          <w:tcPr>
            <w:tcW w:w="1324" w:type="dxa"/>
            <w:vMerge w:val="restart"/>
            <w:tcBorders>
              <w:top w:val="nil"/>
              <w:left w:val="single" w:sz="4" w:space="0" w:color="auto"/>
              <w:bottom w:val="single" w:sz="4" w:space="0" w:color="auto"/>
              <w:right w:val="single" w:sz="4" w:space="0" w:color="auto"/>
            </w:tcBorders>
            <w:vAlign w:val="center"/>
            <w:hideMark/>
          </w:tcPr>
          <w:p w14:paraId="48D0CFFA"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Display Case</w:t>
            </w:r>
            <w:r w:rsidRPr="002815D4">
              <w:rPr>
                <w:rFonts w:ascii="Arial" w:eastAsia="Calibri" w:hAnsi="Arial" w:cs="Times New Roman"/>
                <w:sz w:val="20"/>
                <w:szCs w:val="20"/>
                <w:vertAlign w:val="superscript"/>
              </w:rPr>
              <w:footnoteReference w:id="23"/>
            </w:r>
          </w:p>
        </w:tc>
        <w:tc>
          <w:tcPr>
            <w:tcW w:w="1957" w:type="dxa"/>
            <w:tcBorders>
              <w:top w:val="nil"/>
              <w:left w:val="nil"/>
              <w:bottom w:val="single" w:sz="4" w:space="0" w:color="auto"/>
              <w:right w:val="single" w:sz="4" w:space="0" w:color="auto"/>
            </w:tcBorders>
            <w:vAlign w:val="center"/>
            <w:hideMark/>
          </w:tcPr>
          <w:p w14:paraId="0DC7835D"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Display Case Light Fixture</w:t>
            </w:r>
          </w:p>
        </w:tc>
        <w:tc>
          <w:tcPr>
            <w:tcW w:w="1174" w:type="dxa"/>
            <w:tcBorders>
              <w:top w:val="nil"/>
              <w:left w:val="nil"/>
              <w:bottom w:val="single" w:sz="4" w:space="0" w:color="auto"/>
              <w:right w:val="single" w:sz="4" w:space="0" w:color="auto"/>
            </w:tcBorders>
            <w:noWrap/>
            <w:vAlign w:val="center"/>
            <w:hideMark/>
          </w:tcPr>
          <w:p w14:paraId="3A073C96"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4 per ft</w:t>
            </w:r>
          </w:p>
        </w:tc>
        <w:tc>
          <w:tcPr>
            <w:tcW w:w="2130" w:type="dxa"/>
            <w:tcBorders>
              <w:top w:val="nil"/>
              <w:left w:val="nil"/>
              <w:bottom w:val="single" w:sz="4" w:space="0" w:color="auto"/>
              <w:right w:val="single" w:sz="4" w:space="0" w:color="auto"/>
            </w:tcBorders>
            <w:vAlign w:val="center"/>
            <w:hideMark/>
          </w:tcPr>
          <w:p w14:paraId="42AC0A01"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Baseline Display Case Light Fixture</w:t>
            </w:r>
          </w:p>
        </w:tc>
        <w:tc>
          <w:tcPr>
            <w:tcW w:w="1584" w:type="dxa"/>
            <w:tcBorders>
              <w:top w:val="nil"/>
              <w:left w:val="nil"/>
              <w:bottom w:val="single" w:sz="4" w:space="0" w:color="auto"/>
              <w:right w:val="single" w:sz="4" w:space="0" w:color="auto"/>
            </w:tcBorders>
            <w:noWrap/>
            <w:vAlign w:val="center"/>
            <w:hideMark/>
          </w:tcPr>
          <w:p w14:paraId="5D089517"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36.2 per ft</w:t>
            </w:r>
          </w:p>
        </w:tc>
        <w:tc>
          <w:tcPr>
            <w:tcW w:w="1382" w:type="dxa"/>
            <w:tcBorders>
              <w:top w:val="nil"/>
              <w:left w:val="nil"/>
              <w:bottom w:val="single" w:sz="4" w:space="0" w:color="auto"/>
              <w:right w:val="single" w:sz="4" w:space="0" w:color="auto"/>
            </w:tcBorders>
            <w:noWrap/>
            <w:vAlign w:val="center"/>
            <w:hideMark/>
          </w:tcPr>
          <w:p w14:paraId="2D4C6D32"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$11/ft</w:t>
            </w:r>
          </w:p>
        </w:tc>
      </w:tr>
      <w:tr w:rsidR="002815D4" w:rsidRPr="002815D4" w14:paraId="6B9FA0DE" w14:textId="77777777" w:rsidTr="00935A18">
        <w:trPr>
          <w:trHeight w:val="20"/>
          <w:jc w:val="center"/>
        </w:trPr>
        <w:tc>
          <w:tcPr>
            <w:tcW w:w="1324" w:type="dxa"/>
            <w:vMerge/>
            <w:tcBorders>
              <w:top w:val="nil"/>
              <w:left w:val="single" w:sz="4" w:space="0" w:color="auto"/>
              <w:bottom w:val="single" w:sz="4" w:space="0" w:color="auto"/>
              <w:right w:val="single" w:sz="4" w:space="0" w:color="auto"/>
            </w:tcBorders>
            <w:vAlign w:val="center"/>
            <w:hideMark/>
          </w:tcPr>
          <w:p w14:paraId="45C23322"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46306D94"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Undercabinet Shelf-Mounted Task Light Fixtures</w:t>
            </w:r>
          </w:p>
        </w:tc>
        <w:tc>
          <w:tcPr>
            <w:tcW w:w="1174" w:type="dxa"/>
            <w:tcBorders>
              <w:top w:val="nil"/>
              <w:left w:val="nil"/>
              <w:bottom w:val="single" w:sz="4" w:space="0" w:color="auto"/>
              <w:right w:val="single" w:sz="4" w:space="0" w:color="auto"/>
            </w:tcBorders>
            <w:noWrap/>
            <w:vAlign w:val="center"/>
            <w:hideMark/>
          </w:tcPr>
          <w:p w14:paraId="4AE89285"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4 per ft</w:t>
            </w:r>
          </w:p>
        </w:tc>
        <w:tc>
          <w:tcPr>
            <w:tcW w:w="2130" w:type="dxa"/>
            <w:tcBorders>
              <w:top w:val="nil"/>
              <w:left w:val="nil"/>
              <w:bottom w:val="single" w:sz="4" w:space="0" w:color="auto"/>
              <w:right w:val="single" w:sz="4" w:space="0" w:color="auto"/>
            </w:tcBorders>
            <w:vAlign w:val="center"/>
            <w:hideMark/>
          </w:tcPr>
          <w:p w14:paraId="5749C44B"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Baseline Undercabinet Shelf-Mounted Task Light Fixtures</w:t>
            </w:r>
          </w:p>
        </w:tc>
        <w:tc>
          <w:tcPr>
            <w:tcW w:w="1584" w:type="dxa"/>
            <w:tcBorders>
              <w:top w:val="nil"/>
              <w:left w:val="nil"/>
              <w:bottom w:val="single" w:sz="4" w:space="0" w:color="auto"/>
              <w:right w:val="single" w:sz="4" w:space="0" w:color="auto"/>
            </w:tcBorders>
            <w:noWrap/>
            <w:vAlign w:val="center"/>
            <w:hideMark/>
          </w:tcPr>
          <w:p w14:paraId="43FC5221"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36.2 per ft</w:t>
            </w:r>
          </w:p>
        </w:tc>
        <w:tc>
          <w:tcPr>
            <w:tcW w:w="1382" w:type="dxa"/>
            <w:tcBorders>
              <w:top w:val="nil"/>
              <w:left w:val="nil"/>
              <w:bottom w:val="single" w:sz="4" w:space="0" w:color="auto"/>
              <w:right w:val="single" w:sz="4" w:space="0" w:color="auto"/>
            </w:tcBorders>
            <w:noWrap/>
            <w:vAlign w:val="center"/>
            <w:hideMark/>
          </w:tcPr>
          <w:p w14:paraId="41E79082"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$11/ft</w:t>
            </w:r>
          </w:p>
        </w:tc>
      </w:tr>
      <w:tr w:rsidR="002815D4" w:rsidRPr="002815D4" w14:paraId="58D7A8FE" w14:textId="77777777" w:rsidTr="00935A18">
        <w:trPr>
          <w:trHeight w:val="20"/>
          <w:jc w:val="center"/>
        </w:trPr>
        <w:tc>
          <w:tcPr>
            <w:tcW w:w="1324" w:type="dxa"/>
            <w:vMerge/>
            <w:tcBorders>
              <w:top w:val="nil"/>
              <w:left w:val="single" w:sz="4" w:space="0" w:color="auto"/>
              <w:bottom w:val="single" w:sz="4" w:space="0" w:color="auto"/>
              <w:right w:val="single" w:sz="4" w:space="0" w:color="auto"/>
            </w:tcBorders>
            <w:vAlign w:val="center"/>
            <w:hideMark/>
          </w:tcPr>
          <w:p w14:paraId="65EB5617"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10528A7F"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Refrigerated Case Light, Horizontal or Vertical</w:t>
            </w:r>
          </w:p>
        </w:tc>
        <w:tc>
          <w:tcPr>
            <w:tcW w:w="1174" w:type="dxa"/>
            <w:tcBorders>
              <w:top w:val="nil"/>
              <w:left w:val="nil"/>
              <w:bottom w:val="single" w:sz="4" w:space="0" w:color="auto"/>
              <w:right w:val="single" w:sz="4" w:space="0" w:color="auto"/>
            </w:tcBorders>
            <w:noWrap/>
            <w:vAlign w:val="center"/>
            <w:hideMark/>
          </w:tcPr>
          <w:p w14:paraId="4997F151"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4 per ft</w:t>
            </w:r>
          </w:p>
        </w:tc>
        <w:tc>
          <w:tcPr>
            <w:tcW w:w="2130" w:type="dxa"/>
            <w:tcBorders>
              <w:top w:val="nil"/>
              <w:left w:val="nil"/>
              <w:bottom w:val="single" w:sz="4" w:space="0" w:color="auto"/>
              <w:right w:val="single" w:sz="4" w:space="0" w:color="auto"/>
            </w:tcBorders>
            <w:vAlign w:val="center"/>
            <w:hideMark/>
          </w:tcPr>
          <w:p w14:paraId="65119FB1"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Baseline Refrigerated Case Light, Horizontal or Vertical (per foot)</w:t>
            </w:r>
          </w:p>
        </w:tc>
        <w:tc>
          <w:tcPr>
            <w:tcW w:w="1584" w:type="dxa"/>
            <w:tcBorders>
              <w:top w:val="nil"/>
              <w:left w:val="nil"/>
              <w:bottom w:val="single" w:sz="4" w:space="0" w:color="auto"/>
              <w:right w:val="single" w:sz="4" w:space="0" w:color="auto"/>
            </w:tcBorders>
            <w:noWrap/>
            <w:vAlign w:val="center"/>
            <w:hideMark/>
          </w:tcPr>
          <w:p w14:paraId="70283F63"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15.2 per ft</w:t>
            </w:r>
          </w:p>
        </w:tc>
        <w:tc>
          <w:tcPr>
            <w:tcW w:w="1382" w:type="dxa"/>
            <w:tcBorders>
              <w:top w:val="nil"/>
              <w:left w:val="nil"/>
              <w:bottom w:val="single" w:sz="4" w:space="0" w:color="auto"/>
              <w:right w:val="single" w:sz="4" w:space="0" w:color="auto"/>
            </w:tcBorders>
            <w:noWrap/>
            <w:vAlign w:val="center"/>
            <w:hideMark/>
          </w:tcPr>
          <w:p w14:paraId="53149CFE"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$11/ft</w:t>
            </w:r>
          </w:p>
        </w:tc>
      </w:tr>
      <w:tr w:rsidR="002815D4" w:rsidRPr="002815D4" w14:paraId="41E66926" w14:textId="77777777" w:rsidTr="00935A18">
        <w:trPr>
          <w:trHeight w:val="20"/>
          <w:jc w:val="center"/>
        </w:trPr>
        <w:tc>
          <w:tcPr>
            <w:tcW w:w="1324" w:type="dxa"/>
            <w:vMerge/>
            <w:tcBorders>
              <w:top w:val="nil"/>
              <w:left w:val="single" w:sz="4" w:space="0" w:color="auto"/>
              <w:bottom w:val="single" w:sz="4" w:space="0" w:color="auto"/>
              <w:right w:val="single" w:sz="4" w:space="0" w:color="auto"/>
            </w:tcBorders>
            <w:vAlign w:val="center"/>
            <w:hideMark/>
          </w:tcPr>
          <w:p w14:paraId="647B079D"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5EE00F17"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Freezer Case Light, Horizontal or Vertical</w:t>
            </w:r>
          </w:p>
        </w:tc>
        <w:tc>
          <w:tcPr>
            <w:tcW w:w="1174" w:type="dxa"/>
            <w:tcBorders>
              <w:top w:val="nil"/>
              <w:left w:val="nil"/>
              <w:bottom w:val="single" w:sz="4" w:space="0" w:color="auto"/>
              <w:right w:val="single" w:sz="4" w:space="0" w:color="auto"/>
            </w:tcBorders>
            <w:noWrap/>
            <w:vAlign w:val="center"/>
            <w:hideMark/>
          </w:tcPr>
          <w:p w14:paraId="54AFC543"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4 per ft</w:t>
            </w:r>
          </w:p>
        </w:tc>
        <w:tc>
          <w:tcPr>
            <w:tcW w:w="2130" w:type="dxa"/>
            <w:tcBorders>
              <w:top w:val="nil"/>
              <w:left w:val="nil"/>
              <w:bottom w:val="single" w:sz="4" w:space="0" w:color="auto"/>
              <w:right w:val="single" w:sz="4" w:space="0" w:color="auto"/>
            </w:tcBorders>
            <w:vAlign w:val="center"/>
            <w:hideMark/>
          </w:tcPr>
          <w:p w14:paraId="762F885C"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Baseline Freezer Case Light, Horizontal or Vertical (per foot)</w:t>
            </w:r>
          </w:p>
        </w:tc>
        <w:tc>
          <w:tcPr>
            <w:tcW w:w="1584" w:type="dxa"/>
            <w:tcBorders>
              <w:top w:val="nil"/>
              <w:left w:val="nil"/>
              <w:bottom w:val="single" w:sz="4" w:space="0" w:color="auto"/>
              <w:right w:val="single" w:sz="4" w:space="0" w:color="auto"/>
            </w:tcBorders>
            <w:noWrap/>
            <w:vAlign w:val="center"/>
            <w:hideMark/>
          </w:tcPr>
          <w:p w14:paraId="188F1647"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18.7 per ft</w:t>
            </w:r>
          </w:p>
        </w:tc>
        <w:tc>
          <w:tcPr>
            <w:tcW w:w="1382" w:type="dxa"/>
            <w:tcBorders>
              <w:top w:val="nil"/>
              <w:left w:val="nil"/>
              <w:bottom w:val="single" w:sz="4" w:space="0" w:color="auto"/>
              <w:right w:val="single" w:sz="4" w:space="0" w:color="auto"/>
            </w:tcBorders>
            <w:noWrap/>
            <w:vAlign w:val="center"/>
            <w:hideMark/>
          </w:tcPr>
          <w:p w14:paraId="44566827"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$11/ft</w:t>
            </w:r>
          </w:p>
        </w:tc>
      </w:tr>
      <w:tr w:rsidR="002815D4" w:rsidRPr="002815D4" w14:paraId="1844A5CE" w14:textId="77777777" w:rsidTr="00935A18">
        <w:trPr>
          <w:trHeight w:val="20"/>
          <w:jc w:val="center"/>
        </w:trPr>
        <w:tc>
          <w:tcPr>
            <w:tcW w:w="1324" w:type="dxa"/>
            <w:vMerge w:val="restart"/>
            <w:tcBorders>
              <w:top w:val="nil"/>
              <w:left w:val="single" w:sz="4" w:space="0" w:color="auto"/>
              <w:right w:val="single" w:sz="4" w:space="0" w:color="auto"/>
            </w:tcBorders>
            <w:vAlign w:val="center"/>
            <w:hideMark/>
          </w:tcPr>
          <w:p w14:paraId="3F5CAD7F"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Linear Replacement Lamps</w:t>
            </w:r>
          </w:p>
        </w:tc>
        <w:tc>
          <w:tcPr>
            <w:tcW w:w="1957" w:type="dxa"/>
            <w:tcBorders>
              <w:top w:val="single" w:sz="4" w:space="0" w:color="auto"/>
              <w:left w:val="single" w:sz="4" w:space="0" w:color="auto"/>
              <w:bottom w:val="single" w:sz="4" w:space="0" w:color="auto"/>
              <w:right w:val="single" w:sz="4" w:space="0" w:color="auto"/>
            </w:tcBorders>
            <w:vAlign w:val="center"/>
            <w:hideMark/>
          </w:tcPr>
          <w:p w14:paraId="6178C10B" w14:textId="77777777" w:rsidR="002815D4" w:rsidRPr="002815D4" w:rsidRDefault="002815D4" w:rsidP="002815D4">
            <w:pPr>
              <w:rPr>
                <w:rFonts w:ascii="Calibri" w:eastAsia="Calibri" w:hAnsi="Calibri" w:cs="Arial"/>
                <w:sz w:val="20"/>
                <w:szCs w:val="20"/>
              </w:rPr>
            </w:pPr>
            <w:r w:rsidRPr="002815D4">
              <w:rPr>
                <w:rFonts w:ascii="Calibri" w:eastAsia="Calibri" w:hAnsi="Calibri" w:cs="Calibri"/>
                <w:sz w:val="20"/>
                <w:szCs w:val="20"/>
              </w:rPr>
              <w:t>T8 LED Replacement Lamp (TLED), &lt; 1200 lumens</w:t>
            </w:r>
          </w:p>
        </w:tc>
        <w:tc>
          <w:tcPr>
            <w:tcW w:w="1174" w:type="dxa"/>
            <w:tcBorders>
              <w:top w:val="single" w:sz="4" w:space="0" w:color="auto"/>
              <w:left w:val="nil"/>
              <w:bottom w:val="single" w:sz="4" w:space="0" w:color="auto"/>
              <w:right w:val="single" w:sz="4" w:space="0" w:color="auto"/>
            </w:tcBorders>
            <w:noWrap/>
            <w:vAlign w:val="center"/>
            <w:hideMark/>
          </w:tcPr>
          <w:p w14:paraId="7092B004"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7.5</w:t>
            </w:r>
          </w:p>
        </w:tc>
        <w:tc>
          <w:tcPr>
            <w:tcW w:w="2130" w:type="dxa"/>
            <w:tcBorders>
              <w:top w:val="single" w:sz="4" w:space="0" w:color="auto"/>
              <w:left w:val="nil"/>
              <w:bottom w:val="single" w:sz="4" w:space="0" w:color="auto"/>
              <w:right w:val="single" w:sz="4" w:space="0" w:color="auto"/>
            </w:tcBorders>
            <w:vAlign w:val="center"/>
            <w:hideMark/>
          </w:tcPr>
          <w:p w14:paraId="46776E4E" w14:textId="77777777" w:rsidR="002815D4" w:rsidRPr="002815D4" w:rsidRDefault="002815D4" w:rsidP="002815D4">
            <w:pPr>
              <w:rPr>
                <w:rFonts w:ascii="Calibri" w:eastAsia="Calibri" w:hAnsi="Calibri" w:cs="Arial"/>
                <w:sz w:val="20"/>
                <w:szCs w:val="20"/>
              </w:rPr>
            </w:pPr>
            <w:r w:rsidRPr="002815D4">
              <w:rPr>
                <w:rFonts w:ascii="Calibri" w:eastAsia="Calibri" w:hAnsi="Calibri" w:cs="Calibri"/>
                <w:sz w:val="20"/>
                <w:szCs w:val="20"/>
              </w:rPr>
              <w:t>F17T8 Standard Lamp - 2 foot</w:t>
            </w:r>
          </w:p>
        </w:tc>
        <w:tc>
          <w:tcPr>
            <w:tcW w:w="1584" w:type="dxa"/>
            <w:tcBorders>
              <w:top w:val="single" w:sz="4" w:space="0" w:color="auto"/>
              <w:left w:val="nil"/>
              <w:bottom w:val="single" w:sz="4" w:space="0" w:color="auto"/>
              <w:right w:val="single" w:sz="4" w:space="0" w:color="auto"/>
            </w:tcBorders>
            <w:noWrap/>
            <w:vAlign w:val="center"/>
            <w:hideMark/>
          </w:tcPr>
          <w:p w14:paraId="6ECF930E"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15.0</w:t>
            </w:r>
          </w:p>
        </w:tc>
        <w:tc>
          <w:tcPr>
            <w:tcW w:w="1382" w:type="dxa"/>
            <w:tcBorders>
              <w:top w:val="single" w:sz="4" w:space="0" w:color="auto"/>
              <w:left w:val="nil"/>
              <w:bottom w:val="single" w:sz="4" w:space="0" w:color="auto"/>
              <w:right w:val="single" w:sz="4" w:space="0" w:color="auto"/>
            </w:tcBorders>
            <w:noWrap/>
            <w:vAlign w:val="center"/>
            <w:hideMark/>
          </w:tcPr>
          <w:p w14:paraId="2C496F6E"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$13</w:t>
            </w:r>
          </w:p>
        </w:tc>
      </w:tr>
      <w:tr w:rsidR="002815D4" w:rsidRPr="002815D4" w14:paraId="08B6444D" w14:textId="77777777" w:rsidTr="00935A18">
        <w:trPr>
          <w:trHeight w:val="20"/>
          <w:jc w:val="center"/>
        </w:trPr>
        <w:tc>
          <w:tcPr>
            <w:tcW w:w="1324" w:type="dxa"/>
            <w:vMerge/>
            <w:tcBorders>
              <w:left w:val="single" w:sz="4" w:space="0" w:color="auto"/>
              <w:right w:val="single" w:sz="4" w:space="0" w:color="auto"/>
            </w:tcBorders>
            <w:vAlign w:val="center"/>
            <w:hideMark/>
          </w:tcPr>
          <w:p w14:paraId="1C999752" w14:textId="77777777" w:rsidR="002815D4" w:rsidRPr="002815D4" w:rsidRDefault="002815D4" w:rsidP="002815D4">
            <w:pPr>
              <w:rPr>
                <w:rFonts w:ascii="Calibri" w:eastAsia="Calibri" w:hAnsi="Calibri" w:cs="Arial"/>
                <w:sz w:val="20"/>
                <w:szCs w:val="20"/>
              </w:rPr>
            </w:pPr>
          </w:p>
        </w:tc>
        <w:tc>
          <w:tcPr>
            <w:tcW w:w="1957" w:type="dxa"/>
            <w:tcBorders>
              <w:top w:val="nil"/>
              <w:left w:val="single" w:sz="4" w:space="0" w:color="auto"/>
              <w:bottom w:val="single" w:sz="4" w:space="0" w:color="auto"/>
              <w:right w:val="single" w:sz="4" w:space="0" w:color="auto"/>
            </w:tcBorders>
            <w:vAlign w:val="center"/>
            <w:hideMark/>
          </w:tcPr>
          <w:p w14:paraId="4B4EE334" w14:textId="77777777" w:rsidR="002815D4" w:rsidRPr="002815D4" w:rsidRDefault="002815D4" w:rsidP="002815D4">
            <w:pPr>
              <w:rPr>
                <w:rFonts w:ascii="Calibri" w:eastAsia="Calibri" w:hAnsi="Calibri" w:cs="Arial"/>
                <w:sz w:val="20"/>
                <w:szCs w:val="20"/>
              </w:rPr>
            </w:pPr>
            <w:r w:rsidRPr="002815D4">
              <w:rPr>
                <w:rFonts w:ascii="Calibri" w:eastAsia="Calibri" w:hAnsi="Calibri" w:cs="Calibri"/>
                <w:sz w:val="20"/>
                <w:szCs w:val="20"/>
              </w:rPr>
              <w:t>T8 LED Replacement Lamp (TLED), 1200-2400 lumens</w:t>
            </w:r>
          </w:p>
        </w:tc>
        <w:tc>
          <w:tcPr>
            <w:tcW w:w="1174" w:type="dxa"/>
            <w:tcBorders>
              <w:top w:val="nil"/>
              <w:left w:val="nil"/>
              <w:bottom w:val="single" w:sz="4" w:space="0" w:color="auto"/>
              <w:right w:val="single" w:sz="4" w:space="0" w:color="auto"/>
            </w:tcBorders>
            <w:noWrap/>
            <w:vAlign w:val="center"/>
            <w:hideMark/>
          </w:tcPr>
          <w:p w14:paraId="2C6F277F"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12.0</w:t>
            </w:r>
          </w:p>
        </w:tc>
        <w:tc>
          <w:tcPr>
            <w:tcW w:w="2130" w:type="dxa"/>
            <w:tcBorders>
              <w:top w:val="nil"/>
              <w:left w:val="nil"/>
              <w:bottom w:val="single" w:sz="4" w:space="0" w:color="auto"/>
              <w:right w:val="single" w:sz="4" w:space="0" w:color="auto"/>
            </w:tcBorders>
            <w:vAlign w:val="center"/>
            <w:hideMark/>
          </w:tcPr>
          <w:p w14:paraId="3F4AF24D" w14:textId="77777777" w:rsidR="002815D4" w:rsidRPr="002815D4" w:rsidRDefault="002815D4" w:rsidP="002815D4">
            <w:pPr>
              <w:rPr>
                <w:rFonts w:ascii="Calibri" w:eastAsia="Calibri" w:hAnsi="Calibri" w:cs="Arial"/>
                <w:sz w:val="20"/>
                <w:szCs w:val="20"/>
              </w:rPr>
            </w:pPr>
            <w:r w:rsidRPr="002815D4">
              <w:rPr>
                <w:rFonts w:ascii="Calibri" w:eastAsia="Calibri" w:hAnsi="Calibri" w:cs="Calibri"/>
                <w:sz w:val="20"/>
                <w:szCs w:val="20"/>
              </w:rPr>
              <w:t>F32T8 Standard Lamp - 4 foot</w:t>
            </w:r>
          </w:p>
        </w:tc>
        <w:tc>
          <w:tcPr>
            <w:tcW w:w="1584" w:type="dxa"/>
            <w:tcBorders>
              <w:top w:val="nil"/>
              <w:left w:val="nil"/>
              <w:bottom w:val="single" w:sz="4" w:space="0" w:color="auto"/>
              <w:right w:val="single" w:sz="4" w:space="0" w:color="auto"/>
            </w:tcBorders>
            <w:noWrap/>
            <w:vAlign w:val="center"/>
            <w:hideMark/>
          </w:tcPr>
          <w:p w14:paraId="393E5288"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28.2</w:t>
            </w:r>
          </w:p>
        </w:tc>
        <w:tc>
          <w:tcPr>
            <w:tcW w:w="1382" w:type="dxa"/>
            <w:tcBorders>
              <w:top w:val="nil"/>
              <w:left w:val="nil"/>
              <w:bottom w:val="single" w:sz="4" w:space="0" w:color="auto"/>
              <w:right w:val="single" w:sz="4" w:space="0" w:color="auto"/>
            </w:tcBorders>
            <w:noWrap/>
            <w:vAlign w:val="center"/>
            <w:hideMark/>
          </w:tcPr>
          <w:p w14:paraId="26F10E17"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$15</w:t>
            </w:r>
          </w:p>
        </w:tc>
      </w:tr>
      <w:tr w:rsidR="002815D4" w:rsidRPr="002815D4" w14:paraId="76C52556" w14:textId="77777777" w:rsidTr="00935A18">
        <w:trPr>
          <w:trHeight w:val="20"/>
          <w:jc w:val="center"/>
        </w:trPr>
        <w:tc>
          <w:tcPr>
            <w:tcW w:w="1324" w:type="dxa"/>
            <w:vMerge/>
            <w:tcBorders>
              <w:left w:val="single" w:sz="4" w:space="0" w:color="auto"/>
              <w:bottom w:val="single" w:sz="4" w:space="0" w:color="auto"/>
              <w:right w:val="single" w:sz="4" w:space="0" w:color="auto"/>
            </w:tcBorders>
            <w:vAlign w:val="center"/>
          </w:tcPr>
          <w:p w14:paraId="5366FD70" w14:textId="77777777" w:rsidR="002815D4" w:rsidRPr="002815D4" w:rsidRDefault="002815D4" w:rsidP="002815D4">
            <w:pPr>
              <w:rPr>
                <w:rFonts w:ascii="Calibri" w:eastAsia="Calibri" w:hAnsi="Calibri" w:cs="Arial"/>
                <w:sz w:val="20"/>
                <w:szCs w:val="20"/>
              </w:rPr>
            </w:pPr>
          </w:p>
        </w:tc>
        <w:tc>
          <w:tcPr>
            <w:tcW w:w="1957" w:type="dxa"/>
            <w:tcBorders>
              <w:top w:val="nil"/>
              <w:left w:val="single" w:sz="4" w:space="0" w:color="auto"/>
              <w:bottom w:val="single" w:sz="4" w:space="0" w:color="auto"/>
              <w:right w:val="single" w:sz="4" w:space="0" w:color="auto"/>
            </w:tcBorders>
            <w:vAlign w:val="center"/>
          </w:tcPr>
          <w:p w14:paraId="311585C2" w14:textId="77777777" w:rsidR="002815D4" w:rsidRPr="002815D4" w:rsidRDefault="002815D4" w:rsidP="002815D4">
            <w:pPr>
              <w:rPr>
                <w:rFonts w:ascii="Calibri" w:eastAsia="Calibri" w:hAnsi="Calibri" w:cs="Arial"/>
                <w:sz w:val="20"/>
                <w:szCs w:val="20"/>
              </w:rPr>
            </w:pPr>
            <w:r w:rsidRPr="002815D4">
              <w:rPr>
                <w:rFonts w:ascii="Calibri" w:eastAsia="Calibri" w:hAnsi="Calibri" w:cs="Calibri"/>
                <w:sz w:val="20"/>
                <w:szCs w:val="20"/>
              </w:rPr>
              <w:t>T8 LED Replacement Lamp (TLED), &gt; 2400 lumens</w:t>
            </w:r>
          </w:p>
        </w:tc>
        <w:tc>
          <w:tcPr>
            <w:tcW w:w="1174" w:type="dxa"/>
            <w:tcBorders>
              <w:top w:val="nil"/>
              <w:left w:val="nil"/>
              <w:bottom w:val="single" w:sz="4" w:space="0" w:color="auto"/>
              <w:right w:val="single" w:sz="4" w:space="0" w:color="auto"/>
            </w:tcBorders>
            <w:noWrap/>
            <w:vAlign w:val="center"/>
          </w:tcPr>
          <w:p w14:paraId="21B935AD"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21.7</w:t>
            </w:r>
          </w:p>
        </w:tc>
        <w:tc>
          <w:tcPr>
            <w:tcW w:w="2130" w:type="dxa"/>
            <w:tcBorders>
              <w:top w:val="nil"/>
              <w:left w:val="nil"/>
              <w:bottom w:val="single" w:sz="4" w:space="0" w:color="auto"/>
              <w:right w:val="single" w:sz="4" w:space="0" w:color="auto"/>
            </w:tcBorders>
            <w:vAlign w:val="center"/>
          </w:tcPr>
          <w:p w14:paraId="594CEB4A" w14:textId="77777777" w:rsidR="002815D4" w:rsidRPr="002815D4" w:rsidRDefault="002815D4" w:rsidP="002815D4">
            <w:pPr>
              <w:rPr>
                <w:rFonts w:ascii="Calibri" w:eastAsia="Calibri" w:hAnsi="Calibri" w:cs="Arial"/>
                <w:sz w:val="20"/>
                <w:szCs w:val="20"/>
              </w:rPr>
            </w:pPr>
            <w:r w:rsidRPr="002815D4">
              <w:rPr>
                <w:rFonts w:ascii="Calibri" w:eastAsia="Calibri" w:hAnsi="Calibri" w:cs="Calibri"/>
                <w:sz w:val="20"/>
                <w:szCs w:val="20"/>
              </w:rPr>
              <w:t>F32T8/HO Standard Lamp - 4 foot</w:t>
            </w:r>
          </w:p>
        </w:tc>
        <w:tc>
          <w:tcPr>
            <w:tcW w:w="1584" w:type="dxa"/>
            <w:tcBorders>
              <w:top w:val="nil"/>
              <w:left w:val="nil"/>
              <w:bottom w:val="single" w:sz="4" w:space="0" w:color="auto"/>
              <w:right w:val="single" w:sz="4" w:space="0" w:color="auto"/>
            </w:tcBorders>
            <w:noWrap/>
            <w:vAlign w:val="center"/>
          </w:tcPr>
          <w:p w14:paraId="76EB4D9F"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41.8</w:t>
            </w:r>
          </w:p>
        </w:tc>
        <w:tc>
          <w:tcPr>
            <w:tcW w:w="1382" w:type="dxa"/>
            <w:tcBorders>
              <w:top w:val="nil"/>
              <w:left w:val="nil"/>
              <w:bottom w:val="single" w:sz="4" w:space="0" w:color="auto"/>
              <w:right w:val="single" w:sz="4" w:space="0" w:color="auto"/>
            </w:tcBorders>
            <w:noWrap/>
            <w:vAlign w:val="center"/>
          </w:tcPr>
          <w:p w14:paraId="3C0DC180"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$13</w:t>
            </w:r>
          </w:p>
        </w:tc>
      </w:tr>
      <w:tr w:rsidR="002815D4" w:rsidRPr="002815D4" w14:paraId="19EE9C5C" w14:textId="77777777" w:rsidTr="00935A18">
        <w:trPr>
          <w:trHeight w:val="20"/>
          <w:jc w:val="center"/>
        </w:trPr>
        <w:tc>
          <w:tcPr>
            <w:tcW w:w="1324" w:type="dxa"/>
            <w:vMerge w:val="restart"/>
            <w:tcBorders>
              <w:top w:val="nil"/>
              <w:left w:val="single" w:sz="4" w:space="0" w:color="auto"/>
              <w:bottom w:val="single" w:sz="4" w:space="0" w:color="auto"/>
              <w:right w:val="single" w:sz="4" w:space="0" w:color="auto"/>
            </w:tcBorders>
            <w:vAlign w:val="center"/>
            <w:hideMark/>
          </w:tcPr>
          <w:p w14:paraId="04364C48"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Troffers</w:t>
            </w:r>
          </w:p>
        </w:tc>
        <w:tc>
          <w:tcPr>
            <w:tcW w:w="1957" w:type="dxa"/>
            <w:tcBorders>
              <w:top w:val="nil"/>
              <w:left w:val="nil"/>
              <w:bottom w:val="single" w:sz="4" w:space="0" w:color="auto"/>
              <w:right w:val="single" w:sz="4" w:space="0" w:color="auto"/>
            </w:tcBorders>
            <w:vAlign w:val="center"/>
            <w:hideMark/>
          </w:tcPr>
          <w:p w14:paraId="32191955"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2x2 Recessed Light Fixture, 2000-3500 lumens</w:t>
            </w:r>
          </w:p>
        </w:tc>
        <w:tc>
          <w:tcPr>
            <w:tcW w:w="1174" w:type="dxa"/>
            <w:tcBorders>
              <w:top w:val="single" w:sz="4" w:space="0" w:color="auto"/>
              <w:left w:val="single" w:sz="4" w:space="0" w:color="auto"/>
              <w:bottom w:val="single" w:sz="4" w:space="0" w:color="auto"/>
              <w:right w:val="single" w:sz="4" w:space="0" w:color="auto"/>
            </w:tcBorders>
            <w:noWrap/>
            <w:vAlign w:val="center"/>
            <w:hideMark/>
          </w:tcPr>
          <w:p w14:paraId="07EDAE0B"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19.6</w:t>
            </w:r>
          </w:p>
        </w:tc>
        <w:tc>
          <w:tcPr>
            <w:tcW w:w="2130" w:type="dxa"/>
            <w:tcBorders>
              <w:top w:val="nil"/>
              <w:left w:val="single" w:sz="4" w:space="0" w:color="auto"/>
              <w:bottom w:val="single" w:sz="4" w:space="0" w:color="auto"/>
              <w:right w:val="single" w:sz="4" w:space="0" w:color="auto"/>
            </w:tcBorders>
            <w:vAlign w:val="center"/>
            <w:hideMark/>
          </w:tcPr>
          <w:p w14:paraId="443A9F82" w14:textId="77777777" w:rsidR="002815D4" w:rsidRPr="002815D4" w:rsidRDefault="002815D4" w:rsidP="002815D4">
            <w:pPr>
              <w:rPr>
                <w:rFonts w:ascii="Calibri" w:eastAsia="Calibri" w:hAnsi="Calibri" w:cs="Arial"/>
                <w:sz w:val="20"/>
                <w:szCs w:val="20"/>
              </w:rPr>
            </w:pPr>
            <w:r w:rsidRPr="002815D4">
              <w:rPr>
                <w:rFonts w:ascii="Calibri" w:eastAsia="Calibri" w:hAnsi="Calibri" w:cs="Calibri"/>
                <w:sz w:val="20"/>
                <w:szCs w:val="20"/>
              </w:rPr>
              <w:t xml:space="preserve">2-Lamp 32w T8 (BF &lt; 0.89) </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18060AF5"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57.0</w:t>
            </w:r>
          </w:p>
        </w:tc>
        <w:tc>
          <w:tcPr>
            <w:tcW w:w="1382" w:type="dxa"/>
            <w:tcBorders>
              <w:top w:val="single" w:sz="4" w:space="0" w:color="auto"/>
              <w:left w:val="nil"/>
              <w:bottom w:val="single" w:sz="4" w:space="0" w:color="auto"/>
              <w:right w:val="single" w:sz="4" w:space="0" w:color="auto"/>
            </w:tcBorders>
            <w:noWrap/>
            <w:vAlign w:val="center"/>
            <w:hideMark/>
          </w:tcPr>
          <w:p w14:paraId="3ADF0C7B"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$53</w:t>
            </w:r>
          </w:p>
        </w:tc>
      </w:tr>
      <w:tr w:rsidR="002815D4" w:rsidRPr="002815D4" w14:paraId="629C65C7" w14:textId="77777777" w:rsidTr="00935A18">
        <w:trPr>
          <w:trHeight w:val="20"/>
          <w:jc w:val="center"/>
        </w:trPr>
        <w:tc>
          <w:tcPr>
            <w:tcW w:w="1324" w:type="dxa"/>
            <w:vMerge/>
            <w:tcBorders>
              <w:top w:val="nil"/>
              <w:left w:val="single" w:sz="4" w:space="0" w:color="auto"/>
              <w:bottom w:val="single" w:sz="4" w:space="0" w:color="auto"/>
              <w:right w:val="single" w:sz="4" w:space="0" w:color="auto"/>
            </w:tcBorders>
            <w:vAlign w:val="center"/>
            <w:hideMark/>
          </w:tcPr>
          <w:p w14:paraId="71F12872"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4BA99201"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2x2 Recessed Light Fixture, 3501-5000 lumens</w:t>
            </w:r>
          </w:p>
        </w:tc>
        <w:tc>
          <w:tcPr>
            <w:tcW w:w="1174" w:type="dxa"/>
            <w:tcBorders>
              <w:top w:val="nil"/>
              <w:left w:val="single" w:sz="4" w:space="0" w:color="auto"/>
              <w:bottom w:val="single" w:sz="4" w:space="0" w:color="auto"/>
              <w:right w:val="single" w:sz="4" w:space="0" w:color="auto"/>
            </w:tcBorders>
            <w:noWrap/>
            <w:vAlign w:val="center"/>
            <w:hideMark/>
          </w:tcPr>
          <w:p w14:paraId="4352FC1E"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30.0</w:t>
            </w:r>
          </w:p>
        </w:tc>
        <w:tc>
          <w:tcPr>
            <w:tcW w:w="2130" w:type="dxa"/>
            <w:tcBorders>
              <w:top w:val="single" w:sz="4" w:space="0" w:color="auto"/>
              <w:left w:val="nil"/>
              <w:bottom w:val="single" w:sz="4" w:space="0" w:color="auto"/>
              <w:right w:val="single" w:sz="4" w:space="0" w:color="auto"/>
            </w:tcBorders>
            <w:vAlign w:val="center"/>
            <w:hideMark/>
          </w:tcPr>
          <w:p w14:paraId="619ED6E0" w14:textId="77777777" w:rsidR="002815D4" w:rsidRPr="002815D4" w:rsidRDefault="002815D4" w:rsidP="002815D4">
            <w:pPr>
              <w:rPr>
                <w:rFonts w:ascii="Calibri" w:eastAsia="Calibri" w:hAnsi="Calibri" w:cs="Arial"/>
                <w:sz w:val="20"/>
                <w:szCs w:val="20"/>
              </w:rPr>
            </w:pPr>
            <w:r w:rsidRPr="002815D4">
              <w:rPr>
                <w:rFonts w:ascii="Calibri" w:eastAsia="Calibri" w:hAnsi="Calibri" w:cs="Calibri"/>
                <w:sz w:val="20"/>
                <w:szCs w:val="20"/>
              </w:rPr>
              <w:t xml:space="preserve">3-Lamp 32w T8 (BF &lt; 0.88) </w:t>
            </w:r>
          </w:p>
        </w:tc>
        <w:tc>
          <w:tcPr>
            <w:tcW w:w="1584" w:type="dxa"/>
            <w:tcBorders>
              <w:top w:val="nil"/>
              <w:left w:val="nil"/>
              <w:bottom w:val="single" w:sz="4" w:space="0" w:color="auto"/>
              <w:right w:val="single" w:sz="4" w:space="0" w:color="auto"/>
            </w:tcBorders>
            <w:noWrap/>
            <w:vAlign w:val="center"/>
            <w:hideMark/>
          </w:tcPr>
          <w:p w14:paraId="25A63042"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84.5</w:t>
            </w:r>
          </w:p>
        </w:tc>
        <w:tc>
          <w:tcPr>
            <w:tcW w:w="1382" w:type="dxa"/>
            <w:tcBorders>
              <w:top w:val="nil"/>
              <w:left w:val="nil"/>
              <w:bottom w:val="single" w:sz="4" w:space="0" w:color="auto"/>
              <w:right w:val="single" w:sz="4" w:space="0" w:color="auto"/>
            </w:tcBorders>
            <w:noWrap/>
            <w:vAlign w:val="center"/>
            <w:hideMark/>
          </w:tcPr>
          <w:p w14:paraId="7396287E"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$69</w:t>
            </w:r>
          </w:p>
        </w:tc>
      </w:tr>
      <w:tr w:rsidR="002815D4" w:rsidRPr="002815D4" w14:paraId="4C1FF160" w14:textId="77777777" w:rsidTr="00935A18">
        <w:trPr>
          <w:trHeight w:val="20"/>
          <w:jc w:val="center"/>
        </w:trPr>
        <w:tc>
          <w:tcPr>
            <w:tcW w:w="1324" w:type="dxa"/>
            <w:vMerge/>
            <w:tcBorders>
              <w:top w:val="nil"/>
              <w:left w:val="single" w:sz="4" w:space="0" w:color="auto"/>
              <w:bottom w:val="single" w:sz="4" w:space="0" w:color="auto"/>
              <w:right w:val="single" w:sz="4" w:space="0" w:color="auto"/>
            </w:tcBorders>
            <w:vAlign w:val="center"/>
            <w:hideMark/>
          </w:tcPr>
          <w:p w14:paraId="24F974D0"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11030A29"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2x4 Recessed Light Fixture, 3000-4500 lumens</w:t>
            </w:r>
          </w:p>
        </w:tc>
        <w:tc>
          <w:tcPr>
            <w:tcW w:w="1174" w:type="dxa"/>
            <w:tcBorders>
              <w:top w:val="nil"/>
              <w:left w:val="single" w:sz="4" w:space="0" w:color="auto"/>
              <w:bottom w:val="single" w:sz="4" w:space="0" w:color="auto"/>
              <w:right w:val="single" w:sz="4" w:space="0" w:color="auto"/>
            </w:tcBorders>
            <w:noWrap/>
            <w:vAlign w:val="center"/>
            <w:hideMark/>
          </w:tcPr>
          <w:p w14:paraId="3CA97C05"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26.2</w:t>
            </w:r>
          </w:p>
        </w:tc>
        <w:tc>
          <w:tcPr>
            <w:tcW w:w="2130" w:type="dxa"/>
            <w:tcBorders>
              <w:top w:val="nil"/>
              <w:left w:val="nil"/>
              <w:bottom w:val="single" w:sz="4" w:space="0" w:color="auto"/>
              <w:right w:val="single" w:sz="4" w:space="0" w:color="auto"/>
            </w:tcBorders>
            <w:vAlign w:val="center"/>
            <w:hideMark/>
          </w:tcPr>
          <w:p w14:paraId="4D079D57" w14:textId="77777777" w:rsidR="002815D4" w:rsidRPr="002815D4" w:rsidRDefault="002815D4" w:rsidP="002815D4">
            <w:pPr>
              <w:rPr>
                <w:rFonts w:ascii="Calibri" w:eastAsia="Calibri" w:hAnsi="Calibri" w:cs="Arial"/>
                <w:sz w:val="20"/>
                <w:szCs w:val="20"/>
              </w:rPr>
            </w:pPr>
            <w:r w:rsidRPr="002815D4">
              <w:rPr>
                <w:rFonts w:ascii="Calibri" w:eastAsia="Calibri" w:hAnsi="Calibri" w:cs="Calibri"/>
                <w:sz w:val="20"/>
                <w:szCs w:val="20"/>
              </w:rPr>
              <w:t xml:space="preserve">2-Lamp 32w T8 (BF &lt; 0.89) </w:t>
            </w:r>
          </w:p>
        </w:tc>
        <w:tc>
          <w:tcPr>
            <w:tcW w:w="1584" w:type="dxa"/>
            <w:tcBorders>
              <w:top w:val="nil"/>
              <w:left w:val="nil"/>
              <w:bottom w:val="single" w:sz="4" w:space="0" w:color="auto"/>
              <w:right w:val="single" w:sz="4" w:space="0" w:color="auto"/>
            </w:tcBorders>
            <w:noWrap/>
            <w:vAlign w:val="center"/>
            <w:hideMark/>
          </w:tcPr>
          <w:p w14:paraId="382BDE0F"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57.0</w:t>
            </w:r>
          </w:p>
        </w:tc>
        <w:tc>
          <w:tcPr>
            <w:tcW w:w="1382" w:type="dxa"/>
            <w:tcBorders>
              <w:top w:val="nil"/>
              <w:left w:val="nil"/>
              <w:bottom w:val="single" w:sz="4" w:space="0" w:color="auto"/>
              <w:right w:val="single" w:sz="4" w:space="0" w:color="auto"/>
            </w:tcBorders>
            <w:noWrap/>
            <w:vAlign w:val="center"/>
            <w:hideMark/>
          </w:tcPr>
          <w:p w14:paraId="05F2BBEC"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$55</w:t>
            </w:r>
          </w:p>
        </w:tc>
      </w:tr>
      <w:tr w:rsidR="002815D4" w:rsidRPr="002815D4" w14:paraId="0B2CD306" w14:textId="77777777" w:rsidTr="00935A18">
        <w:trPr>
          <w:trHeight w:val="20"/>
          <w:jc w:val="center"/>
        </w:trPr>
        <w:tc>
          <w:tcPr>
            <w:tcW w:w="1324" w:type="dxa"/>
            <w:vMerge/>
            <w:tcBorders>
              <w:top w:val="nil"/>
              <w:left w:val="single" w:sz="4" w:space="0" w:color="auto"/>
              <w:bottom w:val="single" w:sz="4" w:space="0" w:color="auto"/>
              <w:right w:val="single" w:sz="4" w:space="0" w:color="auto"/>
            </w:tcBorders>
            <w:vAlign w:val="center"/>
            <w:hideMark/>
          </w:tcPr>
          <w:p w14:paraId="007BC2E6"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26F0AEEC"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2x4 Recessed Light Fixture, 4501-6000 lumens</w:t>
            </w:r>
          </w:p>
        </w:tc>
        <w:tc>
          <w:tcPr>
            <w:tcW w:w="1174" w:type="dxa"/>
            <w:tcBorders>
              <w:top w:val="nil"/>
              <w:left w:val="single" w:sz="4" w:space="0" w:color="auto"/>
              <w:bottom w:val="single" w:sz="4" w:space="0" w:color="auto"/>
              <w:right w:val="single" w:sz="4" w:space="0" w:color="auto"/>
            </w:tcBorders>
            <w:noWrap/>
            <w:vAlign w:val="center"/>
            <w:hideMark/>
          </w:tcPr>
          <w:p w14:paraId="7A736481"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36.9</w:t>
            </w:r>
          </w:p>
        </w:tc>
        <w:tc>
          <w:tcPr>
            <w:tcW w:w="2130" w:type="dxa"/>
            <w:tcBorders>
              <w:top w:val="nil"/>
              <w:left w:val="nil"/>
              <w:bottom w:val="single" w:sz="4" w:space="0" w:color="auto"/>
              <w:right w:val="single" w:sz="4" w:space="0" w:color="auto"/>
            </w:tcBorders>
            <w:vAlign w:val="center"/>
            <w:hideMark/>
          </w:tcPr>
          <w:p w14:paraId="37E3AD3A" w14:textId="77777777" w:rsidR="002815D4" w:rsidRPr="002815D4" w:rsidRDefault="002815D4" w:rsidP="002815D4">
            <w:pPr>
              <w:rPr>
                <w:rFonts w:ascii="Calibri" w:eastAsia="Calibri" w:hAnsi="Calibri" w:cs="Arial"/>
                <w:sz w:val="20"/>
                <w:szCs w:val="20"/>
              </w:rPr>
            </w:pPr>
            <w:r w:rsidRPr="002815D4">
              <w:rPr>
                <w:rFonts w:ascii="Calibri" w:eastAsia="Calibri" w:hAnsi="Calibri" w:cs="Calibri"/>
                <w:sz w:val="20"/>
                <w:szCs w:val="20"/>
              </w:rPr>
              <w:t xml:space="preserve">3-Lamp 32w T8 (BF &lt; 0.88) </w:t>
            </w:r>
          </w:p>
        </w:tc>
        <w:tc>
          <w:tcPr>
            <w:tcW w:w="1584" w:type="dxa"/>
            <w:tcBorders>
              <w:top w:val="nil"/>
              <w:left w:val="nil"/>
              <w:bottom w:val="single" w:sz="4" w:space="0" w:color="auto"/>
              <w:right w:val="single" w:sz="4" w:space="0" w:color="auto"/>
            </w:tcBorders>
            <w:noWrap/>
            <w:vAlign w:val="center"/>
            <w:hideMark/>
          </w:tcPr>
          <w:p w14:paraId="34794BC9"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84.5</w:t>
            </w:r>
          </w:p>
        </w:tc>
        <w:tc>
          <w:tcPr>
            <w:tcW w:w="1382" w:type="dxa"/>
            <w:tcBorders>
              <w:top w:val="nil"/>
              <w:left w:val="nil"/>
              <w:bottom w:val="single" w:sz="4" w:space="0" w:color="auto"/>
              <w:right w:val="single" w:sz="4" w:space="0" w:color="auto"/>
            </w:tcBorders>
            <w:noWrap/>
            <w:vAlign w:val="center"/>
            <w:hideMark/>
          </w:tcPr>
          <w:p w14:paraId="2C5D1CF6"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$76</w:t>
            </w:r>
          </w:p>
        </w:tc>
      </w:tr>
      <w:tr w:rsidR="002815D4" w:rsidRPr="002815D4" w14:paraId="61024470" w14:textId="77777777" w:rsidTr="00935A18">
        <w:trPr>
          <w:trHeight w:val="20"/>
          <w:jc w:val="center"/>
        </w:trPr>
        <w:tc>
          <w:tcPr>
            <w:tcW w:w="1324" w:type="dxa"/>
            <w:vMerge/>
            <w:tcBorders>
              <w:top w:val="nil"/>
              <w:left w:val="single" w:sz="4" w:space="0" w:color="auto"/>
              <w:bottom w:val="single" w:sz="4" w:space="0" w:color="auto"/>
              <w:right w:val="single" w:sz="4" w:space="0" w:color="auto"/>
            </w:tcBorders>
            <w:vAlign w:val="center"/>
            <w:hideMark/>
          </w:tcPr>
          <w:p w14:paraId="51A855DC"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41F2BA1B"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2x4 Recessed Light Fixture, 6001-7500 lumens</w:t>
            </w:r>
          </w:p>
        </w:tc>
        <w:tc>
          <w:tcPr>
            <w:tcW w:w="1174" w:type="dxa"/>
            <w:tcBorders>
              <w:top w:val="nil"/>
              <w:left w:val="single" w:sz="4" w:space="0" w:color="auto"/>
              <w:bottom w:val="single" w:sz="4" w:space="0" w:color="auto"/>
              <w:right w:val="single" w:sz="4" w:space="0" w:color="auto"/>
            </w:tcBorders>
            <w:noWrap/>
            <w:vAlign w:val="center"/>
            <w:hideMark/>
          </w:tcPr>
          <w:p w14:paraId="17DA67D7"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45.2</w:t>
            </w:r>
          </w:p>
        </w:tc>
        <w:tc>
          <w:tcPr>
            <w:tcW w:w="2130" w:type="dxa"/>
            <w:tcBorders>
              <w:top w:val="nil"/>
              <w:left w:val="nil"/>
              <w:bottom w:val="single" w:sz="4" w:space="0" w:color="auto"/>
              <w:right w:val="single" w:sz="4" w:space="0" w:color="auto"/>
            </w:tcBorders>
            <w:vAlign w:val="center"/>
            <w:hideMark/>
          </w:tcPr>
          <w:p w14:paraId="30CE6844" w14:textId="77777777" w:rsidR="002815D4" w:rsidRPr="002815D4" w:rsidRDefault="002815D4" w:rsidP="002815D4">
            <w:pPr>
              <w:rPr>
                <w:rFonts w:ascii="Calibri" w:eastAsia="Calibri" w:hAnsi="Calibri" w:cs="Arial"/>
                <w:sz w:val="20"/>
                <w:szCs w:val="20"/>
              </w:rPr>
            </w:pPr>
            <w:r w:rsidRPr="002815D4">
              <w:rPr>
                <w:rFonts w:ascii="Calibri" w:eastAsia="Calibri" w:hAnsi="Calibri" w:cs="Calibri"/>
                <w:sz w:val="20"/>
                <w:szCs w:val="20"/>
              </w:rPr>
              <w:t>4-Lamp 32w T8 (BF &lt; 0.88)</w:t>
            </w:r>
          </w:p>
        </w:tc>
        <w:tc>
          <w:tcPr>
            <w:tcW w:w="1584" w:type="dxa"/>
            <w:tcBorders>
              <w:top w:val="nil"/>
              <w:left w:val="nil"/>
              <w:bottom w:val="single" w:sz="4" w:space="0" w:color="auto"/>
              <w:right w:val="single" w:sz="4" w:space="0" w:color="auto"/>
            </w:tcBorders>
            <w:noWrap/>
            <w:vAlign w:val="center"/>
            <w:hideMark/>
          </w:tcPr>
          <w:p w14:paraId="7982C547"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112.6</w:t>
            </w:r>
          </w:p>
        </w:tc>
        <w:tc>
          <w:tcPr>
            <w:tcW w:w="1382" w:type="dxa"/>
            <w:tcBorders>
              <w:top w:val="nil"/>
              <w:left w:val="nil"/>
              <w:bottom w:val="single" w:sz="4" w:space="0" w:color="auto"/>
              <w:right w:val="single" w:sz="4" w:space="0" w:color="auto"/>
            </w:tcBorders>
            <w:noWrap/>
            <w:vAlign w:val="center"/>
            <w:hideMark/>
          </w:tcPr>
          <w:p w14:paraId="28D7270F"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$104</w:t>
            </w:r>
          </w:p>
        </w:tc>
      </w:tr>
      <w:tr w:rsidR="002815D4" w:rsidRPr="002815D4" w14:paraId="1DEA97BB" w14:textId="77777777" w:rsidTr="00935A18">
        <w:trPr>
          <w:trHeight w:val="20"/>
          <w:jc w:val="center"/>
        </w:trPr>
        <w:tc>
          <w:tcPr>
            <w:tcW w:w="1324" w:type="dxa"/>
            <w:vMerge/>
            <w:tcBorders>
              <w:top w:val="nil"/>
              <w:left w:val="single" w:sz="4" w:space="0" w:color="auto"/>
              <w:bottom w:val="single" w:sz="4" w:space="0" w:color="auto"/>
              <w:right w:val="single" w:sz="4" w:space="0" w:color="auto"/>
            </w:tcBorders>
            <w:vAlign w:val="center"/>
            <w:hideMark/>
          </w:tcPr>
          <w:p w14:paraId="2F085C4C"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6EC9A0C1"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1x4 Recessed Light Fixture, 1500-3000 lumens</w:t>
            </w:r>
          </w:p>
        </w:tc>
        <w:tc>
          <w:tcPr>
            <w:tcW w:w="1174" w:type="dxa"/>
            <w:tcBorders>
              <w:top w:val="nil"/>
              <w:left w:val="single" w:sz="4" w:space="0" w:color="auto"/>
              <w:bottom w:val="single" w:sz="4" w:space="0" w:color="auto"/>
              <w:right w:val="single" w:sz="4" w:space="0" w:color="auto"/>
            </w:tcBorders>
            <w:noWrap/>
            <w:vAlign w:val="center"/>
            <w:hideMark/>
          </w:tcPr>
          <w:p w14:paraId="48290173"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16.8</w:t>
            </w:r>
          </w:p>
        </w:tc>
        <w:tc>
          <w:tcPr>
            <w:tcW w:w="2130" w:type="dxa"/>
            <w:tcBorders>
              <w:top w:val="nil"/>
              <w:left w:val="nil"/>
              <w:bottom w:val="single" w:sz="4" w:space="0" w:color="auto"/>
              <w:right w:val="single" w:sz="4" w:space="0" w:color="auto"/>
            </w:tcBorders>
            <w:vAlign w:val="center"/>
            <w:hideMark/>
          </w:tcPr>
          <w:p w14:paraId="682983FF" w14:textId="77777777" w:rsidR="002815D4" w:rsidRPr="002815D4" w:rsidRDefault="002815D4" w:rsidP="002815D4">
            <w:pPr>
              <w:rPr>
                <w:rFonts w:ascii="Calibri" w:eastAsia="Calibri" w:hAnsi="Calibri" w:cs="Arial"/>
                <w:sz w:val="20"/>
                <w:szCs w:val="20"/>
              </w:rPr>
            </w:pPr>
            <w:r w:rsidRPr="002815D4">
              <w:rPr>
                <w:rFonts w:ascii="Calibri" w:eastAsia="Calibri" w:hAnsi="Calibri" w:cs="Calibri"/>
                <w:sz w:val="20"/>
                <w:szCs w:val="20"/>
              </w:rPr>
              <w:t>1-Lamp 32w T8 (BF &lt;0.91)</w:t>
            </w:r>
          </w:p>
        </w:tc>
        <w:tc>
          <w:tcPr>
            <w:tcW w:w="1584" w:type="dxa"/>
            <w:tcBorders>
              <w:top w:val="nil"/>
              <w:left w:val="nil"/>
              <w:bottom w:val="single" w:sz="4" w:space="0" w:color="auto"/>
              <w:right w:val="single" w:sz="4" w:space="0" w:color="auto"/>
            </w:tcBorders>
            <w:noWrap/>
            <w:vAlign w:val="center"/>
            <w:hideMark/>
          </w:tcPr>
          <w:p w14:paraId="1BB9CB12"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29.1</w:t>
            </w:r>
          </w:p>
        </w:tc>
        <w:tc>
          <w:tcPr>
            <w:tcW w:w="1382" w:type="dxa"/>
            <w:tcBorders>
              <w:top w:val="nil"/>
              <w:left w:val="nil"/>
              <w:bottom w:val="single" w:sz="4" w:space="0" w:color="auto"/>
              <w:right w:val="single" w:sz="4" w:space="0" w:color="auto"/>
            </w:tcBorders>
            <w:noWrap/>
            <w:vAlign w:val="center"/>
            <w:hideMark/>
          </w:tcPr>
          <w:p w14:paraId="41B02790"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$22</w:t>
            </w:r>
          </w:p>
        </w:tc>
      </w:tr>
      <w:tr w:rsidR="002815D4" w:rsidRPr="002815D4" w14:paraId="73C7F137" w14:textId="77777777" w:rsidTr="00935A18">
        <w:trPr>
          <w:trHeight w:val="20"/>
          <w:jc w:val="center"/>
        </w:trPr>
        <w:tc>
          <w:tcPr>
            <w:tcW w:w="1324" w:type="dxa"/>
            <w:vMerge/>
            <w:tcBorders>
              <w:top w:val="nil"/>
              <w:left w:val="single" w:sz="4" w:space="0" w:color="auto"/>
              <w:bottom w:val="single" w:sz="4" w:space="0" w:color="auto"/>
              <w:right w:val="single" w:sz="4" w:space="0" w:color="auto"/>
            </w:tcBorders>
            <w:vAlign w:val="center"/>
            <w:hideMark/>
          </w:tcPr>
          <w:p w14:paraId="4BCBA14C"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5DF7BB92"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1x4 Recessed Light Fixture, 3001-4500 lumens</w:t>
            </w:r>
          </w:p>
        </w:tc>
        <w:tc>
          <w:tcPr>
            <w:tcW w:w="1174" w:type="dxa"/>
            <w:tcBorders>
              <w:top w:val="nil"/>
              <w:left w:val="single" w:sz="4" w:space="0" w:color="auto"/>
              <w:bottom w:val="single" w:sz="4" w:space="0" w:color="auto"/>
              <w:right w:val="single" w:sz="4" w:space="0" w:color="auto"/>
            </w:tcBorders>
            <w:noWrap/>
            <w:vAlign w:val="center"/>
            <w:hideMark/>
          </w:tcPr>
          <w:p w14:paraId="03E3BD83"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27.0</w:t>
            </w:r>
          </w:p>
        </w:tc>
        <w:tc>
          <w:tcPr>
            <w:tcW w:w="2130" w:type="dxa"/>
            <w:tcBorders>
              <w:top w:val="nil"/>
              <w:left w:val="nil"/>
              <w:bottom w:val="single" w:sz="4" w:space="0" w:color="auto"/>
              <w:right w:val="single" w:sz="4" w:space="0" w:color="auto"/>
            </w:tcBorders>
            <w:vAlign w:val="center"/>
            <w:hideMark/>
          </w:tcPr>
          <w:p w14:paraId="52EA0C87" w14:textId="77777777" w:rsidR="002815D4" w:rsidRPr="002815D4" w:rsidRDefault="002815D4" w:rsidP="002815D4">
            <w:pPr>
              <w:rPr>
                <w:rFonts w:ascii="Calibri" w:eastAsia="Calibri" w:hAnsi="Calibri" w:cs="Arial"/>
                <w:sz w:val="20"/>
                <w:szCs w:val="20"/>
              </w:rPr>
            </w:pPr>
            <w:r w:rsidRPr="002815D4">
              <w:rPr>
                <w:rFonts w:ascii="Calibri" w:eastAsia="Calibri" w:hAnsi="Calibri" w:cs="Calibri"/>
                <w:sz w:val="20"/>
                <w:szCs w:val="20"/>
              </w:rPr>
              <w:t xml:space="preserve">2-Lamp 32w T8 (BF &lt; 0.89) </w:t>
            </w:r>
          </w:p>
        </w:tc>
        <w:tc>
          <w:tcPr>
            <w:tcW w:w="1584" w:type="dxa"/>
            <w:tcBorders>
              <w:top w:val="nil"/>
              <w:left w:val="nil"/>
              <w:bottom w:val="single" w:sz="4" w:space="0" w:color="auto"/>
              <w:right w:val="single" w:sz="4" w:space="0" w:color="auto"/>
            </w:tcBorders>
            <w:noWrap/>
            <w:vAlign w:val="center"/>
            <w:hideMark/>
          </w:tcPr>
          <w:p w14:paraId="77EF6AE2"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57.0</w:t>
            </w:r>
          </w:p>
        </w:tc>
        <w:tc>
          <w:tcPr>
            <w:tcW w:w="1382" w:type="dxa"/>
            <w:tcBorders>
              <w:top w:val="nil"/>
              <w:left w:val="nil"/>
              <w:bottom w:val="single" w:sz="4" w:space="0" w:color="auto"/>
              <w:right w:val="single" w:sz="4" w:space="0" w:color="auto"/>
            </w:tcBorders>
            <w:noWrap/>
            <w:vAlign w:val="center"/>
            <w:hideMark/>
          </w:tcPr>
          <w:p w14:paraId="36E46A1F"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$75</w:t>
            </w:r>
          </w:p>
        </w:tc>
      </w:tr>
      <w:tr w:rsidR="002815D4" w:rsidRPr="002815D4" w14:paraId="30809CA8" w14:textId="77777777" w:rsidTr="00935A18">
        <w:trPr>
          <w:trHeight w:val="20"/>
          <w:jc w:val="center"/>
        </w:trPr>
        <w:tc>
          <w:tcPr>
            <w:tcW w:w="1324" w:type="dxa"/>
            <w:vMerge/>
            <w:tcBorders>
              <w:top w:val="nil"/>
              <w:left w:val="single" w:sz="4" w:space="0" w:color="auto"/>
              <w:bottom w:val="single" w:sz="4" w:space="0" w:color="auto"/>
              <w:right w:val="single" w:sz="4" w:space="0" w:color="auto"/>
            </w:tcBorders>
            <w:vAlign w:val="center"/>
            <w:hideMark/>
          </w:tcPr>
          <w:p w14:paraId="587DAF88"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68C3EB9D"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1x4 Recessed Light Fixture, 4501-6000 lumens</w:t>
            </w:r>
          </w:p>
        </w:tc>
        <w:tc>
          <w:tcPr>
            <w:tcW w:w="1174" w:type="dxa"/>
            <w:tcBorders>
              <w:top w:val="nil"/>
              <w:left w:val="single" w:sz="4" w:space="0" w:color="auto"/>
              <w:bottom w:val="single" w:sz="4" w:space="0" w:color="auto"/>
              <w:right w:val="single" w:sz="4" w:space="0" w:color="auto"/>
            </w:tcBorders>
            <w:noWrap/>
            <w:vAlign w:val="center"/>
            <w:hideMark/>
          </w:tcPr>
          <w:p w14:paraId="3F32E5DD"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35.3</w:t>
            </w:r>
          </w:p>
        </w:tc>
        <w:tc>
          <w:tcPr>
            <w:tcW w:w="2130" w:type="dxa"/>
            <w:tcBorders>
              <w:top w:val="single" w:sz="4" w:space="0" w:color="auto"/>
              <w:left w:val="single" w:sz="4" w:space="0" w:color="auto"/>
              <w:bottom w:val="single" w:sz="4" w:space="0" w:color="auto"/>
              <w:right w:val="single" w:sz="4" w:space="0" w:color="auto"/>
            </w:tcBorders>
            <w:vAlign w:val="center"/>
            <w:hideMark/>
          </w:tcPr>
          <w:p w14:paraId="1EA9247B" w14:textId="77777777" w:rsidR="002815D4" w:rsidRPr="002815D4" w:rsidRDefault="002815D4" w:rsidP="002815D4">
            <w:pPr>
              <w:rPr>
                <w:rFonts w:ascii="Calibri" w:eastAsia="Calibri" w:hAnsi="Calibri" w:cs="Arial"/>
                <w:sz w:val="20"/>
                <w:szCs w:val="20"/>
              </w:rPr>
            </w:pPr>
            <w:r w:rsidRPr="002815D4">
              <w:rPr>
                <w:rFonts w:ascii="Calibri" w:eastAsia="Calibri" w:hAnsi="Calibri" w:cs="Calibri"/>
                <w:sz w:val="20"/>
                <w:szCs w:val="20"/>
              </w:rPr>
              <w:t xml:space="preserve">3-Lamp 32w T8 (BF &lt; 0.88) </w:t>
            </w:r>
          </w:p>
        </w:tc>
        <w:tc>
          <w:tcPr>
            <w:tcW w:w="1584" w:type="dxa"/>
            <w:tcBorders>
              <w:top w:val="nil"/>
              <w:left w:val="single" w:sz="4" w:space="0" w:color="auto"/>
              <w:bottom w:val="single" w:sz="4" w:space="0" w:color="auto"/>
              <w:right w:val="single" w:sz="4" w:space="0" w:color="auto"/>
            </w:tcBorders>
            <w:noWrap/>
            <w:vAlign w:val="center"/>
            <w:hideMark/>
          </w:tcPr>
          <w:p w14:paraId="59E94A50"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84.5</w:t>
            </w:r>
          </w:p>
        </w:tc>
        <w:tc>
          <w:tcPr>
            <w:tcW w:w="1382" w:type="dxa"/>
            <w:tcBorders>
              <w:top w:val="nil"/>
              <w:left w:val="nil"/>
              <w:bottom w:val="single" w:sz="4" w:space="0" w:color="auto"/>
              <w:right w:val="single" w:sz="4" w:space="0" w:color="auto"/>
            </w:tcBorders>
            <w:noWrap/>
            <w:vAlign w:val="center"/>
            <w:hideMark/>
          </w:tcPr>
          <w:p w14:paraId="65D4D1C7"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$83</w:t>
            </w:r>
          </w:p>
        </w:tc>
      </w:tr>
      <w:tr w:rsidR="002815D4" w:rsidRPr="002815D4" w14:paraId="4E9EFA95" w14:textId="77777777" w:rsidTr="00935A18">
        <w:trPr>
          <w:trHeight w:val="20"/>
          <w:jc w:val="center"/>
        </w:trPr>
        <w:tc>
          <w:tcPr>
            <w:tcW w:w="1324" w:type="dxa"/>
            <w:vMerge w:val="restart"/>
            <w:tcBorders>
              <w:top w:val="nil"/>
              <w:left w:val="single" w:sz="4" w:space="0" w:color="auto"/>
              <w:bottom w:val="single" w:sz="4" w:space="0" w:color="auto"/>
              <w:right w:val="single" w:sz="4" w:space="0" w:color="auto"/>
            </w:tcBorders>
            <w:vAlign w:val="center"/>
            <w:hideMark/>
          </w:tcPr>
          <w:p w14:paraId="510698F2"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Linear Ambient Fixtures</w:t>
            </w:r>
          </w:p>
        </w:tc>
        <w:tc>
          <w:tcPr>
            <w:tcW w:w="1957" w:type="dxa"/>
            <w:tcBorders>
              <w:top w:val="nil"/>
              <w:left w:val="nil"/>
              <w:bottom w:val="single" w:sz="4" w:space="0" w:color="auto"/>
              <w:right w:val="single" w:sz="4" w:space="0" w:color="auto"/>
            </w:tcBorders>
            <w:vAlign w:val="center"/>
            <w:hideMark/>
          </w:tcPr>
          <w:p w14:paraId="0526536F"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Surface &amp; Suspended Linear Fixture, &lt;= 3000 lumens</w:t>
            </w:r>
          </w:p>
        </w:tc>
        <w:tc>
          <w:tcPr>
            <w:tcW w:w="1174" w:type="dxa"/>
            <w:tcBorders>
              <w:top w:val="single" w:sz="4" w:space="0" w:color="auto"/>
              <w:left w:val="single" w:sz="4" w:space="0" w:color="auto"/>
              <w:bottom w:val="single" w:sz="4" w:space="0" w:color="auto"/>
              <w:right w:val="single" w:sz="4" w:space="0" w:color="auto"/>
            </w:tcBorders>
            <w:noWrap/>
            <w:vAlign w:val="center"/>
            <w:hideMark/>
          </w:tcPr>
          <w:p w14:paraId="2A5B82CC"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15.4</w:t>
            </w:r>
          </w:p>
        </w:tc>
        <w:tc>
          <w:tcPr>
            <w:tcW w:w="2130" w:type="dxa"/>
            <w:tcBorders>
              <w:top w:val="single" w:sz="4" w:space="0" w:color="auto"/>
              <w:left w:val="single" w:sz="4" w:space="0" w:color="auto"/>
              <w:bottom w:val="single" w:sz="4" w:space="0" w:color="auto"/>
              <w:right w:val="single" w:sz="4" w:space="0" w:color="auto"/>
            </w:tcBorders>
            <w:vAlign w:val="center"/>
            <w:hideMark/>
          </w:tcPr>
          <w:p w14:paraId="13B58BCD" w14:textId="77777777" w:rsidR="002815D4" w:rsidRPr="002815D4" w:rsidRDefault="002815D4" w:rsidP="002815D4">
            <w:pPr>
              <w:rPr>
                <w:rFonts w:ascii="Calibri" w:eastAsia="Calibri" w:hAnsi="Calibri" w:cs="Arial"/>
                <w:sz w:val="20"/>
                <w:szCs w:val="20"/>
              </w:rPr>
            </w:pPr>
            <w:r w:rsidRPr="002815D4">
              <w:rPr>
                <w:rFonts w:ascii="Calibri" w:eastAsia="Calibri" w:hAnsi="Calibri" w:cs="Calibri"/>
                <w:sz w:val="20"/>
                <w:szCs w:val="20"/>
              </w:rPr>
              <w:t>1-Lamp 32w T8 (BF &lt;0.91)</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36C0FA16"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29.1</w:t>
            </w:r>
          </w:p>
        </w:tc>
        <w:tc>
          <w:tcPr>
            <w:tcW w:w="1382" w:type="dxa"/>
            <w:tcBorders>
              <w:top w:val="single" w:sz="4" w:space="0" w:color="auto"/>
              <w:left w:val="single" w:sz="4" w:space="0" w:color="auto"/>
              <w:bottom w:val="single" w:sz="4" w:space="0" w:color="auto"/>
              <w:right w:val="single" w:sz="4" w:space="0" w:color="auto"/>
            </w:tcBorders>
            <w:noWrap/>
            <w:vAlign w:val="center"/>
            <w:hideMark/>
          </w:tcPr>
          <w:p w14:paraId="2446E3D4"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$10</w:t>
            </w:r>
          </w:p>
        </w:tc>
      </w:tr>
      <w:tr w:rsidR="002815D4" w:rsidRPr="002815D4" w14:paraId="2AF1AD70" w14:textId="77777777" w:rsidTr="00935A18">
        <w:trPr>
          <w:trHeight w:val="20"/>
          <w:jc w:val="center"/>
        </w:trPr>
        <w:tc>
          <w:tcPr>
            <w:tcW w:w="1324" w:type="dxa"/>
            <w:vMerge/>
            <w:tcBorders>
              <w:top w:val="nil"/>
              <w:left w:val="single" w:sz="4" w:space="0" w:color="auto"/>
              <w:bottom w:val="single" w:sz="4" w:space="0" w:color="auto"/>
              <w:right w:val="single" w:sz="4" w:space="0" w:color="auto"/>
            </w:tcBorders>
            <w:vAlign w:val="center"/>
            <w:hideMark/>
          </w:tcPr>
          <w:p w14:paraId="43FFF34E"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4D25D49F"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Surface &amp; Suspended Linear Fixture, 3001-4500 lumens</w:t>
            </w:r>
          </w:p>
        </w:tc>
        <w:tc>
          <w:tcPr>
            <w:tcW w:w="1174" w:type="dxa"/>
            <w:tcBorders>
              <w:top w:val="nil"/>
              <w:left w:val="single" w:sz="4" w:space="0" w:color="auto"/>
              <w:bottom w:val="single" w:sz="4" w:space="0" w:color="auto"/>
              <w:right w:val="single" w:sz="4" w:space="0" w:color="auto"/>
            </w:tcBorders>
            <w:noWrap/>
            <w:vAlign w:val="center"/>
            <w:hideMark/>
          </w:tcPr>
          <w:p w14:paraId="3F5AB712"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24.6</w:t>
            </w:r>
          </w:p>
        </w:tc>
        <w:tc>
          <w:tcPr>
            <w:tcW w:w="2130" w:type="dxa"/>
            <w:tcBorders>
              <w:top w:val="nil"/>
              <w:left w:val="single" w:sz="4" w:space="0" w:color="auto"/>
              <w:bottom w:val="single" w:sz="4" w:space="0" w:color="auto"/>
              <w:right w:val="single" w:sz="4" w:space="0" w:color="auto"/>
            </w:tcBorders>
            <w:vAlign w:val="center"/>
            <w:hideMark/>
          </w:tcPr>
          <w:p w14:paraId="162E092E" w14:textId="77777777" w:rsidR="002815D4" w:rsidRPr="002815D4" w:rsidRDefault="002815D4" w:rsidP="002815D4">
            <w:pPr>
              <w:rPr>
                <w:rFonts w:ascii="Calibri" w:eastAsia="Calibri" w:hAnsi="Calibri" w:cs="Arial"/>
                <w:sz w:val="20"/>
                <w:szCs w:val="20"/>
              </w:rPr>
            </w:pPr>
            <w:r w:rsidRPr="002815D4">
              <w:rPr>
                <w:rFonts w:ascii="Calibri" w:eastAsia="Calibri" w:hAnsi="Calibri" w:cs="Calibri"/>
                <w:sz w:val="20"/>
                <w:szCs w:val="20"/>
              </w:rPr>
              <w:t xml:space="preserve">2-Lamp 32w T8 (BF &lt; 0.89) </w:t>
            </w:r>
          </w:p>
        </w:tc>
        <w:tc>
          <w:tcPr>
            <w:tcW w:w="1584" w:type="dxa"/>
            <w:tcBorders>
              <w:top w:val="nil"/>
              <w:left w:val="single" w:sz="4" w:space="0" w:color="auto"/>
              <w:bottom w:val="single" w:sz="4" w:space="0" w:color="auto"/>
              <w:right w:val="single" w:sz="4" w:space="0" w:color="auto"/>
            </w:tcBorders>
            <w:noWrap/>
            <w:vAlign w:val="center"/>
            <w:hideMark/>
          </w:tcPr>
          <w:p w14:paraId="7F22E2CE"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57.0</w:t>
            </w:r>
          </w:p>
        </w:tc>
        <w:tc>
          <w:tcPr>
            <w:tcW w:w="1382" w:type="dxa"/>
            <w:tcBorders>
              <w:top w:val="nil"/>
              <w:left w:val="single" w:sz="4" w:space="0" w:color="auto"/>
              <w:bottom w:val="single" w:sz="4" w:space="0" w:color="auto"/>
              <w:right w:val="single" w:sz="4" w:space="0" w:color="auto"/>
            </w:tcBorders>
            <w:noWrap/>
            <w:vAlign w:val="center"/>
            <w:hideMark/>
          </w:tcPr>
          <w:p w14:paraId="7863E268"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$52</w:t>
            </w:r>
          </w:p>
        </w:tc>
      </w:tr>
      <w:tr w:rsidR="002815D4" w:rsidRPr="002815D4" w14:paraId="521229D9" w14:textId="77777777" w:rsidTr="00935A18">
        <w:trPr>
          <w:trHeight w:val="20"/>
          <w:jc w:val="center"/>
        </w:trPr>
        <w:tc>
          <w:tcPr>
            <w:tcW w:w="1324" w:type="dxa"/>
            <w:vMerge/>
            <w:tcBorders>
              <w:top w:val="nil"/>
              <w:left w:val="single" w:sz="4" w:space="0" w:color="auto"/>
              <w:bottom w:val="single" w:sz="4" w:space="0" w:color="auto"/>
              <w:right w:val="single" w:sz="4" w:space="0" w:color="auto"/>
            </w:tcBorders>
            <w:vAlign w:val="center"/>
            <w:hideMark/>
          </w:tcPr>
          <w:p w14:paraId="14976CB2"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10319553"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Surface &amp; Suspended Linear Fixture, 4501-6000 lumens</w:t>
            </w:r>
          </w:p>
        </w:tc>
        <w:tc>
          <w:tcPr>
            <w:tcW w:w="1174" w:type="dxa"/>
            <w:tcBorders>
              <w:top w:val="nil"/>
              <w:left w:val="single" w:sz="4" w:space="0" w:color="auto"/>
              <w:bottom w:val="single" w:sz="4" w:space="0" w:color="auto"/>
              <w:right w:val="single" w:sz="4" w:space="0" w:color="auto"/>
            </w:tcBorders>
            <w:noWrap/>
            <w:vAlign w:val="center"/>
            <w:hideMark/>
          </w:tcPr>
          <w:p w14:paraId="593A4E84"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34.4</w:t>
            </w:r>
          </w:p>
        </w:tc>
        <w:tc>
          <w:tcPr>
            <w:tcW w:w="2130" w:type="dxa"/>
            <w:tcBorders>
              <w:top w:val="nil"/>
              <w:left w:val="single" w:sz="4" w:space="0" w:color="auto"/>
              <w:bottom w:val="single" w:sz="4" w:space="0" w:color="auto"/>
              <w:right w:val="single" w:sz="4" w:space="0" w:color="auto"/>
            </w:tcBorders>
            <w:vAlign w:val="center"/>
            <w:hideMark/>
          </w:tcPr>
          <w:p w14:paraId="2CE31517" w14:textId="77777777" w:rsidR="002815D4" w:rsidRPr="002815D4" w:rsidRDefault="002815D4" w:rsidP="002815D4">
            <w:pPr>
              <w:rPr>
                <w:rFonts w:ascii="Calibri" w:eastAsia="Calibri" w:hAnsi="Calibri" w:cs="Arial"/>
                <w:sz w:val="20"/>
                <w:szCs w:val="20"/>
              </w:rPr>
            </w:pPr>
            <w:r w:rsidRPr="002815D4">
              <w:rPr>
                <w:rFonts w:ascii="Calibri" w:eastAsia="Calibri" w:hAnsi="Calibri" w:cs="Calibri"/>
                <w:sz w:val="20"/>
                <w:szCs w:val="20"/>
              </w:rPr>
              <w:t xml:space="preserve">3-Lamp 32w T8 (BF &lt; 0.88) </w:t>
            </w:r>
          </w:p>
        </w:tc>
        <w:tc>
          <w:tcPr>
            <w:tcW w:w="1584" w:type="dxa"/>
            <w:tcBorders>
              <w:top w:val="nil"/>
              <w:left w:val="single" w:sz="4" w:space="0" w:color="auto"/>
              <w:bottom w:val="single" w:sz="4" w:space="0" w:color="auto"/>
              <w:right w:val="single" w:sz="4" w:space="0" w:color="auto"/>
            </w:tcBorders>
            <w:noWrap/>
            <w:vAlign w:val="center"/>
            <w:hideMark/>
          </w:tcPr>
          <w:p w14:paraId="1EACE5DB"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84.5</w:t>
            </w:r>
          </w:p>
        </w:tc>
        <w:tc>
          <w:tcPr>
            <w:tcW w:w="1382" w:type="dxa"/>
            <w:tcBorders>
              <w:top w:val="nil"/>
              <w:left w:val="single" w:sz="4" w:space="0" w:color="auto"/>
              <w:bottom w:val="single" w:sz="4" w:space="0" w:color="auto"/>
              <w:right w:val="single" w:sz="4" w:space="0" w:color="auto"/>
            </w:tcBorders>
            <w:noWrap/>
            <w:vAlign w:val="center"/>
            <w:hideMark/>
          </w:tcPr>
          <w:p w14:paraId="69FAB582"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$78</w:t>
            </w:r>
          </w:p>
        </w:tc>
      </w:tr>
      <w:tr w:rsidR="002815D4" w:rsidRPr="002815D4" w14:paraId="422BF964" w14:textId="77777777" w:rsidTr="00935A18">
        <w:trPr>
          <w:trHeight w:val="20"/>
          <w:jc w:val="center"/>
        </w:trPr>
        <w:tc>
          <w:tcPr>
            <w:tcW w:w="1324" w:type="dxa"/>
            <w:vMerge/>
            <w:tcBorders>
              <w:top w:val="nil"/>
              <w:left w:val="single" w:sz="4" w:space="0" w:color="auto"/>
              <w:bottom w:val="single" w:sz="4" w:space="0" w:color="auto"/>
              <w:right w:val="single" w:sz="4" w:space="0" w:color="auto"/>
            </w:tcBorders>
            <w:vAlign w:val="center"/>
            <w:hideMark/>
          </w:tcPr>
          <w:p w14:paraId="1DDC39B5"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249EA05C"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Surface &amp; Suspended Linear Fixture, 6001-7500 lumens</w:t>
            </w:r>
          </w:p>
        </w:tc>
        <w:tc>
          <w:tcPr>
            <w:tcW w:w="1174" w:type="dxa"/>
            <w:tcBorders>
              <w:top w:val="nil"/>
              <w:left w:val="single" w:sz="4" w:space="0" w:color="auto"/>
              <w:bottom w:val="single" w:sz="4" w:space="0" w:color="auto"/>
              <w:right w:val="single" w:sz="4" w:space="0" w:color="auto"/>
            </w:tcBorders>
            <w:noWrap/>
            <w:vAlign w:val="center"/>
            <w:hideMark/>
          </w:tcPr>
          <w:p w14:paraId="747AA776"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43.8</w:t>
            </w:r>
          </w:p>
        </w:tc>
        <w:tc>
          <w:tcPr>
            <w:tcW w:w="2130" w:type="dxa"/>
            <w:tcBorders>
              <w:top w:val="nil"/>
              <w:left w:val="nil"/>
              <w:bottom w:val="single" w:sz="4" w:space="0" w:color="auto"/>
              <w:right w:val="single" w:sz="4" w:space="0" w:color="auto"/>
            </w:tcBorders>
            <w:vAlign w:val="center"/>
            <w:hideMark/>
          </w:tcPr>
          <w:p w14:paraId="207742FE"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T5HO 2L-F54T5HO - 4'</w:t>
            </w:r>
          </w:p>
        </w:tc>
        <w:tc>
          <w:tcPr>
            <w:tcW w:w="1584" w:type="dxa"/>
            <w:tcBorders>
              <w:top w:val="nil"/>
              <w:left w:val="nil"/>
              <w:bottom w:val="single" w:sz="4" w:space="0" w:color="auto"/>
              <w:right w:val="single" w:sz="4" w:space="0" w:color="auto"/>
            </w:tcBorders>
            <w:noWrap/>
            <w:vAlign w:val="center"/>
            <w:hideMark/>
          </w:tcPr>
          <w:p w14:paraId="1A51DE1F"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120.0</w:t>
            </w:r>
          </w:p>
        </w:tc>
        <w:tc>
          <w:tcPr>
            <w:tcW w:w="1382" w:type="dxa"/>
            <w:tcBorders>
              <w:top w:val="nil"/>
              <w:left w:val="nil"/>
              <w:bottom w:val="single" w:sz="4" w:space="0" w:color="auto"/>
              <w:right w:val="single" w:sz="4" w:space="0" w:color="auto"/>
            </w:tcBorders>
            <w:noWrap/>
            <w:vAlign w:val="center"/>
            <w:hideMark/>
          </w:tcPr>
          <w:p w14:paraId="51C3088D"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$131</w:t>
            </w:r>
          </w:p>
        </w:tc>
      </w:tr>
      <w:tr w:rsidR="002815D4" w:rsidRPr="002815D4" w14:paraId="4ADB08CE" w14:textId="77777777" w:rsidTr="00935A18">
        <w:trPr>
          <w:trHeight w:val="20"/>
          <w:jc w:val="center"/>
        </w:trPr>
        <w:tc>
          <w:tcPr>
            <w:tcW w:w="1324" w:type="dxa"/>
            <w:vMerge/>
            <w:tcBorders>
              <w:top w:val="nil"/>
              <w:left w:val="single" w:sz="4" w:space="0" w:color="auto"/>
              <w:bottom w:val="single" w:sz="4" w:space="0" w:color="auto"/>
              <w:right w:val="single" w:sz="4" w:space="0" w:color="auto"/>
            </w:tcBorders>
            <w:vAlign w:val="center"/>
            <w:hideMark/>
          </w:tcPr>
          <w:p w14:paraId="2C0B47F2"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47D3E7DB"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Surface &amp; Suspended Linear Fixture, &gt; 7500 lumens</w:t>
            </w:r>
          </w:p>
        </w:tc>
        <w:tc>
          <w:tcPr>
            <w:tcW w:w="1174" w:type="dxa"/>
            <w:tcBorders>
              <w:top w:val="nil"/>
              <w:left w:val="single" w:sz="4" w:space="0" w:color="auto"/>
              <w:bottom w:val="single" w:sz="4" w:space="0" w:color="auto"/>
              <w:right w:val="single" w:sz="4" w:space="0" w:color="auto"/>
            </w:tcBorders>
            <w:noWrap/>
            <w:vAlign w:val="center"/>
            <w:hideMark/>
          </w:tcPr>
          <w:p w14:paraId="27728757"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79.5</w:t>
            </w:r>
          </w:p>
        </w:tc>
        <w:tc>
          <w:tcPr>
            <w:tcW w:w="2130" w:type="dxa"/>
            <w:tcBorders>
              <w:top w:val="nil"/>
              <w:left w:val="nil"/>
              <w:bottom w:val="single" w:sz="4" w:space="0" w:color="auto"/>
              <w:right w:val="single" w:sz="4" w:space="0" w:color="auto"/>
            </w:tcBorders>
            <w:vAlign w:val="center"/>
            <w:hideMark/>
          </w:tcPr>
          <w:p w14:paraId="6FBED2B8"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T5HO 3L-F54T5HO - 4'</w:t>
            </w:r>
          </w:p>
        </w:tc>
        <w:tc>
          <w:tcPr>
            <w:tcW w:w="1584" w:type="dxa"/>
            <w:tcBorders>
              <w:top w:val="nil"/>
              <w:left w:val="nil"/>
              <w:bottom w:val="single" w:sz="4" w:space="0" w:color="auto"/>
              <w:right w:val="single" w:sz="4" w:space="0" w:color="auto"/>
            </w:tcBorders>
            <w:noWrap/>
            <w:vAlign w:val="center"/>
            <w:hideMark/>
          </w:tcPr>
          <w:p w14:paraId="06A6CCF1"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180.0</w:t>
            </w:r>
          </w:p>
        </w:tc>
        <w:tc>
          <w:tcPr>
            <w:tcW w:w="1382" w:type="dxa"/>
            <w:tcBorders>
              <w:top w:val="nil"/>
              <w:left w:val="nil"/>
              <w:bottom w:val="single" w:sz="4" w:space="0" w:color="auto"/>
              <w:right w:val="single" w:sz="4" w:space="0" w:color="auto"/>
            </w:tcBorders>
            <w:noWrap/>
            <w:vAlign w:val="center"/>
            <w:hideMark/>
          </w:tcPr>
          <w:p w14:paraId="4810E2D6"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$173</w:t>
            </w:r>
          </w:p>
        </w:tc>
      </w:tr>
      <w:tr w:rsidR="002815D4" w:rsidRPr="002815D4" w14:paraId="57C58931" w14:textId="77777777" w:rsidTr="00935A18">
        <w:trPr>
          <w:trHeight w:val="20"/>
          <w:jc w:val="center"/>
        </w:trPr>
        <w:tc>
          <w:tcPr>
            <w:tcW w:w="1324" w:type="dxa"/>
            <w:vMerge w:val="restart"/>
            <w:tcBorders>
              <w:top w:val="nil"/>
              <w:left w:val="single" w:sz="4" w:space="0" w:color="auto"/>
              <w:right w:val="single" w:sz="4" w:space="0" w:color="auto"/>
            </w:tcBorders>
            <w:vAlign w:val="center"/>
            <w:hideMark/>
          </w:tcPr>
          <w:p w14:paraId="4FED913D"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High &amp; Low Bay Fixtures</w:t>
            </w:r>
          </w:p>
        </w:tc>
        <w:tc>
          <w:tcPr>
            <w:tcW w:w="1957" w:type="dxa"/>
            <w:tcBorders>
              <w:top w:val="nil"/>
              <w:left w:val="nil"/>
              <w:bottom w:val="single" w:sz="4" w:space="0" w:color="auto"/>
              <w:right w:val="single" w:sz="4" w:space="0" w:color="auto"/>
            </w:tcBorders>
            <w:vAlign w:val="center"/>
            <w:hideMark/>
          </w:tcPr>
          <w:p w14:paraId="67E9B929"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Low-Bay Fixtures, &lt;= 10,000 lumens</w:t>
            </w:r>
          </w:p>
        </w:tc>
        <w:tc>
          <w:tcPr>
            <w:tcW w:w="1174" w:type="dxa"/>
            <w:tcBorders>
              <w:top w:val="single" w:sz="4" w:space="0" w:color="auto"/>
              <w:left w:val="single" w:sz="4" w:space="0" w:color="auto"/>
              <w:bottom w:val="single" w:sz="4" w:space="0" w:color="auto"/>
              <w:right w:val="single" w:sz="4" w:space="0" w:color="auto"/>
            </w:tcBorders>
            <w:noWrap/>
            <w:vAlign w:val="center"/>
            <w:hideMark/>
          </w:tcPr>
          <w:p w14:paraId="0C71383C"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45.4</w:t>
            </w:r>
          </w:p>
        </w:tc>
        <w:tc>
          <w:tcPr>
            <w:tcW w:w="2130" w:type="dxa"/>
            <w:tcBorders>
              <w:top w:val="nil"/>
              <w:left w:val="nil"/>
              <w:bottom w:val="single" w:sz="4" w:space="0" w:color="auto"/>
              <w:right w:val="single" w:sz="4" w:space="0" w:color="auto"/>
            </w:tcBorders>
            <w:vAlign w:val="center"/>
            <w:hideMark/>
          </w:tcPr>
          <w:p w14:paraId="6E86FD35"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3-Lamp T8HO Low-Bay</w:t>
            </w:r>
          </w:p>
        </w:tc>
        <w:tc>
          <w:tcPr>
            <w:tcW w:w="1584" w:type="dxa"/>
            <w:tcBorders>
              <w:top w:val="nil"/>
              <w:left w:val="nil"/>
              <w:bottom w:val="single" w:sz="4" w:space="0" w:color="auto"/>
              <w:right w:val="single" w:sz="4" w:space="0" w:color="auto"/>
            </w:tcBorders>
            <w:noWrap/>
            <w:vAlign w:val="center"/>
            <w:hideMark/>
          </w:tcPr>
          <w:p w14:paraId="4BACC8EC"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157.0</w:t>
            </w:r>
          </w:p>
        </w:tc>
        <w:tc>
          <w:tcPr>
            <w:tcW w:w="1382" w:type="dxa"/>
            <w:tcBorders>
              <w:top w:val="single" w:sz="4" w:space="0" w:color="auto"/>
              <w:left w:val="single" w:sz="4" w:space="0" w:color="auto"/>
              <w:bottom w:val="single" w:sz="4" w:space="0" w:color="auto"/>
              <w:right w:val="single" w:sz="4" w:space="0" w:color="auto"/>
            </w:tcBorders>
            <w:noWrap/>
            <w:vAlign w:val="center"/>
            <w:hideMark/>
          </w:tcPr>
          <w:p w14:paraId="3EA4EA83"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$42.88</w:t>
            </w:r>
          </w:p>
        </w:tc>
      </w:tr>
      <w:tr w:rsidR="002815D4" w:rsidRPr="002815D4" w14:paraId="5C75765B" w14:textId="77777777" w:rsidTr="00935A18">
        <w:trPr>
          <w:trHeight w:val="20"/>
          <w:jc w:val="center"/>
        </w:trPr>
        <w:tc>
          <w:tcPr>
            <w:tcW w:w="1324" w:type="dxa"/>
            <w:vMerge/>
            <w:tcBorders>
              <w:left w:val="single" w:sz="4" w:space="0" w:color="auto"/>
              <w:right w:val="single" w:sz="4" w:space="0" w:color="auto"/>
            </w:tcBorders>
            <w:vAlign w:val="center"/>
            <w:hideMark/>
          </w:tcPr>
          <w:p w14:paraId="502D0254"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69BF2F13"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High-Bay Fixtures, 10,001-15,000 lumens</w:t>
            </w:r>
          </w:p>
        </w:tc>
        <w:tc>
          <w:tcPr>
            <w:tcW w:w="1174" w:type="dxa"/>
            <w:tcBorders>
              <w:top w:val="nil"/>
              <w:left w:val="single" w:sz="4" w:space="0" w:color="auto"/>
              <w:bottom w:val="single" w:sz="4" w:space="0" w:color="auto"/>
              <w:right w:val="single" w:sz="4" w:space="0" w:color="auto"/>
            </w:tcBorders>
            <w:noWrap/>
            <w:vAlign w:val="center"/>
            <w:hideMark/>
          </w:tcPr>
          <w:p w14:paraId="667DCE95"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78.2</w:t>
            </w:r>
          </w:p>
        </w:tc>
        <w:tc>
          <w:tcPr>
            <w:tcW w:w="2130" w:type="dxa"/>
            <w:tcBorders>
              <w:top w:val="nil"/>
              <w:left w:val="nil"/>
              <w:bottom w:val="single" w:sz="4" w:space="0" w:color="auto"/>
              <w:right w:val="single" w:sz="4" w:space="0" w:color="auto"/>
            </w:tcBorders>
            <w:vAlign w:val="center"/>
            <w:hideMark/>
          </w:tcPr>
          <w:p w14:paraId="036B0C70"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4-Lamp T8HO High-Bay</w:t>
            </w:r>
          </w:p>
        </w:tc>
        <w:tc>
          <w:tcPr>
            <w:tcW w:w="1584" w:type="dxa"/>
            <w:tcBorders>
              <w:top w:val="nil"/>
              <w:left w:val="nil"/>
              <w:bottom w:val="single" w:sz="4" w:space="0" w:color="auto"/>
              <w:right w:val="single" w:sz="4" w:space="0" w:color="auto"/>
            </w:tcBorders>
            <w:noWrap/>
            <w:vAlign w:val="center"/>
            <w:hideMark/>
          </w:tcPr>
          <w:p w14:paraId="3CC8E427"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196.0</w:t>
            </w:r>
          </w:p>
        </w:tc>
        <w:tc>
          <w:tcPr>
            <w:tcW w:w="1382" w:type="dxa"/>
            <w:tcBorders>
              <w:top w:val="nil"/>
              <w:left w:val="single" w:sz="4" w:space="0" w:color="auto"/>
              <w:bottom w:val="single" w:sz="4" w:space="0" w:color="auto"/>
              <w:right w:val="single" w:sz="4" w:space="0" w:color="auto"/>
            </w:tcBorders>
            <w:noWrap/>
            <w:vAlign w:val="center"/>
            <w:hideMark/>
          </w:tcPr>
          <w:p w14:paraId="01E5803E"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$31.94</w:t>
            </w:r>
          </w:p>
        </w:tc>
      </w:tr>
      <w:tr w:rsidR="002815D4" w:rsidRPr="002815D4" w14:paraId="1BD8D9AE" w14:textId="77777777" w:rsidTr="00935A18">
        <w:trPr>
          <w:trHeight w:val="20"/>
          <w:jc w:val="center"/>
        </w:trPr>
        <w:tc>
          <w:tcPr>
            <w:tcW w:w="1324" w:type="dxa"/>
            <w:vMerge/>
            <w:tcBorders>
              <w:left w:val="single" w:sz="4" w:space="0" w:color="auto"/>
              <w:right w:val="single" w:sz="4" w:space="0" w:color="auto"/>
            </w:tcBorders>
            <w:vAlign w:val="center"/>
            <w:hideMark/>
          </w:tcPr>
          <w:p w14:paraId="214A64DE"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3E0C6108"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High-Bay Fixtures, 15,001-20,000 lumens</w:t>
            </w:r>
          </w:p>
        </w:tc>
        <w:tc>
          <w:tcPr>
            <w:tcW w:w="1174" w:type="dxa"/>
            <w:tcBorders>
              <w:top w:val="nil"/>
              <w:left w:val="single" w:sz="4" w:space="0" w:color="auto"/>
              <w:bottom w:val="single" w:sz="4" w:space="0" w:color="auto"/>
              <w:right w:val="single" w:sz="4" w:space="0" w:color="auto"/>
            </w:tcBorders>
            <w:noWrap/>
            <w:vAlign w:val="center"/>
            <w:hideMark/>
          </w:tcPr>
          <w:p w14:paraId="7BF33536"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103.9</w:t>
            </w:r>
          </w:p>
        </w:tc>
        <w:tc>
          <w:tcPr>
            <w:tcW w:w="2130" w:type="dxa"/>
            <w:tcBorders>
              <w:top w:val="nil"/>
              <w:left w:val="nil"/>
              <w:bottom w:val="single" w:sz="4" w:space="0" w:color="auto"/>
              <w:right w:val="single" w:sz="4" w:space="0" w:color="auto"/>
            </w:tcBorders>
            <w:vAlign w:val="center"/>
            <w:hideMark/>
          </w:tcPr>
          <w:p w14:paraId="3C4D597F"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6-Lamp T8HO High-Bay</w:t>
            </w:r>
          </w:p>
        </w:tc>
        <w:tc>
          <w:tcPr>
            <w:tcW w:w="1584" w:type="dxa"/>
            <w:tcBorders>
              <w:top w:val="nil"/>
              <w:left w:val="nil"/>
              <w:bottom w:val="single" w:sz="4" w:space="0" w:color="auto"/>
              <w:right w:val="single" w:sz="4" w:space="0" w:color="auto"/>
            </w:tcBorders>
            <w:noWrap/>
            <w:vAlign w:val="center"/>
            <w:hideMark/>
          </w:tcPr>
          <w:p w14:paraId="7E6F20CB"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294.0</w:t>
            </w:r>
          </w:p>
        </w:tc>
        <w:tc>
          <w:tcPr>
            <w:tcW w:w="1382" w:type="dxa"/>
            <w:tcBorders>
              <w:top w:val="nil"/>
              <w:left w:val="single" w:sz="4" w:space="0" w:color="auto"/>
              <w:bottom w:val="single" w:sz="4" w:space="0" w:color="auto"/>
              <w:right w:val="single" w:sz="4" w:space="0" w:color="auto"/>
            </w:tcBorders>
            <w:noWrap/>
            <w:vAlign w:val="center"/>
            <w:hideMark/>
          </w:tcPr>
          <w:p w14:paraId="084A0CC7"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$61.17</w:t>
            </w:r>
          </w:p>
        </w:tc>
      </w:tr>
      <w:tr w:rsidR="002815D4" w:rsidRPr="002815D4" w14:paraId="554989DF" w14:textId="77777777" w:rsidTr="00935A18">
        <w:trPr>
          <w:trHeight w:val="20"/>
          <w:jc w:val="center"/>
        </w:trPr>
        <w:tc>
          <w:tcPr>
            <w:tcW w:w="1324" w:type="dxa"/>
            <w:vMerge/>
            <w:tcBorders>
              <w:left w:val="single" w:sz="4" w:space="0" w:color="auto"/>
              <w:right w:val="single" w:sz="4" w:space="0" w:color="auto"/>
            </w:tcBorders>
            <w:vAlign w:val="center"/>
            <w:hideMark/>
          </w:tcPr>
          <w:p w14:paraId="6923A234"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1712955C"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High-Bay Fixtures, 20,001-30,000 lumens</w:t>
            </w:r>
          </w:p>
        </w:tc>
        <w:tc>
          <w:tcPr>
            <w:tcW w:w="1174" w:type="dxa"/>
            <w:tcBorders>
              <w:top w:val="single" w:sz="4" w:space="0" w:color="auto"/>
              <w:left w:val="single" w:sz="4" w:space="0" w:color="auto"/>
              <w:bottom w:val="single" w:sz="4" w:space="0" w:color="auto"/>
              <w:right w:val="single" w:sz="4" w:space="0" w:color="auto"/>
            </w:tcBorders>
            <w:noWrap/>
            <w:vAlign w:val="center"/>
            <w:hideMark/>
          </w:tcPr>
          <w:p w14:paraId="3EF8B68D"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150.4</w:t>
            </w:r>
          </w:p>
        </w:tc>
        <w:tc>
          <w:tcPr>
            <w:tcW w:w="2130" w:type="dxa"/>
            <w:tcBorders>
              <w:top w:val="nil"/>
              <w:left w:val="nil"/>
              <w:bottom w:val="single" w:sz="4" w:space="0" w:color="auto"/>
              <w:right w:val="single" w:sz="4" w:space="0" w:color="auto"/>
            </w:tcBorders>
            <w:vAlign w:val="center"/>
            <w:hideMark/>
          </w:tcPr>
          <w:p w14:paraId="668007AD"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8-Lamp T8HO High-Bay</w:t>
            </w:r>
          </w:p>
        </w:tc>
        <w:tc>
          <w:tcPr>
            <w:tcW w:w="1584" w:type="dxa"/>
            <w:tcBorders>
              <w:top w:val="nil"/>
              <w:left w:val="nil"/>
              <w:bottom w:val="single" w:sz="4" w:space="0" w:color="auto"/>
              <w:right w:val="single" w:sz="4" w:space="0" w:color="auto"/>
            </w:tcBorders>
            <w:noWrap/>
            <w:vAlign w:val="center"/>
            <w:hideMark/>
          </w:tcPr>
          <w:p w14:paraId="58B36A7D"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392.0</w:t>
            </w:r>
          </w:p>
        </w:tc>
        <w:tc>
          <w:tcPr>
            <w:tcW w:w="1382" w:type="dxa"/>
            <w:tcBorders>
              <w:top w:val="single" w:sz="4" w:space="0" w:color="auto"/>
              <w:left w:val="single" w:sz="4" w:space="0" w:color="auto"/>
              <w:bottom w:val="single" w:sz="4" w:space="0" w:color="auto"/>
              <w:right w:val="single" w:sz="4" w:space="0" w:color="auto"/>
            </w:tcBorders>
            <w:noWrap/>
            <w:vAlign w:val="center"/>
            <w:hideMark/>
          </w:tcPr>
          <w:p w14:paraId="760913CD"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$51.11</w:t>
            </w:r>
          </w:p>
        </w:tc>
      </w:tr>
      <w:tr w:rsidR="002815D4" w:rsidRPr="002815D4" w14:paraId="30D171E4" w14:textId="77777777" w:rsidTr="00935A18">
        <w:trPr>
          <w:trHeight w:val="20"/>
          <w:jc w:val="center"/>
        </w:trPr>
        <w:tc>
          <w:tcPr>
            <w:tcW w:w="1324" w:type="dxa"/>
            <w:vMerge/>
            <w:tcBorders>
              <w:left w:val="single" w:sz="4" w:space="0" w:color="auto"/>
              <w:right w:val="single" w:sz="4" w:space="0" w:color="auto"/>
            </w:tcBorders>
            <w:vAlign w:val="center"/>
          </w:tcPr>
          <w:p w14:paraId="013B0728"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tcPr>
          <w:p w14:paraId="508E4686"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High-Bay Fixtures, 30,001-40,000 lumens</w:t>
            </w:r>
          </w:p>
        </w:tc>
        <w:tc>
          <w:tcPr>
            <w:tcW w:w="1174" w:type="dxa"/>
            <w:tcBorders>
              <w:top w:val="single" w:sz="4" w:space="0" w:color="auto"/>
              <w:left w:val="single" w:sz="4" w:space="0" w:color="auto"/>
              <w:bottom w:val="single" w:sz="4" w:space="0" w:color="auto"/>
              <w:right w:val="single" w:sz="4" w:space="0" w:color="auto"/>
            </w:tcBorders>
            <w:noWrap/>
            <w:vAlign w:val="center"/>
          </w:tcPr>
          <w:p w14:paraId="7D3456F9"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Calibri"/>
                <w:color w:val="000000"/>
                <w:sz w:val="20"/>
                <w:szCs w:val="20"/>
              </w:rPr>
              <w:t>202.2</w:t>
            </w:r>
          </w:p>
        </w:tc>
        <w:tc>
          <w:tcPr>
            <w:tcW w:w="2130" w:type="dxa"/>
            <w:tcBorders>
              <w:top w:val="nil"/>
              <w:left w:val="nil"/>
              <w:bottom w:val="single" w:sz="4" w:space="0" w:color="auto"/>
              <w:right w:val="single" w:sz="4" w:space="0" w:color="auto"/>
            </w:tcBorders>
            <w:vAlign w:val="center"/>
          </w:tcPr>
          <w:p w14:paraId="5BF98105"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750 Watts Metal Halide</w:t>
            </w:r>
          </w:p>
        </w:tc>
        <w:tc>
          <w:tcPr>
            <w:tcW w:w="1584" w:type="dxa"/>
            <w:tcBorders>
              <w:top w:val="nil"/>
              <w:left w:val="nil"/>
              <w:bottom w:val="single" w:sz="4" w:space="0" w:color="auto"/>
              <w:right w:val="single" w:sz="4" w:space="0" w:color="auto"/>
            </w:tcBorders>
            <w:noWrap/>
            <w:vAlign w:val="center"/>
          </w:tcPr>
          <w:p w14:paraId="0DD792AF"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850</w:t>
            </w:r>
          </w:p>
        </w:tc>
        <w:tc>
          <w:tcPr>
            <w:tcW w:w="1382" w:type="dxa"/>
            <w:tcBorders>
              <w:top w:val="single" w:sz="4" w:space="0" w:color="auto"/>
              <w:left w:val="single" w:sz="4" w:space="0" w:color="auto"/>
              <w:bottom w:val="single" w:sz="4" w:space="0" w:color="auto"/>
              <w:right w:val="single" w:sz="4" w:space="0" w:color="auto"/>
            </w:tcBorders>
            <w:noWrap/>
            <w:vAlign w:val="center"/>
          </w:tcPr>
          <w:p w14:paraId="2222EC56"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Calibri"/>
                <w:sz w:val="20"/>
                <w:szCs w:val="20"/>
              </w:rPr>
              <w:t>$113.60</w:t>
            </w:r>
          </w:p>
        </w:tc>
      </w:tr>
      <w:tr w:rsidR="002815D4" w:rsidRPr="002815D4" w14:paraId="47BF75C0" w14:textId="77777777" w:rsidTr="00935A18">
        <w:trPr>
          <w:trHeight w:val="20"/>
          <w:jc w:val="center"/>
        </w:trPr>
        <w:tc>
          <w:tcPr>
            <w:tcW w:w="1324" w:type="dxa"/>
            <w:vMerge/>
            <w:tcBorders>
              <w:left w:val="single" w:sz="4" w:space="0" w:color="auto"/>
              <w:right w:val="single" w:sz="4" w:space="0" w:color="auto"/>
            </w:tcBorders>
            <w:vAlign w:val="center"/>
          </w:tcPr>
          <w:p w14:paraId="6E0AF8B7"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tcPr>
          <w:p w14:paraId="35F469DC"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High-Bay Fixtures 40,001-50,000 lumens</w:t>
            </w:r>
          </w:p>
        </w:tc>
        <w:tc>
          <w:tcPr>
            <w:tcW w:w="1174" w:type="dxa"/>
            <w:tcBorders>
              <w:top w:val="single" w:sz="4" w:space="0" w:color="auto"/>
              <w:left w:val="single" w:sz="4" w:space="0" w:color="auto"/>
              <w:bottom w:val="single" w:sz="4" w:space="0" w:color="auto"/>
              <w:right w:val="single" w:sz="4" w:space="0" w:color="auto"/>
            </w:tcBorders>
            <w:noWrap/>
            <w:vAlign w:val="center"/>
          </w:tcPr>
          <w:p w14:paraId="7C8DED9E"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Calibri"/>
                <w:color w:val="000000"/>
                <w:sz w:val="20"/>
                <w:szCs w:val="20"/>
              </w:rPr>
              <w:t>268.6</w:t>
            </w:r>
          </w:p>
        </w:tc>
        <w:tc>
          <w:tcPr>
            <w:tcW w:w="2130" w:type="dxa"/>
            <w:tcBorders>
              <w:top w:val="nil"/>
              <w:left w:val="nil"/>
              <w:bottom w:val="single" w:sz="4" w:space="0" w:color="auto"/>
              <w:right w:val="single" w:sz="4" w:space="0" w:color="auto"/>
            </w:tcBorders>
            <w:vAlign w:val="center"/>
          </w:tcPr>
          <w:p w14:paraId="6BE1B849"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1000 Watts Metal Halide</w:t>
            </w:r>
          </w:p>
        </w:tc>
        <w:tc>
          <w:tcPr>
            <w:tcW w:w="1584" w:type="dxa"/>
            <w:tcBorders>
              <w:top w:val="nil"/>
              <w:left w:val="nil"/>
              <w:bottom w:val="single" w:sz="4" w:space="0" w:color="auto"/>
              <w:right w:val="single" w:sz="4" w:space="0" w:color="auto"/>
            </w:tcBorders>
            <w:noWrap/>
            <w:vAlign w:val="center"/>
          </w:tcPr>
          <w:p w14:paraId="4D67CC51"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1080</w:t>
            </w:r>
          </w:p>
        </w:tc>
        <w:tc>
          <w:tcPr>
            <w:tcW w:w="1382" w:type="dxa"/>
            <w:tcBorders>
              <w:top w:val="single" w:sz="4" w:space="0" w:color="auto"/>
              <w:left w:val="single" w:sz="4" w:space="0" w:color="auto"/>
              <w:bottom w:val="single" w:sz="4" w:space="0" w:color="auto"/>
              <w:right w:val="single" w:sz="4" w:space="0" w:color="auto"/>
            </w:tcBorders>
            <w:noWrap/>
            <w:vAlign w:val="center"/>
          </w:tcPr>
          <w:p w14:paraId="22162CC0"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Calibri"/>
                <w:sz w:val="20"/>
                <w:szCs w:val="20"/>
              </w:rPr>
              <w:t>$166.55</w:t>
            </w:r>
          </w:p>
        </w:tc>
      </w:tr>
      <w:tr w:rsidR="002815D4" w:rsidRPr="002815D4" w14:paraId="463F6BA0" w14:textId="77777777" w:rsidTr="00935A18">
        <w:trPr>
          <w:trHeight w:val="20"/>
          <w:jc w:val="center"/>
        </w:trPr>
        <w:tc>
          <w:tcPr>
            <w:tcW w:w="1324" w:type="dxa"/>
            <w:vMerge/>
            <w:tcBorders>
              <w:left w:val="single" w:sz="4" w:space="0" w:color="auto"/>
              <w:bottom w:val="single" w:sz="4" w:space="0" w:color="auto"/>
              <w:right w:val="single" w:sz="4" w:space="0" w:color="auto"/>
            </w:tcBorders>
            <w:vAlign w:val="center"/>
          </w:tcPr>
          <w:p w14:paraId="171522D7"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tcPr>
          <w:p w14:paraId="20E64EA6"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High-Bay Fixtures &gt;50,000 lumens</w:t>
            </w:r>
          </w:p>
        </w:tc>
        <w:tc>
          <w:tcPr>
            <w:tcW w:w="1174" w:type="dxa"/>
            <w:tcBorders>
              <w:top w:val="single" w:sz="4" w:space="0" w:color="auto"/>
              <w:left w:val="single" w:sz="4" w:space="0" w:color="auto"/>
              <w:bottom w:val="single" w:sz="4" w:space="0" w:color="auto"/>
              <w:right w:val="single" w:sz="4" w:space="0" w:color="auto"/>
            </w:tcBorders>
            <w:noWrap/>
            <w:vAlign w:val="center"/>
          </w:tcPr>
          <w:p w14:paraId="3E640727"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Calibri"/>
                <w:color w:val="000000"/>
                <w:sz w:val="20"/>
                <w:szCs w:val="20"/>
              </w:rPr>
              <w:t>389.2</w:t>
            </w:r>
          </w:p>
        </w:tc>
        <w:tc>
          <w:tcPr>
            <w:tcW w:w="2130" w:type="dxa"/>
            <w:tcBorders>
              <w:top w:val="nil"/>
              <w:left w:val="nil"/>
              <w:bottom w:val="single" w:sz="4" w:space="0" w:color="auto"/>
              <w:right w:val="single" w:sz="4" w:space="0" w:color="auto"/>
            </w:tcBorders>
            <w:vAlign w:val="center"/>
          </w:tcPr>
          <w:p w14:paraId="1E733CA2"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1500 Watts Metal Halide</w:t>
            </w:r>
          </w:p>
        </w:tc>
        <w:tc>
          <w:tcPr>
            <w:tcW w:w="1584" w:type="dxa"/>
            <w:tcBorders>
              <w:top w:val="nil"/>
              <w:left w:val="nil"/>
              <w:bottom w:val="single" w:sz="4" w:space="0" w:color="auto"/>
              <w:right w:val="single" w:sz="4" w:space="0" w:color="auto"/>
            </w:tcBorders>
            <w:noWrap/>
            <w:vAlign w:val="center"/>
          </w:tcPr>
          <w:p w14:paraId="45E9E80C"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1610</w:t>
            </w:r>
          </w:p>
        </w:tc>
        <w:tc>
          <w:tcPr>
            <w:tcW w:w="1382" w:type="dxa"/>
            <w:tcBorders>
              <w:top w:val="single" w:sz="4" w:space="0" w:color="auto"/>
              <w:left w:val="single" w:sz="4" w:space="0" w:color="auto"/>
              <w:bottom w:val="single" w:sz="4" w:space="0" w:color="auto"/>
              <w:right w:val="single" w:sz="4" w:space="0" w:color="auto"/>
            </w:tcBorders>
            <w:noWrap/>
            <w:vAlign w:val="center"/>
          </w:tcPr>
          <w:p w14:paraId="3977DBFE"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Calibri"/>
                <w:sz w:val="20"/>
                <w:szCs w:val="20"/>
              </w:rPr>
              <w:t>$283.67</w:t>
            </w:r>
          </w:p>
        </w:tc>
      </w:tr>
      <w:tr w:rsidR="002815D4" w:rsidRPr="002815D4" w14:paraId="1FFF79A1" w14:textId="77777777" w:rsidTr="00935A18">
        <w:trPr>
          <w:trHeight w:val="20"/>
          <w:jc w:val="center"/>
        </w:trPr>
        <w:tc>
          <w:tcPr>
            <w:tcW w:w="1324" w:type="dxa"/>
            <w:vMerge w:val="restart"/>
            <w:tcBorders>
              <w:top w:val="nil"/>
              <w:left w:val="single" w:sz="4" w:space="0" w:color="auto"/>
              <w:bottom w:val="single" w:sz="4" w:space="0" w:color="auto"/>
              <w:right w:val="single" w:sz="4" w:space="0" w:color="auto"/>
            </w:tcBorders>
            <w:vAlign w:val="center"/>
            <w:hideMark/>
          </w:tcPr>
          <w:p w14:paraId="0A10B67D"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Agricultural Interior Fixtures</w:t>
            </w:r>
          </w:p>
        </w:tc>
        <w:tc>
          <w:tcPr>
            <w:tcW w:w="1957" w:type="dxa"/>
            <w:tcBorders>
              <w:top w:val="nil"/>
              <w:left w:val="nil"/>
              <w:bottom w:val="single" w:sz="4" w:space="0" w:color="auto"/>
              <w:right w:val="single" w:sz="4" w:space="0" w:color="auto"/>
            </w:tcBorders>
            <w:vAlign w:val="center"/>
            <w:hideMark/>
          </w:tcPr>
          <w:p w14:paraId="3E359953"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Ag Interior Fixtures, &lt;= 2,000 lumens</w:t>
            </w:r>
          </w:p>
        </w:tc>
        <w:tc>
          <w:tcPr>
            <w:tcW w:w="1174" w:type="dxa"/>
            <w:tcBorders>
              <w:top w:val="single" w:sz="4" w:space="0" w:color="auto"/>
              <w:left w:val="single" w:sz="4" w:space="0" w:color="auto"/>
              <w:bottom w:val="single" w:sz="4" w:space="0" w:color="auto"/>
              <w:right w:val="single" w:sz="4" w:space="0" w:color="auto"/>
            </w:tcBorders>
            <w:noWrap/>
            <w:vAlign w:val="center"/>
            <w:hideMark/>
          </w:tcPr>
          <w:p w14:paraId="2947DCAC"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11.3</w:t>
            </w:r>
          </w:p>
        </w:tc>
        <w:tc>
          <w:tcPr>
            <w:tcW w:w="2130" w:type="dxa"/>
            <w:tcBorders>
              <w:top w:val="nil"/>
              <w:left w:val="nil"/>
              <w:bottom w:val="single" w:sz="4" w:space="0" w:color="auto"/>
              <w:right w:val="single" w:sz="4" w:space="0" w:color="auto"/>
            </w:tcBorders>
            <w:vAlign w:val="center"/>
            <w:hideMark/>
          </w:tcPr>
          <w:p w14:paraId="44E96BF4" w14:textId="77777777" w:rsidR="002815D4" w:rsidRPr="002815D4" w:rsidRDefault="002815D4" w:rsidP="002815D4">
            <w:pPr>
              <w:rPr>
                <w:rFonts w:ascii="Calibri" w:eastAsia="Calibri" w:hAnsi="Calibri" w:cs="Arial"/>
                <w:sz w:val="20"/>
                <w:szCs w:val="20"/>
              </w:rPr>
            </w:pPr>
            <w:r w:rsidRPr="002815D4">
              <w:rPr>
                <w:rFonts w:ascii="Calibri" w:eastAsia="Calibri" w:hAnsi="Calibri" w:cs="Calibri"/>
                <w:color w:val="000000"/>
                <w:sz w:val="20"/>
                <w:szCs w:val="20"/>
              </w:rPr>
              <w:t>1-Lamp 32w T8 (BF &lt;0.91)</w:t>
            </w:r>
          </w:p>
        </w:tc>
        <w:tc>
          <w:tcPr>
            <w:tcW w:w="1584" w:type="dxa"/>
            <w:tcBorders>
              <w:top w:val="nil"/>
              <w:left w:val="nil"/>
              <w:bottom w:val="single" w:sz="4" w:space="0" w:color="auto"/>
              <w:right w:val="single" w:sz="4" w:space="0" w:color="auto"/>
            </w:tcBorders>
            <w:noWrap/>
            <w:vAlign w:val="center"/>
            <w:hideMark/>
          </w:tcPr>
          <w:p w14:paraId="49DF55B1"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29.1</w:t>
            </w:r>
          </w:p>
        </w:tc>
        <w:tc>
          <w:tcPr>
            <w:tcW w:w="1382" w:type="dxa"/>
            <w:tcBorders>
              <w:top w:val="single" w:sz="4" w:space="0" w:color="auto"/>
              <w:left w:val="single" w:sz="4" w:space="0" w:color="auto"/>
              <w:bottom w:val="single" w:sz="4" w:space="0" w:color="auto"/>
              <w:right w:val="single" w:sz="4" w:space="0" w:color="auto"/>
            </w:tcBorders>
            <w:noWrap/>
            <w:vAlign w:val="center"/>
            <w:hideMark/>
          </w:tcPr>
          <w:p w14:paraId="17E75047"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$18</w:t>
            </w:r>
          </w:p>
        </w:tc>
      </w:tr>
      <w:tr w:rsidR="002815D4" w:rsidRPr="002815D4" w14:paraId="55468BA4" w14:textId="77777777" w:rsidTr="00935A18">
        <w:trPr>
          <w:trHeight w:val="20"/>
          <w:jc w:val="center"/>
        </w:trPr>
        <w:tc>
          <w:tcPr>
            <w:tcW w:w="1324" w:type="dxa"/>
            <w:vMerge/>
            <w:tcBorders>
              <w:top w:val="nil"/>
              <w:left w:val="single" w:sz="4" w:space="0" w:color="auto"/>
              <w:bottom w:val="single" w:sz="4" w:space="0" w:color="auto"/>
              <w:right w:val="single" w:sz="4" w:space="0" w:color="auto"/>
            </w:tcBorders>
            <w:vAlign w:val="center"/>
            <w:hideMark/>
          </w:tcPr>
          <w:p w14:paraId="26E9D40E"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7378EA42"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Ag Interior Fixtures, 2,001-4,000 lumens</w:t>
            </w:r>
          </w:p>
        </w:tc>
        <w:tc>
          <w:tcPr>
            <w:tcW w:w="1174" w:type="dxa"/>
            <w:tcBorders>
              <w:top w:val="nil"/>
              <w:left w:val="single" w:sz="4" w:space="0" w:color="auto"/>
              <w:bottom w:val="single" w:sz="4" w:space="0" w:color="auto"/>
              <w:right w:val="single" w:sz="4" w:space="0" w:color="auto"/>
            </w:tcBorders>
            <w:noWrap/>
            <w:vAlign w:val="center"/>
            <w:hideMark/>
          </w:tcPr>
          <w:p w14:paraId="00BFE9A1"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26.1</w:t>
            </w:r>
          </w:p>
        </w:tc>
        <w:tc>
          <w:tcPr>
            <w:tcW w:w="2130" w:type="dxa"/>
            <w:tcBorders>
              <w:top w:val="nil"/>
              <w:left w:val="nil"/>
              <w:bottom w:val="single" w:sz="4" w:space="0" w:color="auto"/>
              <w:right w:val="single" w:sz="4" w:space="0" w:color="auto"/>
            </w:tcBorders>
            <w:vAlign w:val="center"/>
            <w:hideMark/>
          </w:tcPr>
          <w:p w14:paraId="5D727E82" w14:textId="77777777" w:rsidR="002815D4" w:rsidRPr="002815D4" w:rsidRDefault="002815D4" w:rsidP="002815D4">
            <w:pPr>
              <w:rPr>
                <w:rFonts w:ascii="Calibri" w:eastAsia="Calibri" w:hAnsi="Calibri" w:cs="Arial"/>
                <w:sz w:val="20"/>
                <w:szCs w:val="20"/>
              </w:rPr>
            </w:pPr>
            <w:r w:rsidRPr="002815D4">
              <w:rPr>
                <w:rFonts w:ascii="Calibri" w:eastAsia="Calibri" w:hAnsi="Calibri" w:cs="Calibri"/>
                <w:color w:val="000000"/>
                <w:sz w:val="20"/>
                <w:szCs w:val="20"/>
              </w:rPr>
              <w:t xml:space="preserve">2-Lamp 32w T8 (BF &lt; 0.89) </w:t>
            </w:r>
          </w:p>
        </w:tc>
        <w:tc>
          <w:tcPr>
            <w:tcW w:w="1584" w:type="dxa"/>
            <w:tcBorders>
              <w:top w:val="nil"/>
              <w:left w:val="nil"/>
              <w:bottom w:val="single" w:sz="4" w:space="0" w:color="auto"/>
              <w:right w:val="single" w:sz="4" w:space="0" w:color="auto"/>
            </w:tcBorders>
            <w:noWrap/>
            <w:vAlign w:val="center"/>
            <w:hideMark/>
          </w:tcPr>
          <w:p w14:paraId="0C6C23D6"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57</w:t>
            </w:r>
          </w:p>
        </w:tc>
        <w:tc>
          <w:tcPr>
            <w:tcW w:w="1382" w:type="dxa"/>
            <w:tcBorders>
              <w:top w:val="nil"/>
              <w:left w:val="single" w:sz="4" w:space="0" w:color="auto"/>
              <w:bottom w:val="single" w:sz="4" w:space="0" w:color="auto"/>
              <w:right w:val="single" w:sz="4" w:space="0" w:color="auto"/>
            </w:tcBorders>
            <w:noWrap/>
            <w:vAlign w:val="center"/>
            <w:hideMark/>
          </w:tcPr>
          <w:p w14:paraId="2BA7892F"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$48</w:t>
            </w:r>
          </w:p>
        </w:tc>
      </w:tr>
      <w:tr w:rsidR="002815D4" w:rsidRPr="002815D4" w14:paraId="216E6EAB" w14:textId="77777777" w:rsidTr="00935A18">
        <w:trPr>
          <w:trHeight w:val="20"/>
          <w:jc w:val="center"/>
        </w:trPr>
        <w:tc>
          <w:tcPr>
            <w:tcW w:w="1324" w:type="dxa"/>
            <w:vMerge/>
            <w:tcBorders>
              <w:top w:val="nil"/>
              <w:left w:val="single" w:sz="4" w:space="0" w:color="auto"/>
              <w:bottom w:val="single" w:sz="4" w:space="0" w:color="auto"/>
              <w:right w:val="single" w:sz="4" w:space="0" w:color="auto"/>
            </w:tcBorders>
            <w:vAlign w:val="center"/>
            <w:hideMark/>
          </w:tcPr>
          <w:p w14:paraId="0E67FBEE"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46389BC6"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Ag Interior Fixtures, 4,001-6,000 lumens</w:t>
            </w:r>
          </w:p>
        </w:tc>
        <w:tc>
          <w:tcPr>
            <w:tcW w:w="1174" w:type="dxa"/>
            <w:tcBorders>
              <w:top w:val="nil"/>
              <w:left w:val="single" w:sz="4" w:space="0" w:color="auto"/>
              <w:bottom w:val="single" w:sz="4" w:space="0" w:color="auto"/>
              <w:right w:val="single" w:sz="4" w:space="0" w:color="auto"/>
            </w:tcBorders>
            <w:noWrap/>
            <w:vAlign w:val="center"/>
            <w:hideMark/>
          </w:tcPr>
          <w:p w14:paraId="04BCCB42"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39.6</w:t>
            </w:r>
          </w:p>
        </w:tc>
        <w:tc>
          <w:tcPr>
            <w:tcW w:w="2130" w:type="dxa"/>
            <w:tcBorders>
              <w:top w:val="nil"/>
              <w:left w:val="nil"/>
              <w:bottom w:val="single" w:sz="4" w:space="0" w:color="auto"/>
              <w:right w:val="single" w:sz="4" w:space="0" w:color="auto"/>
            </w:tcBorders>
            <w:vAlign w:val="center"/>
            <w:hideMark/>
          </w:tcPr>
          <w:p w14:paraId="59CE4BA9"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25% 217 Watt EISA Inc, 75% 3L T8</w:t>
            </w:r>
          </w:p>
        </w:tc>
        <w:tc>
          <w:tcPr>
            <w:tcW w:w="1584" w:type="dxa"/>
            <w:tcBorders>
              <w:top w:val="nil"/>
              <w:left w:val="nil"/>
              <w:bottom w:val="single" w:sz="4" w:space="0" w:color="auto"/>
              <w:right w:val="single" w:sz="4" w:space="0" w:color="auto"/>
            </w:tcBorders>
            <w:noWrap/>
            <w:vAlign w:val="center"/>
            <w:hideMark/>
          </w:tcPr>
          <w:p w14:paraId="5A39846F"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121.0</w:t>
            </w:r>
          </w:p>
        </w:tc>
        <w:tc>
          <w:tcPr>
            <w:tcW w:w="1382" w:type="dxa"/>
            <w:tcBorders>
              <w:top w:val="nil"/>
              <w:left w:val="single" w:sz="4" w:space="0" w:color="auto"/>
              <w:bottom w:val="single" w:sz="4" w:space="0" w:color="auto"/>
              <w:right w:val="single" w:sz="4" w:space="0" w:color="auto"/>
            </w:tcBorders>
            <w:noWrap/>
            <w:vAlign w:val="center"/>
            <w:hideMark/>
          </w:tcPr>
          <w:p w14:paraId="6B9A81B2"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$57</w:t>
            </w:r>
          </w:p>
        </w:tc>
      </w:tr>
      <w:tr w:rsidR="002815D4" w:rsidRPr="002815D4" w14:paraId="4255AB67" w14:textId="77777777" w:rsidTr="00935A18">
        <w:trPr>
          <w:trHeight w:val="20"/>
          <w:jc w:val="center"/>
        </w:trPr>
        <w:tc>
          <w:tcPr>
            <w:tcW w:w="1324" w:type="dxa"/>
            <w:vMerge/>
            <w:tcBorders>
              <w:top w:val="nil"/>
              <w:left w:val="single" w:sz="4" w:space="0" w:color="auto"/>
              <w:bottom w:val="single" w:sz="4" w:space="0" w:color="auto"/>
              <w:right w:val="single" w:sz="4" w:space="0" w:color="auto"/>
            </w:tcBorders>
            <w:vAlign w:val="center"/>
            <w:hideMark/>
          </w:tcPr>
          <w:p w14:paraId="24986A44"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06318BDF"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Ag Interior Fixtures, 6,001-8,000 lumens</w:t>
            </w:r>
          </w:p>
        </w:tc>
        <w:tc>
          <w:tcPr>
            <w:tcW w:w="1174" w:type="dxa"/>
            <w:tcBorders>
              <w:top w:val="nil"/>
              <w:left w:val="single" w:sz="4" w:space="0" w:color="auto"/>
              <w:bottom w:val="single" w:sz="4" w:space="0" w:color="auto"/>
              <w:right w:val="single" w:sz="4" w:space="0" w:color="auto"/>
            </w:tcBorders>
            <w:noWrap/>
            <w:vAlign w:val="center"/>
            <w:hideMark/>
          </w:tcPr>
          <w:p w14:paraId="35CFA355"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52.4</w:t>
            </w:r>
          </w:p>
        </w:tc>
        <w:tc>
          <w:tcPr>
            <w:tcW w:w="2130" w:type="dxa"/>
            <w:tcBorders>
              <w:top w:val="nil"/>
              <w:left w:val="nil"/>
              <w:bottom w:val="single" w:sz="4" w:space="0" w:color="auto"/>
              <w:right w:val="single" w:sz="4" w:space="0" w:color="auto"/>
            </w:tcBorders>
            <w:vAlign w:val="center"/>
            <w:hideMark/>
          </w:tcPr>
          <w:p w14:paraId="79B9CBFE"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25% 292 Watt EISA Inc, 75% 4L T8</w:t>
            </w:r>
          </w:p>
        </w:tc>
        <w:tc>
          <w:tcPr>
            <w:tcW w:w="1584" w:type="dxa"/>
            <w:tcBorders>
              <w:top w:val="nil"/>
              <w:left w:val="nil"/>
              <w:bottom w:val="single" w:sz="4" w:space="0" w:color="auto"/>
              <w:right w:val="single" w:sz="4" w:space="0" w:color="auto"/>
            </w:tcBorders>
            <w:noWrap/>
            <w:vAlign w:val="center"/>
            <w:hideMark/>
          </w:tcPr>
          <w:p w14:paraId="67D3C07D"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159.0</w:t>
            </w:r>
          </w:p>
        </w:tc>
        <w:tc>
          <w:tcPr>
            <w:tcW w:w="1382" w:type="dxa"/>
            <w:tcBorders>
              <w:top w:val="nil"/>
              <w:left w:val="single" w:sz="4" w:space="0" w:color="auto"/>
              <w:bottom w:val="single" w:sz="4" w:space="0" w:color="auto"/>
              <w:right w:val="single" w:sz="4" w:space="0" w:color="auto"/>
            </w:tcBorders>
            <w:noWrap/>
            <w:vAlign w:val="center"/>
            <w:hideMark/>
          </w:tcPr>
          <w:p w14:paraId="418C66EF"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$88</w:t>
            </w:r>
          </w:p>
        </w:tc>
      </w:tr>
      <w:tr w:rsidR="002815D4" w:rsidRPr="002815D4" w14:paraId="44AB0DBE" w14:textId="77777777" w:rsidTr="00935A18">
        <w:trPr>
          <w:trHeight w:val="20"/>
          <w:jc w:val="center"/>
        </w:trPr>
        <w:tc>
          <w:tcPr>
            <w:tcW w:w="1324" w:type="dxa"/>
            <w:vMerge/>
            <w:tcBorders>
              <w:top w:val="nil"/>
              <w:left w:val="single" w:sz="4" w:space="0" w:color="auto"/>
              <w:bottom w:val="single" w:sz="4" w:space="0" w:color="auto"/>
              <w:right w:val="single" w:sz="4" w:space="0" w:color="auto"/>
            </w:tcBorders>
            <w:vAlign w:val="center"/>
            <w:hideMark/>
          </w:tcPr>
          <w:p w14:paraId="6B9D5A51"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0E9ED5B5"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Ag Interior Fixtures, 8,001-12,000 lumens</w:t>
            </w:r>
          </w:p>
        </w:tc>
        <w:tc>
          <w:tcPr>
            <w:tcW w:w="1174" w:type="dxa"/>
            <w:tcBorders>
              <w:top w:val="nil"/>
              <w:left w:val="single" w:sz="4" w:space="0" w:color="auto"/>
              <w:bottom w:val="single" w:sz="4" w:space="0" w:color="auto"/>
              <w:right w:val="single" w:sz="4" w:space="0" w:color="auto"/>
            </w:tcBorders>
            <w:noWrap/>
            <w:vAlign w:val="center"/>
            <w:hideMark/>
          </w:tcPr>
          <w:p w14:paraId="7E793307"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74.5</w:t>
            </w:r>
          </w:p>
        </w:tc>
        <w:tc>
          <w:tcPr>
            <w:tcW w:w="2130" w:type="dxa"/>
            <w:tcBorders>
              <w:top w:val="nil"/>
              <w:left w:val="nil"/>
              <w:bottom w:val="single" w:sz="4" w:space="0" w:color="auto"/>
              <w:right w:val="single" w:sz="4" w:space="0" w:color="auto"/>
            </w:tcBorders>
            <w:vAlign w:val="center"/>
            <w:hideMark/>
          </w:tcPr>
          <w:p w14:paraId="0AA78F2E"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200W Pulse Start Metal Halide</w:t>
            </w:r>
          </w:p>
        </w:tc>
        <w:tc>
          <w:tcPr>
            <w:tcW w:w="1584" w:type="dxa"/>
            <w:tcBorders>
              <w:top w:val="nil"/>
              <w:left w:val="nil"/>
              <w:bottom w:val="single" w:sz="4" w:space="0" w:color="auto"/>
              <w:right w:val="single" w:sz="4" w:space="0" w:color="auto"/>
            </w:tcBorders>
            <w:noWrap/>
            <w:vAlign w:val="center"/>
            <w:hideMark/>
          </w:tcPr>
          <w:p w14:paraId="592C8019"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227.3</w:t>
            </w:r>
          </w:p>
        </w:tc>
        <w:tc>
          <w:tcPr>
            <w:tcW w:w="1382" w:type="dxa"/>
            <w:tcBorders>
              <w:top w:val="nil"/>
              <w:left w:val="single" w:sz="4" w:space="0" w:color="auto"/>
              <w:bottom w:val="single" w:sz="4" w:space="0" w:color="auto"/>
              <w:right w:val="single" w:sz="4" w:space="0" w:color="auto"/>
            </w:tcBorders>
            <w:noWrap/>
            <w:vAlign w:val="center"/>
            <w:hideMark/>
          </w:tcPr>
          <w:p w14:paraId="1B3B1541"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$168</w:t>
            </w:r>
          </w:p>
        </w:tc>
      </w:tr>
      <w:tr w:rsidR="002815D4" w:rsidRPr="002815D4" w14:paraId="4492688E" w14:textId="77777777" w:rsidTr="00935A18">
        <w:trPr>
          <w:trHeight w:val="20"/>
          <w:jc w:val="center"/>
        </w:trPr>
        <w:tc>
          <w:tcPr>
            <w:tcW w:w="1324" w:type="dxa"/>
            <w:vMerge/>
            <w:tcBorders>
              <w:top w:val="nil"/>
              <w:left w:val="single" w:sz="4" w:space="0" w:color="auto"/>
              <w:bottom w:val="single" w:sz="4" w:space="0" w:color="auto"/>
              <w:right w:val="single" w:sz="4" w:space="0" w:color="auto"/>
            </w:tcBorders>
            <w:vAlign w:val="center"/>
            <w:hideMark/>
          </w:tcPr>
          <w:p w14:paraId="713B1587"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02B5BE47"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Ag Interior Fixtures, 12,001-16,000 lumens</w:t>
            </w:r>
          </w:p>
        </w:tc>
        <w:tc>
          <w:tcPr>
            <w:tcW w:w="1174" w:type="dxa"/>
            <w:tcBorders>
              <w:top w:val="nil"/>
              <w:left w:val="single" w:sz="4" w:space="0" w:color="auto"/>
              <w:bottom w:val="single" w:sz="4" w:space="0" w:color="auto"/>
              <w:right w:val="single" w:sz="4" w:space="0" w:color="auto"/>
            </w:tcBorders>
            <w:noWrap/>
            <w:vAlign w:val="center"/>
            <w:hideMark/>
          </w:tcPr>
          <w:p w14:paraId="1151625E"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99.9</w:t>
            </w:r>
          </w:p>
        </w:tc>
        <w:tc>
          <w:tcPr>
            <w:tcW w:w="2130" w:type="dxa"/>
            <w:tcBorders>
              <w:top w:val="nil"/>
              <w:left w:val="nil"/>
              <w:bottom w:val="single" w:sz="4" w:space="0" w:color="auto"/>
              <w:right w:val="single" w:sz="4" w:space="0" w:color="auto"/>
            </w:tcBorders>
            <w:vAlign w:val="center"/>
            <w:hideMark/>
          </w:tcPr>
          <w:p w14:paraId="7A3768F1"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320W Pulse Start Metal Halide</w:t>
            </w:r>
          </w:p>
        </w:tc>
        <w:tc>
          <w:tcPr>
            <w:tcW w:w="1584" w:type="dxa"/>
            <w:tcBorders>
              <w:top w:val="nil"/>
              <w:left w:val="nil"/>
              <w:bottom w:val="single" w:sz="4" w:space="0" w:color="auto"/>
              <w:right w:val="single" w:sz="4" w:space="0" w:color="auto"/>
            </w:tcBorders>
            <w:noWrap/>
            <w:vAlign w:val="center"/>
            <w:hideMark/>
          </w:tcPr>
          <w:p w14:paraId="3AC1F09E"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363.6</w:t>
            </w:r>
          </w:p>
        </w:tc>
        <w:tc>
          <w:tcPr>
            <w:tcW w:w="1382" w:type="dxa"/>
            <w:tcBorders>
              <w:top w:val="nil"/>
              <w:left w:val="single" w:sz="4" w:space="0" w:color="auto"/>
              <w:bottom w:val="single" w:sz="4" w:space="0" w:color="auto"/>
              <w:right w:val="single" w:sz="4" w:space="0" w:color="auto"/>
            </w:tcBorders>
            <w:noWrap/>
            <w:vAlign w:val="center"/>
            <w:hideMark/>
          </w:tcPr>
          <w:p w14:paraId="3D38BC09"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$151</w:t>
            </w:r>
          </w:p>
        </w:tc>
      </w:tr>
      <w:tr w:rsidR="002815D4" w:rsidRPr="002815D4" w14:paraId="77BFECD8" w14:textId="77777777" w:rsidTr="00935A18">
        <w:trPr>
          <w:trHeight w:val="20"/>
          <w:jc w:val="center"/>
        </w:trPr>
        <w:tc>
          <w:tcPr>
            <w:tcW w:w="1324" w:type="dxa"/>
            <w:vMerge/>
            <w:tcBorders>
              <w:top w:val="nil"/>
              <w:left w:val="single" w:sz="4" w:space="0" w:color="auto"/>
              <w:bottom w:val="single" w:sz="4" w:space="0" w:color="auto"/>
              <w:right w:val="single" w:sz="4" w:space="0" w:color="auto"/>
            </w:tcBorders>
            <w:vAlign w:val="center"/>
            <w:hideMark/>
          </w:tcPr>
          <w:p w14:paraId="3FC1EDC5"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0DCB84C6"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Ag Interior Fixtures, 16,001-20,000 lumens</w:t>
            </w:r>
          </w:p>
        </w:tc>
        <w:tc>
          <w:tcPr>
            <w:tcW w:w="1174" w:type="dxa"/>
            <w:tcBorders>
              <w:top w:val="nil"/>
              <w:left w:val="single" w:sz="4" w:space="0" w:color="auto"/>
              <w:bottom w:val="single" w:sz="4" w:space="0" w:color="auto"/>
              <w:right w:val="single" w:sz="4" w:space="0" w:color="auto"/>
            </w:tcBorders>
            <w:noWrap/>
            <w:vAlign w:val="center"/>
            <w:hideMark/>
          </w:tcPr>
          <w:p w14:paraId="53B14A1D"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126.1</w:t>
            </w:r>
          </w:p>
        </w:tc>
        <w:tc>
          <w:tcPr>
            <w:tcW w:w="2130" w:type="dxa"/>
            <w:tcBorders>
              <w:top w:val="nil"/>
              <w:left w:val="nil"/>
              <w:bottom w:val="single" w:sz="4" w:space="0" w:color="auto"/>
              <w:right w:val="single" w:sz="4" w:space="0" w:color="auto"/>
            </w:tcBorders>
            <w:vAlign w:val="center"/>
            <w:hideMark/>
          </w:tcPr>
          <w:p w14:paraId="53751E7D"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350W Pulse Start Metal Halide</w:t>
            </w:r>
          </w:p>
        </w:tc>
        <w:tc>
          <w:tcPr>
            <w:tcW w:w="1584" w:type="dxa"/>
            <w:tcBorders>
              <w:top w:val="nil"/>
              <w:left w:val="nil"/>
              <w:bottom w:val="single" w:sz="4" w:space="0" w:color="auto"/>
              <w:right w:val="single" w:sz="4" w:space="0" w:color="auto"/>
            </w:tcBorders>
            <w:noWrap/>
            <w:vAlign w:val="center"/>
            <w:hideMark/>
          </w:tcPr>
          <w:p w14:paraId="4F1F8716"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397.7</w:t>
            </w:r>
          </w:p>
        </w:tc>
        <w:tc>
          <w:tcPr>
            <w:tcW w:w="1382" w:type="dxa"/>
            <w:tcBorders>
              <w:top w:val="nil"/>
              <w:left w:val="single" w:sz="4" w:space="0" w:color="auto"/>
              <w:bottom w:val="single" w:sz="4" w:space="0" w:color="auto"/>
              <w:right w:val="single" w:sz="4" w:space="0" w:color="auto"/>
            </w:tcBorders>
            <w:noWrap/>
            <w:vAlign w:val="center"/>
            <w:hideMark/>
          </w:tcPr>
          <w:p w14:paraId="078E437E"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$205</w:t>
            </w:r>
          </w:p>
        </w:tc>
      </w:tr>
      <w:tr w:rsidR="002815D4" w:rsidRPr="002815D4" w14:paraId="6E513849" w14:textId="77777777" w:rsidTr="00935A18">
        <w:trPr>
          <w:trHeight w:val="20"/>
          <w:jc w:val="center"/>
        </w:trPr>
        <w:tc>
          <w:tcPr>
            <w:tcW w:w="1324" w:type="dxa"/>
            <w:vMerge/>
            <w:tcBorders>
              <w:top w:val="nil"/>
              <w:left w:val="single" w:sz="4" w:space="0" w:color="auto"/>
              <w:bottom w:val="single" w:sz="4" w:space="0" w:color="auto"/>
              <w:right w:val="single" w:sz="4" w:space="0" w:color="auto"/>
            </w:tcBorders>
            <w:vAlign w:val="center"/>
            <w:hideMark/>
          </w:tcPr>
          <w:p w14:paraId="18EE23E4" w14:textId="77777777" w:rsidR="002815D4" w:rsidRPr="002815D4" w:rsidRDefault="002815D4" w:rsidP="002815D4">
            <w:pPr>
              <w:rPr>
                <w:rFonts w:ascii="Calibri" w:eastAsia="Calibri" w:hAnsi="Calibri" w:cs="Arial"/>
                <w:sz w:val="20"/>
                <w:szCs w:val="20"/>
              </w:rPr>
            </w:pPr>
          </w:p>
        </w:tc>
        <w:tc>
          <w:tcPr>
            <w:tcW w:w="1957" w:type="dxa"/>
            <w:tcBorders>
              <w:top w:val="nil"/>
              <w:left w:val="nil"/>
              <w:bottom w:val="single" w:sz="4" w:space="0" w:color="auto"/>
              <w:right w:val="single" w:sz="4" w:space="0" w:color="auto"/>
            </w:tcBorders>
            <w:vAlign w:val="center"/>
            <w:hideMark/>
          </w:tcPr>
          <w:p w14:paraId="02E39A67"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Ag Interior Fixtures, &gt; 20,000 lumens</w:t>
            </w:r>
          </w:p>
        </w:tc>
        <w:tc>
          <w:tcPr>
            <w:tcW w:w="1174" w:type="dxa"/>
            <w:tcBorders>
              <w:top w:val="nil"/>
              <w:left w:val="single" w:sz="4" w:space="0" w:color="auto"/>
              <w:bottom w:val="single" w:sz="4" w:space="0" w:color="auto"/>
              <w:right w:val="single" w:sz="4" w:space="0" w:color="auto"/>
            </w:tcBorders>
            <w:noWrap/>
            <w:vAlign w:val="center"/>
            <w:hideMark/>
          </w:tcPr>
          <w:p w14:paraId="70A71A36"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170.0</w:t>
            </w:r>
          </w:p>
        </w:tc>
        <w:tc>
          <w:tcPr>
            <w:tcW w:w="2130" w:type="dxa"/>
            <w:tcBorders>
              <w:top w:val="nil"/>
              <w:left w:val="nil"/>
              <w:bottom w:val="single" w:sz="4" w:space="0" w:color="auto"/>
              <w:right w:val="single" w:sz="4" w:space="0" w:color="auto"/>
            </w:tcBorders>
            <w:vAlign w:val="center"/>
            <w:hideMark/>
          </w:tcPr>
          <w:p w14:paraId="55A57DAF"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(2) 320W Pulse Start Metal Halide</w:t>
            </w:r>
          </w:p>
        </w:tc>
        <w:tc>
          <w:tcPr>
            <w:tcW w:w="1584" w:type="dxa"/>
            <w:tcBorders>
              <w:top w:val="nil"/>
              <w:left w:val="nil"/>
              <w:bottom w:val="single" w:sz="4" w:space="0" w:color="auto"/>
              <w:right w:val="single" w:sz="4" w:space="0" w:color="auto"/>
            </w:tcBorders>
            <w:noWrap/>
            <w:vAlign w:val="center"/>
            <w:hideMark/>
          </w:tcPr>
          <w:p w14:paraId="48D37AEA"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727.3</w:t>
            </w:r>
          </w:p>
        </w:tc>
        <w:tc>
          <w:tcPr>
            <w:tcW w:w="1382" w:type="dxa"/>
            <w:tcBorders>
              <w:top w:val="nil"/>
              <w:left w:val="single" w:sz="4" w:space="0" w:color="auto"/>
              <w:bottom w:val="single" w:sz="4" w:space="0" w:color="auto"/>
              <w:right w:val="single" w:sz="4" w:space="0" w:color="auto"/>
            </w:tcBorders>
            <w:noWrap/>
            <w:vAlign w:val="center"/>
            <w:hideMark/>
          </w:tcPr>
          <w:p w14:paraId="741F42C3"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$356</w:t>
            </w:r>
          </w:p>
        </w:tc>
      </w:tr>
      <w:tr w:rsidR="002815D4" w:rsidRPr="002815D4" w14:paraId="079E0E11" w14:textId="77777777" w:rsidTr="00935A18">
        <w:trPr>
          <w:trHeight w:val="20"/>
          <w:jc w:val="center"/>
        </w:trPr>
        <w:tc>
          <w:tcPr>
            <w:tcW w:w="1324" w:type="dxa"/>
            <w:vMerge w:val="restart"/>
            <w:tcBorders>
              <w:top w:val="single" w:sz="4" w:space="0" w:color="auto"/>
              <w:left w:val="single" w:sz="4" w:space="0" w:color="auto"/>
              <w:bottom w:val="single" w:sz="4" w:space="0" w:color="auto"/>
              <w:right w:val="single" w:sz="4" w:space="0" w:color="auto"/>
            </w:tcBorders>
            <w:vAlign w:val="center"/>
            <w:hideMark/>
          </w:tcPr>
          <w:p w14:paraId="3CE935B1"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Exterior Fixtures</w:t>
            </w:r>
          </w:p>
        </w:tc>
        <w:tc>
          <w:tcPr>
            <w:tcW w:w="1957" w:type="dxa"/>
            <w:tcBorders>
              <w:top w:val="single" w:sz="4" w:space="0" w:color="auto"/>
              <w:left w:val="nil"/>
              <w:bottom w:val="single" w:sz="4" w:space="0" w:color="auto"/>
              <w:right w:val="single" w:sz="4" w:space="0" w:color="auto"/>
            </w:tcBorders>
            <w:vAlign w:val="center"/>
            <w:hideMark/>
          </w:tcPr>
          <w:p w14:paraId="59BD93CD"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Exterior Fixtures, &lt;= 5,000 lumens</w:t>
            </w:r>
          </w:p>
        </w:tc>
        <w:tc>
          <w:tcPr>
            <w:tcW w:w="1174" w:type="dxa"/>
            <w:tcBorders>
              <w:top w:val="single" w:sz="4" w:space="0" w:color="auto"/>
              <w:left w:val="single" w:sz="4" w:space="0" w:color="auto"/>
              <w:bottom w:val="single" w:sz="4" w:space="0" w:color="auto"/>
              <w:right w:val="single" w:sz="4" w:space="0" w:color="auto"/>
            </w:tcBorders>
            <w:noWrap/>
            <w:vAlign w:val="center"/>
            <w:hideMark/>
          </w:tcPr>
          <w:p w14:paraId="58DC0AC5"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24.1</w:t>
            </w:r>
          </w:p>
        </w:tc>
        <w:tc>
          <w:tcPr>
            <w:tcW w:w="2130" w:type="dxa"/>
            <w:tcBorders>
              <w:top w:val="single" w:sz="4" w:space="0" w:color="auto"/>
              <w:left w:val="nil"/>
              <w:bottom w:val="single" w:sz="4" w:space="0" w:color="auto"/>
              <w:right w:val="single" w:sz="4" w:space="0" w:color="auto"/>
            </w:tcBorders>
            <w:vAlign w:val="center"/>
            <w:hideMark/>
          </w:tcPr>
          <w:p w14:paraId="0C96059B"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100W Metal Halide</w:t>
            </w:r>
          </w:p>
        </w:tc>
        <w:tc>
          <w:tcPr>
            <w:tcW w:w="1584" w:type="dxa"/>
            <w:tcBorders>
              <w:top w:val="single" w:sz="4" w:space="0" w:color="auto"/>
              <w:left w:val="nil"/>
              <w:bottom w:val="single" w:sz="4" w:space="0" w:color="auto"/>
              <w:right w:val="single" w:sz="4" w:space="0" w:color="auto"/>
            </w:tcBorders>
            <w:noWrap/>
            <w:vAlign w:val="center"/>
            <w:hideMark/>
          </w:tcPr>
          <w:p w14:paraId="7261BD35"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113.6</w:t>
            </w:r>
          </w:p>
        </w:tc>
        <w:tc>
          <w:tcPr>
            <w:tcW w:w="1382" w:type="dxa"/>
            <w:tcBorders>
              <w:top w:val="single" w:sz="4" w:space="0" w:color="auto"/>
              <w:left w:val="single" w:sz="4" w:space="0" w:color="auto"/>
              <w:bottom w:val="single" w:sz="4" w:space="0" w:color="auto"/>
              <w:right w:val="single" w:sz="4" w:space="0" w:color="auto"/>
            </w:tcBorders>
            <w:noWrap/>
            <w:vAlign w:val="center"/>
            <w:hideMark/>
          </w:tcPr>
          <w:p w14:paraId="2AA49969"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$97</w:t>
            </w:r>
          </w:p>
        </w:tc>
      </w:tr>
      <w:tr w:rsidR="002815D4" w:rsidRPr="002815D4" w14:paraId="758ABBC2" w14:textId="77777777" w:rsidTr="00935A18">
        <w:trPr>
          <w:trHeight w:val="20"/>
          <w:jc w:val="center"/>
        </w:trPr>
        <w:tc>
          <w:tcPr>
            <w:tcW w:w="1324" w:type="dxa"/>
            <w:vMerge/>
            <w:tcBorders>
              <w:top w:val="single" w:sz="4" w:space="0" w:color="auto"/>
              <w:left w:val="single" w:sz="4" w:space="0" w:color="auto"/>
              <w:bottom w:val="single" w:sz="4" w:space="0" w:color="auto"/>
              <w:right w:val="single" w:sz="4" w:space="0" w:color="auto"/>
            </w:tcBorders>
            <w:vAlign w:val="center"/>
            <w:hideMark/>
          </w:tcPr>
          <w:p w14:paraId="558E4923" w14:textId="77777777" w:rsidR="002815D4" w:rsidRPr="002815D4" w:rsidRDefault="002815D4" w:rsidP="002815D4">
            <w:pPr>
              <w:rPr>
                <w:rFonts w:ascii="Calibri" w:eastAsia="Calibri" w:hAnsi="Calibri" w:cs="Arial"/>
                <w:sz w:val="20"/>
                <w:szCs w:val="20"/>
              </w:rPr>
            </w:pPr>
          </w:p>
        </w:tc>
        <w:tc>
          <w:tcPr>
            <w:tcW w:w="1957" w:type="dxa"/>
            <w:tcBorders>
              <w:top w:val="single" w:sz="4" w:space="0" w:color="auto"/>
              <w:left w:val="nil"/>
              <w:bottom w:val="single" w:sz="4" w:space="0" w:color="auto"/>
              <w:right w:val="single" w:sz="4" w:space="0" w:color="auto"/>
            </w:tcBorders>
            <w:vAlign w:val="center"/>
            <w:hideMark/>
          </w:tcPr>
          <w:p w14:paraId="4E98AEF0"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Exterior Fixtures, 5,001-10,000 lumens</w:t>
            </w:r>
          </w:p>
        </w:tc>
        <w:tc>
          <w:tcPr>
            <w:tcW w:w="1174" w:type="dxa"/>
            <w:tcBorders>
              <w:top w:val="single" w:sz="4" w:space="0" w:color="auto"/>
              <w:left w:val="single" w:sz="4" w:space="0" w:color="auto"/>
              <w:bottom w:val="single" w:sz="4" w:space="0" w:color="auto"/>
              <w:right w:val="single" w:sz="4" w:space="0" w:color="auto"/>
            </w:tcBorders>
            <w:noWrap/>
            <w:vAlign w:val="center"/>
            <w:hideMark/>
          </w:tcPr>
          <w:p w14:paraId="527C0441"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50.5</w:t>
            </w:r>
          </w:p>
        </w:tc>
        <w:tc>
          <w:tcPr>
            <w:tcW w:w="2130" w:type="dxa"/>
            <w:tcBorders>
              <w:top w:val="single" w:sz="4" w:space="0" w:color="auto"/>
              <w:left w:val="nil"/>
              <w:bottom w:val="single" w:sz="4" w:space="0" w:color="auto"/>
              <w:right w:val="single" w:sz="4" w:space="0" w:color="auto"/>
            </w:tcBorders>
            <w:vAlign w:val="center"/>
            <w:hideMark/>
          </w:tcPr>
          <w:p w14:paraId="7ABC0DFF"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175W Pulse Start Metal Halide</w:t>
            </w:r>
          </w:p>
        </w:tc>
        <w:tc>
          <w:tcPr>
            <w:tcW w:w="1584" w:type="dxa"/>
            <w:tcBorders>
              <w:top w:val="single" w:sz="4" w:space="0" w:color="auto"/>
              <w:left w:val="nil"/>
              <w:bottom w:val="single" w:sz="4" w:space="0" w:color="auto"/>
              <w:right w:val="single" w:sz="4" w:space="0" w:color="auto"/>
            </w:tcBorders>
            <w:noWrap/>
            <w:vAlign w:val="center"/>
            <w:hideMark/>
          </w:tcPr>
          <w:p w14:paraId="1B71EE6B"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198.9</w:t>
            </w:r>
          </w:p>
        </w:tc>
        <w:tc>
          <w:tcPr>
            <w:tcW w:w="1382" w:type="dxa"/>
            <w:tcBorders>
              <w:top w:val="single" w:sz="4" w:space="0" w:color="auto"/>
              <w:left w:val="single" w:sz="4" w:space="0" w:color="auto"/>
              <w:bottom w:val="single" w:sz="4" w:space="0" w:color="auto"/>
              <w:right w:val="single" w:sz="4" w:space="0" w:color="auto"/>
            </w:tcBorders>
            <w:noWrap/>
            <w:vAlign w:val="center"/>
            <w:hideMark/>
          </w:tcPr>
          <w:p w14:paraId="7CD43F3B"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$123.81</w:t>
            </w:r>
          </w:p>
        </w:tc>
      </w:tr>
      <w:tr w:rsidR="002815D4" w:rsidRPr="002815D4" w14:paraId="657D4F3E" w14:textId="77777777" w:rsidTr="00935A18">
        <w:trPr>
          <w:trHeight w:val="20"/>
          <w:jc w:val="center"/>
        </w:trPr>
        <w:tc>
          <w:tcPr>
            <w:tcW w:w="1324" w:type="dxa"/>
            <w:vMerge/>
            <w:tcBorders>
              <w:top w:val="single" w:sz="4" w:space="0" w:color="auto"/>
              <w:left w:val="single" w:sz="4" w:space="0" w:color="auto"/>
              <w:bottom w:val="single" w:sz="4" w:space="0" w:color="auto"/>
              <w:right w:val="single" w:sz="4" w:space="0" w:color="auto"/>
            </w:tcBorders>
            <w:vAlign w:val="center"/>
            <w:hideMark/>
          </w:tcPr>
          <w:p w14:paraId="6651EF18" w14:textId="77777777" w:rsidR="002815D4" w:rsidRPr="002815D4" w:rsidRDefault="002815D4" w:rsidP="002815D4">
            <w:pPr>
              <w:rPr>
                <w:rFonts w:ascii="Calibri" w:eastAsia="Calibri" w:hAnsi="Calibri" w:cs="Arial"/>
                <w:sz w:val="20"/>
                <w:szCs w:val="20"/>
              </w:rPr>
            </w:pPr>
          </w:p>
        </w:tc>
        <w:tc>
          <w:tcPr>
            <w:tcW w:w="1957" w:type="dxa"/>
            <w:tcBorders>
              <w:top w:val="single" w:sz="4" w:space="0" w:color="auto"/>
              <w:left w:val="nil"/>
              <w:bottom w:val="single" w:sz="4" w:space="0" w:color="auto"/>
              <w:right w:val="single" w:sz="4" w:space="0" w:color="auto"/>
            </w:tcBorders>
            <w:vAlign w:val="center"/>
            <w:hideMark/>
          </w:tcPr>
          <w:p w14:paraId="704E6207"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Exterior Fixtures, 10,001-15,000 lumens</w:t>
            </w:r>
          </w:p>
        </w:tc>
        <w:tc>
          <w:tcPr>
            <w:tcW w:w="1174" w:type="dxa"/>
            <w:tcBorders>
              <w:top w:val="single" w:sz="4" w:space="0" w:color="auto"/>
              <w:left w:val="single" w:sz="4" w:space="0" w:color="auto"/>
              <w:bottom w:val="single" w:sz="4" w:space="0" w:color="auto"/>
              <w:right w:val="single" w:sz="4" w:space="0" w:color="auto"/>
            </w:tcBorders>
            <w:noWrap/>
            <w:vAlign w:val="center"/>
            <w:hideMark/>
          </w:tcPr>
          <w:p w14:paraId="0A139F7B"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83.2</w:t>
            </w:r>
          </w:p>
        </w:tc>
        <w:tc>
          <w:tcPr>
            <w:tcW w:w="2130" w:type="dxa"/>
            <w:tcBorders>
              <w:top w:val="single" w:sz="4" w:space="0" w:color="auto"/>
              <w:left w:val="nil"/>
              <w:bottom w:val="single" w:sz="4" w:space="0" w:color="auto"/>
              <w:right w:val="single" w:sz="4" w:space="0" w:color="auto"/>
            </w:tcBorders>
            <w:vAlign w:val="center"/>
            <w:hideMark/>
          </w:tcPr>
          <w:p w14:paraId="2DD9EBC1"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250W Pulse Start Metal Halide</w:t>
            </w:r>
          </w:p>
        </w:tc>
        <w:tc>
          <w:tcPr>
            <w:tcW w:w="1584" w:type="dxa"/>
            <w:tcBorders>
              <w:top w:val="single" w:sz="4" w:space="0" w:color="auto"/>
              <w:left w:val="nil"/>
              <w:bottom w:val="single" w:sz="4" w:space="0" w:color="auto"/>
              <w:right w:val="single" w:sz="4" w:space="0" w:color="auto"/>
            </w:tcBorders>
            <w:noWrap/>
            <w:vAlign w:val="center"/>
            <w:hideMark/>
          </w:tcPr>
          <w:p w14:paraId="1C361C30"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284.1</w:t>
            </w:r>
          </w:p>
        </w:tc>
        <w:tc>
          <w:tcPr>
            <w:tcW w:w="1382" w:type="dxa"/>
            <w:tcBorders>
              <w:top w:val="single" w:sz="4" w:space="0" w:color="auto"/>
              <w:left w:val="single" w:sz="4" w:space="0" w:color="auto"/>
              <w:bottom w:val="single" w:sz="4" w:space="0" w:color="auto"/>
              <w:right w:val="single" w:sz="4" w:space="0" w:color="auto"/>
            </w:tcBorders>
            <w:noWrap/>
            <w:vAlign w:val="center"/>
            <w:hideMark/>
          </w:tcPr>
          <w:p w14:paraId="62E42571"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$134.35</w:t>
            </w:r>
          </w:p>
        </w:tc>
      </w:tr>
      <w:tr w:rsidR="002815D4" w:rsidRPr="002815D4" w14:paraId="5886CC31" w14:textId="77777777" w:rsidTr="00935A18">
        <w:trPr>
          <w:trHeight w:val="20"/>
          <w:jc w:val="center"/>
        </w:trPr>
        <w:tc>
          <w:tcPr>
            <w:tcW w:w="1324" w:type="dxa"/>
            <w:vMerge/>
            <w:tcBorders>
              <w:top w:val="single" w:sz="4" w:space="0" w:color="auto"/>
              <w:left w:val="single" w:sz="4" w:space="0" w:color="auto"/>
              <w:bottom w:val="single" w:sz="4" w:space="0" w:color="auto"/>
              <w:right w:val="single" w:sz="4" w:space="0" w:color="auto"/>
            </w:tcBorders>
            <w:vAlign w:val="center"/>
            <w:hideMark/>
          </w:tcPr>
          <w:p w14:paraId="1355ECA5" w14:textId="77777777" w:rsidR="002815D4" w:rsidRPr="002815D4" w:rsidRDefault="002815D4" w:rsidP="002815D4">
            <w:pPr>
              <w:rPr>
                <w:rFonts w:ascii="Calibri" w:eastAsia="Calibri" w:hAnsi="Calibri" w:cs="Arial"/>
                <w:sz w:val="20"/>
                <w:szCs w:val="20"/>
              </w:rPr>
            </w:pPr>
          </w:p>
        </w:tc>
        <w:tc>
          <w:tcPr>
            <w:tcW w:w="1957" w:type="dxa"/>
            <w:tcBorders>
              <w:top w:val="single" w:sz="4" w:space="0" w:color="auto"/>
              <w:left w:val="nil"/>
              <w:bottom w:val="single" w:sz="4" w:space="0" w:color="auto"/>
              <w:right w:val="single" w:sz="4" w:space="0" w:color="auto"/>
            </w:tcBorders>
            <w:vAlign w:val="center"/>
            <w:hideMark/>
          </w:tcPr>
          <w:p w14:paraId="626437BA"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Exterior Fixtures, 15,001-30,000 lumens</w:t>
            </w:r>
          </w:p>
        </w:tc>
        <w:tc>
          <w:tcPr>
            <w:tcW w:w="1174" w:type="dxa"/>
            <w:tcBorders>
              <w:top w:val="single" w:sz="4" w:space="0" w:color="auto"/>
              <w:left w:val="single" w:sz="4" w:space="0" w:color="auto"/>
              <w:bottom w:val="single" w:sz="4" w:space="0" w:color="auto"/>
              <w:right w:val="single" w:sz="4" w:space="0" w:color="auto"/>
            </w:tcBorders>
            <w:noWrap/>
            <w:vAlign w:val="center"/>
            <w:hideMark/>
          </w:tcPr>
          <w:p w14:paraId="39BAC6D8"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color w:val="000000"/>
                <w:sz w:val="20"/>
                <w:szCs w:val="20"/>
              </w:rPr>
              <w:t>141.5</w:t>
            </w:r>
          </w:p>
        </w:tc>
        <w:tc>
          <w:tcPr>
            <w:tcW w:w="2130" w:type="dxa"/>
            <w:tcBorders>
              <w:top w:val="single" w:sz="4" w:space="0" w:color="auto"/>
              <w:left w:val="nil"/>
              <w:bottom w:val="single" w:sz="4" w:space="0" w:color="auto"/>
              <w:right w:val="single" w:sz="4" w:space="0" w:color="auto"/>
            </w:tcBorders>
            <w:vAlign w:val="center"/>
            <w:hideMark/>
          </w:tcPr>
          <w:p w14:paraId="4D6B1200"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400W Pulse Start Metal Halide</w:t>
            </w:r>
          </w:p>
        </w:tc>
        <w:tc>
          <w:tcPr>
            <w:tcW w:w="1584" w:type="dxa"/>
            <w:tcBorders>
              <w:top w:val="single" w:sz="4" w:space="0" w:color="auto"/>
              <w:left w:val="nil"/>
              <w:bottom w:val="single" w:sz="4" w:space="0" w:color="auto"/>
              <w:right w:val="single" w:sz="4" w:space="0" w:color="auto"/>
            </w:tcBorders>
            <w:noWrap/>
            <w:vAlign w:val="center"/>
            <w:hideMark/>
          </w:tcPr>
          <w:p w14:paraId="1F9E796C"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454.5</w:t>
            </w:r>
          </w:p>
        </w:tc>
        <w:tc>
          <w:tcPr>
            <w:tcW w:w="1382" w:type="dxa"/>
            <w:tcBorders>
              <w:top w:val="single" w:sz="4" w:space="0" w:color="auto"/>
              <w:left w:val="single" w:sz="4" w:space="0" w:color="auto"/>
              <w:bottom w:val="single" w:sz="4" w:space="0" w:color="auto"/>
              <w:right w:val="single" w:sz="4" w:space="0" w:color="auto"/>
            </w:tcBorders>
            <w:noWrap/>
            <w:vAlign w:val="center"/>
            <w:hideMark/>
          </w:tcPr>
          <w:p w14:paraId="1DA4DB89"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$196.16</w:t>
            </w:r>
          </w:p>
        </w:tc>
      </w:tr>
      <w:tr w:rsidR="002815D4" w:rsidRPr="002815D4" w14:paraId="0B7FC594" w14:textId="77777777" w:rsidTr="00935A18">
        <w:trPr>
          <w:trHeight w:val="20"/>
          <w:jc w:val="center"/>
        </w:trPr>
        <w:tc>
          <w:tcPr>
            <w:tcW w:w="1324" w:type="dxa"/>
            <w:vMerge/>
            <w:tcBorders>
              <w:top w:val="single" w:sz="4" w:space="0" w:color="auto"/>
              <w:left w:val="single" w:sz="4" w:space="0" w:color="auto"/>
              <w:bottom w:val="single" w:sz="4" w:space="0" w:color="auto"/>
              <w:right w:val="single" w:sz="4" w:space="0" w:color="auto"/>
            </w:tcBorders>
            <w:vAlign w:val="center"/>
          </w:tcPr>
          <w:p w14:paraId="46546132" w14:textId="77777777" w:rsidR="002815D4" w:rsidRPr="002815D4" w:rsidRDefault="002815D4" w:rsidP="002815D4">
            <w:pPr>
              <w:rPr>
                <w:rFonts w:ascii="Calibri" w:eastAsia="Calibri" w:hAnsi="Calibri" w:cs="Arial"/>
                <w:sz w:val="20"/>
                <w:szCs w:val="20"/>
              </w:rPr>
            </w:pPr>
          </w:p>
        </w:tc>
        <w:tc>
          <w:tcPr>
            <w:tcW w:w="1957" w:type="dxa"/>
            <w:tcBorders>
              <w:top w:val="single" w:sz="4" w:space="0" w:color="auto"/>
              <w:left w:val="nil"/>
              <w:bottom w:val="single" w:sz="4" w:space="0" w:color="auto"/>
              <w:right w:val="single" w:sz="4" w:space="0" w:color="auto"/>
            </w:tcBorders>
            <w:vAlign w:val="center"/>
          </w:tcPr>
          <w:p w14:paraId="2E219C7F"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Exterior Fixtures, 30,001-40,000 lumens</w:t>
            </w:r>
          </w:p>
        </w:tc>
        <w:tc>
          <w:tcPr>
            <w:tcW w:w="1174" w:type="dxa"/>
            <w:tcBorders>
              <w:top w:val="single" w:sz="4" w:space="0" w:color="auto"/>
              <w:left w:val="single" w:sz="4" w:space="0" w:color="auto"/>
              <w:bottom w:val="single" w:sz="4" w:space="0" w:color="auto"/>
              <w:right w:val="single" w:sz="4" w:space="0" w:color="auto"/>
            </w:tcBorders>
            <w:noWrap/>
            <w:vAlign w:val="center"/>
          </w:tcPr>
          <w:p w14:paraId="5A7D8C1A"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Calibri"/>
                <w:color w:val="000000"/>
                <w:sz w:val="20"/>
                <w:szCs w:val="20"/>
              </w:rPr>
              <w:t>222.7</w:t>
            </w:r>
          </w:p>
        </w:tc>
        <w:tc>
          <w:tcPr>
            <w:tcW w:w="2130" w:type="dxa"/>
            <w:tcBorders>
              <w:top w:val="single" w:sz="4" w:space="0" w:color="auto"/>
              <w:left w:val="nil"/>
              <w:bottom w:val="single" w:sz="4" w:space="0" w:color="auto"/>
              <w:right w:val="single" w:sz="4" w:space="0" w:color="auto"/>
            </w:tcBorders>
            <w:vAlign w:val="center"/>
          </w:tcPr>
          <w:p w14:paraId="1D74A4BA"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750 W Metal Halide</w:t>
            </w:r>
          </w:p>
        </w:tc>
        <w:tc>
          <w:tcPr>
            <w:tcW w:w="1584" w:type="dxa"/>
            <w:tcBorders>
              <w:top w:val="single" w:sz="4" w:space="0" w:color="auto"/>
              <w:left w:val="nil"/>
              <w:bottom w:val="single" w:sz="4" w:space="0" w:color="auto"/>
              <w:right w:val="single" w:sz="4" w:space="0" w:color="auto"/>
            </w:tcBorders>
            <w:noWrap/>
            <w:vAlign w:val="center"/>
          </w:tcPr>
          <w:p w14:paraId="1EE040E6"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850</w:t>
            </w:r>
          </w:p>
        </w:tc>
        <w:tc>
          <w:tcPr>
            <w:tcW w:w="1382" w:type="dxa"/>
            <w:tcBorders>
              <w:top w:val="single" w:sz="4" w:space="0" w:color="auto"/>
              <w:left w:val="single" w:sz="4" w:space="0" w:color="auto"/>
              <w:bottom w:val="single" w:sz="4" w:space="0" w:color="auto"/>
              <w:right w:val="single" w:sz="4" w:space="0" w:color="auto"/>
            </w:tcBorders>
            <w:noWrap/>
            <w:vAlign w:val="center"/>
          </w:tcPr>
          <w:p w14:paraId="1C267C6B"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Calibri"/>
                <w:sz w:val="20"/>
                <w:szCs w:val="20"/>
              </w:rPr>
              <w:t>$238.18</w:t>
            </w:r>
          </w:p>
        </w:tc>
      </w:tr>
      <w:tr w:rsidR="002815D4" w:rsidRPr="002815D4" w14:paraId="51C765C1" w14:textId="77777777" w:rsidTr="00935A18">
        <w:trPr>
          <w:trHeight w:val="20"/>
          <w:jc w:val="center"/>
        </w:trPr>
        <w:tc>
          <w:tcPr>
            <w:tcW w:w="1324" w:type="dxa"/>
            <w:vMerge/>
            <w:tcBorders>
              <w:top w:val="single" w:sz="4" w:space="0" w:color="auto"/>
              <w:left w:val="single" w:sz="4" w:space="0" w:color="auto"/>
              <w:bottom w:val="single" w:sz="4" w:space="0" w:color="auto"/>
              <w:right w:val="single" w:sz="4" w:space="0" w:color="auto"/>
            </w:tcBorders>
            <w:vAlign w:val="center"/>
          </w:tcPr>
          <w:p w14:paraId="3FCB74CA" w14:textId="77777777" w:rsidR="002815D4" w:rsidRPr="002815D4" w:rsidRDefault="002815D4" w:rsidP="002815D4">
            <w:pPr>
              <w:rPr>
                <w:rFonts w:ascii="Calibri" w:eastAsia="Calibri" w:hAnsi="Calibri" w:cs="Arial"/>
                <w:sz w:val="20"/>
                <w:szCs w:val="20"/>
              </w:rPr>
            </w:pPr>
          </w:p>
        </w:tc>
        <w:tc>
          <w:tcPr>
            <w:tcW w:w="1957" w:type="dxa"/>
            <w:tcBorders>
              <w:top w:val="single" w:sz="4" w:space="0" w:color="auto"/>
              <w:left w:val="nil"/>
              <w:bottom w:val="single" w:sz="4" w:space="0" w:color="auto"/>
              <w:right w:val="single" w:sz="4" w:space="0" w:color="auto"/>
            </w:tcBorders>
            <w:vAlign w:val="center"/>
          </w:tcPr>
          <w:p w14:paraId="7B4C41CB"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Exterior Fixtures, 40,001-50,000 lumens</w:t>
            </w:r>
          </w:p>
        </w:tc>
        <w:tc>
          <w:tcPr>
            <w:tcW w:w="1174" w:type="dxa"/>
            <w:tcBorders>
              <w:top w:val="single" w:sz="4" w:space="0" w:color="auto"/>
              <w:left w:val="single" w:sz="4" w:space="0" w:color="auto"/>
              <w:bottom w:val="single" w:sz="4" w:space="0" w:color="auto"/>
              <w:right w:val="single" w:sz="4" w:space="0" w:color="auto"/>
            </w:tcBorders>
            <w:noWrap/>
            <w:vAlign w:val="center"/>
          </w:tcPr>
          <w:p w14:paraId="378515D6"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Calibri"/>
                <w:color w:val="000000"/>
                <w:sz w:val="20"/>
                <w:szCs w:val="20"/>
              </w:rPr>
              <w:t>280.4</w:t>
            </w:r>
          </w:p>
        </w:tc>
        <w:tc>
          <w:tcPr>
            <w:tcW w:w="2130" w:type="dxa"/>
            <w:tcBorders>
              <w:top w:val="single" w:sz="4" w:space="0" w:color="auto"/>
              <w:left w:val="nil"/>
              <w:bottom w:val="single" w:sz="4" w:space="0" w:color="auto"/>
              <w:right w:val="single" w:sz="4" w:space="0" w:color="auto"/>
            </w:tcBorders>
            <w:vAlign w:val="center"/>
          </w:tcPr>
          <w:p w14:paraId="07A38DC9"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1000 W Metal Halide</w:t>
            </w:r>
          </w:p>
        </w:tc>
        <w:tc>
          <w:tcPr>
            <w:tcW w:w="1584" w:type="dxa"/>
            <w:tcBorders>
              <w:top w:val="single" w:sz="4" w:space="0" w:color="auto"/>
              <w:left w:val="nil"/>
              <w:bottom w:val="single" w:sz="4" w:space="0" w:color="auto"/>
              <w:right w:val="single" w:sz="4" w:space="0" w:color="auto"/>
            </w:tcBorders>
            <w:noWrap/>
            <w:vAlign w:val="center"/>
          </w:tcPr>
          <w:p w14:paraId="2882FFBC"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1080</w:t>
            </w:r>
          </w:p>
        </w:tc>
        <w:tc>
          <w:tcPr>
            <w:tcW w:w="1382" w:type="dxa"/>
            <w:tcBorders>
              <w:top w:val="single" w:sz="4" w:space="0" w:color="auto"/>
              <w:left w:val="single" w:sz="4" w:space="0" w:color="auto"/>
              <w:bottom w:val="single" w:sz="4" w:space="0" w:color="auto"/>
              <w:right w:val="single" w:sz="4" w:space="0" w:color="auto"/>
            </w:tcBorders>
            <w:noWrap/>
            <w:vAlign w:val="center"/>
          </w:tcPr>
          <w:p w14:paraId="44998D1D"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Calibri"/>
                <w:sz w:val="20"/>
                <w:szCs w:val="20"/>
              </w:rPr>
              <w:t>$319.31</w:t>
            </w:r>
          </w:p>
        </w:tc>
      </w:tr>
      <w:tr w:rsidR="002815D4" w:rsidRPr="002815D4" w14:paraId="2F234341" w14:textId="77777777" w:rsidTr="00935A18">
        <w:trPr>
          <w:trHeight w:val="20"/>
          <w:jc w:val="center"/>
        </w:trPr>
        <w:tc>
          <w:tcPr>
            <w:tcW w:w="1324" w:type="dxa"/>
            <w:vMerge/>
            <w:tcBorders>
              <w:top w:val="single" w:sz="4" w:space="0" w:color="auto"/>
              <w:left w:val="single" w:sz="4" w:space="0" w:color="auto"/>
              <w:bottom w:val="single" w:sz="4" w:space="0" w:color="auto"/>
              <w:right w:val="single" w:sz="4" w:space="0" w:color="auto"/>
            </w:tcBorders>
            <w:vAlign w:val="center"/>
          </w:tcPr>
          <w:p w14:paraId="69977D3E" w14:textId="77777777" w:rsidR="002815D4" w:rsidRPr="002815D4" w:rsidRDefault="002815D4" w:rsidP="002815D4">
            <w:pPr>
              <w:rPr>
                <w:rFonts w:ascii="Calibri" w:eastAsia="Calibri" w:hAnsi="Calibri" w:cs="Arial"/>
                <w:sz w:val="20"/>
                <w:szCs w:val="20"/>
              </w:rPr>
            </w:pPr>
          </w:p>
        </w:tc>
        <w:tc>
          <w:tcPr>
            <w:tcW w:w="1957" w:type="dxa"/>
            <w:tcBorders>
              <w:top w:val="single" w:sz="4" w:space="0" w:color="auto"/>
              <w:left w:val="nil"/>
              <w:bottom w:val="single" w:sz="4" w:space="0" w:color="auto"/>
              <w:right w:val="single" w:sz="4" w:space="0" w:color="auto"/>
            </w:tcBorders>
            <w:vAlign w:val="center"/>
          </w:tcPr>
          <w:p w14:paraId="73ACB572"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Exterior Fixtures, &gt; 50,000 lumens</w:t>
            </w:r>
          </w:p>
        </w:tc>
        <w:tc>
          <w:tcPr>
            <w:tcW w:w="1174" w:type="dxa"/>
            <w:tcBorders>
              <w:top w:val="single" w:sz="4" w:space="0" w:color="auto"/>
              <w:left w:val="single" w:sz="4" w:space="0" w:color="auto"/>
              <w:bottom w:val="single" w:sz="4" w:space="0" w:color="auto"/>
              <w:right w:val="single" w:sz="4" w:space="0" w:color="auto"/>
            </w:tcBorders>
            <w:noWrap/>
            <w:vAlign w:val="center"/>
          </w:tcPr>
          <w:p w14:paraId="43B9D545"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Calibri"/>
                <w:color w:val="000000"/>
                <w:sz w:val="20"/>
                <w:szCs w:val="20"/>
              </w:rPr>
              <w:t>513.9</w:t>
            </w:r>
          </w:p>
        </w:tc>
        <w:tc>
          <w:tcPr>
            <w:tcW w:w="2130" w:type="dxa"/>
            <w:tcBorders>
              <w:top w:val="single" w:sz="4" w:space="0" w:color="auto"/>
              <w:left w:val="nil"/>
              <w:bottom w:val="single" w:sz="4" w:space="0" w:color="auto"/>
              <w:right w:val="single" w:sz="4" w:space="0" w:color="auto"/>
            </w:tcBorders>
            <w:vAlign w:val="center"/>
          </w:tcPr>
          <w:p w14:paraId="4B377F79"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1500 W Metal Halide</w:t>
            </w:r>
            <w:r w:rsidRPr="002815D4" w:rsidDel="0062059E">
              <w:rPr>
                <w:rFonts w:ascii="Calibri" w:eastAsia="Calibri" w:hAnsi="Calibri" w:cs="Arial"/>
                <w:sz w:val="20"/>
                <w:szCs w:val="20"/>
              </w:rPr>
              <w:t xml:space="preserve"> </w:t>
            </w:r>
          </w:p>
        </w:tc>
        <w:tc>
          <w:tcPr>
            <w:tcW w:w="1584" w:type="dxa"/>
            <w:tcBorders>
              <w:top w:val="single" w:sz="4" w:space="0" w:color="auto"/>
              <w:left w:val="nil"/>
              <w:bottom w:val="single" w:sz="4" w:space="0" w:color="auto"/>
              <w:right w:val="single" w:sz="4" w:space="0" w:color="auto"/>
            </w:tcBorders>
            <w:noWrap/>
            <w:vAlign w:val="center"/>
          </w:tcPr>
          <w:p w14:paraId="2B2222C5"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1610</w:t>
            </w:r>
          </w:p>
        </w:tc>
        <w:tc>
          <w:tcPr>
            <w:tcW w:w="1382" w:type="dxa"/>
            <w:tcBorders>
              <w:top w:val="single" w:sz="4" w:space="0" w:color="auto"/>
              <w:left w:val="single" w:sz="4" w:space="0" w:color="auto"/>
              <w:bottom w:val="single" w:sz="4" w:space="0" w:color="auto"/>
              <w:right w:val="single" w:sz="4" w:space="0" w:color="auto"/>
            </w:tcBorders>
            <w:noWrap/>
            <w:vAlign w:val="center"/>
          </w:tcPr>
          <w:p w14:paraId="579CA2ED" w14:textId="77777777" w:rsidR="002815D4" w:rsidRPr="002815D4" w:rsidRDefault="002815D4" w:rsidP="002815D4">
            <w:pPr>
              <w:jc w:val="center"/>
              <w:rPr>
                <w:rFonts w:ascii="Calibri" w:eastAsia="Calibri" w:hAnsi="Calibri" w:cs="Calibri"/>
                <w:sz w:val="20"/>
                <w:szCs w:val="20"/>
              </w:rPr>
            </w:pPr>
            <w:r w:rsidRPr="002815D4">
              <w:rPr>
                <w:rFonts w:ascii="Calibri" w:eastAsia="Calibri" w:hAnsi="Calibri" w:cs="Arial"/>
                <w:sz w:val="20"/>
                <w:szCs w:val="20"/>
              </w:rPr>
              <w:t>$1094.74</w:t>
            </w:r>
          </w:p>
        </w:tc>
      </w:tr>
      <w:tr w:rsidR="002815D4" w:rsidRPr="002815D4" w14:paraId="0D7CC0A7" w14:textId="77777777" w:rsidTr="00935A18">
        <w:trPr>
          <w:trHeight w:val="20"/>
          <w:jc w:val="center"/>
        </w:trPr>
        <w:tc>
          <w:tcPr>
            <w:tcW w:w="1324" w:type="dxa"/>
            <w:vMerge w:val="restart"/>
            <w:tcBorders>
              <w:top w:val="single" w:sz="4" w:space="0" w:color="auto"/>
              <w:left w:val="single" w:sz="4" w:space="0" w:color="auto"/>
              <w:right w:val="single" w:sz="4" w:space="0" w:color="auto"/>
            </w:tcBorders>
            <w:vAlign w:val="center"/>
          </w:tcPr>
          <w:p w14:paraId="76D7D054" w14:textId="77777777" w:rsidR="002815D4" w:rsidRPr="002815D4" w:rsidRDefault="002815D4" w:rsidP="002815D4">
            <w:pPr>
              <w:spacing w:line="256" w:lineRule="auto"/>
              <w:rPr>
                <w:rFonts w:ascii="Calibri" w:eastAsia="Calibri" w:hAnsi="Calibri" w:cs="Arial"/>
                <w:sz w:val="20"/>
                <w:szCs w:val="20"/>
              </w:rPr>
            </w:pPr>
            <w:r w:rsidRPr="002815D4">
              <w:rPr>
                <w:rFonts w:ascii="Calibri" w:eastAsia="Calibri" w:hAnsi="Calibri" w:cs="Arial"/>
                <w:sz w:val="20"/>
                <w:szCs w:val="20"/>
              </w:rPr>
              <w:t>LED Mogul Base HID Replacement Lamps</w:t>
            </w:r>
          </w:p>
          <w:p w14:paraId="50601DCD"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(if unknown, assume Type B)</w:t>
            </w:r>
          </w:p>
        </w:tc>
        <w:tc>
          <w:tcPr>
            <w:tcW w:w="1957" w:type="dxa"/>
            <w:tcBorders>
              <w:top w:val="single" w:sz="4" w:space="0" w:color="auto"/>
              <w:left w:val="nil"/>
              <w:bottom w:val="single" w:sz="4" w:space="0" w:color="auto"/>
              <w:right w:val="single" w:sz="4" w:space="0" w:color="auto"/>
            </w:tcBorders>
            <w:vAlign w:val="center"/>
          </w:tcPr>
          <w:p w14:paraId="126421E9"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Mogul Base HID Replacement Lamp, &lt;= 5,000 lumens</w:t>
            </w:r>
          </w:p>
        </w:tc>
        <w:tc>
          <w:tcPr>
            <w:tcW w:w="1174" w:type="dxa"/>
            <w:tcBorders>
              <w:top w:val="single" w:sz="4" w:space="0" w:color="auto"/>
              <w:left w:val="single" w:sz="4" w:space="0" w:color="auto"/>
              <w:bottom w:val="single" w:sz="4" w:space="0" w:color="auto"/>
              <w:right w:val="single" w:sz="4" w:space="0" w:color="auto"/>
            </w:tcBorders>
            <w:noWrap/>
            <w:vAlign w:val="center"/>
          </w:tcPr>
          <w:p w14:paraId="2675925B" w14:textId="77777777" w:rsidR="002815D4" w:rsidRPr="002815D4" w:rsidRDefault="002815D4" w:rsidP="002815D4">
            <w:pPr>
              <w:jc w:val="center"/>
              <w:rPr>
                <w:rFonts w:ascii="Calibri" w:eastAsia="Calibri" w:hAnsi="Calibri" w:cs="Calibri"/>
                <w:color w:val="000000"/>
              </w:rPr>
            </w:pPr>
            <w:r w:rsidRPr="002815D4">
              <w:rPr>
                <w:rFonts w:ascii="Calibri" w:eastAsia="Calibri" w:hAnsi="Calibri" w:cs="Calibri"/>
                <w:color w:val="000000"/>
                <w:sz w:val="20"/>
                <w:szCs w:val="20"/>
              </w:rPr>
              <w:t>27.2</w:t>
            </w:r>
          </w:p>
        </w:tc>
        <w:tc>
          <w:tcPr>
            <w:tcW w:w="2130" w:type="dxa"/>
            <w:tcBorders>
              <w:top w:val="single" w:sz="4" w:space="0" w:color="auto"/>
              <w:left w:val="nil"/>
              <w:bottom w:val="single" w:sz="4" w:space="0" w:color="auto"/>
              <w:right w:val="single" w:sz="4" w:space="0" w:color="auto"/>
            </w:tcBorders>
            <w:vAlign w:val="center"/>
          </w:tcPr>
          <w:p w14:paraId="077C7512"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100W Metal Halide</w:t>
            </w:r>
          </w:p>
        </w:tc>
        <w:tc>
          <w:tcPr>
            <w:tcW w:w="1584" w:type="dxa"/>
            <w:tcBorders>
              <w:top w:val="single" w:sz="4" w:space="0" w:color="auto"/>
              <w:left w:val="nil"/>
              <w:bottom w:val="single" w:sz="4" w:space="0" w:color="auto"/>
              <w:right w:val="single" w:sz="4" w:space="0" w:color="auto"/>
            </w:tcBorders>
            <w:noWrap/>
            <w:vAlign w:val="center"/>
          </w:tcPr>
          <w:p w14:paraId="4CA3D601" w14:textId="77777777" w:rsidR="002815D4" w:rsidRPr="002815D4" w:rsidRDefault="002815D4" w:rsidP="002815D4">
            <w:pPr>
              <w:spacing w:line="256" w:lineRule="auto"/>
              <w:jc w:val="center"/>
              <w:rPr>
                <w:rFonts w:ascii="Calibri" w:eastAsia="Calibri" w:hAnsi="Calibri" w:cs="Arial"/>
                <w:sz w:val="20"/>
                <w:szCs w:val="20"/>
              </w:rPr>
            </w:pPr>
            <w:r w:rsidRPr="002815D4">
              <w:rPr>
                <w:rFonts w:ascii="Calibri" w:eastAsia="Calibri" w:hAnsi="Calibri" w:cs="Arial"/>
                <w:sz w:val="20"/>
                <w:szCs w:val="20"/>
              </w:rPr>
              <w:t>100 (Type A)</w:t>
            </w:r>
          </w:p>
          <w:p w14:paraId="4455D37B"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113.6 (Type B)</w:t>
            </w:r>
          </w:p>
        </w:tc>
        <w:tc>
          <w:tcPr>
            <w:tcW w:w="1382" w:type="dxa"/>
            <w:tcBorders>
              <w:top w:val="single" w:sz="4" w:space="0" w:color="auto"/>
              <w:left w:val="single" w:sz="4" w:space="0" w:color="auto"/>
              <w:bottom w:val="single" w:sz="4" w:space="0" w:color="auto"/>
              <w:right w:val="single" w:sz="4" w:space="0" w:color="auto"/>
            </w:tcBorders>
            <w:noWrap/>
            <w:vAlign w:val="center"/>
          </w:tcPr>
          <w:p w14:paraId="2B9EFDD6"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$68</w:t>
            </w:r>
          </w:p>
        </w:tc>
      </w:tr>
      <w:tr w:rsidR="002815D4" w:rsidRPr="002815D4" w14:paraId="5F3067E8" w14:textId="77777777" w:rsidTr="00935A18">
        <w:trPr>
          <w:trHeight w:val="20"/>
          <w:jc w:val="center"/>
        </w:trPr>
        <w:tc>
          <w:tcPr>
            <w:tcW w:w="1324" w:type="dxa"/>
            <w:vMerge/>
            <w:tcBorders>
              <w:left w:val="single" w:sz="4" w:space="0" w:color="auto"/>
              <w:right w:val="single" w:sz="4" w:space="0" w:color="auto"/>
            </w:tcBorders>
            <w:vAlign w:val="center"/>
          </w:tcPr>
          <w:p w14:paraId="05F78C35" w14:textId="77777777" w:rsidR="002815D4" w:rsidRPr="002815D4" w:rsidRDefault="002815D4" w:rsidP="002815D4">
            <w:pPr>
              <w:rPr>
                <w:rFonts w:ascii="Calibri" w:eastAsia="Calibri" w:hAnsi="Calibri" w:cs="Arial"/>
                <w:sz w:val="20"/>
                <w:szCs w:val="20"/>
              </w:rPr>
            </w:pPr>
          </w:p>
        </w:tc>
        <w:tc>
          <w:tcPr>
            <w:tcW w:w="1957" w:type="dxa"/>
            <w:tcBorders>
              <w:top w:val="single" w:sz="4" w:space="0" w:color="auto"/>
              <w:left w:val="nil"/>
              <w:bottom w:val="single" w:sz="4" w:space="0" w:color="auto"/>
              <w:right w:val="single" w:sz="4" w:space="0" w:color="auto"/>
            </w:tcBorders>
            <w:vAlign w:val="center"/>
          </w:tcPr>
          <w:p w14:paraId="04CA6FF3"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Mogul Base HID Replacement Lamp, 5,001-10,000 lumens</w:t>
            </w:r>
          </w:p>
        </w:tc>
        <w:tc>
          <w:tcPr>
            <w:tcW w:w="1174" w:type="dxa"/>
            <w:tcBorders>
              <w:top w:val="single" w:sz="4" w:space="0" w:color="auto"/>
              <w:left w:val="single" w:sz="4" w:space="0" w:color="auto"/>
              <w:bottom w:val="single" w:sz="4" w:space="0" w:color="auto"/>
              <w:right w:val="single" w:sz="4" w:space="0" w:color="auto"/>
            </w:tcBorders>
            <w:noWrap/>
            <w:vAlign w:val="center"/>
          </w:tcPr>
          <w:p w14:paraId="65357493" w14:textId="77777777" w:rsidR="002815D4" w:rsidRPr="002815D4" w:rsidRDefault="002815D4" w:rsidP="002815D4">
            <w:pPr>
              <w:jc w:val="center"/>
              <w:rPr>
                <w:rFonts w:ascii="Calibri" w:eastAsia="Calibri" w:hAnsi="Calibri" w:cs="Calibri"/>
                <w:color w:val="000000"/>
              </w:rPr>
            </w:pPr>
            <w:r w:rsidRPr="002815D4">
              <w:rPr>
                <w:rFonts w:ascii="Calibri" w:eastAsia="Calibri" w:hAnsi="Calibri" w:cs="Calibri"/>
                <w:color w:val="000000"/>
                <w:sz w:val="20"/>
                <w:szCs w:val="20"/>
              </w:rPr>
              <w:t>56.1</w:t>
            </w:r>
          </w:p>
        </w:tc>
        <w:tc>
          <w:tcPr>
            <w:tcW w:w="2130" w:type="dxa"/>
            <w:tcBorders>
              <w:top w:val="single" w:sz="4" w:space="0" w:color="auto"/>
              <w:left w:val="nil"/>
              <w:bottom w:val="single" w:sz="4" w:space="0" w:color="auto"/>
              <w:right w:val="single" w:sz="4" w:space="0" w:color="auto"/>
            </w:tcBorders>
            <w:vAlign w:val="center"/>
          </w:tcPr>
          <w:p w14:paraId="4EC60730"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175W Pulse Start Metal Halide</w:t>
            </w:r>
          </w:p>
        </w:tc>
        <w:tc>
          <w:tcPr>
            <w:tcW w:w="1584" w:type="dxa"/>
            <w:tcBorders>
              <w:top w:val="single" w:sz="4" w:space="0" w:color="auto"/>
              <w:left w:val="nil"/>
              <w:bottom w:val="single" w:sz="4" w:space="0" w:color="auto"/>
              <w:right w:val="single" w:sz="4" w:space="0" w:color="auto"/>
            </w:tcBorders>
            <w:noWrap/>
            <w:vAlign w:val="center"/>
          </w:tcPr>
          <w:p w14:paraId="1E0EA9D6" w14:textId="77777777" w:rsidR="002815D4" w:rsidRPr="002815D4" w:rsidRDefault="002815D4" w:rsidP="002815D4">
            <w:pPr>
              <w:spacing w:line="256" w:lineRule="auto"/>
              <w:jc w:val="center"/>
              <w:rPr>
                <w:rFonts w:ascii="Calibri" w:eastAsia="Calibri" w:hAnsi="Calibri" w:cs="Arial"/>
                <w:sz w:val="20"/>
                <w:szCs w:val="20"/>
              </w:rPr>
            </w:pPr>
            <w:r w:rsidRPr="002815D4">
              <w:rPr>
                <w:rFonts w:ascii="Calibri" w:eastAsia="Calibri" w:hAnsi="Calibri" w:cs="Arial"/>
                <w:sz w:val="20"/>
                <w:szCs w:val="20"/>
              </w:rPr>
              <w:t>175 (Type A)</w:t>
            </w:r>
          </w:p>
          <w:p w14:paraId="339631B6"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198.9 (Type B)</w:t>
            </w:r>
          </w:p>
        </w:tc>
        <w:tc>
          <w:tcPr>
            <w:tcW w:w="1382" w:type="dxa"/>
            <w:tcBorders>
              <w:top w:val="single" w:sz="4" w:space="0" w:color="auto"/>
              <w:left w:val="single" w:sz="4" w:space="0" w:color="auto"/>
              <w:bottom w:val="single" w:sz="4" w:space="0" w:color="auto"/>
              <w:right w:val="single" w:sz="4" w:space="0" w:color="auto"/>
            </w:tcBorders>
            <w:noWrap/>
            <w:vAlign w:val="center"/>
          </w:tcPr>
          <w:p w14:paraId="23FDEB16"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$60</w:t>
            </w:r>
          </w:p>
        </w:tc>
      </w:tr>
      <w:tr w:rsidR="002815D4" w:rsidRPr="002815D4" w14:paraId="789C886B" w14:textId="77777777" w:rsidTr="00935A18">
        <w:trPr>
          <w:trHeight w:val="20"/>
          <w:jc w:val="center"/>
        </w:trPr>
        <w:tc>
          <w:tcPr>
            <w:tcW w:w="1324" w:type="dxa"/>
            <w:vMerge/>
            <w:tcBorders>
              <w:left w:val="single" w:sz="4" w:space="0" w:color="auto"/>
              <w:right w:val="single" w:sz="4" w:space="0" w:color="auto"/>
            </w:tcBorders>
            <w:vAlign w:val="center"/>
          </w:tcPr>
          <w:p w14:paraId="5F0F22F8" w14:textId="77777777" w:rsidR="002815D4" w:rsidRPr="002815D4" w:rsidRDefault="002815D4" w:rsidP="002815D4">
            <w:pPr>
              <w:rPr>
                <w:rFonts w:ascii="Calibri" w:eastAsia="Calibri" w:hAnsi="Calibri" w:cs="Arial"/>
                <w:sz w:val="20"/>
                <w:szCs w:val="20"/>
              </w:rPr>
            </w:pPr>
          </w:p>
        </w:tc>
        <w:tc>
          <w:tcPr>
            <w:tcW w:w="1957" w:type="dxa"/>
            <w:tcBorders>
              <w:top w:val="single" w:sz="4" w:space="0" w:color="auto"/>
              <w:left w:val="nil"/>
              <w:bottom w:val="single" w:sz="4" w:space="0" w:color="auto"/>
              <w:right w:val="single" w:sz="4" w:space="0" w:color="auto"/>
            </w:tcBorders>
            <w:vAlign w:val="center"/>
          </w:tcPr>
          <w:p w14:paraId="62BD6F50"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Mogul Base HID Replacement Lamp, 10,001-15,000 lumens</w:t>
            </w:r>
          </w:p>
        </w:tc>
        <w:tc>
          <w:tcPr>
            <w:tcW w:w="1174" w:type="dxa"/>
            <w:tcBorders>
              <w:top w:val="single" w:sz="4" w:space="0" w:color="auto"/>
              <w:left w:val="single" w:sz="4" w:space="0" w:color="auto"/>
              <w:bottom w:val="single" w:sz="4" w:space="0" w:color="auto"/>
              <w:right w:val="single" w:sz="4" w:space="0" w:color="auto"/>
            </w:tcBorders>
            <w:noWrap/>
            <w:vAlign w:val="center"/>
          </w:tcPr>
          <w:p w14:paraId="18644D7F" w14:textId="77777777" w:rsidR="002815D4" w:rsidRPr="002815D4" w:rsidRDefault="002815D4" w:rsidP="002815D4">
            <w:pPr>
              <w:jc w:val="center"/>
              <w:rPr>
                <w:rFonts w:ascii="Calibri" w:eastAsia="Calibri" w:hAnsi="Calibri" w:cs="Calibri"/>
                <w:color w:val="000000"/>
              </w:rPr>
            </w:pPr>
            <w:r w:rsidRPr="002815D4">
              <w:rPr>
                <w:rFonts w:ascii="Calibri" w:eastAsia="Calibri" w:hAnsi="Calibri" w:cs="Calibri"/>
                <w:color w:val="000000"/>
                <w:sz w:val="20"/>
                <w:szCs w:val="20"/>
              </w:rPr>
              <w:t>88.6</w:t>
            </w:r>
          </w:p>
        </w:tc>
        <w:tc>
          <w:tcPr>
            <w:tcW w:w="2130" w:type="dxa"/>
            <w:tcBorders>
              <w:top w:val="single" w:sz="4" w:space="0" w:color="auto"/>
              <w:left w:val="nil"/>
              <w:bottom w:val="single" w:sz="4" w:space="0" w:color="auto"/>
              <w:right w:val="single" w:sz="4" w:space="0" w:color="auto"/>
            </w:tcBorders>
            <w:vAlign w:val="center"/>
          </w:tcPr>
          <w:p w14:paraId="5AFDB729"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250W Pulse Start Metal Halide</w:t>
            </w:r>
          </w:p>
        </w:tc>
        <w:tc>
          <w:tcPr>
            <w:tcW w:w="1584" w:type="dxa"/>
            <w:tcBorders>
              <w:top w:val="single" w:sz="4" w:space="0" w:color="auto"/>
              <w:left w:val="nil"/>
              <w:bottom w:val="single" w:sz="4" w:space="0" w:color="auto"/>
              <w:right w:val="single" w:sz="4" w:space="0" w:color="auto"/>
            </w:tcBorders>
            <w:noWrap/>
            <w:vAlign w:val="center"/>
          </w:tcPr>
          <w:p w14:paraId="5268784F" w14:textId="77777777" w:rsidR="002815D4" w:rsidRPr="002815D4" w:rsidRDefault="002815D4" w:rsidP="002815D4">
            <w:pPr>
              <w:spacing w:line="256" w:lineRule="auto"/>
              <w:jc w:val="center"/>
              <w:rPr>
                <w:rFonts w:ascii="Calibri" w:eastAsia="Calibri" w:hAnsi="Calibri" w:cs="Arial"/>
                <w:sz w:val="20"/>
                <w:szCs w:val="20"/>
              </w:rPr>
            </w:pPr>
            <w:r w:rsidRPr="002815D4">
              <w:rPr>
                <w:rFonts w:ascii="Calibri" w:eastAsia="Calibri" w:hAnsi="Calibri" w:cs="Arial"/>
                <w:sz w:val="20"/>
                <w:szCs w:val="20"/>
              </w:rPr>
              <w:t>250 (Type A)</w:t>
            </w:r>
          </w:p>
          <w:p w14:paraId="0CDC556E"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284.1 (Type B)</w:t>
            </w:r>
          </w:p>
        </w:tc>
        <w:tc>
          <w:tcPr>
            <w:tcW w:w="1382" w:type="dxa"/>
            <w:tcBorders>
              <w:top w:val="single" w:sz="4" w:space="0" w:color="auto"/>
              <w:left w:val="single" w:sz="4" w:space="0" w:color="auto"/>
              <w:bottom w:val="single" w:sz="4" w:space="0" w:color="auto"/>
              <w:right w:val="single" w:sz="4" w:space="0" w:color="auto"/>
            </w:tcBorders>
            <w:noWrap/>
            <w:vAlign w:val="center"/>
          </w:tcPr>
          <w:p w14:paraId="7BC6118F"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$129</w:t>
            </w:r>
          </w:p>
        </w:tc>
      </w:tr>
      <w:tr w:rsidR="002815D4" w:rsidRPr="002815D4" w14:paraId="13B893DA" w14:textId="77777777" w:rsidTr="00935A18">
        <w:trPr>
          <w:trHeight w:val="20"/>
          <w:jc w:val="center"/>
        </w:trPr>
        <w:tc>
          <w:tcPr>
            <w:tcW w:w="1324" w:type="dxa"/>
            <w:vMerge/>
            <w:tcBorders>
              <w:left w:val="single" w:sz="4" w:space="0" w:color="auto"/>
              <w:right w:val="single" w:sz="4" w:space="0" w:color="auto"/>
            </w:tcBorders>
            <w:vAlign w:val="center"/>
          </w:tcPr>
          <w:p w14:paraId="282A593F" w14:textId="77777777" w:rsidR="002815D4" w:rsidRPr="002815D4" w:rsidRDefault="002815D4" w:rsidP="002815D4">
            <w:pPr>
              <w:rPr>
                <w:rFonts w:ascii="Calibri" w:eastAsia="Calibri" w:hAnsi="Calibri" w:cs="Arial"/>
                <w:sz w:val="20"/>
                <w:szCs w:val="20"/>
              </w:rPr>
            </w:pPr>
          </w:p>
        </w:tc>
        <w:tc>
          <w:tcPr>
            <w:tcW w:w="1957" w:type="dxa"/>
            <w:tcBorders>
              <w:top w:val="single" w:sz="4" w:space="0" w:color="auto"/>
              <w:left w:val="nil"/>
              <w:bottom w:val="single" w:sz="4" w:space="0" w:color="auto"/>
              <w:right w:val="single" w:sz="4" w:space="0" w:color="auto"/>
            </w:tcBorders>
            <w:vAlign w:val="center"/>
          </w:tcPr>
          <w:p w14:paraId="7BAEA0C5"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Mogul Base HID Replacement Lamp, 15,001-30,000 lumens</w:t>
            </w:r>
          </w:p>
        </w:tc>
        <w:tc>
          <w:tcPr>
            <w:tcW w:w="1174" w:type="dxa"/>
            <w:tcBorders>
              <w:top w:val="single" w:sz="4" w:space="0" w:color="auto"/>
              <w:left w:val="single" w:sz="4" w:space="0" w:color="auto"/>
              <w:bottom w:val="single" w:sz="4" w:space="0" w:color="auto"/>
              <w:right w:val="single" w:sz="4" w:space="0" w:color="auto"/>
            </w:tcBorders>
            <w:noWrap/>
            <w:vAlign w:val="center"/>
          </w:tcPr>
          <w:p w14:paraId="755AB26E" w14:textId="77777777" w:rsidR="002815D4" w:rsidRPr="002815D4" w:rsidRDefault="002815D4" w:rsidP="002815D4">
            <w:pPr>
              <w:jc w:val="center"/>
              <w:rPr>
                <w:rFonts w:ascii="Calibri" w:eastAsia="Calibri" w:hAnsi="Calibri" w:cs="Calibri"/>
                <w:color w:val="000000"/>
              </w:rPr>
            </w:pPr>
            <w:r w:rsidRPr="002815D4">
              <w:rPr>
                <w:rFonts w:ascii="Calibri" w:eastAsia="Calibri" w:hAnsi="Calibri" w:cs="Calibri"/>
                <w:color w:val="000000"/>
                <w:sz w:val="20"/>
                <w:szCs w:val="20"/>
              </w:rPr>
              <w:t>123.7</w:t>
            </w:r>
          </w:p>
        </w:tc>
        <w:tc>
          <w:tcPr>
            <w:tcW w:w="2130" w:type="dxa"/>
            <w:tcBorders>
              <w:top w:val="single" w:sz="4" w:space="0" w:color="auto"/>
              <w:left w:val="nil"/>
              <w:bottom w:val="single" w:sz="4" w:space="0" w:color="auto"/>
              <w:right w:val="single" w:sz="4" w:space="0" w:color="auto"/>
            </w:tcBorders>
            <w:vAlign w:val="center"/>
          </w:tcPr>
          <w:p w14:paraId="337C1262"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400W Pulse Start Metal Halide</w:t>
            </w:r>
          </w:p>
        </w:tc>
        <w:tc>
          <w:tcPr>
            <w:tcW w:w="1584" w:type="dxa"/>
            <w:tcBorders>
              <w:top w:val="single" w:sz="4" w:space="0" w:color="auto"/>
              <w:left w:val="nil"/>
              <w:bottom w:val="single" w:sz="4" w:space="0" w:color="auto"/>
              <w:right w:val="single" w:sz="4" w:space="0" w:color="auto"/>
            </w:tcBorders>
            <w:noWrap/>
            <w:vAlign w:val="center"/>
          </w:tcPr>
          <w:p w14:paraId="39DA0D26" w14:textId="77777777" w:rsidR="002815D4" w:rsidRPr="002815D4" w:rsidRDefault="002815D4" w:rsidP="002815D4">
            <w:pPr>
              <w:spacing w:line="256" w:lineRule="auto"/>
              <w:jc w:val="center"/>
              <w:rPr>
                <w:rFonts w:ascii="Calibri" w:eastAsia="Calibri" w:hAnsi="Calibri" w:cs="Arial"/>
                <w:sz w:val="20"/>
                <w:szCs w:val="20"/>
              </w:rPr>
            </w:pPr>
            <w:r w:rsidRPr="002815D4">
              <w:rPr>
                <w:rFonts w:ascii="Calibri" w:eastAsia="Calibri" w:hAnsi="Calibri" w:cs="Arial"/>
                <w:sz w:val="20"/>
                <w:szCs w:val="20"/>
              </w:rPr>
              <w:t>400 (Type A)</w:t>
            </w:r>
          </w:p>
          <w:p w14:paraId="7D373295"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454.5 (Type B)</w:t>
            </w:r>
          </w:p>
        </w:tc>
        <w:tc>
          <w:tcPr>
            <w:tcW w:w="1382" w:type="dxa"/>
            <w:tcBorders>
              <w:top w:val="single" w:sz="4" w:space="0" w:color="auto"/>
              <w:left w:val="single" w:sz="4" w:space="0" w:color="auto"/>
              <w:bottom w:val="single" w:sz="4" w:space="0" w:color="auto"/>
              <w:right w:val="single" w:sz="4" w:space="0" w:color="auto"/>
            </w:tcBorders>
            <w:noWrap/>
            <w:vAlign w:val="center"/>
          </w:tcPr>
          <w:p w14:paraId="499C7EC8"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Calibri"/>
                <w:sz w:val="20"/>
                <w:szCs w:val="20"/>
              </w:rPr>
              <w:t>$156</w:t>
            </w:r>
          </w:p>
        </w:tc>
      </w:tr>
      <w:tr w:rsidR="002815D4" w:rsidRPr="002815D4" w14:paraId="14752CD5" w14:textId="77777777" w:rsidTr="00935A18">
        <w:trPr>
          <w:trHeight w:val="20"/>
          <w:jc w:val="center"/>
        </w:trPr>
        <w:tc>
          <w:tcPr>
            <w:tcW w:w="1324" w:type="dxa"/>
            <w:vMerge/>
            <w:tcBorders>
              <w:left w:val="single" w:sz="4" w:space="0" w:color="auto"/>
              <w:right w:val="single" w:sz="4" w:space="0" w:color="auto"/>
            </w:tcBorders>
            <w:vAlign w:val="center"/>
          </w:tcPr>
          <w:p w14:paraId="2B0CD9D4" w14:textId="77777777" w:rsidR="002815D4" w:rsidRPr="002815D4" w:rsidRDefault="002815D4" w:rsidP="002815D4">
            <w:pPr>
              <w:rPr>
                <w:rFonts w:ascii="Calibri" w:eastAsia="Calibri" w:hAnsi="Calibri" w:cs="Arial"/>
                <w:sz w:val="20"/>
                <w:szCs w:val="20"/>
              </w:rPr>
            </w:pPr>
          </w:p>
        </w:tc>
        <w:tc>
          <w:tcPr>
            <w:tcW w:w="1957" w:type="dxa"/>
            <w:tcBorders>
              <w:top w:val="single" w:sz="4" w:space="0" w:color="auto"/>
              <w:left w:val="nil"/>
              <w:bottom w:val="single" w:sz="4" w:space="0" w:color="auto"/>
              <w:right w:val="single" w:sz="4" w:space="0" w:color="auto"/>
            </w:tcBorders>
            <w:vAlign w:val="center"/>
          </w:tcPr>
          <w:p w14:paraId="270D665F"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Mogul Base HID Replacement Lamp, 30,001-40,000 lumens</w:t>
            </w:r>
          </w:p>
        </w:tc>
        <w:tc>
          <w:tcPr>
            <w:tcW w:w="1174" w:type="dxa"/>
            <w:tcBorders>
              <w:top w:val="single" w:sz="4" w:space="0" w:color="auto"/>
              <w:left w:val="single" w:sz="4" w:space="0" w:color="auto"/>
              <w:bottom w:val="single" w:sz="4" w:space="0" w:color="auto"/>
              <w:right w:val="single" w:sz="4" w:space="0" w:color="auto"/>
            </w:tcBorders>
            <w:noWrap/>
            <w:vAlign w:val="center"/>
          </w:tcPr>
          <w:p w14:paraId="481D0182" w14:textId="77777777" w:rsidR="002815D4" w:rsidRPr="002815D4" w:rsidRDefault="002815D4" w:rsidP="002815D4">
            <w:pPr>
              <w:jc w:val="center"/>
              <w:rPr>
                <w:rFonts w:ascii="Calibri" w:eastAsia="Calibri" w:hAnsi="Calibri" w:cs="Calibri"/>
                <w:color w:val="000000"/>
              </w:rPr>
            </w:pPr>
            <w:r w:rsidRPr="002815D4">
              <w:rPr>
                <w:rFonts w:ascii="Calibri" w:eastAsia="Calibri" w:hAnsi="Calibri" w:cs="Calibri"/>
                <w:color w:val="000000"/>
                <w:sz w:val="20"/>
                <w:szCs w:val="20"/>
              </w:rPr>
              <w:t>207.0</w:t>
            </w:r>
          </w:p>
        </w:tc>
        <w:tc>
          <w:tcPr>
            <w:tcW w:w="2130" w:type="dxa"/>
            <w:tcBorders>
              <w:top w:val="single" w:sz="4" w:space="0" w:color="auto"/>
              <w:left w:val="nil"/>
              <w:bottom w:val="single" w:sz="4" w:space="0" w:color="auto"/>
              <w:right w:val="single" w:sz="4" w:space="0" w:color="auto"/>
            </w:tcBorders>
            <w:vAlign w:val="center"/>
          </w:tcPr>
          <w:p w14:paraId="1BCFBE82"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750 W Metal Halide</w:t>
            </w:r>
          </w:p>
        </w:tc>
        <w:tc>
          <w:tcPr>
            <w:tcW w:w="1584" w:type="dxa"/>
            <w:tcBorders>
              <w:top w:val="single" w:sz="4" w:space="0" w:color="auto"/>
              <w:left w:val="nil"/>
              <w:bottom w:val="single" w:sz="4" w:space="0" w:color="auto"/>
              <w:right w:val="single" w:sz="4" w:space="0" w:color="auto"/>
            </w:tcBorders>
            <w:noWrap/>
            <w:vAlign w:val="center"/>
          </w:tcPr>
          <w:p w14:paraId="0BCC3262" w14:textId="77777777" w:rsidR="002815D4" w:rsidRPr="002815D4" w:rsidRDefault="002815D4" w:rsidP="002815D4">
            <w:pPr>
              <w:spacing w:line="256" w:lineRule="auto"/>
              <w:jc w:val="center"/>
              <w:rPr>
                <w:rFonts w:ascii="Calibri" w:eastAsia="Calibri" w:hAnsi="Calibri" w:cs="Arial"/>
                <w:sz w:val="20"/>
                <w:szCs w:val="20"/>
              </w:rPr>
            </w:pPr>
            <w:r w:rsidRPr="002815D4">
              <w:rPr>
                <w:rFonts w:ascii="Calibri" w:eastAsia="Calibri" w:hAnsi="Calibri" w:cs="Arial"/>
                <w:sz w:val="20"/>
                <w:szCs w:val="20"/>
              </w:rPr>
              <w:t>750 (Type A)</w:t>
            </w:r>
          </w:p>
          <w:p w14:paraId="33B59313"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850 (Type B)</w:t>
            </w:r>
          </w:p>
        </w:tc>
        <w:tc>
          <w:tcPr>
            <w:tcW w:w="1382" w:type="dxa"/>
            <w:tcBorders>
              <w:top w:val="single" w:sz="4" w:space="0" w:color="auto"/>
              <w:left w:val="single" w:sz="4" w:space="0" w:color="auto"/>
              <w:bottom w:val="single" w:sz="4" w:space="0" w:color="auto"/>
              <w:right w:val="single" w:sz="4" w:space="0" w:color="auto"/>
            </w:tcBorders>
            <w:noWrap/>
            <w:vAlign w:val="center"/>
          </w:tcPr>
          <w:p w14:paraId="57D7FF97"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$446</w:t>
            </w:r>
          </w:p>
        </w:tc>
      </w:tr>
      <w:tr w:rsidR="002815D4" w:rsidRPr="002815D4" w14:paraId="73DA65AF" w14:textId="77777777" w:rsidTr="00935A18">
        <w:trPr>
          <w:trHeight w:val="20"/>
          <w:jc w:val="center"/>
        </w:trPr>
        <w:tc>
          <w:tcPr>
            <w:tcW w:w="1324" w:type="dxa"/>
            <w:vMerge/>
            <w:tcBorders>
              <w:left w:val="single" w:sz="4" w:space="0" w:color="auto"/>
              <w:bottom w:val="single" w:sz="4" w:space="0" w:color="auto"/>
              <w:right w:val="single" w:sz="4" w:space="0" w:color="auto"/>
            </w:tcBorders>
            <w:vAlign w:val="center"/>
          </w:tcPr>
          <w:p w14:paraId="6E45AD36" w14:textId="77777777" w:rsidR="002815D4" w:rsidRPr="002815D4" w:rsidRDefault="002815D4" w:rsidP="002815D4">
            <w:pPr>
              <w:rPr>
                <w:rFonts w:ascii="Calibri" w:eastAsia="Calibri" w:hAnsi="Calibri" w:cs="Arial"/>
                <w:sz w:val="20"/>
                <w:szCs w:val="20"/>
              </w:rPr>
            </w:pPr>
          </w:p>
        </w:tc>
        <w:tc>
          <w:tcPr>
            <w:tcW w:w="1957" w:type="dxa"/>
            <w:tcBorders>
              <w:top w:val="single" w:sz="4" w:space="0" w:color="auto"/>
              <w:left w:val="nil"/>
              <w:bottom w:val="single" w:sz="4" w:space="0" w:color="auto"/>
              <w:right w:val="single" w:sz="4" w:space="0" w:color="auto"/>
            </w:tcBorders>
            <w:vAlign w:val="center"/>
          </w:tcPr>
          <w:p w14:paraId="0212D58D"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LED Mogul Base HID Replacement Lamp, &gt; 40,000 lumens</w:t>
            </w:r>
          </w:p>
        </w:tc>
        <w:tc>
          <w:tcPr>
            <w:tcW w:w="1174" w:type="dxa"/>
            <w:tcBorders>
              <w:top w:val="single" w:sz="4" w:space="0" w:color="auto"/>
              <w:left w:val="single" w:sz="4" w:space="0" w:color="auto"/>
              <w:bottom w:val="single" w:sz="4" w:space="0" w:color="auto"/>
              <w:right w:val="single" w:sz="4" w:space="0" w:color="auto"/>
            </w:tcBorders>
            <w:noWrap/>
            <w:vAlign w:val="center"/>
          </w:tcPr>
          <w:p w14:paraId="2797291D" w14:textId="77777777" w:rsidR="002815D4" w:rsidRPr="002815D4" w:rsidRDefault="002815D4" w:rsidP="002815D4">
            <w:pPr>
              <w:jc w:val="center"/>
              <w:rPr>
                <w:rFonts w:ascii="Calibri" w:eastAsia="Calibri" w:hAnsi="Calibri" w:cs="Calibri"/>
                <w:color w:val="000000"/>
              </w:rPr>
            </w:pPr>
            <w:r w:rsidRPr="002815D4">
              <w:rPr>
                <w:rFonts w:ascii="Calibri" w:eastAsia="Calibri" w:hAnsi="Calibri" w:cs="Calibri"/>
                <w:color w:val="000000"/>
                <w:sz w:val="20"/>
                <w:szCs w:val="20"/>
              </w:rPr>
              <w:t>258.8</w:t>
            </w:r>
          </w:p>
        </w:tc>
        <w:tc>
          <w:tcPr>
            <w:tcW w:w="2130" w:type="dxa"/>
            <w:tcBorders>
              <w:top w:val="single" w:sz="4" w:space="0" w:color="auto"/>
              <w:left w:val="nil"/>
              <w:bottom w:val="single" w:sz="4" w:space="0" w:color="auto"/>
              <w:right w:val="single" w:sz="4" w:space="0" w:color="auto"/>
            </w:tcBorders>
            <w:vAlign w:val="center"/>
          </w:tcPr>
          <w:p w14:paraId="6D10FB6D" w14:textId="77777777" w:rsidR="002815D4" w:rsidRPr="002815D4" w:rsidRDefault="002815D4" w:rsidP="002815D4">
            <w:pPr>
              <w:rPr>
                <w:rFonts w:ascii="Calibri" w:eastAsia="Calibri" w:hAnsi="Calibri" w:cs="Arial"/>
                <w:sz w:val="20"/>
                <w:szCs w:val="20"/>
              </w:rPr>
            </w:pPr>
            <w:r w:rsidRPr="002815D4">
              <w:rPr>
                <w:rFonts w:ascii="Calibri" w:eastAsia="Calibri" w:hAnsi="Calibri" w:cs="Arial"/>
                <w:sz w:val="20"/>
                <w:szCs w:val="20"/>
              </w:rPr>
              <w:t xml:space="preserve">1000 W Metal Halide </w:t>
            </w:r>
          </w:p>
        </w:tc>
        <w:tc>
          <w:tcPr>
            <w:tcW w:w="1584" w:type="dxa"/>
            <w:tcBorders>
              <w:top w:val="single" w:sz="4" w:space="0" w:color="auto"/>
              <w:left w:val="nil"/>
              <w:bottom w:val="single" w:sz="4" w:space="0" w:color="auto"/>
              <w:right w:val="single" w:sz="4" w:space="0" w:color="auto"/>
            </w:tcBorders>
            <w:noWrap/>
            <w:vAlign w:val="center"/>
          </w:tcPr>
          <w:p w14:paraId="3F8A76CA" w14:textId="77777777" w:rsidR="002815D4" w:rsidRPr="002815D4" w:rsidRDefault="002815D4" w:rsidP="002815D4">
            <w:pPr>
              <w:spacing w:line="256" w:lineRule="auto"/>
              <w:jc w:val="center"/>
              <w:rPr>
                <w:rFonts w:ascii="Calibri" w:eastAsia="Calibri" w:hAnsi="Calibri" w:cs="Arial"/>
                <w:sz w:val="20"/>
                <w:szCs w:val="20"/>
              </w:rPr>
            </w:pPr>
            <w:r w:rsidRPr="002815D4">
              <w:rPr>
                <w:rFonts w:ascii="Calibri" w:eastAsia="Calibri" w:hAnsi="Calibri" w:cs="Arial"/>
                <w:sz w:val="20"/>
                <w:szCs w:val="20"/>
              </w:rPr>
              <w:t>1000 (Type A)</w:t>
            </w:r>
          </w:p>
          <w:p w14:paraId="3DFBF654"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1080 (Type B)</w:t>
            </w:r>
          </w:p>
        </w:tc>
        <w:tc>
          <w:tcPr>
            <w:tcW w:w="1382" w:type="dxa"/>
            <w:tcBorders>
              <w:top w:val="single" w:sz="4" w:space="0" w:color="auto"/>
              <w:left w:val="single" w:sz="4" w:space="0" w:color="auto"/>
              <w:bottom w:val="single" w:sz="4" w:space="0" w:color="auto"/>
              <w:right w:val="single" w:sz="4" w:space="0" w:color="auto"/>
            </w:tcBorders>
            <w:noWrap/>
            <w:vAlign w:val="center"/>
          </w:tcPr>
          <w:p w14:paraId="0625D148" w14:textId="77777777" w:rsidR="002815D4" w:rsidRPr="002815D4" w:rsidRDefault="002815D4" w:rsidP="002815D4">
            <w:pPr>
              <w:jc w:val="center"/>
              <w:rPr>
                <w:rFonts w:ascii="Calibri" w:eastAsia="Calibri" w:hAnsi="Calibri" w:cs="Arial"/>
                <w:sz w:val="20"/>
                <w:szCs w:val="20"/>
              </w:rPr>
            </w:pPr>
            <w:r w:rsidRPr="002815D4">
              <w:rPr>
                <w:rFonts w:ascii="Calibri" w:eastAsia="Calibri" w:hAnsi="Calibri" w:cs="Arial"/>
                <w:sz w:val="20"/>
                <w:szCs w:val="20"/>
              </w:rPr>
              <w:t>$629</w:t>
            </w:r>
          </w:p>
        </w:tc>
      </w:tr>
    </w:tbl>
    <w:p w14:paraId="1C7BE310" w14:textId="77777777" w:rsidR="002815D4" w:rsidRPr="002815D4" w:rsidRDefault="002815D4" w:rsidP="002815D4">
      <w:pPr>
        <w:spacing w:after="120"/>
        <w:jc w:val="both"/>
        <w:rPr>
          <w:rFonts w:ascii="Calibri" w:eastAsia="Calibri" w:hAnsi="Calibri" w:cs="Arial"/>
          <w:sz w:val="20"/>
          <w:szCs w:val="20"/>
        </w:rPr>
      </w:pPr>
    </w:p>
    <w:p w14:paraId="57C29349" w14:textId="77777777" w:rsidR="002815D4" w:rsidRPr="002815D4" w:rsidRDefault="002815D4" w:rsidP="002815D4">
      <w:pPr>
        <w:spacing w:after="240"/>
        <w:jc w:val="both"/>
        <w:rPr>
          <w:rFonts w:ascii="Calibri" w:eastAsia="Calibri" w:hAnsi="Calibri" w:cs="Arial"/>
          <w:b/>
          <w:sz w:val="20"/>
          <w:szCs w:val="20"/>
        </w:rPr>
        <w:sectPr w:rsidR="002815D4" w:rsidRPr="002815D4" w:rsidSect="002815D4">
          <w:headerReference w:type="even" r:id="rId11"/>
          <w:headerReference w:type="first" r:id="rId12"/>
          <w:pgSz w:w="12240" w:h="15840"/>
          <w:pgMar w:top="1440" w:right="1440" w:bottom="1440" w:left="1440" w:header="720" w:footer="720" w:gutter="0"/>
          <w:cols w:space="720"/>
          <w:docGrid w:linePitch="360"/>
        </w:sectPr>
      </w:pPr>
    </w:p>
    <w:p w14:paraId="5E993361" w14:textId="77777777" w:rsidR="002815D4" w:rsidRPr="002815D4" w:rsidRDefault="002815D4" w:rsidP="002815D4">
      <w:pPr>
        <w:spacing w:after="240"/>
        <w:jc w:val="both"/>
        <w:rPr>
          <w:rFonts w:ascii="Calibri" w:eastAsia="Calibri" w:hAnsi="Calibri" w:cs="Arial"/>
          <w:b/>
          <w:sz w:val="20"/>
          <w:szCs w:val="20"/>
        </w:rPr>
      </w:pPr>
      <w:r w:rsidRPr="002815D4">
        <w:rPr>
          <w:rFonts w:ascii="Calibri" w:eastAsia="Calibri" w:hAnsi="Calibri" w:cs="Arial"/>
          <w:b/>
          <w:sz w:val="20"/>
          <w:szCs w:val="20"/>
        </w:rPr>
        <w:t>LED Fixture Component Costs &amp; Lifetime</w:t>
      </w:r>
      <w:r w:rsidRPr="002815D4">
        <w:rPr>
          <w:rFonts w:ascii="Arial" w:eastAsia="Calibri" w:hAnsi="Arial" w:cs="Times New Roman"/>
          <w:b/>
          <w:sz w:val="20"/>
          <w:szCs w:val="20"/>
          <w:vertAlign w:val="superscript"/>
        </w:rPr>
        <w:footnoteReference w:id="24"/>
      </w:r>
    </w:p>
    <w:tbl>
      <w:tblPr>
        <w:tblW w:w="13142" w:type="dxa"/>
        <w:tblInd w:w="-900" w:type="dxa"/>
        <w:tblLook w:val="04A0" w:firstRow="1" w:lastRow="0" w:firstColumn="1" w:lastColumn="0" w:noHBand="0" w:noVBand="1"/>
      </w:tblPr>
      <w:tblGrid>
        <w:gridCol w:w="1287"/>
        <w:gridCol w:w="2943"/>
        <w:gridCol w:w="859"/>
        <w:gridCol w:w="1309"/>
        <w:gridCol w:w="959"/>
        <w:gridCol w:w="1309"/>
        <w:gridCol w:w="899"/>
        <w:gridCol w:w="1309"/>
        <w:gridCol w:w="959"/>
        <w:gridCol w:w="1309"/>
      </w:tblGrid>
      <w:tr w:rsidR="002815D4" w:rsidRPr="002815D4" w14:paraId="7CC22585" w14:textId="77777777" w:rsidTr="00935A18">
        <w:trPr>
          <w:trHeight w:val="272"/>
          <w:tblHeader/>
        </w:trPr>
        <w:tc>
          <w:tcPr>
            <w:tcW w:w="1287" w:type="dxa"/>
            <w:tcBorders>
              <w:top w:val="nil"/>
              <w:left w:val="nil"/>
              <w:bottom w:val="nil"/>
              <w:right w:val="nil"/>
            </w:tcBorders>
            <w:noWrap/>
            <w:vAlign w:val="bottom"/>
            <w:hideMark/>
          </w:tcPr>
          <w:p w14:paraId="3655049A" w14:textId="77777777" w:rsidR="002815D4" w:rsidRPr="002815D4" w:rsidRDefault="002815D4" w:rsidP="002815D4">
            <w:pPr>
              <w:rPr>
                <w:rFonts w:ascii="Times New Roman" w:eastAsia="Times New Roman" w:hAnsi="Times New Roman" w:cs="Times New Roman"/>
                <w:sz w:val="24"/>
                <w:szCs w:val="24"/>
              </w:rPr>
            </w:pPr>
          </w:p>
        </w:tc>
        <w:tc>
          <w:tcPr>
            <w:tcW w:w="2943" w:type="dxa"/>
            <w:tcBorders>
              <w:top w:val="nil"/>
              <w:left w:val="nil"/>
              <w:bottom w:val="nil"/>
              <w:right w:val="nil"/>
            </w:tcBorders>
            <w:noWrap/>
            <w:vAlign w:val="bottom"/>
            <w:hideMark/>
          </w:tcPr>
          <w:p w14:paraId="769E6527" w14:textId="77777777" w:rsidR="002815D4" w:rsidRPr="002815D4" w:rsidRDefault="002815D4" w:rsidP="002815D4">
            <w:pPr>
              <w:rPr>
                <w:rFonts w:ascii="Times New Roman" w:eastAsia="Times New Roman" w:hAnsi="Times New Roman" w:cs="Times New Roman"/>
                <w:sz w:val="20"/>
                <w:szCs w:val="20"/>
              </w:rPr>
            </w:pPr>
          </w:p>
        </w:tc>
        <w:tc>
          <w:tcPr>
            <w:tcW w:w="4436" w:type="dxa"/>
            <w:gridSpan w:val="4"/>
            <w:tcBorders>
              <w:top w:val="single" w:sz="4" w:space="0" w:color="auto"/>
              <w:left w:val="single" w:sz="4" w:space="0" w:color="auto"/>
              <w:bottom w:val="single" w:sz="4" w:space="0" w:color="auto"/>
              <w:right w:val="single" w:sz="4" w:space="0" w:color="auto"/>
            </w:tcBorders>
            <w:shd w:val="clear" w:color="000000" w:fill="808080"/>
            <w:vAlign w:val="center"/>
            <w:hideMark/>
          </w:tcPr>
          <w:p w14:paraId="359B87DF" w14:textId="77777777" w:rsidR="002815D4" w:rsidRPr="002815D4" w:rsidRDefault="002815D4" w:rsidP="002815D4">
            <w:pPr>
              <w:jc w:val="center"/>
              <w:rPr>
                <w:rFonts w:ascii="Calibri" w:eastAsia="Times New Roman" w:hAnsi="Calibri" w:cs="Calibri"/>
                <w:b/>
                <w:bCs/>
                <w:color w:val="FFFFFF"/>
                <w:sz w:val="20"/>
                <w:szCs w:val="20"/>
              </w:rPr>
            </w:pPr>
            <w:r w:rsidRPr="002815D4">
              <w:rPr>
                <w:rFonts w:ascii="Calibri" w:eastAsia="Times New Roman" w:hAnsi="Calibri" w:cs="Arial"/>
                <w:b/>
                <w:bCs/>
                <w:color w:val="FFFFFF"/>
                <w:sz w:val="20"/>
                <w:szCs w:val="20"/>
              </w:rPr>
              <w:t xml:space="preserve">EE Measure </w:t>
            </w:r>
          </w:p>
        </w:tc>
        <w:tc>
          <w:tcPr>
            <w:tcW w:w="4476" w:type="dxa"/>
            <w:gridSpan w:val="4"/>
            <w:tcBorders>
              <w:top w:val="single" w:sz="4" w:space="0" w:color="auto"/>
              <w:left w:val="nil"/>
              <w:bottom w:val="single" w:sz="4" w:space="0" w:color="auto"/>
              <w:right w:val="single" w:sz="4" w:space="0" w:color="auto"/>
            </w:tcBorders>
            <w:shd w:val="clear" w:color="000000" w:fill="808080"/>
            <w:vAlign w:val="center"/>
            <w:hideMark/>
          </w:tcPr>
          <w:p w14:paraId="2AB855D9" w14:textId="77777777" w:rsidR="002815D4" w:rsidRPr="002815D4" w:rsidRDefault="002815D4" w:rsidP="002815D4">
            <w:pPr>
              <w:jc w:val="center"/>
              <w:rPr>
                <w:rFonts w:ascii="Calibri" w:eastAsia="Times New Roman" w:hAnsi="Calibri" w:cs="Calibri"/>
                <w:b/>
                <w:bCs/>
                <w:color w:val="FFFFFF"/>
                <w:sz w:val="20"/>
                <w:szCs w:val="20"/>
              </w:rPr>
            </w:pPr>
            <w:r w:rsidRPr="002815D4">
              <w:rPr>
                <w:rFonts w:ascii="Calibri" w:eastAsia="Times New Roman" w:hAnsi="Calibri" w:cs="Arial"/>
                <w:b/>
                <w:bCs/>
                <w:color w:val="FFFFFF"/>
                <w:sz w:val="20"/>
                <w:szCs w:val="20"/>
              </w:rPr>
              <w:t>Baseline</w:t>
            </w:r>
          </w:p>
        </w:tc>
      </w:tr>
      <w:tr w:rsidR="002815D4" w:rsidRPr="002815D4" w14:paraId="367E41C6" w14:textId="77777777" w:rsidTr="00935A18">
        <w:trPr>
          <w:trHeight w:val="1042"/>
          <w:tblHeader/>
        </w:trPr>
        <w:tc>
          <w:tcPr>
            <w:tcW w:w="1287" w:type="dxa"/>
            <w:tcBorders>
              <w:top w:val="single" w:sz="4" w:space="0" w:color="auto"/>
              <w:left w:val="single" w:sz="4" w:space="0" w:color="auto"/>
              <w:bottom w:val="single" w:sz="4" w:space="0" w:color="auto"/>
              <w:right w:val="single" w:sz="4" w:space="0" w:color="auto"/>
            </w:tcBorders>
            <w:shd w:val="clear" w:color="000000" w:fill="808080"/>
            <w:vAlign w:val="center"/>
            <w:hideMark/>
          </w:tcPr>
          <w:p w14:paraId="3F26484B" w14:textId="77777777" w:rsidR="002815D4" w:rsidRPr="002815D4" w:rsidRDefault="002815D4" w:rsidP="002815D4">
            <w:pPr>
              <w:jc w:val="center"/>
              <w:rPr>
                <w:rFonts w:ascii="Calibri" w:eastAsia="Times New Roman" w:hAnsi="Calibri" w:cs="Calibri"/>
                <w:b/>
                <w:bCs/>
                <w:color w:val="FFFFFF"/>
                <w:sz w:val="20"/>
                <w:szCs w:val="20"/>
              </w:rPr>
            </w:pPr>
            <w:r w:rsidRPr="002815D4">
              <w:rPr>
                <w:rFonts w:ascii="Calibri" w:eastAsia="Times New Roman" w:hAnsi="Calibri" w:cs="Arial"/>
                <w:b/>
                <w:bCs/>
                <w:color w:val="FFFFFF"/>
                <w:sz w:val="20"/>
                <w:szCs w:val="20"/>
              </w:rPr>
              <w:t>LED  Category</w:t>
            </w:r>
          </w:p>
        </w:tc>
        <w:tc>
          <w:tcPr>
            <w:tcW w:w="2943" w:type="dxa"/>
            <w:tcBorders>
              <w:top w:val="single" w:sz="4" w:space="0" w:color="auto"/>
              <w:left w:val="nil"/>
              <w:bottom w:val="single" w:sz="4" w:space="0" w:color="auto"/>
              <w:right w:val="single" w:sz="4" w:space="0" w:color="auto"/>
            </w:tcBorders>
            <w:shd w:val="clear" w:color="000000" w:fill="808080"/>
            <w:vAlign w:val="center"/>
            <w:hideMark/>
          </w:tcPr>
          <w:p w14:paraId="3AB02B28" w14:textId="77777777" w:rsidR="002815D4" w:rsidRPr="002815D4" w:rsidRDefault="002815D4" w:rsidP="002815D4">
            <w:pPr>
              <w:jc w:val="center"/>
              <w:rPr>
                <w:rFonts w:ascii="Calibri" w:eastAsia="Times New Roman" w:hAnsi="Calibri" w:cs="Calibri"/>
                <w:b/>
                <w:bCs/>
                <w:color w:val="FFFFFF"/>
                <w:sz w:val="20"/>
                <w:szCs w:val="20"/>
              </w:rPr>
            </w:pPr>
            <w:r w:rsidRPr="002815D4">
              <w:rPr>
                <w:rFonts w:ascii="Calibri" w:eastAsia="Times New Roman" w:hAnsi="Calibri" w:cs="Arial"/>
                <w:b/>
                <w:bCs/>
                <w:color w:val="FFFFFF"/>
                <w:sz w:val="20"/>
                <w:szCs w:val="20"/>
              </w:rPr>
              <w:t>EE Measure Description</w:t>
            </w:r>
          </w:p>
        </w:tc>
        <w:tc>
          <w:tcPr>
            <w:tcW w:w="859" w:type="dxa"/>
            <w:tcBorders>
              <w:top w:val="nil"/>
              <w:left w:val="nil"/>
              <w:bottom w:val="single" w:sz="4" w:space="0" w:color="auto"/>
              <w:right w:val="single" w:sz="4" w:space="0" w:color="auto"/>
            </w:tcBorders>
            <w:shd w:val="clear" w:color="000000" w:fill="808080"/>
            <w:vAlign w:val="center"/>
            <w:hideMark/>
          </w:tcPr>
          <w:p w14:paraId="13746311" w14:textId="77777777" w:rsidR="002815D4" w:rsidRPr="002815D4" w:rsidRDefault="002815D4" w:rsidP="002815D4">
            <w:pPr>
              <w:jc w:val="center"/>
              <w:rPr>
                <w:rFonts w:ascii="Calibri" w:eastAsia="Times New Roman" w:hAnsi="Calibri" w:cs="Calibri"/>
                <w:b/>
                <w:bCs/>
                <w:color w:val="FFFFFF"/>
                <w:sz w:val="20"/>
                <w:szCs w:val="20"/>
              </w:rPr>
            </w:pPr>
            <w:r w:rsidRPr="002815D4">
              <w:rPr>
                <w:rFonts w:ascii="Calibri" w:eastAsia="Times New Roman" w:hAnsi="Calibri" w:cs="Arial"/>
                <w:b/>
                <w:bCs/>
                <w:color w:val="FFFFFF"/>
                <w:sz w:val="20"/>
                <w:szCs w:val="20"/>
              </w:rPr>
              <w:t>Lamp Life (hrs)</w:t>
            </w:r>
          </w:p>
        </w:tc>
        <w:tc>
          <w:tcPr>
            <w:tcW w:w="1309" w:type="dxa"/>
            <w:tcBorders>
              <w:top w:val="nil"/>
              <w:left w:val="nil"/>
              <w:bottom w:val="single" w:sz="4" w:space="0" w:color="auto"/>
              <w:right w:val="single" w:sz="4" w:space="0" w:color="auto"/>
            </w:tcBorders>
            <w:shd w:val="clear" w:color="000000" w:fill="808080"/>
            <w:vAlign w:val="center"/>
            <w:hideMark/>
          </w:tcPr>
          <w:p w14:paraId="73094C3A" w14:textId="77777777" w:rsidR="002815D4" w:rsidRPr="002815D4" w:rsidRDefault="002815D4" w:rsidP="002815D4">
            <w:pPr>
              <w:jc w:val="center"/>
              <w:rPr>
                <w:rFonts w:ascii="Calibri" w:eastAsia="Times New Roman" w:hAnsi="Calibri" w:cs="Calibri"/>
                <w:b/>
                <w:bCs/>
                <w:color w:val="FFFFFF"/>
                <w:sz w:val="20"/>
                <w:szCs w:val="20"/>
              </w:rPr>
            </w:pPr>
            <w:r w:rsidRPr="002815D4">
              <w:rPr>
                <w:rFonts w:ascii="Calibri" w:eastAsia="Times New Roman" w:hAnsi="Calibri" w:cs="Arial"/>
                <w:b/>
                <w:bCs/>
                <w:color w:val="FFFFFF"/>
                <w:sz w:val="20"/>
                <w:szCs w:val="20"/>
              </w:rPr>
              <w:t>Total Lamp Replacement Cost</w:t>
            </w:r>
          </w:p>
        </w:tc>
        <w:tc>
          <w:tcPr>
            <w:tcW w:w="959" w:type="dxa"/>
            <w:tcBorders>
              <w:top w:val="nil"/>
              <w:left w:val="nil"/>
              <w:bottom w:val="single" w:sz="4" w:space="0" w:color="auto"/>
              <w:right w:val="single" w:sz="4" w:space="0" w:color="auto"/>
            </w:tcBorders>
            <w:shd w:val="clear" w:color="000000" w:fill="808080"/>
            <w:vAlign w:val="center"/>
            <w:hideMark/>
          </w:tcPr>
          <w:p w14:paraId="46BE5118" w14:textId="77777777" w:rsidR="002815D4" w:rsidRPr="002815D4" w:rsidRDefault="002815D4" w:rsidP="002815D4">
            <w:pPr>
              <w:jc w:val="center"/>
              <w:rPr>
                <w:rFonts w:ascii="Calibri" w:eastAsia="Times New Roman" w:hAnsi="Calibri" w:cs="Calibri"/>
                <w:b/>
                <w:bCs/>
                <w:color w:val="FFFFFF"/>
                <w:sz w:val="20"/>
                <w:szCs w:val="20"/>
              </w:rPr>
            </w:pPr>
            <w:r w:rsidRPr="002815D4">
              <w:rPr>
                <w:rFonts w:ascii="Calibri" w:eastAsia="Times New Roman" w:hAnsi="Calibri" w:cs="Arial"/>
                <w:b/>
                <w:bCs/>
                <w:color w:val="FFFFFF"/>
                <w:sz w:val="20"/>
                <w:szCs w:val="20"/>
              </w:rPr>
              <w:t>LED Driver Life (hrs)</w:t>
            </w:r>
          </w:p>
        </w:tc>
        <w:tc>
          <w:tcPr>
            <w:tcW w:w="1309" w:type="dxa"/>
            <w:tcBorders>
              <w:top w:val="nil"/>
              <w:left w:val="nil"/>
              <w:bottom w:val="single" w:sz="4" w:space="0" w:color="auto"/>
              <w:right w:val="single" w:sz="4" w:space="0" w:color="auto"/>
            </w:tcBorders>
            <w:shd w:val="clear" w:color="000000" w:fill="808080"/>
            <w:vAlign w:val="center"/>
            <w:hideMark/>
          </w:tcPr>
          <w:p w14:paraId="0E39E1A9" w14:textId="77777777" w:rsidR="002815D4" w:rsidRPr="002815D4" w:rsidRDefault="002815D4" w:rsidP="002815D4">
            <w:pPr>
              <w:jc w:val="center"/>
              <w:rPr>
                <w:rFonts w:ascii="Calibri" w:eastAsia="Times New Roman" w:hAnsi="Calibri" w:cs="Calibri"/>
                <w:b/>
                <w:bCs/>
                <w:color w:val="FFFFFF"/>
                <w:sz w:val="20"/>
                <w:szCs w:val="20"/>
              </w:rPr>
            </w:pPr>
            <w:r w:rsidRPr="002815D4">
              <w:rPr>
                <w:rFonts w:ascii="Calibri" w:eastAsia="Times New Roman" w:hAnsi="Calibri" w:cs="Arial"/>
                <w:b/>
                <w:bCs/>
                <w:color w:val="FFFFFF"/>
                <w:sz w:val="20"/>
                <w:szCs w:val="20"/>
              </w:rPr>
              <w:t>Total LED Driver Replacement Cost</w:t>
            </w:r>
          </w:p>
        </w:tc>
        <w:tc>
          <w:tcPr>
            <w:tcW w:w="899" w:type="dxa"/>
            <w:tcBorders>
              <w:top w:val="nil"/>
              <w:left w:val="nil"/>
              <w:bottom w:val="single" w:sz="4" w:space="0" w:color="auto"/>
              <w:right w:val="nil"/>
            </w:tcBorders>
            <w:shd w:val="clear" w:color="000000" w:fill="808080"/>
            <w:vAlign w:val="center"/>
            <w:hideMark/>
          </w:tcPr>
          <w:p w14:paraId="5D92BF00" w14:textId="77777777" w:rsidR="002815D4" w:rsidRPr="002815D4" w:rsidRDefault="002815D4" w:rsidP="002815D4">
            <w:pPr>
              <w:jc w:val="center"/>
              <w:rPr>
                <w:rFonts w:ascii="Calibri" w:eastAsia="Times New Roman" w:hAnsi="Calibri" w:cs="Calibri"/>
                <w:b/>
                <w:bCs/>
                <w:color w:val="FFFFFF"/>
                <w:sz w:val="20"/>
                <w:szCs w:val="20"/>
              </w:rPr>
            </w:pPr>
            <w:r w:rsidRPr="002815D4">
              <w:rPr>
                <w:rFonts w:ascii="Calibri" w:eastAsia="Times New Roman" w:hAnsi="Calibri" w:cs="Arial"/>
                <w:b/>
                <w:bCs/>
                <w:color w:val="FFFFFF"/>
                <w:sz w:val="20"/>
                <w:szCs w:val="20"/>
              </w:rPr>
              <w:t>Lamp Life (hrs)</w:t>
            </w:r>
          </w:p>
        </w:tc>
        <w:tc>
          <w:tcPr>
            <w:tcW w:w="1309" w:type="dxa"/>
            <w:tcBorders>
              <w:top w:val="nil"/>
              <w:left w:val="single" w:sz="4" w:space="0" w:color="auto"/>
              <w:bottom w:val="single" w:sz="4" w:space="0" w:color="auto"/>
              <w:right w:val="single" w:sz="4" w:space="0" w:color="auto"/>
            </w:tcBorders>
            <w:shd w:val="clear" w:color="000000" w:fill="808080"/>
            <w:vAlign w:val="center"/>
            <w:hideMark/>
          </w:tcPr>
          <w:p w14:paraId="61B63C17" w14:textId="77777777" w:rsidR="002815D4" w:rsidRPr="002815D4" w:rsidRDefault="002815D4" w:rsidP="002815D4">
            <w:pPr>
              <w:jc w:val="center"/>
              <w:rPr>
                <w:rFonts w:ascii="Calibri" w:eastAsia="Times New Roman" w:hAnsi="Calibri" w:cs="Calibri"/>
                <w:b/>
                <w:bCs/>
                <w:color w:val="FFFFFF"/>
                <w:sz w:val="20"/>
                <w:szCs w:val="20"/>
              </w:rPr>
            </w:pPr>
            <w:r w:rsidRPr="002815D4">
              <w:rPr>
                <w:rFonts w:ascii="Calibri" w:eastAsia="Times New Roman" w:hAnsi="Calibri" w:cs="Arial"/>
                <w:b/>
                <w:bCs/>
                <w:color w:val="FFFFFF"/>
                <w:sz w:val="20"/>
                <w:szCs w:val="20"/>
              </w:rPr>
              <w:t>Total Lamp Replacement Cost</w:t>
            </w:r>
          </w:p>
        </w:tc>
        <w:tc>
          <w:tcPr>
            <w:tcW w:w="959" w:type="dxa"/>
            <w:tcBorders>
              <w:top w:val="nil"/>
              <w:left w:val="nil"/>
              <w:bottom w:val="single" w:sz="4" w:space="0" w:color="auto"/>
              <w:right w:val="single" w:sz="4" w:space="0" w:color="auto"/>
            </w:tcBorders>
            <w:shd w:val="clear" w:color="000000" w:fill="808080"/>
            <w:vAlign w:val="center"/>
            <w:hideMark/>
          </w:tcPr>
          <w:p w14:paraId="272C1713" w14:textId="77777777" w:rsidR="002815D4" w:rsidRPr="002815D4" w:rsidRDefault="002815D4" w:rsidP="002815D4">
            <w:pPr>
              <w:jc w:val="center"/>
              <w:rPr>
                <w:rFonts w:ascii="Calibri" w:eastAsia="Times New Roman" w:hAnsi="Calibri" w:cs="Calibri"/>
                <w:b/>
                <w:bCs/>
                <w:color w:val="FFFFFF"/>
                <w:sz w:val="20"/>
                <w:szCs w:val="20"/>
              </w:rPr>
            </w:pPr>
            <w:r w:rsidRPr="002815D4">
              <w:rPr>
                <w:rFonts w:ascii="Calibri" w:eastAsia="Times New Roman" w:hAnsi="Calibri" w:cs="Arial"/>
                <w:b/>
                <w:bCs/>
                <w:color w:val="FFFFFF"/>
                <w:sz w:val="20"/>
                <w:szCs w:val="20"/>
              </w:rPr>
              <w:t>Ballast Life (hrs)</w:t>
            </w:r>
          </w:p>
        </w:tc>
        <w:tc>
          <w:tcPr>
            <w:tcW w:w="1309" w:type="dxa"/>
            <w:tcBorders>
              <w:top w:val="nil"/>
              <w:left w:val="nil"/>
              <w:bottom w:val="single" w:sz="4" w:space="0" w:color="auto"/>
              <w:right w:val="single" w:sz="4" w:space="0" w:color="auto"/>
            </w:tcBorders>
            <w:shd w:val="clear" w:color="000000" w:fill="808080"/>
            <w:vAlign w:val="center"/>
            <w:hideMark/>
          </w:tcPr>
          <w:p w14:paraId="617DE9C6" w14:textId="77777777" w:rsidR="002815D4" w:rsidRPr="002815D4" w:rsidRDefault="002815D4" w:rsidP="002815D4">
            <w:pPr>
              <w:jc w:val="center"/>
              <w:rPr>
                <w:rFonts w:ascii="Calibri" w:eastAsia="Times New Roman" w:hAnsi="Calibri" w:cs="Calibri"/>
                <w:b/>
                <w:bCs/>
                <w:color w:val="FFFFFF"/>
                <w:sz w:val="20"/>
                <w:szCs w:val="20"/>
              </w:rPr>
            </w:pPr>
            <w:r w:rsidRPr="002815D4">
              <w:rPr>
                <w:rFonts w:ascii="Calibri" w:eastAsia="Times New Roman" w:hAnsi="Calibri" w:cs="Arial"/>
                <w:b/>
                <w:bCs/>
                <w:color w:val="FFFFFF"/>
                <w:sz w:val="20"/>
                <w:szCs w:val="20"/>
              </w:rPr>
              <w:t>Total Ballast Replacement Cost</w:t>
            </w:r>
          </w:p>
        </w:tc>
      </w:tr>
      <w:tr w:rsidR="002815D4" w:rsidRPr="002815D4" w14:paraId="72E69539" w14:textId="77777777" w:rsidTr="00935A18">
        <w:trPr>
          <w:trHeight w:val="782"/>
        </w:trPr>
        <w:tc>
          <w:tcPr>
            <w:tcW w:w="1287" w:type="dxa"/>
            <w:tcBorders>
              <w:top w:val="nil"/>
              <w:left w:val="single" w:sz="4" w:space="0" w:color="auto"/>
              <w:bottom w:val="single" w:sz="4" w:space="0" w:color="auto"/>
              <w:right w:val="single" w:sz="4" w:space="0" w:color="auto"/>
            </w:tcBorders>
            <w:vAlign w:val="center"/>
            <w:hideMark/>
          </w:tcPr>
          <w:p w14:paraId="24AE118A"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Downlight Fixtures</w:t>
            </w:r>
          </w:p>
        </w:tc>
        <w:tc>
          <w:tcPr>
            <w:tcW w:w="2943" w:type="dxa"/>
            <w:tcBorders>
              <w:top w:val="nil"/>
              <w:left w:val="nil"/>
              <w:bottom w:val="single" w:sz="4" w:space="0" w:color="auto"/>
              <w:right w:val="single" w:sz="4" w:space="0" w:color="auto"/>
            </w:tcBorders>
            <w:vAlign w:val="center"/>
            <w:hideMark/>
          </w:tcPr>
          <w:p w14:paraId="44E38EF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Recessed, Surface, Pendant Downlights</w:t>
            </w:r>
          </w:p>
        </w:tc>
        <w:tc>
          <w:tcPr>
            <w:tcW w:w="859" w:type="dxa"/>
            <w:tcBorders>
              <w:top w:val="nil"/>
              <w:left w:val="nil"/>
              <w:bottom w:val="single" w:sz="4" w:space="0" w:color="auto"/>
              <w:right w:val="single" w:sz="4" w:space="0" w:color="auto"/>
            </w:tcBorders>
            <w:noWrap/>
            <w:vAlign w:val="center"/>
            <w:hideMark/>
          </w:tcPr>
          <w:p w14:paraId="68F127B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068CC2D1"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$30.75 </w:t>
            </w:r>
          </w:p>
        </w:tc>
        <w:tc>
          <w:tcPr>
            <w:tcW w:w="959" w:type="dxa"/>
            <w:tcBorders>
              <w:top w:val="nil"/>
              <w:left w:val="nil"/>
              <w:bottom w:val="single" w:sz="4" w:space="0" w:color="auto"/>
              <w:right w:val="single" w:sz="4" w:space="0" w:color="auto"/>
            </w:tcBorders>
            <w:noWrap/>
            <w:vAlign w:val="center"/>
            <w:hideMark/>
          </w:tcPr>
          <w:p w14:paraId="611A75A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4F20B4E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$47.50 </w:t>
            </w:r>
          </w:p>
        </w:tc>
        <w:tc>
          <w:tcPr>
            <w:tcW w:w="899" w:type="dxa"/>
            <w:tcBorders>
              <w:top w:val="nil"/>
              <w:left w:val="nil"/>
              <w:bottom w:val="single" w:sz="4" w:space="0" w:color="auto"/>
              <w:right w:val="nil"/>
            </w:tcBorders>
            <w:noWrap/>
            <w:vAlign w:val="center"/>
            <w:hideMark/>
          </w:tcPr>
          <w:p w14:paraId="34C8D9F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2,500</w:t>
            </w:r>
          </w:p>
        </w:tc>
        <w:tc>
          <w:tcPr>
            <w:tcW w:w="1309" w:type="dxa"/>
            <w:tcBorders>
              <w:top w:val="nil"/>
              <w:left w:val="single" w:sz="4" w:space="0" w:color="auto"/>
              <w:bottom w:val="single" w:sz="4" w:space="0" w:color="auto"/>
              <w:right w:val="single" w:sz="4" w:space="0" w:color="auto"/>
            </w:tcBorders>
            <w:noWrap/>
            <w:vAlign w:val="center"/>
            <w:hideMark/>
          </w:tcPr>
          <w:p w14:paraId="185E7641"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$8.86 </w:t>
            </w:r>
          </w:p>
        </w:tc>
        <w:tc>
          <w:tcPr>
            <w:tcW w:w="959" w:type="dxa"/>
            <w:tcBorders>
              <w:top w:val="nil"/>
              <w:left w:val="nil"/>
              <w:bottom w:val="single" w:sz="4" w:space="0" w:color="auto"/>
              <w:right w:val="single" w:sz="4" w:space="0" w:color="auto"/>
            </w:tcBorders>
            <w:noWrap/>
            <w:vAlign w:val="center"/>
            <w:hideMark/>
          </w:tcPr>
          <w:p w14:paraId="7AEB64D1"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3387918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$14.40 </w:t>
            </w:r>
          </w:p>
        </w:tc>
      </w:tr>
      <w:tr w:rsidR="002815D4" w:rsidRPr="002815D4" w14:paraId="2C6630C4" w14:textId="77777777" w:rsidTr="00935A18">
        <w:trPr>
          <w:trHeight w:val="272"/>
        </w:trPr>
        <w:tc>
          <w:tcPr>
            <w:tcW w:w="1287" w:type="dxa"/>
            <w:vMerge w:val="restart"/>
            <w:tcBorders>
              <w:top w:val="nil"/>
              <w:left w:val="single" w:sz="4" w:space="0" w:color="auto"/>
              <w:bottom w:val="single" w:sz="4" w:space="0" w:color="auto"/>
              <w:right w:val="single" w:sz="4" w:space="0" w:color="auto"/>
            </w:tcBorders>
            <w:vAlign w:val="center"/>
            <w:hideMark/>
          </w:tcPr>
          <w:p w14:paraId="12F799D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Interior Directional</w:t>
            </w:r>
          </w:p>
        </w:tc>
        <w:tc>
          <w:tcPr>
            <w:tcW w:w="2943" w:type="dxa"/>
            <w:tcBorders>
              <w:top w:val="nil"/>
              <w:left w:val="nil"/>
              <w:bottom w:val="single" w:sz="4" w:space="0" w:color="auto"/>
              <w:right w:val="single" w:sz="4" w:space="0" w:color="auto"/>
            </w:tcBorders>
            <w:vAlign w:val="center"/>
            <w:hideMark/>
          </w:tcPr>
          <w:p w14:paraId="3FD61AA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Track Lighting</w:t>
            </w:r>
          </w:p>
        </w:tc>
        <w:tc>
          <w:tcPr>
            <w:tcW w:w="859" w:type="dxa"/>
            <w:tcBorders>
              <w:top w:val="nil"/>
              <w:left w:val="nil"/>
              <w:bottom w:val="single" w:sz="4" w:space="0" w:color="auto"/>
              <w:right w:val="single" w:sz="4" w:space="0" w:color="auto"/>
            </w:tcBorders>
            <w:noWrap/>
            <w:vAlign w:val="center"/>
            <w:hideMark/>
          </w:tcPr>
          <w:p w14:paraId="13C89BE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1211F21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$39.00 </w:t>
            </w:r>
          </w:p>
        </w:tc>
        <w:tc>
          <w:tcPr>
            <w:tcW w:w="959" w:type="dxa"/>
            <w:tcBorders>
              <w:top w:val="nil"/>
              <w:left w:val="nil"/>
              <w:bottom w:val="single" w:sz="4" w:space="0" w:color="auto"/>
              <w:right w:val="single" w:sz="4" w:space="0" w:color="auto"/>
            </w:tcBorders>
            <w:noWrap/>
            <w:vAlign w:val="center"/>
            <w:hideMark/>
          </w:tcPr>
          <w:p w14:paraId="5580476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353FEA00"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$47.50 </w:t>
            </w:r>
          </w:p>
        </w:tc>
        <w:tc>
          <w:tcPr>
            <w:tcW w:w="899" w:type="dxa"/>
            <w:tcBorders>
              <w:top w:val="nil"/>
              <w:left w:val="nil"/>
              <w:bottom w:val="single" w:sz="4" w:space="0" w:color="auto"/>
              <w:right w:val="nil"/>
            </w:tcBorders>
            <w:noWrap/>
            <w:vAlign w:val="center"/>
            <w:hideMark/>
          </w:tcPr>
          <w:p w14:paraId="7000C29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2,500</w:t>
            </w:r>
          </w:p>
        </w:tc>
        <w:tc>
          <w:tcPr>
            <w:tcW w:w="1309" w:type="dxa"/>
            <w:tcBorders>
              <w:top w:val="nil"/>
              <w:left w:val="single" w:sz="4" w:space="0" w:color="auto"/>
              <w:bottom w:val="single" w:sz="4" w:space="0" w:color="auto"/>
              <w:right w:val="single" w:sz="4" w:space="0" w:color="auto"/>
            </w:tcBorders>
            <w:noWrap/>
            <w:vAlign w:val="center"/>
            <w:hideMark/>
          </w:tcPr>
          <w:p w14:paraId="6835E45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$12.71 </w:t>
            </w:r>
          </w:p>
        </w:tc>
        <w:tc>
          <w:tcPr>
            <w:tcW w:w="959" w:type="dxa"/>
            <w:tcBorders>
              <w:top w:val="nil"/>
              <w:left w:val="nil"/>
              <w:bottom w:val="single" w:sz="4" w:space="0" w:color="auto"/>
              <w:right w:val="single" w:sz="4" w:space="0" w:color="auto"/>
            </w:tcBorders>
            <w:noWrap/>
            <w:vAlign w:val="center"/>
            <w:hideMark/>
          </w:tcPr>
          <w:p w14:paraId="76867E9A"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20B3CA5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$11.00 </w:t>
            </w:r>
          </w:p>
        </w:tc>
      </w:tr>
      <w:tr w:rsidR="002815D4" w:rsidRPr="002815D4" w14:paraId="44430D13" w14:textId="77777777" w:rsidTr="00935A18">
        <w:trPr>
          <w:trHeight w:val="431"/>
        </w:trPr>
        <w:tc>
          <w:tcPr>
            <w:tcW w:w="1287" w:type="dxa"/>
            <w:vMerge/>
            <w:tcBorders>
              <w:top w:val="nil"/>
              <w:left w:val="single" w:sz="4" w:space="0" w:color="auto"/>
              <w:bottom w:val="single" w:sz="4" w:space="0" w:color="auto"/>
              <w:right w:val="single" w:sz="4" w:space="0" w:color="auto"/>
            </w:tcBorders>
            <w:vAlign w:val="center"/>
            <w:hideMark/>
          </w:tcPr>
          <w:p w14:paraId="67699BC7"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598A138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Wall-Wash Fixtures</w:t>
            </w:r>
          </w:p>
        </w:tc>
        <w:tc>
          <w:tcPr>
            <w:tcW w:w="859" w:type="dxa"/>
            <w:tcBorders>
              <w:top w:val="nil"/>
              <w:left w:val="nil"/>
              <w:bottom w:val="single" w:sz="4" w:space="0" w:color="auto"/>
              <w:right w:val="single" w:sz="4" w:space="0" w:color="auto"/>
            </w:tcBorders>
            <w:noWrap/>
            <w:vAlign w:val="center"/>
            <w:hideMark/>
          </w:tcPr>
          <w:p w14:paraId="211D2ED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779BACE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$39.00 </w:t>
            </w:r>
          </w:p>
        </w:tc>
        <w:tc>
          <w:tcPr>
            <w:tcW w:w="959" w:type="dxa"/>
            <w:tcBorders>
              <w:top w:val="nil"/>
              <w:left w:val="nil"/>
              <w:bottom w:val="single" w:sz="4" w:space="0" w:color="auto"/>
              <w:right w:val="single" w:sz="4" w:space="0" w:color="auto"/>
            </w:tcBorders>
            <w:noWrap/>
            <w:vAlign w:val="center"/>
            <w:hideMark/>
          </w:tcPr>
          <w:p w14:paraId="2A45D55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541745E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$47.50 </w:t>
            </w:r>
          </w:p>
        </w:tc>
        <w:tc>
          <w:tcPr>
            <w:tcW w:w="899" w:type="dxa"/>
            <w:tcBorders>
              <w:top w:val="nil"/>
              <w:left w:val="nil"/>
              <w:bottom w:val="single" w:sz="4" w:space="0" w:color="auto"/>
              <w:right w:val="nil"/>
            </w:tcBorders>
            <w:noWrap/>
            <w:vAlign w:val="center"/>
            <w:hideMark/>
          </w:tcPr>
          <w:p w14:paraId="1BE15EBA"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2,500</w:t>
            </w:r>
          </w:p>
        </w:tc>
        <w:tc>
          <w:tcPr>
            <w:tcW w:w="1309" w:type="dxa"/>
            <w:tcBorders>
              <w:top w:val="nil"/>
              <w:left w:val="single" w:sz="4" w:space="0" w:color="auto"/>
              <w:bottom w:val="single" w:sz="4" w:space="0" w:color="auto"/>
              <w:right w:val="single" w:sz="4" w:space="0" w:color="auto"/>
            </w:tcBorders>
            <w:noWrap/>
            <w:vAlign w:val="center"/>
            <w:hideMark/>
          </w:tcPr>
          <w:p w14:paraId="2FFBB4B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$9.17 </w:t>
            </w:r>
          </w:p>
        </w:tc>
        <w:tc>
          <w:tcPr>
            <w:tcW w:w="959" w:type="dxa"/>
            <w:tcBorders>
              <w:top w:val="nil"/>
              <w:left w:val="nil"/>
              <w:bottom w:val="single" w:sz="4" w:space="0" w:color="auto"/>
              <w:right w:val="single" w:sz="4" w:space="0" w:color="auto"/>
            </w:tcBorders>
            <w:noWrap/>
            <w:vAlign w:val="center"/>
            <w:hideMark/>
          </w:tcPr>
          <w:p w14:paraId="66501A8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2A16B5A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$27.00 </w:t>
            </w:r>
          </w:p>
        </w:tc>
      </w:tr>
      <w:tr w:rsidR="002815D4" w:rsidRPr="002815D4" w14:paraId="21FC2FA2" w14:textId="77777777" w:rsidTr="00935A18">
        <w:trPr>
          <w:trHeight w:val="440"/>
        </w:trPr>
        <w:tc>
          <w:tcPr>
            <w:tcW w:w="1287" w:type="dxa"/>
            <w:vMerge w:val="restart"/>
            <w:tcBorders>
              <w:top w:val="nil"/>
              <w:left w:val="single" w:sz="4" w:space="0" w:color="auto"/>
              <w:bottom w:val="single" w:sz="4" w:space="0" w:color="auto"/>
              <w:right w:val="single" w:sz="4" w:space="0" w:color="auto"/>
            </w:tcBorders>
            <w:vAlign w:val="center"/>
            <w:hideMark/>
          </w:tcPr>
          <w:p w14:paraId="5B596A1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Display Case</w:t>
            </w:r>
          </w:p>
        </w:tc>
        <w:tc>
          <w:tcPr>
            <w:tcW w:w="2943" w:type="dxa"/>
            <w:tcBorders>
              <w:top w:val="nil"/>
              <w:left w:val="nil"/>
              <w:bottom w:val="single" w:sz="4" w:space="0" w:color="auto"/>
              <w:right w:val="single" w:sz="4" w:space="0" w:color="auto"/>
            </w:tcBorders>
            <w:vAlign w:val="center"/>
            <w:hideMark/>
          </w:tcPr>
          <w:p w14:paraId="1047EC8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Display Case Light Fixture</w:t>
            </w:r>
          </w:p>
        </w:tc>
        <w:tc>
          <w:tcPr>
            <w:tcW w:w="859" w:type="dxa"/>
            <w:tcBorders>
              <w:top w:val="nil"/>
              <w:left w:val="nil"/>
              <w:bottom w:val="single" w:sz="4" w:space="0" w:color="auto"/>
              <w:right w:val="single" w:sz="4" w:space="0" w:color="auto"/>
            </w:tcBorders>
            <w:noWrap/>
            <w:vAlign w:val="center"/>
            <w:hideMark/>
          </w:tcPr>
          <w:p w14:paraId="324A517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6823E1D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$9.75/ft</w:t>
            </w:r>
          </w:p>
        </w:tc>
        <w:tc>
          <w:tcPr>
            <w:tcW w:w="959" w:type="dxa"/>
            <w:tcBorders>
              <w:top w:val="nil"/>
              <w:left w:val="nil"/>
              <w:bottom w:val="single" w:sz="4" w:space="0" w:color="auto"/>
              <w:right w:val="single" w:sz="4" w:space="0" w:color="auto"/>
            </w:tcBorders>
            <w:noWrap/>
            <w:vAlign w:val="center"/>
            <w:hideMark/>
          </w:tcPr>
          <w:p w14:paraId="439C34B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5A9E7BF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$11.88/ft</w:t>
            </w:r>
          </w:p>
        </w:tc>
        <w:tc>
          <w:tcPr>
            <w:tcW w:w="899" w:type="dxa"/>
            <w:tcBorders>
              <w:top w:val="nil"/>
              <w:left w:val="nil"/>
              <w:bottom w:val="single" w:sz="4" w:space="0" w:color="auto"/>
              <w:right w:val="nil"/>
            </w:tcBorders>
            <w:noWrap/>
            <w:vAlign w:val="center"/>
            <w:hideMark/>
          </w:tcPr>
          <w:p w14:paraId="0D066A6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2,500</w:t>
            </w:r>
          </w:p>
        </w:tc>
        <w:tc>
          <w:tcPr>
            <w:tcW w:w="1309" w:type="dxa"/>
            <w:tcBorders>
              <w:top w:val="nil"/>
              <w:left w:val="single" w:sz="4" w:space="0" w:color="auto"/>
              <w:bottom w:val="single" w:sz="4" w:space="0" w:color="auto"/>
              <w:right w:val="single" w:sz="4" w:space="0" w:color="auto"/>
            </w:tcBorders>
            <w:noWrap/>
            <w:vAlign w:val="center"/>
            <w:hideMark/>
          </w:tcPr>
          <w:p w14:paraId="4A2CC9A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$6.70 </w:t>
            </w:r>
          </w:p>
        </w:tc>
        <w:tc>
          <w:tcPr>
            <w:tcW w:w="959" w:type="dxa"/>
            <w:tcBorders>
              <w:top w:val="nil"/>
              <w:left w:val="nil"/>
              <w:bottom w:val="single" w:sz="4" w:space="0" w:color="auto"/>
              <w:right w:val="single" w:sz="4" w:space="0" w:color="auto"/>
            </w:tcBorders>
            <w:noWrap/>
            <w:vAlign w:val="center"/>
            <w:hideMark/>
          </w:tcPr>
          <w:p w14:paraId="3342175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09872DF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$5.63 </w:t>
            </w:r>
          </w:p>
        </w:tc>
      </w:tr>
      <w:tr w:rsidR="002815D4" w:rsidRPr="002815D4" w14:paraId="3322B0F2" w14:textId="77777777" w:rsidTr="00935A18">
        <w:trPr>
          <w:trHeight w:val="539"/>
        </w:trPr>
        <w:tc>
          <w:tcPr>
            <w:tcW w:w="1287" w:type="dxa"/>
            <w:vMerge/>
            <w:tcBorders>
              <w:top w:val="nil"/>
              <w:left w:val="single" w:sz="4" w:space="0" w:color="auto"/>
              <w:bottom w:val="single" w:sz="4" w:space="0" w:color="auto"/>
              <w:right w:val="single" w:sz="4" w:space="0" w:color="auto"/>
            </w:tcBorders>
            <w:vAlign w:val="center"/>
            <w:hideMark/>
          </w:tcPr>
          <w:p w14:paraId="62BC22D4"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66911C1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Undercabinet Shelf-Mounted Task Light Fixtures</w:t>
            </w:r>
          </w:p>
        </w:tc>
        <w:tc>
          <w:tcPr>
            <w:tcW w:w="859" w:type="dxa"/>
            <w:tcBorders>
              <w:top w:val="nil"/>
              <w:left w:val="nil"/>
              <w:bottom w:val="single" w:sz="4" w:space="0" w:color="auto"/>
              <w:right w:val="single" w:sz="4" w:space="0" w:color="auto"/>
            </w:tcBorders>
            <w:noWrap/>
            <w:vAlign w:val="center"/>
            <w:hideMark/>
          </w:tcPr>
          <w:p w14:paraId="67EEBE7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4D0D086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$9.75/ft</w:t>
            </w:r>
          </w:p>
        </w:tc>
        <w:tc>
          <w:tcPr>
            <w:tcW w:w="959" w:type="dxa"/>
            <w:tcBorders>
              <w:top w:val="nil"/>
              <w:left w:val="nil"/>
              <w:bottom w:val="single" w:sz="4" w:space="0" w:color="auto"/>
              <w:right w:val="single" w:sz="4" w:space="0" w:color="auto"/>
            </w:tcBorders>
            <w:noWrap/>
            <w:vAlign w:val="center"/>
            <w:hideMark/>
          </w:tcPr>
          <w:p w14:paraId="08096F2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6CFAFDE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$11.88/ft</w:t>
            </w:r>
          </w:p>
        </w:tc>
        <w:tc>
          <w:tcPr>
            <w:tcW w:w="899" w:type="dxa"/>
            <w:tcBorders>
              <w:top w:val="nil"/>
              <w:left w:val="nil"/>
              <w:bottom w:val="single" w:sz="4" w:space="0" w:color="auto"/>
              <w:right w:val="nil"/>
            </w:tcBorders>
            <w:noWrap/>
            <w:vAlign w:val="center"/>
            <w:hideMark/>
          </w:tcPr>
          <w:p w14:paraId="73EC01C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2,500</w:t>
            </w:r>
          </w:p>
        </w:tc>
        <w:tc>
          <w:tcPr>
            <w:tcW w:w="1309" w:type="dxa"/>
            <w:tcBorders>
              <w:top w:val="nil"/>
              <w:left w:val="single" w:sz="4" w:space="0" w:color="auto"/>
              <w:bottom w:val="single" w:sz="4" w:space="0" w:color="auto"/>
              <w:right w:val="single" w:sz="4" w:space="0" w:color="auto"/>
            </w:tcBorders>
            <w:noWrap/>
            <w:vAlign w:val="center"/>
            <w:hideMark/>
          </w:tcPr>
          <w:p w14:paraId="400D0E3A"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$6.70 </w:t>
            </w:r>
          </w:p>
        </w:tc>
        <w:tc>
          <w:tcPr>
            <w:tcW w:w="959" w:type="dxa"/>
            <w:tcBorders>
              <w:top w:val="nil"/>
              <w:left w:val="nil"/>
              <w:bottom w:val="single" w:sz="4" w:space="0" w:color="auto"/>
              <w:right w:val="single" w:sz="4" w:space="0" w:color="auto"/>
            </w:tcBorders>
            <w:noWrap/>
            <w:vAlign w:val="center"/>
            <w:hideMark/>
          </w:tcPr>
          <w:p w14:paraId="4FE7A64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04E3D30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$5.63 </w:t>
            </w:r>
          </w:p>
        </w:tc>
      </w:tr>
      <w:tr w:rsidR="002815D4" w:rsidRPr="002815D4" w14:paraId="6E1E651C" w14:textId="77777777" w:rsidTr="00935A18">
        <w:trPr>
          <w:trHeight w:val="773"/>
        </w:trPr>
        <w:tc>
          <w:tcPr>
            <w:tcW w:w="1287" w:type="dxa"/>
            <w:vMerge/>
            <w:tcBorders>
              <w:top w:val="nil"/>
              <w:left w:val="single" w:sz="4" w:space="0" w:color="auto"/>
              <w:bottom w:val="single" w:sz="4" w:space="0" w:color="auto"/>
              <w:right w:val="single" w:sz="4" w:space="0" w:color="auto"/>
            </w:tcBorders>
            <w:vAlign w:val="center"/>
            <w:hideMark/>
          </w:tcPr>
          <w:p w14:paraId="54EAF6C0"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5508FE7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Refrigerated Case Light, Horizontal or Vertical</w:t>
            </w:r>
          </w:p>
        </w:tc>
        <w:tc>
          <w:tcPr>
            <w:tcW w:w="859" w:type="dxa"/>
            <w:tcBorders>
              <w:top w:val="nil"/>
              <w:left w:val="nil"/>
              <w:bottom w:val="single" w:sz="4" w:space="0" w:color="auto"/>
              <w:right w:val="single" w:sz="4" w:space="0" w:color="auto"/>
            </w:tcBorders>
            <w:noWrap/>
            <w:vAlign w:val="center"/>
            <w:hideMark/>
          </w:tcPr>
          <w:p w14:paraId="5517D9F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0F121A20"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$8.63/ft</w:t>
            </w:r>
          </w:p>
        </w:tc>
        <w:tc>
          <w:tcPr>
            <w:tcW w:w="959" w:type="dxa"/>
            <w:tcBorders>
              <w:top w:val="nil"/>
              <w:left w:val="nil"/>
              <w:bottom w:val="single" w:sz="4" w:space="0" w:color="auto"/>
              <w:right w:val="single" w:sz="4" w:space="0" w:color="auto"/>
            </w:tcBorders>
            <w:noWrap/>
            <w:vAlign w:val="center"/>
            <w:hideMark/>
          </w:tcPr>
          <w:p w14:paraId="4480E9F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209D306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$9.50/ft</w:t>
            </w:r>
          </w:p>
        </w:tc>
        <w:tc>
          <w:tcPr>
            <w:tcW w:w="899" w:type="dxa"/>
            <w:tcBorders>
              <w:top w:val="nil"/>
              <w:left w:val="nil"/>
              <w:bottom w:val="single" w:sz="4" w:space="0" w:color="auto"/>
              <w:right w:val="nil"/>
            </w:tcBorders>
            <w:noWrap/>
            <w:vAlign w:val="center"/>
            <w:hideMark/>
          </w:tcPr>
          <w:p w14:paraId="4956C0A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15,000</w:t>
            </w:r>
          </w:p>
        </w:tc>
        <w:tc>
          <w:tcPr>
            <w:tcW w:w="1309" w:type="dxa"/>
            <w:tcBorders>
              <w:top w:val="nil"/>
              <w:left w:val="single" w:sz="4" w:space="0" w:color="auto"/>
              <w:bottom w:val="single" w:sz="4" w:space="0" w:color="auto"/>
              <w:right w:val="single" w:sz="4" w:space="0" w:color="auto"/>
            </w:tcBorders>
            <w:noWrap/>
            <w:vAlign w:val="center"/>
            <w:hideMark/>
          </w:tcPr>
          <w:p w14:paraId="202A7DD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$1.13 </w:t>
            </w:r>
          </w:p>
        </w:tc>
        <w:tc>
          <w:tcPr>
            <w:tcW w:w="959" w:type="dxa"/>
            <w:tcBorders>
              <w:top w:val="nil"/>
              <w:left w:val="nil"/>
              <w:bottom w:val="single" w:sz="4" w:space="0" w:color="auto"/>
              <w:right w:val="single" w:sz="4" w:space="0" w:color="auto"/>
            </w:tcBorders>
            <w:noWrap/>
            <w:vAlign w:val="center"/>
            <w:hideMark/>
          </w:tcPr>
          <w:p w14:paraId="192AAED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15836DF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$8.00 </w:t>
            </w:r>
          </w:p>
        </w:tc>
      </w:tr>
      <w:tr w:rsidR="002815D4" w:rsidRPr="002815D4" w14:paraId="74F946D6" w14:textId="77777777" w:rsidTr="00935A18">
        <w:trPr>
          <w:trHeight w:val="521"/>
        </w:trPr>
        <w:tc>
          <w:tcPr>
            <w:tcW w:w="1287" w:type="dxa"/>
            <w:vMerge/>
            <w:tcBorders>
              <w:top w:val="nil"/>
              <w:left w:val="single" w:sz="4" w:space="0" w:color="auto"/>
              <w:bottom w:val="single" w:sz="4" w:space="0" w:color="auto"/>
              <w:right w:val="single" w:sz="4" w:space="0" w:color="auto"/>
            </w:tcBorders>
            <w:vAlign w:val="center"/>
            <w:hideMark/>
          </w:tcPr>
          <w:p w14:paraId="1F19CED9"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3C210F0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Freezer Case Light, Horizontal or Vertical</w:t>
            </w:r>
          </w:p>
        </w:tc>
        <w:tc>
          <w:tcPr>
            <w:tcW w:w="859" w:type="dxa"/>
            <w:tcBorders>
              <w:top w:val="nil"/>
              <w:left w:val="nil"/>
              <w:bottom w:val="single" w:sz="4" w:space="0" w:color="auto"/>
              <w:right w:val="single" w:sz="4" w:space="0" w:color="auto"/>
            </w:tcBorders>
            <w:noWrap/>
            <w:vAlign w:val="center"/>
            <w:hideMark/>
          </w:tcPr>
          <w:p w14:paraId="5B4B7D1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7A0A3EC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$7.88/ft</w:t>
            </w:r>
          </w:p>
        </w:tc>
        <w:tc>
          <w:tcPr>
            <w:tcW w:w="959" w:type="dxa"/>
            <w:tcBorders>
              <w:top w:val="nil"/>
              <w:left w:val="nil"/>
              <w:bottom w:val="single" w:sz="4" w:space="0" w:color="auto"/>
              <w:right w:val="single" w:sz="4" w:space="0" w:color="auto"/>
            </w:tcBorders>
            <w:noWrap/>
            <w:vAlign w:val="center"/>
            <w:hideMark/>
          </w:tcPr>
          <w:p w14:paraId="76185D2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1FBB300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$7.92/ft</w:t>
            </w:r>
          </w:p>
        </w:tc>
        <w:tc>
          <w:tcPr>
            <w:tcW w:w="899" w:type="dxa"/>
            <w:tcBorders>
              <w:top w:val="nil"/>
              <w:left w:val="nil"/>
              <w:bottom w:val="single" w:sz="4" w:space="0" w:color="auto"/>
              <w:right w:val="nil"/>
            </w:tcBorders>
            <w:noWrap/>
            <w:vAlign w:val="center"/>
            <w:hideMark/>
          </w:tcPr>
          <w:p w14:paraId="6B2E950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12,000</w:t>
            </w:r>
          </w:p>
        </w:tc>
        <w:tc>
          <w:tcPr>
            <w:tcW w:w="1309" w:type="dxa"/>
            <w:tcBorders>
              <w:top w:val="nil"/>
              <w:left w:val="single" w:sz="4" w:space="0" w:color="auto"/>
              <w:bottom w:val="single" w:sz="4" w:space="0" w:color="auto"/>
              <w:right w:val="single" w:sz="4" w:space="0" w:color="auto"/>
            </w:tcBorders>
            <w:noWrap/>
            <w:vAlign w:val="center"/>
            <w:hideMark/>
          </w:tcPr>
          <w:p w14:paraId="7517D32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$0.94 </w:t>
            </w:r>
          </w:p>
        </w:tc>
        <w:tc>
          <w:tcPr>
            <w:tcW w:w="959" w:type="dxa"/>
            <w:tcBorders>
              <w:top w:val="nil"/>
              <w:left w:val="nil"/>
              <w:bottom w:val="single" w:sz="4" w:space="0" w:color="auto"/>
              <w:right w:val="single" w:sz="4" w:space="0" w:color="auto"/>
            </w:tcBorders>
            <w:noWrap/>
            <w:vAlign w:val="center"/>
            <w:hideMark/>
          </w:tcPr>
          <w:p w14:paraId="2E0C8691"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319324D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$6.67 </w:t>
            </w:r>
          </w:p>
        </w:tc>
      </w:tr>
      <w:tr w:rsidR="002815D4" w:rsidRPr="002815D4" w14:paraId="0508E3E7" w14:textId="77777777" w:rsidTr="00935A18">
        <w:trPr>
          <w:trHeight w:val="557"/>
        </w:trPr>
        <w:tc>
          <w:tcPr>
            <w:tcW w:w="1287" w:type="dxa"/>
            <w:vMerge w:val="restart"/>
            <w:tcBorders>
              <w:top w:val="nil"/>
              <w:left w:val="single" w:sz="4" w:space="0" w:color="auto"/>
              <w:bottom w:val="single" w:sz="4" w:space="0" w:color="auto"/>
              <w:right w:val="single" w:sz="4" w:space="0" w:color="auto"/>
            </w:tcBorders>
            <w:vAlign w:val="center"/>
            <w:hideMark/>
          </w:tcPr>
          <w:p w14:paraId="1A1F6DD1"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Linear Replacement Lamps</w:t>
            </w:r>
          </w:p>
        </w:tc>
        <w:tc>
          <w:tcPr>
            <w:tcW w:w="2943" w:type="dxa"/>
            <w:tcBorders>
              <w:top w:val="nil"/>
              <w:left w:val="nil"/>
              <w:bottom w:val="single" w:sz="4" w:space="0" w:color="auto"/>
              <w:right w:val="single" w:sz="4" w:space="0" w:color="auto"/>
            </w:tcBorders>
            <w:vAlign w:val="center"/>
            <w:hideMark/>
          </w:tcPr>
          <w:p w14:paraId="42C497F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T8 LED Replacement Lamp (TLED), &lt; 1200 lumens</w:t>
            </w:r>
          </w:p>
        </w:tc>
        <w:tc>
          <w:tcPr>
            <w:tcW w:w="859" w:type="dxa"/>
            <w:tcBorders>
              <w:top w:val="nil"/>
              <w:left w:val="nil"/>
              <w:bottom w:val="single" w:sz="4" w:space="0" w:color="auto"/>
              <w:right w:val="single" w:sz="4" w:space="0" w:color="auto"/>
            </w:tcBorders>
            <w:noWrap/>
            <w:vAlign w:val="center"/>
            <w:hideMark/>
          </w:tcPr>
          <w:p w14:paraId="0B06723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1158642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$5.76 </w:t>
            </w:r>
          </w:p>
        </w:tc>
        <w:tc>
          <w:tcPr>
            <w:tcW w:w="959" w:type="dxa"/>
            <w:tcBorders>
              <w:top w:val="nil"/>
              <w:left w:val="nil"/>
              <w:bottom w:val="single" w:sz="4" w:space="0" w:color="auto"/>
              <w:right w:val="single" w:sz="4" w:space="0" w:color="auto"/>
            </w:tcBorders>
            <w:noWrap/>
            <w:vAlign w:val="center"/>
            <w:hideMark/>
          </w:tcPr>
          <w:p w14:paraId="0706DA2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2CECB80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$13.67 </w:t>
            </w:r>
          </w:p>
        </w:tc>
        <w:tc>
          <w:tcPr>
            <w:tcW w:w="899" w:type="dxa"/>
            <w:tcBorders>
              <w:top w:val="nil"/>
              <w:left w:val="nil"/>
              <w:bottom w:val="single" w:sz="4" w:space="0" w:color="auto"/>
              <w:right w:val="nil"/>
            </w:tcBorders>
            <w:noWrap/>
            <w:vAlign w:val="center"/>
            <w:hideMark/>
          </w:tcPr>
          <w:p w14:paraId="105DC46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30,000</w:t>
            </w:r>
          </w:p>
        </w:tc>
        <w:tc>
          <w:tcPr>
            <w:tcW w:w="1309" w:type="dxa"/>
            <w:tcBorders>
              <w:top w:val="nil"/>
              <w:left w:val="single" w:sz="4" w:space="0" w:color="auto"/>
              <w:bottom w:val="single" w:sz="4" w:space="0" w:color="auto"/>
              <w:right w:val="single" w:sz="4" w:space="0" w:color="auto"/>
            </w:tcBorders>
            <w:noWrap/>
            <w:vAlign w:val="center"/>
            <w:hideMark/>
          </w:tcPr>
          <w:p w14:paraId="7844A30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$6.17 </w:t>
            </w:r>
          </w:p>
        </w:tc>
        <w:tc>
          <w:tcPr>
            <w:tcW w:w="959" w:type="dxa"/>
            <w:tcBorders>
              <w:top w:val="nil"/>
              <w:left w:val="nil"/>
              <w:bottom w:val="single" w:sz="4" w:space="0" w:color="auto"/>
              <w:right w:val="single" w:sz="4" w:space="0" w:color="auto"/>
            </w:tcBorders>
            <w:noWrap/>
            <w:vAlign w:val="center"/>
            <w:hideMark/>
          </w:tcPr>
          <w:p w14:paraId="7C2EDD7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2CF318B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$11.96 </w:t>
            </w:r>
          </w:p>
        </w:tc>
      </w:tr>
      <w:tr w:rsidR="002815D4" w:rsidRPr="002815D4" w14:paraId="5F515520" w14:textId="77777777" w:rsidTr="00935A18">
        <w:trPr>
          <w:trHeight w:val="611"/>
        </w:trPr>
        <w:tc>
          <w:tcPr>
            <w:tcW w:w="1287" w:type="dxa"/>
            <w:vMerge/>
            <w:tcBorders>
              <w:top w:val="nil"/>
              <w:left w:val="single" w:sz="4" w:space="0" w:color="auto"/>
              <w:bottom w:val="single" w:sz="4" w:space="0" w:color="auto"/>
              <w:right w:val="single" w:sz="4" w:space="0" w:color="auto"/>
            </w:tcBorders>
            <w:vAlign w:val="center"/>
            <w:hideMark/>
          </w:tcPr>
          <w:p w14:paraId="411BD535"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63CF263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T8 LED Replacement Lamp (TLED), 1200-2400 lumens</w:t>
            </w:r>
          </w:p>
        </w:tc>
        <w:tc>
          <w:tcPr>
            <w:tcW w:w="859" w:type="dxa"/>
            <w:tcBorders>
              <w:top w:val="nil"/>
              <w:left w:val="nil"/>
              <w:bottom w:val="single" w:sz="4" w:space="0" w:color="auto"/>
              <w:right w:val="single" w:sz="4" w:space="0" w:color="auto"/>
            </w:tcBorders>
            <w:noWrap/>
            <w:vAlign w:val="center"/>
            <w:hideMark/>
          </w:tcPr>
          <w:p w14:paraId="1CFB307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6B7FA03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$8.57 </w:t>
            </w:r>
          </w:p>
        </w:tc>
        <w:tc>
          <w:tcPr>
            <w:tcW w:w="959" w:type="dxa"/>
            <w:tcBorders>
              <w:top w:val="nil"/>
              <w:left w:val="nil"/>
              <w:bottom w:val="single" w:sz="4" w:space="0" w:color="auto"/>
              <w:right w:val="single" w:sz="4" w:space="0" w:color="auto"/>
            </w:tcBorders>
            <w:noWrap/>
            <w:vAlign w:val="center"/>
            <w:hideMark/>
          </w:tcPr>
          <w:p w14:paraId="1A336841"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413357A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$13.67 </w:t>
            </w:r>
          </w:p>
        </w:tc>
        <w:tc>
          <w:tcPr>
            <w:tcW w:w="899" w:type="dxa"/>
            <w:tcBorders>
              <w:top w:val="nil"/>
              <w:left w:val="nil"/>
              <w:bottom w:val="single" w:sz="4" w:space="0" w:color="auto"/>
              <w:right w:val="nil"/>
            </w:tcBorders>
            <w:noWrap/>
            <w:vAlign w:val="center"/>
            <w:hideMark/>
          </w:tcPr>
          <w:p w14:paraId="69B6C443"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24,000</w:t>
            </w:r>
          </w:p>
        </w:tc>
        <w:tc>
          <w:tcPr>
            <w:tcW w:w="1309" w:type="dxa"/>
            <w:tcBorders>
              <w:top w:val="nil"/>
              <w:left w:val="single" w:sz="4" w:space="0" w:color="auto"/>
              <w:bottom w:val="single" w:sz="4" w:space="0" w:color="auto"/>
              <w:right w:val="single" w:sz="4" w:space="0" w:color="auto"/>
            </w:tcBorders>
            <w:noWrap/>
            <w:vAlign w:val="center"/>
            <w:hideMark/>
          </w:tcPr>
          <w:p w14:paraId="23941E53"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$6.17 </w:t>
            </w:r>
          </w:p>
        </w:tc>
        <w:tc>
          <w:tcPr>
            <w:tcW w:w="959" w:type="dxa"/>
            <w:tcBorders>
              <w:top w:val="nil"/>
              <w:left w:val="nil"/>
              <w:bottom w:val="single" w:sz="4" w:space="0" w:color="auto"/>
              <w:right w:val="single" w:sz="4" w:space="0" w:color="auto"/>
            </w:tcBorders>
            <w:noWrap/>
            <w:vAlign w:val="center"/>
            <w:hideMark/>
          </w:tcPr>
          <w:p w14:paraId="045C23C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5DD56A0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$11.96 </w:t>
            </w:r>
          </w:p>
        </w:tc>
      </w:tr>
      <w:tr w:rsidR="002815D4" w:rsidRPr="002815D4" w14:paraId="68936FE2" w14:textId="77777777" w:rsidTr="00935A18">
        <w:trPr>
          <w:trHeight w:val="539"/>
        </w:trPr>
        <w:tc>
          <w:tcPr>
            <w:tcW w:w="1287" w:type="dxa"/>
            <w:vMerge/>
            <w:tcBorders>
              <w:top w:val="nil"/>
              <w:left w:val="single" w:sz="4" w:space="0" w:color="auto"/>
              <w:bottom w:val="single" w:sz="4" w:space="0" w:color="auto"/>
              <w:right w:val="single" w:sz="4" w:space="0" w:color="auto"/>
            </w:tcBorders>
            <w:vAlign w:val="center"/>
            <w:hideMark/>
          </w:tcPr>
          <w:p w14:paraId="4E3B8A82"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5D3D8DE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T8 LED Replacement Lamp (TLED), &gt; 2400 lumens</w:t>
            </w:r>
          </w:p>
        </w:tc>
        <w:tc>
          <w:tcPr>
            <w:tcW w:w="859" w:type="dxa"/>
            <w:tcBorders>
              <w:top w:val="nil"/>
              <w:left w:val="nil"/>
              <w:bottom w:val="single" w:sz="4" w:space="0" w:color="auto"/>
              <w:right w:val="single" w:sz="4" w:space="0" w:color="auto"/>
            </w:tcBorders>
            <w:noWrap/>
            <w:vAlign w:val="center"/>
            <w:hideMark/>
          </w:tcPr>
          <w:p w14:paraId="1D7A516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7891BED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$8.57 </w:t>
            </w:r>
          </w:p>
        </w:tc>
        <w:tc>
          <w:tcPr>
            <w:tcW w:w="959" w:type="dxa"/>
            <w:tcBorders>
              <w:top w:val="nil"/>
              <w:left w:val="nil"/>
              <w:bottom w:val="single" w:sz="4" w:space="0" w:color="auto"/>
              <w:right w:val="single" w:sz="4" w:space="0" w:color="auto"/>
            </w:tcBorders>
            <w:noWrap/>
            <w:vAlign w:val="center"/>
            <w:hideMark/>
          </w:tcPr>
          <w:p w14:paraId="0A5464C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62AAF23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$13.67 </w:t>
            </w:r>
          </w:p>
        </w:tc>
        <w:tc>
          <w:tcPr>
            <w:tcW w:w="899" w:type="dxa"/>
            <w:tcBorders>
              <w:top w:val="nil"/>
              <w:left w:val="nil"/>
              <w:bottom w:val="single" w:sz="4" w:space="0" w:color="auto"/>
              <w:right w:val="nil"/>
            </w:tcBorders>
            <w:noWrap/>
            <w:vAlign w:val="center"/>
            <w:hideMark/>
          </w:tcPr>
          <w:p w14:paraId="531A421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18,000</w:t>
            </w:r>
          </w:p>
        </w:tc>
        <w:tc>
          <w:tcPr>
            <w:tcW w:w="1309" w:type="dxa"/>
            <w:tcBorders>
              <w:top w:val="nil"/>
              <w:left w:val="single" w:sz="4" w:space="0" w:color="auto"/>
              <w:bottom w:val="single" w:sz="4" w:space="0" w:color="auto"/>
              <w:right w:val="single" w:sz="4" w:space="0" w:color="auto"/>
            </w:tcBorders>
            <w:noWrap/>
            <w:vAlign w:val="center"/>
            <w:hideMark/>
          </w:tcPr>
          <w:p w14:paraId="3165D1E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$6.17 </w:t>
            </w:r>
          </w:p>
        </w:tc>
        <w:tc>
          <w:tcPr>
            <w:tcW w:w="959" w:type="dxa"/>
            <w:tcBorders>
              <w:top w:val="nil"/>
              <w:left w:val="nil"/>
              <w:bottom w:val="single" w:sz="4" w:space="0" w:color="auto"/>
              <w:right w:val="single" w:sz="4" w:space="0" w:color="auto"/>
            </w:tcBorders>
            <w:noWrap/>
            <w:vAlign w:val="center"/>
            <w:hideMark/>
          </w:tcPr>
          <w:p w14:paraId="2A32868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6F609DD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$11.96 </w:t>
            </w:r>
          </w:p>
        </w:tc>
      </w:tr>
      <w:tr w:rsidR="002815D4" w:rsidRPr="002815D4" w14:paraId="7FBD5148" w14:textId="77777777" w:rsidTr="00935A18">
        <w:trPr>
          <w:trHeight w:val="782"/>
        </w:trPr>
        <w:tc>
          <w:tcPr>
            <w:tcW w:w="1287" w:type="dxa"/>
            <w:vMerge w:val="restart"/>
            <w:tcBorders>
              <w:top w:val="nil"/>
              <w:left w:val="single" w:sz="4" w:space="0" w:color="auto"/>
              <w:bottom w:val="single" w:sz="4" w:space="0" w:color="auto"/>
              <w:right w:val="single" w:sz="4" w:space="0" w:color="auto"/>
            </w:tcBorders>
            <w:vAlign w:val="center"/>
            <w:hideMark/>
          </w:tcPr>
          <w:p w14:paraId="7B380ED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Troffers</w:t>
            </w:r>
          </w:p>
        </w:tc>
        <w:tc>
          <w:tcPr>
            <w:tcW w:w="2943" w:type="dxa"/>
            <w:tcBorders>
              <w:top w:val="nil"/>
              <w:left w:val="nil"/>
              <w:bottom w:val="single" w:sz="4" w:space="0" w:color="auto"/>
              <w:right w:val="single" w:sz="4" w:space="0" w:color="auto"/>
            </w:tcBorders>
            <w:vAlign w:val="center"/>
            <w:hideMark/>
          </w:tcPr>
          <w:p w14:paraId="309E0A80"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2x2 Recessed Light Fixture, 2000-3500 lumens</w:t>
            </w:r>
          </w:p>
        </w:tc>
        <w:tc>
          <w:tcPr>
            <w:tcW w:w="859" w:type="dxa"/>
            <w:tcBorders>
              <w:top w:val="nil"/>
              <w:left w:val="nil"/>
              <w:bottom w:val="single" w:sz="4" w:space="0" w:color="auto"/>
              <w:right w:val="single" w:sz="4" w:space="0" w:color="auto"/>
            </w:tcBorders>
            <w:noWrap/>
            <w:vAlign w:val="center"/>
            <w:hideMark/>
          </w:tcPr>
          <w:p w14:paraId="3A059390"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02FAC49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$78.07 </w:t>
            </w:r>
          </w:p>
        </w:tc>
        <w:tc>
          <w:tcPr>
            <w:tcW w:w="959" w:type="dxa"/>
            <w:tcBorders>
              <w:top w:val="nil"/>
              <w:left w:val="nil"/>
              <w:bottom w:val="single" w:sz="4" w:space="0" w:color="auto"/>
              <w:right w:val="single" w:sz="4" w:space="0" w:color="auto"/>
            </w:tcBorders>
            <w:noWrap/>
            <w:vAlign w:val="center"/>
            <w:hideMark/>
          </w:tcPr>
          <w:p w14:paraId="6954C76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747349A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$40.00 </w:t>
            </w:r>
          </w:p>
        </w:tc>
        <w:tc>
          <w:tcPr>
            <w:tcW w:w="899" w:type="dxa"/>
            <w:tcBorders>
              <w:top w:val="nil"/>
              <w:left w:val="nil"/>
              <w:bottom w:val="single" w:sz="4" w:space="0" w:color="auto"/>
              <w:right w:val="nil"/>
            </w:tcBorders>
            <w:noWrap/>
            <w:vAlign w:val="center"/>
            <w:hideMark/>
          </w:tcPr>
          <w:p w14:paraId="05DDB78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24,000</w:t>
            </w:r>
          </w:p>
        </w:tc>
        <w:tc>
          <w:tcPr>
            <w:tcW w:w="1309" w:type="dxa"/>
            <w:tcBorders>
              <w:top w:val="nil"/>
              <w:left w:val="single" w:sz="4" w:space="0" w:color="auto"/>
              <w:bottom w:val="single" w:sz="4" w:space="0" w:color="auto"/>
              <w:right w:val="single" w:sz="4" w:space="0" w:color="auto"/>
            </w:tcBorders>
            <w:noWrap/>
            <w:vAlign w:val="center"/>
            <w:hideMark/>
          </w:tcPr>
          <w:p w14:paraId="25D79070"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$26.33 </w:t>
            </w:r>
          </w:p>
        </w:tc>
        <w:tc>
          <w:tcPr>
            <w:tcW w:w="959" w:type="dxa"/>
            <w:tcBorders>
              <w:top w:val="nil"/>
              <w:left w:val="nil"/>
              <w:bottom w:val="single" w:sz="4" w:space="0" w:color="auto"/>
              <w:right w:val="single" w:sz="4" w:space="0" w:color="auto"/>
            </w:tcBorders>
            <w:noWrap/>
            <w:vAlign w:val="center"/>
            <w:hideMark/>
          </w:tcPr>
          <w:p w14:paraId="59CCE7F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24EBA8F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$35.00 </w:t>
            </w:r>
          </w:p>
        </w:tc>
      </w:tr>
      <w:tr w:rsidR="002815D4" w:rsidRPr="002815D4" w14:paraId="504A7EE7" w14:textId="77777777" w:rsidTr="00935A18">
        <w:trPr>
          <w:trHeight w:val="638"/>
        </w:trPr>
        <w:tc>
          <w:tcPr>
            <w:tcW w:w="1287" w:type="dxa"/>
            <w:vMerge/>
            <w:tcBorders>
              <w:top w:val="nil"/>
              <w:left w:val="single" w:sz="4" w:space="0" w:color="auto"/>
              <w:bottom w:val="single" w:sz="4" w:space="0" w:color="auto"/>
              <w:right w:val="single" w:sz="4" w:space="0" w:color="auto"/>
            </w:tcBorders>
            <w:vAlign w:val="center"/>
            <w:hideMark/>
          </w:tcPr>
          <w:p w14:paraId="1CE443A6"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7C0400F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2x2 Recessed Light Fixture, 3501-5000 lumens</w:t>
            </w:r>
          </w:p>
        </w:tc>
        <w:tc>
          <w:tcPr>
            <w:tcW w:w="859" w:type="dxa"/>
            <w:tcBorders>
              <w:top w:val="nil"/>
              <w:left w:val="nil"/>
              <w:bottom w:val="single" w:sz="4" w:space="0" w:color="auto"/>
              <w:right w:val="single" w:sz="4" w:space="0" w:color="auto"/>
            </w:tcBorders>
            <w:noWrap/>
            <w:vAlign w:val="center"/>
            <w:hideMark/>
          </w:tcPr>
          <w:p w14:paraId="40A5A60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2DDFFBB1"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$89.23 </w:t>
            </w:r>
          </w:p>
        </w:tc>
        <w:tc>
          <w:tcPr>
            <w:tcW w:w="959" w:type="dxa"/>
            <w:tcBorders>
              <w:top w:val="nil"/>
              <w:left w:val="nil"/>
              <w:bottom w:val="single" w:sz="4" w:space="0" w:color="auto"/>
              <w:right w:val="single" w:sz="4" w:space="0" w:color="auto"/>
            </w:tcBorders>
            <w:noWrap/>
            <w:vAlign w:val="center"/>
            <w:hideMark/>
          </w:tcPr>
          <w:p w14:paraId="04C78D4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76834CF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$40.00 </w:t>
            </w:r>
          </w:p>
        </w:tc>
        <w:tc>
          <w:tcPr>
            <w:tcW w:w="899" w:type="dxa"/>
            <w:tcBorders>
              <w:top w:val="nil"/>
              <w:left w:val="nil"/>
              <w:bottom w:val="single" w:sz="4" w:space="0" w:color="auto"/>
              <w:right w:val="nil"/>
            </w:tcBorders>
            <w:noWrap/>
            <w:vAlign w:val="center"/>
            <w:hideMark/>
          </w:tcPr>
          <w:p w14:paraId="262D2CE0"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24,000</w:t>
            </w:r>
          </w:p>
        </w:tc>
        <w:tc>
          <w:tcPr>
            <w:tcW w:w="1309" w:type="dxa"/>
            <w:tcBorders>
              <w:top w:val="nil"/>
              <w:left w:val="single" w:sz="4" w:space="0" w:color="auto"/>
              <w:bottom w:val="single" w:sz="4" w:space="0" w:color="auto"/>
              <w:right w:val="single" w:sz="4" w:space="0" w:color="auto"/>
            </w:tcBorders>
            <w:noWrap/>
            <w:vAlign w:val="center"/>
            <w:hideMark/>
          </w:tcPr>
          <w:p w14:paraId="2E1F523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$39.50 </w:t>
            </w:r>
          </w:p>
        </w:tc>
        <w:tc>
          <w:tcPr>
            <w:tcW w:w="959" w:type="dxa"/>
            <w:tcBorders>
              <w:top w:val="nil"/>
              <w:left w:val="nil"/>
              <w:bottom w:val="single" w:sz="4" w:space="0" w:color="auto"/>
              <w:right w:val="single" w:sz="4" w:space="0" w:color="auto"/>
            </w:tcBorders>
            <w:noWrap/>
            <w:vAlign w:val="center"/>
            <w:hideMark/>
          </w:tcPr>
          <w:p w14:paraId="02A29ED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33B560A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$35.00 </w:t>
            </w:r>
          </w:p>
        </w:tc>
      </w:tr>
      <w:tr w:rsidR="002815D4" w:rsidRPr="002815D4" w14:paraId="63984C34" w14:textId="77777777" w:rsidTr="00935A18">
        <w:trPr>
          <w:trHeight w:val="530"/>
        </w:trPr>
        <w:tc>
          <w:tcPr>
            <w:tcW w:w="1287" w:type="dxa"/>
            <w:vMerge/>
            <w:tcBorders>
              <w:top w:val="nil"/>
              <w:left w:val="single" w:sz="4" w:space="0" w:color="auto"/>
              <w:bottom w:val="single" w:sz="4" w:space="0" w:color="auto"/>
              <w:right w:val="single" w:sz="4" w:space="0" w:color="auto"/>
            </w:tcBorders>
            <w:vAlign w:val="center"/>
            <w:hideMark/>
          </w:tcPr>
          <w:p w14:paraId="54F33B49"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1236316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2x4 Recessed Light Fixture, 3000-4500 lumens</w:t>
            </w:r>
          </w:p>
        </w:tc>
        <w:tc>
          <w:tcPr>
            <w:tcW w:w="859" w:type="dxa"/>
            <w:tcBorders>
              <w:top w:val="nil"/>
              <w:left w:val="nil"/>
              <w:bottom w:val="single" w:sz="4" w:space="0" w:color="auto"/>
              <w:right w:val="single" w:sz="4" w:space="0" w:color="auto"/>
            </w:tcBorders>
            <w:noWrap/>
            <w:vAlign w:val="center"/>
            <w:hideMark/>
          </w:tcPr>
          <w:p w14:paraId="44129DC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193CA9B3"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$96.10 </w:t>
            </w:r>
          </w:p>
        </w:tc>
        <w:tc>
          <w:tcPr>
            <w:tcW w:w="959" w:type="dxa"/>
            <w:tcBorders>
              <w:top w:val="nil"/>
              <w:left w:val="nil"/>
              <w:bottom w:val="single" w:sz="4" w:space="0" w:color="auto"/>
              <w:right w:val="single" w:sz="4" w:space="0" w:color="auto"/>
            </w:tcBorders>
            <w:noWrap/>
            <w:vAlign w:val="center"/>
            <w:hideMark/>
          </w:tcPr>
          <w:p w14:paraId="474704E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0A93F9B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$40.00 </w:t>
            </w:r>
          </w:p>
        </w:tc>
        <w:tc>
          <w:tcPr>
            <w:tcW w:w="899" w:type="dxa"/>
            <w:tcBorders>
              <w:top w:val="nil"/>
              <w:left w:val="nil"/>
              <w:bottom w:val="single" w:sz="4" w:space="0" w:color="auto"/>
              <w:right w:val="nil"/>
            </w:tcBorders>
            <w:noWrap/>
            <w:vAlign w:val="center"/>
            <w:hideMark/>
          </w:tcPr>
          <w:p w14:paraId="69DEEB1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24,000</w:t>
            </w:r>
          </w:p>
        </w:tc>
        <w:tc>
          <w:tcPr>
            <w:tcW w:w="1309" w:type="dxa"/>
            <w:tcBorders>
              <w:top w:val="nil"/>
              <w:left w:val="single" w:sz="4" w:space="0" w:color="auto"/>
              <w:bottom w:val="single" w:sz="4" w:space="0" w:color="auto"/>
              <w:right w:val="single" w:sz="4" w:space="0" w:color="auto"/>
            </w:tcBorders>
            <w:noWrap/>
            <w:vAlign w:val="center"/>
            <w:hideMark/>
          </w:tcPr>
          <w:p w14:paraId="27EDD1D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$12.33 </w:t>
            </w:r>
          </w:p>
        </w:tc>
        <w:tc>
          <w:tcPr>
            <w:tcW w:w="959" w:type="dxa"/>
            <w:tcBorders>
              <w:top w:val="nil"/>
              <w:left w:val="nil"/>
              <w:bottom w:val="single" w:sz="4" w:space="0" w:color="auto"/>
              <w:right w:val="single" w:sz="4" w:space="0" w:color="auto"/>
            </w:tcBorders>
            <w:noWrap/>
            <w:vAlign w:val="center"/>
            <w:hideMark/>
          </w:tcPr>
          <w:p w14:paraId="6998AC1A"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210F50B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$35.00 </w:t>
            </w:r>
          </w:p>
        </w:tc>
      </w:tr>
      <w:tr w:rsidR="002815D4" w:rsidRPr="002815D4" w14:paraId="68FAF192" w14:textId="77777777" w:rsidTr="00935A18">
        <w:trPr>
          <w:trHeight w:val="620"/>
        </w:trPr>
        <w:tc>
          <w:tcPr>
            <w:tcW w:w="1287" w:type="dxa"/>
            <w:vMerge/>
            <w:tcBorders>
              <w:top w:val="nil"/>
              <w:left w:val="single" w:sz="4" w:space="0" w:color="auto"/>
              <w:bottom w:val="single" w:sz="4" w:space="0" w:color="auto"/>
              <w:right w:val="single" w:sz="4" w:space="0" w:color="auto"/>
            </w:tcBorders>
            <w:vAlign w:val="center"/>
            <w:hideMark/>
          </w:tcPr>
          <w:p w14:paraId="64B04AEB"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5A37060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2x4 Recessed Light Fixture, 4501-6000 lumens</w:t>
            </w:r>
          </w:p>
        </w:tc>
        <w:tc>
          <w:tcPr>
            <w:tcW w:w="859" w:type="dxa"/>
            <w:tcBorders>
              <w:top w:val="nil"/>
              <w:left w:val="nil"/>
              <w:bottom w:val="single" w:sz="4" w:space="0" w:color="auto"/>
              <w:right w:val="single" w:sz="4" w:space="0" w:color="auto"/>
            </w:tcBorders>
            <w:noWrap/>
            <w:vAlign w:val="center"/>
            <w:hideMark/>
          </w:tcPr>
          <w:p w14:paraId="0BEEAFD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5EDC32D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$114.37 </w:t>
            </w:r>
          </w:p>
        </w:tc>
        <w:tc>
          <w:tcPr>
            <w:tcW w:w="959" w:type="dxa"/>
            <w:tcBorders>
              <w:top w:val="nil"/>
              <w:left w:val="nil"/>
              <w:bottom w:val="single" w:sz="4" w:space="0" w:color="auto"/>
              <w:right w:val="single" w:sz="4" w:space="0" w:color="auto"/>
            </w:tcBorders>
            <w:noWrap/>
            <w:vAlign w:val="center"/>
            <w:hideMark/>
          </w:tcPr>
          <w:p w14:paraId="4096CE8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747EC16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$40.00 </w:t>
            </w:r>
          </w:p>
        </w:tc>
        <w:tc>
          <w:tcPr>
            <w:tcW w:w="899" w:type="dxa"/>
            <w:tcBorders>
              <w:top w:val="nil"/>
              <w:left w:val="nil"/>
              <w:bottom w:val="single" w:sz="4" w:space="0" w:color="auto"/>
              <w:right w:val="nil"/>
            </w:tcBorders>
            <w:noWrap/>
            <w:vAlign w:val="center"/>
            <w:hideMark/>
          </w:tcPr>
          <w:p w14:paraId="3DCE5F8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24,000</w:t>
            </w:r>
          </w:p>
        </w:tc>
        <w:tc>
          <w:tcPr>
            <w:tcW w:w="1309" w:type="dxa"/>
            <w:tcBorders>
              <w:top w:val="nil"/>
              <w:left w:val="single" w:sz="4" w:space="0" w:color="auto"/>
              <w:bottom w:val="single" w:sz="4" w:space="0" w:color="auto"/>
              <w:right w:val="single" w:sz="4" w:space="0" w:color="auto"/>
            </w:tcBorders>
            <w:noWrap/>
            <w:vAlign w:val="center"/>
            <w:hideMark/>
          </w:tcPr>
          <w:p w14:paraId="31330F5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$18.50 </w:t>
            </w:r>
          </w:p>
        </w:tc>
        <w:tc>
          <w:tcPr>
            <w:tcW w:w="959" w:type="dxa"/>
            <w:tcBorders>
              <w:top w:val="nil"/>
              <w:left w:val="nil"/>
              <w:bottom w:val="single" w:sz="4" w:space="0" w:color="auto"/>
              <w:right w:val="single" w:sz="4" w:space="0" w:color="auto"/>
            </w:tcBorders>
            <w:noWrap/>
            <w:vAlign w:val="center"/>
            <w:hideMark/>
          </w:tcPr>
          <w:p w14:paraId="0EE1366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70F1028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$35.00 </w:t>
            </w:r>
          </w:p>
        </w:tc>
      </w:tr>
      <w:tr w:rsidR="002815D4" w:rsidRPr="002815D4" w14:paraId="7871FFB8" w14:textId="77777777" w:rsidTr="00935A18">
        <w:trPr>
          <w:trHeight w:val="539"/>
        </w:trPr>
        <w:tc>
          <w:tcPr>
            <w:tcW w:w="1287" w:type="dxa"/>
            <w:vMerge/>
            <w:tcBorders>
              <w:top w:val="nil"/>
              <w:left w:val="single" w:sz="4" w:space="0" w:color="auto"/>
              <w:bottom w:val="single" w:sz="4" w:space="0" w:color="auto"/>
              <w:right w:val="single" w:sz="4" w:space="0" w:color="auto"/>
            </w:tcBorders>
            <w:vAlign w:val="center"/>
            <w:hideMark/>
          </w:tcPr>
          <w:p w14:paraId="7E126A0B"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237B1971"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2x4 Recessed Light Fixture, 6001-7500 lumens</w:t>
            </w:r>
          </w:p>
        </w:tc>
        <w:tc>
          <w:tcPr>
            <w:tcW w:w="859" w:type="dxa"/>
            <w:tcBorders>
              <w:top w:val="nil"/>
              <w:left w:val="nil"/>
              <w:bottom w:val="single" w:sz="4" w:space="0" w:color="auto"/>
              <w:right w:val="single" w:sz="4" w:space="0" w:color="auto"/>
            </w:tcBorders>
            <w:noWrap/>
            <w:vAlign w:val="center"/>
            <w:hideMark/>
          </w:tcPr>
          <w:p w14:paraId="448BB7D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3F180733"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$137.43 </w:t>
            </w:r>
          </w:p>
        </w:tc>
        <w:tc>
          <w:tcPr>
            <w:tcW w:w="959" w:type="dxa"/>
            <w:tcBorders>
              <w:top w:val="nil"/>
              <w:left w:val="nil"/>
              <w:bottom w:val="single" w:sz="4" w:space="0" w:color="auto"/>
              <w:right w:val="single" w:sz="4" w:space="0" w:color="auto"/>
            </w:tcBorders>
            <w:noWrap/>
            <w:vAlign w:val="center"/>
            <w:hideMark/>
          </w:tcPr>
          <w:p w14:paraId="17D8F86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79BF8A0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$40.00 </w:t>
            </w:r>
          </w:p>
        </w:tc>
        <w:tc>
          <w:tcPr>
            <w:tcW w:w="899" w:type="dxa"/>
            <w:tcBorders>
              <w:top w:val="nil"/>
              <w:left w:val="nil"/>
              <w:bottom w:val="single" w:sz="4" w:space="0" w:color="auto"/>
              <w:right w:val="nil"/>
            </w:tcBorders>
            <w:noWrap/>
            <w:vAlign w:val="center"/>
            <w:hideMark/>
          </w:tcPr>
          <w:p w14:paraId="441FD26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24,000</w:t>
            </w:r>
          </w:p>
        </w:tc>
        <w:tc>
          <w:tcPr>
            <w:tcW w:w="1309" w:type="dxa"/>
            <w:tcBorders>
              <w:top w:val="nil"/>
              <w:left w:val="single" w:sz="4" w:space="0" w:color="auto"/>
              <w:bottom w:val="single" w:sz="4" w:space="0" w:color="auto"/>
              <w:right w:val="single" w:sz="4" w:space="0" w:color="auto"/>
            </w:tcBorders>
            <w:noWrap/>
            <w:vAlign w:val="center"/>
            <w:hideMark/>
          </w:tcPr>
          <w:p w14:paraId="13D70CB0"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$24.67 </w:t>
            </w:r>
          </w:p>
        </w:tc>
        <w:tc>
          <w:tcPr>
            <w:tcW w:w="959" w:type="dxa"/>
            <w:tcBorders>
              <w:top w:val="nil"/>
              <w:left w:val="nil"/>
              <w:bottom w:val="single" w:sz="4" w:space="0" w:color="auto"/>
              <w:right w:val="single" w:sz="4" w:space="0" w:color="auto"/>
            </w:tcBorders>
            <w:noWrap/>
            <w:vAlign w:val="center"/>
            <w:hideMark/>
          </w:tcPr>
          <w:p w14:paraId="3C0E84E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140E0211"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$35.00 </w:t>
            </w:r>
          </w:p>
        </w:tc>
      </w:tr>
      <w:tr w:rsidR="002815D4" w:rsidRPr="002815D4" w14:paraId="7A14FE81" w14:textId="77777777" w:rsidTr="00935A18">
        <w:trPr>
          <w:trHeight w:val="521"/>
        </w:trPr>
        <w:tc>
          <w:tcPr>
            <w:tcW w:w="1287" w:type="dxa"/>
            <w:vMerge/>
            <w:tcBorders>
              <w:top w:val="nil"/>
              <w:left w:val="single" w:sz="4" w:space="0" w:color="auto"/>
              <w:bottom w:val="single" w:sz="4" w:space="0" w:color="auto"/>
              <w:right w:val="single" w:sz="4" w:space="0" w:color="auto"/>
            </w:tcBorders>
            <w:vAlign w:val="center"/>
            <w:hideMark/>
          </w:tcPr>
          <w:p w14:paraId="486C22DD"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77825D3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1x4 Recessed Light Fixture, 1500-3000 lumens</w:t>
            </w:r>
          </w:p>
        </w:tc>
        <w:tc>
          <w:tcPr>
            <w:tcW w:w="859" w:type="dxa"/>
            <w:tcBorders>
              <w:top w:val="nil"/>
              <w:left w:val="nil"/>
              <w:bottom w:val="single" w:sz="4" w:space="0" w:color="auto"/>
              <w:right w:val="single" w:sz="4" w:space="0" w:color="auto"/>
            </w:tcBorders>
            <w:noWrap/>
            <w:vAlign w:val="center"/>
            <w:hideMark/>
          </w:tcPr>
          <w:p w14:paraId="5F3ED42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085DDFF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$65.43 </w:t>
            </w:r>
          </w:p>
        </w:tc>
        <w:tc>
          <w:tcPr>
            <w:tcW w:w="959" w:type="dxa"/>
            <w:tcBorders>
              <w:top w:val="nil"/>
              <w:left w:val="nil"/>
              <w:bottom w:val="single" w:sz="4" w:space="0" w:color="auto"/>
              <w:right w:val="single" w:sz="4" w:space="0" w:color="auto"/>
            </w:tcBorders>
            <w:noWrap/>
            <w:vAlign w:val="center"/>
            <w:hideMark/>
          </w:tcPr>
          <w:p w14:paraId="1465F3F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264D913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$40.00 </w:t>
            </w:r>
          </w:p>
        </w:tc>
        <w:tc>
          <w:tcPr>
            <w:tcW w:w="899" w:type="dxa"/>
            <w:tcBorders>
              <w:top w:val="nil"/>
              <w:left w:val="nil"/>
              <w:bottom w:val="single" w:sz="4" w:space="0" w:color="auto"/>
              <w:right w:val="nil"/>
            </w:tcBorders>
            <w:noWrap/>
            <w:vAlign w:val="center"/>
            <w:hideMark/>
          </w:tcPr>
          <w:p w14:paraId="08C8CB31"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24,000</w:t>
            </w:r>
          </w:p>
        </w:tc>
        <w:tc>
          <w:tcPr>
            <w:tcW w:w="1309" w:type="dxa"/>
            <w:tcBorders>
              <w:top w:val="nil"/>
              <w:left w:val="single" w:sz="4" w:space="0" w:color="auto"/>
              <w:bottom w:val="single" w:sz="4" w:space="0" w:color="auto"/>
              <w:right w:val="single" w:sz="4" w:space="0" w:color="auto"/>
            </w:tcBorders>
            <w:noWrap/>
            <w:vAlign w:val="center"/>
            <w:hideMark/>
          </w:tcPr>
          <w:p w14:paraId="1A27D2F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$6.17 </w:t>
            </w:r>
          </w:p>
        </w:tc>
        <w:tc>
          <w:tcPr>
            <w:tcW w:w="959" w:type="dxa"/>
            <w:tcBorders>
              <w:top w:val="nil"/>
              <w:left w:val="nil"/>
              <w:bottom w:val="single" w:sz="4" w:space="0" w:color="auto"/>
              <w:right w:val="single" w:sz="4" w:space="0" w:color="auto"/>
            </w:tcBorders>
            <w:noWrap/>
            <w:vAlign w:val="center"/>
            <w:hideMark/>
          </w:tcPr>
          <w:p w14:paraId="04D5487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0549C4F1"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$35.00 </w:t>
            </w:r>
          </w:p>
        </w:tc>
      </w:tr>
      <w:tr w:rsidR="002815D4" w:rsidRPr="002815D4" w14:paraId="3C15CC64" w14:textId="77777777" w:rsidTr="00935A18">
        <w:trPr>
          <w:trHeight w:val="539"/>
        </w:trPr>
        <w:tc>
          <w:tcPr>
            <w:tcW w:w="1287" w:type="dxa"/>
            <w:vMerge/>
            <w:tcBorders>
              <w:top w:val="nil"/>
              <w:left w:val="single" w:sz="4" w:space="0" w:color="auto"/>
              <w:bottom w:val="single" w:sz="4" w:space="0" w:color="auto"/>
              <w:right w:val="single" w:sz="4" w:space="0" w:color="auto"/>
            </w:tcBorders>
            <w:vAlign w:val="center"/>
            <w:hideMark/>
          </w:tcPr>
          <w:p w14:paraId="12749A78"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1E56ADF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1x4 Recessed Light Fixture, 3001-4500 lumens</w:t>
            </w:r>
          </w:p>
        </w:tc>
        <w:tc>
          <w:tcPr>
            <w:tcW w:w="859" w:type="dxa"/>
            <w:tcBorders>
              <w:top w:val="nil"/>
              <w:left w:val="nil"/>
              <w:bottom w:val="single" w:sz="4" w:space="0" w:color="auto"/>
              <w:right w:val="single" w:sz="4" w:space="0" w:color="auto"/>
            </w:tcBorders>
            <w:noWrap/>
            <w:vAlign w:val="center"/>
            <w:hideMark/>
          </w:tcPr>
          <w:p w14:paraId="7E5C6AF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3A80733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$100.44 </w:t>
            </w:r>
          </w:p>
        </w:tc>
        <w:tc>
          <w:tcPr>
            <w:tcW w:w="959" w:type="dxa"/>
            <w:tcBorders>
              <w:top w:val="nil"/>
              <w:left w:val="nil"/>
              <w:bottom w:val="single" w:sz="4" w:space="0" w:color="auto"/>
              <w:right w:val="single" w:sz="4" w:space="0" w:color="auto"/>
            </w:tcBorders>
            <w:noWrap/>
            <w:vAlign w:val="center"/>
            <w:hideMark/>
          </w:tcPr>
          <w:p w14:paraId="6CD053E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0F2F9FB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$40.00 </w:t>
            </w:r>
          </w:p>
        </w:tc>
        <w:tc>
          <w:tcPr>
            <w:tcW w:w="899" w:type="dxa"/>
            <w:tcBorders>
              <w:top w:val="nil"/>
              <w:left w:val="nil"/>
              <w:bottom w:val="single" w:sz="4" w:space="0" w:color="auto"/>
              <w:right w:val="nil"/>
            </w:tcBorders>
            <w:noWrap/>
            <w:vAlign w:val="center"/>
            <w:hideMark/>
          </w:tcPr>
          <w:p w14:paraId="310FA87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24,000</w:t>
            </w:r>
          </w:p>
        </w:tc>
        <w:tc>
          <w:tcPr>
            <w:tcW w:w="1309" w:type="dxa"/>
            <w:tcBorders>
              <w:top w:val="nil"/>
              <w:left w:val="single" w:sz="4" w:space="0" w:color="auto"/>
              <w:bottom w:val="single" w:sz="4" w:space="0" w:color="auto"/>
              <w:right w:val="single" w:sz="4" w:space="0" w:color="auto"/>
            </w:tcBorders>
            <w:noWrap/>
            <w:vAlign w:val="center"/>
            <w:hideMark/>
          </w:tcPr>
          <w:p w14:paraId="40BECDC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$12.33 </w:t>
            </w:r>
          </w:p>
        </w:tc>
        <w:tc>
          <w:tcPr>
            <w:tcW w:w="959" w:type="dxa"/>
            <w:tcBorders>
              <w:top w:val="nil"/>
              <w:left w:val="nil"/>
              <w:bottom w:val="single" w:sz="4" w:space="0" w:color="auto"/>
              <w:right w:val="single" w:sz="4" w:space="0" w:color="auto"/>
            </w:tcBorders>
            <w:noWrap/>
            <w:vAlign w:val="center"/>
            <w:hideMark/>
          </w:tcPr>
          <w:p w14:paraId="72E8F80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6E7FE8E0"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$35.00 </w:t>
            </w:r>
          </w:p>
        </w:tc>
      </w:tr>
      <w:tr w:rsidR="002815D4" w:rsidRPr="002815D4" w14:paraId="0343C331" w14:textId="77777777" w:rsidTr="00935A18">
        <w:trPr>
          <w:trHeight w:val="611"/>
        </w:trPr>
        <w:tc>
          <w:tcPr>
            <w:tcW w:w="1287" w:type="dxa"/>
            <w:vMerge/>
            <w:tcBorders>
              <w:top w:val="nil"/>
              <w:left w:val="single" w:sz="4" w:space="0" w:color="auto"/>
              <w:bottom w:val="single" w:sz="4" w:space="0" w:color="auto"/>
              <w:right w:val="single" w:sz="4" w:space="0" w:color="auto"/>
            </w:tcBorders>
            <w:vAlign w:val="center"/>
            <w:hideMark/>
          </w:tcPr>
          <w:p w14:paraId="2B4EEB46"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0DA4B93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1x4 Recessed Light Fixture, 4501-6000 lumens</w:t>
            </w:r>
          </w:p>
        </w:tc>
        <w:tc>
          <w:tcPr>
            <w:tcW w:w="859" w:type="dxa"/>
            <w:tcBorders>
              <w:top w:val="nil"/>
              <w:left w:val="nil"/>
              <w:bottom w:val="single" w:sz="4" w:space="0" w:color="auto"/>
              <w:right w:val="single" w:sz="4" w:space="0" w:color="auto"/>
            </w:tcBorders>
            <w:noWrap/>
            <w:vAlign w:val="center"/>
            <w:hideMark/>
          </w:tcPr>
          <w:p w14:paraId="036161B3"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49EDBBC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$108.28 </w:t>
            </w:r>
          </w:p>
        </w:tc>
        <w:tc>
          <w:tcPr>
            <w:tcW w:w="959" w:type="dxa"/>
            <w:tcBorders>
              <w:top w:val="nil"/>
              <w:left w:val="nil"/>
              <w:bottom w:val="single" w:sz="4" w:space="0" w:color="auto"/>
              <w:right w:val="single" w:sz="4" w:space="0" w:color="auto"/>
            </w:tcBorders>
            <w:noWrap/>
            <w:vAlign w:val="center"/>
            <w:hideMark/>
          </w:tcPr>
          <w:p w14:paraId="4049EAD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6EC3AF6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$40.00 </w:t>
            </w:r>
          </w:p>
        </w:tc>
        <w:tc>
          <w:tcPr>
            <w:tcW w:w="899" w:type="dxa"/>
            <w:tcBorders>
              <w:top w:val="nil"/>
              <w:left w:val="nil"/>
              <w:bottom w:val="single" w:sz="4" w:space="0" w:color="auto"/>
              <w:right w:val="nil"/>
            </w:tcBorders>
            <w:noWrap/>
            <w:vAlign w:val="center"/>
            <w:hideMark/>
          </w:tcPr>
          <w:p w14:paraId="642D903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24,000</w:t>
            </w:r>
          </w:p>
        </w:tc>
        <w:tc>
          <w:tcPr>
            <w:tcW w:w="1309" w:type="dxa"/>
            <w:tcBorders>
              <w:top w:val="nil"/>
              <w:left w:val="single" w:sz="4" w:space="0" w:color="auto"/>
              <w:bottom w:val="single" w:sz="4" w:space="0" w:color="auto"/>
              <w:right w:val="single" w:sz="4" w:space="0" w:color="auto"/>
            </w:tcBorders>
            <w:noWrap/>
            <w:vAlign w:val="center"/>
            <w:hideMark/>
          </w:tcPr>
          <w:p w14:paraId="43032B1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$18.50 </w:t>
            </w:r>
          </w:p>
        </w:tc>
        <w:tc>
          <w:tcPr>
            <w:tcW w:w="959" w:type="dxa"/>
            <w:tcBorders>
              <w:top w:val="nil"/>
              <w:left w:val="nil"/>
              <w:bottom w:val="single" w:sz="4" w:space="0" w:color="auto"/>
              <w:right w:val="single" w:sz="4" w:space="0" w:color="auto"/>
            </w:tcBorders>
            <w:noWrap/>
            <w:vAlign w:val="center"/>
            <w:hideMark/>
          </w:tcPr>
          <w:p w14:paraId="6B98A3E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59D609D3"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$35.00 </w:t>
            </w:r>
          </w:p>
        </w:tc>
      </w:tr>
      <w:tr w:rsidR="002815D4" w:rsidRPr="002815D4" w14:paraId="4D581588" w14:textId="77777777" w:rsidTr="00935A18">
        <w:trPr>
          <w:trHeight w:val="620"/>
        </w:trPr>
        <w:tc>
          <w:tcPr>
            <w:tcW w:w="1287" w:type="dxa"/>
            <w:vMerge w:val="restart"/>
            <w:tcBorders>
              <w:top w:val="nil"/>
              <w:left w:val="single" w:sz="4" w:space="0" w:color="auto"/>
              <w:bottom w:val="single" w:sz="4" w:space="0" w:color="auto"/>
              <w:right w:val="single" w:sz="4" w:space="0" w:color="auto"/>
            </w:tcBorders>
            <w:vAlign w:val="center"/>
            <w:hideMark/>
          </w:tcPr>
          <w:p w14:paraId="59A3D29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Linear Ambient Fixtures</w:t>
            </w:r>
          </w:p>
        </w:tc>
        <w:tc>
          <w:tcPr>
            <w:tcW w:w="2943" w:type="dxa"/>
            <w:tcBorders>
              <w:top w:val="nil"/>
              <w:left w:val="nil"/>
              <w:bottom w:val="single" w:sz="4" w:space="0" w:color="auto"/>
              <w:right w:val="single" w:sz="4" w:space="0" w:color="auto"/>
            </w:tcBorders>
            <w:vAlign w:val="center"/>
            <w:hideMark/>
          </w:tcPr>
          <w:p w14:paraId="7CD3CA7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Surface &amp; Suspended Linear Fixture, &lt;= 3000 lumens</w:t>
            </w:r>
          </w:p>
        </w:tc>
        <w:tc>
          <w:tcPr>
            <w:tcW w:w="859" w:type="dxa"/>
            <w:tcBorders>
              <w:top w:val="nil"/>
              <w:left w:val="nil"/>
              <w:bottom w:val="single" w:sz="4" w:space="0" w:color="auto"/>
              <w:right w:val="single" w:sz="4" w:space="0" w:color="auto"/>
            </w:tcBorders>
            <w:noWrap/>
            <w:vAlign w:val="center"/>
            <w:hideMark/>
          </w:tcPr>
          <w:p w14:paraId="640C457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45D21CF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$62.21 </w:t>
            </w:r>
          </w:p>
        </w:tc>
        <w:tc>
          <w:tcPr>
            <w:tcW w:w="959" w:type="dxa"/>
            <w:tcBorders>
              <w:top w:val="nil"/>
              <w:left w:val="nil"/>
              <w:bottom w:val="single" w:sz="4" w:space="0" w:color="auto"/>
              <w:right w:val="single" w:sz="4" w:space="0" w:color="auto"/>
            </w:tcBorders>
            <w:noWrap/>
            <w:vAlign w:val="center"/>
            <w:hideMark/>
          </w:tcPr>
          <w:p w14:paraId="28AEA3D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4ED08D6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$40.00 </w:t>
            </w:r>
          </w:p>
        </w:tc>
        <w:tc>
          <w:tcPr>
            <w:tcW w:w="899" w:type="dxa"/>
            <w:tcBorders>
              <w:top w:val="nil"/>
              <w:left w:val="nil"/>
              <w:bottom w:val="single" w:sz="4" w:space="0" w:color="auto"/>
              <w:right w:val="nil"/>
            </w:tcBorders>
            <w:noWrap/>
            <w:vAlign w:val="center"/>
            <w:hideMark/>
          </w:tcPr>
          <w:p w14:paraId="31CE876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24,000</w:t>
            </w:r>
          </w:p>
        </w:tc>
        <w:tc>
          <w:tcPr>
            <w:tcW w:w="1309" w:type="dxa"/>
            <w:tcBorders>
              <w:top w:val="nil"/>
              <w:left w:val="single" w:sz="4" w:space="0" w:color="auto"/>
              <w:bottom w:val="single" w:sz="4" w:space="0" w:color="auto"/>
              <w:right w:val="single" w:sz="4" w:space="0" w:color="auto"/>
            </w:tcBorders>
            <w:noWrap/>
            <w:vAlign w:val="center"/>
            <w:hideMark/>
          </w:tcPr>
          <w:p w14:paraId="5B2C8CF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$6.17 </w:t>
            </w:r>
          </w:p>
        </w:tc>
        <w:tc>
          <w:tcPr>
            <w:tcW w:w="959" w:type="dxa"/>
            <w:tcBorders>
              <w:top w:val="nil"/>
              <w:left w:val="nil"/>
              <w:bottom w:val="single" w:sz="4" w:space="0" w:color="auto"/>
              <w:right w:val="single" w:sz="4" w:space="0" w:color="auto"/>
            </w:tcBorders>
            <w:noWrap/>
            <w:vAlign w:val="center"/>
            <w:hideMark/>
          </w:tcPr>
          <w:p w14:paraId="572811A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373A298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$35.00 </w:t>
            </w:r>
          </w:p>
        </w:tc>
      </w:tr>
      <w:tr w:rsidR="002815D4" w:rsidRPr="002815D4" w14:paraId="5BA20D16" w14:textId="77777777" w:rsidTr="00935A18">
        <w:trPr>
          <w:trHeight w:val="719"/>
        </w:trPr>
        <w:tc>
          <w:tcPr>
            <w:tcW w:w="1287" w:type="dxa"/>
            <w:vMerge/>
            <w:tcBorders>
              <w:top w:val="nil"/>
              <w:left w:val="single" w:sz="4" w:space="0" w:color="auto"/>
              <w:bottom w:val="single" w:sz="4" w:space="0" w:color="auto"/>
              <w:right w:val="single" w:sz="4" w:space="0" w:color="auto"/>
            </w:tcBorders>
            <w:vAlign w:val="center"/>
            <w:hideMark/>
          </w:tcPr>
          <w:p w14:paraId="473ED50D"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50803AF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Surface &amp; Suspended Linear Fixture, 3001-4500 lumens</w:t>
            </w:r>
          </w:p>
        </w:tc>
        <w:tc>
          <w:tcPr>
            <w:tcW w:w="859" w:type="dxa"/>
            <w:tcBorders>
              <w:top w:val="nil"/>
              <w:left w:val="nil"/>
              <w:bottom w:val="single" w:sz="4" w:space="0" w:color="auto"/>
              <w:right w:val="single" w:sz="4" w:space="0" w:color="auto"/>
            </w:tcBorders>
            <w:noWrap/>
            <w:vAlign w:val="center"/>
            <w:hideMark/>
          </w:tcPr>
          <w:p w14:paraId="626347D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15C7AD5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$93.22 </w:t>
            </w:r>
          </w:p>
        </w:tc>
        <w:tc>
          <w:tcPr>
            <w:tcW w:w="959" w:type="dxa"/>
            <w:tcBorders>
              <w:top w:val="nil"/>
              <w:left w:val="nil"/>
              <w:bottom w:val="single" w:sz="4" w:space="0" w:color="auto"/>
              <w:right w:val="single" w:sz="4" w:space="0" w:color="auto"/>
            </w:tcBorders>
            <w:noWrap/>
            <w:vAlign w:val="center"/>
            <w:hideMark/>
          </w:tcPr>
          <w:p w14:paraId="2852B3B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07C50850"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$40.00 </w:t>
            </w:r>
          </w:p>
        </w:tc>
        <w:tc>
          <w:tcPr>
            <w:tcW w:w="899" w:type="dxa"/>
            <w:tcBorders>
              <w:top w:val="nil"/>
              <w:left w:val="nil"/>
              <w:bottom w:val="single" w:sz="4" w:space="0" w:color="auto"/>
              <w:right w:val="nil"/>
            </w:tcBorders>
            <w:noWrap/>
            <w:vAlign w:val="center"/>
            <w:hideMark/>
          </w:tcPr>
          <w:p w14:paraId="2CDCAB9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24,000</w:t>
            </w:r>
          </w:p>
        </w:tc>
        <w:tc>
          <w:tcPr>
            <w:tcW w:w="1309" w:type="dxa"/>
            <w:tcBorders>
              <w:top w:val="nil"/>
              <w:left w:val="single" w:sz="4" w:space="0" w:color="auto"/>
              <w:bottom w:val="single" w:sz="4" w:space="0" w:color="auto"/>
              <w:right w:val="single" w:sz="4" w:space="0" w:color="auto"/>
            </w:tcBorders>
            <w:noWrap/>
            <w:vAlign w:val="center"/>
            <w:hideMark/>
          </w:tcPr>
          <w:p w14:paraId="28AED6F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$12.33 </w:t>
            </w:r>
          </w:p>
        </w:tc>
        <w:tc>
          <w:tcPr>
            <w:tcW w:w="959" w:type="dxa"/>
            <w:tcBorders>
              <w:top w:val="nil"/>
              <w:left w:val="nil"/>
              <w:bottom w:val="single" w:sz="4" w:space="0" w:color="auto"/>
              <w:right w:val="single" w:sz="4" w:space="0" w:color="auto"/>
            </w:tcBorders>
            <w:noWrap/>
            <w:vAlign w:val="center"/>
            <w:hideMark/>
          </w:tcPr>
          <w:p w14:paraId="5679437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051D99C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$35.00 </w:t>
            </w:r>
          </w:p>
        </w:tc>
      </w:tr>
      <w:tr w:rsidR="002815D4" w:rsidRPr="002815D4" w14:paraId="719A2AF9" w14:textId="77777777" w:rsidTr="00935A18">
        <w:trPr>
          <w:trHeight w:val="701"/>
        </w:trPr>
        <w:tc>
          <w:tcPr>
            <w:tcW w:w="1287" w:type="dxa"/>
            <w:vMerge/>
            <w:tcBorders>
              <w:top w:val="nil"/>
              <w:left w:val="single" w:sz="4" w:space="0" w:color="auto"/>
              <w:bottom w:val="single" w:sz="4" w:space="0" w:color="auto"/>
              <w:right w:val="single" w:sz="4" w:space="0" w:color="auto"/>
            </w:tcBorders>
            <w:vAlign w:val="center"/>
            <w:hideMark/>
          </w:tcPr>
          <w:p w14:paraId="72DCE6FF"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1F96B4F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Surface &amp; Suspended Linear Fixture, 4501-6000 lumens</w:t>
            </w:r>
          </w:p>
        </w:tc>
        <w:tc>
          <w:tcPr>
            <w:tcW w:w="859" w:type="dxa"/>
            <w:tcBorders>
              <w:top w:val="nil"/>
              <w:left w:val="nil"/>
              <w:bottom w:val="single" w:sz="4" w:space="0" w:color="auto"/>
              <w:right w:val="single" w:sz="4" w:space="0" w:color="auto"/>
            </w:tcBorders>
            <w:noWrap/>
            <w:vAlign w:val="center"/>
            <w:hideMark/>
          </w:tcPr>
          <w:p w14:paraId="73A8D94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2FA403B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$114.06 </w:t>
            </w:r>
          </w:p>
        </w:tc>
        <w:tc>
          <w:tcPr>
            <w:tcW w:w="959" w:type="dxa"/>
            <w:tcBorders>
              <w:top w:val="nil"/>
              <w:left w:val="nil"/>
              <w:bottom w:val="single" w:sz="4" w:space="0" w:color="auto"/>
              <w:right w:val="single" w:sz="4" w:space="0" w:color="auto"/>
            </w:tcBorders>
            <w:noWrap/>
            <w:vAlign w:val="center"/>
            <w:hideMark/>
          </w:tcPr>
          <w:p w14:paraId="42300AD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481D38F1"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$40.00 </w:t>
            </w:r>
          </w:p>
        </w:tc>
        <w:tc>
          <w:tcPr>
            <w:tcW w:w="899" w:type="dxa"/>
            <w:tcBorders>
              <w:top w:val="nil"/>
              <w:left w:val="nil"/>
              <w:bottom w:val="single" w:sz="4" w:space="0" w:color="auto"/>
              <w:right w:val="nil"/>
            </w:tcBorders>
            <w:noWrap/>
            <w:vAlign w:val="center"/>
            <w:hideMark/>
          </w:tcPr>
          <w:p w14:paraId="241E570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24,000</w:t>
            </w:r>
          </w:p>
        </w:tc>
        <w:tc>
          <w:tcPr>
            <w:tcW w:w="1309" w:type="dxa"/>
            <w:tcBorders>
              <w:top w:val="nil"/>
              <w:left w:val="single" w:sz="4" w:space="0" w:color="auto"/>
              <w:bottom w:val="single" w:sz="4" w:space="0" w:color="auto"/>
              <w:right w:val="single" w:sz="4" w:space="0" w:color="auto"/>
            </w:tcBorders>
            <w:noWrap/>
            <w:vAlign w:val="center"/>
            <w:hideMark/>
          </w:tcPr>
          <w:p w14:paraId="3AFDB3C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$18.50 </w:t>
            </w:r>
          </w:p>
        </w:tc>
        <w:tc>
          <w:tcPr>
            <w:tcW w:w="959" w:type="dxa"/>
            <w:tcBorders>
              <w:top w:val="nil"/>
              <w:left w:val="nil"/>
              <w:bottom w:val="single" w:sz="4" w:space="0" w:color="auto"/>
              <w:right w:val="single" w:sz="4" w:space="0" w:color="auto"/>
            </w:tcBorders>
            <w:noWrap/>
            <w:vAlign w:val="center"/>
            <w:hideMark/>
          </w:tcPr>
          <w:p w14:paraId="31E7E73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289EDD3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$35.00 </w:t>
            </w:r>
          </w:p>
        </w:tc>
      </w:tr>
      <w:tr w:rsidR="002815D4" w:rsidRPr="002815D4" w14:paraId="6BE9C9B1" w14:textId="77777777" w:rsidTr="00935A18">
        <w:trPr>
          <w:trHeight w:val="719"/>
        </w:trPr>
        <w:tc>
          <w:tcPr>
            <w:tcW w:w="1287" w:type="dxa"/>
            <w:vMerge/>
            <w:tcBorders>
              <w:top w:val="nil"/>
              <w:left w:val="single" w:sz="4" w:space="0" w:color="auto"/>
              <w:bottom w:val="single" w:sz="4" w:space="0" w:color="auto"/>
              <w:right w:val="single" w:sz="4" w:space="0" w:color="auto"/>
            </w:tcBorders>
            <w:vAlign w:val="center"/>
            <w:hideMark/>
          </w:tcPr>
          <w:p w14:paraId="426F8D0A"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4C8298C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Surface &amp; Suspended Linear Fixture, 6001-7500 lumens</w:t>
            </w:r>
          </w:p>
        </w:tc>
        <w:tc>
          <w:tcPr>
            <w:tcW w:w="859" w:type="dxa"/>
            <w:tcBorders>
              <w:top w:val="nil"/>
              <w:left w:val="nil"/>
              <w:bottom w:val="single" w:sz="4" w:space="0" w:color="auto"/>
              <w:right w:val="single" w:sz="4" w:space="0" w:color="auto"/>
            </w:tcBorders>
            <w:noWrap/>
            <w:vAlign w:val="center"/>
            <w:hideMark/>
          </w:tcPr>
          <w:p w14:paraId="492B72C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22DEA1B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$152.32 </w:t>
            </w:r>
          </w:p>
        </w:tc>
        <w:tc>
          <w:tcPr>
            <w:tcW w:w="959" w:type="dxa"/>
            <w:tcBorders>
              <w:top w:val="nil"/>
              <w:left w:val="nil"/>
              <w:bottom w:val="single" w:sz="4" w:space="0" w:color="auto"/>
              <w:right w:val="single" w:sz="4" w:space="0" w:color="auto"/>
            </w:tcBorders>
            <w:noWrap/>
            <w:vAlign w:val="center"/>
            <w:hideMark/>
          </w:tcPr>
          <w:p w14:paraId="51EDF0F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30433D7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$40.00 </w:t>
            </w:r>
          </w:p>
        </w:tc>
        <w:tc>
          <w:tcPr>
            <w:tcW w:w="899" w:type="dxa"/>
            <w:tcBorders>
              <w:top w:val="nil"/>
              <w:left w:val="nil"/>
              <w:bottom w:val="single" w:sz="4" w:space="0" w:color="auto"/>
              <w:right w:val="nil"/>
            </w:tcBorders>
            <w:noWrap/>
            <w:vAlign w:val="center"/>
            <w:hideMark/>
          </w:tcPr>
          <w:p w14:paraId="1E9A5F2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30,000</w:t>
            </w:r>
          </w:p>
        </w:tc>
        <w:tc>
          <w:tcPr>
            <w:tcW w:w="1309" w:type="dxa"/>
            <w:tcBorders>
              <w:top w:val="nil"/>
              <w:left w:val="single" w:sz="4" w:space="0" w:color="auto"/>
              <w:bottom w:val="single" w:sz="4" w:space="0" w:color="auto"/>
              <w:right w:val="single" w:sz="4" w:space="0" w:color="auto"/>
            </w:tcBorders>
            <w:noWrap/>
            <w:vAlign w:val="center"/>
            <w:hideMark/>
          </w:tcPr>
          <w:p w14:paraId="2341B30A"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$26.33 </w:t>
            </w:r>
          </w:p>
        </w:tc>
        <w:tc>
          <w:tcPr>
            <w:tcW w:w="959" w:type="dxa"/>
            <w:tcBorders>
              <w:top w:val="nil"/>
              <w:left w:val="nil"/>
              <w:bottom w:val="single" w:sz="4" w:space="0" w:color="auto"/>
              <w:right w:val="single" w:sz="4" w:space="0" w:color="auto"/>
            </w:tcBorders>
            <w:noWrap/>
            <w:vAlign w:val="center"/>
            <w:hideMark/>
          </w:tcPr>
          <w:p w14:paraId="2A7E45E0"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494B618A"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$60.00 </w:t>
            </w:r>
          </w:p>
        </w:tc>
      </w:tr>
      <w:tr w:rsidR="002815D4" w:rsidRPr="002815D4" w14:paraId="7476DF49" w14:textId="77777777" w:rsidTr="00935A18">
        <w:trPr>
          <w:trHeight w:val="728"/>
        </w:trPr>
        <w:tc>
          <w:tcPr>
            <w:tcW w:w="1287" w:type="dxa"/>
            <w:vMerge/>
            <w:tcBorders>
              <w:top w:val="nil"/>
              <w:left w:val="single" w:sz="4" w:space="0" w:color="auto"/>
              <w:bottom w:val="single" w:sz="4" w:space="0" w:color="auto"/>
              <w:right w:val="single" w:sz="4" w:space="0" w:color="auto"/>
            </w:tcBorders>
            <w:vAlign w:val="center"/>
            <w:hideMark/>
          </w:tcPr>
          <w:p w14:paraId="02EB6DFC"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1CE71891"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Surface &amp; Suspended Linear Fixture, &gt; 7500 lumens</w:t>
            </w:r>
          </w:p>
        </w:tc>
        <w:tc>
          <w:tcPr>
            <w:tcW w:w="859" w:type="dxa"/>
            <w:tcBorders>
              <w:top w:val="nil"/>
              <w:left w:val="nil"/>
              <w:bottom w:val="single" w:sz="4" w:space="0" w:color="auto"/>
              <w:right w:val="single" w:sz="4" w:space="0" w:color="auto"/>
            </w:tcBorders>
            <w:noWrap/>
            <w:vAlign w:val="center"/>
            <w:hideMark/>
          </w:tcPr>
          <w:p w14:paraId="68A6391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4BE9CE1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$183.78 </w:t>
            </w:r>
          </w:p>
        </w:tc>
        <w:tc>
          <w:tcPr>
            <w:tcW w:w="959" w:type="dxa"/>
            <w:tcBorders>
              <w:top w:val="nil"/>
              <w:left w:val="nil"/>
              <w:bottom w:val="single" w:sz="4" w:space="0" w:color="auto"/>
              <w:right w:val="single" w:sz="4" w:space="0" w:color="auto"/>
            </w:tcBorders>
            <w:noWrap/>
            <w:vAlign w:val="center"/>
            <w:hideMark/>
          </w:tcPr>
          <w:p w14:paraId="63956B21"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763BB21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$40.00 </w:t>
            </w:r>
          </w:p>
        </w:tc>
        <w:tc>
          <w:tcPr>
            <w:tcW w:w="899" w:type="dxa"/>
            <w:tcBorders>
              <w:top w:val="nil"/>
              <w:left w:val="nil"/>
              <w:bottom w:val="single" w:sz="4" w:space="0" w:color="auto"/>
              <w:right w:val="nil"/>
            </w:tcBorders>
            <w:noWrap/>
            <w:vAlign w:val="center"/>
            <w:hideMark/>
          </w:tcPr>
          <w:p w14:paraId="6B2C2C2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30,000</w:t>
            </w:r>
          </w:p>
        </w:tc>
        <w:tc>
          <w:tcPr>
            <w:tcW w:w="1309" w:type="dxa"/>
            <w:tcBorders>
              <w:top w:val="nil"/>
              <w:left w:val="single" w:sz="4" w:space="0" w:color="auto"/>
              <w:bottom w:val="single" w:sz="4" w:space="0" w:color="auto"/>
              <w:right w:val="single" w:sz="4" w:space="0" w:color="auto"/>
            </w:tcBorders>
            <w:noWrap/>
            <w:vAlign w:val="center"/>
            <w:hideMark/>
          </w:tcPr>
          <w:p w14:paraId="18A650C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$39.50 </w:t>
            </w:r>
          </w:p>
        </w:tc>
        <w:tc>
          <w:tcPr>
            <w:tcW w:w="959" w:type="dxa"/>
            <w:tcBorders>
              <w:top w:val="nil"/>
              <w:left w:val="nil"/>
              <w:bottom w:val="single" w:sz="4" w:space="0" w:color="auto"/>
              <w:right w:val="single" w:sz="4" w:space="0" w:color="auto"/>
            </w:tcBorders>
            <w:noWrap/>
            <w:vAlign w:val="center"/>
            <w:hideMark/>
          </w:tcPr>
          <w:p w14:paraId="3F76755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3E80F65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$60.00 </w:t>
            </w:r>
          </w:p>
        </w:tc>
      </w:tr>
      <w:tr w:rsidR="002815D4" w:rsidRPr="002815D4" w14:paraId="788AA19C" w14:textId="77777777" w:rsidTr="00935A18">
        <w:trPr>
          <w:trHeight w:val="638"/>
        </w:trPr>
        <w:tc>
          <w:tcPr>
            <w:tcW w:w="1287" w:type="dxa"/>
            <w:vMerge w:val="restart"/>
            <w:tcBorders>
              <w:top w:val="nil"/>
              <w:left w:val="single" w:sz="4" w:space="0" w:color="auto"/>
              <w:bottom w:val="single" w:sz="4" w:space="0" w:color="auto"/>
              <w:right w:val="single" w:sz="4" w:space="0" w:color="auto"/>
            </w:tcBorders>
            <w:vAlign w:val="center"/>
            <w:hideMark/>
          </w:tcPr>
          <w:p w14:paraId="0F60ED8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High &amp; Low Bay Fixtures</w:t>
            </w:r>
          </w:p>
        </w:tc>
        <w:tc>
          <w:tcPr>
            <w:tcW w:w="2943" w:type="dxa"/>
            <w:tcBorders>
              <w:top w:val="nil"/>
              <w:left w:val="nil"/>
              <w:bottom w:val="single" w:sz="4" w:space="0" w:color="auto"/>
              <w:right w:val="single" w:sz="4" w:space="0" w:color="auto"/>
            </w:tcBorders>
            <w:vAlign w:val="center"/>
            <w:hideMark/>
          </w:tcPr>
          <w:p w14:paraId="14843C9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Low-Bay Fixtures, &lt;= 10,000 lumens</w:t>
            </w:r>
          </w:p>
        </w:tc>
        <w:tc>
          <w:tcPr>
            <w:tcW w:w="859" w:type="dxa"/>
            <w:tcBorders>
              <w:top w:val="nil"/>
              <w:left w:val="nil"/>
              <w:bottom w:val="single" w:sz="4" w:space="0" w:color="auto"/>
              <w:right w:val="single" w:sz="4" w:space="0" w:color="auto"/>
            </w:tcBorders>
            <w:noWrap/>
            <w:vAlign w:val="center"/>
            <w:hideMark/>
          </w:tcPr>
          <w:p w14:paraId="3016293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5D37856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$90.03 </w:t>
            </w:r>
          </w:p>
        </w:tc>
        <w:tc>
          <w:tcPr>
            <w:tcW w:w="959" w:type="dxa"/>
            <w:tcBorders>
              <w:top w:val="nil"/>
              <w:left w:val="nil"/>
              <w:bottom w:val="single" w:sz="4" w:space="0" w:color="auto"/>
              <w:right w:val="single" w:sz="4" w:space="0" w:color="auto"/>
            </w:tcBorders>
            <w:noWrap/>
            <w:vAlign w:val="center"/>
            <w:hideMark/>
          </w:tcPr>
          <w:p w14:paraId="3604E41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74AFC20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$62.50 </w:t>
            </w:r>
          </w:p>
        </w:tc>
        <w:tc>
          <w:tcPr>
            <w:tcW w:w="899" w:type="dxa"/>
            <w:tcBorders>
              <w:top w:val="nil"/>
              <w:left w:val="nil"/>
              <w:bottom w:val="single" w:sz="4" w:space="0" w:color="auto"/>
              <w:right w:val="nil"/>
            </w:tcBorders>
            <w:noWrap/>
            <w:vAlign w:val="center"/>
            <w:hideMark/>
          </w:tcPr>
          <w:p w14:paraId="15B3D87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18,000</w:t>
            </w:r>
          </w:p>
        </w:tc>
        <w:tc>
          <w:tcPr>
            <w:tcW w:w="1309" w:type="dxa"/>
            <w:tcBorders>
              <w:top w:val="nil"/>
              <w:left w:val="single" w:sz="4" w:space="0" w:color="auto"/>
              <w:bottom w:val="single" w:sz="4" w:space="0" w:color="auto"/>
              <w:right w:val="single" w:sz="4" w:space="0" w:color="auto"/>
            </w:tcBorders>
            <w:noWrap/>
            <w:vAlign w:val="center"/>
            <w:hideMark/>
          </w:tcPr>
          <w:p w14:paraId="2F85321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$64.50 </w:t>
            </w:r>
          </w:p>
        </w:tc>
        <w:tc>
          <w:tcPr>
            <w:tcW w:w="959" w:type="dxa"/>
            <w:tcBorders>
              <w:top w:val="nil"/>
              <w:left w:val="nil"/>
              <w:bottom w:val="single" w:sz="4" w:space="0" w:color="auto"/>
              <w:right w:val="single" w:sz="4" w:space="0" w:color="auto"/>
            </w:tcBorders>
            <w:noWrap/>
            <w:vAlign w:val="center"/>
            <w:hideMark/>
          </w:tcPr>
          <w:p w14:paraId="23E0624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7227B65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$92.50 </w:t>
            </w:r>
          </w:p>
        </w:tc>
      </w:tr>
      <w:tr w:rsidR="002815D4" w:rsidRPr="002815D4" w14:paraId="78702320" w14:textId="77777777" w:rsidTr="00935A18">
        <w:trPr>
          <w:trHeight w:val="620"/>
        </w:trPr>
        <w:tc>
          <w:tcPr>
            <w:tcW w:w="1287" w:type="dxa"/>
            <w:vMerge/>
            <w:tcBorders>
              <w:top w:val="nil"/>
              <w:left w:val="single" w:sz="4" w:space="0" w:color="auto"/>
              <w:bottom w:val="single" w:sz="4" w:space="0" w:color="auto"/>
              <w:right w:val="single" w:sz="4" w:space="0" w:color="auto"/>
            </w:tcBorders>
            <w:vAlign w:val="center"/>
            <w:hideMark/>
          </w:tcPr>
          <w:p w14:paraId="7966C97E"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774CCF4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High-Bay Fixtures, 10,001-15,000 lumens</w:t>
            </w:r>
          </w:p>
        </w:tc>
        <w:tc>
          <w:tcPr>
            <w:tcW w:w="859" w:type="dxa"/>
            <w:tcBorders>
              <w:top w:val="nil"/>
              <w:left w:val="nil"/>
              <w:bottom w:val="single" w:sz="4" w:space="0" w:color="auto"/>
              <w:right w:val="single" w:sz="4" w:space="0" w:color="auto"/>
            </w:tcBorders>
            <w:noWrap/>
            <w:vAlign w:val="center"/>
            <w:hideMark/>
          </w:tcPr>
          <w:p w14:paraId="58B97F6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5F5AA3A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$122.59 </w:t>
            </w:r>
          </w:p>
        </w:tc>
        <w:tc>
          <w:tcPr>
            <w:tcW w:w="959" w:type="dxa"/>
            <w:tcBorders>
              <w:top w:val="nil"/>
              <w:left w:val="nil"/>
              <w:bottom w:val="single" w:sz="4" w:space="0" w:color="auto"/>
              <w:right w:val="single" w:sz="4" w:space="0" w:color="auto"/>
            </w:tcBorders>
            <w:noWrap/>
            <w:vAlign w:val="center"/>
            <w:hideMark/>
          </w:tcPr>
          <w:p w14:paraId="3345582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0654584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$62.50 </w:t>
            </w:r>
          </w:p>
        </w:tc>
        <w:tc>
          <w:tcPr>
            <w:tcW w:w="899" w:type="dxa"/>
            <w:tcBorders>
              <w:top w:val="nil"/>
              <w:left w:val="nil"/>
              <w:bottom w:val="single" w:sz="4" w:space="0" w:color="auto"/>
              <w:right w:val="nil"/>
            </w:tcBorders>
            <w:noWrap/>
            <w:vAlign w:val="center"/>
            <w:hideMark/>
          </w:tcPr>
          <w:p w14:paraId="6CCBF39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18,000</w:t>
            </w:r>
          </w:p>
        </w:tc>
        <w:tc>
          <w:tcPr>
            <w:tcW w:w="1309" w:type="dxa"/>
            <w:tcBorders>
              <w:top w:val="nil"/>
              <w:left w:val="single" w:sz="4" w:space="0" w:color="auto"/>
              <w:bottom w:val="single" w:sz="4" w:space="0" w:color="auto"/>
              <w:right w:val="single" w:sz="4" w:space="0" w:color="auto"/>
            </w:tcBorders>
            <w:noWrap/>
            <w:vAlign w:val="center"/>
            <w:hideMark/>
          </w:tcPr>
          <w:p w14:paraId="674CA020"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$86.00 </w:t>
            </w:r>
          </w:p>
        </w:tc>
        <w:tc>
          <w:tcPr>
            <w:tcW w:w="959" w:type="dxa"/>
            <w:tcBorders>
              <w:top w:val="nil"/>
              <w:left w:val="nil"/>
              <w:bottom w:val="single" w:sz="4" w:space="0" w:color="auto"/>
              <w:right w:val="single" w:sz="4" w:space="0" w:color="auto"/>
            </w:tcBorders>
            <w:noWrap/>
            <w:vAlign w:val="center"/>
            <w:hideMark/>
          </w:tcPr>
          <w:p w14:paraId="01A7D55A"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1EB09C7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$92.50 </w:t>
            </w:r>
          </w:p>
        </w:tc>
      </w:tr>
      <w:tr w:rsidR="002815D4" w:rsidRPr="002815D4" w14:paraId="02FBBD69" w14:textId="77777777" w:rsidTr="00935A18">
        <w:trPr>
          <w:trHeight w:val="629"/>
        </w:trPr>
        <w:tc>
          <w:tcPr>
            <w:tcW w:w="1287" w:type="dxa"/>
            <w:vMerge/>
            <w:tcBorders>
              <w:top w:val="nil"/>
              <w:left w:val="single" w:sz="4" w:space="0" w:color="auto"/>
              <w:bottom w:val="single" w:sz="4" w:space="0" w:color="auto"/>
              <w:right w:val="single" w:sz="4" w:space="0" w:color="auto"/>
            </w:tcBorders>
            <w:vAlign w:val="center"/>
            <w:hideMark/>
          </w:tcPr>
          <w:p w14:paraId="0100856B"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0C0AFC4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High-Bay Fixtures, 15,001-20,000 lumens</w:t>
            </w:r>
          </w:p>
        </w:tc>
        <w:tc>
          <w:tcPr>
            <w:tcW w:w="859" w:type="dxa"/>
            <w:tcBorders>
              <w:top w:val="nil"/>
              <w:left w:val="nil"/>
              <w:bottom w:val="single" w:sz="4" w:space="0" w:color="auto"/>
              <w:right w:val="single" w:sz="4" w:space="0" w:color="auto"/>
            </w:tcBorders>
            <w:noWrap/>
            <w:vAlign w:val="center"/>
            <w:hideMark/>
          </w:tcPr>
          <w:p w14:paraId="1C7C7E7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6F0D792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$157.22 </w:t>
            </w:r>
          </w:p>
        </w:tc>
        <w:tc>
          <w:tcPr>
            <w:tcW w:w="959" w:type="dxa"/>
            <w:tcBorders>
              <w:top w:val="nil"/>
              <w:left w:val="nil"/>
              <w:bottom w:val="single" w:sz="4" w:space="0" w:color="auto"/>
              <w:right w:val="single" w:sz="4" w:space="0" w:color="auto"/>
            </w:tcBorders>
            <w:noWrap/>
            <w:vAlign w:val="center"/>
            <w:hideMark/>
          </w:tcPr>
          <w:p w14:paraId="72EED441"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4F51B17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$62.50 </w:t>
            </w:r>
          </w:p>
        </w:tc>
        <w:tc>
          <w:tcPr>
            <w:tcW w:w="899" w:type="dxa"/>
            <w:tcBorders>
              <w:top w:val="nil"/>
              <w:left w:val="nil"/>
              <w:bottom w:val="single" w:sz="4" w:space="0" w:color="auto"/>
              <w:right w:val="nil"/>
            </w:tcBorders>
            <w:noWrap/>
            <w:vAlign w:val="center"/>
            <w:hideMark/>
          </w:tcPr>
          <w:p w14:paraId="0C129CD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18,000</w:t>
            </w:r>
          </w:p>
        </w:tc>
        <w:tc>
          <w:tcPr>
            <w:tcW w:w="1309" w:type="dxa"/>
            <w:tcBorders>
              <w:top w:val="nil"/>
              <w:left w:val="single" w:sz="4" w:space="0" w:color="auto"/>
              <w:bottom w:val="single" w:sz="4" w:space="0" w:color="auto"/>
              <w:right w:val="single" w:sz="4" w:space="0" w:color="auto"/>
            </w:tcBorders>
            <w:noWrap/>
            <w:vAlign w:val="center"/>
            <w:hideMark/>
          </w:tcPr>
          <w:p w14:paraId="4118BAA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$129.00 </w:t>
            </w:r>
          </w:p>
        </w:tc>
        <w:tc>
          <w:tcPr>
            <w:tcW w:w="959" w:type="dxa"/>
            <w:tcBorders>
              <w:top w:val="nil"/>
              <w:left w:val="nil"/>
              <w:bottom w:val="single" w:sz="4" w:space="0" w:color="auto"/>
              <w:right w:val="single" w:sz="4" w:space="0" w:color="auto"/>
            </w:tcBorders>
            <w:noWrap/>
            <w:vAlign w:val="center"/>
            <w:hideMark/>
          </w:tcPr>
          <w:p w14:paraId="6CBE6A5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60038B1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$117.50 </w:t>
            </w:r>
          </w:p>
        </w:tc>
      </w:tr>
      <w:tr w:rsidR="002815D4" w:rsidRPr="002815D4" w14:paraId="11783957" w14:textId="77777777" w:rsidTr="00935A18">
        <w:trPr>
          <w:trHeight w:val="611"/>
        </w:trPr>
        <w:tc>
          <w:tcPr>
            <w:tcW w:w="1287" w:type="dxa"/>
            <w:vMerge/>
            <w:tcBorders>
              <w:top w:val="nil"/>
              <w:left w:val="single" w:sz="4" w:space="0" w:color="auto"/>
              <w:bottom w:val="single" w:sz="4" w:space="0" w:color="auto"/>
              <w:right w:val="single" w:sz="4" w:space="0" w:color="auto"/>
            </w:tcBorders>
            <w:vAlign w:val="center"/>
            <w:hideMark/>
          </w:tcPr>
          <w:p w14:paraId="0E9E26A3"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643CE540"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High-Bay Fixtures, 20,001 – 30,000 lumens</w:t>
            </w:r>
          </w:p>
        </w:tc>
        <w:tc>
          <w:tcPr>
            <w:tcW w:w="859" w:type="dxa"/>
            <w:tcBorders>
              <w:top w:val="nil"/>
              <w:left w:val="nil"/>
              <w:bottom w:val="single" w:sz="4" w:space="0" w:color="auto"/>
              <w:right w:val="single" w:sz="4" w:space="0" w:color="auto"/>
            </w:tcBorders>
            <w:noWrap/>
            <w:vAlign w:val="center"/>
            <w:hideMark/>
          </w:tcPr>
          <w:p w14:paraId="0F33B54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4DBDFCE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$228.52 </w:t>
            </w:r>
          </w:p>
        </w:tc>
        <w:tc>
          <w:tcPr>
            <w:tcW w:w="959" w:type="dxa"/>
            <w:tcBorders>
              <w:top w:val="nil"/>
              <w:left w:val="nil"/>
              <w:bottom w:val="single" w:sz="4" w:space="0" w:color="auto"/>
              <w:right w:val="single" w:sz="4" w:space="0" w:color="auto"/>
            </w:tcBorders>
            <w:noWrap/>
            <w:vAlign w:val="center"/>
            <w:hideMark/>
          </w:tcPr>
          <w:p w14:paraId="0C9CAFF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721691F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$62.50 </w:t>
            </w:r>
          </w:p>
        </w:tc>
        <w:tc>
          <w:tcPr>
            <w:tcW w:w="899" w:type="dxa"/>
            <w:tcBorders>
              <w:top w:val="nil"/>
              <w:left w:val="nil"/>
              <w:bottom w:val="single" w:sz="4" w:space="0" w:color="auto"/>
              <w:right w:val="nil"/>
            </w:tcBorders>
            <w:noWrap/>
            <w:vAlign w:val="center"/>
            <w:hideMark/>
          </w:tcPr>
          <w:p w14:paraId="66EA42F0"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18,000</w:t>
            </w:r>
          </w:p>
        </w:tc>
        <w:tc>
          <w:tcPr>
            <w:tcW w:w="1309" w:type="dxa"/>
            <w:tcBorders>
              <w:top w:val="nil"/>
              <w:left w:val="single" w:sz="4" w:space="0" w:color="auto"/>
              <w:bottom w:val="single" w:sz="4" w:space="0" w:color="auto"/>
              <w:right w:val="single" w:sz="4" w:space="0" w:color="auto"/>
            </w:tcBorders>
            <w:noWrap/>
            <w:vAlign w:val="center"/>
            <w:hideMark/>
          </w:tcPr>
          <w:p w14:paraId="4416D06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$172.00 </w:t>
            </w:r>
          </w:p>
        </w:tc>
        <w:tc>
          <w:tcPr>
            <w:tcW w:w="959" w:type="dxa"/>
            <w:tcBorders>
              <w:top w:val="nil"/>
              <w:left w:val="nil"/>
              <w:bottom w:val="single" w:sz="4" w:space="0" w:color="auto"/>
              <w:right w:val="single" w:sz="4" w:space="0" w:color="auto"/>
            </w:tcBorders>
            <w:noWrap/>
            <w:vAlign w:val="center"/>
            <w:hideMark/>
          </w:tcPr>
          <w:p w14:paraId="3A4693E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40A4E87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$142.50 </w:t>
            </w:r>
          </w:p>
        </w:tc>
      </w:tr>
      <w:tr w:rsidR="002815D4" w:rsidRPr="002815D4" w14:paraId="19C017B2" w14:textId="77777777" w:rsidTr="00935A18">
        <w:trPr>
          <w:trHeight w:val="629"/>
        </w:trPr>
        <w:tc>
          <w:tcPr>
            <w:tcW w:w="1287" w:type="dxa"/>
            <w:vMerge/>
            <w:tcBorders>
              <w:top w:val="nil"/>
              <w:left w:val="single" w:sz="4" w:space="0" w:color="auto"/>
              <w:bottom w:val="single" w:sz="4" w:space="0" w:color="auto"/>
              <w:right w:val="single" w:sz="4" w:space="0" w:color="auto"/>
            </w:tcBorders>
            <w:vAlign w:val="center"/>
            <w:hideMark/>
          </w:tcPr>
          <w:p w14:paraId="4C3C72FB"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4613DFC0"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High-Bay Fixtures, 30,001-40,000 lumens</w:t>
            </w:r>
          </w:p>
        </w:tc>
        <w:tc>
          <w:tcPr>
            <w:tcW w:w="859" w:type="dxa"/>
            <w:tcBorders>
              <w:top w:val="nil"/>
              <w:left w:val="nil"/>
              <w:bottom w:val="single" w:sz="4" w:space="0" w:color="auto"/>
              <w:right w:val="single" w:sz="4" w:space="0" w:color="auto"/>
            </w:tcBorders>
            <w:noWrap/>
            <w:vAlign w:val="center"/>
            <w:hideMark/>
          </w:tcPr>
          <w:p w14:paraId="037B970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375EA07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$294.00 </w:t>
            </w:r>
          </w:p>
        </w:tc>
        <w:tc>
          <w:tcPr>
            <w:tcW w:w="959" w:type="dxa"/>
            <w:tcBorders>
              <w:top w:val="nil"/>
              <w:left w:val="nil"/>
              <w:bottom w:val="single" w:sz="4" w:space="0" w:color="auto"/>
              <w:right w:val="single" w:sz="4" w:space="0" w:color="auto"/>
            </w:tcBorders>
            <w:noWrap/>
            <w:vAlign w:val="center"/>
            <w:hideMark/>
          </w:tcPr>
          <w:p w14:paraId="443DFD4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192A2153"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$62.50 </w:t>
            </w:r>
          </w:p>
        </w:tc>
        <w:tc>
          <w:tcPr>
            <w:tcW w:w="899" w:type="dxa"/>
            <w:tcBorders>
              <w:top w:val="nil"/>
              <w:left w:val="nil"/>
              <w:bottom w:val="single" w:sz="4" w:space="0" w:color="auto"/>
              <w:right w:val="nil"/>
            </w:tcBorders>
            <w:noWrap/>
            <w:vAlign w:val="center"/>
            <w:hideMark/>
          </w:tcPr>
          <w:p w14:paraId="004D3E2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15,000</w:t>
            </w:r>
          </w:p>
        </w:tc>
        <w:tc>
          <w:tcPr>
            <w:tcW w:w="1309" w:type="dxa"/>
            <w:tcBorders>
              <w:top w:val="nil"/>
              <w:left w:val="single" w:sz="4" w:space="0" w:color="auto"/>
              <w:bottom w:val="single" w:sz="4" w:space="0" w:color="auto"/>
              <w:right w:val="single" w:sz="4" w:space="0" w:color="auto"/>
            </w:tcBorders>
            <w:noWrap/>
            <w:vAlign w:val="center"/>
            <w:hideMark/>
          </w:tcPr>
          <w:p w14:paraId="2E561F3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$82.00 </w:t>
            </w:r>
          </w:p>
        </w:tc>
        <w:tc>
          <w:tcPr>
            <w:tcW w:w="959" w:type="dxa"/>
            <w:tcBorders>
              <w:top w:val="nil"/>
              <w:left w:val="nil"/>
              <w:bottom w:val="single" w:sz="4" w:space="0" w:color="auto"/>
              <w:right w:val="single" w:sz="4" w:space="0" w:color="auto"/>
            </w:tcBorders>
            <w:noWrap/>
            <w:vAlign w:val="center"/>
            <w:hideMark/>
          </w:tcPr>
          <w:p w14:paraId="38F8013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1D53250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$143.00 </w:t>
            </w:r>
          </w:p>
        </w:tc>
      </w:tr>
      <w:tr w:rsidR="002815D4" w:rsidRPr="002815D4" w14:paraId="09DB3CD3" w14:textId="77777777" w:rsidTr="00935A18">
        <w:trPr>
          <w:trHeight w:val="611"/>
        </w:trPr>
        <w:tc>
          <w:tcPr>
            <w:tcW w:w="1287" w:type="dxa"/>
            <w:vMerge/>
            <w:tcBorders>
              <w:top w:val="nil"/>
              <w:left w:val="single" w:sz="4" w:space="0" w:color="auto"/>
              <w:bottom w:val="single" w:sz="4" w:space="0" w:color="auto"/>
              <w:right w:val="single" w:sz="4" w:space="0" w:color="auto"/>
            </w:tcBorders>
            <w:vAlign w:val="center"/>
            <w:hideMark/>
          </w:tcPr>
          <w:p w14:paraId="7959CA32"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04AEEBC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High-Bay Fixtures, 40,001-50,000 lumens</w:t>
            </w:r>
          </w:p>
        </w:tc>
        <w:tc>
          <w:tcPr>
            <w:tcW w:w="859" w:type="dxa"/>
            <w:tcBorders>
              <w:top w:val="nil"/>
              <w:left w:val="nil"/>
              <w:bottom w:val="single" w:sz="4" w:space="0" w:color="auto"/>
              <w:right w:val="single" w:sz="4" w:space="0" w:color="auto"/>
            </w:tcBorders>
            <w:noWrap/>
            <w:vAlign w:val="center"/>
            <w:hideMark/>
          </w:tcPr>
          <w:p w14:paraId="4597343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54BBDBE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$324.00 </w:t>
            </w:r>
          </w:p>
        </w:tc>
        <w:tc>
          <w:tcPr>
            <w:tcW w:w="959" w:type="dxa"/>
            <w:tcBorders>
              <w:top w:val="nil"/>
              <w:left w:val="nil"/>
              <w:bottom w:val="single" w:sz="4" w:space="0" w:color="auto"/>
              <w:right w:val="single" w:sz="4" w:space="0" w:color="auto"/>
            </w:tcBorders>
            <w:noWrap/>
            <w:vAlign w:val="center"/>
            <w:hideMark/>
          </w:tcPr>
          <w:p w14:paraId="45F1162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4CEB7DB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$62.50 </w:t>
            </w:r>
          </w:p>
        </w:tc>
        <w:tc>
          <w:tcPr>
            <w:tcW w:w="899" w:type="dxa"/>
            <w:tcBorders>
              <w:top w:val="nil"/>
              <w:left w:val="nil"/>
              <w:bottom w:val="single" w:sz="4" w:space="0" w:color="auto"/>
              <w:right w:val="nil"/>
            </w:tcBorders>
            <w:noWrap/>
            <w:vAlign w:val="center"/>
            <w:hideMark/>
          </w:tcPr>
          <w:p w14:paraId="0143452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15,000</w:t>
            </w:r>
          </w:p>
        </w:tc>
        <w:tc>
          <w:tcPr>
            <w:tcW w:w="1309" w:type="dxa"/>
            <w:tcBorders>
              <w:top w:val="nil"/>
              <w:left w:val="single" w:sz="4" w:space="0" w:color="auto"/>
              <w:bottom w:val="single" w:sz="4" w:space="0" w:color="auto"/>
              <w:right w:val="single" w:sz="4" w:space="0" w:color="auto"/>
            </w:tcBorders>
            <w:noWrap/>
            <w:vAlign w:val="center"/>
            <w:hideMark/>
          </w:tcPr>
          <w:p w14:paraId="0CC1ABD0"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$88.00 </w:t>
            </w:r>
          </w:p>
        </w:tc>
        <w:tc>
          <w:tcPr>
            <w:tcW w:w="959" w:type="dxa"/>
            <w:tcBorders>
              <w:top w:val="nil"/>
              <w:left w:val="nil"/>
              <w:bottom w:val="single" w:sz="4" w:space="0" w:color="auto"/>
              <w:right w:val="single" w:sz="4" w:space="0" w:color="auto"/>
            </w:tcBorders>
            <w:noWrap/>
            <w:vAlign w:val="center"/>
            <w:hideMark/>
          </w:tcPr>
          <w:p w14:paraId="7CE9039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123B593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$149.00 </w:t>
            </w:r>
          </w:p>
        </w:tc>
      </w:tr>
      <w:tr w:rsidR="002815D4" w:rsidRPr="002815D4" w14:paraId="4F0B8C98" w14:textId="77777777" w:rsidTr="00935A18">
        <w:trPr>
          <w:trHeight w:val="629"/>
        </w:trPr>
        <w:tc>
          <w:tcPr>
            <w:tcW w:w="1287" w:type="dxa"/>
            <w:vMerge/>
            <w:tcBorders>
              <w:top w:val="nil"/>
              <w:left w:val="single" w:sz="4" w:space="0" w:color="auto"/>
              <w:bottom w:val="single" w:sz="4" w:space="0" w:color="auto"/>
              <w:right w:val="single" w:sz="4" w:space="0" w:color="auto"/>
            </w:tcBorders>
            <w:vAlign w:val="center"/>
            <w:hideMark/>
          </w:tcPr>
          <w:p w14:paraId="3AB91EF4"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6AE5483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High-Bay Fixtures, &gt; 50,000 lumens</w:t>
            </w:r>
          </w:p>
        </w:tc>
        <w:tc>
          <w:tcPr>
            <w:tcW w:w="859" w:type="dxa"/>
            <w:tcBorders>
              <w:top w:val="nil"/>
              <w:left w:val="nil"/>
              <w:bottom w:val="single" w:sz="4" w:space="0" w:color="auto"/>
              <w:right w:val="single" w:sz="4" w:space="0" w:color="auto"/>
            </w:tcBorders>
            <w:noWrap/>
            <w:vAlign w:val="center"/>
            <w:hideMark/>
          </w:tcPr>
          <w:p w14:paraId="79111E9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20CF0C7A"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$382.00 </w:t>
            </w:r>
          </w:p>
        </w:tc>
        <w:tc>
          <w:tcPr>
            <w:tcW w:w="959" w:type="dxa"/>
            <w:tcBorders>
              <w:top w:val="nil"/>
              <w:left w:val="nil"/>
              <w:bottom w:val="single" w:sz="4" w:space="0" w:color="auto"/>
              <w:right w:val="single" w:sz="4" w:space="0" w:color="auto"/>
            </w:tcBorders>
            <w:noWrap/>
            <w:vAlign w:val="center"/>
            <w:hideMark/>
          </w:tcPr>
          <w:p w14:paraId="421E6FC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24B2D56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$62.50 </w:t>
            </w:r>
          </w:p>
        </w:tc>
        <w:tc>
          <w:tcPr>
            <w:tcW w:w="899" w:type="dxa"/>
            <w:tcBorders>
              <w:top w:val="nil"/>
              <w:left w:val="nil"/>
              <w:bottom w:val="single" w:sz="4" w:space="0" w:color="auto"/>
              <w:right w:val="nil"/>
            </w:tcBorders>
            <w:noWrap/>
            <w:vAlign w:val="center"/>
            <w:hideMark/>
          </w:tcPr>
          <w:p w14:paraId="7BB1750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15,000</w:t>
            </w:r>
          </w:p>
        </w:tc>
        <w:tc>
          <w:tcPr>
            <w:tcW w:w="1309" w:type="dxa"/>
            <w:tcBorders>
              <w:top w:val="nil"/>
              <w:left w:val="single" w:sz="4" w:space="0" w:color="auto"/>
              <w:bottom w:val="single" w:sz="4" w:space="0" w:color="auto"/>
              <w:right w:val="single" w:sz="4" w:space="0" w:color="auto"/>
            </w:tcBorders>
            <w:noWrap/>
            <w:vAlign w:val="center"/>
            <w:hideMark/>
          </w:tcPr>
          <w:p w14:paraId="61E4937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$96.00 </w:t>
            </w:r>
          </w:p>
        </w:tc>
        <w:tc>
          <w:tcPr>
            <w:tcW w:w="959" w:type="dxa"/>
            <w:tcBorders>
              <w:top w:val="nil"/>
              <w:left w:val="nil"/>
              <w:bottom w:val="single" w:sz="4" w:space="0" w:color="auto"/>
              <w:right w:val="single" w:sz="4" w:space="0" w:color="auto"/>
            </w:tcBorders>
            <w:noWrap/>
            <w:vAlign w:val="center"/>
            <w:hideMark/>
          </w:tcPr>
          <w:p w14:paraId="18FA4653"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5468AEE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$200.00 </w:t>
            </w:r>
          </w:p>
        </w:tc>
      </w:tr>
      <w:tr w:rsidR="002815D4" w:rsidRPr="002815D4" w14:paraId="7EF163F1" w14:textId="77777777" w:rsidTr="00935A18">
        <w:trPr>
          <w:trHeight w:val="611"/>
        </w:trPr>
        <w:tc>
          <w:tcPr>
            <w:tcW w:w="1287" w:type="dxa"/>
            <w:vMerge w:val="restart"/>
            <w:tcBorders>
              <w:top w:val="nil"/>
              <w:left w:val="single" w:sz="4" w:space="0" w:color="auto"/>
              <w:bottom w:val="single" w:sz="4" w:space="0" w:color="auto"/>
              <w:right w:val="single" w:sz="4" w:space="0" w:color="auto"/>
            </w:tcBorders>
            <w:vAlign w:val="center"/>
            <w:hideMark/>
          </w:tcPr>
          <w:p w14:paraId="091D7C8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Agricultural Interior Fixtures</w:t>
            </w:r>
          </w:p>
        </w:tc>
        <w:tc>
          <w:tcPr>
            <w:tcW w:w="2943" w:type="dxa"/>
            <w:tcBorders>
              <w:top w:val="nil"/>
              <w:left w:val="nil"/>
              <w:bottom w:val="single" w:sz="4" w:space="0" w:color="auto"/>
              <w:right w:val="single" w:sz="4" w:space="0" w:color="auto"/>
            </w:tcBorders>
            <w:vAlign w:val="center"/>
            <w:hideMark/>
          </w:tcPr>
          <w:p w14:paraId="4B3F5B0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Ag Interior Fixtures, &lt;= 2,000 lumens</w:t>
            </w:r>
          </w:p>
        </w:tc>
        <w:tc>
          <w:tcPr>
            <w:tcW w:w="859" w:type="dxa"/>
            <w:tcBorders>
              <w:top w:val="nil"/>
              <w:left w:val="nil"/>
              <w:bottom w:val="single" w:sz="4" w:space="0" w:color="auto"/>
              <w:right w:val="single" w:sz="4" w:space="0" w:color="auto"/>
            </w:tcBorders>
            <w:noWrap/>
            <w:vAlign w:val="center"/>
            <w:hideMark/>
          </w:tcPr>
          <w:p w14:paraId="5893EB6A"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3DBB337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$41.20 </w:t>
            </w:r>
          </w:p>
        </w:tc>
        <w:tc>
          <w:tcPr>
            <w:tcW w:w="959" w:type="dxa"/>
            <w:tcBorders>
              <w:top w:val="nil"/>
              <w:left w:val="nil"/>
              <w:bottom w:val="single" w:sz="4" w:space="0" w:color="auto"/>
              <w:right w:val="single" w:sz="4" w:space="0" w:color="auto"/>
            </w:tcBorders>
            <w:noWrap/>
            <w:vAlign w:val="center"/>
            <w:hideMark/>
          </w:tcPr>
          <w:p w14:paraId="51B28D5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49E5EB8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$40.00 </w:t>
            </w:r>
          </w:p>
        </w:tc>
        <w:tc>
          <w:tcPr>
            <w:tcW w:w="899" w:type="dxa"/>
            <w:tcBorders>
              <w:top w:val="nil"/>
              <w:left w:val="nil"/>
              <w:bottom w:val="single" w:sz="4" w:space="0" w:color="auto"/>
              <w:right w:val="nil"/>
            </w:tcBorders>
            <w:noWrap/>
            <w:vAlign w:val="center"/>
            <w:hideMark/>
          </w:tcPr>
          <w:p w14:paraId="148A2DA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1,000</w:t>
            </w:r>
          </w:p>
        </w:tc>
        <w:tc>
          <w:tcPr>
            <w:tcW w:w="1309" w:type="dxa"/>
            <w:tcBorders>
              <w:top w:val="nil"/>
              <w:left w:val="single" w:sz="4" w:space="0" w:color="auto"/>
              <w:bottom w:val="single" w:sz="4" w:space="0" w:color="auto"/>
              <w:right w:val="single" w:sz="4" w:space="0" w:color="auto"/>
            </w:tcBorders>
            <w:noWrap/>
            <w:vAlign w:val="center"/>
            <w:hideMark/>
          </w:tcPr>
          <w:p w14:paraId="1405562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$1.23 </w:t>
            </w:r>
          </w:p>
        </w:tc>
        <w:tc>
          <w:tcPr>
            <w:tcW w:w="959" w:type="dxa"/>
            <w:tcBorders>
              <w:top w:val="nil"/>
              <w:left w:val="nil"/>
              <w:bottom w:val="single" w:sz="4" w:space="0" w:color="auto"/>
              <w:right w:val="single" w:sz="4" w:space="0" w:color="auto"/>
            </w:tcBorders>
            <w:noWrap/>
            <w:vAlign w:val="center"/>
            <w:hideMark/>
          </w:tcPr>
          <w:p w14:paraId="2BC7CA4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2AA7B5A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$26.25 </w:t>
            </w:r>
          </w:p>
        </w:tc>
      </w:tr>
      <w:tr w:rsidR="002815D4" w:rsidRPr="002815D4" w14:paraId="3B734815" w14:textId="77777777" w:rsidTr="00935A18">
        <w:trPr>
          <w:trHeight w:val="629"/>
        </w:trPr>
        <w:tc>
          <w:tcPr>
            <w:tcW w:w="1287" w:type="dxa"/>
            <w:vMerge/>
            <w:tcBorders>
              <w:top w:val="nil"/>
              <w:left w:val="single" w:sz="4" w:space="0" w:color="auto"/>
              <w:bottom w:val="single" w:sz="4" w:space="0" w:color="auto"/>
              <w:right w:val="single" w:sz="4" w:space="0" w:color="auto"/>
            </w:tcBorders>
            <w:vAlign w:val="center"/>
            <w:hideMark/>
          </w:tcPr>
          <w:p w14:paraId="0D941A4D"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05C1B84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Ag Interior Fixtures, 2,001-4,000 lumens</w:t>
            </w:r>
          </w:p>
        </w:tc>
        <w:tc>
          <w:tcPr>
            <w:tcW w:w="859" w:type="dxa"/>
            <w:tcBorders>
              <w:top w:val="nil"/>
              <w:left w:val="nil"/>
              <w:bottom w:val="single" w:sz="4" w:space="0" w:color="auto"/>
              <w:right w:val="single" w:sz="4" w:space="0" w:color="auto"/>
            </w:tcBorders>
            <w:noWrap/>
            <w:vAlign w:val="center"/>
            <w:hideMark/>
          </w:tcPr>
          <w:p w14:paraId="73C7D130"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53B1044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$65.97 </w:t>
            </w:r>
          </w:p>
        </w:tc>
        <w:tc>
          <w:tcPr>
            <w:tcW w:w="959" w:type="dxa"/>
            <w:tcBorders>
              <w:top w:val="nil"/>
              <w:left w:val="nil"/>
              <w:bottom w:val="single" w:sz="4" w:space="0" w:color="auto"/>
              <w:right w:val="single" w:sz="4" w:space="0" w:color="auto"/>
            </w:tcBorders>
            <w:noWrap/>
            <w:vAlign w:val="center"/>
            <w:hideMark/>
          </w:tcPr>
          <w:p w14:paraId="48FD78D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3F11F5F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$40.00 </w:t>
            </w:r>
          </w:p>
        </w:tc>
        <w:tc>
          <w:tcPr>
            <w:tcW w:w="899" w:type="dxa"/>
            <w:tcBorders>
              <w:top w:val="nil"/>
              <w:left w:val="nil"/>
              <w:bottom w:val="single" w:sz="4" w:space="0" w:color="auto"/>
              <w:right w:val="nil"/>
            </w:tcBorders>
            <w:noWrap/>
            <w:vAlign w:val="center"/>
            <w:hideMark/>
          </w:tcPr>
          <w:p w14:paraId="2F17175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1,000</w:t>
            </w:r>
          </w:p>
        </w:tc>
        <w:tc>
          <w:tcPr>
            <w:tcW w:w="1309" w:type="dxa"/>
            <w:tcBorders>
              <w:top w:val="nil"/>
              <w:left w:val="single" w:sz="4" w:space="0" w:color="auto"/>
              <w:bottom w:val="single" w:sz="4" w:space="0" w:color="auto"/>
              <w:right w:val="single" w:sz="4" w:space="0" w:color="auto"/>
            </w:tcBorders>
            <w:noWrap/>
            <w:vAlign w:val="center"/>
            <w:hideMark/>
          </w:tcPr>
          <w:p w14:paraId="23E67CE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$1.43 </w:t>
            </w:r>
          </w:p>
        </w:tc>
        <w:tc>
          <w:tcPr>
            <w:tcW w:w="959" w:type="dxa"/>
            <w:tcBorders>
              <w:top w:val="nil"/>
              <w:left w:val="nil"/>
              <w:bottom w:val="single" w:sz="4" w:space="0" w:color="auto"/>
              <w:right w:val="single" w:sz="4" w:space="0" w:color="auto"/>
            </w:tcBorders>
            <w:noWrap/>
            <w:vAlign w:val="center"/>
            <w:hideMark/>
          </w:tcPr>
          <w:p w14:paraId="5C529B2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681652C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$26.25 </w:t>
            </w:r>
          </w:p>
        </w:tc>
      </w:tr>
      <w:tr w:rsidR="002815D4" w:rsidRPr="002815D4" w14:paraId="0A419769" w14:textId="77777777" w:rsidTr="00935A18">
        <w:trPr>
          <w:trHeight w:val="611"/>
        </w:trPr>
        <w:tc>
          <w:tcPr>
            <w:tcW w:w="1287" w:type="dxa"/>
            <w:vMerge/>
            <w:tcBorders>
              <w:top w:val="nil"/>
              <w:left w:val="single" w:sz="4" w:space="0" w:color="auto"/>
              <w:bottom w:val="single" w:sz="4" w:space="0" w:color="auto"/>
              <w:right w:val="single" w:sz="4" w:space="0" w:color="auto"/>
            </w:tcBorders>
            <w:vAlign w:val="center"/>
            <w:hideMark/>
          </w:tcPr>
          <w:p w14:paraId="50A11DA7"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4FFB693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Ag Interior Fixtures, 4,001-6,000 lumens</w:t>
            </w:r>
          </w:p>
        </w:tc>
        <w:tc>
          <w:tcPr>
            <w:tcW w:w="859" w:type="dxa"/>
            <w:tcBorders>
              <w:top w:val="nil"/>
              <w:left w:val="nil"/>
              <w:bottom w:val="single" w:sz="4" w:space="0" w:color="auto"/>
              <w:right w:val="single" w:sz="4" w:space="0" w:color="auto"/>
            </w:tcBorders>
            <w:noWrap/>
            <w:vAlign w:val="center"/>
            <w:hideMark/>
          </w:tcPr>
          <w:p w14:paraId="7AFFF26A"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4803B66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$80.08 </w:t>
            </w:r>
          </w:p>
        </w:tc>
        <w:tc>
          <w:tcPr>
            <w:tcW w:w="959" w:type="dxa"/>
            <w:tcBorders>
              <w:top w:val="nil"/>
              <w:left w:val="nil"/>
              <w:bottom w:val="single" w:sz="4" w:space="0" w:color="auto"/>
              <w:right w:val="single" w:sz="4" w:space="0" w:color="auto"/>
            </w:tcBorders>
            <w:noWrap/>
            <w:vAlign w:val="center"/>
            <w:hideMark/>
          </w:tcPr>
          <w:p w14:paraId="51789A6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1AC8423A"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$40.00 </w:t>
            </w:r>
          </w:p>
        </w:tc>
        <w:tc>
          <w:tcPr>
            <w:tcW w:w="899" w:type="dxa"/>
            <w:tcBorders>
              <w:top w:val="nil"/>
              <w:left w:val="nil"/>
              <w:bottom w:val="single" w:sz="4" w:space="0" w:color="auto"/>
              <w:right w:val="nil"/>
            </w:tcBorders>
            <w:noWrap/>
            <w:vAlign w:val="center"/>
            <w:hideMark/>
          </w:tcPr>
          <w:p w14:paraId="0FA178A0"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1,000</w:t>
            </w:r>
          </w:p>
        </w:tc>
        <w:tc>
          <w:tcPr>
            <w:tcW w:w="1309" w:type="dxa"/>
            <w:tcBorders>
              <w:top w:val="nil"/>
              <w:left w:val="single" w:sz="4" w:space="0" w:color="auto"/>
              <w:bottom w:val="single" w:sz="4" w:space="0" w:color="auto"/>
              <w:right w:val="single" w:sz="4" w:space="0" w:color="auto"/>
            </w:tcBorders>
            <w:noWrap/>
            <w:vAlign w:val="center"/>
            <w:hideMark/>
          </w:tcPr>
          <w:p w14:paraId="409D458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$1.62 </w:t>
            </w:r>
          </w:p>
        </w:tc>
        <w:tc>
          <w:tcPr>
            <w:tcW w:w="959" w:type="dxa"/>
            <w:tcBorders>
              <w:top w:val="nil"/>
              <w:left w:val="nil"/>
              <w:bottom w:val="single" w:sz="4" w:space="0" w:color="auto"/>
              <w:right w:val="single" w:sz="4" w:space="0" w:color="auto"/>
            </w:tcBorders>
            <w:noWrap/>
            <w:vAlign w:val="center"/>
            <w:hideMark/>
          </w:tcPr>
          <w:p w14:paraId="6C8116B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2F527AE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$26.25 </w:t>
            </w:r>
          </w:p>
        </w:tc>
      </w:tr>
      <w:tr w:rsidR="002815D4" w:rsidRPr="002815D4" w14:paraId="0FA0CD30" w14:textId="77777777" w:rsidTr="00935A18">
        <w:trPr>
          <w:trHeight w:val="629"/>
        </w:trPr>
        <w:tc>
          <w:tcPr>
            <w:tcW w:w="1287" w:type="dxa"/>
            <w:vMerge/>
            <w:tcBorders>
              <w:top w:val="nil"/>
              <w:left w:val="single" w:sz="4" w:space="0" w:color="auto"/>
              <w:bottom w:val="single" w:sz="4" w:space="0" w:color="auto"/>
              <w:right w:val="single" w:sz="4" w:space="0" w:color="auto"/>
            </w:tcBorders>
            <w:vAlign w:val="center"/>
            <w:hideMark/>
          </w:tcPr>
          <w:p w14:paraId="115A400F"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4E5839A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Ag Interior Fixtures, 6,001-8,000 lumens</w:t>
            </w:r>
          </w:p>
        </w:tc>
        <w:tc>
          <w:tcPr>
            <w:tcW w:w="859" w:type="dxa"/>
            <w:tcBorders>
              <w:top w:val="nil"/>
              <w:left w:val="nil"/>
              <w:bottom w:val="single" w:sz="4" w:space="0" w:color="auto"/>
              <w:right w:val="single" w:sz="4" w:space="0" w:color="auto"/>
            </w:tcBorders>
            <w:noWrap/>
            <w:vAlign w:val="center"/>
            <w:hideMark/>
          </w:tcPr>
          <w:p w14:paraId="29A9342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5B41BC1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$105.54 </w:t>
            </w:r>
          </w:p>
        </w:tc>
        <w:tc>
          <w:tcPr>
            <w:tcW w:w="959" w:type="dxa"/>
            <w:tcBorders>
              <w:top w:val="nil"/>
              <w:left w:val="nil"/>
              <w:bottom w:val="single" w:sz="4" w:space="0" w:color="auto"/>
              <w:right w:val="single" w:sz="4" w:space="0" w:color="auto"/>
            </w:tcBorders>
            <w:noWrap/>
            <w:vAlign w:val="center"/>
            <w:hideMark/>
          </w:tcPr>
          <w:p w14:paraId="03DA947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737EF46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$40.00 </w:t>
            </w:r>
          </w:p>
        </w:tc>
        <w:tc>
          <w:tcPr>
            <w:tcW w:w="899" w:type="dxa"/>
            <w:tcBorders>
              <w:top w:val="nil"/>
              <w:left w:val="nil"/>
              <w:bottom w:val="single" w:sz="4" w:space="0" w:color="auto"/>
              <w:right w:val="nil"/>
            </w:tcBorders>
            <w:noWrap/>
            <w:vAlign w:val="center"/>
            <w:hideMark/>
          </w:tcPr>
          <w:p w14:paraId="6872ABF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1,000</w:t>
            </w:r>
          </w:p>
        </w:tc>
        <w:tc>
          <w:tcPr>
            <w:tcW w:w="1309" w:type="dxa"/>
            <w:tcBorders>
              <w:top w:val="nil"/>
              <w:left w:val="single" w:sz="4" w:space="0" w:color="auto"/>
              <w:bottom w:val="single" w:sz="4" w:space="0" w:color="auto"/>
              <w:right w:val="single" w:sz="4" w:space="0" w:color="auto"/>
            </w:tcBorders>
            <w:noWrap/>
            <w:vAlign w:val="center"/>
            <w:hideMark/>
          </w:tcPr>
          <w:p w14:paraId="123D1F4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$1.81 </w:t>
            </w:r>
          </w:p>
        </w:tc>
        <w:tc>
          <w:tcPr>
            <w:tcW w:w="959" w:type="dxa"/>
            <w:tcBorders>
              <w:top w:val="nil"/>
              <w:left w:val="nil"/>
              <w:bottom w:val="single" w:sz="4" w:space="0" w:color="auto"/>
              <w:right w:val="single" w:sz="4" w:space="0" w:color="auto"/>
            </w:tcBorders>
            <w:noWrap/>
            <w:vAlign w:val="center"/>
            <w:hideMark/>
          </w:tcPr>
          <w:p w14:paraId="4DE648E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16888D4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$26.25 </w:t>
            </w:r>
          </w:p>
        </w:tc>
      </w:tr>
      <w:tr w:rsidR="002815D4" w:rsidRPr="002815D4" w14:paraId="604D4B77" w14:textId="77777777" w:rsidTr="00935A18">
        <w:trPr>
          <w:trHeight w:val="782"/>
        </w:trPr>
        <w:tc>
          <w:tcPr>
            <w:tcW w:w="1287" w:type="dxa"/>
            <w:vMerge/>
            <w:tcBorders>
              <w:top w:val="nil"/>
              <w:left w:val="single" w:sz="4" w:space="0" w:color="auto"/>
              <w:bottom w:val="single" w:sz="4" w:space="0" w:color="auto"/>
              <w:right w:val="single" w:sz="4" w:space="0" w:color="auto"/>
            </w:tcBorders>
            <w:vAlign w:val="center"/>
            <w:hideMark/>
          </w:tcPr>
          <w:p w14:paraId="26EC6F99"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57820D2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Ag Interior Fixtures, 8,001-12,000 lumens</w:t>
            </w:r>
          </w:p>
        </w:tc>
        <w:tc>
          <w:tcPr>
            <w:tcW w:w="859" w:type="dxa"/>
            <w:tcBorders>
              <w:top w:val="nil"/>
              <w:left w:val="nil"/>
              <w:bottom w:val="single" w:sz="4" w:space="0" w:color="auto"/>
              <w:right w:val="single" w:sz="4" w:space="0" w:color="auto"/>
            </w:tcBorders>
            <w:noWrap/>
            <w:vAlign w:val="center"/>
            <w:hideMark/>
          </w:tcPr>
          <w:p w14:paraId="333FA9C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2C61D10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$179.81 </w:t>
            </w:r>
          </w:p>
        </w:tc>
        <w:tc>
          <w:tcPr>
            <w:tcW w:w="959" w:type="dxa"/>
            <w:tcBorders>
              <w:top w:val="nil"/>
              <w:left w:val="nil"/>
              <w:bottom w:val="single" w:sz="4" w:space="0" w:color="auto"/>
              <w:right w:val="single" w:sz="4" w:space="0" w:color="auto"/>
            </w:tcBorders>
            <w:noWrap/>
            <w:vAlign w:val="center"/>
            <w:hideMark/>
          </w:tcPr>
          <w:p w14:paraId="3F9CABD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78786C8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$62.50 </w:t>
            </w:r>
          </w:p>
        </w:tc>
        <w:tc>
          <w:tcPr>
            <w:tcW w:w="899" w:type="dxa"/>
            <w:tcBorders>
              <w:top w:val="nil"/>
              <w:left w:val="nil"/>
              <w:bottom w:val="single" w:sz="4" w:space="0" w:color="auto"/>
              <w:right w:val="nil"/>
            </w:tcBorders>
            <w:noWrap/>
            <w:vAlign w:val="center"/>
            <w:hideMark/>
          </w:tcPr>
          <w:p w14:paraId="3EE9788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15,000</w:t>
            </w:r>
          </w:p>
        </w:tc>
        <w:tc>
          <w:tcPr>
            <w:tcW w:w="1309" w:type="dxa"/>
            <w:tcBorders>
              <w:top w:val="nil"/>
              <w:left w:val="single" w:sz="4" w:space="0" w:color="auto"/>
              <w:bottom w:val="single" w:sz="4" w:space="0" w:color="auto"/>
              <w:right w:val="single" w:sz="4" w:space="0" w:color="auto"/>
            </w:tcBorders>
            <w:noWrap/>
            <w:vAlign w:val="center"/>
            <w:hideMark/>
          </w:tcPr>
          <w:p w14:paraId="1DC2818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$63.00 </w:t>
            </w:r>
          </w:p>
        </w:tc>
        <w:tc>
          <w:tcPr>
            <w:tcW w:w="959" w:type="dxa"/>
            <w:tcBorders>
              <w:top w:val="nil"/>
              <w:left w:val="nil"/>
              <w:bottom w:val="single" w:sz="4" w:space="0" w:color="auto"/>
              <w:right w:val="single" w:sz="4" w:space="0" w:color="auto"/>
            </w:tcBorders>
            <w:noWrap/>
            <w:vAlign w:val="center"/>
            <w:hideMark/>
          </w:tcPr>
          <w:p w14:paraId="49EFFCB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16C00A0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$112.50 </w:t>
            </w:r>
          </w:p>
        </w:tc>
      </w:tr>
      <w:tr w:rsidR="002815D4" w:rsidRPr="002815D4" w14:paraId="47C63093" w14:textId="77777777" w:rsidTr="00935A18">
        <w:trPr>
          <w:trHeight w:val="638"/>
        </w:trPr>
        <w:tc>
          <w:tcPr>
            <w:tcW w:w="1287" w:type="dxa"/>
            <w:vMerge/>
            <w:tcBorders>
              <w:top w:val="nil"/>
              <w:left w:val="single" w:sz="4" w:space="0" w:color="auto"/>
              <w:bottom w:val="single" w:sz="4" w:space="0" w:color="auto"/>
              <w:right w:val="single" w:sz="4" w:space="0" w:color="auto"/>
            </w:tcBorders>
            <w:vAlign w:val="center"/>
            <w:hideMark/>
          </w:tcPr>
          <w:p w14:paraId="1054F26B"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25E4B2B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Ag Interior Fixtures, 12,001-16,000 lumens</w:t>
            </w:r>
          </w:p>
        </w:tc>
        <w:tc>
          <w:tcPr>
            <w:tcW w:w="859" w:type="dxa"/>
            <w:tcBorders>
              <w:top w:val="nil"/>
              <w:left w:val="nil"/>
              <w:bottom w:val="single" w:sz="4" w:space="0" w:color="auto"/>
              <w:right w:val="single" w:sz="4" w:space="0" w:color="auto"/>
            </w:tcBorders>
            <w:noWrap/>
            <w:vAlign w:val="center"/>
            <w:hideMark/>
          </w:tcPr>
          <w:p w14:paraId="51A8C0AA"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51F41DB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$190.86 </w:t>
            </w:r>
          </w:p>
        </w:tc>
        <w:tc>
          <w:tcPr>
            <w:tcW w:w="959" w:type="dxa"/>
            <w:tcBorders>
              <w:top w:val="nil"/>
              <w:left w:val="nil"/>
              <w:bottom w:val="single" w:sz="4" w:space="0" w:color="auto"/>
              <w:right w:val="single" w:sz="4" w:space="0" w:color="auto"/>
            </w:tcBorders>
            <w:noWrap/>
            <w:vAlign w:val="center"/>
            <w:hideMark/>
          </w:tcPr>
          <w:p w14:paraId="1D24B4C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2438BC3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$62.50 </w:t>
            </w:r>
          </w:p>
        </w:tc>
        <w:tc>
          <w:tcPr>
            <w:tcW w:w="899" w:type="dxa"/>
            <w:tcBorders>
              <w:top w:val="nil"/>
              <w:left w:val="nil"/>
              <w:bottom w:val="single" w:sz="4" w:space="0" w:color="auto"/>
              <w:right w:val="nil"/>
            </w:tcBorders>
            <w:noWrap/>
            <w:vAlign w:val="center"/>
            <w:hideMark/>
          </w:tcPr>
          <w:p w14:paraId="2F9A70F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15,000</w:t>
            </w:r>
          </w:p>
        </w:tc>
        <w:tc>
          <w:tcPr>
            <w:tcW w:w="1309" w:type="dxa"/>
            <w:tcBorders>
              <w:top w:val="nil"/>
              <w:left w:val="single" w:sz="4" w:space="0" w:color="auto"/>
              <w:bottom w:val="single" w:sz="4" w:space="0" w:color="auto"/>
              <w:right w:val="single" w:sz="4" w:space="0" w:color="auto"/>
            </w:tcBorders>
            <w:noWrap/>
            <w:vAlign w:val="center"/>
            <w:hideMark/>
          </w:tcPr>
          <w:p w14:paraId="52EC706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$68.00 </w:t>
            </w:r>
          </w:p>
        </w:tc>
        <w:tc>
          <w:tcPr>
            <w:tcW w:w="959" w:type="dxa"/>
            <w:tcBorders>
              <w:top w:val="nil"/>
              <w:left w:val="nil"/>
              <w:bottom w:val="single" w:sz="4" w:space="0" w:color="auto"/>
              <w:right w:val="single" w:sz="4" w:space="0" w:color="auto"/>
            </w:tcBorders>
            <w:noWrap/>
            <w:vAlign w:val="center"/>
            <w:hideMark/>
          </w:tcPr>
          <w:p w14:paraId="53A1BE0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7F03970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$122.50 </w:t>
            </w:r>
          </w:p>
        </w:tc>
      </w:tr>
      <w:tr w:rsidR="002815D4" w:rsidRPr="002815D4" w14:paraId="2E11A859" w14:textId="77777777" w:rsidTr="00935A18">
        <w:trPr>
          <w:trHeight w:val="620"/>
        </w:trPr>
        <w:tc>
          <w:tcPr>
            <w:tcW w:w="1287" w:type="dxa"/>
            <w:vMerge/>
            <w:tcBorders>
              <w:top w:val="nil"/>
              <w:left w:val="single" w:sz="4" w:space="0" w:color="auto"/>
              <w:bottom w:val="single" w:sz="4" w:space="0" w:color="auto"/>
              <w:right w:val="single" w:sz="4" w:space="0" w:color="auto"/>
            </w:tcBorders>
            <w:vAlign w:val="center"/>
            <w:hideMark/>
          </w:tcPr>
          <w:p w14:paraId="19425E6E"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222D7270"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Ag Interior Fixtures, 16,001-20,000 lumens</w:t>
            </w:r>
          </w:p>
        </w:tc>
        <w:tc>
          <w:tcPr>
            <w:tcW w:w="859" w:type="dxa"/>
            <w:tcBorders>
              <w:top w:val="nil"/>
              <w:left w:val="nil"/>
              <w:bottom w:val="single" w:sz="4" w:space="0" w:color="auto"/>
              <w:right w:val="single" w:sz="4" w:space="0" w:color="auto"/>
            </w:tcBorders>
            <w:noWrap/>
            <w:vAlign w:val="center"/>
            <w:hideMark/>
          </w:tcPr>
          <w:p w14:paraId="448BE94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4682657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$237.71 </w:t>
            </w:r>
          </w:p>
        </w:tc>
        <w:tc>
          <w:tcPr>
            <w:tcW w:w="959" w:type="dxa"/>
            <w:tcBorders>
              <w:top w:val="nil"/>
              <w:left w:val="nil"/>
              <w:bottom w:val="single" w:sz="4" w:space="0" w:color="auto"/>
              <w:right w:val="single" w:sz="4" w:space="0" w:color="auto"/>
            </w:tcBorders>
            <w:noWrap/>
            <w:vAlign w:val="center"/>
            <w:hideMark/>
          </w:tcPr>
          <w:p w14:paraId="137CA543"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2FDCB2F0"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$62.50 </w:t>
            </w:r>
          </w:p>
        </w:tc>
        <w:tc>
          <w:tcPr>
            <w:tcW w:w="899" w:type="dxa"/>
            <w:tcBorders>
              <w:top w:val="nil"/>
              <w:left w:val="nil"/>
              <w:bottom w:val="single" w:sz="4" w:space="0" w:color="auto"/>
              <w:right w:val="nil"/>
            </w:tcBorders>
            <w:noWrap/>
            <w:vAlign w:val="center"/>
            <w:hideMark/>
          </w:tcPr>
          <w:p w14:paraId="40C9727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15,000</w:t>
            </w:r>
          </w:p>
        </w:tc>
        <w:tc>
          <w:tcPr>
            <w:tcW w:w="1309" w:type="dxa"/>
            <w:tcBorders>
              <w:top w:val="nil"/>
              <w:left w:val="single" w:sz="4" w:space="0" w:color="auto"/>
              <w:bottom w:val="single" w:sz="4" w:space="0" w:color="auto"/>
              <w:right w:val="single" w:sz="4" w:space="0" w:color="auto"/>
            </w:tcBorders>
            <w:noWrap/>
            <w:vAlign w:val="center"/>
            <w:hideMark/>
          </w:tcPr>
          <w:p w14:paraId="0B39DBF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$73.00 </w:t>
            </w:r>
          </w:p>
        </w:tc>
        <w:tc>
          <w:tcPr>
            <w:tcW w:w="959" w:type="dxa"/>
            <w:tcBorders>
              <w:top w:val="nil"/>
              <w:left w:val="nil"/>
              <w:bottom w:val="single" w:sz="4" w:space="0" w:color="auto"/>
              <w:right w:val="single" w:sz="4" w:space="0" w:color="auto"/>
            </w:tcBorders>
            <w:noWrap/>
            <w:vAlign w:val="center"/>
            <w:hideMark/>
          </w:tcPr>
          <w:p w14:paraId="45B828D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4503639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$132.50 </w:t>
            </w:r>
          </w:p>
        </w:tc>
      </w:tr>
      <w:tr w:rsidR="002815D4" w:rsidRPr="002815D4" w14:paraId="3012F641" w14:textId="77777777" w:rsidTr="00935A18">
        <w:trPr>
          <w:trHeight w:val="782"/>
        </w:trPr>
        <w:tc>
          <w:tcPr>
            <w:tcW w:w="1287" w:type="dxa"/>
            <w:vMerge/>
            <w:tcBorders>
              <w:top w:val="nil"/>
              <w:left w:val="single" w:sz="4" w:space="0" w:color="auto"/>
              <w:bottom w:val="single" w:sz="4" w:space="0" w:color="auto"/>
              <w:right w:val="single" w:sz="4" w:space="0" w:color="auto"/>
            </w:tcBorders>
            <w:vAlign w:val="center"/>
            <w:hideMark/>
          </w:tcPr>
          <w:p w14:paraId="76743326"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62DB2A5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Ag Interior Fixtures, &gt; 20,000 lumens</w:t>
            </w:r>
          </w:p>
        </w:tc>
        <w:tc>
          <w:tcPr>
            <w:tcW w:w="859" w:type="dxa"/>
            <w:tcBorders>
              <w:top w:val="nil"/>
              <w:left w:val="nil"/>
              <w:bottom w:val="single" w:sz="4" w:space="0" w:color="auto"/>
              <w:right w:val="single" w:sz="4" w:space="0" w:color="auto"/>
            </w:tcBorders>
            <w:noWrap/>
            <w:vAlign w:val="center"/>
            <w:hideMark/>
          </w:tcPr>
          <w:p w14:paraId="0CF36CD3"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50,000</w:t>
            </w:r>
          </w:p>
        </w:tc>
        <w:tc>
          <w:tcPr>
            <w:tcW w:w="1309" w:type="dxa"/>
            <w:tcBorders>
              <w:top w:val="nil"/>
              <w:left w:val="nil"/>
              <w:bottom w:val="single" w:sz="4" w:space="0" w:color="auto"/>
              <w:right w:val="single" w:sz="4" w:space="0" w:color="auto"/>
            </w:tcBorders>
            <w:noWrap/>
            <w:vAlign w:val="center"/>
            <w:hideMark/>
          </w:tcPr>
          <w:p w14:paraId="71A296B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$331.73 </w:t>
            </w:r>
          </w:p>
        </w:tc>
        <w:tc>
          <w:tcPr>
            <w:tcW w:w="959" w:type="dxa"/>
            <w:tcBorders>
              <w:top w:val="nil"/>
              <w:left w:val="nil"/>
              <w:bottom w:val="single" w:sz="4" w:space="0" w:color="auto"/>
              <w:right w:val="single" w:sz="4" w:space="0" w:color="auto"/>
            </w:tcBorders>
            <w:noWrap/>
            <w:vAlign w:val="center"/>
            <w:hideMark/>
          </w:tcPr>
          <w:p w14:paraId="057DEAC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4AA5134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$62.50 </w:t>
            </w:r>
          </w:p>
        </w:tc>
        <w:tc>
          <w:tcPr>
            <w:tcW w:w="899" w:type="dxa"/>
            <w:tcBorders>
              <w:top w:val="nil"/>
              <w:left w:val="nil"/>
              <w:bottom w:val="single" w:sz="4" w:space="0" w:color="auto"/>
              <w:right w:val="nil"/>
            </w:tcBorders>
            <w:noWrap/>
            <w:vAlign w:val="center"/>
            <w:hideMark/>
          </w:tcPr>
          <w:p w14:paraId="39E1B16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15,000</w:t>
            </w:r>
          </w:p>
        </w:tc>
        <w:tc>
          <w:tcPr>
            <w:tcW w:w="1309" w:type="dxa"/>
            <w:tcBorders>
              <w:top w:val="nil"/>
              <w:left w:val="single" w:sz="4" w:space="0" w:color="auto"/>
              <w:bottom w:val="single" w:sz="4" w:space="0" w:color="auto"/>
              <w:right w:val="single" w:sz="4" w:space="0" w:color="auto"/>
            </w:tcBorders>
            <w:noWrap/>
            <w:vAlign w:val="center"/>
            <w:hideMark/>
          </w:tcPr>
          <w:p w14:paraId="2260C7F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$136.00 </w:t>
            </w:r>
          </w:p>
        </w:tc>
        <w:tc>
          <w:tcPr>
            <w:tcW w:w="959" w:type="dxa"/>
            <w:tcBorders>
              <w:top w:val="nil"/>
              <w:left w:val="nil"/>
              <w:bottom w:val="single" w:sz="4" w:space="0" w:color="auto"/>
              <w:right w:val="single" w:sz="4" w:space="0" w:color="auto"/>
            </w:tcBorders>
            <w:noWrap/>
            <w:vAlign w:val="center"/>
            <w:hideMark/>
          </w:tcPr>
          <w:p w14:paraId="75E423F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4C45E29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$202.50 </w:t>
            </w:r>
          </w:p>
        </w:tc>
      </w:tr>
      <w:tr w:rsidR="002815D4" w:rsidRPr="002815D4" w14:paraId="43A25151" w14:textId="77777777" w:rsidTr="00935A18">
        <w:trPr>
          <w:trHeight w:val="548"/>
        </w:trPr>
        <w:tc>
          <w:tcPr>
            <w:tcW w:w="1287" w:type="dxa"/>
            <w:vMerge w:val="restart"/>
            <w:tcBorders>
              <w:top w:val="nil"/>
              <w:left w:val="single" w:sz="4" w:space="0" w:color="auto"/>
              <w:bottom w:val="single" w:sz="4" w:space="0" w:color="auto"/>
              <w:right w:val="single" w:sz="4" w:space="0" w:color="auto"/>
            </w:tcBorders>
            <w:vAlign w:val="center"/>
            <w:hideMark/>
          </w:tcPr>
          <w:p w14:paraId="627DD9F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Exterior Fixtures</w:t>
            </w:r>
          </w:p>
        </w:tc>
        <w:tc>
          <w:tcPr>
            <w:tcW w:w="2943" w:type="dxa"/>
            <w:tcBorders>
              <w:top w:val="nil"/>
              <w:left w:val="nil"/>
              <w:bottom w:val="single" w:sz="4" w:space="0" w:color="auto"/>
              <w:right w:val="single" w:sz="4" w:space="0" w:color="auto"/>
            </w:tcBorders>
            <w:vAlign w:val="center"/>
            <w:hideMark/>
          </w:tcPr>
          <w:p w14:paraId="111F444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Exterior Fixtures, &lt;= 5,000 lumens</w:t>
            </w:r>
          </w:p>
        </w:tc>
        <w:tc>
          <w:tcPr>
            <w:tcW w:w="859" w:type="dxa"/>
            <w:tcBorders>
              <w:top w:val="nil"/>
              <w:left w:val="nil"/>
              <w:bottom w:val="single" w:sz="4" w:space="0" w:color="auto"/>
              <w:right w:val="single" w:sz="4" w:space="0" w:color="auto"/>
            </w:tcBorders>
            <w:noWrap/>
            <w:vAlign w:val="center"/>
            <w:hideMark/>
          </w:tcPr>
          <w:p w14:paraId="778B1B13"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2E9AAC7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$73.80 </w:t>
            </w:r>
          </w:p>
        </w:tc>
        <w:tc>
          <w:tcPr>
            <w:tcW w:w="959" w:type="dxa"/>
            <w:tcBorders>
              <w:top w:val="nil"/>
              <w:left w:val="nil"/>
              <w:bottom w:val="single" w:sz="4" w:space="0" w:color="auto"/>
              <w:right w:val="single" w:sz="4" w:space="0" w:color="auto"/>
            </w:tcBorders>
            <w:noWrap/>
            <w:vAlign w:val="center"/>
            <w:hideMark/>
          </w:tcPr>
          <w:p w14:paraId="7ED69E0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0A7A569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$62.50 </w:t>
            </w:r>
          </w:p>
        </w:tc>
        <w:tc>
          <w:tcPr>
            <w:tcW w:w="899" w:type="dxa"/>
            <w:tcBorders>
              <w:top w:val="nil"/>
              <w:left w:val="nil"/>
              <w:bottom w:val="single" w:sz="4" w:space="0" w:color="auto"/>
              <w:right w:val="nil"/>
            </w:tcBorders>
            <w:noWrap/>
            <w:vAlign w:val="center"/>
            <w:hideMark/>
          </w:tcPr>
          <w:p w14:paraId="125931C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15,000</w:t>
            </w:r>
          </w:p>
        </w:tc>
        <w:tc>
          <w:tcPr>
            <w:tcW w:w="1309" w:type="dxa"/>
            <w:tcBorders>
              <w:top w:val="nil"/>
              <w:left w:val="single" w:sz="4" w:space="0" w:color="auto"/>
              <w:bottom w:val="single" w:sz="4" w:space="0" w:color="auto"/>
              <w:right w:val="single" w:sz="4" w:space="0" w:color="auto"/>
            </w:tcBorders>
            <w:noWrap/>
            <w:vAlign w:val="center"/>
            <w:hideMark/>
          </w:tcPr>
          <w:p w14:paraId="02D7855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$58.00 </w:t>
            </w:r>
          </w:p>
        </w:tc>
        <w:tc>
          <w:tcPr>
            <w:tcW w:w="959" w:type="dxa"/>
            <w:tcBorders>
              <w:top w:val="nil"/>
              <w:left w:val="nil"/>
              <w:bottom w:val="single" w:sz="4" w:space="0" w:color="auto"/>
              <w:right w:val="single" w:sz="4" w:space="0" w:color="auto"/>
            </w:tcBorders>
            <w:noWrap/>
            <w:vAlign w:val="center"/>
            <w:hideMark/>
          </w:tcPr>
          <w:p w14:paraId="212369F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66A42EB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$102.50 </w:t>
            </w:r>
          </w:p>
        </w:tc>
      </w:tr>
      <w:tr w:rsidR="002815D4" w:rsidRPr="002815D4" w14:paraId="2C9A9C18" w14:textId="77777777" w:rsidTr="00935A18">
        <w:trPr>
          <w:trHeight w:val="530"/>
        </w:trPr>
        <w:tc>
          <w:tcPr>
            <w:tcW w:w="1287" w:type="dxa"/>
            <w:vMerge/>
            <w:tcBorders>
              <w:top w:val="nil"/>
              <w:left w:val="single" w:sz="4" w:space="0" w:color="auto"/>
              <w:bottom w:val="single" w:sz="4" w:space="0" w:color="auto"/>
              <w:right w:val="single" w:sz="4" w:space="0" w:color="auto"/>
            </w:tcBorders>
            <w:vAlign w:val="center"/>
            <w:hideMark/>
          </w:tcPr>
          <w:p w14:paraId="45167AE6"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0A75A7A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Exterior Fixtures, 5,001-10,000 lumens</w:t>
            </w:r>
          </w:p>
        </w:tc>
        <w:tc>
          <w:tcPr>
            <w:tcW w:w="859" w:type="dxa"/>
            <w:tcBorders>
              <w:top w:val="nil"/>
              <w:left w:val="nil"/>
              <w:bottom w:val="single" w:sz="4" w:space="0" w:color="auto"/>
              <w:right w:val="single" w:sz="4" w:space="0" w:color="auto"/>
            </w:tcBorders>
            <w:noWrap/>
            <w:vAlign w:val="center"/>
            <w:hideMark/>
          </w:tcPr>
          <w:p w14:paraId="5EAE03F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54DBFBF1"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$124.89 </w:t>
            </w:r>
          </w:p>
        </w:tc>
        <w:tc>
          <w:tcPr>
            <w:tcW w:w="959" w:type="dxa"/>
            <w:tcBorders>
              <w:top w:val="nil"/>
              <w:left w:val="nil"/>
              <w:bottom w:val="single" w:sz="4" w:space="0" w:color="auto"/>
              <w:right w:val="single" w:sz="4" w:space="0" w:color="auto"/>
            </w:tcBorders>
            <w:noWrap/>
            <w:vAlign w:val="center"/>
            <w:hideMark/>
          </w:tcPr>
          <w:p w14:paraId="165D302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100C4B31"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$62.50 </w:t>
            </w:r>
          </w:p>
        </w:tc>
        <w:tc>
          <w:tcPr>
            <w:tcW w:w="899" w:type="dxa"/>
            <w:tcBorders>
              <w:top w:val="nil"/>
              <w:left w:val="nil"/>
              <w:bottom w:val="single" w:sz="4" w:space="0" w:color="auto"/>
              <w:right w:val="nil"/>
            </w:tcBorders>
            <w:noWrap/>
            <w:vAlign w:val="center"/>
            <w:hideMark/>
          </w:tcPr>
          <w:p w14:paraId="42AD4B2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15,000</w:t>
            </w:r>
          </w:p>
        </w:tc>
        <w:tc>
          <w:tcPr>
            <w:tcW w:w="1309" w:type="dxa"/>
            <w:tcBorders>
              <w:top w:val="nil"/>
              <w:left w:val="single" w:sz="4" w:space="0" w:color="auto"/>
              <w:bottom w:val="single" w:sz="4" w:space="0" w:color="auto"/>
              <w:right w:val="single" w:sz="4" w:space="0" w:color="auto"/>
            </w:tcBorders>
            <w:noWrap/>
            <w:vAlign w:val="center"/>
            <w:hideMark/>
          </w:tcPr>
          <w:p w14:paraId="0D29D5E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$63.00 </w:t>
            </w:r>
          </w:p>
        </w:tc>
        <w:tc>
          <w:tcPr>
            <w:tcW w:w="959" w:type="dxa"/>
            <w:tcBorders>
              <w:top w:val="nil"/>
              <w:left w:val="nil"/>
              <w:bottom w:val="single" w:sz="4" w:space="0" w:color="auto"/>
              <w:right w:val="single" w:sz="4" w:space="0" w:color="auto"/>
            </w:tcBorders>
            <w:noWrap/>
            <w:vAlign w:val="center"/>
            <w:hideMark/>
          </w:tcPr>
          <w:p w14:paraId="19004050"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39AFE96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$112.50 </w:t>
            </w:r>
          </w:p>
        </w:tc>
      </w:tr>
      <w:tr w:rsidR="002815D4" w:rsidRPr="002815D4" w14:paraId="3BA742CA" w14:textId="77777777" w:rsidTr="00935A18">
        <w:trPr>
          <w:trHeight w:val="521"/>
        </w:trPr>
        <w:tc>
          <w:tcPr>
            <w:tcW w:w="1287" w:type="dxa"/>
            <w:vMerge/>
            <w:tcBorders>
              <w:top w:val="nil"/>
              <w:left w:val="single" w:sz="4" w:space="0" w:color="auto"/>
              <w:bottom w:val="single" w:sz="4" w:space="0" w:color="auto"/>
              <w:right w:val="single" w:sz="4" w:space="0" w:color="auto"/>
            </w:tcBorders>
            <w:vAlign w:val="center"/>
            <w:hideMark/>
          </w:tcPr>
          <w:p w14:paraId="4262FF9D"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6AF4FB0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Exterior Fixtures, 10,001-15,000 lumens</w:t>
            </w:r>
          </w:p>
        </w:tc>
        <w:tc>
          <w:tcPr>
            <w:tcW w:w="859" w:type="dxa"/>
            <w:tcBorders>
              <w:top w:val="nil"/>
              <w:left w:val="nil"/>
              <w:bottom w:val="single" w:sz="4" w:space="0" w:color="auto"/>
              <w:right w:val="single" w:sz="4" w:space="0" w:color="auto"/>
            </w:tcBorders>
            <w:noWrap/>
            <w:vAlign w:val="center"/>
            <w:hideMark/>
          </w:tcPr>
          <w:p w14:paraId="534F494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23BC28A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$214.95 </w:t>
            </w:r>
          </w:p>
        </w:tc>
        <w:tc>
          <w:tcPr>
            <w:tcW w:w="959" w:type="dxa"/>
            <w:tcBorders>
              <w:top w:val="nil"/>
              <w:left w:val="nil"/>
              <w:bottom w:val="single" w:sz="4" w:space="0" w:color="auto"/>
              <w:right w:val="single" w:sz="4" w:space="0" w:color="auto"/>
            </w:tcBorders>
            <w:noWrap/>
            <w:vAlign w:val="center"/>
            <w:hideMark/>
          </w:tcPr>
          <w:p w14:paraId="0470570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64C8530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$62.50 </w:t>
            </w:r>
          </w:p>
        </w:tc>
        <w:tc>
          <w:tcPr>
            <w:tcW w:w="899" w:type="dxa"/>
            <w:tcBorders>
              <w:top w:val="nil"/>
              <w:left w:val="nil"/>
              <w:bottom w:val="single" w:sz="4" w:space="0" w:color="auto"/>
              <w:right w:val="nil"/>
            </w:tcBorders>
            <w:noWrap/>
            <w:vAlign w:val="center"/>
            <w:hideMark/>
          </w:tcPr>
          <w:p w14:paraId="7426346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15,000</w:t>
            </w:r>
          </w:p>
        </w:tc>
        <w:tc>
          <w:tcPr>
            <w:tcW w:w="1309" w:type="dxa"/>
            <w:tcBorders>
              <w:top w:val="nil"/>
              <w:left w:val="single" w:sz="4" w:space="0" w:color="auto"/>
              <w:bottom w:val="single" w:sz="4" w:space="0" w:color="auto"/>
              <w:right w:val="single" w:sz="4" w:space="0" w:color="auto"/>
            </w:tcBorders>
            <w:noWrap/>
            <w:vAlign w:val="center"/>
            <w:hideMark/>
          </w:tcPr>
          <w:p w14:paraId="78B5D6E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$68.00 </w:t>
            </w:r>
          </w:p>
        </w:tc>
        <w:tc>
          <w:tcPr>
            <w:tcW w:w="959" w:type="dxa"/>
            <w:tcBorders>
              <w:top w:val="nil"/>
              <w:left w:val="nil"/>
              <w:bottom w:val="single" w:sz="4" w:space="0" w:color="auto"/>
              <w:right w:val="single" w:sz="4" w:space="0" w:color="auto"/>
            </w:tcBorders>
            <w:noWrap/>
            <w:vAlign w:val="center"/>
            <w:hideMark/>
          </w:tcPr>
          <w:p w14:paraId="7301E9E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2B78281A"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$122.50 </w:t>
            </w:r>
          </w:p>
        </w:tc>
      </w:tr>
      <w:tr w:rsidR="002815D4" w:rsidRPr="002815D4" w14:paraId="0EBF4A0D" w14:textId="77777777" w:rsidTr="00935A18">
        <w:trPr>
          <w:trHeight w:val="539"/>
        </w:trPr>
        <w:tc>
          <w:tcPr>
            <w:tcW w:w="1287" w:type="dxa"/>
            <w:vMerge/>
            <w:tcBorders>
              <w:top w:val="nil"/>
              <w:left w:val="single" w:sz="4" w:space="0" w:color="auto"/>
              <w:bottom w:val="single" w:sz="4" w:space="0" w:color="auto"/>
              <w:right w:val="single" w:sz="4" w:space="0" w:color="auto"/>
            </w:tcBorders>
            <w:vAlign w:val="center"/>
            <w:hideMark/>
          </w:tcPr>
          <w:p w14:paraId="1ABA14F4"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6FC298B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Exterior Fixtures, 15,000- 30,000 lumens</w:t>
            </w:r>
          </w:p>
        </w:tc>
        <w:tc>
          <w:tcPr>
            <w:tcW w:w="859" w:type="dxa"/>
            <w:tcBorders>
              <w:top w:val="nil"/>
              <w:left w:val="nil"/>
              <w:bottom w:val="single" w:sz="4" w:space="0" w:color="auto"/>
              <w:right w:val="single" w:sz="4" w:space="0" w:color="auto"/>
            </w:tcBorders>
            <w:noWrap/>
            <w:vAlign w:val="center"/>
            <w:hideMark/>
          </w:tcPr>
          <w:p w14:paraId="176ADBD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7981662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$321.06 </w:t>
            </w:r>
          </w:p>
        </w:tc>
        <w:tc>
          <w:tcPr>
            <w:tcW w:w="959" w:type="dxa"/>
            <w:tcBorders>
              <w:top w:val="nil"/>
              <w:left w:val="nil"/>
              <w:bottom w:val="single" w:sz="4" w:space="0" w:color="auto"/>
              <w:right w:val="single" w:sz="4" w:space="0" w:color="auto"/>
            </w:tcBorders>
            <w:noWrap/>
            <w:vAlign w:val="center"/>
            <w:hideMark/>
          </w:tcPr>
          <w:p w14:paraId="7438E133"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4524454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$62.50 </w:t>
            </w:r>
          </w:p>
        </w:tc>
        <w:tc>
          <w:tcPr>
            <w:tcW w:w="899" w:type="dxa"/>
            <w:tcBorders>
              <w:top w:val="nil"/>
              <w:left w:val="nil"/>
              <w:bottom w:val="single" w:sz="4" w:space="0" w:color="auto"/>
              <w:right w:val="nil"/>
            </w:tcBorders>
            <w:noWrap/>
            <w:vAlign w:val="center"/>
            <w:hideMark/>
          </w:tcPr>
          <w:p w14:paraId="1B81C5D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15,000</w:t>
            </w:r>
          </w:p>
        </w:tc>
        <w:tc>
          <w:tcPr>
            <w:tcW w:w="1309" w:type="dxa"/>
            <w:tcBorders>
              <w:top w:val="nil"/>
              <w:left w:val="single" w:sz="4" w:space="0" w:color="auto"/>
              <w:bottom w:val="single" w:sz="4" w:space="0" w:color="auto"/>
              <w:right w:val="single" w:sz="4" w:space="0" w:color="auto"/>
            </w:tcBorders>
            <w:noWrap/>
            <w:vAlign w:val="center"/>
            <w:hideMark/>
          </w:tcPr>
          <w:p w14:paraId="5C8F091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$73.00 </w:t>
            </w:r>
          </w:p>
        </w:tc>
        <w:tc>
          <w:tcPr>
            <w:tcW w:w="959" w:type="dxa"/>
            <w:tcBorders>
              <w:top w:val="nil"/>
              <w:left w:val="nil"/>
              <w:bottom w:val="single" w:sz="4" w:space="0" w:color="auto"/>
              <w:right w:val="single" w:sz="4" w:space="0" w:color="auto"/>
            </w:tcBorders>
            <w:noWrap/>
            <w:vAlign w:val="center"/>
            <w:hideMark/>
          </w:tcPr>
          <w:p w14:paraId="765D991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7FC6F55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$132.50 </w:t>
            </w:r>
          </w:p>
        </w:tc>
      </w:tr>
      <w:tr w:rsidR="002815D4" w:rsidRPr="002815D4" w14:paraId="3E623FFE" w14:textId="77777777" w:rsidTr="00935A18">
        <w:trPr>
          <w:trHeight w:val="620"/>
        </w:trPr>
        <w:tc>
          <w:tcPr>
            <w:tcW w:w="1287" w:type="dxa"/>
            <w:vMerge/>
            <w:tcBorders>
              <w:top w:val="nil"/>
              <w:left w:val="single" w:sz="4" w:space="0" w:color="auto"/>
              <w:bottom w:val="single" w:sz="4" w:space="0" w:color="auto"/>
              <w:right w:val="single" w:sz="4" w:space="0" w:color="auto"/>
            </w:tcBorders>
            <w:vAlign w:val="center"/>
            <w:hideMark/>
          </w:tcPr>
          <w:p w14:paraId="5B888BCB"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2067D7F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Exterior Fixtures, 30,001-40,000 lumens</w:t>
            </w:r>
          </w:p>
        </w:tc>
        <w:tc>
          <w:tcPr>
            <w:tcW w:w="859" w:type="dxa"/>
            <w:tcBorders>
              <w:top w:val="nil"/>
              <w:left w:val="nil"/>
              <w:bottom w:val="single" w:sz="4" w:space="0" w:color="auto"/>
              <w:right w:val="single" w:sz="4" w:space="0" w:color="auto"/>
            </w:tcBorders>
            <w:noWrap/>
            <w:vAlign w:val="center"/>
            <w:hideMark/>
          </w:tcPr>
          <w:p w14:paraId="4AD5FEA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0E97C65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$546.00 </w:t>
            </w:r>
          </w:p>
        </w:tc>
        <w:tc>
          <w:tcPr>
            <w:tcW w:w="959" w:type="dxa"/>
            <w:tcBorders>
              <w:top w:val="nil"/>
              <w:left w:val="nil"/>
              <w:bottom w:val="single" w:sz="4" w:space="0" w:color="auto"/>
              <w:right w:val="single" w:sz="4" w:space="0" w:color="auto"/>
            </w:tcBorders>
            <w:noWrap/>
            <w:vAlign w:val="center"/>
            <w:hideMark/>
          </w:tcPr>
          <w:p w14:paraId="6FA0670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779E0BBA"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$62.50 </w:t>
            </w:r>
          </w:p>
        </w:tc>
        <w:tc>
          <w:tcPr>
            <w:tcW w:w="899" w:type="dxa"/>
            <w:tcBorders>
              <w:top w:val="nil"/>
              <w:left w:val="nil"/>
              <w:bottom w:val="single" w:sz="4" w:space="0" w:color="auto"/>
              <w:right w:val="nil"/>
            </w:tcBorders>
            <w:noWrap/>
            <w:vAlign w:val="center"/>
            <w:hideMark/>
          </w:tcPr>
          <w:p w14:paraId="0534CCC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15,000</w:t>
            </w:r>
          </w:p>
        </w:tc>
        <w:tc>
          <w:tcPr>
            <w:tcW w:w="1309" w:type="dxa"/>
            <w:tcBorders>
              <w:top w:val="nil"/>
              <w:left w:val="single" w:sz="4" w:space="0" w:color="auto"/>
              <w:bottom w:val="single" w:sz="4" w:space="0" w:color="auto"/>
              <w:right w:val="single" w:sz="4" w:space="0" w:color="auto"/>
            </w:tcBorders>
            <w:noWrap/>
            <w:vAlign w:val="center"/>
            <w:hideMark/>
          </w:tcPr>
          <w:p w14:paraId="55A142B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$82.00 </w:t>
            </w:r>
          </w:p>
        </w:tc>
        <w:tc>
          <w:tcPr>
            <w:tcW w:w="959" w:type="dxa"/>
            <w:tcBorders>
              <w:top w:val="nil"/>
              <w:left w:val="nil"/>
              <w:bottom w:val="single" w:sz="4" w:space="0" w:color="auto"/>
              <w:right w:val="single" w:sz="4" w:space="0" w:color="auto"/>
            </w:tcBorders>
            <w:noWrap/>
            <w:vAlign w:val="center"/>
            <w:hideMark/>
          </w:tcPr>
          <w:p w14:paraId="26893E73"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7A2D7EB1"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$143.00 </w:t>
            </w:r>
          </w:p>
        </w:tc>
      </w:tr>
      <w:tr w:rsidR="002815D4" w:rsidRPr="002815D4" w14:paraId="2DC078E2" w14:textId="77777777" w:rsidTr="00935A18">
        <w:trPr>
          <w:trHeight w:val="548"/>
        </w:trPr>
        <w:tc>
          <w:tcPr>
            <w:tcW w:w="1287" w:type="dxa"/>
            <w:vMerge/>
            <w:tcBorders>
              <w:top w:val="nil"/>
              <w:left w:val="single" w:sz="4" w:space="0" w:color="auto"/>
              <w:bottom w:val="single" w:sz="4" w:space="0" w:color="auto"/>
              <w:right w:val="single" w:sz="4" w:space="0" w:color="auto"/>
            </w:tcBorders>
            <w:vAlign w:val="center"/>
            <w:hideMark/>
          </w:tcPr>
          <w:p w14:paraId="5A3DB822"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0CCDC76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Exterior Fixtures, 40,001-50,000 lumens</w:t>
            </w:r>
          </w:p>
        </w:tc>
        <w:tc>
          <w:tcPr>
            <w:tcW w:w="859" w:type="dxa"/>
            <w:tcBorders>
              <w:top w:val="nil"/>
              <w:left w:val="nil"/>
              <w:bottom w:val="single" w:sz="4" w:space="0" w:color="auto"/>
              <w:right w:val="single" w:sz="4" w:space="0" w:color="auto"/>
            </w:tcBorders>
            <w:noWrap/>
            <w:vAlign w:val="center"/>
            <w:hideMark/>
          </w:tcPr>
          <w:p w14:paraId="4D68304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31102C6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$722.00 </w:t>
            </w:r>
          </w:p>
        </w:tc>
        <w:tc>
          <w:tcPr>
            <w:tcW w:w="959" w:type="dxa"/>
            <w:tcBorders>
              <w:top w:val="nil"/>
              <w:left w:val="nil"/>
              <w:bottom w:val="single" w:sz="4" w:space="0" w:color="auto"/>
              <w:right w:val="single" w:sz="4" w:space="0" w:color="auto"/>
            </w:tcBorders>
            <w:noWrap/>
            <w:vAlign w:val="center"/>
            <w:hideMark/>
          </w:tcPr>
          <w:p w14:paraId="5483DF0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6210F70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$62.50 </w:t>
            </w:r>
          </w:p>
        </w:tc>
        <w:tc>
          <w:tcPr>
            <w:tcW w:w="899" w:type="dxa"/>
            <w:tcBorders>
              <w:top w:val="nil"/>
              <w:left w:val="nil"/>
              <w:bottom w:val="single" w:sz="4" w:space="0" w:color="auto"/>
              <w:right w:val="nil"/>
            </w:tcBorders>
            <w:noWrap/>
            <w:vAlign w:val="center"/>
            <w:hideMark/>
          </w:tcPr>
          <w:p w14:paraId="3FE274D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15,000</w:t>
            </w:r>
          </w:p>
        </w:tc>
        <w:tc>
          <w:tcPr>
            <w:tcW w:w="1309" w:type="dxa"/>
            <w:tcBorders>
              <w:top w:val="nil"/>
              <w:left w:val="single" w:sz="4" w:space="0" w:color="auto"/>
              <w:bottom w:val="single" w:sz="4" w:space="0" w:color="auto"/>
              <w:right w:val="single" w:sz="4" w:space="0" w:color="auto"/>
            </w:tcBorders>
            <w:noWrap/>
            <w:vAlign w:val="center"/>
            <w:hideMark/>
          </w:tcPr>
          <w:p w14:paraId="6DA8D150"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$88.00 </w:t>
            </w:r>
          </w:p>
        </w:tc>
        <w:tc>
          <w:tcPr>
            <w:tcW w:w="959" w:type="dxa"/>
            <w:tcBorders>
              <w:top w:val="nil"/>
              <w:left w:val="nil"/>
              <w:bottom w:val="single" w:sz="4" w:space="0" w:color="auto"/>
              <w:right w:val="single" w:sz="4" w:space="0" w:color="auto"/>
            </w:tcBorders>
            <w:noWrap/>
            <w:vAlign w:val="center"/>
            <w:hideMark/>
          </w:tcPr>
          <w:p w14:paraId="0072E44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52AC0EC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$149.00 </w:t>
            </w:r>
          </w:p>
        </w:tc>
      </w:tr>
      <w:tr w:rsidR="002815D4" w:rsidRPr="002815D4" w14:paraId="0ED4B72E" w14:textId="77777777" w:rsidTr="00935A18">
        <w:trPr>
          <w:trHeight w:val="530"/>
        </w:trPr>
        <w:tc>
          <w:tcPr>
            <w:tcW w:w="1287" w:type="dxa"/>
            <w:vMerge/>
            <w:tcBorders>
              <w:top w:val="nil"/>
              <w:left w:val="single" w:sz="4" w:space="0" w:color="auto"/>
              <w:bottom w:val="single" w:sz="4" w:space="0" w:color="auto"/>
              <w:right w:val="single" w:sz="4" w:space="0" w:color="auto"/>
            </w:tcBorders>
            <w:vAlign w:val="center"/>
            <w:hideMark/>
          </w:tcPr>
          <w:p w14:paraId="4BEA5410"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77A7BB1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Exterior Fixtures, &gt; 50,000 lumens</w:t>
            </w:r>
          </w:p>
        </w:tc>
        <w:tc>
          <w:tcPr>
            <w:tcW w:w="859" w:type="dxa"/>
            <w:tcBorders>
              <w:top w:val="nil"/>
              <w:left w:val="nil"/>
              <w:bottom w:val="single" w:sz="4" w:space="0" w:color="auto"/>
              <w:right w:val="single" w:sz="4" w:space="0" w:color="auto"/>
            </w:tcBorders>
            <w:noWrap/>
            <w:vAlign w:val="center"/>
            <w:hideMark/>
          </w:tcPr>
          <w:p w14:paraId="78C1FE1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453D4E7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$870.00 </w:t>
            </w:r>
          </w:p>
        </w:tc>
        <w:tc>
          <w:tcPr>
            <w:tcW w:w="959" w:type="dxa"/>
            <w:tcBorders>
              <w:top w:val="nil"/>
              <w:left w:val="nil"/>
              <w:bottom w:val="single" w:sz="4" w:space="0" w:color="auto"/>
              <w:right w:val="single" w:sz="4" w:space="0" w:color="auto"/>
            </w:tcBorders>
            <w:noWrap/>
            <w:vAlign w:val="center"/>
            <w:hideMark/>
          </w:tcPr>
          <w:p w14:paraId="5BF7CED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70,000</w:t>
            </w:r>
          </w:p>
        </w:tc>
        <w:tc>
          <w:tcPr>
            <w:tcW w:w="1309" w:type="dxa"/>
            <w:tcBorders>
              <w:top w:val="nil"/>
              <w:left w:val="nil"/>
              <w:bottom w:val="single" w:sz="4" w:space="0" w:color="auto"/>
              <w:right w:val="single" w:sz="4" w:space="0" w:color="auto"/>
            </w:tcBorders>
            <w:noWrap/>
            <w:vAlign w:val="center"/>
            <w:hideMark/>
          </w:tcPr>
          <w:p w14:paraId="4CC632D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$62.50 </w:t>
            </w:r>
          </w:p>
        </w:tc>
        <w:tc>
          <w:tcPr>
            <w:tcW w:w="899" w:type="dxa"/>
            <w:tcBorders>
              <w:top w:val="nil"/>
              <w:left w:val="nil"/>
              <w:bottom w:val="single" w:sz="4" w:space="0" w:color="auto"/>
              <w:right w:val="nil"/>
            </w:tcBorders>
            <w:noWrap/>
            <w:vAlign w:val="center"/>
            <w:hideMark/>
          </w:tcPr>
          <w:p w14:paraId="6A99592A"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15,000</w:t>
            </w:r>
          </w:p>
        </w:tc>
        <w:tc>
          <w:tcPr>
            <w:tcW w:w="1309" w:type="dxa"/>
            <w:tcBorders>
              <w:top w:val="nil"/>
              <w:left w:val="single" w:sz="4" w:space="0" w:color="auto"/>
              <w:bottom w:val="single" w:sz="4" w:space="0" w:color="auto"/>
              <w:right w:val="single" w:sz="4" w:space="0" w:color="auto"/>
            </w:tcBorders>
            <w:noWrap/>
            <w:vAlign w:val="center"/>
            <w:hideMark/>
          </w:tcPr>
          <w:p w14:paraId="17FE922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$96.00 </w:t>
            </w:r>
          </w:p>
        </w:tc>
        <w:tc>
          <w:tcPr>
            <w:tcW w:w="959" w:type="dxa"/>
            <w:tcBorders>
              <w:top w:val="nil"/>
              <w:left w:val="nil"/>
              <w:bottom w:val="single" w:sz="4" w:space="0" w:color="auto"/>
              <w:right w:val="single" w:sz="4" w:space="0" w:color="auto"/>
            </w:tcBorders>
            <w:noWrap/>
            <w:vAlign w:val="center"/>
            <w:hideMark/>
          </w:tcPr>
          <w:p w14:paraId="1C39993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40,000</w:t>
            </w:r>
          </w:p>
        </w:tc>
        <w:tc>
          <w:tcPr>
            <w:tcW w:w="1309" w:type="dxa"/>
            <w:tcBorders>
              <w:top w:val="nil"/>
              <w:left w:val="nil"/>
              <w:bottom w:val="single" w:sz="4" w:space="0" w:color="auto"/>
              <w:right w:val="single" w:sz="4" w:space="0" w:color="auto"/>
            </w:tcBorders>
            <w:noWrap/>
            <w:vAlign w:val="center"/>
            <w:hideMark/>
          </w:tcPr>
          <w:p w14:paraId="68B8A66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 xml:space="preserve">$200.00 </w:t>
            </w:r>
          </w:p>
        </w:tc>
      </w:tr>
      <w:tr w:rsidR="002815D4" w:rsidRPr="002815D4" w14:paraId="1DA70734" w14:textId="77777777" w:rsidTr="00935A18">
        <w:trPr>
          <w:trHeight w:val="782"/>
        </w:trPr>
        <w:tc>
          <w:tcPr>
            <w:tcW w:w="1287" w:type="dxa"/>
            <w:vMerge w:val="restart"/>
            <w:tcBorders>
              <w:top w:val="nil"/>
              <w:left w:val="single" w:sz="4" w:space="0" w:color="auto"/>
              <w:bottom w:val="single" w:sz="4" w:space="0" w:color="auto"/>
              <w:right w:val="single" w:sz="4" w:space="0" w:color="auto"/>
            </w:tcBorders>
            <w:vAlign w:val="center"/>
            <w:hideMark/>
          </w:tcPr>
          <w:p w14:paraId="1184198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Mogul Base HID Replacement Lamps</w:t>
            </w:r>
          </w:p>
        </w:tc>
        <w:tc>
          <w:tcPr>
            <w:tcW w:w="2943" w:type="dxa"/>
            <w:tcBorders>
              <w:top w:val="nil"/>
              <w:left w:val="nil"/>
              <w:bottom w:val="single" w:sz="4" w:space="0" w:color="auto"/>
              <w:right w:val="single" w:sz="4" w:space="0" w:color="auto"/>
            </w:tcBorders>
            <w:vAlign w:val="center"/>
            <w:hideMark/>
          </w:tcPr>
          <w:p w14:paraId="13D53F1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Mogul Base HID Replacement Lamp, &lt;= 5,000 lumens</w:t>
            </w:r>
          </w:p>
        </w:tc>
        <w:tc>
          <w:tcPr>
            <w:tcW w:w="859" w:type="dxa"/>
            <w:tcBorders>
              <w:top w:val="nil"/>
              <w:left w:val="nil"/>
              <w:bottom w:val="single" w:sz="4" w:space="0" w:color="auto"/>
              <w:right w:val="single" w:sz="4" w:space="0" w:color="auto"/>
            </w:tcBorders>
            <w:noWrap/>
            <w:vAlign w:val="center"/>
            <w:hideMark/>
          </w:tcPr>
          <w:p w14:paraId="76E3364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50,000</w:t>
            </w:r>
          </w:p>
        </w:tc>
        <w:tc>
          <w:tcPr>
            <w:tcW w:w="1309" w:type="dxa"/>
            <w:tcBorders>
              <w:top w:val="nil"/>
              <w:left w:val="nil"/>
              <w:bottom w:val="single" w:sz="4" w:space="0" w:color="auto"/>
              <w:right w:val="single" w:sz="4" w:space="0" w:color="auto"/>
            </w:tcBorders>
            <w:noWrap/>
            <w:vAlign w:val="center"/>
            <w:hideMark/>
          </w:tcPr>
          <w:p w14:paraId="05A5BCC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$108.00 </w:t>
            </w:r>
          </w:p>
        </w:tc>
        <w:tc>
          <w:tcPr>
            <w:tcW w:w="959" w:type="dxa"/>
            <w:tcBorders>
              <w:top w:val="nil"/>
              <w:left w:val="nil"/>
              <w:bottom w:val="single" w:sz="4" w:space="0" w:color="auto"/>
              <w:right w:val="single" w:sz="4" w:space="0" w:color="auto"/>
            </w:tcBorders>
            <w:noWrap/>
            <w:vAlign w:val="center"/>
            <w:hideMark/>
          </w:tcPr>
          <w:p w14:paraId="4247CB53"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70,000</w:t>
            </w:r>
          </w:p>
        </w:tc>
        <w:tc>
          <w:tcPr>
            <w:tcW w:w="1309" w:type="dxa"/>
            <w:tcBorders>
              <w:top w:val="nil"/>
              <w:left w:val="nil"/>
              <w:bottom w:val="single" w:sz="4" w:space="0" w:color="auto"/>
              <w:right w:val="single" w:sz="4" w:space="0" w:color="auto"/>
            </w:tcBorders>
            <w:noWrap/>
            <w:vAlign w:val="center"/>
            <w:hideMark/>
          </w:tcPr>
          <w:p w14:paraId="57500F5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$62.50 </w:t>
            </w:r>
          </w:p>
        </w:tc>
        <w:tc>
          <w:tcPr>
            <w:tcW w:w="899" w:type="dxa"/>
            <w:tcBorders>
              <w:top w:val="nil"/>
              <w:left w:val="nil"/>
              <w:bottom w:val="single" w:sz="4" w:space="0" w:color="auto"/>
              <w:right w:val="nil"/>
            </w:tcBorders>
            <w:noWrap/>
            <w:vAlign w:val="center"/>
            <w:hideMark/>
          </w:tcPr>
          <w:p w14:paraId="356A1EF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15,000</w:t>
            </w:r>
          </w:p>
        </w:tc>
        <w:tc>
          <w:tcPr>
            <w:tcW w:w="1309" w:type="dxa"/>
            <w:tcBorders>
              <w:top w:val="nil"/>
              <w:left w:val="single" w:sz="4" w:space="0" w:color="auto"/>
              <w:bottom w:val="single" w:sz="4" w:space="0" w:color="auto"/>
              <w:right w:val="single" w:sz="4" w:space="0" w:color="auto"/>
            </w:tcBorders>
            <w:noWrap/>
            <w:vAlign w:val="center"/>
            <w:hideMark/>
          </w:tcPr>
          <w:p w14:paraId="43324B03"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$40.00 </w:t>
            </w:r>
          </w:p>
        </w:tc>
        <w:tc>
          <w:tcPr>
            <w:tcW w:w="959" w:type="dxa"/>
            <w:tcBorders>
              <w:top w:val="nil"/>
              <w:left w:val="nil"/>
              <w:bottom w:val="single" w:sz="4" w:space="0" w:color="auto"/>
              <w:right w:val="single" w:sz="4" w:space="0" w:color="auto"/>
            </w:tcBorders>
            <w:noWrap/>
            <w:vAlign w:val="center"/>
            <w:hideMark/>
          </w:tcPr>
          <w:p w14:paraId="7B7479C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40,000</w:t>
            </w:r>
          </w:p>
        </w:tc>
        <w:tc>
          <w:tcPr>
            <w:tcW w:w="1309" w:type="dxa"/>
            <w:tcBorders>
              <w:top w:val="nil"/>
              <w:left w:val="nil"/>
              <w:bottom w:val="single" w:sz="4" w:space="0" w:color="auto"/>
              <w:right w:val="single" w:sz="4" w:space="0" w:color="auto"/>
            </w:tcBorders>
            <w:noWrap/>
            <w:vAlign w:val="center"/>
            <w:hideMark/>
          </w:tcPr>
          <w:p w14:paraId="3E715A6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$92.50 </w:t>
            </w:r>
          </w:p>
        </w:tc>
      </w:tr>
      <w:tr w:rsidR="002815D4" w:rsidRPr="002815D4" w14:paraId="02205642" w14:textId="77777777" w:rsidTr="00935A18">
        <w:trPr>
          <w:trHeight w:val="908"/>
        </w:trPr>
        <w:tc>
          <w:tcPr>
            <w:tcW w:w="1287" w:type="dxa"/>
            <w:vMerge/>
            <w:tcBorders>
              <w:top w:val="nil"/>
              <w:left w:val="single" w:sz="4" w:space="0" w:color="auto"/>
              <w:bottom w:val="single" w:sz="4" w:space="0" w:color="auto"/>
              <w:right w:val="single" w:sz="4" w:space="0" w:color="auto"/>
            </w:tcBorders>
            <w:vAlign w:val="center"/>
            <w:hideMark/>
          </w:tcPr>
          <w:p w14:paraId="2BCC162E"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4F7BB6B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Mogul Base HID Replacement Lamp, 5,001-10,000 lumens</w:t>
            </w:r>
          </w:p>
        </w:tc>
        <w:tc>
          <w:tcPr>
            <w:tcW w:w="859" w:type="dxa"/>
            <w:tcBorders>
              <w:top w:val="nil"/>
              <w:left w:val="nil"/>
              <w:bottom w:val="single" w:sz="4" w:space="0" w:color="auto"/>
              <w:right w:val="single" w:sz="4" w:space="0" w:color="auto"/>
            </w:tcBorders>
            <w:noWrap/>
            <w:vAlign w:val="center"/>
            <w:hideMark/>
          </w:tcPr>
          <w:p w14:paraId="581D08F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50,000</w:t>
            </w:r>
          </w:p>
        </w:tc>
        <w:tc>
          <w:tcPr>
            <w:tcW w:w="1309" w:type="dxa"/>
            <w:tcBorders>
              <w:top w:val="nil"/>
              <w:left w:val="nil"/>
              <w:bottom w:val="single" w:sz="4" w:space="0" w:color="auto"/>
              <w:right w:val="single" w:sz="4" w:space="0" w:color="auto"/>
            </w:tcBorders>
            <w:noWrap/>
            <w:vAlign w:val="center"/>
            <w:hideMark/>
          </w:tcPr>
          <w:p w14:paraId="6CEE6D1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$99.00 </w:t>
            </w:r>
          </w:p>
        </w:tc>
        <w:tc>
          <w:tcPr>
            <w:tcW w:w="959" w:type="dxa"/>
            <w:tcBorders>
              <w:top w:val="nil"/>
              <w:left w:val="nil"/>
              <w:bottom w:val="single" w:sz="4" w:space="0" w:color="auto"/>
              <w:right w:val="single" w:sz="4" w:space="0" w:color="auto"/>
            </w:tcBorders>
            <w:noWrap/>
            <w:vAlign w:val="center"/>
            <w:hideMark/>
          </w:tcPr>
          <w:p w14:paraId="11DCA28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70,000</w:t>
            </w:r>
          </w:p>
        </w:tc>
        <w:tc>
          <w:tcPr>
            <w:tcW w:w="1309" w:type="dxa"/>
            <w:tcBorders>
              <w:top w:val="nil"/>
              <w:left w:val="nil"/>
              <w:bottom w:val="single" w:sz="4" w:space="0" w:color="auto"/>
              <w:right w:val="single" w:sz="4" w:space="0" w:color="auto"/>
            </w:tcBorders>
            <w:noWrap/>
            <w:vAlign w:val="center"/>
            <w:hideMark/>
          </w:tcPr>
          <w:p w14:paraId="58545A2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$62.50 </w:t>
            </w:r>
          </w:p>
        </w:tc>
        <w:tc>
          <w:tcPr>
            <w:tcW w:w="899" w:type="dxa"/>
            <w:tcBorders>
              <w:top w:val="nil"/>
              <w:left w:val="nil"/>
              <w:bottom w:val="single" w:sz="4" w:space="0" w:color="auto"/>
              <w:right w:val="nil"/>
            </w:tcBorders>
            <w:noWrap/>
            <w:vAlign w:val="center"/>
            <w:hideMark/>
          </w:tcPr>
          <w:p w14:paraId="37146C9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15,000</w:t>
            </w:r>
          </w:p>
        </w:tc>
        <w:tc>
          <w:tcPr>
            <w:tcW w:w="1309" w:type="dxa"/>
            <w:tcBorders>
              <w:top w:val="nil"/>
              <w:left w:val="single" w:sz="4" w:space="0" w:color="auto"/>
              <w:bottom w:val="single" w:sz="4" w:space="0" w:color="auto"/>
              <w:right w:val="single" w:sz="4" w:space="0" w:color="auto"/>
            </w:tcBorders>
            <w:noWrap/>
            <w:vAlign w:val="center"/>
            <w:hideMark/>
          </w:tcPr>
          <w:p w14:paraId="259649C0"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$39.00 </w:t>
            </w:r>
          </w:p>
        </w:tc>
        <w:tc>
          <w:tcPr>
            <w:tcW w:w="959" w:type="dxa"/>
            <w:tcBorders>
              <w:top w:val="nil"/>
              <w:left w:val="nil"/>
              <w:bottom w:val="single" w:sz="4" w:space="0" w:color="auto"/>
              <w:right w:val="single" w:sz="4" w:space="0" w:color="auto"/>
            </w:tcBorders>
            <w:noWrap/>
            <w:vAlign w:val="center"/>
            <w:hideMark/>
          </w:tcPr>
          <w:p w14:paraId="11981861"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40,000</w:t>
            </w:r>
          </w:p>
        </w:tc>
        <w:tc>
          <w:tcPr>
            <w:tcW w:w="1309" w:type="dxa"/>
            <w:tcBorders>
              <w:top w:val="nil"/>
              <w:left w:val="nil"/>
              <w:bottom w:val="single" w:sz="4" w:space="0" w:color="auto"/>
              <w:right w:val="single" w:sz="4" w:space="0" w:color="auto"/>
            </w:tcBorders>
            <w:noWrap/>
            <w:vAlign w:val="center"/>
            <w:hideMark/>
          </w:tcPr>
          <w:p w14:paraId="12EBFB9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$92.50 </w:t>
            </w:r>
          </w:p>
        </w:tc>
      </w:tr>
      <w:tr w:rsidR="002815D4" w:rsidRPr="002815D4" w14:paraId="1DBE0002" w14:textId="77777777" w:rsidTr="00935A18">
        <w:trPr>
          <w:trHeight w:val="728"/>
        </w:trPr>
        <w:tc>
          <w:tcPr>
            <w:tcW w:w="1287" w:type="dxa"/>
            <w:vMerge/>
            <w:tcBorders>
              <w:top w:val="nil"/>
              <w:left w:val="single" w:sz="4" w:space="0" w:color="auto"/>
              <w:bottom w:val="single" w:sz="4" w:space="0" w:color="auto"/>
              <w:right w:val="single" w:sz="4" w:space="0" w:color="auto"/>
            </w:tcBorders>
            <w:vAlign w:val="center"/>
            <w:hideMark/>
          </w:tcPr>
          <w:p w14:paraId="2D99D980"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0239CDD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Mogul Base HID Replacement Lamp, 10,001-15,000 lumens</w:t>
            </w:r>
          </w:p>
        </w:tc>
        <w:tc>
          <w:tcPr>
            <w:tcW w:w="859" w:type="dxa"/>
            <w:tcBorders>
              <w:top w:val="nil"/>
              <w:left w:val="nil"/>
              <w:bottom w:val="single" w:sz="4" w:space="0" w:color="auto"/>
              <w:right w:val="single" w:sz="4" w:space="0" w:color="auto"/>
            </w:tcBorders>
            <w:noWrap/>
            <w:vAlign w:val="center"/>
            <w:hideMark/>
          </w:tcPr>
          <w:p w14:paraId="7E9A360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50,000</w:t>
            </w:r>
          </w:p>
        </w:tc>
        <w:tc>
          <w:tcPr>
            <w:tcW w:w="1309" w:type="dxa"/>
            <w:tcBorders>
              <w:top w:val="nil"/>
              <w:left w:val="nil"/>
              <w:bottom w:val="single" w:sz="4" w:space="0" w:color="auto"/>
              <w:right w:val="single" w:sz="4" w:space="0" w:color="auto"/>
            </w:tcBorders>
            <w:noWrap/>
            <w:vAlign w:val="center"/>
            <w:hideMark/>
          </w:tcPr>
          <w:p w14:paraId="7D186A1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$179.00 </w:t>
            </w:r>
          </w:p>
        </w:tc>
        <w:tc>
          <w:tcPr>
            <w:tcW w:w="959" w:type="dxa"/>
            <w:tcBorders>
              <w:top w:val="nil"/>
              <w:left w:val="nil"/>
              <w:bottom w:val="single" w:sz="4" w:space="0" w:color="auto"/>
              <w:right w:val="single" w:sz="4" w:space="0" w:color="auto"/>
            </w:tcBorders>
            <w:noWrap/>
            <w:vAlign w:val="center"/>
            <w:hideMark/>
          </w:tcPr>
          <w:p w14:paraId="2CABBFC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70,000</w:t>
            </w:r>
          </w:p>
        </w:tc>
        <w:tc>
          <w:tcPr>
            <w:tcW w:w="1309" w:type="dxa"/>
            <w:tcBorders>
              <w:top w:val="nil"/>
              <w:left w:val="nil"/>
              <w:bottom w:val="single" w:sz="4" w:space="0" w:color="auto"/>
              <w:right w:val="single" w:sz="4" w:space="0" w:color="auto"/>
            </w:tcBorders>
            <w:noWrap/>
            <w:vAlign w:val="center"/>
            <w:hideMark/>
          </w:tcPr>
          <w:p w14:paraId="53E884F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$62.50 </w:t>
            </w:r>
          </w:p>
        </w:tc>
        <w:tc>
          <w:tcPr>
            <w:tcW w:w="899" w:type="dxa"/>
            <w:tcBorders>
              <w:top w:val="nil"/>
              <w:left w:val="nil"/>
              <w:bottom w:val="single" w:sz="4" w:space="0" w:color="auto"/>
              <w:right w:val="nil"/>
            </w:tcBorders>
            <w:noWrap/>
            <w:vAlign w:val="center"/>
            <w:hideMark/>
          </w:tcPr>
          <w:p w14:paraId="1A41CB81"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15,000</w:t>
            </w:r>
          </w:p>
        </w:tc>
        <w:tc>
          <w:tcPr>
            <w:tcW w:w="1309" w:type="dxa"/>
            <w:tcBorders>
              <w:top w:val="nil"/>
              <w:left w:val="single" w:sz="4" w:space="0" w:color="auto"/>
              <w:bottom w:val="single" w:sz="4" w:space="0" w:color="auto"/>
              <w:right w:val="single" w:sz="4" w:space="0" w:color="auto"/>
            </w:tcBorders>
            <w:noWrap/>
            <w:vAlign w:val="center"/>
            <w:hideMark/>
          </w:tcPr>
          <w:p w14:paraId="6928CA2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$50.00 </w:t>
            </w:r>
          </w:p>
        </w:tc>
        <w:tc>
          <w:tcPr>
            <w:tcW w:w="959" w:type="dxa"/>
            <w:tcBorders>
              <w:top w:val="nil"/>
              <w:left w:val="nil"/>
              <w:bottom w:val="single" w:sz="4" w:space="0" w:color="auto"/>
              <w:right w:val="single" w:sz="4" w:space="0" w:color="auto"/>
            </w:tcBorders>
            <w:noWrap/>
            <w:vAlign w:val="center"/>
            <w:hideMark/>
          </w:tcPr>
          <w:p w14:paraId="5CE1615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40,000</w:t>
            </w:r>
          </w:p>
        </w:tc>
        <w:tc>
          <w:tcPr>
            <w:tcW w:w="1309" w:type="dxa"/>
            <w:tcBorders>
              <w:top w:val="nil"/>
              <w:left w:val="nil"/>
              <w:bottom w:val="single" w:sz="4" w:space="0" w:color="auto"/>
              <w:right w:val="single" w:sz="4" w:space="0" w:color="auto"/>
            </w:tcBorders>
            <w:noWrap/>
            <w:vAlign w:val="center"/>
            <w:hideMark/>
          </w:tcPr>
          <w:p w14:paraId="4D610307"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$117.50 </w:t>
            </w:r>
          </w:p>
        </w:tc>
      </w:tr>
      <w:tr w:rsidR="002815D4" w:rsidRPr="002815D4" w14:paraId="47544B1D" w14:textId="77777777" w:rsidTr="00935A18">
        <w:trPr>
          <w:trHeight w:val="800"/>
        </w:trPr>
        <w:tc>
          <w:tcPr>
            <w:tcW w:w="1287" w:type="dxa"/>
            <w:vMerge/>
            <w:tcBorders>
              <w:top w:val="nil"/>
              <w:left w:val="single" w:sz="4" w:space="0" w:color="auto"/>
              <w:bottom w:val="single" w:sz="4" w:space="0" w:color="auto"/>
              <w:right w:val="single" w:sz="4" w:space="0" w:color="auto"/>
            </w:tcBorders>
            <w:vAlign w:val="center"/>
            <w:hideMark/>
          </w:tcPr>
          <w:p w14:paraId="1D1305C0"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7DD052F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Mogul Base HID Replacement Lamp, 15,001-30,000 lumens</w:t>
            </w:r>
          </w:p>
        </w:tc>
        <w:tc>
          <w:tcPr>
            <w:tcW w:w="859" w:type="dxa"/>
            <w:tcBorders>
              <w:top w:val="nil"/>
              <w:left w:val="nil"/>
              <w:bottom w:val="single" w:sz="4" w:space="0" w:color="auto"/>
              <w:right w:val="single" w:sz="4" w:space="0" w:color="auto"/>
            </w:tcBorders>
            <w:noWrap/>
            <w:vAlign w:val="center"/>
            <w:hideMark/>
          </w:tcPr>
          <w:p w14:paraId="3C0CB59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50,000</w:t>
            </w:r>
          </w:p>
        </w:tc>
        <w:tc>
          <w:tcPr>
            <w:tcW w:w="1309" w:type="dxa"/>
            <w:tcBorders>
              <w:top w:val="nil"/>
              <w:left w:val="nil"/>
              <w:bottom w:val="single" w:sz="4" w:space="0" w:color="auto"/>
              <w:right w:val="single" w:sz="4" w:space="0" w:color="auto"/>
            </w:tcBorders>
            <w:noWrap/>
            <w:vAlign w:val="center"/>
            <w:hideMark/>
          </w:tcPr>
          <w:p w14:paraId="4EA00BB2"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$210.00 </w:t>
            </w:r>
          </w:p>
        </w:tc>
        <w:tc>
          <w:tcPr>
            <w:tcW w:w="959" w:type="dxa"/>
            <w:tcBorders>
              <w:top w:val="nil"/>
              <w:left w:val="nil"/>
              <w:bottom w:val="single" w:sz="4" w:space="0" w:color="auto"/>
              <w:right w:val="single" w:sz="4" w:space="0" w:color="auto"/>
            </w:tcBorders>
            <w:noWrap/>
            <w:vAlign w:val="center"/>
            <w:hideMark/>
          </w:tcPr>
          <w:p w14:paraId="6CED8653"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70,000</w:t>
            </w:r>
          </w:p>
        </w:tc>
        <w:tc>
          <w:tcPr>
            <w:tcW w:w="1309" w:type="dxa"/>
            <w:tcBorders>
              <w:top w:val="nil"/>
              <w:left w:val="nil"/>
              <w:bottom w:val="single" w:sz="4" w:space="0" w:color="auto"/>
              <w:right w:val="single" w:sz="4" w:space="0" w:color="auto"/>
            </w:tcBorders>
            <w:noWrap/>
            <w:vAlign w:val="center"/>
            <w:hideMark/>
          </w:tcPr>
          <w:p w14:paraId="6F47161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$62.50 </w:t>
            </w:r>
          </w:p>
        </w:tc>
        <w:tc>
          <w:tcPr>
            <w:tcW w:w="899" w:type="dxa"/>
            <w:tcBorders>
              <w:top w:val="nil"/>
              <w:left w:val="nil"/>
              <w:bottom w:val="single" w:sz="4" w:space="0" w:color="auto"/>
              <w:right w:val="nil"/>
            </w:tcBorders>
            <w:noWrap/>
            <w:vAlign w:val="center"/>
            <w:hideMark/>
          </w:tcPr>
          <w:p w14:paraId="1528290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15,000</w:t>
            </w:r>
          </w:p>
        </w:tc>
        <w:tc>
          <w:tcPr>
            <w:tcW w:w="1309" w:type="dxa"/>
            <w:tcBorders>
              <w:top w:val="nil"/>
              <w:left w:val="single" w:sz="4" w:space="0" w:color="auto"/>
              <w:bottom w:val="single" w:sz="4" w:space="0" w:color="auto"/>
              <w:right w:val="single" w:sz="4" w:space="0" w:color="auto"/>
            </w:tcBorders>
            <w:noWrap/>
            <w:vAlign w:val="center"/>
            <w:hideMark/>
          </w:tcPr>
          <w:p w14:paraId="40BAF14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$54.00 </w:t>
            </w:r>
          </w:p>
        </w:tc>
        <w:tc>
          <w:tcPr>
            <w:tcW w:w="959" w:type="dxa"/>
            <w:tcBorders>
              <w:top w:val="nil"/>
              <w:left w:val="nil"/>
              <w:bottom w:val="single" w:sz="4" w:space="0" w:color="auto"/>
              <w:right w:val="single" w:sz="4" w:space="0" w:color="auto"/>
            </w:tcBorders>
            <w:noWrap/>
            <w:vAlign w:val="center"/>
            <w:hideMark/>
          </w:tcPr>
          <w:p w14:paraId="5EC7BED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40,000</w:t>
            </w:r>
          </w:p>
        </w:tc>
        <w:tc>
          <w:tcPr>
            <w:tcW w:w="1309" w:type="dxa"/>
            <w:tcBorders>
              <w:top w:val="nil"/>
              <w:left w:val="nil"/>
              <w:bottom w:val="single" w:sz="4" w:space="0" w:color="auto"/>
              <w:right w:val="single" w:sz="4" w:space="0" w:color="auto"/>
            </w:tcBorders>
            <w:noWrap/>
            <w:vAlign w:val="center"/>
            <w:hideMark/>
          </w:tcPr>
          <w:p w14:paraId="2FF0E37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$142.50 </w:t>
            </w:r>
          </w:p>
        </w:tc>
      </w:tr>
      <w:tr w:rsidR="002815D4" w:rsidRPr="002815D4" w14:paraId="296C99CA" w14:textId="77777777" w:rsidTr="00935A18">
        <w:trPr>
          <w:trHeight w:val="800"/>
        </w:trPr>
        <w:tc>
          <w:tcPr>
            <w:tcW w:w="1287" w:type="dxa"/>
            <w:vMerge/>
            <w:tcBorders>
              <w:top w:val="nil"/>
              <w:left w:val="single" w:sz="4" w:space="0" w:color="auto"/>
              <w:bottom w:val="single" w:sz="4" w:space="0" w:color="auto"/>
              <w:right w:val="single" w:sz="4" w:space="0" w:color="auto"/>
            </w:tcBorders>
            <w:vAlign w:val="center"/>
            <w:hideMark/>
          </w:tcPr>
          <w:p w14:paraId="07D2786C"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3062756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Mogul Base HID Replacement Lamp, 30,001-40,000 lumens</w:t>
            </w:r>
          </w:p>
        </w:tc>
        <w:tc>
          <w:tcPr>
            <w:tcW w:w="859" w:type="dxa"/>
            <w:tcBorders>
              <w:top w:val="nil"/>
              <w:left w:val="nil"/>
              <w:bottom w:val="single" w:sz="4" w:space="0" w:color="auto"/>
              <w:right w:val="single" w:sz="4" w:space="0" w:color="auto"/>
            </w:tcBorders>
            <w:noWrap/>
            <w:vAlign w:val="center"/>
            <w:hideMark/>
          </w:tcPr>
          <w:p w14:paraId="4C3E52F9"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50,000</w:t>
            </w:r>
          </w:p>
        </w:tc>
        <w:tc>
          <w:tcPr>
            <w:tcW w:w="1309" w:type="dxa"/>
            <w:tcBorders>
              <w:top w:val="nil"/>
              <w:left w:val="nil"/>
              <w:bottom w:val="single" w:sz="4" w:space="0" w:color="auto"/>
              <w:right w:val="single" w:sz="4" w:space="0" w:color="auto"/>
            </w:tcBorders>
            <w:noWrap/>
            <w:vAlign w:val="center"/>
            <w:hideMark/>
          </w:tcPr>
          <w:p w14:paraId="0E01E58A"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$514.00 </w:t>
            </w:r>
          </w:p>
        </w:tc>
        <w:tc>
          <w:tcPr>
            <w:tcW w:w="959" w:type="dxa"/>
            <w:tcBorders>
              <w:top w:val="nil"/>
              <w:left w:val="nil"/>
              <w:bottom w:val="single" w:sz="4" w:space="0" w:color="auto"/>
              <w:right w:val="single" w:sz="4" w:space="0" w:color="auto"/>
            </w:tcBorders>
            <w:noWrap/>
            <w:vAlign w:val="center"/>
            <w:hideMark/>
          </w:tcPr>
          <w:p w14:paraId="79CF92C1"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70,000</w:t>
            </w:r>
          </w:p>
        </w:tc>
        <w:tc>
          <w:tcPr>
            <w:tcW w:w="1309" w:type="dxa"/>
            <w:tcBorders>
              <w:top w:val="nil"/>
              <w:left w:val="nil"/>
              <w:bottom w:val="single" w:sz="4" w:space="0" w:color="auto"/>
              <w:right w:val="single" w:sz="4" w:space="0" w:color="auto"/>
            </w:tcBorders>
            <w:noWrap/>
            <w:vAlign w:val="center"/>
            <w:hideMark/>
          </w:tcPr>
          <w:p w14:paraId="2B3DFC16"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$62.50 </w:t>
            </w:r>
          </w:p>
        </w:tc>
        <w:tc>
          <w:tcPr>
            <w:tcW w:w="899" w:type="dxa"/>
            <w:tcBorders>
              <w:top w:val="nil"/>
              <w:left w:val="nil"/>
              <w:bottom w:val="single" w:sz="4" w:space="0" w:color="auto"/>
              <w:right w:val="nil"/>
            </w:tcBorders>
            <w:noWrap/>
            <w:vAlign w:val="center"/>
            <w:hideMark/>
          </w:tcPr>
          <w:p w14:paraId="03FCA92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15,000</w:t>
            </w:r>
          </w:p>
        </w:tc>
        <w:tc>
          <w:tcPr>
            <w:tcW w:w="1309" w:type="dxa"/>
            <w:tcBorders>
              <w:top w:val="nil"/>
              <w:left w:val="single" w:sz="4" w:space="0" w:color="auto"/>
              <w:bottom w:val="single" w:sz="4" w:space="0" w:color="auto"/>
              <w:right w:val="single" w:sz="4" w:space="0" w:color="auto"/>
            </w:tcBorders>
            <w:noWrap/>
            <w:vAlign w:val="center"/>
            <w:hideMark/>
          </w:tcPr>
          <w:p w14:paraId="0EF1990E"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$68.00 </w:t>
            </w:r>
          </w:p>
        </w:tc>
        <w:tc>
          <w:tcPr>
            <w:tcW w:w="959" w:type="dxa"/>
            <w:tcBorders>
              <w:top w:val="nil"/>
              <w:left w:val="nil"/>
              <w:bottom w:val="single" w:sz="4" w:space="0" w:color="auto"/>
              <w:right w:val="single" w:sz="4" w:space="0" w:color="auto"/>
            </w:tcBorders>
            <w:noWrap/>
            <w:vAlign w:val="center"/>
            <w:hideMark/>
          </w:tcPr>
          <w:p w14:paraId="658972CB"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40,000</w:t>
            </w:r>
          </w:p>
        </w:tc>
        <w:tc>
          <w:tcPr>
            <w:tcW w:w="1309" w:type="dxa"/>
            <w:tcBorders>
              <w:top w:val="nil"/>
              <w:left w:val="nil"/>
              <w:bottom w:val="single" w:sz="4" w:space="0" w:color="auto"/>
              <w:right w:val="single" w:sz="4" w:space="0" w:color="auto"/>
            </w:tcBorders>
            <w:noWrap/>
            <w:vAlign w:val="center"/>
            <w:hideMark/>
          </w:tcPr>
          <w:p w14:paraId="6505C53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$143.00 </w:t>
            </w:r>
          </w:p>
        </w:tc>
      </w:tr>
      <w:tr w:rsidR="002815D4" w:rsidRPr="002815D4" w14:paraId="5AC385DF" w14:textId="77777777" w:rsidTr="00935A18">
        <w:trPr>
          <w:trHeight w:val="782"/>
        </w:trPr>
        <w:tc>
          <w:tcPr>
            <w:tcW w:w="1287" w:type="dxa"/>
            <w:vMerge/>
            <w:tcBorders>
              <w:top w:val="nil"/>
              <w:left w:val="single" w:sz="4" w:space="0" w:color="auto"/>
              <w:bottom w:val="single" w:sz="4" w:space="0" w:color="auto"/>
              <w:right w:val="single" w:sz="4" w:space="0" w:color="auto"/>
            </w:tcBorders>
            <w:vAlign w:val="center"/>
            <w:hideMark/>
          </w:tcPr>
          <w:p w14:paraId="4654B20D" w14:textId="77777777" w:rsidR="002815D4" w:rsidRPr="002815D4" w:rsidRDefault="002815D4" w:rsidP="002815D4">
            <w:pPr>
              <w:rPr>
                <w:rFonts w:ascii="Calibri" w:eastAsia="Times New Roman" w:hAnsi="Calibri" w:cs="Calibri"/>
                <w:sz w:val="20"/>
                <w:szCs w:val="20"/>
              </w:rPr>
            </w:pPr>
          </w:p>
        </w:tc>
        <w:tc>
          <w:tcPr>
            <w:tcW w:w="2943" w:type="dxa"/>
            <w:tcBorders>
              <w:top w:val="nil"/>
              <w:left w:val="nil"/>
              <w:bottom w:val="single" w:sz="4" w:space="0" w:color="auto"/>
              <w:right w:val="single" w:sz="4" w:space="0" w:color="auto"/>
            </w:tcBorders>
            <w:vAlign w:val="center"/>
            <w:hideMark/>
          </w:tcPr>
          <w:p w14:paraId="3A3F6421"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Arial"/>
                <w:sz w:val="20"/>
                <w:szCs w:val="20"/>
              </w:rPr>
              <w:t>LED Mogul Base HID Replacement Lamp, &gt; 40,000 lumens</w:t>
            </w:r>
          </w:p>
        </w:tc>
        <w:tc>
          <w:tcPr>
            <w:tcW w:w="859" w:type="dxa"/>
            <w:tcBorders>
              <w:top w:val="nil"/>
              <w:left w:val="nil"/>
              <w:bottom w:val="single" w:sz="4" w:space="0" w:color="auto"/>
              <w:right w:val="single" w:sz="4" w:space="0" w:color="auto"/>
            </w:tcBorders>
            <w:noWrap/>
            <w:vAlign w:val="center"/>
            <w:hideMark/>
          </w:tcPr>
          <w:p w14:paraId="2CF123CD"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50,000</w:t>
            </w:r>
          </w:p>
        </w:tc>
        <w:tc>
          <w:tcPr>
            <w:tcW w:w="1309" w:type="dxa"/>
            <w:tcBorders>
              <w:top w:val="nil"/>
              <w:left w:val="nil"/>
              <w:bottom w:val="single" w:sz="4" w:space="0" w:color="auto"/>
              <w:right w:val="single" w:sz="4" w:space="0" w:color="auto"/>
            </w:tcBorders>
            <w:noWrap/>
            <w:vAlign w:val="center"/>
            <w:hideMark/>
          </w:tcPr>
          <w:p w14:paraId="39F732D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$707.00 </w:t>
            </w:r>
          </w:p>
        </w:tc>
        <w:tc>
          <w:tcPr>
            <w:tcW w:w="959" w:type="dxa"/>
            <w:tcBorders>
              <w:top w:val="nil"/>
              <w:left w:val="nil"/>
              <w:bottom w:val="single" w:sz="4" w:space="0" w:color="auto"/>
              <w:right w:val="single" w:sz="4" w:space="0" w:color="auto"/>
            </w:tcBorders>
            <w:noWrap/>
            <w:vAlign w:val="center"/>
            <w:hideMark/>
          </w:tcPr>
          <w:p w14:paraId="5B65FA88"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70,000</w:t>
            </w:r>
          </w:p>
        </w:tc>
        <w:tc>
          <w:tcPr>
            <w:tcW w:w="1309" w:type="dxa"/>
            <w:tcBorders>
              <w:top w:val="nil"/>
              <w:left w:val="nil"/>
              <w:bottom w:val="single" w:sz="4" w:space="0" w:color="auto"/>
              <w:right w:val="single" w:sz="4" w:space="0" w:color="auto"/>
            </w:tcBorders>
            <w:noWrap/>
            <w:vAlign w:val="center"/>
            <w:hideMark/>
          </w:tcPr>
          <w:p w14:paraId="7249157C"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$62.50 </w:t>
            </w:r>
          </w:p>
        </w:tc>
        <w:tc>
          <w:tcPr>
            <w:tcW w:w="899" w:type="dxa"/>
            <w:tcBorders>
              <w:top w:val="nil"/>
              <w:left w:val="nil"/>
              <w:bottom w:val="single" w:sz="4" w:space="0" w:color="auto"/>
              <w:right w:val="nil"/>
            </w:tcBorders>
            <w:noWrap/>
            <w:vAlign w:val="center"/>
            <w:hideMark/>
          </w:tcPr>
          <w:p w14:paraId="78CA2D54"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15,000</w:t>
            </w:r>
          </w:p>
        </w:tc>
        <w:tc>
          <w:tcPr>
            <w:tcW w:w="1309" w:type="dxa"/>
            <w:tcBorders>
              <w:top w:val="nil"/>
              <w:left w:val="single" w:sz="4" w:space="0" w:color="auto"/>
              <w:bottom w:val="single" w:sz="4" w:space="0" w:color="auto"/>
              <w:right w:val="single" w:sz="4" w:space="0" w:color="auto"/>
            </w:tcBorders>
            <w:noWrap/>
            <w:vAlign w:val="center"/>
            <w:hideMark/>
          </w:tcPr>
          <w:p w14:paraId="7F39F64F"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$78.00 </w:t>
            </w:r>
          </w:p>
        </w:tc>
        <w:tc>
          <w:tcPr>
            <w:tcW w:w="959" w:type="dxa"/>
            <w:tcBorders>
              <w:top w:val="nil"/>
              <w:left w:val="nil"/>
              <w:bottom w:val="single" w:sz="4" w:space="0" w:color="auto"/>
              <w:right w:val="single" w:sz="4" w:space="0" w:color="auto"/>
            </w:tcBorders>
            <w:noWrap/>
            <w:vAlign w:val="center"/>
            <w:hideMark/>
          </w:tcPr>
          <w:p w14:paraId="6DAB2C35"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40,000</w:t>
            </w:r>
          </w:p>
        </w:tc>
        <w:tc>
          <w:tcPr>
            <w:tcW w:w="1309" w:type="dxa"/>
            <w:tcBorders>
              <w:top w:val="nil"/>
              <w:left w:val="nil"/>
              <w:bottom w:val="single" w:sz="4" w:space="0" w:color="auto"/>
              <w:right w:val="single" w:sz="4" w:space="0" w:color="auto"/>
            </w:tcBorders>
            <w:noWrap/>
            <w:vAlign w:val="center"/>
            <w:hideMark/>
          </w:tcPr>
          <w:p w14:paraId="5ACBE2AA" w14:textId="77777777" w:rsidR="002815D4" w:rsidRPr="002815D4" w:rsidRDefault="002815D4" w:rsidP="002815D4">
            <w:pPr>
              <w:jc w:val="center"/>
              <w:rPr>
                <w:rFonts w:ascii="Calibri" w:eastAsia="Times New Roman" w:hAnsi="Calibri" w:cs="Calibri"/>
                <w:sz w:val="20"/>
                <w:szCs w:val="20"/>
              </w:rPr>
            </w:pPr>
            <w:r w:rsidRPr="002815D4">
              <w:rPr>
                <w:rFonts w:ascii="Calibri" w:eastAsia="Times New Roman" w:hAnsi="Calibri" w:cs="Calibri"/>
                <w:sz w:val="20"/>
                <w:szCs w:val="20"/>
              </w:rPr>
              <w:t xml:space="preserve">$149.00 </w:t>
            </w:r>
          </w:p>
        </w:tc>
      </w:tr>
    </w:tbl>
    <w:p w14:paraId="19F3AE5B" w14:textId="77777777" w:rsidR="002815D4" w:rsidRPr="002815D4" w:rsidRDefault="002815D4" w:rsidP="002815D4">
      <w:pPr>
        <w:spacing w:after="240"/>
        <w:jc w:val="both"/>
        <w:rPr>
          <w:rFonts w:ascii="Calibri" w:eastAsia="Calibri" w:hAnsi="Calibri" w:cs="Arial"/>
          <w:b/>
          <w:sz w:val="20"/>
          <w:szCs w:val="20"/>
        </w:rPr>
      </w:pPr>
    </w:p>
    <w:p w14:paraId="34749394" w14:textId="77777777" w:rsidR="002815D4" w:rsidRPr="002815D4" w:rsidRDefault="002815D4" w:rsidP="002815D4">
      <w:pPr>
        <w:keepNext/>
        <w:keepLines/>
        <w:tabs>
          <w:tab w:val="left" w:pos="5040"/>
        </w:tabs>
        <w:spacing w:before="40" w:after="120"/>
        <w:jc w:val="both"/>
        <w:outlineLvl w:val="5"/>
        <w:rPr>
          <w:rFonts w:ascii="Calibri" w:eastAsia="Calibri" w:hAnsi="Calibri" w:cs="Calibri"/>
          <w:b/>
          <w:smallCaps/>
          <w:sz w:val="20"/>
          <w:szCs w:val="20"/>
        </w:rPr>
      </w:pPr>
      <w:r w:rsidRPr="002815D4">
        <w:rPr>
          <w:rFonts w:ascii="Calibri" w:eastAsia="Calibri" w:hAnsi="Calibri" w:cs="Calibri"/>
          <w:b/>
          <w:smallCaps/>
          <w:sz w:val="20"/>
          <w:szCs w:val="20"/>
        </w:rPr>
        <w:t>Measure Code: CI-LTG-LEDB-V20-270101</w:t>
      </w:r>
    </w:p>
    <w:p w14:paraId="774E6948" w14:textId="77777777" w:rsidR="00AA453A" w:rsidRPr="002815D4" w:rsidRDefault="00AA453A" w:rsidP="002815D4">
      <w:pPr>
        <w:keepNext/>
        <w:keepLines/>
        <w:tabs>
          <w:tab w:val="left" w:pos="5040"/>
        </w:tabs>
        <w:spacing w:before="40" w:after="120"/>
        <w:jc w:val="both"/>
        <w:outlineLvl w:val="5"/>
        <w:rPr>
          <w:rFonts w:ascii="Calibri" w:eastAsia="Calibri" w:hAnsi="Calibri" w:cs="Calibri"/>
          <w:b/>
          <w:smallCaps/>
          <w:sz w:val="20"/>
          <w:szCs w:val="20"/>
        </w:rPr>
      </w:pPr>
      <w:r w:rsidRPr="002815D4">
        <w:rPr>
          <w:rFonts w:ascii="Calibri" w:eastAsia="Calibri" w:hAnsi="Calibri" w:cs="Calibri"/>
          <w:b/>
          <w:smallCaps/>
          <w:sz w:val="20"/>
          <w:szCs w:val="20"/>
        </w:rPr>
        <w:t>Review Deadline: 1/1/2028</w:t>
      </w:r>
    </w:p>
    <w:bookmarkEnd w:id="18"/>
    <w:p w14:paraId="32609EAE" w14:textId="77777777" w:rsidR="009603C5" w:rsidRPr="0065191F" w:rsidRDefault="009603C5" w:rsidP="00265191">
      <w:pPr>
        <w:numPr>
          <w:ilvl w:val="2"/>
          <w:numId w:val="0"/>
        </w:numPr>
        <w:spacing w:before="120" w:after="120"/>
        <w:outlineLvl w:val="2"/>
        <w:rPr>
          <w:rFonts w:eastAsiaTheme="majorEastAsia" w:cs="Times New Roman"/>
          <w:b/>
          <w:smallCaps/>
          <w:sz w:val="20"/>
        </w:rPr>
      </w:pPr>
    </w:p>
    <w:sectPr w:rsidR="009603C5" w:rsidRPr="0065191F" w:rsidSect="009603C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AFFAA" w14:textId="77777777" w:rsidR="009042BE" w:rsidRDefault="009042BE" w:rsidP="00E8642F">
      <w:r>
        <w:separator/>
      </w:r>
    </w:p>
  </w:endnote>
  <w:endnote w:type="continuationSeparator" w:id="0">
    <w:p w14:paraId="7AD26CF9" w14:textId="77777777" w:rsidR="009042BE" w:rsidRDefault="009042BE" w:rsidP="00E86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BoldItalic">
    <w:altName w:val="Calibri"/>
    <w:panose1 w:val="00000000000000000000"/>
    <w:charset w:val="00"/>
    <w:family w:val="roman"/>
    <w:notTrueType/>
    <w:pitch w:val="default"/>
  </w:font>
  <w:font w:name="Calibri-Bold">
    <w:altName w:val="Calibr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HelveticaNeueLT Std">
    <w:panose1 w:val="00000000000000000000"/>
    <w:charset w:val="00"/>
    <w:family w:val="swiss"/>
    <w:notTrueType/>
    <w:pitch w:val="variable"/>
    <w:sig w:usb0="800000AF" w:usb1="4000204A" w:usb2="00000000" w:usb3="00000000" w:csb0="00000001" w:csb1="00000000"/>
  </w:font>
  <w:font w:name="HelveticaNeueLT Std Med">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FUIText-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DD51A" w14:textId="77777777" w:rsidR="009042BE" w:rsidRDefault="009042BE" w:rsidP="00E8642F">
      <w:r>
        <w:separator/>
      </w:r>
    </w:p>
  </w:footnote>
  <w:footnote w:type="continuationSeparator" w:id="0">
    <w:p w14:paraId="508A38A3" w14:textId="77777777" w:rsidR="009042BE" w:rsidRDefault="009042BE" w:rsidP="00E8642F">
      <w:r>
        <w:continuationSeparator/>
      </w:r>
    </w:p>
  </w:footnote>
  <w:footnote w:id="1">
    <w:p w14:paraId="18BA2CE6" w14:textId="77777777" w:rsidR="002815D4" w:rsidRPr="00265191" w:rsidRDefault="002815D4" w:rsidP="002815D4">
      <w:pPr>
        <w:pStyle w:val="Footnote"/>
      </w:pPr>
      <w:r w:rsidRPr="00265191">
        <w:rPr>
          <w:rStyle w:val="FootnoteReference"/>
          <w:rFonts w:ascii="Calibri" w:hAnsi="Calibri" w:cs="Calibri"/>
          <w:sz w:val="18"/>
          <w:szCs w:val="18"/>
        </w:rPr>
        <w:footnoteRef/>
      </w:r>
      <w:r w:rsidRPr="00265191">
        <w:t xml:space="preserve"> Based on ComEd’s Instant Discounts program CY2018, CY2019 and CY2020 (Rounds 1 and 2) Purchaser Survey analysis. See ComEd Instant Discounts Enduser Survey TRM Updates.xlsx. For Residential installations, hours of use assumptions from ‘5.5.6 LED Downlights’ should be used for LED fixtures and ‘5.5.8 LED Screw Based Omnidirectional Bulbs’ should be used for LED bulbs.</w:t>
      </w:r>
    </w:p>
  </w:footnote>
  <w:footnote w:id="2">
    <w:p w14:paraId="395942AE" w14:textId="77777777" w:rsidR="002815D4" w:rsidRPr="00265191" w:rsidRDefault="002815D4" w:rsidP="002815D4">
      <w:pPr>
        <w:pStyle w:val="FootnoteText"/>
        <w:rPr>
          <w:rFonts w:ascii="Calibri" w:hAnsi="Calibri" w:cs="Calibri"/>
          <w:sz w:val="18"/>
          <w:szCs w:val="18"/>
        </w:rPr>
      </w:pPr>
      <w:r w:rsidRPr="00265191">
        <w:rPr>
          <w:rStyle w:val="FootnoteReference"/>
          <w:rFonts w:ascii="Calibri" w:hAnsi="Calibri" w:cs="Calibri"/>
          <w:sz w:val="18"/>
          <w:szCs w:val="18"/>
        </w:rPr>
        <w:footnoteRef/>
      </w:r>
      <w:r w:rsidRPr="00265191">
        <w:rPr>
          <w:rFonts w:ascii="Calibri" w:hAnsi="Calibri" w:cs="Calibri"/>
          <w:sz w:val="18"/>
          <w:szCs w:val="18"/>
        </w:rPr>
        <w:t xml:space="preserve"> In the event that the ENERGY STAR program is ended, the last effective ENERGY STAR specification should continue to be used through the effective period of this TRM.</w:t>
      </w:r>
    </w:p>
  </w:footnote>
  <w:footnote w:id="3">
    <w:p w14:paraId="305FDFDC" w14:textId="77777777" w:rsidR="002815D4" w:rsidRPr="00265191" w:rsidRDefault="002815D4" w:rsidP="002815D4">
      <w:pPr>
        <w:pStyle w:val="FootnoteText"/>
        <w:rPr>
          <w:rFonts w:ascii="Calibri" w:hAnsi="Calibri" w:cs="Calibri"/>
          <w:sz w:val="18"/>
          <w:szCs w:val="18"/>
        </w:rPr>
      </w:pPr>
      <w:r w:rsidRPr="00265191">
        <w:rPr>
          <w:rStyle w:val="FootnoteReference"/>
          <w:rFonts w:ascii="Calibri" w:hAnsi="Calibri" w:cs="Calibri"/>
          <w:sz w:val="18"/>
          <w:szCs w:val="18"/>
        </w:rPr>
        <w:footnoteRef/>
      </w:r>
      <w:r w:rsidRPr="00265191">
        <w:rPr>
          <w:rFonts w:ascii="Calibri" w:hAnsi="Calibri" w:cs="Calibri"/>
          <w:sz w:val="18"/>
          <w:szCs w:val="18"/>
        </w:rPr>
        <w:t xml:space="preserve"> Exterior fixture measure lives are based upon review of the typical rated life of the fixtures, divided by the hours of use assumption and applying a derating factor of 15% to account for potential impacts from external installation (as proposed in a Guidehouse EUL methodology recommendation for Street Lights).</w:t>
      </w:r>
    </w:p>
  </w:footnote>
  <w:footnote w:id="4">
    <w:p w14:paraId="691BBBCF" w14:textId="77777777" w:rsidR="002815D4" w:rsidRPr="00265191" w:rsidRDefault="002815D4" w:rsidP="002815D4">
      <w:pPr>
        <w:pStyle w:val="FootnoteText"/>
        <w:rPr>
          <w:rFonts w:ascii="Calibri" w:hAnsi="Calibri" w:cs="Calibri"/>
          <w:sz w:val="18"/>
          <w:szCs w:val="18"/>
        </w:rPr>
      </w:pPr>
      <w:r w:rsidRPr="00265191">
        <w:rPr>
          <w:rStyle w:val="FootnoteReference"/>
          <w:rFonts w:ascii="Calibri" w:hAnsi="Calibri" w:cs="Calibri"/>
          <w:sz w:val="18"/>
          <w:szCs w:val="18"/>
        </w:rPr>
        <w:footnoteRef/>
      </w:r>
      <w:r w:rsidRPr="00265191">
        <w:rPr>
          <w:rFonts w:ascii="Calibri" w:hAnsi="Calibri" w:cs="Calibri"/>
          <w:sz w:val="18"/>
          <w:szCs w:val="18"/>
        </w:rPr>
        <w:t xml:space="preserve"> Based on recommendation in the Dunsky Energy Consulting, Livingston Energy Innovations and Opinion Dynamics Corporation; NEEP Emerging Technology Research Report, p 6-18.</w:t>
      </w:r>
    </w:p>
  </w:footnote>
  <w:footnote w:id="5">
    <w:p w14:paraId="6800D993" w14:textId="77777777" w:rsidR="002815D4" w:rsidRPr="00265191" w:rsidRDefault="002815D4" w:rsidP="002815D4">
      <w:pPr>
        <w:pStyle w:val="FootnoteText"/>
        <w:rPr>
          <w:rFonts w:ascii="Calibri" w:hAnsi="Calibri" w:cs="Calibri"/>
          <w:sz w:val="18"/>
          <w:szCs w:val="18"/>
        </w:rPr>
      </w:pPr>
      <w:r w:rsidRPr="00265191">
        <w:rPr>
          <w:rStyle w:val="FootnoteReference"/>
          <w:rFonts w:ascii="Calibri" w:hAnsi="Calibri" w:cs="Calibri"/>
          <w:sz w:val="18"/>
          <w:szCs w:val="18"/>
        </w:rPr>
        <w:footnoteRef/>
      </w:r>
      <w:r w:rsidRPr="00265191">
        <w:rPr>
          <w:rFonts w:ascii="Calibri" w:hAnsi="Calibri" w:cs="Calibri"/>
          <w:sz w:val="18"/>
          <w:szCs w:val="18"/>
        </w:rPr>
        <w:t xml:space="preserve"> See file “LED Lamp Updates 2021-06-09” for details on Guidehouse lamp wattage calculations based on equivalent baseline wattage and LED wattage of available ENERGY STAR product</w:t>
      </w:r>
    </w:p>
  </w:footnote>
  <w:footnote w:id="6">
    <w:p w14:paraId="03A7D364" w14:textId="77777777" w:rsidR="002815D4" w:rsidRPr="00265191" w:rsidRDefault="002815D4" w:rsidP="002815D4">
      <w:pPr>
        <w:pStyle w:val="FootnoteText"/>
        <w:rPr>
          <w:rFonts w:ascii="Calibri" w:hAnsi="Calibri" w:cs="Calibri"/>
          <w:sz w:val="18"/>
          <w:szCs w:val="18"/>
        </w:rPr>
      </w:pPr>
      <w:r w:rsidRPr="00265191">
        <w:rPr>
          <w:rStyle w:val="FootnoteReference"/>
          <w:rFonts w:ascii="Calibri" w:hAnsi="Calibri" w:cs="Calibri"/>
          <w:sz w:val="18"/>
          <w:szCs w:val="18"/>
        </w:rPr>
        <w:footnoteRef/>
      </w:r>
      <w:r w:rsidRPr="00265191">
        <w:rPr>
          <w:rFonts w:ascii="Calibri" w:hAnsi="Calibri" w:cs="Calibri"/>
          <w:sz w:val="18"/>
          <w:szCs w:val="18"/>
        </w:rPr>
        <w:t xml:space="preserve"> ENERGY STAR Lamps Center Beam Intensity Benchmark Tool and Calculator </w:t>
      </w:r>
    </w:p>
  </w:footnote>
  <w:footnote w:id="7">
    <w:p w14:paraId="586567E3" w14:textId="77777777" w:rsidR="002815D4" w:rsidRPr="00265191" w:rsidRDefault="002815D4" w:rsidP="002815D4">
      <w:pPr>
        <w:pStyle w:val="FootnoteText"/>
        <w:rPr>
          <w:rFonts w:ascii="Calibri" w:hAnsi="Calibri" w:cs="Calibri"/>
          <w:sz w:val="18"/>
          <w:szCs w:val="18"/>
        </w:rPr>
      </w:pPr>
      <w:r w:rsidRPr="00265191">
        <w:rPr>
          <w:rStyle w:val="FootnoteReference"/>
          <w:rFonts w:ascii="Calibri" w:hAnsi="Calibri" w:cs="Calibri"/>
          <w:sz w:val="18"/>
          <w:szCs w:val="18"/>
        </w:rPr>
        <w:footnoteRef/>
      </w:r>
      <w:r w:rsidRPr="00265191">
        <w:rPr>
          <w:rFonts w:ascii="Calibri" w:hAnsi="Calibri" w:cs="Calibri"/>
          <w:sz w:val="18"/>
          <w:szCs w:val="18"/>
        </w:rPr>
        <w:t xml:space="preserve"> The Energy Star Center Beam Candle Power tool does not accurately model baseline wattages for lamps with certain bulb characteristic combinations – specifically for lamps with very high CBCP.</w:t>
      </w:r>
    </w:p>
  </w:footnote>
  <w:footnote w:id="8">
    <w:p w14:paraId="454F5105" w14:textId="77777777" w:rsidR="002815D4" w:rsidRPr="00265191" w:rsidRDefault="002815D4" w:rsidP="002815D4">
      <w:pPr>
        <w:pStyle w:val="Footnote"/>
      </w:pPr>
      <w:r w:rsidRPr="00265191">
        <w:rPr>
          <w:vertAlign w:val="superscript"/>
        </w:rPr>
        <w:footnoteRef/>
      </w:r>
      <w:r w:rsidRPr="00265191">
        <w:t xml:space="preserve"> Illinois evaluation of PY1 through PY3 has not found that fixtures or lamps placed into storage to be a significant enough issue to warrant including an “In-Service Rate” when commercial customers complete an application form. </w:t>
      </w:r>
    </w:p>
  </w:footnote>
  <w:footnote w:id="9">
    <w:p w14:paraId="0EE419B1" w14:textId="77777777" w:rsidR="002815D4" w:rsidRPr="00265191" w:rsidRDefault="002815D4" w:rsidP="002815D4">
      <w:pPr>
        <w:pStyle w:val="Footnote"/>
      </w:pPr>
      <w:r w:rsidRPr="00265191">
        <w:rPr>
          <w:rStyle w:val="FootnoteReference"/>
          <w:rFonts w:ascii="Calibri" w:hAnsi="Calibri" w:cs="Calibri"/>
          <w:sz w:val="18"/>
          <w:szCs w:val="18"/>
        </w:rPr>
        <w:footnoteRef/>
      </w:r>
      <w:r w:rsidRPr="00265191">
        <w:t xml:space="preserve"> In Service Rates now represent the lifetime In Service Rates with the second and third year installations discounted by the Real Discount Rate of 0.46%.</w:t>
      </w:r>
      <w:r w:rsidRPr="00265191">
        <w:rPr>
          <w:color w:val="000000"/>
        </w:rPr>
        <w:t xml:space="preserve">  Lifetime  ISR assumptions for efficiency kits are based upon Residenital direct mailed kits.</w:t>
      </w:r>
      <w:r w:rsidRPr="00265191">
        <w:t xml:space="preserve"> For all other programs Tthe 98% Lifetime ISR assumption is based upon the standard CFL measure in the absence of any better reference. This value is based upon review of two evaluations:</w:t>
      </w:r>
    </w:p>
    <w:p w14:paraId="5FBA4BDA" w14:textId="77777777" w:rsidR="002815D4" w:rsidRPr="00265191" w:rsidRDefault="002815D4" w:rsidP="002815D4">
      <w:pPr>
        <w:pStyle w:val="FootnoteText"/>
        <w:rPr>
          <w:rFonts w:ascii="Calibri" w:hAnsi="Calibri" w:cs="Calibri"/>
          <w:sz w:val="18"/>
          <w:szCs w:val="18"/>
        </w:rPr>
      </w:pPr>
      <w:r w:rsidRPr="00265191">
        <w:rPr>
          <w:rFonts w:ascii="Calibri" w:hAnsi="Calibri" w:cs="Calibri"/>
          <w:sz w:val="18"/>
          <w:szCs w:val="18"/>
        </w:rPr>
        <w:t>‘Nexus Market Research, RLW Analytics and GDS Associates study; “New England Residential Lighting Markdown Impact Evaluation, January 20, 2009’ and ‘KEMA Inc, Feb 2010, Final Evaluation Report:, Upstream Lighting Program, Volume 1.’ This implies that only 2% of bulbs purchased are never installed. The second and third year installations are based upon Ameren analysis of the Californian KEMA study showing that 54% of future installs occur in year 2 and 46% in year 3.</w:t>
      </w:r>
    </w:p>
  </w:footnote>
  <w:footnote w:id="10">
    <w:p w14:paraId="08FCDF03" w14:textId="77777777" w:rsidR="002815D4" w:rsidRPr="00265191" w:rsidRDefault="002815D4" w:rsidP="002815D4">
      <w:pPr>
        <w:pStyle w:val="Footnote"/>
      </w:pPr>
      <w:r w:rsidRPr="00265191">
        <w:rPr>
          <w:rStyle w:val="FootnoteReference"/>
          <w:rFonts w:ascii="Calibri" w:hAnsi="Calibri" w:cs="Calibri"/>
          <w:sz w:val="18"/>
          <w:szCs w:val="18"/>
        </w:rPr>
        <w:footnoteRef/>
      </w:r>
      <w:r w:rsidRPr="00265191">
        <w:t xml:space="preserve"> Based on ComEd’s Instant Discounts program CY2019 and CY2020 (Rounds 1 and 2) Purchaser Survey analysis. See ComEd Instant Discounts Enduser Survey TRM Updates.xlsx</w:t>
      </w:r>
    </w:p>
  </w:footnote>
  <w:footnote w:id="11">
    <w:p w14:paraId="68043062" w14:textId="77777777" w:rsidR="002815D4" w:rsidRPr="00265191" w:rsidRDefault="002815D4" w:rsidP="002815D4">
      <w:pPr>
        <w:pStyle w:val="FootnoteText"/>
        <w:rPr>
          <w:rFonts w:ascii="Calibri" w:hAnsi="Calibri" w:cs="Calibri"/>
          <w:sz w:val="18"/>
          <w:szCs w:val="18"/>
        </w:rPr>
      </w:pPr>
      <w:r w:rsidRPr="00265191">
        <w:rPr>
          <w:rStyle w:val="FootnoteReference"/>
          <w:rFonts w:ascii="Calibri" w:hAnsi="Calibri" w:cs="Calibri"/>
          <w:sz w:val="18"/>
          <w:szCs w:val="18"/>
        </w:rPr>
        <w:footnoteRef/>
      </w:r>
      <w:r w:rsidRPr="00265191">
        <w:rPr>
          <w:rFonts w:ascii="Calibri" w:hAnsi="Calibri" w:cs="Calibri"/>
          <w:sz w:val="18"/>
          <w:szCs w:val="18"/>
        </w:rPr>
        <w:t xml:space="preserve"> Based on survey data from participants in AIC’s 2022 Midstream Lighting channel. See AIC Midstream Lighting – Mogul ISR Calculations.xlsx</w:t>
      </w:r>
    </w:p>
  </w:footnote>
  <w:footnote w:id="12">
    <w:p w14:paraId="03C10595" w14:textId="77777777" w:rsidR="002815D4" w:rsidRPr="00265191" w:rsidRDefault="002815D4" w:rsidP="002815D4">
      <w:pPr>
        <w:pStyle w:val="FootnoteText"/>
        <w:rPr>
          <w:rFonts w:ascii="Calibri" w:hAnsi="Calibri" w:cs="Calibri"/>
          <w:sz w:val="18"/>
          <w:szCs w:val="18"/>
        </w:rPr>
      </w:pPr>
      <w:r w:rsidRPr="00265191">
        <w:rPr>
          <w:rStyle w:val="FootnoteReference"/>
          <w:rFonts w:ascii="Calibri" w:hAnsi="Calibri" w:cs="Calibri"/>
          <w:sz w:val="18"/>
          <w:szCs w:val="18"/>
        </w:rPr>
        <w:footnoteRef/>
      </w:r>
      <w:r w:rsidRPr="00265191">
        <w:rPr>
          <w:rFonts w:ascii="Calibri" w:hAnsi="Calibri" w:cs="Calibri"/>
          <w:sz w:val="18"/>
          <w:szCs w:val="18"/>
        </w:rPr>
        <w:t xml:space="preserve"> Based on ComEd’s Instant Discounts program CY2019 and CY2020 (Rounds 1 and 2) Purchaser Survey analysis. See ComEd Instant Discounts Enduser Survey TRM Updates.xlsx</w:t>
      </w:r>
    </w:p>
  </w:footnote>
  <w:footnote w:id="13">
    <w:p w14:paraId="1EFFE0C6" w14:textId="77777777" w:rsidR="002815D4" w:rsidRPr="00265191" w:rsidRDefault="002815D4" w:rsidP="002815D4">
      <w:pPr>
        <w:pStyle w:val="FootnoteText"/>
        <w:rPr>
          <w:rFonts w:ascii="Calibri" w:hAnsi="Calibri" w:cs="Calibri"/>
          <w:sz w:val="18"/>
          <w:szCs w:val="18"/>
        </w:rPr>
      </w:pPr>
      <w:r w:rsidRPr="00265191">
        <w:rPr>
          <w:rStyle w:val="FootnoteReference"/>
          <w:rFonts w:ascii="Calibri" w:hAnsi="Calibri" w:cs="Calibri"/>
          <w:sz w:val="18"/>
          <w:szCs w:val="18"/>
        </w:rPr>
        <w:footnoteRef/>
      </w:r>
      <w:r w:rsidRPr="00265191">
        <w:rPr>
          <w:rFonts w:ascii="Calibri" w:hAnsi="Calibri" w:cs="Calibri"/>
          <w:sz w:val="18"/>
          <w:szCs w:val="18"/>
        </w:rPr>
        <w:t xml:space="preserve"> First year ISR is average ISR from CY2018, CY2019 and CY2020 ComEd Small Business Kit participant installation surveys. Please see file “SB Kits Survey Analysis TRMv10 Support.xlsx”</w:t>
      </w:r>
    </w:p>
  </w:footnote>
  <w:footnote w:id="14">
    <w:p w14:paraId="595ED5E2" w14:textId="77777777" w:rsidR="002815D4" w:rsidRPr="00265191" w:rsidRDefault="002815D4" w:rsidP="002815D4">
      <w:pPr>
        <w:pStyle w:val="FootnoteText"/>
        <w:rPr>
          <w:rFonts w:ascii="Calibri" w:hAnsi="Calibri" w:cs="Calibri"/>
          <w:sz w:val="18"/>
          <w:szCs w:val="18"/>
        </w:rPr>
      </w:pPr>
      <w:r w:rsidRPr="00265191">
        <w:rPr>
          <w:rStyle w:val="FootnoteReference"/>
          <w:rFonts w:ascii="Calibri" w:hAnsi="Calibri" w:cs="Calibri"/>
          <w:sz w:val="18"/>
          <w:szCs w:val="18"/>
        </w:rPr>
        <w:footnoteRef/>
      </w:r>
      <w:r w:rsidRPr="00265191">
        <w:rPr>
          <w:rFonts w:ascii="Calibri" w:hAnsi="Calibri" w:cs="Calibri"/>
          <w:sz w:val="18"/>
          <w:szCs w:val="18"/>
        </w:rPr>
        <w:t xml:space="preserve"> Based on ComEd’s Instant Discounts program CY2019 and CY2020 (Rounds 1 and 2) Purchaser Survey analysis. See ComEd Instant Discounts Enduser Survey TRM Updates.xlsx</w:t>
      </w:r>
    </w:p>
  </w:footnote>
  <w:footnote w:id="15">
    <w:p w14:paraId="264023A8" w14:textId="77777777" w:rsidR="002815D4" w:rsidRPr="00265191" w:rsidRDefault="002815D4" w:rsidP="002815D4">
      <w:pPr>
        <w:pStyle w:val="FootnoteText"/>
        <w:rPr>
          <w:rFonts w:ascii="Calibri" w:hAnsi="Calibri" w:cs="Calibri"/>
          <w:sz w:val="18"/>
          <w:szCs w:val="18"/>
        </w:rPr>
      </w:pPr>
      <w:r w:rsidRPr="00265191">
        <w:rPr>
          <w:rStyle w:val="FootnoteReference"/>
          <w:rFonts w:ascii="Calibri" w:hAnsi="Calibri" w:cs="Calibri"/>
          <w:sz w:val="18"/>
          <w:szCs w:val="18"/>
        </w:rPr>
        <w:footnoteRef/>
      </w:r>
      <w:r w:rsidRPr="00265191">
        <w:rPr>
          <w:rFonts w:ascii="Calibri" w:hAnsi="Calibri" w:cs="Calibri"/>
          <w:sz w:val="18"/>
          <w:szCs w:val="18"/>
        </w:rPr>
        <w:t xml:space="preserve"> Leakage in is only appropriate to credit to IL utility program savings if it is reasonably expected that the IL utility program marketing efforts played an important role in influencing customer to purchase the light bulbs.  Furthermore, consideration that such customers might be free riders should be addressed. If leakage in is assessed, efforts should be made to ensure no double counting of savings occurs if the evaluation is estimating both leakage in and spillover savings of light bulbs.</w:t>
      </w:r>
    </w:p>
  </w:footnote>
  <w:footnote w:id="16">
    <w:p w14:paraId="05A4B4BC" w14:textId="77777777" w:rsidR="002815D4" w:rsidRPr="00265191" w:rsidRDefault="002815D4" w:rsidP="002815D4">
      <w:pPr>
        <w:pStyle w:val="FootnoteText"/>
        <w:rPr>
          <w:rFonts w:ascii="Calibri" w:hAnsi="Calibri" w:cs="Calibri"/>
          <w:sz w:val="18"/>
          <w:szCs w:val="18"/>
        </w:rPr>
      </w:pPr>
      <w:r w:rsidRPr="00265191">
        <w:rPr>
          <w:rStyle w:val="FootnoteReference"/>
          <w:rFonts w:ascii="Calibri" w:hAnsi="Calibri" w:cs="Calibri"/>
          <w:sz w:val="18"/>
          <w:szCs w:val="18"/>
        </w:rPr>
        <w:footnoteRef/>
      </w:r>
      <w:r w:rsidRPr="00265191">
        <w:rPr>
          <w:rFonts w:ascii="Calibri" w:hAnsi="Calibri" w:cs="Calibri"/>
          <w:sz w:val="18"/>
          <w:szCs w:val="18"/>
        </w:rPr>
        <w:t xml:space="preserve"> Leakage rate is based upon review of PY9-CY2021 evaluations from ComEd.</w:t>
      </w:r>
    </w:p>
  </w:footnote>
  <w:footnote w:id="17">
    <w:p w14:paraId="1AB63577" w14:textId="77777777" w:rsidR="002815D4" w:rsidRPr="00265191" w:rsidRDefault="002815D4" w:rsidP="002815D4">
      <w:pPr>
        <w:pStyle w:val="FootnoteText"/>
        <w:rPr>
          <w:rFonts w:ascii="Calibri" w:hAnsi="Calibri" w:cs="Calibri"/>
          <w:sz w:val="18"/>
          <w:szCs w:val="18"/>
        </w:rPr>
      </w:pPr>
      <w:r w:rsidRPr="00265191">
        <w:rPr>
          <w:rStyle w:val="FootnoteReference"/>
          <w:rFonts w:ascii="Calibri" w:hAnsi="Calibri" w:cs="Calibri"/>
          <w:sz w:val="18"/>
          <w:szCs w:val="18"/>
        </w:rPr>
        <w:footnoteRef/>
      </w:r>
      <w:r w:rsidRPr="00265191">
        <w:rPr>
          <w:rFonts w:ascii="Calibri" w:hAnsi="Calibri" w:cs="Calibri"/>
          <w:sz w:val="18"/>
          <w:szCs w:val="18"/>
        </w:rPr>
        <w:t xml:space="preserve"> Per Ameren staff, all incentivized non-residential LED bulbs and fixtures are required to show proof of being an Ameren customer and thus the leakage is 0%.  </w:t>
      </w:r>
    </w:p>
  </w:footnote>
  <w:footnote w:id="18">
    <w:p w14:paraId="5B2DCD4D" w14:textId="77777777" w:rsidR="002815D4" w:rsidRPr="00265191" w:rsidRDefault="002815D4" w:rsidP="002815D4">
      <w:pPr>
        <w:pStyle w:val="FootnoteText"/>
        <w:rPr>
          <w:rFonts w:ascii="Calibri" w:hAnsi="Calibri" w:cs="Calibri"/>
          <w:sz w:val="18"/>
          <w:szCs w:val="18"/>
        </w:rPr>
      </w:pPr>
      <w:r w:rsidRPr="00265191">
        <w:rPr>
          <w:rStyle w:val="FootnoteReference"/>
          <w:rFonts w:ascii="Calibri" w:hAnsi="Calibri" w:cs="Calibri"/>
          <w:sz w:val="18"/>
          <w:szCs w:val="18"/>
        </w:rPr>
        <w:footnoteRef/>
      </w:r>
      <w:r w:rsidRPr="00265191">
        <w:rPr>
          <w:rFonts w:ascii="Calibri" w:hAnsi="Calibri" w:cs="Calibri"/>
          <w:sz w:val="18"/>
          <w:szCs w:val="18"/>
        </w:rPr>
        <w:t xml:space="preserve"> The appropriate T12 midlife adjustment factor was developed by the TAC Lighting Working Group. The results of a 2019 ComEd study provided survey response data on the planned replacement upon the burnout of a T12 ballast. This was adjusted by first year NTG to remove first year freeriders and therefore estimate what the non-freerider population would do at the end of T12 life. See “Linear Forecast Workbook_2020.xls” for information on calculation.</w:t>
      </w:r>
    </w:p>
  </w:footnote>
  <w:footnote w:id="19">
    <w:p w14:paraId="0729F039" w14:textId="77777777" w:rsidR="002815D4" w:rsidRPr="00265191" w:rsidRDefault="002815D4" w:rsidP="002815D4">
      <w:pPr>
        <w:pStyle w:val="Footnote"/>
      </w:pPr>
      <w:r w:rsidRPr="00265191">
        <w:rPr>
          <w:rStyle w:val="FootnoteReference"/>
          <w:rFonts w:ascii="Calibri" w:hAnsi="Calibri" w:cs="Calibri"/>
          <w:sz w:val="18"/>
          <w:szCs w:val="18"/>
        </w:rPr>
        <w:footnoteRef/>
      </w:r>
      <w:r w:rsidRPr="00265191">
        <w:t>Negative value because this is an increase in heating consumption due to the efficient lighting.</w:t>
      </w:r>
    </w:p>
  </w:footnote>
  <w:footnote w:id="20">
    <w:p w14:paraId="6EF167BD" w14:textId="77777777" w:rsidR="002815D4" w:rsidRPr="00265191" w:rsidRDefault="002815D4" w:rsidP="002815D4">
      <w:pPr>
        <w:pStyle w:val="Footnote"/>
      </w:pPr>
      <w:r w:rsidRPr="00265191">
        <w:rPr>
          <w:rStyle w:val="FootnoteReference"/>
          <w:rFonts w:ascii="Calibri" w:hAnsi="Calibri" w:cs="Calibri"/>
          <w:sz w:val="18"/>
          <w:szCs w:val="18"/>
        </w:rPr>
        <w:footnoteRef/>
      </w:r>
      <w:r w:rsidRPr="00265191">
        <w:t xml:space="preserve"> See IL LED Lighting Systems TRM Reference Tables_2018.xlsx for breakdown of component cost assumptions.</w:t>
      </w:r>
    </w:p>
  </w:footnote>
  <w:footnote w:id="21">
    <w:p w14:paraId="3E259DDE" w14:textId="77777777" w:rsidR="002815D4" w:rsidRPr="00265191" w:rsidRDefault="002815D4" w:rsidP="002815D4">
      <w:pPr>
        <w:pStyle w:val="FootnoteText"/>
        <w:rPr>
          <w:rFonts w:ascii="Calibri" w:hAnsi="Calibri" w:cs="Calibri"/>
          <w:sz w:val="18"/>
          <w:szCs w:val="18"/>
        </w:rPr>
      </w:pPr>
      <w:r w:rsidRPr="00265191">
        <w:rPr>
          <w:rStyle w:val="FootnoteReference"/>
          <w:rFonts w:ascii="Calibri" w:eastAsia="Yu Mincho" w:hAnsi="Calibri" w:cs="Calibri"/>
          <w:sz w:val="18"/>
          <w:szCs w:val="18"/>
        </w:rPr>
        <w:footnoteRef/>
      </w:r>
      <w:r w:rsidRPr="00265191">
        <w:rPr>
          <w:rFonts w:ascii="Calibri" w:hAnsi="Calibri" w:cs="Calibri"/>
          <w:sz w:val="18"/>
          <w:szCs w:val="18"/>
        </w:rPr>
        <w:t xml:space="preserve"> Baseline and LED lamp costs are based on field data collected by CLEAResult and provided by ComEd.  See ComEd Pricing Projections 06302016.xlsx for analysis. Given LED prices are expected to continue declining assumed costs should be reassessed on an annual basis and replaced with IL specific LED program information when available. </w:t>
      </w:r>
    </w:p>
  </w:footnote>
  <w:footnote w:id="22">
    <w:p w14:paraId="4426302E" w14:textId="77777777" w:rsidR="002815D4" w:rsidRPr="00265191" w:rsidRDefault="002815D4" w:rsidP="002815D4">
      <w:pPr>
        <w:pStyle w:val="FootnoteText"/>
        <w:rPr>
          <w:rFonts w:ascii="Calibri" w:hAnsi="Calibri" w:cs="Calibri"/>
          <w:sz w:val="18"/>
          <w:szCs w:val="18"/>
        </w:rPr>
      </w:pPr>
      <w:r w:rsidRPr="00265191">
        <w:rPr>
          <w:rStyle w:val="FootnoteReference"/>
          <w:rFonts w:ascii="Calibri" w:hAnsi="Calibri" w:cs="Calibri"/>
          <w:sz w:val="18"/>
          <w:szCs w:val="18"/>
        </w:rPr>
        <w:footnoteRef/>
      </w:r>
      <w:r w:rsidRPr="00265191">
        <w:rPr>
          <w:rFonts w:ascii="Calibri" w:hAnsi="Calibri" w:cs="Calibri"/>
          <w:sz w:val="18"/>
          <w:szCs w:val="18"/>
        </w:rPr>
        <w:t xml:space="preserve"> Watt assumptions for efficient measures are based upon the average wattage of each fixture type/lumen range from the Design Light Consortium (DLC) Qualifying Product Lists alongside past Efficiency Vermont projects and PGE refrigerated case study.  Watt, lumen, lamp life, and ballast factor assumptions for baseline fixtures are based upon manufacturer specification sheets.  Baseline cost data comes from lighting suppliers, past Efficiency Vermont projects, and professional judgment. Efficient cost data comes from 2012 DOE “Energy Savings Potential of Solid-State Lighting in General Illumination Applications”, Table A.1.   See "LED Lighting Systems TRM Reference Tables_2018.xlsx" for more information and specific product links. For v15 a temporary 14% efficacy improvement is applied to all DLC categories to account for the new DLC rating v6.0. During the 2026 update cycle there was not sufficient numbers of fixtures rated at this standard to allow category specific updates, therefore a standard efficacy improvement was applied consistent with the 14% average described on the DLC website. A more comprehensive review will be performed in 2027.</w:t>
      </w:r>
    </w:p>
  </w:footnote>
  <w:footnote w:id="23">
    <w:p w14:paraId="08132915" w14:textId="77777777" w:rsidR="002815D4" w:rsidRPr="00265191" w:rsidRDefault="002815D4" w:rsidP="002815D4">
      <w:pPr>
        <w:pStyle w:val="FootnoteText"/>
        <w:rPr>
          <w:rFonts w:ascii="Calibri" w:hAnsi="Calibri" w:cs="Calibri"/>
          <w:sz w:val="18"/>
          <w:szCs w:val="18"/>
        </w:rPr>
      </w:pPr>
      <w:r w:rsidRPr="00265191">
        <w:rPr>
          <w:rStyle w:val="FootnoteReference"/>
          <w:rFonts w:ascii="Calibri" w:hAnsi="Calibri" w:cs="Calibri"/>
          <w:sz w:val="18"/>
          <w:szCs w:val="18"/>
        </w:rPr>
        <w:footnoteRef/>
      </w:r>
      <w:r w:rsidRPr="00265191">
        <w:rPr>
          <w:rFonts w:ascii="Calibri" w:hAnsi="Calibri" w:cs="Calibri"/>
          <w:sz w:val="18"/>
          <w:szCs w:val="18"/>
        </w:rPr>
        <w:t xml:space="preserve"> LED Case Lighting is based on an average of DLC Horizontal and Vertical Lighting less than 80 W. This filter was intended to exclude vaportight fixtures from the average. The horizontal and vertical averages, provided by Guidehouse in 5/2020, were 4.1 W/ft and 3.7 W/ft, respectively. </w:t>
      </w:r>
    </w:p>
  </w:footnote>
  <w:footnote w:id="24">
    <w:p w14:paraId="621BD255" w14:textId="77777777" w:rsidR="002815D4" w:rsidRPr="00265191" w:rsidRDefault="002815D4" w:rsidP="002815D4">
      <w:pPr>
        <w:pStyle w:val="FootnoteText"/>
        <w:rPr>
          <w:rFonts w:ascii="Calibri" w:hAnsi="Calibri" w:cs="Calibri"/>
          <w:sz w:val="18"/>
          <w:szCs w:val="18"/>
        </w:rPr>
      </w:pPr>
      <w:r w:rsidRPr="00265191">
        <w:rPr>
          <w:rStyle w:val="FootnoteReference"/>
          <w:rFonts w:ascii="Calibri" w:hAnsi="Calibri" w:cs="Calibri"/>
          <w:sz w:val="18"/>
          <w:szCs w:val="18"/>
        </w:rPr>
        <w:footnoteRef/>
      </w:r>
      <w:r w:rsidRPr="00265191">
        <w:rPr>
          <w:rFonts w:ascii="Calibri" w:hAnsi="Calibri" w:cs="Calibri"/>
          <w:sz w:val="18"/>
          <w:szCs w:val="18"/>
        </w:rPr>
        <w:t xml:space="preserve"> Note that some measures have blended baselines (T12:T8 18:82). All values are provided to enable calculation of appropriate O&amp;M impacts. Total costs include lamp, labor and disposal cost assumptions where applicable, see IL LED Lighting Systems TRM Reference Tables_2018.xlsx for more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10090" w14:textId="77777777" w:rsidR="002815D4" w:rsidRDefault="002815D4" w:rsidP="00935A18">
    <w:pPr>
      <w:pStyle w:val="HeaderIL"/>
    </w:pPr>
    <w:r>
      <w:t xml:space="preserve">Illinois Statewide Technical Reference Manual — </w:t>
    </w:r>
    <w:fldSimple w:instr=" STYLEREF  &quot;Heading 3,Heading 3 Char2 Char,Heading 3 Char Char1 Char,Heading 3 Char2 Char Char Char1,Heading 3 Char Char1 Char Char Char,Heading 3 Char2 Char Char Char1 Char Char,Heading 3 Char Char1 Char Char Char Char Char,Heading 3 Char2 Char2&quot; \n  \* MERGEFORMAT ">
      <w:r>
        <w:rPr>
          <w:noProof/>
        </w:rPr>
        <w:t>4.5.4</w:t>
      </w:r>
    </w:fldSimple>
    <w:r>
      <w:t xml:space="preserve"> </w:t>
    </w:r>
    <w:fldSimple w:instr=" STYLEREF  &quot;Heading 3,Heading 3 Char2 Char,Heading 3 Char Char1 Char,Heading 3 Char2 Char Char Char1,Heading 3 Char Char1 Char Char Char,Heading 3 Char2 Char Char Char1 Char Char,Heading 3 Char Char1 Char Char Char Char Char,Heading 3 Char2 Char2&quot;  \* MERGEFORMAT ">
      <w:r>
        <w:rPr>
          <w:noProof/>
        </w:rPr>
        <w:t>LED Bulbs and Fixtures</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AA0DF" w14:textId="77777777" w:rsidR="002815D4" w:rsidRDefault="002815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2A5C"/>
    <w:multiLevelType w:val="multilevel"/>
    <w:tmpl w:val="FD9CDC2E"/>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BB4543"/>
    <w:multiLevelType w:val="hybridMultilevel"/>
    <w:tmpl w:val="CDBAD4DA"/>
    <w:lvl w:ilvl="0" w:tplc="C0D67B0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1679D"/>
    <w:multiLevelType w:val="hybridMultilevel"/>
    <w:tmpl w:val="07E89036"/>
    <w:lvl w:ilvl="0" w:tplc="0F6E346E">
      <w:start w:val="1"/>
      <w:numFmt w:val="bullet"/>
      <w:pStyle w:val="Bulletlevel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EB06B6"/>
    <w:multiLevelType w:val="hybridMultilevel"/>
    <w:tmpl w:val="C86EAC96"/>
    <w:lvl w:ilvl="0" w:tplc="65BC67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BA7D45"/>
    <w:multiLevelType w:val="hybridMultilevel"/>
    <w:tmpl w:val="CF1C0D16"/>
    <w:lvl w:ilvl="0" w:tplc="561E590A">
      <w:start w:val="1"/>
      <w:numFmt w:val="decimal"/>
      <w:pStyle w:val="List2"/>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C8C7D85"/>
    <w:multiLevelType w:val="multilevel"/>
    <w:tmpl w:val="C720BCDC"/>
    <w:lvl w:ilvl="0">
      <w:start w:val="1"/>
      <w:numFmt w:val="decimal"/>
      <w:lvlText w:val="%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5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15F28C6"/>
    <w:multiLevelType w:val="hybridMultilevel"/>
    <w:tmpl w:val="BD2E2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5915ED"/>
    <w:multiLevelType w:val="multilevel"/>
    <w:tmpl w:val="76C4CB8C"/>
    <w:lvl w:ilvl="0">
      <w:numFmt w:val="decimal"/>
      <w:pStyle w:val="Bullet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F93A19"/>
    <w:multiLevelType w:val="hybridMultilevel"/>
    <w:tmpl w:val="1892F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C575389"/>
    <w:multiLevelType w:val="multilevel"/>
    <w:tmpl w:val="FD9CDC2E"/>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8BD7D0B"/>
    <w:multiLevelType w:val="hybridMultilevel"/>
    <w:tmpl w:val="C17895F0"/>
    <w:lvl w:ilvl="0" w:tplc="9A28625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E028A2"/>
    <w:multiLevelType w:val="hybridMultilevel"/>
    <w:tmpl w:val="F5BE2A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A4749A4"/>
    <w:multiLevelType w:val="hybridMultilevel"/>
    <w:tmpl w:val="976A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A1335C"/>
    <w:multiLevelType w:val="hybridMultilevel"/>
    <w:tmpl w:val="70FE36F4"/>
    <w:lvl w:ilvl="0" w:tplc="2558EDC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1F477E"/>
    <w:multiLevelType w:val="hybridMultilevel"/>
    <w:tmpl w:val="EE6AEA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C372AA"/>
    <w:multiLevelType w:val="hybridMultilevel"/>
    <w:tmpl w:val="F418DC8C"/>
    <w:lvl w:ilvl="0" w:tplc="7A4AE1A6">
      <w:numFmt w:val="decimal"/>
      <w:pStyle w:val="ResumeBullet"/>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6" w15:restartNumberingAfterBreak="0">
    <w:nsid w:val="59F4304B"/>
    <w:multiLevelType w:val="hybridMultilevel"/>
    <w:tmpl w:val="BD2E2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9719DB"/>
    <w:multiLevelType w:val="hybridMultilevel"/>
    <w:tmpl w:val="EF927D74"/>
    <w:lvl w:ilvl="0" w:tplc="87A6525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D7738B"/>
    <w:multiLevelType w:val="hybridMultilevel"/>
    <w:tmpl w:val="074A0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EE0636"/>
    <w:multiLevelType w:val="hybridMultilevel"/>
    <w:tmpl w:val="FCE0A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027BF6"/>
    <w:multiLevelType w:val="hybridMultilevel"/>
    <w:tmpl w:val="C720AD8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45943866">
    <w:abstractNumId w:val="16"/>
  </w:num>
  <w:num w:numId="2" w16cid:durableId="994722903">
    <w:abstractNumId w:val="6"/>
  </w:num>
  <w:num w:numId="3" w16cid:durableId="2028750263">
    <w:abstractNumId w:val="17"/>
  </w:num>
  <w:num w:numId="4" w16cid:durableId="1452287282">
    <w:abstractNumId w:val="8"/>
  </w:num>
  <w:num w:numId="5" w16cid:durableId="528228172">
    <w:abstractNumId w:val="5"/>
  </w:num>
  <w:num w:numId="6" w16cid:durableId="756829080">
    <w:abstractNumId w:val="3"/>
  </w:num>
  <w:num w:numId="7" w16cid:durableId="2217200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11420780">
    <w:abstractNumId w:val="10"/>
  </w:num>
  <w:num w:numId="9" w16cid:durableId="846409809">
    <w:abstractNumId w:val="0"/>
  </w:num>
  <w:num w:numId="10" w16cid:durableId="1926960885">
    <w:abstractNumId w:val="9"/>
  </w:num>
  <w:num w:numId="11" w16cid:durableId="974414580">
    <w:abstractNumId w:val="19"/>
  </w:num>
  <w:num w:numId="12" w16cid:durableId="1563103553">
    <w:abstractNumId w:val="13"/>
  </w:num>
  <w:num w:numId="13" w16cid:durableId="1514799980">
    <w:abstractNumId w:val="20"/>
  </w:num>
  <w:num w:numId="14" w16cid:durableId="1408265428">
    <w:abstractNumId w:val="12"/>
  </w:num>
  <w:num w:numId="15" w16cid:durableId="1899364854">
    <w:abstractNumId w:val="1"/>
  </w:num>
  <w:num w:numId="16" w16cid:durableId="99691327">
    <w:abstractNumId w:val="14"/>
  </w:num>
  <w:num w:numId="17" w16cid:durableId="971788596">
    <w:abstractNumId w:val="18"/>
  </w:num>
  <w:num w:numId="18" w16cid:durableId="1260717080">
    <w:abstractNumId w:val="15"/>
  </w:num>
  <w:num w:numId="19" w16cid:durableId="512458244">
    <w:abstractNumId w:val="7"/>
  </w:num>
  <w:num w:numId="20" w16cid:durableId="7515875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554461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CF"/>
    <w:rsid w:val="0000285C"/>
    <w:rsid w:val="00002AE6"/>
    <w:rsid w:val="00003A1E"/>
    <w:rsid w:val="000073E7"/>
    <w:rsid w:val="00012502"/>
    <w:rsid w:val="00021A5F"/>
    <w:rsid w:val="00024D4D"/>
    <w:rsid w:val="00027911"/>
    <w:rsid w:val="00033D6A"/>
    <w:rsid w:val="000355A0"/>
    <w:rsid w:val="00051278"/>
    <w:rsid w:val="000542A7"/>
    <w:rsid w:val="000559E9"/>
    <w:rsid w:val="00055D52"/>
    <w:rsid w:val="000614B2"/>
    <w:rsid w:val="000755B5"/>
    <w:rsid w:val="000954F8"/>
    <w:rsid w:val="000A198F"/>
    <w:rsid w:val="000A4CD1"/>
    <w:rsid w:val="000B0480"/>
    <w:rsid w:val="000B3643"/>
    <w:rsid w:val="000D0070"/>
    <w:rsid w:val="000D45FF"/>
    <w:rsid w:val="000D736D"/>
    <w:rsid w:val="000E07E3"/>
    <w:rsid w:val="000E169E"/>
    <w:rsid w:val="000F3F37"/>
    <w:rsid w:val="000F5470"/>
    <w:rsid w:val="001059C6"/>
    <w:rsid w:val="00130897"/>
    <w:rsid w:val="00161223"/>
    <w:rsid w:val="001720E3"/>
    <w:rsid w:val="00173C92"/>
    <w:rsid w:val="0017618F"/>
    <w:rsid w:val="00177BF6"/>
    <w:rsid w:val="00180311"/>
    <w:rsid w:val="001842E3"/>
    <w:rsid w:val="0019528E"/>
    <w:rsid w:val="0019729E"/>
    <w:rsid w:val="001A3D01"/>
    <w:rsid w:val="001B6AC6"/>
    <w:rsid w:val="001C0B4D"/>
    <w:rsid w:val="001D5019"/>
    <w:rsid w:val="001E0C50"/>
    <w:rsid w:val="001E3DB3"/>
    <w:rsid w:val="001F0293"/>
    <w:rsid w:val="001F0331"/>
    <w:rsid w:val="001F4B76"/>
    <w:rsid w:val="00205BFF"/>
    <w:rsid w:val="0021209D"/>
    <w:rsid w:val="0021515F"/>
    <w:rsid w:val="00221043"/>
    <w:rsid w:val="00222389"/>
    <w:rsid w:val="00227DD7"/>
    <w:rsid w:val="0024717B"/>
    <w:rsid w:val="00254C33"/>
    <w:rsid w:val="00255C67"/>
    <w:rsid w:val="00265191"/>
    <w:rsid w:val="00267AE7"/>
    <w:rsid w:val="002769D8"/>
    <w:rsid w:val="00276AA7"/>
    <w:rsid w:val="002815D4"/>
    <w:rsid w:val="002861A3"/>
    <w:rsid w:val="00290D3A"/>
    <w:rsid w:val="0029311A"/>
    <w:rsid w:val="002A13D1"/>
    <w:rsid w:val="002A27ED"/>
    <w:rsid w:val="002A3B10"/>
    <w:rsid w:val="002A3EA2"/>
    <w:rsid w:val="002A6264"/>
    <w:rsid w:val="002A76C5"/>
    <w:rsid w:val="002B12EC"/>
    <w:rsid w:val="002C06D4"/>
    <w:rsid w:val="002C6B20"/>
    <w:rsid w:val="002D45C1"/>
    <w:rsid w:val="002E0360"/>
    <w:rsid w:val="002E2A58"/>
    <w:rsid w:val="002E4859"/>
    <w:rsid w:val="002F121D"/>
    <w:rsid w:val="0030431B"/>
    <w:rsid w:val="003063A8"/>
    <w:rsid w:val="0031131F"/>
    <w:rsid w:val="00314733"/>
    <w:rsid w:val="00320A65"/>
    <w:rsid w:val="0032446A"/>
    <w:rsid w:val="003471C7"/>
    <w:rsid w:val="003517A2"/>
    <w:rsid w:val="003657F9"/>
    <w:rsid w:val="003714CC"/>
    <w:rsid w:val="00371771"/>
    <w:rsid w:val="003814C8"/>
    <w:rsid w:val="00385493"/>
    <w:rsid w:val="00386963"/>
    <w:rsid w:val="00386EA6"/>
    <w:rsid w:val="003A5FD7"/>
    <w:rsid w:val="003A6241"/>
    <w:rsid w:val="003B1A54"/>
    <w:rsid w:val="003B2E09"/>
    <w:rsid w:val="003B588E"/>
    <w:rsid w:val="003C4763"/>
    <w:rsid w:val="003D265C"/>
    <w:rsid w:val="003D72F9"/>
    <w:rsid w:val="003E5872"/>
    <w:rsid w:val="003F39DB"/>
    <w:rsid w:val="003F41AB"/>
    <w:rsid w:val="003F6076"/>
    <w:rsid w:val="00401760"/>
    <w:rsid w:val="004059AD"/>
    <w:rsid w:val="00412C2B"/>
    <w:rsid w:val="00416753"/>
    <w:rsid w:val="004345A8"/>
    <w:rsid w:val="0043615F"/>
    <w:rsid w:val="00442D55"/>
    <w:rsid w:val="00467489"/>
    <w:rsid w:val="004720C4"/>
    <w:rsid w:val="00481F93"/>
    <w:rsid w:val="004829BA"/>
    <w:rsid w:val="00486636"/>
    <w:rsid w:val="004905DA"/>
    <w:rsid w:val="00490A90"/>
    <w:rsid w:val="004964B8"/>
    <w:rsid w:val="004A056A"/>
    <w:rsid w:val="004A484C"/>
    <w:rsid w:val="004C053C"/>
    <w:rsid w:val="004C0906"/>
    <w:rsid w:val="004C29F9"/>
    <w:rsid w:val="004E32BF"/>
    <w:rsid w:val="004F36C5"/>
    <w:rsid w:val="004F7C1C"/>
    <w:rsid w:val="005060A5"/>
    <w:rsid w:val="005113CC"/>
    <w:rsid w:val="0052384D"/>
    <w:rsid w:val="00523CF0"/>
    <w:rsid w:val="00523DB1"/>
    <w:rsid w:val="0053067B"/>
    <w:rsid w:val="00534072"/>
    <w:rsid w:val="00543A6C"/>
    <w:rsid w:val="00553A39"/>
    <w:rsid w:val="00561432"/>
    <w:rsid w:val="00563657"/>
    <w:rsid w:val="005676F3"/>
    <w:rsid w:val="00573583"/>
    <w:rsid w:val="00583164"/>
    <w:rsid w:val="005B05B6"/>
    <w:rsid w:val="005B645E"/>
    <w:rsid w:val="005B7554"/>
    <w:rsid w:val="005C117C"/>
    <w:rsid w:val="005C62C5"/>
    <w:rsid w:val="005D25D1"/>
    <w:rsid w:val="005D492D"/>
    <w:rsid w:val="005E306B"/>
    <w:rsid w:val="005E52FF"/>
    <w:rsid w:val="005E7451"/>
    <w:rsid w:val="005F3361"/>
    <w:rsid w:val="005F438D"/>
    <w:rsid w:val="005F62CA"/>
    <w:rsid w:val="00602171"/>
    <w:rsid w:val="006025D1"/>
    <w:rsid w:val="00602D1A"/>
    <w:rsid w:val="006123F4"/>
    <w:rsid w:val="00615AAA"/>
    <w:rsid w:val="006164A8"/>
    <w:rsid w:val="0062403C"/>
    <w:rsid w:val="00632ACC"/>
    <w:rsid w:val="006420BB"/>
    <w:rsid w:val="0065191F"/>
    <w:rsid w:val="00652AAE"/>
    <w:rsid w:val="00661B5B"/>
    <w:rsid w:val="00665065"/>
    <w:rsid w:val="00667869"/>
    <w:rsid w:val="00670F37"/>
    <w:rsid w:val="006725A2"/>
    <w:rsid w:val="0067307D"/>
    <w:rsid w:val="0067353C"/>
    <w:rsid w:val="00682A0D"/>
    <w:rsid w:val="00683EAC"/>
    <w:rsid w:val="00684EFE"/>
    <w:rsid w:val="00694E8B"/>
    <w:rsid w:val="006A1E59"/>
    <w:rsid w:val="006A4229"/>
    <w:rsid w:val="006A5198"/>
    <w:rsid w:val="006A5A3E"/>
    <w:rsid w:val="006C11F8"/>
    <w:rsid w:val="006C4268"/>
    <w:rsid w:val="006C7A3C"/>
    <w:rsid w:val="006D7136"/>
    <w:rsid w:val="006E179D"/>
    <w:rsid w:val="006E2458"/>
    <w:rsid w:val="006E4B8A"/>
    <w:rsid w:val="006E6743"/>
    <w:rsid w:val="006F1FD4"/>
    <w:rsid w:val="006F2390"/>
    <w:rsid w:val="006F4C18"/>
    <w:rsid w:val="006F5682"/>
    <w:rsid w:val="007206C3"/>
    <w:rsid w:val="00721100"/>
    <w:rsid w:val="00721111"/>
    <w:rsid w:val="0072294B"/>
    <w:rsid w:val="007323EF"/>
    <w:rsid w:val="007549A1"/>
    <w:rsid w:val="00761683"/>
    <w:rsid w:val="00766222"/>
    <w:rsid w:val="0078116C"/>
    <w:rsid w:val="007A7F2E"/>
    <w:rsid w:val="007B3A03"/>
    <w:rsid w:val="007B4F9C"/>
    <w:rsid w:val="007C1646"/>
    <w:rsid w:val="007D15A6"/>
    <w:rsid w:val="007D16F8"/>
    <w:rsid w:val="007D2E2C"/>
    <w:rsid w:val="007E05E4"/>
    <w:rsid w:val="007E0F60"/>
    <w:rsid w:val="007E1160"/>
    <w:rsid w:val="007E2761"/>
    <w:rsid w:val="007F3252"/>
    <w:rsid w:val="0080290E"/>
    <w:rsid w:val="00812D08"/>
    <w:rsid w:val="00815443"/>
    <w:rsid w:val="00821176"/>
    <w:rsid w:val="00826191"/>
    <w:rsid w:val="00836CAA"/>
    <w:rsid w:val="00836D67"/>
    <w:rsid w:val="00844CD5"/>
    <w:rsid w:val="00867061"/>
    <w:rsid w:val="00870292"/>
    <w:rsid w:val="008706F1"/>
    <w:rsid w:val="008751EC"/>
    <w:rsid w:val="00875A80"/>
    <w:rsid w:val="00877183"/>
    <w:rsid w:val="008843B2"/>
    <w:rsid w:val="008A25E3"/>
    <w:rsid w:val="008A361B"/>
    <w:rsid w:val="008B11E4"/>
    <w:rsid w:val="008B46C7"/>
    <w:rsid w:val="008D238B"/>
    <w:rsid w:val="008D3884"/>
    <w:rsid w:val="008D4B1E"/>
    <w:rsid w:val="008E088B"/>
    <w:rsid w:val="008E363D"/>
    <w:rsid w:val="008F7FF1"/>
    <w:rsid w:val="009042BE"/>
    <w:rsid w:val="0091403B"/>
    <w:rsid w:val="00914473"/>
    <w:rsid w:val="0091788F"/>
    <w:rsid w:val="00920444"/>
    <w:rsid w:val="00921AD6"/>
    <w:rsid w:val="0093015A"/>
    <w:rsid w:val="009358D4"/>
    <w:rsid w:val="00937B67"/>
    <w:rsid w:val="00947C3A"/>
    <w:rsid w:val="00951B8A"/>
    <w:rsid w:val="009530F5"/>
    <w:rsid w:val="009603C5"/>
    <w:rsid w:val="00971E90"/>
    <w:rsid w:val="00977CD2"/>
    <w:rsid w:val="00996261"/>
    <w:rsid w:val="0099636D"/>
    <w:rsid w:val="009A34BF"/>
    <w:rsid w:val="009A50E8"/>
    <w:rsid w:val="009B1E9D"/>
    <w:rsid w:val="009B2800"/>
    <w:rsid w:val="009B73B7"/>
    <w:rsid w:val="009C4DDC"/>
    <w:rsid w:val="009C5E25"/>
    <w:rsid w:val="009D784A"/>
    <w:rsid w:val="009D789D"/>
    <w:rsid w:val="009F0841"/>
    <w:rsid w:val="009F3890"/>
    <w:rsid w:val="009F3F08"/>
    <w:rsid w:val="00A03A98"/>
    <w:rsid w:val="00A313EF"/>
    <w:rsid w:val="00A33B63"/>
    <w:rsid w:val="00A43A82"/>
    <w:rsid w:val="00A55709"/>
    <w:rsid w:val="00A560EB"/>
    <w:rsid w:val="00A56C0A"/>
    <w:rsid w:val="00A57217"/>
    <w:rsid w:val="00A62918"/>
    <w:rsid w:val="00A76A84"/>
    <w:rsid w:val="00A87B6A"/>
    <w:rsid w:val="00AA144A"/>
    <w:rsid w:val="00AA2061"/>
    <w:rsid w:val="00AA453A"/>
    <w:rsid w:val="00AA52A3"/>
    <w:rsid w:val="00AB3359"/>
    <w:rsid w:val="00AC13E0"/>
    <w:rsid w:val="00AC7371"/>
    <w:rsid w:val="00AE090C"/>
    <w:rsid w:val="00AE2A63"/>
    <w:rsid w:val="00AE31C1"/>
    <w:rsid w:val="00AE5464"/>
    <w:rsid w:val="00AE77A8"/>
    <w:rsid w:val="00B07D8E"/>
    <w:rsid w:val="00B20F74"/>
    <w:rsid w:val="00B320A6"/>
    <w:rsid w:val="00B40D9D"/>
    <w:rsid w:val="00B4293C"/>
    <w:rsid w:val="00B53F0D"/>
    <w:rsid w:val="00B5560F"/>
    <w:rsid w:val="00B60465"/>
    <w:rsid w:val="00B60F15"/>
    <w:rsid w:val="00B6530E"/>
    <w:rsid w:val="00B7779B"/>
    <w:rsid w:val="00B872D1"/>
    <w:rsid w:val="00B910B1"/>
    <w:rsid w:val="00B94A8A"/>
    <w:rsid w:val="00B962A6"/>
    <w:rsid w:val="00BA7EDB"/>
    <w:rsid w:val="00BB1C4B"/>
    <w:rsid w:val="00BB7291"/>
    <w:rsid w:val="00BC21C5"/>
    <w:rsid w:val="00BD41F6"/>
    <w:rsid w:val="00BE14BD"/>
    <w:rsid w:val="00BE644F"/>
    <w:rsid w:val="00BF512B"/>
    <w:rsid w:val="00C00A82"/>
    <w:rsid w:val="00C07A79"/>
    <w:rsid w:val="00C11018"/>
    <w:rsid w:val="00C14B7A"/>
    <w:rsid w:val="00C14EF1"/>
    <w:rsid w:val="00C1543F"/>
    <w:rsid w:val="00C1675A"/>
    <w:rsid w:val="00C24F47"/>
    <w:rsid w:val="00C401D8"/>
    <w:rsid w:val="00C41AF1"/>
    <w:rsid w:val="00C47B87"/>
    <w:rsid w:val="00C5356E"/>
    <w:rsid w:val="00C55E0E"/>
    <w:rsid w:val="00C67A86"/>
    <w:rsid w:val="00C92E1F"/>
    <w:rsid w:val="00C94D95"/>
    <w:rsid w:val="00C96E8A"/>
    <w:rsid w:val="00CB205A"/>
    <w:rsid w:val="00CB2987"/>
    <w:rsid w:val="00CB5413"/>
    <w:rsid w:val="00CB669F"/>
    <w:rsid w:val="00CC074B"/>
    <w:rsid w:val="00CC51DA"/>
    <w:rsid w:val="00CC61F4"/>
    <w:rsid w:val="00CD6149"/>
    <w:rsid w:val="00CF4185"/>
    <w:rsid w:val="00CF6B3C"/>
    <w:rsid w:val="00D072AC"/>
    <w:rsid w:val="00D22041"/>
    <w:rsid w:val="00D226F5"/>
    <w:rsid w:val="00D238B7"/>
    <w:rsid w:val="00D27E4A"/>
    <w:rsid w:val="00D27E52"/>
    <w:rsid w:val="00D30715"/>
    <w:rsid w:val="00D322A0"/>
    <w:rsid w:val="00D33840"/>
    <w:rsid w:val="00D33F66"/>
    <w:rsid w:val="00D378A4"/>
    <w:rsid w:val="00D4164A"/>
    <w:rsid w:val="00D506CC"/>
    <w:rsid w:val="00D5099A"/>
    <w:rsid w:val="00D52A95"/>
    <w:rsid w:val="00D549E7"/>
    <w:rsid w:val="00D55124"/>
    <w:rsid w:val="00D565F3"/>
    <w:rsid w:val="00D774B2"/>
    <w:rsid w:val="00D834CB"/>
    <w:rsid w:val="00D860B4"/>
    <w:rsid w:val="00DA6401"/>
    <w:rsid w:val="00DC4FCF"/>
    <w:rsid w:val="00DD683F"/>
    <w:rsid w:val="00DF16A7"/>
    <w:rsid w:val="00DF58D1"/>
    <w:rsid w:val="00E01D23"/>
    <w:rsid w:val="00E043BF"/>
    <w:rsid w:val="00E05D90"/>
    <w:rsid w:val="00E061FE"/>
    <w:rsid w:val="00E11FA6"/>
    <w:rsid w:val="00E31A9B"/>
    <w:rsid w:val="00E323ED"/>
    <w:rsid w:val="00E43711"/>
    <w:rsid w:val="00E44EE3"/>
    <w:rsid w:val="00E50506"/>
    <w:rsid w:val="00E534DC"/>
    <w:rsid w:val="00E67519"/>
    <w:rsid w:val="00E829FD"/>
    <w:rsid w:val="00E83768"/>
    <w:rsid w:val="00E8642F"/>
    <w:rsid w:val="00E93373"/>
    <w:rsid w:val="00EB27C7"/>
    <w:rsid w:val="00EB2DEA"/>
    <w:rsid w:val="00EB6B23"/>
    <w:rsid w:val="00ED0955"/>
    <w:rsid w:val="00ED09AA"/>
    <w:rsid w:val="00ED140F"/>
    <w:rsid w:val="00ED2A3F"/>
    <w:rsid w:val="00EF08A8"/>
    <w:rsid w:val="00EF278D"/>
    <w:rsid w:val="00EF6066"/>
    <w:rsid w:val="00F0418E"/>
    <w:rsid w:val="00F0560D"/>
    <w:rsid w:val="00F229C5"/>
    <w:rsid w:val="00F23546"/>
    <w:rsid w:val="00F42A13"/>
    <w:rsid w:val="00F45F53"/>
    <w:rsid w:val="00F46396"/>
    <w:rsid w:val="00F464FA"/>
    <w:rsid w:val="00F5538E"/>
    <w:rsid w:val="00F6657B"/>
    <w:rsid w:val="00F776FA"/>
    <w:rsid w:val="00F868A4"/>
    <w:rsid w:val="00F90D11"/>
    <w:rsid w:val="00F9766C"/>
    <w:rsid w:val="00FA30B4"/>
    <w:rsid w:val="00FA6468"/>
    <w:rsid w:val="00FB54D6"/>
    <w:rsid w:val="00FB6070"/>
    <w:rsid w:val="00FC4C3C"/>
    <w:rsid w:val="00FC75D3"/>
    <w:rsid w:val="00FC7F23"/>
    <w:rsid w:val="00FD34B3"/>
    <w:rsid w:val="00FD3AF2"/>
    <w:rsid w:val="00FD3EEE"/>
    <w:rsid w:val="00FE36C0"/>
    <w:rsid w:val="00FF3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7EF01"/>
  <w15:docId w15:val="{07600AF3-5679-4288-A03A-81FE81BE0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9"/>
    <w:qFormat/>
    <w:rsid w:val="001F4B76"/>
    <w:pPr>
      <w:keepNext/>
      <w:widowControl w:val="0"/>
      <w:spacing w:before="120" w:after="200"/>
      <w:jc w:val="both"/>
      <w:outlineLvl w:val="0"/>
    </w:pPr>
    <w:rPr>
      <w:rFonts w:ascii="Calibri" w:eastAsia="Times New Roman" w:hAnsi="Calibri" w:cs="Arial"/>
      <w:b/>
      <w:kern w:val="32"/>
      <w:sz w:val="36"/>
      <w:szCs w:val="52"/>
      <w:u w:val="single"/>
    </w:rPr>
  </w:style>
  <w:style w:type="paragraph" w:styleId="Heading2">
    <w:name w:val="heading 2"/>
    <w:basedOn w:val="Normal"/>
    <w:next w:val="Normal"/>
    <w:link w:val="Heading2Char"/>
    <w:autoRedefine/>
    <w:uiPriority w:val="99"/>
    <w:qFormat/>
    <w:rsid w:val="00E93373"/>
    <w:pPr>
      <w:keepNext/>
      <w:spacing w:before="200" w:after="120"/>
      <w:outlineLvl w:val="1"/>
    </w:pPr>
    <w:rPr>
      <w:rFonts w:ascii="Calibri" w:eastAsia="Times New Roman" w:hAnsi="Calibri" w:cs="Arial"/>
      <w:bCs/>
      <w:iCs/>
      <w:sz w:val="32"/>
      <w:szCs w:val="28"/>
    </w:rPr>
  </w:style>
  <w:style w:type="paragraph" w:styleId="Heading3">
    <w:name w:val="heading 3"/>
    <w:aliases w:val="Heading 3 Char2 Char,Heading 3 Char Char1 Char,Heading 3 Char2 Char Char Char1,Heading 3 Char Char1 Char Char Char,Heading 3 Char2 Char Char Char1 Char Char,Heading 3 Char Char1 Char Char Char Char Char,Heading 3 Char2 Char2"/>
    <w:basedOn w:val="Normal"/>
    <w:next w:val="Normal"/>
    <w:link w:val="Heading3Char"/>
    <w:autoRedefine/>
    <w:uiPriority w:val="99"/>
    <w:qFormat/>
    <w:rsid w:val="006A1E59"/>
    <w:pPr>
      <w:widowControl w:val="0"/>
      <w:spacing w:before="200" w:after="120" w:line="276" w:lineRule="auto"/>
      <w:ind w:right="270"/>
      <w:outlineLvl w:val="2"/>
    </w:pPr>
    <w:rPr>
      <w:rFonts w:ascii="Calibri" w:eastAsiaTheme="minorEastAsia" w:hAnsi="Calibri" w:cs="Times New Roman"/>
      <w:bCs/>
      <w:sz w:val="28"/>
      <w:szCs w:val="24"/>
      <w:u w:val="single"/>
    </w:rPr>
  </w:style>
  <w:style w:type="paragraph" w:styleId="Heading4">
    <w:name w:val="heading 4"/>
    <w:basedOn w:val="Heading3"/>
    <w:next w:val="Normal"/>
    <w:link w:val="Heading4Char"/>
    <w:autoRedefine/>
    <w:uiPriority w:val="99"/>
    <w:qFormat/>
    <w:rsid w:val="0032446A"/>
    <w:pPr>
      <w:keepNext/>
      <w:numPr>
        <w:ilvl w:val="3"/>
      </w:numPr>
      <w:outlineLvl w:val="3"/>
    </w:pPr>
    <w:rPr>
      <w:rFonts w:cs="Arial"/>
      <w:i/>
      <w:noProof/>
      <w:sz w:val="22"/>
      <w:szCs w:val="22"/>
    </w:rPr>
  </w:style>
  <w:style w:type="paragraph" w:styleId="Heading5">
    <w:name w:val="heading 5"/>
    <w:basedOn w:val="Normal"/>
    <w:next w:val="Normal"/>
    <w:link w:val="Heading5Char"/>
    <w:autoRedefine/>
    <w:uiPriority w:val="99"/>
    <w:qFormat/>
    <w:rsid w:val="0032446A"/>
    <w:pPr>
      <w:keepNext/>
      <w:keepLines/>
      <w:widowControl w:val="0"/>
      <w:spacing w:before="200" w:after="120" w:line="276" w:lineRule="auto"/>
      <w:jc w:val="both"/>
      <w:outlineLvl w:val="4"/>
    </w:pPr>
    <w:rPr>
      <w:rFonts w:ascii="Calibri" w:eastAsia="Times New Roman" w:hAnsi="Calibri" w:cs="Times New Roman"/>
      <w:sz w:val="20"/>
    </w:rPr>
  </w:style>
  <w:style w:type="paragraph" w:styleId="Heading6">
    <w:name w:val="heading 6"/>
    <w:basedOn w:val="Normal"/>
    <w:next w:val="Normal"/>
    <w:link w:val="Heading6Char"/>
    <w:uiPriority w:val="99"/>
    <w:unhideWhenUsed/>
    <w:qFormat/>
    <w:rsid w:val="009B73B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9"/>
    <w:qFormat/>
    <w:rsid w:val="0032446A"/>
    <w:pPr>
      <w:keepNext/>
      <w:keepLines/>
      <w:widowControl w:val="0"/>
      <w:spacing w:before="200" w:after="120" w:line="276" w:lineRule="auto"/>
      <w:jc w:val="both"/>
      <w:outlineLvl w:val="6"/>
    </w:pPr>
    <w:rPr>
      <w:rFonts w:ascii="Cambria" w:eastAsia="Times New Roman" w:hAnsi="Cambria" w:cs="Times New Roman"/>
      <w:i/>
      <w:iCs/>
      <w:color w:val="404040"/>
      <w:sz w:val="20"/>
    </w:rPr>
  </w:style>
  <w:style w:type="paragraph" w:styleId="Heading8">
    <w:name w:val="heading 8"/>
    <w:basedOn w:val="Normal"/>
    <w:next w:val="Normal"/>
    <w:link w:val="Heading8Char"/>
    <w:uiPriority w:val="99"/>
    <w:qFormat/>
    <w:rsid w:val="0032446A"/>
    <w:pPr>
      <w:keepNext/>
      <w:keepLines/>
      <w:widowControl w:val="0"/>
      <w:spacing w:before="200" w:after="120" w:line="276" w:lineRule="auto"/>
      <w:jc w:val="both"/>
      <w:outlineLvl w:val="7"/>
    </w:pPr>
    <w:rPr>
      <w:rFonts w:ascii="Cambria" w:eastAsia="Times New Roman" w:hAnsi="Cambria" w:cs="Times New Roman"/>
      <w:color w:val="404040"/>
      <w:sz w:val="20"/>
    </w:rPr>
  </w:style>
  <w:style w:type="paragraph" w:styleId="Heading9">
    <w:name w:val="heading 9"/>
    <w:basedOn w:val="Normal"/>
    <w:next w:val="Normal"/>
    <w:link w:val="Heading9Char"/>
    <w:uiPriority w:val="99"/>
    <w:qFormat/>
    <w:rsid w:val="0032446A"/>
    <w:pPr>
      <w:keepNext/>
      <w:keepLines/>
      <w:widowControl w:val="0"/>
      <w:spacing w:before="200" w:after="120" w:line="276" w:lineRule="auto"/>
      <w:jc w:val="both"/>
      <w:outlineLvl w:val="8"/>
    </w:pPr>
    <w:rPr>
      <w:rFonts w:ascii="Cambria" w:eastAsia="Times New Roman" w:hAnsi="Cambria" w:cs="Times New Roman"/>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6CAA"/>
    <w:rPr>
      <w:rFonts w:ascii="Tahoma" w:hAnsi="Tahoma" w:cs="Tahoma"/>
      <w:sz w:val="16"/>
      <w:szCs w:val="16"/>
    </w:rPr>
  </w:style>
  <w:style w:type="character" w:customStyle="1" w:styleId="BalloonTextChar">
    <w:name w:val="Balloon Text Char"/>
    <w:basedOn w:val="DefaultParagraphFont"/>
    <w:link w:val="BalloonText"/>
    <w:uiPriority w:val="99"/>
    <w:semiHidden/>
    <w:rsid w:val="00836CAA"/>
    <w:rPr>
      <w:rFonts w:ascii="Tahoma" w:hAnsi="Tahoma" w:cs="Tahoma"/>
      <w:sz w:val="16"/>
      <w:szCs w:val="16"/>
    </w:rPr>
  </w:style>
  <w:style w:type="paragraph" w:customStyle="1" w:styleId="DocumentLabel">
    <w:name w:val="Document Label"/>
    <w:next w:val="Normal"/>
    <w:uiPriority w:val="99"/>
    <w:rsid w:val="000614B2"/>
    <w:pPr>
      <w:pBdr>
        <w:top w:val="double" w:sz="6" w:space="8" w:color="808080"/>
        <w:bottom w:val="double" w:sz="6" w:space="8" w:color="808080"/>
      </w:pBdr>
      <w:spacing w:after="40" w:line="240" w:lineRule="atLeast"/>
      <w:jc w:val="center"/>
    </w:pPr>
    <w:rPr>
      <w:rFonts w:ascii="Garamond" w:eastAsia="Times New Roman" w:hAnsi="Garamond" w:cs="Times New Roman"/>
      <w:b/>
      <w:caps/>
      <w:spacing w:val="20"/>
      <w:sz w:val="18"/>
      <w:szCs w:val="20"/>
    </w:rPr>
  </w:style>
  <w:style w:type="paragraph" w:styleId="MessageHeader">
    <w:name w:val="Message Header"/>
    <w:basedOn w:val="BodyText"/>
    <w:link w:val="MessageHeaderChar"/>
    <w:uiPriority w:val="99"/>
    <w:rsid w:val="000614B2"/>
    <w:pPr>
      <w:keepLines/>
      <w:spacing w:line="240" w:lineRule="atLeast"/>
      <w:ind w:left="1080" w:hanging="1080"/>
    </w:pPr>
    <w:rPr>
      <w:rFonts w:ascii="Garamond" w:eastAsia="Times New Roman" w:hAnsi="Garamond" w:cs="Times New Roman"/>
      <w:caps/>
      <w:sz w:val="18"/>
      <w:szCs w:val="20"/>
    </w:rPr>
  </w:style>
  <w:style w:type="character" w:customStyle="1" w:styleId="MessageHeaderChar">
    <w:name w:val="Message Header Char"/>
    <w:basedOn w:val="DefaultParagraphFont"/>
    <w:link w:val="MessageHeader"/>
    <w:uiPriority w:val="99"/>
    <w:rsid w:val="000614B2"/>
    <w:rPr>
      <w:rFonts w:ascii="Garamond" w:eastAsia="Times New Roman" w:hAnsi="Garamond" w:cs="Times New Roman"/>
      <w:caps/>
      <w:sz w:val="18"/>
      <w:szCs w:val="20"/>
    </w:rPr>
  </w:style>
  <w:style w:type="character" w:customStyle="1" w:styleId="MessageHeaderLabel">
    <w:name w:val="Message Header Label"/>
    <w:uiPriority w:val="99"/>
    <w:rsid w:val="000614B2"/>
    <w:rPr>
      <w:b/>
      <w:sz w:val="18"/>
    </w:rPr>
  </w:style>
  <w:style w:type="paragraph" w:styleId="BodyText">
    <w:name w:val="Body Text"/>
    <w:basedOn w:val="Normal"/>
    <w:link w:val="BodyTextChar"/>
    <w:uiPriority w:val="99"/>
    <w:unhideWhenUsed/>
    <w:rsid w:val="000614B2"/>
    <w:pPr>
      <w:spacing w:after="120"/>
    </w:pPr>
  </w:style>
  <w:style w:type="character" w:customStyle="1" w:styleId="BodyTextChar">
    <w:name w:val="Body Text Char"/>
    <w:basedOn w:val="DefaultParagraphFont"/>
    <w:link w:val="BodyText"/>
    <w:uiPriority w:val="99"/>
    <w:rsid w:val="000614B2"/>
  </w:style>
  <w:style w:type="paragraph" w:styleId="ListParagraph">
    <w:name w:val="List Paragraph"/>
    <w:aliases w:val="TT - List Paragraph"/>
    <w:basedOn w:val="Normal"/>
    <w:link w:val="ListParagraphChar"/>
    <w:uiPriority w:val="34"/>
    <w:qFormat/>
    <w:rsid w:val="000614B2"/>
    <w:pPr>
      <w:ind w:left="720"/>
      <w:contextualSpacing/>
    </w:pPr>
  </w:style>
  <w:style w:type="character" w:styleId="Hyperlink">
    <w:name w:val="Hyperlink"/>
    <w:basedOn w:val="DefaultParagraphFont"/>
    <w:uiPriority w:val="99"/>
    <w:unhideWhenUsed/>
    <w:rsid w:val="000614B2"/>
    <w:rPr>
      <w:color w:val="0563C1"/>
      <w:u w:val="single"/>
    </w:rPr>
  </w:style>
  <w:style w:type="character" w:styleId="FootnoteReference">
    <w:name w:val="footnote reference"/>
    <w:aliases w:val="Footnote_Reference,o,fr,TT - Footnote Reference,FC,Style 9,Style 17,o + Times New Roman,0 PIER Footnote Reference,Style 3,o1,o2,o3,o4,o5,o6,o11,o21,o7,0 PIER Footnote Text"/>
    <w:uiPriority w:val="99"/>
    <w:qFormat/>
    <w:rsid w:val="00E8642F"/>
    <w:rPr>
      <w:rFonts w:ascii="Arial" w:hAnsi="Arial" w:cs="Times New Roman"/>
      <w:sz w:val="20"/>
      <w:vertAlign w:val="superscript"/>
    </w:rPr>
  </w:style>
  <w:style w:type="character" w:styleId="CommentReference">
    <w:name w:val="annotation reference"/>
    <w:basedOn w:val="DefaultParagraphFont"/>
    <w:uiPriority w:val="99"/>
    <w:unhideWhenUsed/>
    <w:rsid w:val="00E05D90"/>
    <w:rPr>
      <w:sz w:val="16"/>
      <w:szCs w:val="16"/>
    </w:rPr>
  </w:style>
  <w:style w:type="paragraph" w:styleId="CommentText">
    <w:name w:val="annotation text"/>
    <w:basedOn w:val="Normal"/>
    <w:link w:val="CommentTextChar"/>
    <w:uiPriority w:val="99"/>
    <w:unhideWhenUsed/>
    <w:rsid w:val="00E05D90"/>
    <w:rPr>
      <w:sz w:val="20"/>
      <w:szCs w:val="20"/>
    </w:rPr>
  </w:style>
  <w:style w:type="character" w:customStyle="1" w:styleId="CommentTextChar">
    <w:name w:val="Comment Text Char"/>
    <w:basedOn w:val="DefaultParagraphFont"/>
    <w:link w:val="CommentText"/>
    <w:uiPriority w:val="99"/>
    <w:rsid w:val="00E05D90"/>
    <w:rPr>
      <w:sz w:val="20"/>
      <w:szCs w:val="20"/>
    </w:rPr>
  </w:style>
  <w:style w:type="paragraph" w:styleId="CommentSubject">
    <w:name w:val="annotation subject"/>
    <w:basedOn w:val="CommentText"/>
    <w:next w:val="CommentText"/>
    <w:link w:val="CommentSubjectChar"/>
    <w:uiPriority w:val="99"/>
    <w:semiHidden/>
    <w:unhideWhenUsed/>
    <w:rsid w:val="00E05D90"/>
    <w:rPr>
      <w:b/>
      <w:bCs/>
    </w:rPr>
  </w:style>
  <w:style w:type="character" w:customStyle="1" w:styleId="CommentSubjectChar">
    <w:name w:val="Comment Subject Char"/>
    <w:basedOn w:val="CommentTextChar"/>
    <w:link w:val="CommentSubject"/>
    <w:uiPriority w:val="99"/>
    <w:semiHidden/>
    <w:rsid w:val="00E05D90"/>
    <w:rPr>
      <w:b/>
      <w:bCs/>
      <w:sz w:val="20"/>
      <w:szCs w:val="20"/>
    </w:rPr>
  </w:style>
  <w:style w:type="paragraph" w:styleId="FootnoteText">
    <w:name w:val="footnote text"/>
    <w:aliases w:val="Footnote Text1 Char,Footnote Text Char Ch,Footnote Text Char Ch Char Char Char,Footnote Text Char Ch Char Char,Footnote Text1 Char Char Char,Footnote Text Char Ch Char,ft Char,ft,DFSListFootnote,EMI Footnote Text,ALTS FOOTNOTE,fn,FOOTNOTE"/>
    <w:basedOn w:val="Normal"/>
    <w:link w:val="FootnoteTextChar"/>
    <w:uiPriority w:val="99"/>
    <w:unhideWhenUsed/>
    <w:qFormat/>
    <w:rsid w:val="00A33B63"/>
    <w:rPr>
      <w:rFonts w:ascii="Garamond" w:eastAsia="Times New Roman" w:hAnsi="Garamond" w:cs="Times New Roman"/>
      <w:sz w:val="20"/>
      <w:szCs w:val="20"/>
    </w:rPr>
  </w:style>
  <w:style w:type="character" w:customStyle="1" w:styleId="FootnoteTextChar">
    <w:name w:val="Footnote Text Char"/>
    <w:aliases w:val="Footnote Text1 Char Char,Footnote Text Char Ch Char1,Footnote Text Char Ch Char Char Char Char,Footnote Text Char Ch Char Char Char1,Footnote Text1 Char Char Char Char,Footnote Text Char Ch Char Char1,ft Char Char,ft Char1,fn Char"/>
    <w:basedOn w:val="DefaultParagraphFont"/>
    <w:link w:val="FootnoteText"/>
    <w:uiPriority w:val="99"/>
    <w:rsid w:val="00A33B63"/>
    <w:rPr>
      <w:rFonts w:ascii="Garamond" w:eastAsia="Times New Roman" w:hAnsi="Garamond" w:cs="Times New Roman"/>
      <w:sz w:val="20"/>
      <w:szCs w:val="20"/>
    </w:rPr>
  </w:style>
  <w:style w:type="paragraph" w:styleId="NormalWeb">
    <w:name w:val="Normal (Web)"/>
    <w:basedOn w:val="Normal"/>
    <w:uiPriority w:val="99"/>
    <w:unhideWhenUsed/>
    <w:rsid w:val="007B3A03"/>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B3A03"/>
    <w:rPr>
      <w:color w:val="808080"/>
      <w:shd w:val="clear" w:color="auto" w:fill="E6E6E6"/>
    </w:rPr>
  </w:style>
  <w:style w:type="character" w:customStyle="1" w:styleId="Heading1Char">
    <w:name w:val="Heading 1 Char"/>
    <w:basedOn w:val="DefaultParagraphFont"/>
    <w:link w:val="Heading1"/>
    <w:uiPriority w:val="99"/>
    <w:rsid w:val="001F4B76"/>
    <w:rPr>
      <w:rFonts w:ascii="Calibri" w:eastAsia="Times New Roman" w:hAnsi="Calibri" w:cs="Arial"/>
      <w:b/>
      <w:kern w:val="32"/>
      <w:sz w:val="36"/>
      <w:szCs w:val="52"/>
      <w:u w:val="single"/>
    </w:rPr>
  </w:style>
  <w:style w:type="character" w:customStyle="1" w:styleId="Heading2Char">
    <w:name w:val="Heading 2 Char"/>
    <w:basedOn w:val="DefaultParagraphFont"/>
    <w:link w:val="Heading2"/>
    <w:uiPriority w:val="99"/>
    <w:rsid w:val="00E93373"/>
    <w:rPr>
      <w:rFonts w:ascii="Calibri" w:eastAsia="Times New Roman" w:hAnsi="Calibri" w:cs="Arial"/>
      <w:bCs/>
      <w:iCs/>
      <w:sz w:val="32"/>
      <w:szCs w:val="28"/>
    </w:rPr>
  </w:style>
  <w:style w:type="character" w:customStyle="1" w:styleId="Heading3Char">
    <w:name w:val="Heading 3 Char"/>
    <w:aliases w:val="Heading 3 Char2 Char Char,Heading 3 Char Char1 Char Char,Heading 3 Char2 Char Char Char1 Char,Heading 3 Char Char1 Char Char Char Char,Heading 3 Char2 Char Char Char1 Char Char Char,Heading 3 Char Char1 Char Char Char Char Char Char"/>
    <w:basedOn w:val="DefaultParagraphFont"/>
    <w:link w:val="Heading3"/>
    <w:uiPriority w:val="99"/>
    <w:rsid w:val="006A1E59"/>
    <w:rPr>
      <w:rFonts w:ascii="Calibri" w:eastAsiaTheme="minorEastAsia" w:hAnsi="Calibri" w:cs="Times New Roman"/>
      <w:bCs/>
      <w:sz w:val="28"/>
      <w:szCs w:val="24"/>
      <w:u w:val="single"/>
    </w:rPr>
  </w:style>
  <w:style w:type="character" w:customStyle="1" w:styleId="Heading4Char">
    <w:name w:val="Heading 4 Char"/>
    <w:basedOn w:val="DefaultParagraphFont"/>
    <w:link w:val="Heading4"/>
    <w:uiPriority w:val="99"/>
    <w:rsid w:val="0032446A"/>
    <w:rPr>
      <w:rFonts w:ascii="Calibri" w:eastAsiaTheme="minorEastAsia" w:hAnsi="Calibri" w:cs="Arial"/>
      <w:bCs/>
      <w:i/>
      <w:noProof/>
    </w:rPr>
  </w:style>
  <w:style w:type="character" w:customStyle="1" w:styleId="Heading5Char">
    <w:name w:val="Heading 5 Char"/>
    <w:basedOn w:val="DefaultParagraphFont"/>
    <w:link w:val="Heading5"/>
    <w:uiPriority w:val="99"/>
    <w:rsid w:val="0032446A"/>
    <w:rPr>
      <w:rFonts w:ascii="Calibri" w:eastAsia="Times New Roman" w:hAnsi="Calibri" w:cs="Times New Roman"/>
      <w:sz w:val="20"/>
    </w:rPr>
  </w:style>
  <w:style w:type="character" w:customStyle="1" w:styleId="Heading7Char">
    <w:name w:val="Heading 7 Char"/>
    <w:basedOn w:val="DefaultParagraphFont"/>
    <w:link w:val="Heading7"/>
    <w:uiPriority w:val="99"/>
    <w:rsid w:val="0032446A"/>
    <w:rPr>
      <w:rFonts w:ascii="Cambria" w:eastAsia="Times New Roman" w:hAnsi="Cambria" w:cs="Times New Roman"/>
      <w:i/>
      <w:iCs/>
      <w:color w:val="404040"/>
      <w:sz w:val="20"/>
    </w:rPr>
  </w:style>
  <w:style w:type="character" w:customStyle="1" w:styleId="Heading8Char">
    <w:name w:val="Heading 8 Char"/>
    <w:basedOn w:val="DefaultParagraphFont"/>
    <w:link w:val="Heading8"/>
    <w:uiPriority w:val="99"/>
    <w:rsid w:val="0032446A"/>
    <w:rPr>
      <w:rFonts w:ascii="Cambria" w:eastAsia="Times New Roman" w:hAnsi="Cambria" w:cs="Times New Roman"/>
      <w:color w:val="404040"/>
      <w:sz w:val="20"/>
    </w:rPr>
  </w:style>
  <w:style w:type="character" w:customStyle="1" w:styleId="Heading9Char">
    <w:name w:val="Heading 9 Char"/>
    <w:basedOn w:val="DefaultParagraphFont"/>
    <w:link w:val="Heading9"/>
    <w:uiPriority w:val="99"/>
    <w:rsid w:val="0032446A"/>
    <w:rPr>
      <w:rFonts w:ascii="Cambria" w:eastAsia="Times New Roman" w:hAnsi="Cambria" w:cs="Times New Roman"/>
      <w:i/>
      <w:iCs/>
      <w:color w:val="404040"/>
      <w:sz w:val="20"/>
    </w:rPr>
  </w:style>
  <w:style w:type="character" w:customStyle="1" w:styleId="fontstyle01">
    <w:name w:val="fontstyle01"/>
    <w:basedOn w:val="DefaultParagraphFont"/>
    <w:rsid w:val="00385493"/>
    <w:rPr>
      <w:rFonts w:ascii="Calibri" w:hAnsi="Calibri" w:cs="Calibri" w:hint="default"/>
      <w:b w:val="0"/>
      <w:bCs w:val="0"/>
      <w:i w:val="0"/>
      <w:iCs w:val="0"/>
      <w:color w:val="000000"/>
      <w:sz w:val="24"/>
      <w:szCs w:val="24"/>
    </w:rPr>
  </w:style>
  <w:style w:type="character" w:customStyle="1" w:styleId="fontstyle21">
    <w:name w:val="fontstyle21"/>
    <w:basedOn w:val="DefaultParagraphFont"/>
    <w:rsid w:val="00385493"/>
    <w:rPr>
      <w:rFonts w:ascii="Calibri-BoldItalic" w:hAnsi="Calibri-BoldItalic" w:hint="default"/>
      <w:b/>
      <w:bCs/>
      <w:i/>
      <w:iCs/>
      <w:color w:val="000000"/>
      <w:sz w:val="24"/>
      <w:szCs w:val="24"/>
    </w:rPr>
  </w:style>
  <w:style w:type="character" w:customStyle="1" w:styleId="fontstyle31">
    <w:name w:val="fontstyle31"/>
    <w:basedOn w:val="DefaultParagraphFont"/>
    <w:rsid w:val="00385493"/>
    <w:rPr>
      <w:rFonts w:ascii="Calibri-Bold" w:hAnsi="Calibri-Bold" w:hint="default"/>
      <w:b/>
      <w:bCs/>
      <w:i w:val="0"/>
      <w:iCs w:val="0"/>
      <w:color w:val="000000"/>
      <w:sz w:val="20"/>
      <w:szCs w:val="20"/>
    </w:rPr>
  </w:style>
  <w:style w:type="table" w:styleId="TableGrid">
    <w:name w:val="Table Grid"/>
    <w:basedOn w:val="TableNormal"/>
    <w:uiPriority w:val="39"/>
    <w:rsid w:val="009B7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9"/>
    <w:rsid w:val="009B73B7"/>
    <w:rPr>
      <w:rFonts w:asciiTheme="majorHAnsi" w:eastAsiaTheme="majorEastAsia" w:hAnsiTheme="majorHAnsi" w:cstheme="majorBidi"/>
      <w:color w:val="243F60" w:themeColor="accent1" w:themeShade="7F"/>
    </w:rPr>
  </w:style>
  <w:style w:type="table" w:customStyle="1" w:styleId="TableGrid1">
    <w:name w:val="Table Grid1"/>
    <w:basedOn w:val="TableNormal"/>
    <w:next w:val="TableGrid"/>
    <w:rsid w:val="0065191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F033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A453A"/>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1F93"/>
    <w:pPr>
      <w:tabs>
        <w:tab w:val="center" w:pos="4680"/>
        <w:tab w:val="right" w:pos="9360"/>
      </w:tabs>
    </w:pPr>
  </w:style>
  <w:style w:type="character" w:customStyle="1" w:styleId="HeaderChar">
    <w:name w:val="Header Char"/>
    <w:basedOn w:val="DefaultParagraphFont"/>
    <w:link w:val="Header"/>
    <w:uiPriority w:val="99"/>
    <w:rsid w:val="00481F93"/>
  </w:style>
  <w:style w:type="paragraph" w:styleId="Footer">
    <w:name w:val="footer"/>
    <w:basedOn w:val="Normal"/>
    <w:link w:val="FooterChar"/>
    <w:uiPriority w:val="99"/>
    <w:unhideWhenUsed/>
    <w:rsid w:val="00481F93"/>
    <w:pPr>
      <w:tabs>
        <w:tab w:val="center" w:pos="4680"/>
        <w:tab w:val="right" w:pos="9360"/>
      </w:tabs>
    </w:pPr>
  </w:style>
  <w:style w:type="character" w:customStyle="1" w:styleId="FooterChar">
    <w:name w:val="Footer Char"/>
    <w:basedOn w:val="DefaultParagraphFont"/>
    <w:link w:val="Footer"/>
    <w:uiPriority w:val="99"/>
    <w:rsid w:val="00481F93"/>
  </w:style>
  <w:style w:type="paragraph" w:styleId="Revision">
    <w:name w:val="Revision"/>
    <w:hidden/>
    <w:uiPriority w:val="99"/>
    <w:semiHidden/>
    <w:rsid w:val="005C117C"/>
  </w:style>
  <w:style w:type="numbering" w:customStyle="1" w:styleId="NoList1">
    <w:name w:val="No List1"/>
    <w:next w:val="NoList"/>
    <w:uiPriority w:val="99"/>
    <w:semiHidden/>
    <w:unhideWhenUsed/>
    <w:rsid w:val="005C117C"/>
  </w:style>
  <w:style w:type="character" w:customStyle="1" w:styleId="FooterChar1">
    <w:name w:val="Footer Char1"/>
    <w:uiPriority w:val="99"/>
    <w:locked/>
    <w:rsid w:val="005C117C"/>
    <w:rPr>
      <w:rFonts w:ascii="Calibri" w:hAnsi="Calibri"/>
      <w:sz w:val="20"/>
      <w:szCs w:val="20"/>
    </w:rPr>
  </w:style>
  <w:style w:type="table" w:customStyle="1" w:styleId="TableGrid4">
    <w:name w:val="Table Grid4"/>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5C117C"/>
    <w:rPr>
      <w:rFonts w:cs="Times New Roman"/>
    </w:rPr>
  </w:style>
  <w:style w:type="paragraph" w:customStyle="1" w:styleId="TOC11">
    <w:name w:val="TOC 11"/>
    <w:basedOn w:val="Normal"/>
    <w:next w:val="Normal"/>
    <w:autoRedefine/>
    <w:uiPriority w:val="39"/>
    <w:rsid w:val="005C117C"/>
    <w:pPr>
      <w:tabs>
        <w:tab w:val="left" w:pos="480"/>
        <w:tab w:val="right" w:leader="dot" w:pos="9350"/>
      </w:tabs>
      <w:spacing w:before="120" w:after="120"/>
    </w:pPr>
    <w:rPr>
      <w:rFonts w:eastAsia="Yu Mincho"/>
      <w:b/>
      <w:bCs/>
      <w:smallCaps/>
      <w:noProof/>
      <w:szCs w:val="24"/>
      <w14:scene3d>
        <w14:camera w14:prst="orthographicFront"/>
        <w14:lightRig w14:rig="threePt" w14:dir="t">
          <w14:rot w14:lat="0" w14:lon="0" w14:rev="0"/>
        </w14:lightRig>
      </w14:scene3d>
    </w:rPr>
  </w:style>
  <w:style w:type="paragraph" w:customStyle="1" w:styleId="TOC21">
    <w:name w:val="TOC 21"/>
    <w:basedOn w:val="Normal"/>
    <w:next w:val="Normal"/>
    <w:autoRedefine/>
    <w:uiPriority w:val="39"/>
    <w:rsid w:val="005C117C"/>
    <w:pPr>
      <w:tabs>
        <w:tab w:val="left" w:pos="475"/>
        <w:tab w:val="left" w:pos="960"/>
        <w:tab w:val="right" w:leader="dot" w:pos="9350"/>
      </w:tabs>
      <w:spacing w:before="120" w:after="120"/>
    </w:pPr>
    <w:rPr>
      <w:rFonts w:ascii="Calibri" w:hAnsi="Calibri" w:cs="Calibri"/>
      <w:b/>
      <w:bCs/>
      <w:sz w:val="20"/>
      <w:szCs w:val="20"/>
    </w:rPr>
  </w:style>
  <w:style w:type="character" w:customStyle="1" w:styleId="CommentSubjectChar1">
    <w:name w:val="Comment Subject Char1"/>
    <w:basedOn w:val="CommentTextChar"/>
    <w:uiPriority w:val="99"/>
    <w:semiHidden/>
    <w:rsid w:val="005C117C"/>
    <w:rPr>
      <w:rFonts w:ascii="Calibri" w:hAnsi="Calibri"/>
      <w:b/>
      <w:bCs/>
      <w:sz w:val="20"/>
      <w:szCs w:val="20"/>
    </w:rPr>
  </w:style>
  <w:style w:type="paragraph" w:styleId="NoSpacing">
    <w:name w:val="No Spacing"/>
    <w:uiPriority w:val="1"/>
    <w:qFormat/>
    <w:rsid w:val="005C117C"/>
    <w:rPr>
      <w:rFonts w:ascii="Times New Roman" w:eastAsia="Times New Roman" w:hAnsi="Times New Roman" w:cs="Times New Roman"/>
      <w:sz w:val="20"/>
      <w:szCs w:val="20"/>
    </w:rPr>
  </w:style>
  <w:style w:type="character" w:styleId="BookTitle">
    <w:name w:val="Book Title"/>
    <w:uiPriority w:val="99"/>
    <w:qFormat/>
    <w:rsid w:val="005C117C"/>
    <w:rPr>
      <w:b/>
      <w:bCs/>
      <w:smallCaps/>
      <w:spacing w:val="5"/>
    </w:rPr>
  </w:style>
  <w:style w:type="paragraph" w:customStyle="1" w:styleId="Title1">
    <w:name w:val="Title1"/>
    <w:basedOn w:val="Normal"/>
    <w:next w:val="Normal"/>
    <w:uiPriority w:val="10"/>
    <w:qFormat/>
    <w:rsid w:val="005C117C"/>
    <w:pPr>
      <w:pBdr>
        <w:bottom w:val="single" w:sz="8" w:space="4" w:color="DDDDDD"/>
      </w:pBdr>
      <w:spacing w:after="300"/>
      <w:contextualSpacing/>
      <w:jc w:val="both"/>
    </w:pPr>
    <w:rPr>
      <w:rFonts w:ascii="Cambria" w:hAnsi="Cambria"/>
      <w:color w:val="000000"/>
      <w:spacing w:val="5"/>
      <w:kern w:val="28"/>
      <w:sz w:val="52"/>
      <w:szCs w:val="52"/>
    </w:rPr>
  </w:style>
  <w:style w:type="character" w:customStyle="1" w:styleId="TitleChar">
    <w:name w:val="Title Char"/>
    <w:basedOn w:val="DefaultParagraphFont"/>
    <w:link w:val="Title"/>
    <w:uiPriority w:val="99"/>
    <w:rsid w:val="005C117C"/>
    <w:rPr>
      <w:rFonts w:ascii="Cambria" w:hAnsi="Cambria"/>
      <w:color w:val="000000"/>
      <w:spacing w:val="5"/>
      <w:kern w:val="28"/>
      <w:sz w:val="52"/>
      <w:szCs w:val="52"/>
    </w:rPr>
  </w:style>
  <w:style w:type="paragraph" w:customStyle="1" w:styleId="Caption-table1">
    <w:name w:val="Caption-table1"/>
    <w:basedOn w:val="Normal"/>
    <w:next w:val="Normal"/>
    <w:autoRedefine/>
    <w:uiPriority w:val="99"/>
    <w:qFormat/>
    <w:rsid w:val="005C117C"/>
    <w:pPr>
      <w:keepNext/>
      <w:tabs>
        <w:tab w:val="left" w:pos="720"/>
      </w:tabs>
      <w:spacing w:after="120"/>
      <w:jc w:val="both"/>
    </w:pPr>
    <w:rPr>
      <w:rFonts w:ascii="Calibri" w:hAnsi="Calibri" w:cs="Calibri"/>
      <w:bCs/>
      <w:sz w:val="20"/>
      <w:szCs w:val="24"/>
    </w:rPr>
  </w:style>
  <w:style w:type="character" w:customStyle="1" w:styleId="CaptionChar">
    <w:name w:val="Caption Char"/>
    <w:link w:val="Caption"/>
    <w:uiPriority w:val="99"/>
    <w:locked/>
    <w:rsid w:val="005C117C"/>
    <w:rPr>
      <w:rFonts w:ascii="Calibri" w:hAnsi="Calibri" w:cs="Calibri"/>
      <w:bCs/>
      <w:sz w:val="20"/>
      <w:szCs w:val="24"/>
    </w:rPr>
  </w:style>
  <w:style w:type="paragraph" w:customStyle="1" w:styleId="List1">
    <w:name w:val="List1"/>
    <w:basedOn w:val="Normal"/>
    <w:next w:val="List"/>
    <w:uiPriority w:val="99"/>
    <w:rsid w:val="005C117C"/>
    <w:pPr>
      <w:spacing w:after="120"/>
      <w:ind w:left="360" w:hanging="360"/>
      <w:jc w:val="both"/>
    </w:pPr>
    <w:rPr>
      <w:rFonts w:ascii="Calibri" w:hAnsi="Calibri"/>
      <w:sz w:val="20"/>
      <w:szCs w:val="20"/>
    </w:rPr>
  </w:style>
  <w:style w:type="character" w:customStyle="1" w:styleId="MacroTextChar">
    <w:name w:val="Macro Text Char"/>
    <w:basedOn w:val="DefaultParagraphFont"/>
    <w:link w:val="MacroText"/>
    <w:uiPriority w:val="99"/>
    <w:semiHidden/>
    <w:rsid w:val="005C117C"/>
    <w:rPr>
      <w:rFonts w:ascii="Arial" w:eastAsia="Times New Roman" w:hAnsi="Arial" w:cs="Times New Roman"/>
      <w:sz w:val="20"/>
      <w:szCs w:val="20"/>
    </w:rPr>
  </w:style>
  <w:style w:type="paragraph" w:styleId="MacroText">
    <w:name w:val="macro"/>
    <w:link w:val="MacroTextChar"/>
    <w:uiPriority w:val="99"/>
    <w:semiHidden/>
    <w:rsid w:val="005C117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Arial" w:eastAsia="Times New Roman" w:hAnsi="Arial" w:cs="Times New Roman"/>
      <w:sz w:val="20"/>
      <w:szCs w:val="20"/>
    </w:rPr>
  </w:style>
  <w:style w:type="character" w:customStyle="1" w:styleId="MacroTextChar1">
    <w:name w:val="Macro Text Char1"/>
    <w:basedOn w:val="DefaultParagraphFont"/>
    <w:semiHidden/>
    <w:rsid w:val="005C117C"/>
    <w:rPr>
      <w:rFonts w:ascii="Consolas" w:hAnsi="Consolas"/>
      <w:sz w:val="20"/>
      <w:szCs w:val="20"/>
    </w:rPr>
  </w:style>
  <w:style w:type="character" w:styleId="FollowedHyperlink">
    <w:name w:val="FollowedHyperlink"/>
    <w:uiPriority w:val="99"/>
    <w:rsid w:val="005C117C"/>
    <w:rPr>
      <w:rFonts w:cs="Times New Roman"/>
      <w:color w:val="800080"/>
      <w:u w:val="single"/>
    </w:rPr>
  </w:style>
  <w:style w:type="paragraph" w:customStyle="1" w:styleId="Default">
    <w:name w:val="Default"/>
    <w:rsid w:val="005C117C"/>
    <w:pPr>
      <w:autoSpaceDE w:val="0"/>
      <w:autoSpaceDN w:val="0"/>
      <w:adjustRightInd w:val="0"/>
    </w:pPr>
    <w:rPr>
      <w:rFonts w:ascii="Arial" w:eastAsia="Times New Roman" w:hAnsi="Arial" w:cs="Arial"/>
      <w:color w:val="000000"/>
      <w:sz w:val="24"/>
      <w:szCs w:val="24"/>
    </w:rPr>
  </w:style>
  <w:style w:type="paragraph" w:customStyle="1" w:styleId="TOC31">
    <w:name w:val="TOC 31"/>
    <w:basedOn w:val="Normal"/>
    <w:next w:val="Normal"/>
    <w:autoRedefine/>
    <w:uiPriority w:val="39"/>
    <w:rsid w:val="005C117C"/>
    <w:pPr>
      <w:tabs>
        <w:tab w:val="left" w:pos="960"/>
        <w:tab w:val="right" w:leader="dot" w:pos="9350"/>
      </w:tabs>
      <w:spacing w:before="120" w:after="120" w:line="259" w:lineRule="auto"/>
      <w:ind w:left="245"/>
    </w:pPr>
    <w:rPr>
      <w:rFonts w:ascii="Calibri" w:eastAsia="Yu Gothic Light" w:hAnsi="Calibri" w:cs="Calibri"/>
      <w:smallCaps/>
      <w:noProof/>
      <w:sz w:val="20"/>
      <w:szCs w:val="20"/>
    </w:rPr>
  </w:style>
  <w:style w:type="character" w:customStyle="1" w:styleId="DocumentMapChar">
    <w:name w:val="Document Map Char"/>
    <w:basedOn w:val="DefaultParagraphFont"/>
    <w:link w:val="DocumentMap"/>
    <w:uiPriority w:val="99"/>
    <w:semiHidden/>
    <w:rsid w:val="005C117C"/>
    <w:rPr>
      <w:rFonts w:ascii="Tahoma" w:eastAsia="Times New Roman" w:hAnsi="Tahoma" w:cs="Tahoma"/>
      <w:sz w:val="20"/>
      <w:shd w:val="clear" w:color="auto" w:fill="000080"/>
    </w:rPr>
  </w:style>
  <w:style w:type="paragraph" w:styleId="DocumentMap">
    <w:name w:val="Document Map"/>
    <w:basedOn w:val="Normal"/>
    <w:link w:val="DocumentMapChar"/>
    <w:uiPriority w:val="99"/>
    <w:semiHidden/>
    <w:rsid w:val="005C117C"/>
    <w:pPr>
      <w:shd w:val="clear" w:color="auto" w:fill="000080"/>
      <w:spacing w:after="120"/>
      <w:jc w:val="both"/>
    </w:pPr>
    <w:rPr>
      <w:rFonts w:ascii="Tahoma" w:eastAsia="Times New Roman" w:hAnsi="Tahoma" w:cs="Tahoma"/>
      <w:sz w:val="20"/>
    </w:rPr>
  </w:style>
  <w:style w:type="character" w:customStyle="1" w:styleId="DocumentMapChar1">
    <w:name w:val="Document Map Char1"/>
    <w:basedOn w:val="DefaultParagraphFont"/>
    <w:uiPriority w:val="99"/>
    <w:semiHidden/>
    <w:rsid w:val="005C117C"/>
    <w:rPr>
      <w:rFonts w:ascii="Segoe UI" w:hAnsi="Segoe UI" w:cs="Segoe UI"/>
      <w:sz w:val="16"/>
      <w:szCs w:val="16"/>
    </w:rPr>
  </w:style>
  <w:style w:type="paragraph" w:customStyle="1" w:styleId="ListBullet1">
    <w:name w:val="List Bullet1"/>
    <w:basedOn w:val="Normal"/>
    <w:next w:val="ListBullet"/>
    <w:uiPriority w:val="99"/>
    <w:rsid w:val="005C117C"/>
    <w:pPr>
      <w:tabs>
        <w:tab w:val="num" w:pos="1080"/>
      </w:tabs>
      <w:spacing w:after="120"/>
      <w:ind w:left="360" w:hanging="360"/>
      <w:jc w:val="both"/>
    </w:pPr>
    <w:rPr>
      <w:rFonts w:ascii="Calibri" w:hAnsi="Calibri"/>
      <w:sz w:val="20"/>
      <w:szCs w:val="20"/>
    </w:rPr>
  </w:style>
  <w:style w:type="character" w:styleId="HTMLCite">
    <w:name w:val="HTML Cite"/>
    <w:uiPriority w:val="99"/>
    <w:rsid w:val="005C117C"/>
    <w:rPr>
      <w:rFonts w:cs="Times New Roman"/>
      <w:i/>
      <w:iCs/>
    </w:rPr>
  </w:style>
  <w:style w:type="character" w:customStyle="1" w:styleId="apple-converted-space">
    <w:name w:val="apple-converted-space"/>
    <w:rsid w:val="005C117C"/>
    <w:rPr>
      <w:rFonts w:cs="Times New Roman"/>
    </w:rPr>
  </w:style>
  <w:style w:type="paragraph" w:customStyle="1" w:styleId="TOC41">
    <w:name w:val="TOC 41"/>
    <w:basedOn w:val="Normal"/>
    <w:next w:val="Normal"/>
    <w:autoRedefine/>
    <w:uiPriority w:val="39"/>
    <w:rsid w:val="005C117C"/>
    <w:pPr>
      <w:spacing w:after="120"/>
      <w:ind w:left="480"/>
      <w:jc w:val="both"/>
    </w:pPr>
    <w:rPr>
      <w:rFonts w:ascii="Calibri" w:hAnsi="Calibri" w:cs="Calibri"/>
      <w:sz w:val="20"/>
      <w:szCs w:val="20"/>
    </w:rPr>
  </w:style>
  <w:style w:type="paragraph" w:customStyle="1" w:styleId="TOC51">
    <w:name w:val="TOC 51"/>
    <w:basedOn w:val="Normal"/>
    <w:next w:val="Normal"/>
    <w:autoRedefine/>
    <w:uiPriority w:val="39"/>
    <w:rsid w:val="005C117C"/>
    <w:pPr>
      <w:spacing w:after="120"/>
      <w:ind w:left="720"/>
      <w:jc w:val="both"/>
    </w:pPr>
    <w:rPr>
      <w:rFonts w:ascii="Calibri" w:hAnsi="Calibri" w:cs="Calibri"/>
      <w:sz w:val="20"/>
      <w:szCs w:val="20"/>
    </w:rPr>
  </w:style>
  <w:style w:type="paragraph" w:customStyle="1" w:styleId="TOC61">
    <w:name w:val="TOC 61"/>
    <w:basedOn w:val="Normal"/>
    <w:next w:val="Normal"/>
    <w:autoRedefine/>
    <w:uiPriority w:val="39"/>
    <w:rsid w:val="005C117C"/>
    <w:pPr>
      <w:spacing w:after="120"/>
      <w:ind w:left="960"/>
      <w:jc w:val="both"/>
    </w:pPr>
    <w:rPr>
      <w:rFonts w:ascii="Calibri" w:hAnsi="Calibri" w:cs="Calibri"/>
      <w:sz w:val="20"/>
      <w:szCs w:val="20"/>
    </w:rPr>
  </w:style>
  <w:style w:type="paragraph" w:customStyle="1" w:styleId="TOC71">
    <w:name w:val="TOC 71"/>
    <w:basedOn w:val="Normal"/>
    <w:next w:val="Normal"/>
    <w:autoRedefine/>
    <w:uiPriority w:val="39"/>
    <w:rsid w:val="005C117C"/>
    <w:pPr>
      <w:spacing w:after="120"/>
      <w:ind w:left="1200"/>
      <w:jc w:val="both"/>
    </w:pPr>
    <w:rPr>
      <w:rFonts w:ascii="Calibri" w:hAnsi="Calibri" w:cs="Calibri"/>
      <w:sz w:val="20"/>
      <w:szCs w:val="20"/>
    </w:rPr>
  </w:style>
  <w:style w:type="paragraph" w:customStyle="1" w:styleId="TOC81">
    <w:name w:val="TOC 81"/>
    <w:basedOn w:val="Normal"/>
    <w:next w:val="Normal"/>
    <w:autoRedefine/>
    <w:uiPriority w:val="39"/>
    <w:rsid w:val="005C117C"/>
    <w:pPr>
      <w:spacing w:after="120"/>
      <w:ind w:left="1440"/>
      <w:jc w:val="both"/>
    </w:pPr>
    <w:rPr>
      <w:rFonts w:ascii="Calibri" w:hAnsi="Calibri" w:cs="Calibri"/>
      <w:sz w:val="20"/>
      <w:szCs w:val="20"/>
    </w:rPr>
  </w:style>
  <w:style w:type="paragraph" w:customStyle="1" w:styleId="TOC91">
    <w:name w:val="TOC 91"/>
    <w:basedOn w:val="Normal"/>
    <w:next w:val="Normal"/>
    <w:autoRedefine/>
    <w:uiPriority w:val="39"/>
    <w:rsid w:val="005C117C"/>
    <w:pPr>
      <w:spacing w:after="120"/>
      <w:ind w:left="1680"/>
      <w:jc w:val="both"/>
    </w:pPr>
    <w:rPr>
      <w:rFonts w:ascii="Calibri" w:hAnsi="Calibri" w:cs="Calibri"/>
      <w:sz w:val="20"/>
      <w:szCs w:val="20"/>
    </w:rPr>
  </w:style>
  <w:style w:type="paragraph" w:customStyle="1" w:styleId="TOCHeading1">
    <w:name w:val="TOC Heading1"/>
    <w:basedOn w:val="Heading1"/>
    <w:next w:val="Normal"/>
    <w:uiPriority w:val="39"/>
    <w:qFormat/>
    <w:rsid w:val="005C117C"/>
    <w:pPr>
      <w:keepLines/>
      <w:widowControl/>
      <w:spacing w:before="480" w:after="120" w:line="276" w:lineRule="auto"/>
      <w:outlineLvl w:val="9"/>
    </w:pPr>
    <w:rPr>
      <w:rFonts w:eastAsia="Calibri" w:cs="Times New Roman"/>
      <w:bCs/>
      <w:color w:val="365F91"/>
      <w:kern w:val="0"/>
      <w:sz w:val="28"/>
      <w:szCs w:val="28"/>
      <w:u w:val="none"/>
      <w:lang w:eastAsia="ja-JP"/>
    </w:rPr>
  </w:style>
  <w:style w:type="character" w:styleId="Strong">
    <w:name w:val="Strong"/>
    <w:basedOn w:val="DefaultParagraphFont"/>
    <w:uiPriority w:val="22"/>
    <w:qFormat/>
    <w:rsid w:val="005C117C"/>
    <w:rPr>
      <w:b/>
      <w:bCs/>
    </w:rPr>
  </w:style>
  <w:style w:type="paragraph" w:customStyle="1" w:styleId="TableText">
    <w:name w:val="Table Text"/>
    <w:basedOn w:val="Normal"/>
    <w:autoRedefine/>
    <w:qFormat/>
    <w:rsid w:val="005C117C"/>
    <w:pPr>
      <w:jc w:val="center"/>
    </w:pPr>
    <w:rPr>
      <w:rFonts w:ascii="Calibri" w:hAnsi="Calibri" w:cs="Arial"/>
      <w:noProof/>
      <w:sz w:val="20"/>
      <w:szCs w:val="18"/>
      <w:lang w:val="en"/>
    </w:rPr>
  </w:style>
  <w:style w:type="paragraph" w:customStyle="1" w:styleId="EndnoteText1">
    <w:name w:val="Endnote Text1"/>
    <w:basedOn w:val="Normal"/>
    <w:next w:val="EndnoteText"/>
    <w:link w:val="EndnoteTextChar"/>
    <w:uiPriority w:val="99"/>
    <w:unhideWhenUsed/>
    <w:rsid w:val="005C117C"/>
    <w:pPr>
      <w:spacing w:after="120"/>
      <w:jc w:val="both"/>
    </w:pPr>
    <w:rPr>
      <w:rFonts w:ascii="Calibri" w:hAnsi="Calibri"/>
      <w:sz w:val="20"/>
      <w:szCs w:val="20"/>
    </w:rPr>
  </w:style>
  <w:style w:type="character" w:customStyle="1" w:styleId="EndnoteTextChar">
    <w:name w:val="Endnote Text Char"/>
    <w:basedOn w:val="DefaultParagraphFont"/>
    <w:link w:val="EndnoteText1"/>
    <w:uiPriority w:val="99"/>
    <w:rsid w:val="005C117C"/>
    <w:rPr>
      <w:rFonts w:ascii="Calibri" w:hAnsi="Calibri"/>
      <w:sz w:val="20"/>
      <w:szCs w:val="20"/>
    </w:rPr>
  </w:style>
  <w:style w:type="character" w:customStyle="1" w:styleId="FootnoteChar">
    <w:name w:val="Footnote Char"/>
    <w:basedOn w:val="footnoteChar0"/>
    <w:link w:val="Footnote"/>
    <w:rsid w:val="005C117C"/>
    <w:rPr>
      <w:rFonts w:ascii="Calibri" w:eastAsia="Yu Gothic Light" w:hAnsi="Calibri" w:cs="Calibri"/>
      <w:sz w:val="18"/>
      <w:szCs w:val="24"/>
    </w:rPr>
  </w:style>
  <w:style w:type="character" w:customStyle="1" w:styleId="footnoteChar0">
    <w:name w:val="footnote Char"/>
    <w:basedOn w:val="FootnoteTextChar"/>
    <w:link w:val="footnote0"/>
    <w:rsid w:val="005C117C"/>
    <w:rPr>
      <w:rFonts w:ascii="Calibri" w:eastAsia="Times New Roman" w:hAnsi="Calibri" w:cs="Times New Roman"/>
      <w:sz w:val="18"/>
      <w:szCs w:val="24"/>
    </w:rPr>
  </w:style>
  <w:style w:type="paragraph" w:customStyle="1" w:styleId="footnote0">
    <w:name w:val="footnote"/>
    <w:basedOn w:val="FootnoteText"/>
    <w:link w:val="footnoteChar0"/>
    <w:rsid w:val="005C117C"/>
    <w:rPr>
      <w:rFonts w:ascii="Calibri" w:hAnsi="Calibri"/>
      <w:sz w:val="18"/>
      <w:szCs w:val="24"/>
    </w:rPr>
  </w:style>
  <w:style w:type="paragraph" w:customStyle="1" w:styleId="TableofFigures1">
    <w:name w:val="Table of Figures1"/>
    <w:basedOn w:val="Normal"/>
    <w:next w:val="Normal"/>
    <w:uiPriority w:val="99"/>
    <w:unhideWhenUsed/>
    <w:rsid w:val="005C117C"/>
    <w:pPr>
      <w:spacing w:after="120"/>
      <w:jc w:val="both"/>
    </w:pPr>
    <w:rPr>
      <w:rFonts w:ascii="Calibri" w:hAnsi="Calibri"/>
      <w:sz w:val="20"/>
      <w:szCs w:val="20"/>
    </w:rPr>
  </w:style>
  <w:style w:type="character" w:customStyle="1" w:styleId="TechnicalTableChar">
    <w:name w:val="Technical Table Char"/>
    <w:basedOn w:val="DefaultParagraphFont"/>
    <w:link w:val="TechnicalTable"/>
    <w:rsid w:val="005C117C"/>
    <w:rPr>
      <w:rFonts w:ascii="Times New Roman" w:eastAsia="Times New Roman" w:hAnsi="Times New Roman" w:cs="Calibri"/>
      <w:sz w:val="20"/>
      <w:szCs w:val="20"/>
    </w:rPr>
  </w:style>
  <w:style w:type="paragraph" w:customStyle="1" w:styleId="AlgorithmHeading">
    <w:name w:val="Algorithm Heading"/>
    <w:basedOn w:val="Normal"/>
    <w:link w:val="AlgorithmHeadingChar"/>
    <w:qFormat/>
    <w:rsid w:val="005C117C"/>
    <w:pPr>
      <w:pBdr>
        <w:top w:val="double" w:sz="4" w:space="1" w:color="auto"/>
        <w:bottom w:val="double" w:sz="4" w:space="1" w:color="auto"/>
      </w:pBdr>
      <w:spacing w:after="120"/>
      <w:jc w:val="center"/>
    </w:pPr>
    <w:rPr>
      <w:rFonts w:ascii="Calibri" w:hAnsi="Calibri" w:cs="Calibri"/>
      <w:b/>
      <w:sz w:val="20"/>
      <w:szCs w:val="20"/>
    </w:rPr>
  </w:style>
  <w:style w:type="character" w:customStyle="1" w:styleId="AlgorithmHeadingChar">
    <w:name w:val="Algorithm Heading Char"/>
    <w:basedOn w:val="DefaultParagraphFont"/>
    <w:link w:val="AlgorithmHeading"/>
    <w:rsid w:val="005C117C"/>
    <w:rPr>
      <w:rFonts w:ascii="Calibri" w:hAnsi="Calibri" w:cs="Calibri"/>
      <w:b/>
      <w:sz w:val="20"/>
      <w:szCs w:val="20"/>
    </w:rPr>
  </w:style>
  <w:style w:type="paragraph" w:customStyle="1" w:styleId="Captions">
    <w:name w:val="Captions"/>
    <w:basedOn w:val="Title"/>
    <w:link w:val="CaptionsChar"/>
    <w:autoRedefine/>
    <w:qFormat/>
    <w:rsid w:val="005C117C"/>
    <w:pPr>
      <w:spacing w:after="120"/>
      <w:jc w:val="center"/>
    </w:pPr>
    <w:rPr>
      <w:rFonts w:ascii="Calibri" w:hAnsi="Calibri" w:cs="Calibri"/>
      <w:b/>
      <w:sz w:val="20"/>
      <w:szCs w:val="20"/>
    </w:rPr>
  </w:style>
  <w:style w:type="character" w:customStyle="1" w:styleId="CaptionsChar">
    <w:name w:val="Captions Char"/>
    <w:basedOn w:val="TitleChar"/>
    <w:link w:val="Captions"/>
    <w:rsid w:val="005C117C"/>
    <w:rPr>
      <w:rFonts w:ascii="Calibri" w:hAnsi="Calibri" w:cs="Calibri"/>
      <w:b/>
      <w:color w:val="000000"/>
      <w:spacing w:val="5"/>
      <w:kern w:val="28"/>
      <w:sz w:val="20"/>
      <w:szCs w:val="20"/>
    </w:rPr>
  </w:style>
  <w:style w:type="paragraph" w:customStyle="1" w:styleId="Form">
    <w:name w:val="Form"/>
    <w:basedOn w:val="Normal"/>
    <w:next w:val="Normal"/>
    <w:link w:val="FormChar"/>
    <w:qFormat/>
    <w:rsid w:val="005C117C"/>
    <w:pPr>
      <w:spacing w:after="120"/>
      <w:jc w:val="both"/>
    </w:pPr>
    <w:rPr>
      <w:rFonts w:ascii="Calibri" w:eastAsia="Times New Roman" w:hAnsi="Calibri" w:cs="Arial"/>
      <w:sz w:val="24"/>
      <w:szCs w:val="24"/>
    </w:rPr>
  </w:style>
  <w:style w:type="character" w:customStyle="1" w:styleId="FormChar">
    <w:name w:val="Form Char"/>
    <w:basedOn w:val="Heading2Char"/>
    <w:link w:val="Form"/>
    <w:rsid w:val="005C117C"/>
    <w:rPr>
      <w:rFonts w:ascii="Calibri" w:eastAsia="Times New Roman" w:hAnsi="Calibri" w:cs="Arial"/>
      <w:bCs w:val="0"/>
      <w:iCs w:val="0"/>
      <w:sz w:val="24"/>
      <w:szCs w:val="24"/>
    </w:rPr>
  </w:style>
  <w:style w:type="paragraph" w:customStyle="1" w:styleId="TableandFigureCaption">
    <w:name w:val="Table and Figure Caption"/>
    <w:basedOn w:val="Normal"/>
    <w:link w:val="TableandFigureCaptionChar"/>
    <w:autoRedefine/>
    <w:qFormat/>
    <w:rsid w:val="005C117C"/>
    <w:pPr>
      <w:keepLines/>
      <w:spacing w:after="120"/>
      <w:jc w:val="center"/>
    </w:pPr>
    <w:rPr>
      <w:rFonts w:ascii="Calibri" w:hAnsi="Calibri"/>
      <w:b/>
      <w:noProof/>
      <w:sz w:val="18"/>
      <w:szCs w:val="18"/>
    </w:rPr>
  </w:style>
  <w:style w:type="character" w:customStyle="1" w:styleId="TableandFigureCaptionChar">
    <w:name w:val="Table and Figure Caption Char"/>
    <w:basedOn w:val="DefaultParagraphFont"/>
    <w:link w:val="TableandFigureCaption"/>
    <w:rsid w:val="005C117C"/>
    <w:rPr>
      <w:rFonts w:ascii="Calibri" w:hAnsi="Calibri"/>
      <w:b/>
      <w:noProof/>
      <w:sz w:val="18"/>
      <w:szCs w:val="18"/>
    </w:rPr>
  </w:style>
  <w:style w:type="character" w:customStyle="1" w:styleId="StyleFootnoteReferenceBodyCalibriBackground1">
    <w:name w:val="Style Footnote Reference + +Body (Calibri) Background 1"/>
    <w:basedOn w:val="FootnoteReference"/>
    <w:rsid w:val="005C117C"/>
    <w:rPr>
      <w:rFonts w:ascii="Calibri" w:hAnsi="Calibri" w:cs="Times New Roman"/>
      <w:color w:val="FFFFFF"/>
      <w:sz w:val="18"/>
      <w:vertAlign w:val="superscript"/>
    </w:rPr>
  </w:style>
  <w:style w:type="paragraph" w:customStyle="1" w:styleId="VersionText">
    <w:name w:val="Version Text"/>
    <w:basedOn w:val="Normal"/>
    <w:link w:val="VersionTextChar"/>
    <w:qFormat/>
    <w:rsid w:val="005C117C"/>
    <w:pPr>
      <w:spacing w:after="120"/>
      <w:jc w:val="both"/>
    </w:pPr>
    <w:rPr>
      <w:rFonts w:ascii="Calibri" w:hAnsi="Calibri" w:cs="Calibri"/>
      <w:sz w:val="20"/>
      <w:szCs w:val="20"/>
    </w:rPr>
  </w:style>
  <w:style w:type="character" w:customStyle="1" w:styleId="VersionTextChar">
    <w:name w:val="Version Text Char"/>
    <w:basedOn w:val="DefaultParagraphFont"/>
    <w:link w:val="VersionText"/>
    <w:rsid w:val="005C117C"/>
    <w:rPr>
      <w:rFonts w:ascii="Calibri" w:hAnsi="Calibri" w:cs="Calibri"/>
      <w:sz w:val="20"/>
      <w:szCs w:val="20"/>
    </w:rPr>
  </w:style>
  <w:style w:type="paragraph" w:customStyle="1" w:styleId="VersionandDate">
    <w:name w:val="Version and Date"/>
    <w:basedOn w:val="Normal"/>
    <w:link w:val="VersionandDateChar"/>
    <w:qFormat/>
    <w:rsid w:val="005C117C"/>
    <w:pPr>
      <w:spacing w:after="120"/>
    </w:pPr>
    <w:rPr>
      <w:rFonts w:ascii="Times New Roman" w:hAnsi="Times New Roman"/>
      <w:sz w:val="20"/>
      <w:szCs w:val="20"/>
    </w:rPr>
  </w:style>
  <w:style w:type="character" w:customStyle="1" w:styleId="VersionandDateChar">
    <w:name w:val="Version and Date Char"/>
    <w:basedOn w:val="DefaultParagraphFont"/>
    <w:link w:val="VersionandDate"/>
    <w:rsid w:val="005C117C"/>
    <w:rPr>
      <w:rFonts w:ascii="Times New Roman" w:hAnsi="Times New Roman"/>
      <w:sz w:val="20"/>
      <w:szCs w:val="20"/>
    </w:rPr>
  </w:style>
  <w:style w:type="character" w:customStyle="1" w:styleId="FootnoteTextChar2">
    <w:name w:val="Footnote Text Char2"/>
    <w:uiPriority w:val="99"/>
    <w:locked/>
    <w:rsid w:val="005C117C"/>
    <w:rPr>
      <w:sz w:val="18"/>
      <w:lang w:val="en-US" w:eastAsia="en-US" w:bidi="ar-SA"/>
    </w:rPr>
  </w:style>
  <w:style w:type="paragraph" w:customStyle="1" w:styleId="HeaderIL">
    <w:name w:val="Header IL"/>
    <w:basedOn w:val="Header"/>
    <w:link w:val="HeaderILChar"/>
    <w:qFormat/>
    <w:rsid w:val="005C117C"/>
    <w:pPr>
      <w:pBdr>
        <w:bottom w:val="single" w:sz="4" w:space="0" w:color="auto"/>
      </w:pBdr>
      <w:tabs>
        <w:tab w:val="clear" w:pos="4680"/>
        <w:tab w:val="clear" w:pos="9360"/>
        <w:tab w:val="center" w:pos="4320"/>
        <w:tab w:val="right" w:pos="8640"/>
      </w:tabs>
      <w:spacing w:after="120"/>
    </w:pPr>
    <w:rPr>
      <w:rFonts w:ascii="Calibri" w:hAnsi="Calibri"/>
      <w:sz w:val="20"/>
      <w:szCs w:val="20"/>
    </w:rPr>
  </w:style>
  <w:style w:type="character" w:customStyle="1" w:styleId="HeaderILChar">
    <w:name w:val="Header IL Char"/>
    <w:basedOn w:val="HeaderChar"/>
    <w:link w:val="HeaderIL"/>
    <w:rsid w:val="005C117C"/>
    <w:rPr>
      <w:rFonts w:ascii="Calibri" w:hAnsi="Calibri"/>
      <w:sz w:val="20"/>
      <w:szCs w:val="20"/>
    </w:rPr>
  </w:style>
  <w:style w:type="character" w:styleId="EndnoteReference">
    <w:name w:val="endnote reference"/>
    <w:uiPriority w:val="99"/>
    <w:semiHidden/>
    <w:rsid w:val="005C117C"/>
    <w:rPr>
      <w:vertAlign w:val="superscript"/>
    </w:rPr>
  </w:style>
  <w:style w:type="character" w:styleId="Emphasis">
    <w:name w:val="Emphasis"/>
    <w:basedOn w:val="DefaultParagraphFont"/>
    <w:uiPriority w:val="20"/>
    <w:qFormat/>
    <w:rsid w:val="005C117C"/>
    <w:rPr>
      <w:i/>
      <w:iCs/>
    </w:rPr>
  </w:style>
  <w:style w:type="paragraph" w:customStyle="1" w:styleId="Reporttitle">
    <w:name w:val="Report title"/>
    <w:basedOn w:val="Normal"/>
    <w:rsid w:val="005C117C"/>
    <w:pPr>
      <w:spacing w:before="720" w:after="120" w:line="480" w:lineRule="exact"/>
    </w:pPr>
    <w:rPr>
      <w:rFonts w:ascii="Arial Black" w:hAnsi="Arial Black" w:cs="Arial"/>
      <w:sz w:val="40"/>
      <w:szCs w:val="24"/>
    </w:rPr>
  </w:style>
  <w:style w:type="character" w:customStyle="1" w:styleId="FootnoteTextChar1">
    <w:name w:val="Footnote Text Char1"/>
    <w:aliases w:val="Footnote Text1 Char Char1,Footnote Text Char Ch Char2,Footnote Text Char Ch Char Char Char Char1,Footnote Text Char Ch Char Char Char2,Footnote Text1 Char Char Char Char1,Footnote Text Char Ch Char Char2,ft Char Char1,ft Char2"/>
    <w:basedOn w:val="DefaultParagraphFont"/>
    <w:uiPriority w:val="99"/>
    <w:semiHidden/>
    <w:rsid w:val="005C117C"/>
    <w:rPr>
      <w:rFonts w:eastAsia="Times New Roman" w:cs="Times New Roman"/>
      <w:sz w:val="20"/>
      <w:szCs w:val="20"/>
    </w:rPr>
  </w:style>
  <w:style w:type="paragraph" w:customStyle="1" w:styleId="Footnote">
    <w:name w:val="Footnote"/>
    <w:basedOn w:val="FootnoteText"/>
    <w:link w:val="FootnoteChar"/>
    <w:autoRedefine/>
    <w:qFormat/>
    <w:rsid w:val="005C117C"/>
    <w:rPr>
      <w:rFonts w:ascii="Calibri" w:eastAsia="Yu Gothic Light" w:hAnsi="Calibri" w:cs="Calibri"/>
      <w:sz w:val="18"/>
      <w:szCs w:val="24"/>
    </w:rPr>
  </w:style>
  <w:style w:type="paragraph" w:customStyle="1" w:styleId="TechnicalTable">
    <w:name w:val="Technical Table"/>
    <w:basedOn w:val="Normal"/>
    <w:link w:val="TechnicalTableChar"/>
    <w:autoRedefine/>
    <w:qFormat/>
    <w:rsid w:val="005C117C"/>
    <w:pPr>
      <w:spacing w:after="120"/>
    </w:pPr>
    <w:rPr>
      <w:rFonts w:ascii="Times New Roman" w:eastAsia="Times New Roman" w:hAnsi="Times New Roman" w:cs="Calibri"/>
      <w:sz w:val="20"/>
      <w:szCs w:val="20"/>
    </w:rPr>
  </w:style>
  <w:style w:type="table" w:customStyle="1" w:styleId="TableGrid11">
    <w:name w:val="Table Grid11"/>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osing1">
    <w:name w:val="Closing1"/>
    <w:basedOn w:val="Normal"/>
    <w:next w:val="Normal"/>
    <w:uiPriority w:val="99"/>
    <w:rsid w:val="005C117C"/>
    <w:pPr>
      <w:spacing w:after="120" w:line="220" w:lineRule="atLeast"/>
    </w:pPr>
    <w:rPr>
      <w:rFonts w:ascii="Garamond" w:hAnsi="Garamond"/>
      <w:szCs w:val="20"/>
    </w:rPr>
  </w:style>
  <w:style w:type="character" w:customStyle="1" w:styleId="ClosingChar">
    <w:name w:val="Closing Char"/>
    <w:basedOn w:val="DefaultParagraphFont"/>
    <w:link w:val="Closing"/>
    <w:uiPriority w:val="99"/>
    <w:rsid w:val="005C117C"/>
    <w:rPr>
      <w:rFonts w:ascii="Garamond" w:hAnsi="Garamond"/>
      <w:szCs w:val="20"/>
    </w:rPr>
  </w:style>
  <w:style w:type="paragraph" w:customStyle="1" w:styleId="Enclosure">
    <w:name w:val="Enclosure"/>
    <w:basedOn w:val="BodyText"/>
    <w:next w:val="Normal"/>
    <w:uiPriority w:val="99"/>
    <w:rsid w:val="005C117C"/>
    <w:pPr>
      <w:keepLines/>
      <w:spacing w:before="220" w:after="240" w:line="240" w:lineRule="atLeast"/>
      <w:jc w:val="both"/>
    </w:pPr>
    <w:rPr>
      <w:rFonts w:ascii="Garamond" w:hAnsi="Garamond"/>
      <w:szCs w:val="20"/>
    </w:rPr>
  </w:style>
  <w:style w:type="paragraph" w:customStyle="1" w:styleId="HeaderBase">
    <w:name w:val="Header Base"/>
    <w:basedOn w:val="BodyText"/>
    <w:uiPriority w:val="99"/>
    <w:rsid w:val="005C117C"/>
    <w:pPr>
      <w:keepLines/>
      <w:tabs>
        <w:tab w:val="center" w:pos="4320"/>
        <w:tab w:val="right" w:pos="8640"/>
      </w:tabs>
      <w:spacing w:line="240" w:lineRule="atLeast"/>
      <w:ind w:firstLine="360"/>
      <w:jc w:val="both"/>
    </w:pPr>
    <w:rPr>
      <w:rFonts w:ascii="Garamond" w:hAnsi="Garamond"/>
      <w:szCs w:val="20"/>
    </w:rPr>
  </w:style>
  <w:style w:type="paragraph" w:customStyle="1" w:styleId="HeadingBase">
    <w:name w:val="Heading Base"/>
    <w:basedOn w:val="BodyText"/>
    <w:next w:val="BodyText"/>
    <w:uiPriority w:val="99"/>
    <w:rsid w:val="005C117C"/>
    <w:pPr>
      <w:keepNext/>
      <w:keepLines/>
      <w:spacing w:line="240" w:lineRule="atLeast"/>
    </w:pPr>
    <w:rPr>
      <w:rFonts w:ascii="Garamond" w:hAnsi="Garamond"/>
      <w:kern w:val="20"/>
      <w:szCs w:val="20"/>
    </w:rPr>
  </w:style>
  <w:style w:type="paragraph" w:customStyle="1" w:styleId="MessageHeaderFirst">
    <w:name w:val="Message Header First"/>
    <w:basedOn w:val="Normal"/>
    <w:uiPriority w:val="99"/>
    <w:rsid w:val="005C117C"/>
    <w:pPr>
      <w:keepLines/>
      <w:spacing w:before="360" w:after="120" w:line="240" w:lineRule="atLeast"/>
      <w:ind w:left="1080" w:hanging="1080"/>
    </w:pPr>
    <w:rPr>
      <w:rFonts w:ascii="Garamond" w:hAnsi="Garamond"/>
      <w:caps/>
      <w:sz w:val="18"/>
      <w:szCs w:val="20"/>
    </w:rPr>
  </w:style>
  <w:style w:type="table" w:customStyle="1" w:styleId="TableGrid19">
    <w:name w:val="Table Grid19"/>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umeBullet">
    <w:name w:val="Resume Bullet"/>
    <w:basedOn w:val="BodyText"/>
    <w:rsid w:val="005C117C"/>
    <w:pPr>
      <w:keepLines/>
      <w:numPr>
        <w:numId w:val="18"/>
      </w:numPr>
      <w:tabs>
        <w:tab w:val="num" w:pos="360"/>
        <w:tab w:val="num" w:pos="432"/>
      </w:tabs>
      <w:spacing w:after="240"/>
    </w:pPr>
    <w:rPr>
      <w:rFonts w:ascii="Palatino Linotype" w:hAnsi="Palatino Linotype"/>
      <w:bCs/>
      <w:sz w:val="20"/>
      <w:szCs w:val="20"/>
    </w:rPr>
  </w:style>
  <w:style w:type="table" w:customStyle="1" w:styleId="TableGrid20">
    <w:name w:val="Table Grid20"/>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Preformatted1">
    <w:name w:val="HTML Preformatted1"/>
    <w:basedOn w:val="Normal"/>
    <w:next w:val="HTMLPreformatted"/>
    <w:link w:val="HTMLPreformattedChar"/>
    <w:uiPriority w:val="99"/>
    <w:unhideWhenUsed/>
    <w:rsid w:val="005C1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1"/>
    <w:uiPriority w:val="99"/>
    <w:rsid w:val="005C117C"/>
    <w:rPr>
      <w:rFonts w:ascii="Courier New" w:hAnsi="Courier New" w:cs="Courier New"/>
      <w:sz w:val="20"/>
      <w:szCs w:val="20"/>
    </w:rPr>
  </w:style>
  <w:style w:type="table" w:customStyle="1" w:styleId="LightList1">
    <w:name w:val="Light List1"/>
    <w:basedOn w:val="TableNormal"/>
    <w:next w:val="LightList"/>
    <w:uiPriority w:val="61"/>
    <w:rsid w:val="005C117C"/>
    <w:rPr>
      <w:rFonts w:ascii="Calibri" w:hAnsi="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27">
    <w:name w:val="Table Grid27"/>
    <w:basedOn w:val="TableNormal"/>
    <w:next w:val="TableGrid"/>
    <w:uiPriority w:val="39"/>
    <w:rsid w:val="005C117C"/>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5C117C"/>
    <w:rPr>
      <w:rFonts w:ascii="Calibri" w:hAnsi="Calibri"/>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5C117C"/>
    <w:rPr>
      <w:rFonts w:ascii="Calibri" w:hAnsi="Calibri"/>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SubtleEmphasis1">
    <w:name w:val="Subtle Emphasis1"/>
    <w:basedOn w:val="DefaultParagraphFont"/>
    <w:uiPriority w:val="19"/>
    <w:qFormat/>
    <w:rsid w:val="005C117C"/>
    <w:rPr>
      <w:i/>
      <w:iCs/>
      <w:color w:val="404040"/>
    </w:rPr>
  </w:style>
  <w:style w:type="paragraph" w:customStyle="1" w:styleId="Bullet1">
    <w:name w:val="Bullet 1"/>
    <w:basedOn w:val="Normal"/>
    <w:next w:val="BodyText"/>
    <w:link w:val="Bullet1Char"/>
    <w:qFormat/>
    <w:rsid w:val="005C117C"/>
    <w:pPr>
      <w:numPr>
        <w:numId w:val="19"/>
      </w:numPr>
      <w:tabs>
        <w:tab w:val="num" w:pos="360"/>
      </w:tabs>
      <w:spacing w:before="200" w:after="120"/>
      <w:jc w:val="both"/>
    </w:pPr>
    <w:rPr>
      <w:rFonts w:ascii="Franklin Gothic Book" w:hAnsi="Franklin Gothic Book"/>
      <w:szCs w:val="24"/>
    </w:rPr>
  </w:style>
  <w:style w:type="character" w:customStyle="1" w:styleId="Bullet1Char">
    <w:name w:val="Bullet 1 Char"/>
    <w:basedOn w:val="DefaultParagraphFont"/>
    <w:link w:val="Bullet1"/>
    <w:locked/>
    <w:rsid w:val="005C117C"/>
    <w:rPr>
      <w:rFonts w:ascii="Franklin Gothic Book" w:hAnsi="Franklin Gothic Book"/>
      <w:szCs w:val="24"/>
    </w:rPr>
  </w:style>
  <w:style w:type="paragraph" w:styleId="List2">
    <w:name w:val="List 2"/>
    <w:semiHidden/>
    <w:unhideWhenUsed/>
    <w:rsid w:val="005C117C"/>
    <w:pPr>
      <w:numPr>
        <w:numId w:val="20"/>
      </w:numPr>
      <w:tabs>
        <w:tab w:val="num" w:pos="360"/>
        <w:tab w:val="num" w:pos="2790"/>
      </w:tabs>
      <w:spacing w:before="40" w:after="80"/>
      <w:ind w:left="0" w:firstLine="0"/>
      <w:contextualSpacing/>
    </w:pPr>
    <w:rPr>
      <w:rFonts w:ascii="Times New Roman" w:eastAsia="Times New Roman" w:hAnsi="Times New Roman" w:cs="Times New Roman"/>
      <w:sz w:val="24"/>
      <w:szCs w:val="24"/>
    </w:rPr>
  </w:style>
  <w:style w:type="character" w:customStyle="1" w:styleId="ListParagraphChar">
    <w:name w:val="List Paragraph Char"/>
    <w:aliases w:val="TT - List Paragraph Char"/>
    <w:basedOn w:val="DefaultParagraphFont"/>
    <w:link w:val="ListParagraph"/>
    <w:uiPriority w:val="34"/>
    <w:locked/>
    <w:rsid w:val="005C117C"/>
  </w:style>
  <w:style w:type="paragraph" w:customStyle="1" w:styleId="Bulletlevel1">
    <w:name w:val="Bullet level 1"/>
    <w:basedOn w:val="ListParagraph"/>
    <w:qFormat/>
    <w:rsid w:val="005C117C"/>
    <w:pPr>
      <w:numPr>
        <w:numId w:val="21"/>
      </w:numPr>
      <w:tabs>
        <w:tab w:val="num" w:pos="360"/>
      </w:tabs>
      <w:spacing w:after="60" w:line="276" w:lineRule="auto"/>
      <w:ind w:firstLine="0"/>
      <w:contextualSpacing w:val="0"/>
    </w:pPr>
    <w:rPr>
      <w:rFonts w:ascii="Calibri" w:eastAsia="Franklin Gothic Book" w:hAnsi="Calibri"/>
      <w:szCs w:val="20"/>
    </w:rPr>
  </w:style>
  <w:style w:type="paragraph" w:customStyle="1" w:styleId="Bulletlevel1-last">
    <w:name w:val="Bullet level 1-last"/>
    <w:basedOn w:val="Bulletlevel1"/>
    <w:qFormat/>
    <w:rsid w:val="005C117C"/>
    <w:pPr>
      <w:spacing w:after="200"/>
    </w:pPr>
  </w:style>
  <w:style w:type="table" w:customStyle="1" w:styleId="GridTable1Light3">
    <w:name w:val="Grid Table 1 Light3"/>
    <w:basedOn w:val="TableNormal"/>
    <w:uiPriority w:val="46"/>
    <w:rsid w:val="005C117C"/>
    <w:rPr>
      <w:rFonts w:ascii="Calibri" w:hAnsi="Calibri"/>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qj">
    <w:name w:val="aqj"/>
    <w:basedOn w:val="DefaultParagraphFont"/>
    <w:rsid w:val="005C117C"/>
  </w:style>
  <w:style w:type="character" w:customStyle="1" w:styleId="SubtleEmphasis2">
    <w:name w:val="Subtle Emphasis2"/>
    <w:basedOn w:val="DefaultParagraphFont"/>
    <w:uiPriority w:val="19"/>
    <w:qFormat/>
    <w:rsid w:val="005C117C"/>
    <w:rPr>
      <w:i/>
      <w:iCs/>
      <w:color w:val="808080"/>
    </w:rPr>
  </w:style>
  <w:style w:type="table" w:customStyle="1" w:styleId="TableGrid171">
    <w:name w:val="Table Grid171"/>
    <w:basedOn w:val="TableNormal"/>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y1">
    <w:name w:val="Bibliography1"/>
    <w:basedOn w:val="Normal"/>
    <w:next w:val="Normal"/>
    <w:uiPriority w:val="37"/>
    <w:unhideWhenUsed/>
    <w:rsid w:val="005C117C"/>
    <w:pPr>
      <w:spacing w:after="240"/>
      <w:jc w:val="both"/>
    </w:pPr>
    <w:rPr>
      <w:rFonts w:ascii="Calibri" w:hAnsi="Calibri"/>
      <w:sz w:val="20"/>
      <w:szCs w:val="20"/>
    </w:rPr>
  </w:style>
  <w:style w:type="character" w:customStyle="1" w:styleId="Heading3Char1">
    <w:name w:val="Heading 3 Char1"/>
    <w:aliases w:val="Heading 3 Char2 Char Char1,Heading 3 Char Char1 Char Char1,Heading 3 Char2 Char Char Char1 Char1,Heading 3 Char Char1 Char Char Char Char1,Heading 3 Char2 Char Char Char1 Char Char Char1,Heading 3 Char2 Char2 Char"/>
    <w:uiPriority w:val="99"/>
    <w:locked/>
    <w:rsid w:val="005C117C"/>
    <w:rPr>
      <w:rFonts w:ascii="Calibri" w:eastAsia="Yu Mincho" w:hAnsi="Calibri" w:cs="Times New Roman"/>
      <w:bCs/>
      <w:sz w:val="24"/>
      <w:szCs w:val="24"/>
    </w:rPr>
  </w:style>
  <w:style w:type="paragraph" w:customStyle="1" w:styleId="Style0">
    <w:name w:val="Style0"/>
    <w:uiPriority w:val="99"/>
    <w:rsid w:val="005C117C"/>
    <w:rPr>
      <w:rFonts w:ascii="Arial" w:eastAsia="Times New Roman" w:hAnsi="Arial" w:cs="Times New Roman"/>
      <w:sz w:val="24"/>
      <w:szCs w:val="20"/>
    </w:rPr>
  </w:style>
  <w:style w:type="paragraph" w:customStyle="1" w:styleId="PresentedBy">
    <w:name w:val="Presented By"/>
    <w:basedOn w:val="Normal"/>
    <w:link w:val="PresentedByChar"/>
    <w:uiPriority w:val="99"/>
    <w:rsid w:val="005C117C"/>
    <w:pPr>
      <w:widowControl w:val="0"/>
      <w:tabs>
        <w:tab w:val="left" w:pos="360"/>
        <w:tab w:val="left" w:pos="720"/>
        <w:tab w:val="left" w:pos="1080"/>
        <w:tab w:val="left" w:pos="1440"/>
      </w:tabs>
      <w:spacing w:after="120"/>
      <w:jc w:val="both"/>
    </w:pPr>
    <w:rPr>
      <w:rFonts w:ascii="Palatino Linotype" w:eastAsia="Times New Roman" w:hAnsi="Palatino Linotype" w:cs="Times New Roman"/>
      <w:color w:val="6F6754"/>
      <w:sz w:val="20"/>
    </w:rPr>
  </w:style>
  <w:style w:type="character" w:customStyle="1" w:styleId="PresentedByChar">
    <w:name w:val="Presented By Char"/>
    <w:link w:val="PresentedBy"/>
    <w:uiPriority w:val="99"/>
    <w:locked/>
    <w:rsid w:val="005C117C"/>
    <w:rPr>
      <w:rFonts w:ascii="Palatino Linotype" w:eastAsia="Times New Roman" w:hAnsi="Palatino Linotype" w:cs="Times New Roman"/>
      <w:color w:val="6F6754"/>
      <w:sz w:val="20"/>
    </w:rPr>
  </w:style>
  <w:style w:type="paragraph" w:customStyle="1" w:styleId="Tableleftbold">
    <w:name w:val="Table left bold"/>
    <w:basedOn w:val="Normal"/>
    <w:uiPriority w:val="99"/>
    <w:rsid w:val="005C117C"/>
    <w:pPr>
      <w:keepLines/>
      <w:widowControl w:val="0"/>
      <w:spacing w:before="80" w:after="40"/>
      <w:jc w:val="both"/>
    </w:pPr>
    <w:rPr>
      <w:rFonts w:eastAsia="Times New Roman" w:cs="Times New Roman"/>
      <w:b/>
      <w:noProof/>
      <w:sz w:val="18"/>
    </w:rPr>
  </w:style>
  <w:style w:type="paragraph" w:customStyle="1" w:styleId="Tablecentered">
    <w:name w:val="Table centered"/>
    <w:basedOn w:val="Normal"/>
    <w:link w:val="TablecenteredChar"/>
    <w:autoRedefine/>
    <w:uiPriority w:val="99"/>
    <w:qFormat/>
    <w:rsid w:val="005C117C"/>
    <w:pPr>
      <w:keepLines/>
      <w:widowControl w:val="0"/>
      <w:tabs>
        <w:tab w:val="left" w:pos="6750"/>
      </w:tabs>
      <w:spacing w:before="80" w:after="80"/>
      <w:jc w:val="center"/>
    </w:pPr>
    <w:rPr>
      <w:rFonts w:eastAsia="Times New Roman" w:cs="Times New Roman"/>
      <w:noProof/>
      <w:sz w:val="18"/>
      <w:szCs w:val="18"/>
    </w:rPr>
  </w:style>
  <w:style w:type="character" w:customStyle="1" w:styleId="TablecenteredChar">
    <w:name w:val="Table centered Char"/>
    <w:basedOn w:val="DefaultParagraphFont"/>
    <w:link w:val="Tablecentered"/>
    <w:uiPriority w:val="99"/>
    <w:rsid w:val="005C117C"/>
    <w:rPr>
      <w:rFonts w:eastAsia="Times New Roman" w:cs="Times New Roman"/>
      <w:noProof/>
      <w:sz w:val="18"/>
      <w:szCs w:val="18"/>
    </w:rPr>
  </w:style>
  <w:style w:type="paragraph" w:customStyle="1" w:styleId="Tablecenteredbold">
    <w:name w:val="Table centered bold"/>
    <w:basedOn w:val="Tablecentered"/>
    <w:autoRedefine/>
    <w:uiPriority w:val="99"/>
    <w:rsid w:val="005C117C"/>
    <w:rPr>
      <w:b/>
    </w:rPr>
  </w:style>
  <w:style w:type="paragraph" w:customStyle="1" w:styleId="Heading31">
    <w:name w:val="Heading 3.1"/>
    <w:basedOn w:val="Heading3"/>
    <w:link w:val="Heading31Char"/>
    <w:uiPriority w:val="99"/>
    <w:rsid w:val="005C117C"/>
    <w:pPr>
      <w:spacing w:before="240" w:line="240" w:lineRule="auto"/>
      <w:ind w:right="0"/>
    </w:pPr>
    <w:rPr>
      <w:rFonts w:cs="Calibri"/>
      <w:sz w:val="24"/>
      <w:u w:val="none"/>
    </w:rPr>
  </w:style>
  <w:style w:type="character" w:customStyle="1" w:styleId="Heading31Char">
    <w:name w:val="Heading 3.1 Char"/>
    <w:link w:val="Heading31"/>
    <w:uiPriority w:val="99"/>
    <w:locked/>
    <w:rsid w:val="005C117C"/>
    <w:rPr>
      <w:rFonts w:ascii="Calibri" w:eastAsiaTheme="minorEastAsia" w:hAnsi="Calibri" w:cs="Calibri"/>
      <w:bCs/>
      <w:sz w:val="24"/>
      <w:szCs w:val="24"/>
    </w:rPr>
  </w:style>
  <w:style w:type="paragraph" w:customStyle="1" w:styleId="Usernotes">
    <w:name w:val="User notes"/>
    <w:basedOn w:val="Normal"/>
    <w:next w:val="AnalystText"/>
    <w:link w:val="UsernotesChar"/>
    <w:uiPriority w:val="99"/>
    <w:rsid w:val="005C117C"/>
    <w:pPr>
      <w:widowControl w:val="0"/>
      <w:spacing w:after="200" w:line="276" w:lineRule="auto"/>
      <w:jc w:val="both"/>
    </w:pPr>
    <w:rPr>
      <w:rFonts w:ascii="Comic Sans MS" w:eastAsia="Times New Roman" w:hAnsi="Comic Sans MS" w:cs="Times New Roman"/>
      <w:sz w:val="18"/>
      <w:szCs w:val="18"/>
    </w:rPr>
  </w:style>
  <w:style w:type="paragraph" w:customStyle="1" w:styleId="AnalystText">
    <w:name w:val="Analyst Text"/>
    <w:basedOn w:val="Normal"/>
    <w:link w:val="AnalystTextChar"/>
    <w:uiPriority w:val="99"/>
    <w:rsid w:val="005C117C"/>
    <w:pPr>
      <w:widowControl w:val="0"/>
      <w:spacing w:after="200" w:line="276" w:lineRule="auto"/>
      <w:jc w:val="both"/>
    </w:pPr>
    <w:rPr>
      <w:rFonts w:eastAsia="Times New Roman" w:cs="Times New Roman"/>
      <w:sz w:val="20"/>
    </w:rPr>
  </w:style>
  <w:style w:type="character" w:customStyle="1" w:styleId="AnalystTextChar">
    <w:name w:val="Analyst Text Char"/>
    <w:link w:val="AnalystText"/>
    <w:uiPriority w:val="99"/>
    <w:locked/>
    <w:rsid w:val="005C117C"/>
    <w:rPr>
      <w:rFonts w:eastAsia="Times New Roman" w:cs="Times New Roman"/>
      <w:sz w:val="20"/>
    </w:rPr>
  </w:style>
  <w:style w:type="character" w:customStyle="1" w:styleId="UsernotesChar">
    <w:name w:val="User notes Char"/>
    <w:link w:val="Usernotes"/>
    <w:uiPriority w:val="99"/>
    <w:locked/>
    <w:rsid w:val="005C117C"/>
    <w:rPr>
      <w:rFonts w:ascii="Comic Sans MS" w:eastAsia="Times New Roman" w:hAnsi="Comic Sans MS" w:cs="Times New Roman"/>
      <w:sz w:val="18"/>
      <w:szCs w:val="18"/>
    </w:rPr>
  </w:style>
  <w:style w:type="character" w:customStyle="1" w:styleId="Heading3CharChar">
    <w:name w:val="Heading 3 Char Char"/>
    <w:aliases w:val="Heading 3 Char2 Char Char2,Heading 3 Char Char1 Char Char2,Heading 3 Char2 Char Char Char1 Char2,Heading 3 Char Char1 Char Char Char Char2,Heading 3 Char2 Char Char Char1 Char Char Char2"/>
    <w:uiPriority w:val="99"/>
    <w:rsid w:val="005C117C"/>
    <w:rPr>
      <w:rFonts w:cs="Times New Roman"/>
      <w:b/>
      <w:sz w:val="32"/>
      <w:lang w:val="en-US" w:eastAsia="en-US" w:bidi="ar-SA"/>
    </w:rPr>
  </w:style>
  <w:style w:type="paragraph" w:customStyle="1" w:styleId="BodyTextIndent21">
    <w:name w:val="Body Text Indent 21"/>
    <w:basedOn w:val="Normal"/>
    <w:next w:val="BodyTextIndent2"/>
    <w:link w:val="BodyTextIndent2Char"/>
    <w:uiPriority w:val="99"/>
    <w:rsid w:val="005C117C"/>
    <w:pPr>
      <w:widowControl w:val="0"/>
      <w:spacing w:after="120"/>
      <w:ind w:left="720"/>
      <w:jc w:val="both"/>
    </w:pPr>
    <w:rPr>
      <w:rFonts w:eastAsia="Times New Roman" w:cs="Times New Roman"/>
      <w:sz w:val="20"/>
    </w:rPr>
  </w:style>
  <w:style w:type="character" w:customStyle="1" w:styleId="BodyTextIndent2Char">
    <w:name w:val="Body Text Indent 2 Char"/>
    <w:basedOn w:val="DefaultParagraphFont"/>
    <w:link w:val="BodyTextIndent21"/>
    <w:uiPriority w:val="99"/>
    <w:rsid w:val="005C117C"/>
    <w:rPr>
      <w:rFonts w:eastAsia="Times New Roman" w:cs="Times New Roman"/>
      <w:sz w:val="20"/>
    </w:rPr>
  </w:style>
  <w:style w:type="character" w:customStyle="1" w:styleId="CharChar8">
    <w:name w:val="Char Char8"/>
    <w:uiPriority w:val="99"/>
    <w:rsid w:val="005C117C"/>
    <w:rPr>
      <w:rFonts w:cs="Times New Roman"/>
      <w:sz w:val="24"/>
      <w:lang w:val="en-US" w:eastAsia="en-US" w:bidi="ar-SA"/>
    </w:rPr>
  </w:style>
  <w:style w:type="character" w:customStyle="1" w:styleId="CharChar11">
    <w:name w:val="Char Char11"/>
    <w:uiPriority w:val="99"/>
    <w:locked/>
    <w:rsid w:val="005C117C"/>
    <w:rPr>
      <w:rFonts w:ascii="Cambria" w:hAnsi="Cambria" w:cs="Times New Roman"/>
      <w:b/>
      <w:bCs/>
      <w:sz w:val="28"/>
      <w:szCs w:val="28"/>
      <w:lang w:val="en-US" w:eastAsia="en-US" w:bidi="ar-SA"/>
    </w:rPr>
  </w:style>
  <w:style w:type="character" w:customStyle="1" w:styleId="CharChar10">
    <w:name w:val="Char Char10"/>
    <w:uiPriority w:val="99"/>
    <w:locked/>
    <w:rsid w:val="005C117C"/>
    <w:rPr>
      <w:rFonts w:ascii="Cambria" w:hAnsi="Cambria" w:cs="Times New Roman"/>
      <w:b/>
      <w:bCs/>
      <w:sz w:val="26"/>
      <w:szCs w:val="26"/>
      <w:lang w:val="en-US" w:eastAsia="en-US" w:bidi="ar-SA"/>
    </w:rPr>
  </w:style>
  <w:style w:type="character" w:customStyle="1" w:styleId="CharChar9">
    <w:name w:val="Char Char9"/>
    <w:uiPriority w:val="99"/>
    <w:locked/>
    <w:rsid w:val="005C117C"/>
    <w:rPr>
      <w:rFonts w:ascii="Cambria" w:hAnsi="Cambria" w:cs="Times New Roman"/>
      <w:b/>
      <w:bCs/>
      <w:sz w:val="22"/>
      <w:szCs w:val="22"/>
      <w:lang w:val="en-US" w:eastAsia="en-US" w:bidi="ar-SA"/>
    </w:rPr>
  </w:style>
  <w:style w:type="character" w:customStyle="1" w:styleId="CharChar7">
    <w:name w:val="Char Char7"/>
    <w:uiPriority w:val="99"/>
    <w:locked/>
    <w:rsid w:val="005C117C"/>
    <w:rPr>
      <w:rFonts w:ascii="Cambria" w:hAnsi="Cambria" w:cs="Times New Roman"/>
      <w:sz w:val="22"/>
      <w:szCs w:val="22"/>
      <w:lang w:val="en-US" w:eastAsia="en-US" w:bidi="ar-SA"/>
    </w:rPr>
  </w:style>
  <w:style w:type="character" w:customStyle="1" w:styleId="CharChar1">
    <w:name w:val="Char Char1"/>
    <w:uiPriority w:val="99"/>
    <w:locked/>
    <w:rsid w:val="005C117C"/>
    <w:rPr>
      <w:rFonts w:ascii="Cambria" w:hAnsi="Cambria" w:cs="Times New Roman"/>
      <w:color w:val="000000"/>
      <w:spacing w:val="5"/>
      <w:kern w:val="28"/>
      <w:sz w:val="52"/>
      <w:szCs w:val="52"/>
      <w:lang w:val="en-US" w:eastAsia="en-US" w:bidi="ar-SA"/>
    </w:rPr>
  </w:style>
  <w:style w:type="paragraph" w:customStyle="1" w:styleId="OptimalLists">
    <w:name w:val="Optimal Lists"/>
    <w:basedOn w:val="Normal"/>
    <w:uiPriority w:val="99"/>
    <w:rsid w:val="005C117C"/>
    <w:pPr>
      <w:widowControl w:val="0"/>
      <w:tabs>
        <w:tab w:val="num" w:pos="720"/>
      </w:tabs>
      <w:spacing w:after="120"/>
      <w:ind w:left="720" w:hanging="360"/>
      <w:jc w:val="both"/>
    </w:pPr>
    <w:rPr>
      <w:rFonts w:eastAsia="Times New Roman" w:cs="Times New Roman"/>
      <w:sz w:val="20"/>
    </w:rPr>
  </w:style>
  <w:style w:type="character" w:customStyle="1" w:styleId="bodytext0">
    <w:name w:val="bodytext"/>
    <w:uiPriority w:val="99"/>
    <w:rsid w:val="005C117C"/>
    <w:rPr>
      <w:rFonts w:cs="Times New Roman"/>
    </w:rPr>
  </w:style>
  <w:style w:type="character" w:customStyle="1" w:styleId="StyleBold">
    <w:name w:val="Style Bold"/>
    <w:uiPriority w:val="99"/>
    <w:rsid w:val="005C117C"/>
    <w:rPr>
      <w:rFonts w:cs="Times New Roman"/>
      <w:b/>
      <w:bCs/>
      <w:sz w:val="20"/>
    </w:rPr>
  </w:style>
  <w:style w:type="character" w:customStyle="1" w:styleId="apple-style-span">
    <w:name w:val="apple-style-span"/>
    <w:uiPriority w:val="99"/>
    <w:rsid w:val="005C117C"/>
    <w:rPr>
      <w:rFonts w:cs="Times New Roman"/>
    </w:rPr>
  </w:style>
  <w:style w:type="paragraph" w:customStyle="1" w:styleId="BodyTextIndent31">
    <w:name w:val="Body Text Indent 31"/>
    <w:basedOn w:val="Normal"/>
    <w:next w:val="BodyTextIndent3"/>
    <w:link w:val="BodyTextIndent3Char"/>
    <w:uiPriority w:val="99"/>
    <w:rsid w:val="005C117C"/>
    <w:pPr>
      <w:widowControl w:val="0"/>
      <w:spacing w:after="120"/>
      <w:ind w:left="360"/>
      <w:jc w:val="both"/>
    </w:pPr>
    <w:rPr>
      <w:rFonts w:eastAsia="Times New Roman" w:cs="Times New Roman"/>
      <w:sz w:val="16"/>
      <w:szCs w:val="16"/>
    </w:rPr>
  </w:style>
  <w:style w:type="character" w:customStyle="1" w:styleId="BodyTextIndent3Char">
    <w:name w:val="Body Text Indent 3 Char"/>
    <w:basedOn w:val="DefaultParagraphFont"/>
    <w:link w:val="BodyTextIndent31"/>
    <w:uiPriority w:val="99"/>
    <w:rsid w:val="005C117C"/>
    <w:rPr>
      <w:rFonts w:eastAsia="Times New Roman" w:cs="Times New Roman"/>
      <w:sz w:val="16"/>
      <w:szCs w:val="16"/>
    </w:rPr>
  </w:style>
  <w:style w:type="paragraph" w:customStyle="1" w:styleId="xl25">
    <w:name w:val="xl25"/>
    <w:basedOn w:val="Normal"/>
    <w:uiPriority w:val="99"/>
    <w:rsid w:val="005C117C"/>
    <w:pPr>
      <w:widowControl w:val="0"/>
      <w:spacing w:before="100" w:beforeAutospacing="1" w:after="100" w:afterAutospacing="1"/>
      <w:jc w:val="both"/>
    </w:pPr>
    <w:rPr>
      <w:rFonts w:ascii="Arial" w:eastAsia="Arial Unicode MS" w:hAnsi="Arial" w:cs="Arial"/>
      <w:sz w:val="20"/>
    </w:rPr>
  </w:style>
  <w:style w:type="character" w:customStyle="1" w:styleId="CharChar4">
    <w:name w:val="Char Char4"/>
    <w:uiPriority w:val="99"/>
    <w:rsid w:val="005C117C"/>
    <w:rPr>
      <w:rFonts w:cs="Times New Roman"/>
      <w:lang w:val="en-US" w:eastAsia="en-US" w:bidi="ar-SA"/>
    </w:rPr>
  </w:style>
  <w:style w:type="character" w:customStyle="1" w:styleId="CharChar81">
    <w:name w:val="Char Char81"/>
    <w:uiPriority w:val="99"/>
    <w:rsid w:val="005C117C"/>
    <w:rPr>
      <w:rFonts w:cs="Times New Roman"/>
      <w:sz w:val="24"/>
      <w:lang w:val="en-US" w:eastAsia="en-US" w:bidi="ar-SA"/>
    </w:rPr>
  </w:style>
  <w:style w:type="character" w:customStyle="1" w:styleId="CharChar111">
    <w:name w:val="Char Char111"/>
    <w:uiPriority w:val="99"/>
    <w:locked/>
    <w:rsid w:val="005C117C"/>
    <w:rPr>
      <w:rFonts w:ascii="Cambria" w:hAnsi="Cambria" w:cs="Times New Roman"/>
      <w:b/>
      <w:bCs/>
      <w:sz w:val="28"/>
      <w:szCs w:val="28"/>
      <w:lang w:val="en-US" w:eastAsia="en-US" w:bidi="ar-SA"/>
    </w:rPr>
  </w:style>
  <w:style w:type="character" w:customStyle="1" w:styleId="CharChar101">
    <w:name w:val="Char Char101"/>
    <w:uiPriority w:val="99"/>
    <w:locked/>
    <w:rsid w:val="005C117C"/>
    <w:rPr>
      <w:rFonts w:ascii="Cambria" w:hAnsi="Cambria" w:cs="Times New Roman"/>
      <w:b/>
      <w:bCs/>
      <w:sz w:val="26"/>
      <w:szCs w:val="26"/>
      <w:lang w:val="en-US" w:eastAsia="en-US" w:bidi="ar-SA"/>
    </w:rPr>
  </w:style>
  <w:style w:type="character" w:customStyle="1" w:styleId="CharChar91">
    <w:name w:val="Char Char91"/>
    <w:uiPriority w:val="99"/>
    <w:locked/>
    <w:rsid w:val="005C117C"/>
    <w:rPr>
      <w:rFonts w:ascii="Cambria" w:hAnsi="Cambria" w:cs="Times New Roman"/>
      <w:b/>
      <w:bCs/>
      <w:sz w:val="22"/>
      <w:szCs w:val="22"/>
      <w:lang w:val="en-US" w:eastAsia="en-US" w:bidi="ar-SA"/>
    </w:rPr>
  </w:style>
  <w:style w:type="character" w:customStyle="1" w:styleId="CharChar71">
    <w:name w:val="Char Char71"/>
    <w:uiPriority w:val="99"/>
    <w:locked/>
    <w:rsid w:val="005C117C"/>
    <w:rPr>
      <w:rFonts w:ascii="Cambria" w:hAnsi="Cambria" w:cs="Times New Roman"/>
      <w:sz w:val="22"/>
      <w:szCs w:val="22"/>
      <w:lang w:val="en-US" w:eastAsia="en-US" w:bidi="ar-SA"/>
    </w:rPr>
  </w:style>
  <w:style w:type="character" w:customStyle="1" w:styleId="CharChar12">
    <w:name w:val="Char Char12"/>
    <w:uiPriority w:val="99"/>
    <w:locked/>
    <w:rsid w:val="005C117C"/>
    <w:rPr>
      <w:rFonts w:ascii="Cambria" w:hAnsi="Cambria" w:cs="Times New Roman"/>
      <w:color w:val="000000"/>
      <w:spacing w:val="5"/>
      <w:kern w:val="28"/>
      <w:sz w:val="52"/>
      <w:szCs w:val="52"/>
      <w:lang w:val="en-US" w:eastAsia="en-US" w:bidi="ar-SA"/>
    </w:rPr>
  </w:style>
  <w:style w:type="paragraph" w:customStyle="1" w:styleId="NormalTRM">
    <w:name w:val="Normal TRM"/>
    <w:basedOn w:val="Normal"/>
    <w:link w:val="NormalTRMChar"/>
    <w:rsid w:val="005C117C"/>
    <w:pPr>
      <w:widowControl w:val="0"/>
      <w:spacing w:after="120"/>
      <w:jc w:val="both"/>
    </w:pPr>
    <w:rPr>
      <w:rFonts w:eastAsia="Times New Roman" w:cs="Times New Roman"/>
      <w:sz w:val="20"/>
    </w:rPr>
  </w:style>
  <w:style w:type="character" w:customStyle="1" w:styleId="NormalTRMChar">
    <w:name w:val="Normal TRM Char"/>
    <w:basedOn w:val="DefaultParagraphFont"/>
    <w:link w:val="NormalTRM"/>
    <w:rsid w:val="005C117C"/>
    <w:rPr>
      <w:rFonts w:eastAsia="Times New Roman" w:cs="Times New Roman"/>
      <w:sz w:val="20"/>
    </w:rPr>
  </w:style>
  <w:style w:type="paragraph" w:customStyle="1" w:styleId="FormH2">
    <w:name w:val="Form H2"/>
    <w:basedOn w:val="NormalWeb"/>
    <w:link w:val="FormH2Char"/>
    <w:qFormat/>
    <w:rsid w:val="005C117C"/>
    <w:pPr>
      <w:widowControl w:val="0"/>
      <w:spacing w:before="0" w:beforeAutospacing="0" w:after="120" w:afterAutospacing="0"/>
      <w:ind w:left="1440"/>
      <w:jc w:val="both"/>
    </w:pPr>
    <w:rPr>
      <w:rFonts w:ascii="Calibri" w:hAnsi="Calibri" w:cs="Arial"/>
    </w:rPr>
  </w:style>
  <w:style w:type="character" w:customStyle="1" w:styleId="FormH2Char">
    <w:name w:val="Form H2 Char"/>
    <w:basedOn w:val="Heading2Char"/>
    <w:link w:val="FormH2"/>
    <w:rsid w:val="005C117C"/>
    <w:rPr>
      <w:rFonts w:ascii="Calibri" w:eastAsia="Times New Roman" w:hAnsi="Calibri" w:cs="Arial"/>
      <w:bCs w:val="0"/>
      <w:iCs w:val="0"/>
      <w:sz w:val="24"/>
      <w:szCs w:val="24"/>
    </w:rPr>
  </w:style>
  <w:style w:type="paragraph" w:customStyle="1" w:styleId="FormH4">
    <w:name w:val="Form H4"/>
    <w:basedOn w:val="FormH2"/>
    <w:link w:val="FormH4Char"/>
    <w:qFormat/>
    <w:rsid w:val="005C117C"/>
    <w:pPr>
      <w:keepNext/>
      <w:keepLines/>
      <w:spacing w:before="200" w:line="276" w:lineRule="auto"/>
      <w:ind w:left="1800"/>
      <w:jc w:val="left"/>
      <w:outlineLvl w:val="1"/>
    </w:pPr>
    <w:rPr>
      <w:bCs/>
      <w:iCs/>
      <w:sz w:val="28"/>
      <w:szCs w:val="28"/>
    </w:rPr>
  </w:style>
  <w:style w:type="character" w:customStyle="1" w:styleId="FormH4Char">
    <w:name w:val="Form H4 Char"/>
    <w:basedOn w:val="FormH2Char"/>
    <w:link w:val="FormH4"/>
    <w:rsid w:val="005C117C"/>
    <w:rPr>
      <w:rFonts w:ascii="Calibri" w:eastAsia="Times New Roman" w:hAnsi="Calibri" w:cs="Arial"/>
      <w:bCs/>
      <w:iCs/>
      <w:sz w:val="28"/>
      <w:szCs w:val="28"/>
    </w:rPr>
  </w:style>
  <w:style w:type="paragraph" w:customStyle="1" w:styleId="Normal1">
    <w:name w:val="Normal1"/>
    <w:basedOn w:val="Normal"/>
    <w:uiPriority w:val="99"/>
    <w:rsid w:val="005C117C"/>
    <w:pPr>
      <w:widowControl w:val="0"/>
      <w:autoSpaceDE w:val="0"/>
      <w:autoSpaceDN w:val="0"/>
      <w:spacing w:after="120"/>
    </w:pPr>
    <w:rPr>
      <w:rFonts w:ascii="Arial" w:eastAsia="Times New Roman" w:hAnsi="Arial" w:cs="Arial"/>
      <w:sz w:val="24"/>
      <w:szCs w:val="24"/>
    </w:rPr>
  </w:style>
  <w:style w:type="paragraph" w:customStyle="1" w:styleId="whs2">
    <w:name w:val="whs2"/>
    <w:basedOn w:val="Normal"/>
    <w:uiPriority w:val="99"/>
    <w:rsid w:val="005C117C"/>
    <w:pPr>
      <w:widowControl w:val="0"/>
      <w:spacing w:after="120"/>
    </w:pPr>
    <w:rPr>
      <w:rFonts w:ascii="Arial" w:eastAsia="Times New Roman" w:hAnsi="Arial" w:cs="Arial"/>
      <w:sz w:val="20"/>
      <w:szCs w:val="20"/>
    </w:rPr>
  </w:style>
  <w:style w:type="paragraph" w:customStyle="1" w:styleId="font5">
    <w:name w:val="font5"/>
    <w:basedOn w:val="Normal"/>
    <w:uiPriority w:val="99"/>
    <w:rsid w:val="005C117C"/>
    <w:pPr>
      <w:widowControl w:val="0"/>
      <w:spacing w:before="100" w:beforeAutospacing="1" w:after="100" w:afterAutospacing="1"/>
    </w:pPr>
    <w:rPr>
      <w:rFonts w:ascii="Tahoma" w:eastAsia="Times New Roman" w:hAnsi="Tahoma" w:cs="Tahoma"/>
      <w:b/>
      <w:bCs/>
      <w:color w:val="000000"/>
      <w:sz w:val="18"/>
      <w:szCs w:val="18"/>
    </w:rPr>
  </w:style>
  <w:style w:type="paragraph" w:customStyle="1" w:styleId="font6">
    <w:name w:val="font6"/>
    <w:basedOn w:val="Normal"/>
    <w:uiPriority w:val="99"/>
    <w:rsid w:val="005C117C"/>
    <w:pPr>
      <w:widowControl w:val="0"/>
      <w:spacing w:before="100" w:beforeAutospacing="1" w:after="100" w:afterAutospacing="1"/>
    </w:pPr>
    <w:rPr>
      <w:rFonts w:ascii="Tahoma" w:eastAsia="Times New Roman" w:hAnsi="Tahoma" w:cs="Tahoma"/>
      <w:color w:val="000000"/>
      <w:sz w:val="18"/>
      <w:szCs w:val="18"/>
    </w:rPr>
  </w:style>
  <w:style w:type="paragraph" w:customStyle="1" w:styleId="xl65">
    <w:name w:val="xl65"/>
    <w:basedOn w:val="Normal"/>
    <w:uiPriority w:val="99"/>
    <w:rsid w:val="005C117C"/>
    <w:pPr>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66">
    <w:name w:val="xl66"/>
    <w:basedOn w:val="Normal"/>
    <w:uiPriority w:val="99"/>
    <w:rsid w:val="005C117C"/>
    <w:pPr>
      <w:widowControl w:val="0"/>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67">
    <w:name w:val="xl67"/>
    <w:basedOn w:val="Normal"/>
    <w:uiPriority w:val="99"/>
    <w:rsid w:val="005C117C"/>
    <w:pPr>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68">
    <w:name w:val="xl68"/>
    <w:basedOn w:val="Normal"/>
    <w:uiPriority w:val="99"/>
    <w:rsid w:val="005C117C"/>
    <w:pPr>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69">
    <w:name w:val="xl69"/>
    <w:basedOn w:val="Normal"/>
    <w:uiPriority w:val="99"/>
    <w:rsid w:val="005C117C"/>
    <w:pPr>
      <w:widowControl w:val="0"/>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70">
    <w:name w:val="xl70"/>
    <w:basedOn w:val="Normal"/>
    <w:uiPriority w:val="99"/>
    <w:rsid w:val="005C117C"/>
    <w:pPr>
      <w:widowControl w:val="0"/>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1">
    <w:name w:val="xl71"/>
    <w:basedOn w:val="Normal"/>
    <w:uiPriority w:val="99"/>
    <w:rsid w:val="005C117C"/>
    <w:pPr>
      <w:widowControl w:val="0"/>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72">
    <w:name w:val="xl72"/>
    <w:basedOn w:val="Normal"/>
    <w:uiPriority w:val="99"/>
    <w:rsid w:val="005C117C"/>
    <w:pPr>
      <w:widowControl w:val="0"/>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3">
    <w:name w:val="xl73"/>
    <w:basedOn w:val="Normal"/>
    <w:uiPriority w:val="99"/>
    <w:rsid w:val="005C117C"/>
    <w:pPr>
      <w:widowControl w:val="0"/>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74">
    <w:name w:val="xl74"/>
    <w:basedOn w:val="Normal"/>
    <w:uiPriority w:val="99"/>
    <w:rsid w:val="005C117C"/>
    <w:pPr>
      <w:widowControl w:val="0"/>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5">
    <w:name w:val="xl75"/>
    <w:basedOn w:val="Normal"/>
    <w:uiPriority w:val="99"/>
    <w:rsid w:val="005C117C"/>
    <w:pPr>
      <w:widowControl w:val="0"/>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6">
    <w:name w:val="xl76"/>
    <w:basedOn w:val="Normal"/>
    <w:uiPriority w:val="99"/>
    <w:rsid w:val="005C117C"/>
    <w:pPr>
      <w:widowControl w:val="0"/>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7">
    <w:name w:val="xl77"/>
    <w:basedOn w:val="Normal"/>
    <w:uiPriority w:val="99"/>
    <w:rsid w:val="005C117C"/>
    <w:pPr>
      <w:widowControl w:val="0"/>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78">
    <w:name w:val="xl78"/>
    <w:basedOn w:val="Normal"/>
    <w:uiPriority w:val="99"/>
    <w:rsid w:val="005C117C"/>
    <w:pPr>
      <w:widowControl w:val="0"/>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9">
    <w:name w:val="xl79"/>
    <w:basedOn w:val="Normal"/>
    <w:uiPriority w:val="99"/>
    <w:rsid w:val="005C117C"/>
    <w:pPr>
      <w:widowControl w:val="0"/>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0">
    <w:name w:val="xl80"/>
    <w:basedOn w:val="Normal"/>
    <w:uiPriority w:val="99"/>
    <w:rsid w:val="005C117C"/>
    <w:pPr>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1">
    <w:name w:val="xl81"/>
    <w:basedOn w:val="Normal"/>
    <w:uiPriority w:val="99"/>
    <w:rsid w:val="005C117C"/>
    <w:pPr>
      <w:widowControl w:val="0"/>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2">
    <w:name w:val="xl82"/>
    <w:basedOn w:val="Normal"/>
    <w:uiPriority w:val="99"/>
    <w:rsid w:val="005C117C"/>
    <w:pPr>
      <w:widowControl w:val="0"/>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3">
    <w:name w:val="xl83"/>
    <w:basedOn w:val="Normal"/>
    <w:uiPriority w:val="99"/>
    <w:rsid w:val="005C117C"/>
    <w:pPr>
      <w:widowControl w:val="0"/>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4">
    <w:name w:val="xl84"/>
    <w:basedOn w:val="Normal"/>
    <w:uiPriority w:val="99"/>
    <w:rsid w:val="005C117C"/>
    <w:pPr>
      <w:widowControl w:val="0"/>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5">
    <w:name w:val="xl85"/>
    <w:basedOn w:val="Normal"/>
    <w:uiPriority w:val="99"/>
    <w:rsid w:val="005C117C"/>
    <w:pPr>
      <w:widowControl w:val="0"/>
      <w:pBdr>
        <w:top w:val="single" w:sz="8" w:space="0" w:color="auto"/>
        <w:left w:val="single" w:sz="8"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24"/>
      <w:szCs w:val="24"/>
    </w:rPr>
  </w:style>
  <w:style w:type="paragraph" w:customStyle="1" w:styleId="xl86">
    <w:name w:val="xl86"/>
    <w:basedOn w:val="Normal"/>
    <w:uiPriority w:val="99"/>
    <w:rsid w:val="005C117C"/>
    <w:pPr>
      <w:widowControl w:val="0"/>
      <w:pBdr>
        <w:top w:val="single" w:sz="8"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24"/>
      <w:szCs w:val="24"/>
    </w:rPr>
  </w:style>
  <w:style w:type="paragraph" w:customStyle="1" w:styleId="xl87">
    <w:name w:val="xl87"/>
    <w:basedOn w:val="Normal"/>
    <w:uiPriority w:val="99"/>
    <w:rsid w:val="005C117C"/>
    <w:pPr>
      <w:widowControl w:val="0"/>
      <w:pBdr>
        <w:top w:val="single" w:sz="8"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4"/>
      <w:szCs w:val="24"/>
    </w:rPr>
  </w:style>
  <w:style w:type="character" w:customStyle="1" w:styleId="st">
    <w:name w:val="st"/>
    <w:basedOn w:val="DefaultParagraphFont"/>
    <w:rsid w:val="005C117C"/>
  </w:style>
  <w:style w:type="paragraph" w:customStyle="1" w:styleId="TableHeading">
    <w:name w:val="Table Heading"/>
    <w:basedOn w:val="TableText"/>
    <w:autoRedefine/>
    <w:uiPriority w:val="99"/>
    <w:qFormat/>
    <w:rsid w:val="005C117C"/>
    <w:pPr>
      <w:widowControl w:val="0"/>
    </w:pPr>
    <w:rPr>
      <w:rFonts w:eastAsia="Times New Roman" w:cs="Times New Roman"/>
      <w:b/>
      <w:color w:val="FFFFFF"/>
      <w:szCs w:val="24"/>
      <w:lang w:val="en-US"/>
    </w:rPr>
  </w:style>
  <w:style w:type="paragraph" w:customStyle="1" w:styleId="CompanyName">
    <w:name w:val="Company Name"/>
    <w:basedOn w:val="BodyText"/>
    <w:uiPriority w:val="99"/>
    <w:rsid w:val="005C117C"/>
    <w:pPr>
      <w:keepLines/>
      <w:framePr w:w="8640" w:h="1440" w:wrap="notBeside" w:vAnchor="page" w:hAnchor="margin" w:xAlign="center" w:y="889"/>
      <w:spacing w:after="40" w:line="240" w:lineRule="atLeast"/>
      <w:jc w:val="center"/>
    </w:pPr>
    <w:rPr>
      <w:rFonts w:ascii="Garamond" w:eastAsia="Times New Roman" w:hAnsi="Garamond" w:cs="Times New Roman"/>
      <w:caps/>
      <w:spacing w:val="75"/>
      <w:szCs w:val="20"/>
    </w:rPr>
  </w:style>
  <w:style w:type="paragraph" w:customStyle="1" w:styleId="MessageHeaderLast">
    <w:name w:val="Message Header Last"/>
    <w:basedOn w:val="MessageHeader"/>
    <w:next w:val="BodyText"/>
    <w:uiPriority w:val="99"/>
    <w:rsid w:val="005C117C"/>
    <w:pPr>
      <w:pBdr>
        <w:bottom w:val="single" w:sz="6" w:space="18" w:color="808080"/>
      </w:pBdr>
      <w:spacing w:after="360"/>
    </w:pPr>
  </w:style>
  <w:style w:type="paragraph" w:styleId="NormalIndent">
    <w:name w:val="Normal Indent"/>
    <w:basedOn w:val="Normal"/>
    <w:uiPriority w:val="99"/>
    <w:rsid w:val="005C117C"/>
    <w:pPr>
      <w:spacing w:after="120"/>
      <w:ind w:left="720"/>
    </w:pPr>
    <w:rPr>
      <w:rFonts w:ascii="Garamond" w:eastAsia="Times New Roman" w:hAnsi="Garamond" w:cs="Times New Roman"/>
      <w:szCs w:val="20"/>
    </w:rPr>
  </w:style>
  <w:style w:type="paragraph" w:customStyle="1" w:styleId="ReturnAddress">
    <w:name w:val="Return Address"/>
    <w:uiPriority w:val="99"/>
    <w:rsid w:val="005C117C"/>
    <w:pPr>
      <w:framePr w:w="8640" w:hSpace="187" w:vSpace="187" w:wrap="notBeside" w:vAnchor="page" w:hAnchor="margin" w:xAlign="center" w:y="14401" w:anchorLock="1"/>
      <w:spacing w:line="240" w:lineRule="atLeast"/>
      <w:ind w:right="-240"/>
      <w:jc w:val="center"/>
    </w:pPr>
    <w:rPr>
      <w:rFonts w:ascii="Garamond" w:eastAsia="Times New Roman" w:hAnsi="Garamond" w:cs="Times New Roman"/>
      <w:caps/>
      <w:spacing w:val="30"/>
      <w:sz w:val="15"/>
      <w:szCs w:val="20"/>
    </w:rPr>
  </w:style>
  <w:style w:type="paragraph" w:styleId="Signature">
    <w:name w:val="Signature"/>
    <w:basedOn w:val="BodyText"/>
    <w:next w:val="Normal"/>
    <w:link w:val="SignatureChar"/>
    <w:uiPriority w:val="99"/>
    <w:rsid w:val="005C117C"/>
    <w:pPr>
      <w:keepNext/>
      <w:keepLines/>
      <w:spacing w:before="660" w:line="240" w:lineRule="atLeast"/>
      <w:ind w:firstLine="360"/>
      <w:jc w:val="both"/>
    </w:pPr>
    <w:rPr>
      <w:rFonts w:ascii="Garamond" w:eastAsia="Times New Roman" w:hAnsi="Garamond" w:cs="Times New Roman"/>
      <w:szCs w:val="20"/>
    </w:rPr>
  </w:style>
  <w:style w:type="character" w:customStyle="1" w:styleId="SignatureChar">
    <w:name w:val="Signature Char"/>
    <w:basedOn w:val="DefaultParagraphFont"/>
    <w:link w:val="Signature"/>
    <w:uiPriority w:val="99"/>
    <w:rsid w:val="005C117C"/>
    <w:rPr>
      <w:rFonts w:ascii="Garamond" w:eastAsia="Times New Roman" w:hAnsi="Garamond" w:cs="Times New Roman"/>
      <w:szCs w:val="20"/>
    </w:rPr>
  </w:style>
  <w:style w:type="paragraph" w:customStyle="1" w:styleId="SignatureJobTitle">
    <w:name w:val="Signature Job Title"/>
    <w:basedOn w:val="Signature"/>
    <w:next w:val="Normal"/>
    <w:uiPriority w:val="99"/>
    <w:rsid w:val="005C117C"/>
    <w:pPr>
      <w:spacing w:before="0"/>
      <w:ind w:firstLine="0"/>
    </w:pPr>
  </w:style>
  <w:style w:type="paragraph" w:customStyle="1" w:styleId="SignatureName">
    <w:name w:val="Signature Name"/>
    <w:basedOn w:val="Signature"/>
    <w:next w:val="SignatureJobTitle"/>
    <w:uiPriority w:val="99"/>
    <w:rsid w:val="005C117C"/>
    <w:pPr>
      <w:ind w:firstLine="0"/>
    </w:pPr>
  </w:style>
  <w:style w:type="character" w:customStyle="1" w:styleId="Slogan">
    <w:name w:val="Slogan"/>
    <w:uiPriority w:val="99"/>
    <w:rsid w:val="005C117C"/>
    <w:rPr>
      <w:i/>
      <w:spacing w:val="70"/>
      <w:sz w:val="21"/>
    </w:rPr>
  </w:style>
  <w:style w:type="character" w:customStyle="1" w:styleId="TitleChar1">
    <w:name w:val="Title Char1"/>
    <w:basedOn w:val="DefaultParagraphFont"/>
    <w:rsid w:val="005C117C"/>
    <w:rPr>
      <w:rFonts w:ascii="Cambria" w:eastAsia="Times New Roman" w:hAnsi="Cambria" w:cs="Times New Roman"/>
      <w:color w:val="17365D"/>
      <w:spacing w:val="5"/>
      <w:kern w:val="28"/>
      <w:sz w:val="52"/>
      <w:szCs w:val="52"/>
    </w:rPr>
  </w:style>
  <w:style w:type="character" w:customStyle="1" w:styleId="A0">
    <w:name w:val="A0"/>
    <w:uiPriority w:val="99"/>
    <w:rsid w:val="005C117C"/>
    <w:rPr>
      <w:rFonts w:cs="HelveticaNeueLT Std"/>
      <w:b/>
      <w:bCs/>
      <w:color w:val="00863E"/>
      <w:sz w:val="44"/>
      <w:szCs w:val="44"/>
    </w:rPr>
  </w:style>
  <w:style w:type="character" w:customStyle="1" w:styleId="A1">
    <w:name w:val="A1"/>
    <w:uiPriority w:val="99"/>
    <w:rsid w:val="005C117C"/>
    <w:rPr>
      <w:rFonts w:ascii="HelveticaNeueLT Std Med" w:hAnsi="HelveticaNeueLT Std Med" w:cs="HelveticaNeueLT Std Med"/>
      <w:color w:val="221E1F"/>
      <w:sz w:val="26"/>
      <w:szCs w:val="26"/>
    </w:rPr>
  </w:style>
  <w:style w:type="paragraph" w:customStyle="1" w:styleId="NormalBeforeList">
    <w:name w:val="Normal Before List"/>
    <w:basedOn w:val="Normal"/>
    <w:qFormat/>
    <w:rsid w:val="005C117C"/>
    <w:pPr>
      <w:keepNext/>
      <w:spacing w:after="120" w:line="276" w:lineRule="auto"/>
    </w:pPr>
    <w:rPr>
      <w:rFonts w:eastAsia="Franklin Gothic Book" w:cs="Times New Roman"/>
    </w:rPr>
  </w:style>
  <w:style w:type="paragraph" w:customStyle="1" w:styleId="NormalIntroSentence">
    <w:name w:val="Normal Intro Sentence"/>
    <w:qFormat/>
    <w:rsid w:val="005C117C"/>
    <w:pPr>
      <w:keepNext/>
      <w:spacing w:after="100" w:line="276" w:lineRule="auto"/>
    </w:pPr>
  </w:style>
  <w:style w:type="paragraph" w:customStyle="1" w:styleId="h5">
    <w:name w:val="h5"/>
    <w:basedOn w:val="Normal"/>
    <w:rsid w:val="005C117C"/>
    <w:pPr>
      <w:spacing w:before="100" w:beforeAutospacing="1" w:after="100" w:afterAutospacing="1"/>
    </w:pPr>
    <w:rPr>
      <w:rFonts w:ascii="Times New Roman" w:eastAsia="Times New Roman" w:hAnsi="Times New Roman" w:cs="Times New Roman"/>
      <w:sz w:val="24"/>
      <w:szCs w:val="24"/>
    </w:rPr>
  </w:style>
  <w:style w:type="table" w:customStyle="1" w:styleId="TableGrid29">
    <w:name w:val="Table Grid29"/>
    <w:basedOn w:val="TableNormal"/>
    <w:next w:val="TableGrid"/>
    <w:uiPriority w:val="59"/>
    <w:rsid w:val="005C117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C117C"/>
    <w:rPr>
      <w:color w:val="808080"/>
      <w:shd w:val="clear" w:color="auto" w:fill="E6E6E6"/>
    </w:rPr>
  </w:style>
  <w:style w:type="paragraph" w:customStyle="1" w:styleId="feature-description">
    <w:name w:val="feature-description"/>
    <w:basedOn w:val="Normal"/>
    <w:rsid w:val="005C117C"/>
    <w:pPr>
      <w:spacing w:before="100" w:beforeAutospacing="1" w:after="100" w:afterAutospacing="1"/>
    </w:pPr>
    <w:rPr>
      <w:rFonts w:ascii="Times New Roman" w:eastAsia="Times New Roman" w:hAnsi="Times New Roman" w:cs="Times New Roman"/>
      <w:sz w:val="24"/>
      <w:szCs w:val="24"/>
    </w:rPr>
  </w:style>
  <w:style w:type="paragraph" w:customStyle="1" w:styleId="body">
    <w:name w:val="body"/>
    <w:basedOn w:val="BodyText"/>
    <w:link w:val="bodyChar"/>
    <w:qFormat/>
    <w:rsid w:val="005C117C"/>
    <w:pPr>
      <w:spacing w:after="0"/>
    </w:pPr>
    <w:rPr>
      <w:rFonts w:ascii="Arial" w:eastAsia="Times New Roman" w:hAnsi="Arial" w:cs="Times New Roman"/>
      <w:bCs/>
      <w:szCs w:val="24"/>
      <w:lang w:val="x-none" w:eastAsia="x-none"/>
    </w:rPr>
  </w:style>
  <w:style w:type="character" w:customStyle="1" w:styleId="bodyChar">
    <w:name w:val="body Char"/>
    <w:link w:val="body"/>
    <w:rsid w:val="005C117C"/>
    <w:rPr>
      <w:rFonts w:ascii="Arial" w:eastAsia="Times New Roman" w:hAnsi="Arial" w:cs="Times New Roman"/>
      <w:bCs/>
      <w:szCs w:val="24"/>
      <w:lang w:val="x-none" w:eastAsia="x-none"/>
    </w:rPr>
  </w:style>
  <w:style w:type="paragraph" w:customStyle="1" w:styleId="msonormal0">
    <w:name w:val="msonormal"/>
    <w:basedOn w:val="Normal"/>
    <w:rsid w:val="005C117C"/>
    <w:pPr>
      <w:spacing w:before="100" w:beforeAutospacing="1" w:after="100" w:afterAutospacing="1"/>
    </w:pPr>
    <w:rPr>
      <w:rFonts w:ascii="Times New Roman" w:eastAsia="Times New Roman" w:hAnsi="Times New Roman" w:cs="Times New Roman"/>
      <w:sz w:val="24"/>
      <w:szCs w:val="24"/>
    </w:rPr>
  </w:style>
  <w:style w:type="paragraph" w:customStyle="1" w:styleId="xl2018">
    <w:name w:val="xl2018"/>
    <w:basedOn w:val="Normal"/>
    <w:rsid w:val="005C117C"/>
    <w:pPr>
      <w:shd w:val="clear" w:color="000000" w:fill="FFFFFF"/>
      <w:spacing w:before="100" w:beforeAutospacing="1" w:after="100" w:afterAutospacing="1"/>
    </w:pPr>
    <w:rPr>
      <w:rFonts w:ascii="Times New Roman" w:eastAsia="Times New Roman" w:hAnsi="Times New Roman" w:cs="Times New Roman"/>
      <w:color w:val="FFFFFF"/>
      <w:sz w:val="24"/>
      <w:szCs w:val="24"/>
    </w:rPr>
  </w:style>
  <w:style w:type="paragraph" w:customStyle="1" w:styleId="xl2019">
    <w:name w:val="xl2019"/>
    <w:basedOn w:val="Normal"/>
    <w:rsid w:val="005C117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2020">
    <w:name w:val="xl2020"/>
    <w:basedOn w:val="Normal"/>
    <w:rsid w:val="005C117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2021">
    <w:name w:val="xl2021"/>
    <w:basedOn w:val="Normal"/>
    <w:rsid w:val="005C117C"/>
    <w:pPr>
      <w:pBdr>
        <w:top w:val="single" w:sz="4" w:space="0" w:color="auto"/>
        <w:left w:val="single" w:sz="4" w:space="0" w:color="auto"/>
        <w:bottom w:val="single" w:sz="4" w:space="0" w:color="auto"/>
        <w:right w:val="single" w:sz="4" w:space="0" w:color="auto"/>
      </w:pBdr>
      <w:shd w:val="clear" w:color="000000" w:fill="BDD3D7"/>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msolistparagraph">
    <w:name w:val="x_msolistparagraph"/>
    <w:basedOn w:val="Normal"/>
    <w:rsid w:val="005C117C"/>
    <w:pPr>
      <w:ind w:left="720"/>
    </w:pPr>
    <w:rPr>
      <w:rFonts w:ascii="Calibri" w:hAnsi="Calibri" w:cs="Times New Roman"/>
    </w:rPr>
  </w:style>
  <w:style w:type="paragraph" w:customStyle="1" w:styleId="TOAHeading1">
    <w:name w:val="TOA Heading1"/>
    <w:basedOn w:val="Normal"/>
    <w:next w:val="Normal"/>
    <w:uiPriority w:val="99"/>
    <w:semiHidden/>
    <w:unhideWhenUsed/>
    <w:rsid w:val="005C117C"/>
    <w:pPr>
      <w:widowControl w:val="0"/>
      <w:spacing w:before="120" w:after="120"/>
      <w:jc w:val="both"/>
    </w:pPr>
    <w:rPr>
      <w:rFonts w:ascii="Calibri Light" w:eastAsia="Yu Gothic Light" w:hAnsi="Calibri Light" w:cs="Times New Roman"/>
      <w:b/>
      <w:bCs/>
      <w:sz w:val="24"/>
      <w:szCs w:val="24"/>
    </w:rPr>
  </w:style>
  <w:style w:type="character" w:customStyle="1" w:styleId="s1">
    <w:name w:val="s1"/>
    <w:basedOn w:val="DefaultParagraphFont"/>
    <w:rsid w:val="005C117C"/>
    <w:rPr>
      <w:rFonts w:ascii=".SFUIText-Regular" w:hAnsi=".SFUIText-Regular" w:hint="default"/>
      <w:b w:val="0"/>
      <w:bCs w:val="0"/>
      <w:i w:val="0"/>
      <w:iCs w:val="0"/>
    </w:rPr>
  </w:style>
  <w:style w:type="table" w:customStyle="1" w:styleId="ODCBasic-1">
    <w:name w:val="ODC_Basic-1"/>
    <w:basedOn w:val="TableClassic1"/>
    <w:uiPriority w:val="99"/>
    <w:qFormat/>
    <w:rsid w:val="005C117C"/>
    <w:pPr>
      <w:widowControl w:val="0"/>
      <w:jc w:val="center"/>
    </w:pPr>
    <w:rPr>
      <w:rFonts w:ascii="Franklin Gothic Book" w:eastAsia="Times New Roman" w:hAnsi="Franklin Gothic Book" w:cs="Times New Roman"/>
      <w:color w:val="4D4D4F"/>
      <w:sz w:val="20"/>
      <w:szCs w:val="20"/>
      <w:lang w:eastAsia="ja-JP"/>
    </w:rPr>
    <w:tblPr>
      <w:tblStyleRowBandSize w:val="1"/>
      <w:tblStyleColBandSize w:val="1"/>
      <w:tblBorders>
        <w:top w:val="single" w:sz="4" w:space="0" w:color="4D4D4F"/>
        <w:left w:val="single" w:sz="4" w:space="0" w:color="4D4D4F"/>
        <w:bottom w:val="single" w:sz="4" w:space="0" w:color="4D4D4F"/>
        <w:right w:val="single" w:sz="4" w:space="0" w:color="4D4D4F"/>
        <w:insideH w:val="single" w:sz="4" w:space="0" w:color="4D4D4F"/>
        <w:insideV w:val="single" w:sz="4" w:space="0" w:color="4D4D4F"/>
      </w:tblBorders>
      <w:tblCellMar>
        <w:top w:w="29" w:type="dxa"/>
        <w:left w:w="72" w:type="dxa"/>
        <w:bottom w:w="29" w:type="dxa"/>
        <w:right w:w="72" w:type="dxa"/>
      </w:tblCellMar>
    </w:tblPr>
    <w:tblStylePr w:type="firstRow">
      <w:pPr>
        <w:wordWrap/>
        <w:jc w:val="center"/>
        <w:outlineLvl w:val="9"/>
      </w:pPr>
      <w:rPr>
        <w:rFonts w:ascii="Tahoma" w:hAnsi="Tahoma" w:cs="Tahoma" w:hint="default"/>
        <w:b w:val="0"/>
        <w:i w:val="0"/>
        <w:iCs/>
        <w:color w:val="FFFFFF"/>
        <w:sz w:val="20"/>
        <w:szCs w:val="20"/>
      </w:r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l2br w:val="none" w:sz="0" w:space="0" w:color="auto"/>
          <w:tr2bl w:val="none" w:sz="0" w:space="0" w:color="auto"/>
        </w:tcBorders>
        <w:shd w:val="clear" w:color="auto" w:fill="053572"/>
      </w:tcPr>
    </w:tblStylePr>
    <w:tblStylePr w:type="lastRow">
      <w:pPr>
        <w:jc w:val="left"/>
      </w:pPr>
      <w:rPr>
        <w:rFonts w:ascii="Tahoma" w:hAnsi="Tahoma" w:cs="Tahoma" w:hint="default"/>
        <w:b/>
        <w:color w:val="auto"/>
        <w:sz w:val="20"/>
        <w:szCs w:val="20"/>
      </w:r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l2br w:val="none" w:sz="0" w:space="0" w:color="auto"/>
          <w:tr2bl w:val="none" w:sz="0" w:space="0" w:color="auto"/>
        </w:tcBorders>
      </w:tcPr>
    </w:tblStylePr>
    <w:tblStylePr w:type="firstCol">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l2br w:val="none" w:sz="0" w:space="0" w:color="auto"/>
          <w:tr2bl w:val="none" w:sz="0" w:space="0" w:color="auto"/>
        </w:tcBorders>
      </w:tcPr>
    </w:tblStylePr>
    <w:tblStylePr w:type="lastCol">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tcPr>
    </w:tblStylePr>
    <w:tblStylePr w:type="band1Vert">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tcPr>
    </w:tblStylePr>
    <w:tblStylePr w:type="band2Vert">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tcPr>
    </w:tblStylePr>
    <w:tblStylePr w:type="band1Horz">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tcPr>
    </w:tblStylePr>
    <w:tblStylePr w:type="band2Horz">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5C117C"/>
    <w:pPr>
      <w:widowControl w:val="0"/>
      <w:spacing w:after="1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ommentTextChar1">
    <w:name w:val="Comment Text Char1"/>
    <w:uiPriority w:val="99"/>
    <w:locked/>
    <w:rsid w:val="005C117C"/>
    <w:rPr>
      <w:rFonts w:ascii="Times New Roman" w:eastAsia="Times New Roman" w:hAnsi="Times New Roman" w:cs="Times New Roman"/>
      <w:sz w:val="20"/>
      <w:szCs w:val="20"/>
    </w:rPr>
  </w:style>
  <w:style w:type="character" w:customStyle="1" w:styleId="UnresolvedMention2">
    <w:name w:val="Unresolved Mention2"/>
    <w:basedOn w:val="DefaultParagraphFont"/>
    <w:uiPriority w:val="99"/>
    <w:semiHidden/>
    <w:unhideWhenUsed/>
    <w:rsid w:val="005C117C"/>
    <w:rPr>
      <w:color w:val="808080"/>
      <w:shd w:val="clear" w:color="auto" w:fill="E6E6E6"/>
    </w:rPr>
  </w:style>
  <w:style w:type="table" w:customStyle="1" w:styleId="TableGrid28">
    <w:name w:val="Table Grid28"/>
    <w:basedOn w:val="TableNormal"/>
    <w:next w:val="TableGrid"/>
    <w:uiPriority w:val="39"/>
    <w:rsid w:val="005C117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1">
    <w:name w:val="Light List - Accent 21"/>
    <w:basedOn w:val="TableNormal"/>
    <w:next w:val="LightList-Accent2"/>
    <w:uiPriority w:val="61"/>
    <w:semiHidden/>
    <w:unhideWhenUsed/>
    <w:rsid w:val="005C117C"/>
    <w:rPr>
      <w:rFonts w:ascii="Arial" w:eastAsia="Arial" w:hAnsi="Arial" w:cs="Times New Roman"/>
    </w:rPr>
    <w:tblPr>
      <w:tblStyleRowBandSize w:val="1"/>
      <w:tblStyleColBandSize w:val="1"/>
      <w:tblInd w:w="0" w:type="nil"/>
      <w:tblBorders>
        <w:top w:val="single" w:sz="8" w:space="0" w:color="007299"/>
        <w:left w:val="single" w:sz="8" w:space="0" w:color="007299"/>
        <w:bottom w:val="single" w:sz="8" w:space="0" w:color="007299"/>
        <w:right w:val="single" w:sz="8" w:space="0" w:color="007299"/>
      </w:tblBorders>
    </w:tblPr>
    <w:tblStylePr w:type="firstRow">
      <w:pPr>
        <w:spacing w:beforeLines="0" w:before="0" w:beforeAutospacing="0" w:afterLines="0" w:after="0" w:afterAutospacing="0" w:line="240" w:lineRule="auto"/>
      </w:pPr>
      <w:rPr>
        <w:b/>
        <w:bCs/>
        <w:color w:val="FFFFFF"/>
      </w:rPr>
      <w:tblPr/>
      <w:tcPr>
        <w:shd w:val="clear" w:color="auto" w:fill="007299"/>
      </w:tcPr>
    </w:tblStylePr>
    <w:tblStylePr w:type="lastRow">
      <w:pPr>
        <w:spacing w:beforeLines="0" w:before="0" w:beforeAutospacing="0" w:afterLines="0" w:after="0" w:afterAutospacing="0" w:line="240" w:lineRule="auto"/>
      </w:pPr>
      <w:rPr>
        <w:b/>
        <w:bCs/>
      </w:rPr>
      <w:tblPr/>
      <w:tcPr>
        <w:tcBorders>
          <w:top w:val="double" w:sz="6" w:space="0" w:color="007299"/>
          <w:left w:val="single" w:sz="8" w:space="0" w:color="007299"/>
          <w:bottom w:val="single" w:sz="8" w:space="0" w:color="007299"/>
          <w:right w:val="single" w:sz="8" w:space="0" w:color="007299"/>
        </w:tcBorders>
      </w:tcPr>
    </w:tblStylePr>
    <w:tblStylePr w:type="firstCol">
      <w:rPr>
        <w:b/>
        <w:bCs/>
      </w:rPr>
    </w:tblStylePr>
    <w:tblStylePr w:type="lastCol">
      <w:rPr>
        <w:b/>
        <w:bCs/>
      </w:rPr>
    </w:tblStylePr>
    <w:tblStylePr w:type="band1Vert">
      <w:tblPr/>
      <w:tcPr>
        <w:tcBorders>
          <w:top w:val="single" w:sz="8" w:space="0" w:color="007299"/>
          <w:left w:val="single" w:sz="8" w:space="0" w:color="007299"/>
          <w:bottom w:val="single" w:sz="8" w:space="0" w:color="007299"/>
          <w:right w:val="single" w:sz="8" w:space="0" w:color="007299"/>
        </w:tcBorders>
      </w:tcPr>
    </w:tblStylePr>
    <w:tblStylePr w:type="band1Horz">
      <w:tblPr/>
      <w:tcPr>
        <w:tcBorders>
          <w:top w:val="single" w:sz="8" w:space="0" w:color="007299"/>
          <w:left w:val="single" w:sz="8" w:space="0" w:color="007299"/>
          <w:bottom w:val="single" w:sz="8" w:space="0" w:color="007299"/>
          <w:right w:val="single" w:sz="8" w:space="0" w:color="007299"/>
        </w:tcBorders>
      </w:tcPr>
    </w:tblStylePr>
  </w:style>
  <w:style w:type="table" w:customStyle="1" w:styleId="LightList-Accent22">
    <w:name w:val="Light List - Accent 22"/>
    <w:basedOn w:val="TableNormal"/>
    <w:next w:val="LightList-Accent2"/>
    <w:uiPriority w:val="61"/>
    <w:semiHidden/>
    <w:unhideWhenUsed/>
    <w:rsid w:val="005C117C"/>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character" w:customStyle="1" w:styleId="normaltextrun">
    <w:name w:val="normaltextrun"/>
    <w:basedOn w:val="DefaultParagraphFont"/>
    <w:rsid w:val="005C117C"/>
  </w:style>
  <w:style w:type="character" w:customStyle="1" w:styleId="eop">
    <w:name w:val="eop"/>
    <w:basedOn w:val="DefaultParagraphFont"/>
    <w:rsid w:val="005C117C"/>
  </w:style>
  <w:style w:type="paragraph" w:customStyle="1" w:styleId="paragraph">
    <w:name w:val="paragraph"/>
    <w:basedOn w:val="Normal"/>
    <w:rsid w:val="005C117C"/>
    <w:pPr>
      <w:spacing w:before="100" w:beforeAutospacing="1" w:after="100" w:afterAutospacing="1"/>
    </w:pPr>
    <w:rPr>
      <w:rFonts w:ascii="Times New Roman" w:eastAsia="Times New Roman" w:hAnsi="Times New Roman" w:cs="Times New Roman"/>
      <w:sz w:val="24"/>
      <w:szCs w:val="24"/>
    </w:rPr>
  </w:style>
  <w:style w:type="table" w:customStyle="1" w:styleId="GridTable1Light4">
    <w:name w:val="Grid Table 1 Light4"/>
    <w:basedOn w:val="TableNormal"/>
    <w:next w:val="GridTable1Light"/>
    <w:uiPriority w:val="46"/>
    <w:rsid w:val="005C117C"/>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ODCBasic-11">
    <w:name w:val="ODC_Basic-11"/>
    <w:basedOn w:val="TableClassic1"/>
    <w:uiPriority w:val="99"/>
    <w:qFormat/>
    <w:rsid w:val="005C117C"/>
    <w:pPr>
      <w:widowControl w:val="0"/>
      <w:jc w:val="center"/>
    </w:pPr>
    <w:rPr>
      <w:rFonts w:ascii="Franklin Gothic Book" w:eastAsia="Times New Roman" w:hAnsi="Franklin Gothic Book" w:cs="Times New Roman"/>
      <w:color w:val="4D4D4F"/>
      <w:sz w:val="20"/>
      <w:szCs w:val="20"/>
      <w:lang w:eastAsia="ja-JP"/>
    </w:rPr>
    <w:tblPr>
      <w:tblStyleRowBandSize w:val="1"/>
      <w:tblStyleColBandSize w:val="1"/>
      <w:tblBorders>
        <w:top w:val="single" w:sz="4" w:space="0" w:color="4D4D4F"/>
        <w:left w:val="single" w:sz="4" w:space="0" w:color="4D4D4F"/>
        <w:bottom w:val="single" w:sz="4" w:space="0" w:color="4D4D4F"/>
        <w:right w:val="single" w:sz="4" w:space="0" w:color="4D4D4F"/>
        <w:insideH w:val="single" w:sz="4" w:space="0" w:color="4D4D4F"/>
        <w:insideV w:val="single" w:sz="4" w:space="0" w:color="4D4D4F"/>
      </w:tblBorders>
      <w:tblCellMar>
        <w:top w:w="29" w:type="dxa"/>
        <w:left w:w="72" w:type="dxa"/>
        <w:bottom w:w="29" w:type="dxa"/>
        <w:right w:w="72" w:type="dxa"/>
      </w:tblCellMar>
    </w:tblPr>
    <w:tblStylePr w:type="firstRow">
      <w:pPr>
        <w:wordWrap/>
        <w:jc w:val="center"/>
        <w:outlineLvl w:val="9"/>
      </w:pPr>
      <w:rPr>
        <w:rFonts w:ascii="Tahoma" w:hAnsi="Tahoma" w:cs="Tahoma" w:hint="default"/>
        <w:b w:val="0"/>
        <w:i w:val="0"/>
        <w:iCs/>
        <w:color w:val="FFFFFF"/>
        <w:sz w:val="20"/>
        <w:szCs w:val="20"/>
      </w:r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l2br w:val="none" w:sz="0" w:space="0" w:color="auto"/>
          <w:tr2bl w:val="none" w:sz="0" w:space="0" w:color="auto"/>
        </w:tcBorders>
        <w:shd w:val="clear" w:color="auto" w:fill="053572"/>
      </w:tcPr>
    </w:tblStylePr>
    <w:tblStylePr w:type="lastRow">
      <w:pPr>
        <w:jc w:val="left"/>
      </w:pPr>
      <w:rPr>
        <w:rFonts w:ascii="Tahoma" w:hAnsi="Tahoma" w:cs="Tahoma" w:hint="default"/>
        <w:b/>
        <w:color w:val="auto"/>
        <w:sz w:val="20"/>
        <w:szCs w:val="20"/>
      </w:rPr>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l2br w:val="none" w:sz="0" w:space="0" w:color="auto"/>
          <w:tr2bl w:val="none" w:sz="0" w:space="0" w:color="auto"/>
        </w:tcBorders>
      </w:tcPr>
    </w:tblStylePr>
    <w:tblStylePr w:type="firstCol">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l2br w:val="none" w:sz="0" w:space="0" w:color="auto"/>
          <w:tr2bl w:val="none" w:sz="0" w:space="0" w:color="auto"/>
        </w:tcBorders>
      </w:tcPr>
    </w:tblStylePr>
    <w:tblStylePr w:type="lastCol">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tcPr>
    </w:tblStylePr>
    <w:tblStylePr w:type="band1Vert">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tcPr>
    </w:tblStylePr>
    <w:tblStylePr w:type="band2Vert">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tcPr>
    </w:tblStylePr>
    <w:tblStylePr w:type="band1Horz">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tcPr>
    </w:tblStylePr>
    <w:tblStylePr w:type="band2Horz">
      <w:tblPr/>
      <w:tcPr>
        <w:tcBorders>
          <w:top w:val="single" w:sz="4" w:space="0" w:color="4D4D4F"/>
          <w:left w:val="single" w:sz="4" w:space="0" w:color="4D4D4F"/>
          <w:bottom w:val="single" w:sz="4" w:space="0" w:color="4D4D4F"/>
          <w:right w:val="single" w:sz="4" w:space="0" w:color="4D4D4F"/>
          <w:insideH w:val="single" w:sz="4" w:space="0" w:color="4D4D4F"/>
          <w:insideV w:val="single" w:sz="4" w:space="0" w:color="4D4D4F"/>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PlaceholderText">
    <w:name w:val="Placeholder Text"/>
    <w:basedOn w:val="DefaultParagraphFont"/>
    <w:uiPriority w:val="99"/>
    <w:semiHidden/>
    <w:rsid w:val="005C117C"/>
    <w:rPr>
      <w:color w:val="808080"/>
    </w:rPr>
  </w:style>
  <w:style w:type="paragraph" w:customStyle="1" w:styleId="TableParagraph">
    <w:name w:val="Table Paragraph"/>
    <w:basedOn w:val="Normal"/>
    <w:uiPriority w:val="1"/>
    <w:qFormat/>
    <w:rsid w:val="005C117C"/>
    <w:pPr>
      <w:widowControl w:val="0"/>
      <w:autoSpaceDE w:val="0"/>
      <w:autoSpaceDN w:val="0"/>
      <w:spacing w:before="1" w:line="223" w:lineRule="exact"/>
      <w:jc w:val="center"/>
    </w:pPr>
    <w:rPr>
      <w:rFonts w:ascii="Calibri" w:eastAsia="Calibri" w:hAnsi="Calibri" w:cs="Calibri"/>
    </w:rPr>
  </w:style>
  <w:style w:type="character" w:customStyle="1" w:styleId="findhit">
    <w:name w:val="findhit"/>
    <w:basedOn w:val="DefaultParagraphFont"/>
    <w:rsid w:val="005C117C"/>
  </w:style>
  <w:style w:type="table" w:customStyle="1" w:styleId="TableGrid30">
    <w:name w:val="Table Grid30"/>
    <w:basedOn w:val="TableNormal"/>
    <w:next w:val="TableGrid"/>
    <w:uiPriority w:val="39"/>
    <w:rsid w:val="005C117C"/>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C117C"/>
  </w:style>
  <w:style w:type="character" w:customStyle="1" w:styleId="scxw131481304">
    <w:name w:val="scxw131481304"/>
    <w:basedOn w:val="DefaultParagraphFont"/>
    <w:rsid w:val="005C117C"/>
  </w:style>
  <w:style w:type="character" w:styleId="Mention">
    <w:name w:val="Mention"/>
    <w:basedOn w:val="DefaultParagraphFont"/>
    <w:uiPriority w:val="99"/>
    <w:unhideWhenUsed/>
    <w:rsid w:val="005C117C"/>
    <w:rPr>
      <w:color w:val="2B579A"/>
      <w:shd w:val="clear" w:color="auto" w:fill="E1DFDD"/>
    </w:rPr>
  </w:style>
  <w:style w:type="paragraph" w:customStyle="1" w:styleId="TableCell">
    <w:name w:val="TableCell"/>
    <w:basedOn w:val="Normal"/>
    <w:link w:val="TableCellChar"/>
    <w:uiPriority w:val="1"/>
    <w:qFormat/>
    <w:rsid w:val="005C117C"/>
    <w:pPr>
      <w:keepNext/>
      <w:tabs>
        <w:tab w:val="left" w:pos="720"/>
      </w:tabs>
      <w:overflowPunct w:val="0"/>
      <w:autoSpaceDE w:val="0"/>
      <w:autoSpaceDN w:val="0"/>
      <w:adjustRightInd w:val="0"/>
      <w:spacing w:before="120" w:after="120"/>
      <w:jc w:val="both"/>
      <w:textAlignment w:val="baseline"/>
    </w:pPr>
    <w:rPr>
      <w:rFonts w:ascii="Arial" w:eastAsia="Times New Roman" w:hAnsi="Arial" w:cs="Times New Roman"/>
      <w:sz w:val="18"/>
      <w:szCs w:val="20"/>
    </w:rPr>
  </w:style>
  <w:style w:type="character" w:customStyle="1" w:styleId="TableCellChar">
    <w:name w:val="TableCell Char"/>
    <w:link w:val="TableCell"/>
    <w:uiPriority w:val="1"/>
    <w:locked/>
    <w:rsid w:val="005C117C"/>
    <w:rPr>
      <w:rFonts w:ascii="Arial" w:eastAsia="Times New Roman" w:hAnsi="Arial" w:cs="Times New Roman"/>
      <w:sz w:val="18"/>
      <w:szCs w:val="20"/>
    </w:rPr>
  </w:style>
  <w:style w:type="table" w:customStyle="1" w:styleId="NewTable">
    <w:name w:val="New Table"/>
    <w:basedOn w:val="TableNormal"/>
    <w:uiPriority w:val="99"/>
    <w:rsid w:val="005C117C"/>
    <w:rPr>
      <w:rFonts w:ascii="Franklin Gothic Book" w:hAnsi="Franklin Gothic Book"/>
      <w:sz w:val="24"/>
      <w:szCs w:val="24"/>
      <w:lang w:eastAsia="ja-JP"/>
    </w:rPr>
    <w:tblPr>
      <w:jc w:val="center"/>
      <w:tblBorders>
        <w:top w:val="single" w:sz="4" w:space="0" w:color="165C7D"/>
        <w:left w:val="single" w:sz="4" w:space="0" w:color="165C7D"/>
        <w:bottom w:val="single" w:sz="4" w:space="0" w:color="165C7D"/>
        <w:right w:val="single" w:sz="4" w:space="0" w:color="165C7D"/>
        <w:insideH w:val="single" w:sz="4" w:space="0" w:color="165C7D"/>
        <w:insideV w:val="single" w:sz="4" w:space="0" w:color="165C7D"/>
      </w:tblBorders>
    </w:tblPr>
    <w:trPr>
      <w:jc w:val="center"/>
    </w:trPr>
    <w:tcPr>
      <w:shd w:val="clear" w:color="auto" w:fill="FFFFFF"/>
      <w:vAlign w:val="center"/>
    </w:tcPr>
    <w:tblStylePr w:type="firstRow">
      <w:tblPr/>
      <w:tcPr>
        <w:tcBorders>
          <w:insideH w:val="nil"/>
          <w:insideV w:val="nil"/>
        </w:tcBorders>
        <w:shd w:val="clear" w:color="auto" w:fill="165C7D"/>
      </w:tcPr>
    </w:tblStylePr>
  </w:style>
  <w:style w:type="paragraph" w:styleId="Title">
    <w:name w:val="Title"/>
    <w:basedOn w:val="Normal"/>
    <w:next w:val="Normal"/>
    <w:link w:val="TitleChar"/>
    <w:uiPriority w:val="99"/>
    <w:qFormat/>
    <w:rsid w:val="005C117C"/>
    <w:pPr>
      <w:contextualSpacing/>
    </w:pPr>
    <w:rPr>
      <w:rFonts w:ascii="Cambria" w:hAnsi="Cambria"/>
      <w:color w:val="000000"/>
      <w:spacing w:val="5"/>
      <w:kern w:val="28"/>
      <w:sz w:val="52"/>
      <w:szCs w:val="52"/>
    </w:rPr>
  </w:style>
  <w:style w:type="character" w:customStyle="1" w:styleId="TitleChar2">
    <w:name w:val="Title Char2"/>
    <w:basedOn w:val="DefaultParagraphFont"/>
    <w:uiPriority w:val="10"/>
    <w:rsid w:val="005C117C"/>
    <w:rPr>
      <w:rFonts w:asciiTheme="majorHAnsi" w:eastAsiaTheme="majorEastAsia" w:hAnsiTheme="majorHAnsi" w:cstheme="majorBidi"/>
      <w:spacing w:val="-10"/>
      <w:kern w:val="28"/>
      <w:sz w:val="56"/>
      <w:szCs w:val="56"/>
    </w:rPr>
  </w:style>
  <w:style w:type="paragraph" w:styleId="Caption">
    <w:name w:val="caption"/>
    <w:basedOn w:val="Normal"/>
    <w:next w:val="Normal"/>
    <w:link w:val="CaptionChar"/>
    <w:uiPriority w:val="99"/>
    <w:semiHidden/>
    <w:unhideWhenUsed/>
    <w:qFormat/>
    <w:rsid w:val="005C117C"/>
    <w:pPr>
      <w:spacing w:after="200"/>
    </w:pPr>
    <w:rPr>
      <w:rFonts w:ascii="Calibri" w:hAnsi="Calibri" w:cs="Calibri"/>
      <w:bCs/>
      <w:sz w:val="20"/>
      <w:szCs w:val="24"/>
    </w:rPr>
  </w:style>
  <w:style w:type="paragraph" w:styleId="List">
    <w:name w:val="List"/>
    <w:basedOn w:val="Normal"/>
    <w:uiPriority w:val="99"/>
    <w:semiHidden/>
    <w:unhideWhenUsed/>
    <w:rsid w:val="005C117C"/>
    <w:pPr>
      <w:ind w:left="360" w:hanging="360"/>
      <w:contextualSpacing/>
    </w:pPr>
  </w:style>
  <w:style w:type="paragraph" w:styleId="ListBullet">
    <w:name w:val="List Bullet"/>
    <w:basedOn w:val="Normal"/>
    <w:uiPriority w:val="99"/>
    <w:semiHidden/>
    <w:unhideWhenUsed/>
    <w:rsid w:val="005C117C"/>
    <w:pPr>
      <w:contextualSpacing/>
    </w:pPr>
  </w:style>
  <w:style w:type="paragraph" w:styleId="EndnoteText">
    <w:name w:val="endnote text"/>
    <w:basedOn w:val="Normal"/>
    <w:link w:val="EndnoteTextChar1"/>
    <w:uiPriority w:val="99"/>
    <w:semiHidden/>
    <w:unhideWhenUsed/>
    <w:rsid w:val="005C117C"/>
    <w:rPr>
      <w:sz w:val="20"/>
      <w:szCs w:val="20"/>
    </w:rPr>
  </w:style>
  <w:style w:type="character" w:customStyle="1" w:styleId="EndnoteTextChar1">
    <w:name w:val="Endnote Text Char1"/>
    <w:basedOn w:val="DefaultParagraphFont"/>
    <w:link w:val="EndnoteText"/>
    <w:uiPriority w:val="99"/>
    <w:semiHidden/>
    <w:rsid w:val="005C117C"/>
    <w:rPr>
      <w:sz w:val="20"/>
      <w:szCs w:val="20"/>
    </w:rPr>
  </w:style>
  <w:style w:type="paragraph" w:styleId="Closing">
    <w:name w:val="Closing"/>
    <w:basedOn w:val="Normal"/>
    <w:link w:val="ClosingChar"/>
    <w:uiPriority w:val="99"/>
    <w:semiHidden/>
    <w:unhideWhenUsed/>
    <w:rsid w:val="005C117C"/>
    <w:pPr>
      <w:ind w:left="4320"/>
    </w:pPr>
    <w:rPr>
      <w:rFonts w:ascii="Garamond" w:hAnsi="Garamond"/>
      <w:szCs w:val="20"/>
    </w:rPr>
  </w:style>
  <w:style w:type="character" w:customStyle="1" w:styleId="ClosingChar1">
    <w:name w:val="Closing Char1"/>
    <w:basedOn w:val="DefaultParagraphFont"/>
    <w:uiPriority w:val="99"/>
    <w:semiHidden/>
    <w:rsid w:val="005C117C"/>
  </w:style>
  <w:style w:type="paragraph" w:styleId="HTMLPreformatted">
    <w:name w:val="HTML Preformatted"/>
    <w:basedOn w:val="Normal"/>
    <w:link w:val="HTMLPreformattedChar1"/>
    <w:uiPriority w:val="99"/>
    <w:semiHidden/>
    <w:unhideWhenUsed/>
    <w:rsid w:val="005C117C"/>
    <w:rPr>
      <w:rFonts w:ascii="Consolas" w:hAnsi="Consolas"/>
      <w:sz w:val="20"/>
      <w:szCs w:val="20"/>
    </w:rPr>
  </w:style>
  <w:style w:type="character" w:customStyle="1" w:styleId="HTMLPreformattedChar1">
    <w:name w:val="HTML Preformatted Char1"/>
    <w:basedOn w:val="DefaultParagraphFont"/>
    <w:link w:val="HTMLPreformatted"/>
    <w:uiPriority w:val="99"/>
    <w:semiHidden/>
    <w:rsid w:val="005C117C"/>
    <w:rPr>
      <w:rFonts w:ascii="Consolas" w:hAnsi="Consolas"/>
      <w:sz w:val="20"/>
      <w:szCs w:val="20"/>
    </w:rPr>
  </w:style>
  <w:style w:type="table" w:styleId="LightList">
    <w:name w:val="Light List"/>
    <w:basedOn w:val="TableNormal"/>
    <w:uiPriority w:val="61"/>
    <w:semiHidden/>
    <w:unhideWhenUsed/>
    <w:rsid w:val="005C117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SubtleEmphasis">
    <w:name w:val="Subtle Emphasis"/>
    <w:basedOn w:val="DefaultParagraphFont"/>
    <w:uiPriority w:val="19"/>
    <w:qFormat/>
    <w:rsid w:val="005C117C"/>
    <w:rPr>
      <w:i/>
      <w:iCs/>
      <w:color w:val="404040" w:themeColor="text1" w:themeTint="BF"/>
    </w:rPr>
  </w:style>
  <w:style w:type="paragraph" w:styleId="BodyTextIndent2">
    <w:name w:val="Body Text Indent 2"/>
    <w:basedOn w:val="Normal"/>
    <w:link w:val="BodyTextIndent2Char1"/>
    <w:uiPriority w:val="99"/>
    <w:semiHidden/>
    <w:unhideWhenUsed/>
    <w:rsid w:val="005C117C"/>
    <w:pPr>
      <w:spacing w:after="120" w:line="480" w:lineRule="auto"/>
      <w:ind w:left="360"/>
    </w:pPr>
  </w:style>
  <w:style w:type="character" w:customStyle="1" w:styleId="BodyTextIndent2Char1">
    <w:name w:val="Body Text Indent 2 Char1"/>
    <w:basedOn w:val="DefaultParagraphFont"/>
    <w:link w:val="BodyTextIndent2"/>
    <w:uiPriority w:val="99"/>
    <w:semiHidden/>
    <w:rsid w:val="005C117C"/>
  </w:style>
  <w:style w:type="paragraph" w:styleId="BodyTextIndent3">
    <w:name w:val="Body Text Indent 3"/>
    <w:basedOn w:val="Normal"/>
    <w:link w:val="BodyTextIndent3Char1"/>
    <w:uiPriority w:val="99"/>
    <w:semiHidden/>
    <w:unhideWhenUsed/>
    <w:rsid w:val="005C117C"/>
    <w:pPr>
      <w:spacing w:after="120"/>
      <w:ind w:left="360"/>
    </w:pPr>
    <w:rPr>
      <w:sz w:val="16"/>
      <w:szCs w:val="16"/>
    </w:rPr>
  </w:style>
  <w:style w:type="character" w:customStyle="1" w:styleId="BodyTextIndent3Char1">
    <w:name w:val="Body Text Indent 3 Char1"/>
    <w:basedOn w:val="DefaultParagraphFont"/>
    <w:link w:val="BodyTextIndent3"/>
    <w:uiPriority w:val="99"/>
    <w:semiHidden/>
    <w:rsid w:val="005C117C"/>
    <w:rPr>
      <w:sz w:val="16"/>
      <w:szCs w:val="16"/>
    </w:rPr>
  </w:style>
  <w:style w:type="table" w:styleId="TableClassic1">
    <w:name w:val="Table Classic 1"/>
    <w:basedOn w:val="TableNormal"/>
    <w:uiPriority w:val="99"/>
    <w:semiHidden/>
    <w:unhideWhenUsed/>
    <w:rsid w:val="005C117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2">
    <w:name w:val="Light List Accent 2"/>
    <w:basedOn w:val="TableNormal"/>
    <w:uiPriority w:val="61"/>
    <w:semiHidden/>
    <w:unhideWhenUsed/>
    <w:rsid w:val="005C117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GridTable1Light">
    <w:name w:val="Grid Table 1 Light"/>
    <w:basedOn w:val="TableNormal"/>
    <w:uiPriority w:val="46"/>
    <w:rsid w:val="005C117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54553">
      <w:bodyDiv w:val="1"/>
      <w:marLeft w:val="0"/>
      <w:marRight w:val="0"/>
      <w:marTop w:val="0"/>
      <w:marBottom w:val="0"/>
      <w:divBdr>
        <w:top w:val="none" w:sz="0" w:space="0" w:color="auto"/>
        <w:left w:val="none" w:sz="0" w:space="0" w:color="auto"/>
        <w:bottom w:val="none" w:sz="0" w:space="0" w:color="auto"/>
        <w:right w:val="none" w:sz="0" w:space="0" w:color="auto"/>
      </w:divBdr>
    </w:div>
    <w:div w:id="129710402">
      <w:bodyDiv w:val="1"/>
      <w:marLeft w:val="0"/>
      <w:marRight w:val="0"/>
      <w:marTop w:val="0"/>
      <w:marBottom w:val="0"/>
      <w:divBdr>
        <w:top w:val="none" w:sz="0" w:space="0" w:color="auto"/>
        <w:left w:val="none" w:sz="0" w:space="0" w:color="auto"/>
        <w:bottom w:val="none" w:sz="0" w:space="0" w:color="auto"/>
        <w:right w:val="none" w:sz="0" w:space="0" w:color="auto"/>
      </w:divBdr>
    </w:div>
    <w:div w:id="187061511">
      <w:bodyDiv w:val="1"/>
      <w:marLeft w:val="0"/>
      <w:marRight w:val="0"/>
      <w:marTop w:val="0"/>
      <w:marBottom w:val="0"/>
      <w:divBdr>
        <w:top w:val="none" w:sz="0" w:space="0" w:color="auto"/>
        <w:left w:val="none" w:sz="0" w:space="0" w:color="auto"/>
        <w:bottom w:val="none" w:sz="0" w:space="0" w:color="auto"/>
        <w:right w:val="none" w:sz="0" w:space="0" w:color="auto"/>
      </w:divBdr>
    </w:div>
    <w:div w:id="478573345">
      <w:bodyDiv w:val="1"/>
      <w:marLeft w:val="0"/>
      <w:marRight w:val="0"/>
      <w:marTop w:val="0"/>
      <w:marBottom w:val="0"/>
      <w:divBdr>
        <w:top w:val="none" w:sz="0" w:space="0" w:color="auto"/>
        <w:left w:val="none" w:sz="0" w:space="0" w:color="auto"/>
        <w:bottom w:val="none" w:sz="0" w:space="0" w:color="auto"/>
        <w:right w:val="none" w:sz="0" w:space="0" w:color="auto"/>
      </w:divBdr>
    </w:div>
    <w:div w:id="513230231">
      <w:bodyDiv w:val="1"/>
      <w:marLeft w:val="0"/>
      <w:marRight w:val="0"/>
      <w:marTop w:val="0"/>
      <w:marBottom w:val="0"/>
      <w:divBdr>
        <w:top w:val="none" w:sz="0" w:space="0" w:color="auto"/>
        <w:left w:val="none" w:sz="0" w:space="0" w:color="auto"/>
        <w:bottom w:val="none" w:sz="0" w:space="0" w:color="auto"/>
        <w:right w:val="none" w:sz="0" w:space="0" w:color="auto"/>
      </w:divBdr>
    </w:div>
    <w:div w:id="517543811">
      <w:bodyDiv w:val="1"/>
      <w:marLeft w:val="0"/>
      <w:marRight w:val="0"/>
      <w:marTop w:val="0"/>
      <w:marBottom w:val="0"/>
      <w:divBdr>
        <w:top w:val="none" w:sz="0" w:space="0" w:color="auto"/>
        <w:left w:val="none" w:sz="0" w:space="0" w:color="auto"/>
        <w:bottom w:val="none" w:sz="0" w:space="0" w:color="auto"/>
        <w:right w:val="none" w:sz="0" w:space="0" w:color="auto"/>
      </w:divBdr>
    </w:div>
    <w:div w:id="542913133">
      <w:bodyDiv w:val="1"/>
      <w:marLeft w:val="0"/>
      <w:marRight w:val="0"/>
      <w:marTop w:val="0"/>
      <w:marBottom w:val="0"/>
      <w:divBdr>
        <w:top w:val="none" w:sz="0" w:space="0" w:color="auto"/>
        <w:left w:val="none" w:sz="0" w:space="0" w:color="auto"/>
        <w:bottom w:val="none" w:sz="0" w:space="0" w:color="auto"/>
        <w:right w:val="none" w:sz="0" w:space="0" w:color="auto"/>
      </w:divBdr>
    </w:div>
    <w:div w:id="563107265">
      <w:bodyDiv w:val="1"/>
      <w:marLeft w:val="0"/>
      <w:marRight w:val="0"/>
      <w:marTop w:val="0"/>
      <w:marBottom w:val="0"/>
      <w:divBdr>
        <w:top w:val="none" w:sz="0" w:space="0" w:color="auto"/>
        <w:left w:val="none" w:sz="0" w:space="0" w:color="auto"/>
        <w:bottom w:val="none" w:sz="0" w:space="0" w:color="auto"/>
        <w:right w:val="none" w:sz="0" w:space="0" w:color="auto"/>
      </w:divBdr>
    </w:div>
    <w:div w:id="565068027">
      <w:bodyDiv w:val="1"/>
      <w:marLeft w:val="0"/>
      <w:marRight w:val="0"/>
      <w:marTop w:val="0"/>
      <w:marBottom w:val="0"/>
      <w:divBdr>
        <w:top w:val="none" w:sz="0" w:space="0" w:color="auto"/>
        <w:left w:val="none" w:sz="0" w:space="0" w:color="auto"/>
        <w:bottom w:val="none" w:sz="0" w:space="0" w:color="auto"/>
        <w:right w:val="none" w:sz="0" w:space="0" w:color="auto"/>
      </w:divBdr>
    </w:div>
    <w:div w:id="658196435">
      <w:bodyDiv w:val="1"/>
      <w:marLeft w:val="0"/>
      <w:marRight w:val="0"/>
      <w:marTop w:val="0"/>
      <w:marBottom w:val="0"/>
      <w:divBdr>
        <w:top w:val="none" w:sz="0" w:space="0" w:color="auto"/>
        <w:left w:val="none" w:sz="0" w:space="0" w:color="auto"/>
        <w:bottom w:val="none" w:sz="0" w:space="0" w:color="auto"/>
        <w:right w:val="none" w:sz="0" w:space="0" w:color="auto"/>
      </w:divBdr>
    </w:div>
    <w:div w:id="711610727">
      <w:bodyDiv w:val="1"/>
      <w:marLeft w:val="0"/>
      <w:marRight w:val="0"/>
      <w:marTop w:val="0"/>
      <w:marBottom w:val="0"/>
      <w:divBdr>
        <w:top w:val="none" w:sz="0" w:space="0" w:color="auto"/>
        <w:left w:val="none" w:sz="0" w:space="0" w:color="auto"/>
        <w:bottom w:val="none" w:sz="0" w:space="0" w:color="auto"/>
        <w:right w:val="none" w:sz="0" w:space="0" w:color="auto"/>
      </w:divBdr>
    </w:div>
    <w:div w:id="825168753">
      <w:bodyDiv w:val="1"/>
      <w:marLeft w:val="0"/>
      <w:marRight w:val="0"/>
      <w:marTop w:val="0"/>
      <w:marBottom w:val="0"/>
      <w:divBdr>
        <w:top w:val="none" w:sz="0" w:space="0" w:color="auto"/>
        <w:left w:val="none" w:sz="0" w:space="0" w:color="auto"/>
        <w:bottom w:val="none" w:sz="0" w:space="0" w:color="auto"/>
        <w:right w:val="none" w:sz="0" w:space="0" w:color="auto"/>
      </w:divBdr>
    </w:div>
    <w:div w:id="845050552">
      <w:bodyDiv w:val="1"/>
      <w:marLeft w:val="0"/>
      <w:marRight w:val="0"/>
      <w:marTop w:val="0"/>
      <w:marBottom w:val="0"/>
      <w:divBdr>
        <w:top w:val="none" w:sz="0" w:space="0" w:color="auto"/>
        <w:left w:val="none" w:sz="0" w:space="0" w:color="auto"/>
        <w:bottom w:val="none" w:sz="0" w:space="0" w:color="auto"/>
        <w:right w:val="none" w:sz="0" w:space="0" w:color="auto"/>
      </w:divBdr>
      <w:divsChild>
        <w:div w:id="2040859258">
          <w:marLeft w:val="-15"/>
          <w:marRight w:val="0"/>
          <w:marTop w:val="0"/>
          <w:marBottom w:val="0"/>
          <w:divBdr>
            <w:top w:val="none" w:sz="0" w:space="0" w:color="auto"/>
            <w:left w:val="none" w:sz="0" w:space="0" w:color="auto"/>
            <w:bottom w:val="none" w:sz="0" w:space="0" w:color="auto"/>
            <w:right w:val="none" w:sz="0" w:space="0" w:color="auto"/>
          </w:divBdr>
        </w:div>
        <w:div w:id="1939362256">
          <w:marLeft w:val="0"/>
          <w:marRight w:val="0"/>
          <w:marTop w:val="0"/>
          <w:marBottom w:val="0"/>
          <w:divBdr>
            <w:top w:val="none" w:sz="0" w:space="0" w:color="auto"/>
            <w:left w:val="none" w:sz="0" w:space="0" w:color="auto"/>
            <w:bottom w:val="none" w:sz="0" w:space="0" w:color="auto"/>
            <w:right w:val="none" w:sz="0" w:space="0" w:color="auto"/>
          </w:divBdr>
        </w:div>
        <w:div w:id="1054740715">
          <w:marLeft w:val="-15"/>
          <w:marRight w:val="0"/>
          <w:marTop w:val="0"/>
          <w:marBottom w:val="0"/>
          <w:divBdr>
            <w:top w:val="none" w:sz="0" w:space="0" w:color="auto"/>
            <w:left w:val="none" w:sz="0" w:space="0" w:color="auto"/>
            <w:bottom w:val="none" w:sz="0" w:space="0" w:color="auto"/>
            <w:right w:val="none" w:sz="0" w:space="0" w:color="auto"/>
          </w:divBdr>
        </w:div>
        <w:div w:id="626353044">
          <w:marLeft w:val="3330"/>
          <w:marRight w:val="0"/>
          <w:marTop w:val="0"/>
          <w:marBottom w:val="0"/>
          <w:divBdr>
            <w:top w:val="none" w:sz="0" w:space="0" w:color="auto"/>
            <w:left w:val="none" w:sz="0" w:space="0" w:color="auto"/>
            <w:bottom w:val="none" w:sz="0" w:space="0" w:color="auto"/>
            <w:right w:val="none" w:sz="0" w:space="0" w:color="auto"/>
          </w:divBdr>
        </w:div>
        <w:div w:id="1262026992">
          <w:marLeft w:val="-15"/>
          <w:marRight w:val="0"/>
          <w:marTop w:val="0"/>
          <w:marBottom w:val="0"/>
          <w:divBdr>
            <w:top w:val="none" w:sz="0" w:space="0" w:color="auto"/>
            <w:left w:val="none" w:sz="0" w:space="0" w:color="auto"/>
            <w:bottom w:val="none" w:sz="0" w:space="0" w:color="auto"/>
            <w:right w:val="none" w:sz="0" w:space="0" w:color="auto"/>
          </w:divBdr>
        </w:div>
        <w:div w:id="266544694">
          <w:marLeft w:val="0"/>
          <w:marRight w:val="0"/>
          <w:marTop w:val="0"/>
          <w:marBottom w:val="0"/>
          <w:divBdr>
            <w:top w:val="none" w:sz="0" w:space="0" w:color="auto"/>
            <w:left w:val="none" w:sz="0" w:space="0" w:color="auto"/>
            <w:bottom w:val="none" w:sz="0" w:space="0" w:color="auto"/>
            <w:right w:val="none" w:sz="0" w:space="0" w:color="auto"/>
          </w:divBdr>
        </w:div>
        <w:div w:id="27947663">
          <w:marLeft w:val="-15"/>
          <w:marRight w:val="0"/>
          <w:marTop w:val="0"/>
          <w:marBottom w:val="0"/>
          <w:divBdr>
            <w:top w:val="none" w:sz="0" w:space="0" w:color="auto"/>
            <w:left w:val="none" w:sz="0" w:space="0" w:color="auto"/>
            <w:bottom w:val="none" w:sz="0" w:space="0" w:color="auto"/>
            <w:right w:val="none" w:sz="0" w:space="0" w:color="auto"/>
          </w:divBdr>
        </w:div>
        <w:div w:id="272786885">
          <w:marLeft w:val="0"/>
          <w:marRight w:val="0"/>
          <w:marTop w:val="0"/>
          <w:marBottom w:val="0"/>
          <w:divBdr>
            <w:top w:val="none" w:sz="0" w:space="0" w:color="auto"/>
            <w:left w:val="none" w:sz="0" w:space="0" w:color="auto"/>
            <w:bottom w:val="none" w:sz="0" w:space="0" w:color="auto"/>
            <w:right w:val="none" w:sz="0" w:space="0" w:color="auto"/>
          </w:divBdr>
        </w:div>
        <w:div w:id="1685979520">
          <w:marLeft w:val="285"/>
          <w:marRight w:val="0"/>
          <w:marTop w:val="0"/>
          <w:marBottom w:val="0"/>
          <w:divBdr>
            <w:top w:val="none" w:sz="0" w:space="0" w:color="auto"/>
            <w:left w:val="none" w:sz="0" w:space="0" w:color="auto"/>
            <w:bottom w:val="none" w:sz="0" w:space="0" w:color="auto"/>
            <w:right w:val="none" w:sz="0" w:space="0" w:color="auto"/>
          </w:divBdr>
        </w:div>
        <w:div w:id="188951696">
          <w:marLeft w:val="1905"/>
          <w:marRight w:val="0"/>
          <w:marTop w:val="0"/>
          <w:marBottom w:val="0"/>
          <w:divBdr>
            <w:top w:val="none" w:sz="0" w:space="0" w:color="auto"/>
            <w:left w:val="none" w:sz="0" w:space="0" w:color="auto"/>
            <w:bottom w:val="none" w:sz="0" w:space="0" w:color="auto"/>
            <w:right w:val="none" w:sz="0" w:space="0" w:color="auto"/>
          </w:divBdr>
        </w:div>
        <w:div w:id="517357673">
          <w:marLeft w:val="0"/>
          <w:marRight w:val="0"/>
          <w:marTop w:val="0"/>
          <w:marBottom w:val="0"/>
          <w:divBdr>
            <w:top w:val="none" w:sz="0" w:space="0" w:color="auto"/>
            <w:left w:val="none" w:sz="0" w:space="0" w:color="auto"/>
            <w:bottom w:val="none" w:sz="0" w:space="0" w:color="auto"/>
            <w:right w:val="none" w:sz="0" w:space="0" w:color="auto"/>
          </w:divBdr>
        </w:div>
        <w:div w:id="77025304">
          <w:marLeft w:val="0"/>
          <w:marRight w:val="0"/>
          <w:marTop w:val="0"/>
          <w:marBottom w:val="0"/>
          <w:divBdr>
            <w:top w:val="none" w:sz="0" w:space="0" w:color="auto"/>
            <w:left w:val="none" w:sz="0" w:space="0" w:color="auto"/>
            <w:bottom w:val="none" w:sz="0" w:space="0" w:color="auto"/>
            <w:right w:val="none" w:sz="0" w:space="0" w:color="auto"/>
          </w:divBdr>
        </w:div>
        <w:div w:id="1148397523">
          <w:marLeft w:val="-15"/>
          <w:marRight w:val="0"/>
          <w:marTop w:val="0"/>
          <w:marBottom w:val="0"/>
          <w:divBdr>
            <w:top w:val="none" w:sz="0" w:space="0" w:color="auto"/>
            <w:left w:val="none" w:sz="0" w:space="0" w:color="auto"/>
            <w:bottom w:val="none" w:sz="0" w:space="0" w:color="auto"/>
            <w:right w:val="none" w:sz="0" w:space="0" w:color="auto"/>
          </w:divBdr>
        </w:div>
        <w:div w:id="1358123339">
          <w:marLeft w:val="0"/>
          <w:marRight w:val="0"/>
          <w:marTop w:val="0"/>
          <w:marBottom w:val="0"/>
          <w:divBdr>
            <w:top w:val="none" w:sz="0" w:space="0" w:color="auto"/>
            <w:left w:val="none" w:sz="0" w:space="0" w:color="auto"/>
            <w:bottom w:val="none" w:sz="0" w:space="0" w:color="auto"/>
            <w:right w:val="none" w:sz="0" w:space="0" w:color="auto"/>
          </w:divBdr>
        </w:div>
        <w:div w:id="1499342353">
          <w:marLeft w:val="0"/>
          <w:marRight w:val="0"/>
          <w:marTop w:val="0"/>
          <w:marBottom w:val="0"/>
          <w:divBdr>
            <w:top w:val="none" w:sz="0" w:space="0" w:color="auto"/>
            <w:left w:val="none" w:sz="0" w:space="0" w:color="auto"/>
            <w:bottom w:val="none" w:sz="0" w:space="0" w:color="auto"/>
            <w:right w:val="none" w:sz="0" w:space="0" w:color="auto"/>
          </w:divBdr>
        </w:div>
        <w:div w:id="1976448521">
          <w:marLeft w:val="-15"/>
          <w:marRight w:val="0"/>
          <w:marTop w:val="0"/>
          <w:marBottom w:val="0"/>
          <w:divBdr>
            <w:top w:val="none" w:sz="0" w:space="0" w:color="auto"/>
            <w:left w:val="none" w:sz="0" w:space="0" w:color="auto"/>
            <w:bottom w:val="none" w:sz="0" w:space="0" w:color="auto"/>
            <w:right w:val="none" w:sz="0" w:space="0" w:color="auto"/>
          </w:divBdr>
        </w:div>
        <w:div w:id="471095951">
          <w:marLeft w:val="0"/>
          <w:marRight w:val="0"/>
          <w:marTop w:val="0"/>
          <w:marBottom w:val="0"/>
          <w:divBdr>
            <w:top w:val="none" w:sz="0" w:space="0" w:color="auto"/>
            <w:left w:val="none" w:sz="0" w:space="0" w:color="auto"/>
            <w:bottom w:val="none" w:sz="0" w:space="0" w:color="auto"/>
            <w:right w:val="none" w:sz="0" w:space="0" w:color="auto"/>
          </w:divBdr>
        </w:div>
        <w:div w:id="1418289059">
          <w:marLeft w:val="-15"/>
          <w:marRight w:val="0"/>
          <w:marTop w:val="0"/>
          <w:marBottom w:val="0"/>
          <w:divBdr>
            <w:top w:val="none" w:sz="0" w:space="0" w:color="auto"/>
            <w:left w:val="none" w:sz="0" w:space="0" w:color="auto"/>
            <w:bottom w:val="none" w:sz="0" w:space="0" w:color="auto"/>
            <w:right w:val="none" w:sz="0" w:space="0" w:color="auto"/>
          </w:divBdr>
        </w:div>
        <w:div w:id="494808758">
          <w:marLeft w:val="-15"/>
          <w:marRight w:val="0"/>
          <w:marTop w:val="0"/>
          <w:marBottom w:val="0"/>
          <w:divBdr>
            <w:top w:val="none" w:sz="0" w:space="0" w:color="auto"/>
            <w:left w:val="none" w:sz="0" w:space="0" w:color="auto"/>
            <w:bottom w:val="none" w:sz="0" w:space="0" w:color="auto"/>
            <w:right w:val="none" w:sz="0" w:space="0" w:color="auto"/>
          </w:divBdr>
        </w:div>
        <w:div w:id="568346291">
          <w:marLeft w:val="-15"/>
          <w:marRight w:val="0"/>
          <w:marTop w:val="0"/>
          <w:marBottom w:val="0"/>
          <w:divBdr>
            <w:top w:val="none" w:sz="0" w:space="0" w:color="auto"/>
            <w:left w:val="none" w:sz="0" w:space="0" w:color="auto"/>
            <w:bottom w:val="none" w:sz="0" w:space="0" w:color="auto"/>
            <w:right w:val="none" w:sz="0" w:space="0" w:color="auto"/>
          </w:divBdr>
        </w:div>
        <w:div w:id="1604414798">
          <w:marLeft w:val="-15"/>
          <w:marRight w:val="0"/>
          <w:marTop w:val="0"/>
          <w:marBottom w:val="0"/>
          <w:divBdr>
            <w:top w:val="none" w:sz="0" w:space="0" w:color="auto"/>
            <w:left w:val="none" w:sz="0" w:space="0" w:color="auto"/>
            <w:bottom w:val="none" w:sz="0" w:space="0" w:color="auto"/>
            <w:right w:val="none" w:sz="0" w:space="0" w:color="auto"/>
          </w:divBdr>
        </w:div>
        <w:div w:id="1735079098">
          <w:marLeft w:val="-15"/>
          <w:marRight w:val="0"/>
          <w:marTop w:val="0"/>
          <w:marBottom w:val="0"/>
          <w:divBdr>
            <w:top w:val="none" w:sz="0" w:space="0" w:color="auto"/>
            <w:left w:val="none" w:sz="0" w:space="0" w:color="auto"/>
            <w:bottom w:val="none" w:sz="0" w:space="0" w:color="auto"/>
            <w:right w:val="none" w:sz="0" w:space="0" w:color="auto"/>
          </w:divBdr>
        </w:div>
        <w:div w:id="7757936">
          <w:marLeft w:val="0"/>
          <w:marRight w:val="0"/>
          <w:marTop w:val="0"/>
          <w:marBottom w:val="0"/>
          <w:divBdr>
            <w:top w:val="none" w:sz="0" w:space="0" w:color="auto"/>
            <w:left w:val="none" w:sz="0" w:space="0" w:color="auto"/>
            <w:bottom w:val="none" w:sz="0" w:space="0" w:color="auto"/>
            <w:right w:val="none" w:sz="0" w:space="0" w:color="auto"/>
          </w:divBdr>
          <w:divsChild>
            <w:div w:id="844132109">
              <w:marLeft w:val="0"/>
              <w:marRight w:val="0"/>
              <w:marTop w:val="0"/>
              <w:marBottom w:val="0"/>
              <w:divBdr>
                <w:top w:val="none" w:sz="0" w:space="0" w:color="auto"/>
                <w:left w:val="none" w:sz="0" w:space="0" w:color="auto"/>
                <w:bottom w:val="none" w:sz="0" w:space="0" w:color="auto"/>
                <w:right w:val="none" w:sz="0" w:space="0" w:color="auto"/>
              </w:divBdr>
              <w:divsChild>
                <w:div w:id="1470780366">
                  <w:marLeft w:val="0"/>
                  <w:marRight w:val="0"/>
                  <w:marTop w:val="0"/>
                  <w:marBottom w:val="0"/>
                  <w:divBdr>
                    <w:top w:val="none" w:sz="0" w:space="0" w:color="auto"/>
                    <w:left w:val="none" w:sz="0" w:space="0" w:color="auto"/>
                    <w:bottom w:val="none" w:sz="0" w:space="0" w:color="auto"/>
                    <w:right w:val="none" w:sz="0" w:space="0" w:color="auto"/>
                  </w:divBdr>
                  <w:divsChild>
                    <w:div w:id="1452212783">
                      <w:marLeft w:val="0"/>
                      <w:marRight w:val="0"/>
                      <w:marTop w:val="0"/>
                      <w:marBottom w:val="0"/>
                      <w:divBdr>
                        <w:top w:val="none" w:sz="0" w:space="0" w:color="auto"/>
                        <w:left w:val="none" w:sz="0" w:space="0" w:color="auto"/>
                        <w:bottom w:val="none" w:sz="0" w:space="0" w:color="auto"/>
                        <w:right w:val="none" w:sz="0" w:space="0" w:color="auto"/>
                      </w:divBdr>
                    </w:div>
                  </w:divsChild>
                </w:div>
                <w:div w:id="164591618">
                  <w:marLeft w:val="0"/>
                  <w:marRight w:val="0"/>
                  <w:marTop w:val="0"/>
                  <w:marBottom w:val="0"/>
                  <w:divBdr>
                    <w:top w:val="none" w:sz="0" w:space="0" w:color="auto"/>
                    <w:left w:val="none" w:sz="0" w:space="0" w:color="auto"/>
                    <w:bottom w:val="none" w:sz="0" w:space="0" w:color="auto"/>
                    <w:right w:val="none" w:sz="0" w:space="0" w:color="auto"/>
                  </w:divBdr>
                  <w:divsChild>
                    <w:div w:id="953440219">
                      <w:marLeft w:val="0"/>
                      <w:marRight w:val="0"/>
                      <w:marTop w:val="0"/>
                      <w:marBottom w:val="0"/>
                      <w:divBdr>
                        <w:top w:val="none" w:sz="0" w:space="0" w:color="auto"/>
                        <w:left w:val="none" w:sz="0" w:space="0" w:color="auto"/>
                        <w:bottom w:val="none" w:sz="0" w:space="0" w:color="auto"/>
                        <w:right w:val="none" w:sz="0" w:space="0" w:color="auto"/>
                      </w:divBdr>
                    </w:div>
                  </w:divsChild>
                </w:div>
                <w:div w:id="1087193466">
                  <w:marLeft w:val="0"/>
                  <w:marRight w:val="0"/>
                  <w:marTop w:val="0"/>
                  <w:marBottom w:val="0"/>
                  <w:divBdr>
                    <w:top w:val="none" w:sz="0" w:space="0" w:color="auto"/>
                    <w:left w:val="none" w:sz="0" w:space="0" w:color="auto"/>
                    <w:bottom w:val="none" w:sz="0" w:space="0" w:color="auto"/>
                    <w:right w:val="none" w:sz="0" w:space="0" w:color="auto"/>
                  </w:divBdr>
                  <w:divsChild>
                    <w:div w:id="178741560">
                      <w:marLeft w:val="0"/>
                      <w:marRight w:val="0"/>
                      <w:marTop w:val="0"/>
                      <w:marBottom w:val="0"/>
                      <w:divBdr>
                        <w:top w:val="none" w:sz="0" w:space="0" w:color="auto"/>
                        <w:left w:val="none" w:sz="0" w:space="0" w:color="auto"/>
                        <w:bottom w:val="none" w:sz="0" w:space="0" w:color="auto"/>
                        <w:right w:val="none" w:sz="0" w:space="0" w:color="auto"/>
                      </w:divBdr>
                    </w:div>
                  </w:divsChild>
                </w:div>
                <w:div w:id="1312325353">
                  <w:marLeft w:val="0"/>
                  <w:marRight w:val="0"/>
                  <w:marTop w:val="0"/>
                  <w:marBottom w:val="0"/>
                  <w:divBdr>
                    <w:top w:val="none" w:sz="0" w:space="0" w:color="auto"/>
                    <w:left w:val="none" w:sz="0" w:space="0" w:color="auto"/>
                    <w:bottom w:val="none" w:sz="0" w:space="0" w:color="auto"/>
                    <w:right w:val="none" w:sz="0" w:space="0" w:color="auto"/>
                  </w:divBdr>
                  <w:divsChild>
                    <w:div w:id="1991252429">
                      <w:marLeft w:val="0"/>
                      <w:marRight w:val="0"/>
                      <w:marTop w:val="0"/>
                      <w:marBottom w:val="0"/>
                      <w:divBdr>
                        <w:top w:val="none" w:sz="0" w:space="0" w:color="auto"/>
                        <w:left w:val="none" w:sz="0" w:space="0" w:color="auto"/>
                        <w:bottom w:val="none" w:sz="0" w:space="0" w:color="auto"/>
                        <w:right w:val="none" w:sz="0" w:space="0" w:color="auto"/>
                      </w:divBdr>
                    </w:div>
                  </w:divsChild>
                </w:div>
                <w:div w:id="813257964">
                  <w:marLeft w:val="0"/>
                  <w:marRight w:val="0"/>
                  <w:marTop w:val="0"/>
                  <w:marBottom w:val="0"/>
                  <w:divBdr>
                    <w:top w:val="none" w:sz="0" w:space="0" w:color="auto"/>
                    <w:left w:val="none" w:sz="0" w:space="0" w:color="auto"/>
                    <w:bottom w:val="none" w:sz="0" w:space="0" w:color="auto"/>
                    <w:right w:val="none" w:sz="0" w:space="0" w:color="auto"/>
                  </w:divBdr>
                  <w:divsChild>
                    <w:div w:id="1332677350">
                      <w:marLeft w:val="0"/>
                      <w:marRight w:val="0"/>
                      <w:marTop w:val="0"/>
                      <w:marBottom w:val="0"/>
                      <w:divBdr>
                        <w:top w:val="none" w:sz="0" w:space="0" w:color="auto"/>
                        <w:left w:val="none" w:sz="0" w:space="0" w:color="auto"/>
                        <w:bottom w:val="none" w:sz="0" w:space="0" w:color="auto"/>
                        <w:right w:val="none" w:sz="0" w:space="0" w:color="auto"/>
                      </w:divBdr>
                    </w:div>
                  </w:divsChild>
                </w:div>
                <w:div w:id="1680425917">
                  <w:marLeft w:val="0"/>
                  <w:marRight w:val="0"/>
                  <w:marTop w:val="0"/>
                  <w:marBottom w:val="0"/>
                  <w:divBdr>
                    <w:top w:val="none" w:sz="0" w:space="0" w:color="auto"/>
                    <w:left w:val="none" w:sz="0" w:space="0" w:color="auto"/>
                    <w:bottom w:val="none" w:sz="0" w:space="0" w:color="auto"/>
                    <w:right w:val="none" w:sz="0" w:space="0" w:color="auto"/>
                  </w:divBdr>
                  <w:divsChild>
                    <w:div w:id="135994769">
                      <w:marLeft w:val="0"/>
                      <w:marRight w:val="0"/>
                      <w:marTop w:val="0"/>
                      <w:marBottom w:val="0"/>
                      <w:divBdr>
                        <w:top w:val="none" w:sz="0" w:space="0" w:color="auto"/>
                        <w:left w:val="none" w:sz="0" w:space="0" w:color="auto"/>
                        <w:bottom w:val="none" w:sz="0" w:space="0" w:color="auto"/>
                        <w:right w:val="none" w:sz="0" w:space="0" w:color="auto"/>
                      </w:divBdr>
                    </w:div>
                  </w:divsChild>
                </w:div>
                <w:div w:id="945119449">
                  <w:marLeft w:val="0"/>
                  <w:marRight w:val="0"/>
                  <w:marTop w:val="0"/>
                  <w:marBottom w:val="0"/>
                  <w:divBdr>
                    <w:top w:val="none" w:sz="0" w:space="0" w:color="auto"/>
                    <w:left w:val="none" w:sz="0" w:space="0" w:color="auto"/>
                    <w:bottom w:val="none" w:sz="0" w:space="0" w:color="auto"/>
                    <w:right w:val="none" w:sz="0" w:space="0" w:color="auto"/>
                  </w:divBdr>
                  <w:divsChild>
                    <w:div w:id="1460416970">
                      <w:marLeft w:val="0"/>
                      <w:marRight w:val="0"/>
                      <w:marTop w:val="0"/>
                      <w:marBottom w:val="0"/>
                      <w:divBdr>
                        <w:top w:val="none" w:sz="0" w:space="0" w:color="auto"/>
                        <w:left w:val="none" w:sz="0" w:space="0" w:color="auto"/>
                        <w:bottom w:val="none" w:sz="0" w:space="0" w:color="auto"/>
                        <w:right w:val="none" w:sz="0" w:space="0" w:color="auto"/>
                      </w:divBdr>
                    </w:div>
                  </w:divsChild>
                </w:div>
                <w:div w:id="1572425539">
                  <w:marLeft w:val="0"/>
                  <w:marRight w:val="0"/>
                  <w:marTop w:val="0"/>
                  <w:marBottom w:val="0"/>
                  <w:divBdr>
                    <w:top w:val="none" w:sz="0" w:space="0" w:color="auto"/>
                    <w:left w:val="none" w:sz="0" w:space="0" w:color="auto"/>
                    <w:bottom w:val="none" w:sz="0" w:space="0" w:color="auto"/>
                    <w:right w:val="none" w:sz="0" w:space="0" w:color="auto"/>
                  </w:divBdr>
                  <w:divsChild>
                    <w:div w:id="165370091">
                      <w:marLeft w:val="0"/>
                      <w:marRight w:val="0"/>
                      <w:marTop w:val="0"/>
                      <w:marBottom w:val="0"/>
                      <w:divBdr>
                        <w:top w:val="none" w:sz="0" w:space="0" w:color="auto"/>
                        <w:left w:val="none" w:sz="0" w:space="0" w:color="auto"/>
                        <w:bottom w:val="none" w:sz="0" w:space="0" w:color="auto"/>
                        <w:right w:val="none" w:sz="0" w:space="0" w:color="auto"/>
                      </w:divBdr>
                    </w:div>
                  </w:divsChild>
                </w:div>
                <w:div w:id="121579223">
                  <w:marLeft w:val="0"/>
                  <w:marRight w:val="0"/>
                  <w:marTop w:val="0"/>
                  <w:marBottom w:val="0"/>
                  <w:divBdr>
                    <w:top w:val="none" w:sz="0" w:space="0" w:color="auto"/>
                    <w:left w:val="none" w:sz="0" w:space="0" w:color="auto"/>
                    <w:bottom w:val="none" w:sz="0" w:space="0" w:color="auto"/>
                    <w:right w:val="none" w:sz="0" w:space="0" w:color="auto"/>
                  </w:divBdr>
                  <w:divsChild>
                    <w:div w:id="1544245948">
                      <w:marLeft w:val="0"/>
                      <w:marRight w:val="0"/>
                      <w:marTop w:val="0"/>
                      <w:marBottom w:val="0"/>
                      <w:divBdr>
                        <w:top w:val="none" w:sz="0" w:space="0" w:color="auto"/>
                        <w:left w:val="none" w:sz="0" w:space="0" w:color="auto"/>
                        <w:bottom w:val="none" w:sz="0" w:space="0" w:color="auto"/>
                        <w:right w:val="none" w:sz="0" w:space="0" w:color="auto"/>
                      </w:divBdr>
                    </w:div>
                  </w:divsChild>
                </w:div>
                <w:div w:id="605043353">
                  <w:marLeft w:val="0"/>
                  <w:marRight w:val="0"/>
                  <w:marTop w:val="0"/>
                  <w:marBottom w:val="0"/>
                  <w:divBdr>
                    <w:top w:val="none" w:sz="0" w:space="0" w:color="auto"/>
                    <w:left w:val="none" w:sz="0" w:space="0" w:color="auto"/>
                    <w:bottom w:val="none" w:sz="0" w:space="0" w:color="auto"/>
                    <w:right w:val="none" w:sz="0" w:space="0" w:color="auto"/>
                  </w:divBdr>
                  <w:divsChild>
                    <w:div w:id="360790912">
                      <w:marLeft w:val="0"/>
                      <w:marRight w:val="0"/>
                      <w:marTop w:val="0"/>
                      <w:marBottom w:val="0"/>
                      <w:divBdr>
                        <w:top w:val="none" w:sz="0" w:space="0" w:color="auto"/>
                        <w:left w:val="none" w:sz="0" w:space="0" w:color="auto"/>
                        <w:bottom w:val="none" w:sz="0" w:space="0" w:color="auto"/>
                        <w:right w:val="none" w:sz="0" w:space="0" w:color="auto"/>
                      </w:divBdr>
                    </w:div>
                  </w:divsChild>
                </w:div>
                <w:div w:id="629091962">
                  <w:marLeft w:val="0"/>
                  <w:marRight w:val="0"/>
                  <w:marTop w:val="0"/>
                  <w:marBottom w:val="0"/>
                  <w:divBdr>
                    <w:top w:val="none" w:sz="0" w:space="0" w:color="auto"/>
                    <w:left w:val="none" w:sz="0" w:space="0" w:color="auto"/>
                    <w:bottom w:val="none" w:sz="0" w:space="0" w:color="auto"/>
                    <w:right w:val="none" w:sz="0" w:space="0" w:color="auto"/>
                  </w:divBdr>
                  <w:divsChild>
                    <w:div w:id="212347124">
                      <w:marLeft w:val="0"/>
                      <w:marRight w:val="0"/>
                      <w:marTop w:val="0"/>
                      <w:marBottom w:val="0"/>
                      <w:divBdr>
                        <w:top w:val="none" w:sz="0" w:space="0" w:color="auto"/>
                        <w:left w:val="none" w:sz="0" w:space="0" w:color="auto"/>
                        <w:bottom w:val="none" w:sz="0" w:space="0" w:color="auto"/>
                        <w:right w:val="none" w:sz="0" w:space="0" w:color="auto"/>
                      </w:divBdr>
                    </w:div>
                  </w:divsChild>
                </w:div>
                <w:div w:id="589511674">
                  <w:marLeft w:val="0"/>
                  <w:marRight w:val="0"/>
                  <w:marTop w:val="0"/>
                  <w:marBottom w:val="0"/>
                  <w:divBdr>
                    <w:top w:val="none" w:sz="0" w:space="0" w:color="auto"/>
                    <w:left w:val="none" w:sz="0" w:space="0" w:color="auto"/>
                    <w:bottom w:val="none" w:sz="0" w:space="0" w:color="auto"/>
                    <w:right w:val="none" w:sz="0" w:space="0" w:color="auto"/>
                  </w:divBdr>
                  <w:divsChild>
                    <w:div w:id="471992141">
                      <w:marLeft w:val="0"/>
                      <w:marRight w:val="0"/>
                      <w:marTop w:val="0"/>
                      <w:marBottom w:val="0"/>
                      <w:divBdr>
                        <w:top w:val="none" w:sz="0" w:space="0" w:color="auto"/>
                        <w:left w:val="none" w:sz="0" w:space="0" w:color="auto"/>
                        <w:bottom w:val="none" w:sz="0" w:space="0" w:color="auto"/>
                        <w:right w:val="none" w:sz="0" w:space="0" w:color="auto"/>
                      </w:divBdr>
                    </w:div>
                  </w:divsChild>
                </w:div>
                <w:div w:id="173224238">
                  <w:marLeft w:val="0"/>
                  <w:marRight w:val="0"/>
                  <w:marTop w:val="0"/>
                  <w:marBottom w:val="0"/>
                  <w:divBdr>
                    <w:top w:val="none" w:sz="0" w:space="0" w:color="auto"/>
                    <w:left w:val="none" w:sz="0" w:space="0" w:color="auto"/>
                    <w:bottom w:val="none" w:sz="0" w:space="0" w:color="auto"/>
                    <w:right w:val="none" w:sz="0" w:space="0" w:color="auto"/>
                  </w:divBdr>
                  <w:divsChild>
                    <w:div w:id="1906139763">
                      <w:marLeft w:val="0"/>
                      <w:marRight w:val="0"/>
                      <w:marTop w:val="0"/>
                      <w:marBottom w:val="0"/>
                      <w:divBdr>
                        <w:top w:val="none" w:sz="0" w:space="0" w:color="auto"/>
                        <w:left w:val="none" w:sz="0" w:space="0" w:color="auto"/>
                        <w:bottom w:val="none" w:sz="0" w:space="0" w:color="auto"/>
                        <w:right w:val="none" w:sz="0" w:space="0" w:color="auto"/>
                      </w:divBdr>
                    </w:div>
                  </w:divsChild>
                </w:div>
                <w:div w:id="1765106743">
                  <w:marLeft w:val="0"/>
                  <w:marRight w:val="0"/>
                  <w:marTop w:val="0"/>
                  <w:marBottom w:val="0"/>
                  <w:divBdr>
                    <w:top w:val="none" w:sz="0" w:space="0" w:color="auto"/>
                    <w:left w:val="none" w:sz="0" w:space="0" w:color="auto"/>
                    <w:bottom w:val="none" w:sz="0" w:space="0" w:color="auto"/>
                    <w:right w:val="none" w:sz="0" w:space="0" w:color="auto"/>
                  </w:divBdr>
                  <w:divsChild>
                    <w:div w:id="1360203816">
                      <w:marLeft w:val="0"/>
                      <w:marRight w:val="0"/>
                      <w:marTop w:val="0"/>
                      <w:marBottom w:val="0"/>
                      <w:divBdr>
                        <w:top w:val="none" w:sz="0" w:space="0" w:color="auto"/>
                        <w:left w:val="none" w:sz="0" w:space="0" w:color="auto"/>
                        <w:bottom w:val="none" w:sz="0" w:space="0" w:color="auto"/>
                        <w:right w:val="none" w:sz="0" w:space="0" w:color="auto"/>
                      </w:divBdr>
                    </w:div>
                  </w:divsChild>
                </w:div>
                <w:div w:id="1204975149">
                  <w:marLeft w:val="0"/>
                  <w:marRight w:val="0"/>
                  <w:marTop w:val="0"/>
                  <w:marBottom w:val="0"/>
                  <w:divBdr>
                    <w:top w:val="none" w:sz="0" w:space="0" w:color="auto"/>
                    <w:left w:val="none" w:sz="0" w:space="0" w:color="auto"/>
                    <w:bottom w:val="none" w:sz="0" w:space="0" w:color="auto"/>
                    <w:right w:val="none" w:sz="0" w:space="0" w:color="auto"/>
                  </w:divBdr>
                  <w:divsChild>
                    <w:div w:id="1249652601">
                      <w:marLeft w:val="0"/>
                      <w:marRight w:val="0"/>
                      <w:marTop w:val="0"/>
                      <w:marBottom w:val="0"/>
                      <w:divBdr>
                        <w:top w:val="none" w:sz="0" w:space="0" w:color="auto"/>
                        <w:left w:val="none" w:sz="0" w:space="0" w:color="auto"/>
                        <w:bottom w:val="none" w:sz="0" w:space="0" w:color="auto"/>
                        <w:right w:val="none" w:sz="0" w:space="0" w:color="auto"/>
                      </w:divBdr>
                    </w:div>
                  </w:divsChild>
                </w:div>
                <w:div w:id="1487352999">
                  <w:marLeft w:val="0"/>
                  <w:marRight w:val="0"/>
                  <w:marTop w:val="0"/>
                  <w:marBottom w:val="0"/>
                  <w:divBdr>
                    <w:top w:val="none" w:sz="0" w:space="0" w:color="auto"/>
                    <w:left w:val="none" w:sz="0" w:space="0" w:color="auto"/>
                    <w:bottom w:val="none" w:sz="0" w:space="0" w:color="auto"/>
                    <w:right w:val="none" w:sz="0" w:space="0" w:color="auto"/>
                  </w:divBdr>
                  <w:divsChild>
                    <w:div w:id="1236159459">
                      <w:marLeft w:val="0"/>
                      <w:marRight w:val="0"/>
                      <w:marTop w:val="0"/>
                      <w:marBottom w:val="0"/>
                      <w:divBdr>
                        <w:top w:val="none" w:sz="0" w:space="0" w:color="auto"/>
                        <w:left w:val="none" w:sz="0" w:space="0" w:color="auto"/>
                        <w:bottom w:val="none" w:sz="0" w:space="0" w:color="auto"/>
                        <w:right w:val="none" w:sz="0" w:space="0" w:color="auto"/>
                      </w:divBdr>
                    </w:div>
                  </w:divsChild>
                </w:div>
                <w:div w:id="1591964876">
                  <w:marLeft w:val="0"/>
                  <w:marRight w:val="0"/>
                  <w:marTop w:val="0"/>
                  <w:marBottom w:val="0"/>
                  <w:divBdr>
                    <w:top w:val="none" w:sz="0" w:space="0" w:color="auto"/>
                    <w:left w:val="none" w:sz="0" w:space="0" w:color="auto"/>
                    <w:bottom w:val="none" w:sz="0" w:space="0" w:color="auto"/>
                    <w:right w:val="none" w:sz="0" w:space="0" w:color="auto"/>
                  </w:divBdr>
                  <w:divsChild>
                    <w:div w:id="253634532">
                      <w:marLeft w:val="0"/>
                      <w:marRight w:val="0"/>
                      <w:marTop w:val="0"/>
                      <w:marBottom w:val="0"/>
                      <w:divBdr>
                        <w:top w:val="none" w:sz="0" w:space="0" w:color="auto"/>
                        <w:left w:val="none" w:sz="0" w:space="0" w:color="auto"/>
                        <w:bottom w:val="none" w:sz="0" w:space="0" w:color="auto"/>
                        <w:right w:val="none" w:sz="0" w:space="0" w:color="auto"/>
                      </w:divBdr>
                    </w:div>
                  </w:divsChild>
                </w:div>
                <w:div w:id="2142915733">
                  <w:marLeft w:val="0"/>
                  <w:marRight w:val="0"/>
                  <w:marTop w:val="0"/>
                  <w:marBottom w:val="0"/>
                  <w:divBdr>
                    <w:top w:val="none" w:sz="0" w:space="0" w:color="auto"/>
                    <w:left w:val="none" w:sz="0" w:space="0" w:color="auto"/>
                    <w:bottom w:val="none" w:sz="0" w:space="0" w:color="auto"/>
                    <w:right w:val="none" w:sz="0" w:space="0" w:color="auto"/>
                  </w:divBdr>
                  <w:divsChild>
                    <w:div w:id="1390610856">
                      <w:marLeft w:val="0"/>
                      <w:marRight w:val="0"/>
                      <w:marTop w:val="0"/>
                      <w:marBottom w:val="0"/>
                      <w:divBdr>
                        <w:top w:val="none" w:sz="0" w:space="0" w:color="auto"/>
                        <w:left w:val="none" w:sz="0" w:space="0" w:color="auto"/>
                        <w:bottom w:val="none" w:sz="0" w:space="0" w:color="auto"/>
                        <w:right w:val="none" w:sz="0" w:space="0" w:color="auto"/>
                      </w:divBdr>
                    </w:div>
                  </w:divsChild>
                </w:div>
                <w:div w:id="945313285">
                  <w:marLeft w:val="0"/>
                  <w:marRight w:val="0"/>
                  <w:marTop w:val="0"/>
                  <w:marBottom w:val="0"/>
                  <w:divBdr>
                    <w:top w:val="none" w:sz="0" w:space="0" w:color="auto"/>
                    <w:left w:val="none" w:sz="0" w:space="0" w:color="auto"/>
                    <w:bottom w:val="none" w:sz="0" w:space="0" w:color="auto"/>
                    <w:right w:val="none" w:sz="0" w:space="0" w:color="auto"/>
                  </w:divBdr>
                  <w:divsChild>
                    <w:div w:id="60831539">
                      <w:marLeft w:val="0"/>
                      <w:marRight w:val="0"/>
                      <w:marTop w:val="0"/>
                      <w:marBottom w:val="0"/>
                      <w:divBdr>
                        <w:top w:val="none" w:sz="0" w:space="0" w:color="auto"/>
                        <w:left w:val="none" w:sz="0" w:space="0" w:color="auto"/>
                        <w:bottom w:val="none" w:sz="0" w:space="0" w:color="auto"/>
                        <w:right w:val="none" w:sz="0" w:space="0" w:color="auto"/>
                      </w:divBdr>
                    </w:div>
                  </w:divsChild>
                </w:div>
                <w:div w:id="1791975791">
                  <w:marLeft w:val="0"/>
                  <w:marRight w:val="0"/>
                  <w:marTop w:val="0"/>
                  <w:marBottom w:val="0"/>
                  <w:divBdr>
                    <w:top w:val="none" w:sz="0" w:space="0" w:color="auto"/>
                    <w:left w:val="none" w:sz="0" w:space="0" w:color="auto"/>
                    <w:bottom w:val="none" w:sz="0" w:space="0" w:color="auto"/>
                    <w:right w:val="none" w:sz="0" w:space="0" w:color="auto"/>
                  </w:divBdr>
                  <w:divsChild>
                    <w:div w:id="47357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73642">
          <w:marLeft w:val="0"/>
          <w:marRight w:val="0"/>
          <w:marTop w:val="0"/>
          <w:marBottom w:val="0"/>
          <w:divBdr>
            <w:top w:val="none" w:sz="0" w:space="0" w:color="auto"/>
            <w:left w:val="none" w:sz="0" w:space="0" w:color="auto"/>
            <w:bottom w:val="none" w:sz="0" w:space="0" w:color="auto"/>
            <w:right w:val="none" w:sz="0" w:space="0" w:color="auto"/>
          </w:divBdr>
        </w:div>
        <w:div w:id="1257900743">
          <w:marLeft w:val="0"/>
          <w:marRight w:val="0"/>
          <w:marTop w:val="0"/>
          <w:marBottom w:val="0"/>
          <w:divBdr>
            <w:top w:val="none" w:sz="0" w:space="0" w:color="auto"/>
            <w:left w:val="none" w:sz="0" w:space="0" w:color="auto"/>
            <w:bottom w:val="none" w:sz="0" w:space="0" w:color="auto"/>
            <w:right w:val="none" w:sz="0" w:space="0" w:color="auto"/>
          </w:divBdr>
        </w:div>
        <w:div w:id="1841041616">
          <w:marLeft w:val="-15"/>
          <w:marRight w:val="0"/>
          <w:marTop w:val="0"/>
          <w:marBottom w:val="0"/>
          <w:divBdr>
            <w:top w:val="none" w:sz="0" w:space="0" w:color="auto"/>
            <w:left w:val="none" w:sz="0" w:space="0" w:color="auto"/>
            <w:bottom w:val="none" w:sz="0" w:space="0" w:color="auto"/>
            <w:right w:val="none" w:sz="0" w:space="0" w:color="auto"/>
          </w:divBdr>
        </w:div>
        <w:div w:id="2138179460">
          <w:marLeft w:val="-15"/>
          <w:marRight w:val="0"/>
          <w:marTop w:val="0"/>
          <w:marBottom w:val="0"/>
          <w:divBdr>
            <w:top w:val="none" w:sz="0" w:space="0" w:color="auto"/>
            <w:left w:val="none" w:sz="0" w:space="0" w:color="auto"/>
            <w:bottom w:val="none" w:sz="0" w:space="0" w:color="auto"/>
            <w:right w:val="none" w:sz="0" w:space="0" w:color="auto"/>
          </w:divBdr>
        </w:div>
        <w:div w:id="1006515125">
          <w:marLeft w:val="0"/>
          <w:marRight w:val="0"/>
          <w:marTop w:val="0"/>
          <w:marBottom w:val="0"/>
          <w:divBdr>
            <w:top w:val="none" w:sz="0" w:space="0" w:color="auto"/>
            <w:left w:val="none" w:sz="0" w:space="0" w:color="auto"/>
            <w:bottom w:val="none" w:sz="0" w:space="0" w:color="auto"/>
            <w:right w:val="none" w:sz="0" w:space="0" w:color="auto"/>
          </w:divBdr>
          <w:divsChild>
            <w:div w:id="238567203">
              <w:marLeft w:val="0"/>
              <w:marRight w:val="0"/>
              <w:marTop w:val="0"/>
              <w:marBottom w:val="0"/>
              <w:divBdr>
                <w:top w:val="none" w:sz="0" w:space="0" w:color="auto"/>
                <w:left w:val="none" w:sz="0" w:space="0" w:color="auto"/>
                <w:bottom w:val="none" w:sz="0" w:space="0" w:color="auto"/>
                <w:right w:val="none" w:sz="0" w:space="0" w:color="auto"/>
              </w:divBdr>
              <w:divsChild>
                <w:div w:id="2119829854">
                  <w:marLeft w:val="0"/>
                  <w:marRight w:val="0"/>
                  <w:marTop w:val="0"/>
                  <w:marBottom w:val="0"/>
                  <w:divBdr>
                    <w:top w:val="none" w:sz="0" w:space="0" w:color="auto"/>
                    <w:left w:val="none" w:sz="0" w:space="0" w:color="auto"/>
                    <w:bottom w:val="none" w:sz="0" w:space="0" w:color="auto"/>
                    <w:right w:val="none" w:sz="0" w:space="0" w:color="auto"/>
                  </w:divBdr>
                  <w:divsChild>
                    <w:div w:id="1298100218">
                      <w:marLeft w:val="0"/>
                      <w:marRight w:val="0"/>
                      <w:marTop w:val="0"/>
                      <w:marBottom w:val="0"/>
                      <w:divBdr>
                        <w:top w:val="none" w:sz="0" w:space="0" w:color="auto"/>
                        <w:left w:val="none" w:sz="0" w:space="0" w:color="auto"/>
                        <w:bottom w:val="none" w:sz="0" w:space="0" w:color="auto"/>
                        <w:right w:val="none" w:sz="0" w:space="0" w:color="auto"/>
                      </w:divBdr>
                    </w:div>
                  </w:divsChild>
                </w:div>
                <w:div w:id="343170923">
                  <w:marLeft w:val="0"/>
                  <w:marRight w:val="0"/>
                  <w:marTop w:val="0"/>
                  <w:marBottom w:val="0"/>
                  <w:divBdr>
                    <w:top w:val="none" w:sz="0" w:space="0" w:color="auto"/>
                    <w:left w:val="none" w:sz="0" w:space="0" w:color="auto"/>
                    <w:bottom w:val="none" w:sz="0" w:space="0" w:color="auto"/>
                    <w:right w:val="none" w:sz="0" w:space="0" w:color="auto"/>
                  </w:divBdr>
                  <w:divsChild>
                    <w:div w:id="1489519905">
                      <w:marLeft w:val="0"/>
                      <w:marRight w:val="0"/>
                      <w:marTop w:val="0"/>
                      <w:marBottom w:val="0"/>
                      <w:divBdr>
                        <w:top w:val="none" w:sz="0" w:space="0" w:color="auto"/>
                        <w:left w:val="none" w:sz="0" w:space="0" w:color="auto"/>
                        <w:bottom w:val="none" w:sz="0" w:space="0" w:color="auto"/>
                        <w:right w:val="none" w:sz="0" w:space="0" w:color="auto"/>
                      </w:divBdr>
                    </w:div>
                  </w:divsChild>
                </w:div>
                <w:div w:id="850871377">
                  <w:marLeft w:val="0"/>
                  <w:marRight w:val="0"/>
                  <w:marTop w:val="0"/>
                  <w:marBottom w:val="0"/>
                  <w:divBdr>
                    <w:top w:val="none" w:sz="0" w:space="0" w:color="auto"/>
                    <w:left w:val="none" w:sz="0" w:space="0" w:color="auto"/>
                    <w:bottom w:val="none" w:sz="0" w:space="0" w:color="auto"/>
                    <w:right w:val="none" w:sz="0" w:space="0" w:color="auto"/>
                  </w:divBdr>
                  <w:divsChild>
                    <w:div w:id="553543732">
                      <w:marLeft w:val="0"/>
                      <w:marRight w:val="0"/>
                      <w:marTop w:val="0"/>
                      <w:marBottom w:val="0"/>
                      <w:divBdr>
                        <w:top w:val="none" w:sz="0" w:space="0" w:color="auto"/>
                        <w:left w:val="none" w:sz="0" w:space="0" w:color="auto"/>
                        <w:bottom w:val="none" w:sz="0" w:space="0" w:color="auto"/>
                        <w:right w:val="none" w:sz="0" w:space="0" w:color="auto"/>
                      </w:divBdr>
                    </w:div>
                  </w:divsChild>
                </w:div>
                <w:div w:id="404500808">
                  <w:marLeft w:val="0"/>
                  <w:marRight w:val="0"/>
                  <w:marTop w:val="0"/>
                  <w:marBottom w:val="0"/>
                  <w:divBdr>
                    <w:top w:val="none" w:sz="0" w:space="0" w:color="auto"/>
                    <w:left w:val="none" w:sz="0" w:space="0" w:color="auto"/>
                    <w:bottom w:val="none" w:sz="0" w:space="0" w:color="auto"/>
                    <w:right w:val="none" w:sz="0" w:space="0" w:color="auto"/>
                  </w:divBdr>
                  <w:divsChild>
                    <w:div w:id="1985812696">
                      <w:marLeft w:val="0"/>
                      <w:marRight w:val="0"/>
                      <w:marTop w:val="0"/>
                      <w:marBottom w:val="0"/>
                      <w:divBdr>
                        <w:top w:val="none" w:sz="0" w:space="0" w:color="auto"/>
                        <w:left w:val="none" w:sz="0" w:space="0" w:color="auto"/>
                        <w:bottom w:val="none" w:sz="0" w:space="0" w:color="auto"/>
                        <w:right w:val="none" w:sz="0" w:space="0" w:color="auto"/>
                      </w:divBdr>
                    </w:div>
                  </w:divsChild>
                </w:div>
                <w:div w:id="2081559056">
                  <w:marLeft w:val="0"/>
                  <w:marRight w:val="0"/>
                  <w:marTop w:val="0"/>
                  <w:marBottom w:val="0"/>
                  <w:divBdr>
                    <w:top w:val="none" w:sz="0" w:space="0" w:color="auto"/>
                    <w:left w:val="none" w:sz="0" w:space="0" w:color="auto"/>
                    <w:bottom w:val="none" w:sz="0" w:space="0" w:color="auto"/>
                    <w:right w:val="none" w:sz="0" w:space="0" w:color="auto"/>
                  </w:divBdr>
                  <w:divsChild>
                    <w:div w:id="990408792">
                      <w:marLeft w:val="0"/>
                      <w:marRight w:val="0"/>
                      <w:marTop w:val="0"/>
                      <w:marBottom w:val="0"/>
                      <w:divBdr>
                        <w:top w:val="none" w:sz="0" w:space="0" w:color="auto"/>
                        <w:left w:val="none" w:sz="0" w:space="0" w:color="auto"/>
                        <w:bottom w:val="none" w:sz="0" w:space="0" w:color="auto"/>
                        <w:right w:val="none" w:sz="0" w:space="0" w:color="auto"/>
                      </w:divBdr>
                    </w:div>
                  </w:divsChild>
                </w:div>
                <w:div w:id="1591811777">
                  <w:marLeft w:val="0"/>
                  <w:marRight w:val="0"/>
                  <w:marTop w:val="0"/>
                  <w:marBottom w:val="0"/>
                  <w:divBdr>
                    <w:top w:val="none" w:sz="0" w:space="0" w:color="auto"/>
                    <w:left w:val="none" w:sz="0" w:space="0" w:color="auto"/>
                    <w:bottom w:val="none" w:sz="0" w:space="0" w:color="auto"/>
                    <w:right w:val="none" w:sz="0" w:space="0" w:color="auto"/>
                  </w:divBdr>
                  <w:divsChild>
                    <w:div w:id="1866166602">
                      <w:marLeft w:val="0"/>
                      <w:marRight w:val="0"/>
                      <w:marTop w:val="0"/>
                      <w:marBottom w:val="0"/>
                      <w:divBdr>
                        <w:top w:val="none" w:sz="0" w:space="0" w:color="auto"/>
                        <w:left w:val="none" w:sz="0" w:space="0" w:color="auto"/>
                        <w:bottom w:val="none" w:sz="0" w:space="0" w:color="auto"/>
                        <w:right w:val="none" w:sz="0" w:space="0" w:color="auto"/>
                      </w:divBdr>
                    </w:div>
                  </w:divsChild>
                </w:div>
                <w:div w:id="1089891022">
                  <w:marLeft w:val="0"/>
                  <w:marRight w:val="0"/>
                  <w:marTop w:val="0"/>
                  <w:marBottom w:val="0"/>
                  <w:divBdr>
                    <w:top w:val="none" w:sz="0" w:space="0" w:color="auto"/>
                    <w:left w:val="none" w:sz="0" w:space="0" w:color="auto"/>
                    <w:bottom w:val="none" w:sz="0" w:space="0" w:color="auto"/>
                    <w:right w:val="none" w:sz="0" w:space="0" w:color="auto"/>
                  </w:divBdr>
                  <w:divsChild>
                    <w:div w:id="1648246550">
                      <w:marLeft w:val="0"/>
                      <w:marRight w:val="0"/>
                      <w:marTop w:val="0"/>
                      <w:marBottom w:val="0"/>
                      <w:divBdr>
                        <w:top w:val="none" w:sz="0" w:space="0" w:color="auto"/>
                        <w:left w:val="none" w:sz="0" w:space="0" w:color="auto"/>
                        <w:bottom w:val="none" w:sz="0" w:space="0" w:color="auto"/>
                        <w:right w:val="none" w:sz="0" w:space="0" w:color="auto"/>
                      </w:divBdr>
                    </w:div>
                  </w:divsChild>
                </w:div>
                <w:div w:id="343484652">
                  <w:marLeft w:val="0"/>
                  <w:marRight w:val="0"/>
                  <w:marTop w:val="0"/>
                  <w:marBottom w:val="0"/>
                  <w:divBdr>
                    <w:top w:val="none" w:sz="0" w:space="0" w:color="auto"/>
                    <w:left w:val="none" w:sz="0" w:space="0" w:color="auto"/>
                    <w:bottom w:val="none" w:sz="0" w:space="0" w:color="auto"/>
                    <w:right w:val="none" w:sz="0" w:space="0" w:color="auto"/>
                  </w:divBdr>
                  <w:divsChild>
                    <w:div w:id="33969912">
                      <w:marLeft w:val="0"/>
                      <w:marRight w:val="0"/>
                      <w:marTop w:val="0"/>
                      <w:marBottom w:val="0"/>
                      <w:divBdr>
                        <w:top w:val="none" w:sz="0" w:space="0" w:color="auto"/>
                        <w:left w:val="none" w:sz="0" w:space="0" w:color="auto"/>
                        <w:bottom w:val="none" w:sz="0" w:space="0" w:color="auto"/>
                        <w:right w:val="none" w:sz="0" w:space="0" w:color="auto"/>
                      </w:divBdr>
                    </w:div>
                  </w:divsChild>
                </w:div>
                <w:div w:id="1183088422">
                  <w:marLeft w:val="0"/>
                  <w:marRight w:val="0"/>
                  <w:marTop w:val="0"/>
                  <w:marBottom w:val="0"/>
                  <w:divBdr>
                    <w:top w:val="none" w:sz="0" w:space="0" w:color="auto"/>
                    <w:left w:val="none" w:sz="0" w:space="0" w:color="auto"/>
                    <w:bottom w:val="none" w:sz="0" w:space="0" w:color="auto"/>
                    <w:right w:val="none" w:sz="0" w:space="0" w:color="auto"/>
                  </w:divBdr>
                  <w:divsChild>
                    <w:div w:id="1849633843">
                      <w:marLeft w:val="0"/>
                      <w:marRight w:val="0"/>
                      <w:marTop w:val="0"/>
                      <w:marBottom w:val="0"/>
                      <w:divBdr>
                        <w:top w:val="none" w:sz="0" w:space="0" w:color="auto"/>
                        <w:left w:val="none" w:sz="0" w:space="0" w:color="auto"/>
                        <w:bottom w:val="none" w:sz="0" w:space="0" w:color="auto"/>
                        <w:right w:val="none" w:sz="0" w:space="0" w:color="auto"/>
                      </w:divBdr>
                    </w:div>
                  </w:divsChild>
                </w:div>
                <w:div w:id="97068808">
                  <w:marLeft w:val="0"/>
                  <w:marRight w:val="0"/>
                  <w:marTop w:val="0"/>
                  <w:marBottom w:val="0"/>
                  <w:divBdr>
                    <w:top w:val="none" w:sz="0" w:space="0" w:color="auto"/>
                    <w:left w:val="none" w:sz="0" w:space="0" w:color="auto"/>
                    <w:bottom w:val="none" w:sz="0" w:space="0" w:color="auto"/>
                    <w:right w:val="none" w:sz="0" w:space="0" w:color="auto"/>
                  </w:divBdr>
                  <w:divsChild>
                    <w:div w:id="2037384156">
                      <w:marLeft w:val="0"/>
                      <w:marRight w:val="0"/>
                      <w:marTop w:val="0"/>
                      <w:marBottom w:val="0"/>
                      <w:divBdr>
                        <w:top w:val="none" w:sz="0" w:space="0" w:color="auto"/>
                        <w:left w:val="none" w:sz="0" w:space="0" w:color="auto"/>
                        <w:bottom w:val="none" w:sz="0" w:space="0" w:color="auto"/>
                        <w:right w:val="none" w:sz="0" w:space="0" w:color="auto"/>
                      </w:divBdr>
                    </w:div>
                  </w:divsChild>
                </w:div>
                <w:div w:id="1880975836">
                  <w:marLeft w:val="0"/>
                  <w:marRight w:val="0"/>
                  <w:marTop w:val="0"/>
                  <w:marBottom w:val="0"/>
                  <w:divBdr>
                    <w:top w:val="none" w:sz="0" w:space="0" w:color="auto"/>
                    <w:left w:val="none" w:sz="0" w:space="0" w:color="auto"/>
                    <w:bottom w:val="none" w:sz="0" w:space="0" w:color="auto"/>
                    <w:right w:val="none" w:sz="0" w:space="0" w:color="auto"/>
                  </w:divBdr>
                  <w:divsChild>
                    <w:div w:id="26952355">
                      <w:marLeft w:val="0"/>
                      <w:marRight w:val="0"/>
                      <w:marTop w:val="0"/>
                      <w:marBottom w:val="0"/>
                      <w:divBdr>
                        <w:top w:val="none" w:sz="0" w:space="0" w:color="auto"/>
                        <w:left w:val="none" w:sz="0" w:space="0" w:color="auto"/>
                        <w:bottom w:val="none" w:sz="0" w:space="0" w:color="auto"/>
                        <w:right w:val="none" w:sz="0" w:space="0" w:color="auto"/>
                      </w:divBdr>
                    </w:div>
                  </w:divsChild>
                </w:div>
                <w:div w:id="53700663">
                  <w:marLeft w:val="0"/>
                  <w:marRight w:val="0"/>
                  <w:marTop w:val="0"/>
                  <w:marBottom w:val="0"/>
                  <w:divBdr>
                    <w:top w:val="none" w:sz="0" w:space="0" w:color="auto"/>
                    <w:left w:val="none" w:sz="0" w:space="0" w:color="auto"/>
                    <w:bottom w:val="none" w:sz="0" w:space="0" w:color="auto"/>
                    <w:right w:val="none" w:sz="0" w:space="0" w:color="auto"/>
                  </w:divBdr>
                  <w:divsChild>
                    <w:div w:id="90441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899244">
          <w:marLeft w:val="0"/>
          <w:marRight w:val="0"/>
          <w:marTop w:val="0"/>
          <w:marBottom w:val="0"/>
          <w:divBdr>
            <w:top w:val="none" w:sz="0" w:space="0" w:color="auto"/>
            <w:left w:val="none" w:sz="0" w:space="0" w:color="auto"/>
            <w:bottom w:val="none" w:sz="0" w:space="0" w:color="auto"/>
            <w:right w:val="none" w:sz="0" w:space="0" w:color="auto"/>
          </w:divBdr>
        </w:div>
        <w:div w:id="572157916">
          <w:marLeft w:val="-15"/>
          <w:marRight w:val="0"/>
          <w:marTop w:val="0"/>
          <w:marBottom w:val="0"/>
          <w:divBdr>
            <w:top w:val="none" w:sz="0" w:space="0" w:color="auto"/>
            <w:left w:val="none" w:sz="0" w:space="0" w:color="auto"/>
            <w:bottom w:val="none" w:sz="0" w:space="0" w:color="auto"/>
            <w:right w:val="none" w:sz="0" w:space="0" w:color="auto"/>
          </w:divBdr>
        </w:div>
        <w:div w:id="1948349556">
          <w:marLeft w:val="-15"/>
          <w:marRight w:val="0"/>
          <w:marTop w:val="0"/>
          <w:marBottom w:val="0"/>
          <w:divBdr>
            <w:top w:val="none" w:sz="0" w:space="0" w:color="auto"/>
            <w:left w:val="none" w:sz="0" w:space="0" w:color="auto"/>
            <w:bottom w:val="none" w:sz="0" w:space="0" w:color="auto"/>
            <w:right w:val="none" w:sz="0" w:space="0" w:color="auto"/>
          </w:divBdr>
        </w:div>
      </w:divsChild>
    </w:div>
    <w:div w:id="863130418">
      <w:bodyDiv w:val="1"/>
      <w:marLeft w:val="0"/>
      <w:marRight w:val="0"/>
      <w:marTop w:val="0"/>
      <w:marBottom w:val="0"/>
      <w:divBdr>
        <w:top w:val="none" w:sz="0" w:space="0" w:color="auto"/>
        <w:left w:val="none" w:sz="0" w:space="0" w:color="auto"/>
        <w:bottom w:val="none" w:sz="0" w:space="0" w:color="auto"/>
        <w:right w:val="none" w:sz="0" w:space="0" w:color="auto"/>
      </w:divBdr>
    </w:div>
    <w:div w:id="912203346">
      <w:bodyDiv w:val="1"/>
      <w:marLeft w:val="0"/>
      <w:marRight w:val="0"/>
      <w:marTop w:val="0"/>
      <w:marBottom w:val="0"/>
      <w:divBdr>
        <w:top w:val="none" w:sz="0" w:space="0" w:color="auto"/>
        <w:left w:val="none" w:sz="0" w:space="0" w:color="auto"/>
        <w:bottom w:val="none" w:sz="0" w:space="0" w:color="auto"/>
        <w:right w:val="none" w:sz="0" w:space="0" w:color="auto"/>
      </w:divBdr>
    </w:div>
    <w:div w:id="925460458">
      <w:bodyDiv w:val="1"/>
      <w:marLeft w:val="0"/>
      <w:marRight w:val="0"/>
      <w:marTop w:val="0"/>
      <w:marBottom w:val="0"/>
      <w:divBdr>
        <w:top w:val="none" w:sz="0" w:space="0" w:color="auto"/>
        <w:left w:val="none" w:sz="0" w:space="0" w:color="auto"/>
        <w:bottom w:val="none" w:sz="0" w:space="0" w:color="auto"/>
        <w:right w:val="none" w:sz="0" w:space="0" w:color="auto"/>
      </w:divBdr>
    </w:div>
    <w:div w:id="944582224">
      <w:bodyDiv w:val="1"/>
      <w:marLeft w:val="0"/>
      <w:marRight w:val="0"/>
      <w:marTop w:val="0"/>
      <w:marBottom w:val="0"/>
      <w:divBdr>
        <w:top w:val="none" w:sz="0" w:space="0" w:color="auto"/>
        <w:left w:val="none" w:sz="0" w:space="0" w:color="auto"/>
        <w:bottom w:val="none" w:sz="0" w:space="0" w:color="auto"/>
        <w:right w:val="none" w:sz="0" w:space="0" w:color="auto"/>
      </w:divBdr>
    </w:div>
    <w:div w:id="993224362">
      <w:bodyDiv w:val="1"/>
      <w:marLeft w:val="0"/>
      <w:marRight w:val="0"/>
      <w:marTop w:val="0"/>
      <w:marBottom w:val="0"/>
      <w:divBdr>
        <w:top w:val="none" w:sz="0" w:space="0" w:color="auto"/>
        <w:left w:val="none" w:sz="0" w:space="0" w:color="auto"/>
        <w:bottom w:val="none" w:sz="0" w:space="0" w:color="auto"/>
        <w:right w:val="none" w:sz="0" w:space="0" w:color="auto"/>
      </w:divBdr>
    </w:div>
    <w:div w:id="1102918001">
      <w:bodyDiv w:val="1"/>
      <w:marLeft w:val="0"/>
      <w:marRight w:val="0"/>
      <w:marTop w:val="0"/>
      <w:marBottom w:val="0"/>
      <w:divBdr>
        <w:top w:val="none" w:sz="0" w:space="0" w:color="auto"/>
        <w:left w:val="none" w:sz="0" w:space="0" w:color="auto"/>
        <w:bottom w:val="none" w:sz="0" w:space="0" w:color="auto"/>
        <w:right w:val="none" w:sz="0" w:space="0" w:color="auto"/>
      </w:divBdr>
    </w:div>
    <w:div w:id="1145195519">
      <w:bodyDiv w:val="1"/>
      <w:marLeft w:val="0"/>
      <w:marRight w:val="0"/>
      <w:marTop w:val="0"/>
      <w:marBottom w:val="0"/>
      <w:divBdr>
        <w:top w:val="none" w:sz="0" w:space="0" w:color="auto"/>
        <w:left w:val="none" w:sz="0" w:space="0" w:color="auto"/>
        <w:bottom w:val="none" w:sz="0" w:space="0" w:color="auto"/>
        <w:right w:val="none" w:sz="0" w:space="0" w:color="auto"/>
      </w:divBdr>
    </w:div>
    <w:div w:id="1199390362">
      <w:bodyDiv w:val="1"/>
      <w:marLeft w:val="0"/>
      <w:marRight w:val="0"/>
      <w:marTop w:val="0"/>
      <w:marBottom w:val="0"/>
      <w:divBdr>
        <w:top w:val="none" w:sz="0" w:space="0" w:color="auto"/>
        <w:left w:val="none" w:sz="0" w:space="0" w:color="auto"/>
        <w:bottom w:val="none" w:sz="0" w:space="0" w:color="auto"/>
        <w:right w:val="none" w:sz="0" w:space="0" w:color="auto"/>
      </w:divBdr>
    </w:div>
    <w:div w:id="1223564887">
      <w:bodyDiv w:val="1"/>
      <w:marLeft w:val="0"/>
      <w:marRight w:val="0"/>
      <w:marTop w:val="0"/>
      <w:marBottom w:val="0"/>
      <w:divBdr>
        <w:top w:val="none" w:sz="0" w:space="0" w:color="auto"/>
        <w:left w:val="none" w:sz="0" w:space="0" w:color="auto"/>
        <w:bottom w:val="none" w:sz="0" w:space="0" w:color="auto"/>
        <w:right w:val="none" w:sz="0" w:space="0" w:color="auto"/>
      </w:divBdr>
    </w:div>
    <w:div w:id="1361587113">
      <w:bodyDiv w:val="1"/>
      <w:marLeft w:val="0"/>
      <w:marRight w:val="0"/>
      <w:marTop w:val="0"/>
      <w:marBottom w:val="0"/>
      <w:divBdr>
        <w:top w:val="none" w:sz="0" w:space="0" w:color="auto"/>
        <w:left w:val="none" w:sz="0" w:space="0" w:color="auto"/>
        <w:bottom w:val="none" w:sz="0" w:space="0" w:color="auto"/>
        <w:right w:val="none" w:sz="0" w:space="0" w:color="auto"/>
      </w:divBdr>
    </w:div>
    <w:div w:id="1382482339">
      <w:bodyDiv w:val="1"/>
      <w:marLeft w:val="0"/>
      <w:marRight w:val="0"/>
      <w:marTop w:val="0"/>
      <w:marBottom w:val="0"/>
      <w:divBdr>
        <w:top w:val="none" w:sz="0" w:space="0" w:color="auto"/>
        <w:left w:val="none" w:sz="0" w:space="0" w:color="auto"/>
        <w:bottom w:val="none" w:sz="0" w:space="0" w:color="auto"/>
        <w:right w:val="none" w:sz="0" w:space="0" w:color="auto"/>
      </w:divBdr>
    </w:div>
    <w:div w:id="1395397032">
      <w:bodyDiv w:val="1"/>
      <w:marLeft w:val="0"/>
      <w:marRight w:val="0"/>
      <w:marTop w:val="0"/>
      <w:marBottom w:val="0"/>
      <w:divBdr>
        <w:top w:val="none" w:sz="0" w:space="0" w:color="auto"/>
        <w:left w:val="none" w:sz="0" w:space="0" w:color="auto"/>
        <w:bottom w:val="none" w:sz="0" w:space="0" w:color="auto"/>
        <w:right w:val="none" w:sz="0" w:space="0" w:color="auto"/>
      </w:divBdr>
      <w:divsChild>
        <w:div w:id="875510570">
          <w:marLeft w:val="-15"/>
          <w:marRight w:val="0"/>
          <w:marTop w:val="0"/>
          <w:marBottom w:val="0"/>
          <w:divBdr>
            <w:top w:val="none" w:sz="0" w:space="0" w:color="auto"/>
            <w:left w:val="none" w:sz="0" w:space="0" w:color="auto"/>
            <w:bottom w:val="none" w:sz="0" w:space="0" w:color="auto"/>
            <w:right w:val="none" w:sz="0" w:space="0" w:color="auto"/>
          </w:divBdr>
        </w:div>
        <w:div w:id="1171726125">
          <w:marLeft w:val="0"/>
          <w:marRight w:val="0"/>
          <w:marTop w:val="0"/>
          <w:marBottom w:val="0"/>
          <w:divBdr>
            <w:top w:val="none" w:sz="0" w:space="0" w:color="auto"/>
            <w:left w:val="none" w:sz="0" w:space="0" w:color="auto"/>
            <w:bottom w:val="none" w:sz="0" w:space="0" w:color="auto"/>
            <w:right w:val="none" w:sz="0" w:space="0" w:color="auto"/>
          </w:divBdr>
        </w:div>
        <w:div w:id="89667412">
          <w:marLeft w:val="-15"/>
          <w:marRight w:val="0"/>
          <w:marTop w:val="0"/>
          <w:marBottom w:val="0"/>
          <w:divBdr>
            <w:top w:val="none" w:sz="0" w:space="0" w:color="auto"/>
            <w:left w:val="none" w:sz="0" w:space="0" w:color="auto"/>
            <w:bottom w:val="none" w:sz="0" w:space="0" w:color="auto"/>
            <w:right w:val="none" w:sz="0" w:space="0" w:color="auto"/>
          </w:divBdr>
        </w:div>
        <w:div w:id="399257113">
          <w:marLeft w:val="3330"/>
          <w:marRight w:val="0"/>
          <w:marTop w:val="0"/>
          <w:marBottom w:val="0"/>
          <w:divBdr>
            <w:top w:val="none" w:sz="0" w:space="0" w:color="auto"/>
            <w:left w:val="none" w:sz="0" w:space="0" w:color="auto"/>
            <w:bottom w:val="none" w:sz="0" w:space="0" w:color="auto"/>
            <w:right w:val="none" w:sz="0" w:space="0" w:color="auto"/>
          </w:divBdr>
        </w:div>
        <w:div w:id="285545621">
          <w:marLeft w:val="-15"/>
          <w:marRight w:val="0"/>
          <w:marTop w:val="0"/>
          <w:marBottom w:val="0"/>
          <w:divBdr>
            <w:top w:val="none" w:sz="0" w:space="0" w:color="auto"/>
            <w:left w:val="none" w:sz="0" w:space="0" w:color="auto"/>
            <w:bottom w:val="none" w:sz="0" w:space="0" w:color="auto"/>
            <w:right w:val="none" w:sz="0" w:space="0" w:color="auto"/>
          </w:divBdr>
        </w:div>
        <w:div w:id="852110489">
          <w:marLeft w:val="0"/>
          <w:marRight w:val="0"/>
          <w:marTop w:val="0"/>
          <w:marBottom w:val="0"/>
          <w:divBdr>
            <w:top w:val="none" w:sz="0" w:space="0" w:color="auto"/>
            <w:left w:val="none" w:sz="0" w:space="0" w:color="auto"/>
            <w:bottom w:val="none" w:sz="0" w:space="0" w:color="auto"/>
            <w:right w:val="none" w:sz="0" w:space="0" w:color="auto"/>
          </w:divBdr>
        </w:div>
        <w:div w:id="190537441">
          <w:marLeft w:val="-15"/>
          <w:marRight w:val="0"/>
          <w:marTop w:val="0"/>
          <w:marBottom w:val="0"/>
          <w:divBdr>
            <w:top w:val="none" w:sz="0" w:space="0" w:color="auto"/>
            <w:left w:val="none" w:sz="0" w:space="0" w:color="auto"/>
            <w:bottom w:val="none" w:sz="0" w:space="0" w:color="auto"/>
            <w:right w:val="none" w:sz="0" w:space="0" w:color="auto"/>
          </w:divBdr>
        </w:div>
        <w:div w:id="1965694421">
          <w:marLeft w:val="0"/>
          <w:marRight w:val="0"/>
          <w:marTop w:val="0"/>
          <w:marBottom w:val="0"/>
          <w:divBdr>
            <w:top w:val="none" w:sz="0" w:space="0" w:color="auto"/>
            <w:left w:val="none" w:sz="0" w:space="0" w:color="auto"/>
            <w:bottom w:val="none" w:sz="0" w:space="0" w:color="auto"/>
            <w:right w:val="none" w:sz="0" w:space="0" w:color="auto"/>
          </w:divBdr>
        </w:div>
        <w:div w:id="183835213">
          <w:marLeft w:val="285"/>
          <w:marRight w:val="0"/>
          <w:marTop w:val="0"/>
          <w:marBottom w:val="0"/>
          <w:divBdr>
            <w:top w:val="none" w:sz="0" w:space="0" w:color="auto"/>
            <w:left w:val="none" w:sz="0" w:space="0" w:color="auto"/>
            <w:bottom w:val="none" w:sz="0" w:space="0" w:color="auto"/>
            <w:right w:val="none" w:sz="0" w:space="0" w:color="auto"/>
          </w:divBdr>
        </w:div>
        <w:div w:id="165436465">
          <w:marLeft w:val="1905"/>
          <w:marRight w:val="0"/>
          <w:marTop w:val="0"/>
          <w:marBottom w:val="0"/>
          <w:divBdr>
            <w:top w:val="none" w:sz="0" w:space="0" w:color="auto"/>
            <w:left w:val="none" w:sz="0" w:space="0" w:color="auto"/>
            <w:bottom w:val="none" w:sz="0" w:space="0" w:color="auto"/>
            <w:right w:val="none" w:sz="0" w:space="0" w:color="auto"/>
          </w:divBdr>
        </w:div>
        <w:div w:id="1769765105">
          <w:marLeft w:val="0"/>
          <w:marRight w:val="0"/>
          <w:marTop w:val="0"/>
          <w:marBottom w:val="0"/>
          <w:divBdr>
            <w:top w:val="none" w:sz="0" w:space="0" w:color="auto"/>
            <w:left w:val="none" w:sz="0" w:space="0" w:color="auto"/>
            <w:bottom w:val="none" w:sz="0" w:space="0" w:color="auto"/>
            <w:right w:val="none" w:sz="0" w:space="0" w:color="auto"/>
          </w:divBdr>
        </w:div>
        <w:div w:id="1893418247">
          <w:marLeft w:val="0"/>
          <w:marRight w:val="0"/>
          <w:marTop w:val="0"/>
          <w:marBottom w:val="0"/>
          <w:divBdr>
            <w:top w:val="none" w:sz="0" w:space="0" w:color="auto"/>
            <w:left w:val="none" w:sz="0" w:space="0" w:color="auto"/>
            <w:bottom w:val="none" w:sz="0" w:space="0" w:color="auto"/>
            <w:right w:val="none" w:sz="0" w:space="0" w:color="auto"/>
          </w:divBdr>
        </w:div>
        <w:div w:id="950358749">
          <w:marLeft w:val="-15"/>
          <w:marRight w:val="0"/>
          <w:marTop w:val="0"/>
          <w:marBottom w:val="0"/>
          <w:divBdr>
            <w:top w:val="none" w:sz="0" w:space="0" w:color="auto"/>
            <w:left w:val="none" w:sz="0" w:space="0" w:color="auto"/>
            <w:bottom w:val="none" w:sz="0" w:space="0" w:color="auto"/>
            <w:right w:val="none" w:sz="0" w:space="0" w:color="auto"/>
          </w:divBdr>
        </w:div>
        <w:div w:id="198209308">
          <w:marLeft w:val="0"/>
          <w:marRight w:val="0"/>
          <w:marTop w:val="0"/>
          <w:marBottom w:val="0"/>
          <w:divBdr>
            <w:top w:val="none" w:sz="0" w:space="0" w:color="auto"/>
            <w:left w:val="none" w:sz="0" w:space="0" w:color="auto"/>
            <w:bottom w:val="none" w:sz="0" w:space="0" w:color="auto"/>
            <w:right w:val="none" w:sz="0" w:space="0" w:color="auto"/>
          </w:divBdr>
        </w:div>
        <w:div w:id="1078598168">
          <w:marLeft w:val="0"/>
          <w:marRight w:val="0"/>
          <w:marTop w:val="0"/>
          <w:marBottom w:val="0"/>
          <w:divBdr>
            <w:top w:val="none" w:sz="0" w:space="0" w:color="auto"/>
            <w:left w:val="none" w:sz="0" w:space="0" w:color="auto"/>
            <w:bottom w:val="none" w:sz="0" w:space="0" w:color="auto"/>
            <w:right w:val="none" w:sz="0" w:space="0" w:color="auto"/>
          </w:divBdr>
        </w:div>
        <w:div w:id="222330571">
          <w:marLeft w:val="-15"/>
          <w:marRight w:val="0"/>
          <w:marTop w:val="0"/>
          <w:marBottom w:val="0"/>
          <w:divBdr>
            <w:top w:val="none" w:sz="0" w:space="0" w:color="auto"/>
            <w:left w:val="none" w:sz="0" w:space="0" w:color="auto"/>
            <w:bottom w:val="none" w:sz="0" w:space="0" w:color="auto"/>
            <w:right w:val="none" w:sz="0" w:space="0" w:color="auto"/>
          </w:divBdr>
        </w:div>
        <w:div w:id="1406490328">
          <w:marLeft w:val="0"/>
          <w:marRight w:val="0"/>
          <w:marTop w:val="0"/>
          <w:marBottom w:val="0"/>
          <w:divBdr>
            <w:top w:val="none" w:sz="0" w:space="0" w:color="auto"/>
            <w:left w:val="none" w:sz="0" w:space="0" w:color="auto"/>
            <w:bottom w:val="none" w:sz="0" w:space="0" w:color="auto"/>
            <w:right w:val="none" w:sz="0" w:space="0" w:color="auto"/>
          </w:divBdr>
        </w:div>
        <w:div w:id="1161580532">
          <w:marLeft w:val="-15"/>
          <w:marRight w:val="0"/>
          <w:marTop w:val="0"/>
          <w:marBottom w:val="0"/>
          <w:divBdr>
            <w:top w:val="none" w:sz="0" w:space="0" w:color="auto"/>
            <w:left w:val="none" w:sz="0" w:space="0" w:color="auto"/>
            <w:bottom w:val="none" w:sz="0" w:space="0" w:color="auto"/>
            <w:right w:val="none" w:sz="0" w:space="0" w:color="auto"/>
          </w:divBdr>
        </w:div>
        <w:div w:id="1945068957">
          <w:marLeft w:val="-15"/>
          <w:marRight w:val="0"/>
          <w:marTop w:val="0"/>
          <w:marBottom w:val="0"/>
          <w:divBdr>
            <w:top w:val="none" w:sz="0" w:space="0" w:color="auto"/>
            <w:left w:val="none" w:sz="0" w:space="0" w:color="auto"/>
            <w:bottom w:val="none" w:sz="0" w:space="0" w:color="auto"/>
            <w:right w:val="none" w:sz="0" w:space="0" w:color="auto"/>
          </w:divBdr>
        </w:div>
        <w:div w:id="1871792750">
          <w:marLeft w:val="-15"/>
          <w:marRight w:val="0"/>
          <w:marTop w:val="0"/>
          <w:marBottom w:val="0"/>
          <w:divBdr>
            <w:top w:val="none" w:sz="0" w:space="0" w:color="auto"/>
            <w:left w:val="none" w:sz="0" w:space="0" w:color="auto"/>
            <w:bottom w:val="none" w:sz="0" w:space="0" w:color="auto"/>
            <w:right w:val="none" w:sz="0" w:space="0" w:color="auto"/>
          </w:divBdr>
        </w:div>
        <w:div w:id="1943105730">
          <w:marLeft w:val="-15"/>
          <w:marRight w:val="0"/>
          <w:marTop w:val="0"/>
          <w:marBottom w:val="0"/>
          <w:divBdr>
            <w:top w:val="none" w:sz="0" w:space="0" w:color="auto"/>
            <w:left w:val="none" w:sz="0" w:space="0" w:color="auto"/>
            <w:bottom w:val="none" w:sz="0" w:space="0" w:color="auto"/>
            <w:right w:val="none" w:sz="0" w:space="0" w:color="auto"/>
          </w:divBdr>
        </w:div>
        <w:div w:id="1538201294">
          <w:marLeft w:val="-15"/>
          <w:marRight w:val="0"/>
          <w:marTop w:val="0"/>
          <w:marBottom w:val="0"/>
          <w:divBdr>
            <w:top w:val="none" w:sz="0" w:space="0" w:color="auto"/>
            <w:left w:val="none" w:sz="0" w:space="0" w:color="auto"/>
            <w:bottom w:val="none" w:sz="0" w:space="0" w:color="auto"/>
            <w:right w:val="none" w:sz="0" w:space="0" w:color="auto"/>
          </w:divBdr>
        </w:div>
        <w:div w:id="99375665">
          <w:marLeft w:val="0"/>
          <w:marRight w:val="0"/>
          <w:marTop w:val="0"/>
          <w:marBottom w:val="0"/>
          <w:divBdr>
            <w:top w:val="none" w:sz="0" w:space="0" w:color="auto"/>
            <w:left w:val="none" w:sz="0" w:space="0" w:color="auto"/>
            <w:bottom w:val="none" w:sz="0" w:space="0" w:color="auto"/>
            <w:right w:val="none" w:sz="0" w:space="0" w:color="auto"/>
          </w:divBdr>
          <w:divsChild>
            <w:div w:id="1594970151">
              <w:marLeft w:val="0"/>
              <w:marRight w:val="0"/>
              <w:marTop w:val="0"/>
              <w:marBottom w:val="0"/>
              <w:divBdr>
                <w:top w:val="none" w:sz="0" w:space="0" w:color="auto"/>
                <w:left w:val="none" w:sz="0" w:space="0" w:color="auto"/>
                <w:bottom w:val="none" w:sz="0" w:space="0" w:color="auto"/>
                <w:right w:val="none" w:sz="0" w:space="0" w:color="auto"/>
              </w:divBdr>
              <w:divsChild>
                <w:div w:id="1372994660">
                  <w:marLeft w:val="0"/>
                  <w:marRight w:val="0"/>
                  <w:marTop w:val="0"/>
                  <w:marBottom w:val="0"/>
                  <w:divBdr>
                    <w:top w:val="none" w:sz="0" w:space="0" w:color="auto"/>
                    <w:left w:val="none" w:sz="0" w:space="0" w:color="auto"/>
                    <w:bottom w:val="none" w:sz="0" w:space="0" w:color="auto"/>
                    <w:right w:val="none" w:sz="0" w:space="0" w:color="auto"/>
                  </w:divBdr>
                  <w:divsChild>
                    <w:div w:id="1998681188">
                      <w:marLeft w:val="0"/>
                      <w:marRight w:val="0"/>
                      <w:marTop w:val="0"/>
                      <w:marBottom w:val="0"/>
                      <w:divBdr>
                        <w:top w:val="none" w:sz="0" w:space="0" w:color="auto"/>
                        <w:left w:val="none" w:sz="0" w:space="0" w:color="auto"/>
                        <w:bottom w:val="none" w:sz="0" w:space="0" w:color="auto"/>
                        <w:right w:val="none" w:sz="0" w:space="0" w:color="auto"/>
                      </w:divBdr>
                    </w:div>
                  </w:divsChild>
                </w:div>
                <w:div w:id="1691102799">
                  <w:marLeft w:val="0"/>
                  <w:marRight w:val="0"/>
                  <w:marTop w:val="0"/>
                  <w:marBottom w:val="0"/>
                  <w:divBdr>
                    <w:top w:val="none" w:sz="0" w:space="0" w:color="auto"/>
                    <w:left w:val="none" w:sz="0" w:space="0" w:color="auto"/>
                    <w:bottom w:val="none" w:sz="0" w:space="0" w:color="auto"/>
                    <w:right w:val="none" w:sz="0" w:space="0" w:color="auto"/>
                  </w:divBdr>
                  <w:divsChild>
                    <w:div w:id="1705523000">
                      <w:marLeft w:val="0"/>
                      <w:marRight w:val="0"/>
                      <w:marTop w:val="0"/>
                      <w:marBottom w:val="0"/>
                      <w:divBdr>
                        <w:top w:val="none" w:sz="0" w:space="0" w:color="auto"/>
                        <w:left w:val="none" w:sz="0" w:space="0" w:color="auto"/>
                        <w:bottom w:val="none" w:sz="0" w:space="0" w:color="auto"/>
                        <w:right w:val="none" w:sz="0" w:space="0" w:color="auto"/>
                      </w:divBdr>
                    </w:div>
                  </w:divsChild>
                </w:div>
                <w:div w:id="1183517440">
                  <w:marLeft w:val="0"/>
                  <w:marRight w:val="0"/>
                  <w:marTop w:val="0"/>
                  <w:marBottom w:val="0"/>
                  <w:divBdr>
                    <w:top w:val="none" w:sz="0" w:space="0" w:color="auto"/>
                    <w:left w:val="none" w:sz="0" w:space="0" w:color="auto"/>
                    <w:bottom w:val="none" w:sz="0" w:space="0" w:color="auto"/>
                    <w:right w:val="none" w:sz="0" w:space="0" w:color="auto"/>
                  </w:divBdr>
                  <w:divsChild>
                    <w:div w:id="817918842">
                      <w:marLeft w:val="0"/>
                      <w:marRight w:val="0"/>
                      <w:marTop w:val="0"/>
                      <w:marBottom w:val="0"/>
                      <w:divBdr>
                        <w:top w:val="none" w:sz="0" w:space="0" w:color="auto"/>
                        <w:left w:val="none" w:sz="0" w:space="0" w:color="auto"/>
                        <w:bottom w:val="none" w:sz="0" w:space="0" w:color="auto"/>
                        <w:right w:val="none" w:sz="0" w:space="0" w:color="auto"/>
                      </w:divBdr>
                    </w:div>
                  </w:divsChild>
                </w:div>
                <w:div w:id="1160001444">
                  <w:marLeft w:val="0"/>
                  <w:marRight w:val="0"/>
                  <w:marTop w:val="0"/>
                  <w:marBottom w:val="0"/>
                  <w:divBdr>
                    <w:top w:val="none" w:sz="0" w:space="0" w:color="auto"/>
                    <w:left w:val="none" w:sz="0" w:space="0" w:color="auto"/>
                    <w:bottom w:val="none" w:sz="0" w:space="0" w:color="auto"/>
                    <w:right w:val="none" w:sz="0" w:space="0" w:color="auto"/>
                  </w:divBdr>
                  <w:divsChild>
                    <w:div w:id="318190177">
                      <w:marLeft w:val="0"/>
                      <w:marRight w:val="0"/>
                      <w:marTop w:val="0"/>
                      <w:marBottom w:val="0"/>
                      <w:divBdr>
                        <w:top w:val="none" w:sz="0" w:space="0" w:color="auto"/>
                        <w:left w:val="none" w:sz="0" w:space="0" w:color="auto"/>
                        <w:bottom w:val="none" w:sz="0" w:space="0" w:color="auto"/>
                        <w:right w:val="none" w:sz="0" w:space="0" w:color="auto"/>
                      </w:divBdr>
                    </w:div>
                  </w:divsChild>
                </w:div>
                <w:div w:id="671684281">
                  <w:marLeft w:val="0"/>
                  <w:marRight w:val="0"/>
                  <w:marTop w:val="0"/>
                  <w:marBottom w:val="0"/>
                  <w:divBdr>
                    <w:top w:val="none" w:sz="0" w:space="0" w:color="auto"/>
                    <w:left w:val="none" w:sz="0" w:space="0" w:color="auto"/>
                    <w:bottom w:val="none" w:sz="0" w:space="0" w:color="auto"/>
                    <w:right w:val="none" w:sz="0" w:space="0" w:color="auto"/>
                  </w:divBdr>
                  <w:divsChild>
                    <w:div w:id="399981219">
                      <w:marLeft w:val="0"/>
                      <w:marRight w:val="0"/>
                      <w:marTop w:val="0"/>
                      <w:marBottom w:val="0"/>
                      <w:divBdr>
                        <w:top w:val="none" w:sz="0" w:space="0" w:color="auto"/>
                        <w:left w:val="none" w:sz="0" w:space="0" w:color="auto"/>
                        <w:bottom w:val="none" w:sz="0" w:space="0" w:color="auto"/>
                        <w:right w:val="none" w:sz="0" w:space="0" w:color="auto"/>
                      </w:divBdr>
                    </w:div>
                  </w:divsChild>
                </w:div>
                <w:div w:id="1610820583">
                  <w:marLeft w:val="0"/>
                  <w:marRight w:val="0"/>
                  <w:marTop w:val="0"/>
                  <w:marBottom w:val="0"/>
                  <w:divBdr>
                    <w:top w:val="none" w:sz="0" w:space="0" w:color="auto"/>
                    <w:left w:val="none" w:sz="0" w:space="0" w:color="auto"/>
                    <w:bottom w:val="none" w:sz="0" w:space="0" w:color="auto"/>
                    <w:right w:val="none" w:sz="0" w:space="0" w:color="auto"/>
                  </w:divBdr>
                  <w:divsChild>
                    <w:div w:id="1487165795">
                      <w:marLeft w:val="0"/>
                      <w:marRight w:val="0"/>
                      <w:marTop w:val="0"/>
                      <w:marBottom w:val="0"/>
                      <w:divBdr>
                        <w:top w:val="none" w:sz="0" w:space="0" w:color="auto"/>
                        <w:left w:val="none" w:sz="0" w:space="0" w:color="auto"/>
                        <w:bottom w:val="none" w:sz="0" w:space="0" w:color="auto"/>
                        <w:right w:val="none" w:sz="0" w:space="0" w:color="auto"/>
                      </w:divBdr>
                    </w:div>
                  </w:divsChild>
                </w:div>
                <w:div w:id="500852331">
                  <w:marLeft w:val="0"/>
                  <w:marRight w:val="0"/>
                  <w:marTop w:val="0"/>
                  <w:marBottom w:val="0"/>
                  <w:divBdr>
                    <w:top w:val="none" w:sz="0" w:space="0" w:color="auto"/>
                    <w:left w:val="none" w:sz="0" w:space="0" w:color="auto"/>
                    <w:bottom w:val="none" w:sz="0" w:space="0" w:color="auto"/>
                    <w:right w:val="none" w:sz="0" w:space="0" w:color="auto"/>
                  </w:divBdr>
                  <w:divsChild>
                    <w:div w:id="1289431851">
                      <w:marLeft w:val="0"/>
                      <w:marRight w:val="0"/>
                      <w:marTop w:val="0"/>
                      <w:marBottom w:val="0"/>
                      <w:divBdr>
                        <w:top w:val="none" w:sz="0" w:space="0" w:color="auto"/>
                        <w:left w:val="none" w:sz="0" w:space="0" w:color="auto"/>
                        <w:bottom w:val="none" w:sz="0" w:space="0" w:color="auto"/>
                        <w:right w:val="none" w:sz="0" w:space="0" w:color="auto"/>
                      </w:divBdr>
                    </w:div>
                  </w:divsChild>
                </w:div>
                <w:div w:id="931471427">
                  <w:marLeft w:val="0"/>
                  <w:marRight w:val="0"/>
                  <w:marTop w:val="0"/>
                  <w:marBottom w:val="0"/>
                  <w:divBdr>
                    <w:top w:val="none" w:sz="0" w:space="0" w:color="auto"/>
                    <w:left w:val="none" w:sz="0" w:space="0" w:color="auto"/>
                    <w:bottom w:val="none" w:sz="0" w:space="0" w:color="auto"/>
                    <w:right w:val="none" w:sz="0" w:space="0" w:color="auto"/>
                  </w:divBdr>
                  <w:divsChild>
                    <w:div w:id="848330482">
                      <w:marLeft w:val="0"/>
                      <w:marRight w:val="0"/>
                      <w:marTop w:val="0"/>
                      <w:marBottom w:val="0"/>
                      <w:divBdr>
                        <w:top w:val="none" w:sz="0" w:space="0" w:color="auto"/>
                        <w:left w:val="none" w:sz="0" w:space="0" w:color="auto"/>
                        <w:bottom w:val="none" w:sz="0" w:space="0" w:color="auto"/>
                        <w:right w:val="none" w:sz="0" w:space="0" w:color="auto"/>
                      </w:divBdr>
                    </w:div>
                  </w:divsChild>
                </w:div>
                <w:div w:id="825972739">
                  <w:marLeft w:val="0"/>
                  <w:marRight w:val="0"/>
                  <w:marTop w:val="0"/>
                  <w:marBottom w:val="0"/>
                  <w:divBdr>
                    <w:top w:val="none" w:sz="0" w:space="0" w:color="auto"/>
                    <w:left w:val="none" w:sz="0" w:space="0" w:color="auto"/>
                    <w:bottom w:val="none" w:sz="0" w:space="0" w:color="auto"/>
                    <w:right w:val="none" w:sz="0" w:space="0" w:color="auto"/>
                  </w:divBdr>
                  <w:divsChild>
                    <w:div w:id="684793309">
                      <w:marLeft w:val="0"/>
                      <w:marRight w:val="0"/>
                      <w:marTop w:val="0"/>
                      <w:marBottom w:val="0"/>
                      <w:divBdr>
                        <w:top w:val="none" w:sz="0" w:space="0" w:color="auto"/>
                        <w:left w:val="none" w:sz="0" w:space="0" w:color="auto"/>
                        <w:bottom w:val="none" w:sz="0" w:space="0" w:color="auto"/>
                        <w:right w:val="none" w:sz="0" w:space="0" w:color="auto"/>
                      </w:divBdr>
                    </w:div>
                  </w:divsChild>
                </w:div>
                <w:div w:id="1829787585">
                  <w:marLeft w:val="0"/>
                  <w:marRight w:val="0"/>
                  <w:marTop w:val="0"/>
                  <w:marBottom w:val="0"/>
                  <w:divBdr>
                    <w:top w:val="none" w:sz="0" w:space="0" w:color="auto"/>
                    <w:left w:val="none" w:sz="0" w:space="0" w:color="auto"/>
                    <w:bottom w:val="none" w:sz="0" w:space="0" w:color="auto"/>
                    <w:right w:val="none" w:sz="0" w:space="0" w:color="auto"/>
                  </w:divBdr>
                  <w:divsChild>
                    <w:div w:id="436222689">
                      <w:marLeft w:val="0"/>
                      <w:marRight w:val="0"/>
                      <w:marTop w:val="0"/>
                      <w:marBottom w:val="0"/>
                      <w:divBdr>
                        <w:top w:val="none" w:sz="0" w:space="0" w:color="auto"/>
                        <w:left w:val="none" w:sz="0" w:space="0" w:color="auto"/>
                        <w:bottom w:val="none" w:sz="0" w:space="0" w:color="auto"/>
                        <w:right w:val="none" w:sz="0" w:space="0" w:color="auto"/>
                      </w:divBdr>
                    </w:div>
                  </w:divsChild>
                </w:div>
                <w:div w:id="989208741">
                  <w:marLeft w:val="0"/>
                  <w:marRight w:val="0"/>
                  <w:marTop w:val="0"/>
                  <w:marBottom w:val="0"/>
                  <w:divBdr>
                    <w:top w:val="none" w:sz="0" w:space="0" w:color="auto"/>
                    <w:left w:val="none" w:sz="0" w:space="0" w:color="auto"/>
                    <w:bottom w:val="none" w:sz="0" w:space="0" w:color="auto"/>
                    <w:right w:val="none" w:sz="0" w:space="0" w:color="auto"/>
                  </w:divBdr>
                  <w:divsChild>
                    <w:div w:id="924067991">
                      <w:marLeft w:val="0"/>
                      <w:marRight w:val="0"/>
                      <w:marTop w:val="0"/>
                      <w:marBottom w:val="0"/>
                      <w:divBdr>
                        <w:top w:val="none" w:sz="0" w:space="0" w:color="auto"/>
                        <w:left w:val="none" w:sz="0" w:space="0" w:color="auto"/>
                        <w:bottom w:val="none" w:sz="0" w:space="0" w:color="auto"/>
                        <w:right w:val="none" w:sz="0" w:space="0" w:color="auto"/>
                      </w:divBdr>
                    </w:div>
                  </w:divsChild>
                </w:div>
                <w:div w:id="909926345">
                  <w:marLeft w:val="0"/>
                  <w:marRight w:val="0"/>
                  <w:marTop w:val="0"/>
                  <w:marBottom w:val="0"/>
                  <w:divBdr>
                    <w:top w:val="none" w:sz="0" w:space="0" w:color="auto"/>
                    <w:left w:val="none" w:sz="0" w:space="0" w:color="auto"/>
                    <w:bottom w:val="none" w:sz="0" w:space="0" w:color="auto"/>
                    <w:right w:val="none" w:sz="0" w:space="0" w:color="auto"/>
                  </w:divBdr>
                  <w:divsChild>
                    <w:div w:id="1893344924">
                      <w:marLeft w:val="0"/>
                      <w:marRight w:val="0"/>
                      <w:marTop w:val="0"/>
                      <w:marBottom w:val="0"/>
                      <w:divBdr>
                        <w:top w:val="none" w:sz="0" w:space="0" w:color="auto"/>
                        <w:left w:val="none" w:sz="0" w:space="0" w:color="auto"/>
                        <w:bottom w:val="none" w:sz="0" w:space="0" w:color="auto"/>
                        <w:right w:val="none" w:sz="0" w:space="0" w:color="auto"/>
                      </w:divBdr>
                    </w:div>
                  </w:divsChild>
                </w:div>
                <w:div w:id="1980766300">
                  <w:marLeft w:val="0"/>
                  <w:marRight w:val="0"/>
                  <w:marTop w:val="0"/>
                  <w:marBottom w:val="0"/>
                  <w:divBdr>
                    <w:top w:val="none" w:sz="0" w:space="0" w:color="auto"/>
                    <w:left w:val="none" w:sz="0" w:space="0" w:color="auto"/>
                    <w:bottom w:val="none" w:sz="0" w:space="0" w:color="auto"/>
                    <w:right w:val="none" w:sz="0" w:space="0" w:color="auto"/>
                  </w:divBdr>
                  <w:divsChild>
                    <w:div w:id="871191778">
                      <w:marLeft w:val="0"/>
                      <w:marRight w:val="0"/>
                      <w:marTop w:val="0"/>
                      <w:marBottom w:val="0"/>
                      <w:divBdr>
                        <w:top w:val="none" w:sz="0" w:space="0" w:color="auto"/>
                        <w:left w:val="none" w:sz="0" w:space="0" w:color="auto"/>
                        <w:bottom w:val="none" w:sz="0" w:space="0" w:color="auto"/>
                        <w:right w:val="none" w:sz="0" w:space="0" w:color="auto"/>
                      </w:divBdr>
                    </w:div>
                  </w:divsChild>
                </w:div>
                <w:div w:id="1309094776">
                  <w:marLeft w:val="0"/>
                  <w:marRight w:val="0"/>
                  <w:marTop w:val="0"/>
                  <w:marBottom w:val="0"/>
                  <w:divBdr>
                    <w:top w:val="none" w:sz="0" w:space="0" w:color="auto"/>
                    <w:left w:val="none" w:sz="0" w:space="0" w:color="auto"/>
                    <w:bottom w:val="none" w:sz="0" w:space="0" w:color="auto"/>
                    <w:right w:val="none" w:sz="0" w:space="0" w:color="auto"/>
                  </w:divBdr>
                  <w:divsChild>
                    <w:div w:id="2115200833">
                      <w:marLeft w:val="0"/>
                      <w:marRight w:val="0"/>
                      <w:marTop w:val="0"/>
                      <w:marBottom w:val="0"/>
                      <w:divBdr>
                        <w:top w:val="none" w:sz="0" w:space="0" w:color="auto"/>
                        <w:left w:val="none" w:sz="0" w:space="0" w:color="auto"/>
                        <w:bottom w:val="none" w:sz="0" w:space="0" w:color="auto"/>
                        <w:right w:val="none" w:sz="0" w:space="0" w:color="auto"/>
                      </w:divBdr>
                    </w:div>
                  </w:divsChild>
                </w:div>
                <w:div w:id="1803501555">
                  <w:marLeft w:val="0"/>
                  <w:marRight w:val="0"/>
                  <w:marTop w:val="0"/>
                  <w:marBottom w:val="0"/>
                  <w:divBdr>
                    <w:top w:val="none" w:sz="0" w:space="0" w:color="auto"/>
                    <w:left w:val="none" w:sz="0" w:space="0" w:color="auto"/>
                    <w:bottom w:val="none" w:sz="0" w:space="0" w:color="auto"/>
                    <w:right w:val="none" w:sz="0" w:space="0" w:color="auto"/>
                  </w:divBdr>
                  <w:divsChild>
                    <w:div w:id="255018045">
                      <w:marLeft w:val="0"/>
                      <w:marRight w:val="0"/>
                      <w:marTop w:val="0"/>
                      <w:marBottom w:val="0"/>
                      <w:divBdr>
                        <w:top w:val="none" w:sz="0" w:space="0" w:color="auto"/>
                        <w:left w:val="none" w:sz="0" w:space="0" w:color="auto"/>
                        <w:bottom w:val="none" w:sz="0" w:space="0" w:color="auto"/>
                        <w:right w:val="none" w:sz="0" w:space="0" w:color="auto"/>
                      </w:divBdr>
                    </w:div>
                  </w:divsChild>
                </w:div>
                <w:div w:id="798063817">
                  <w:marLeft w:val="0"/>
                  <w:marRight w:val="0"/>
                  <w:marTop w:val="0"/>
                  <w:marBottom w:val="0"/>
                  <w:divBdr>
                    <w:top w:val="none" w:sz="0" w:space="0" w:color="auto"/>
                    <w:left w:val="none" w:sz="0" w:space="0" w:color="auto"/>
                    <w:bottom w:val="none" w:sz="0" w:space="0" w:color="auto"/>
                    <w:right w:val="none" w:sz="0" w:space="0" w:color="auto"/>
                  </w:divBdr>
                  <w:divsChild>
                    <w:div w:id="1541088597">
                      <w:marLeft w:val="0"/>
                      <w:marRight w:val="0"/>
                      <w:marTop w:val="0"/>
                      <w:marBottom w:val="0"/>
                      <w:divBdr>
                        <w:top w:val="none" w:sz="0" w:space="0" w:color="auto"/>
                        <w:left w:val="none" w:sz="0" w:space="0" w:color="auto"/>
                        <w:bottom w:val="none" w:sz="0" w:space="0" w:color="auto"/>
                        <w:right w:val="none" w:sz="0" w:space="0" w:color="auto"/>
                      </w:divBdr>
                    </w:div>
                  </w:divsChild>
                </w:div>
                <w:div w:id="205872203">
                  <w:marLeft w:val="0"/>
                  <w:marRight w:val="0"/>
                  <w:marTop w:val="0"/>
                  <w:marBottom w:val="0"/>
                  <w:divBdr>
                    <w:top w:val="none" w:sz="0" w:space="0" w:color="auto"/>
                    <w:left w:val="none" w:sz="0" w:space="0" w:color="auto"/>
                    <w:bottom w:val="none" w:sz="0" w:space="0" w:color="auto"/>
                    <w:right w:val="none" w:sz="0" w:space="0" w:color="auto"/>
                  </w:divBdr>
                  <w:divsChild>
                    <w:div w:id="1721243676">
                      <w:marLeft w:val="0"/>
                      <w:marRight w:val="0"/>
                      <w:marTop w:val="0"/>
                      <w:marBottom w:val="0"/>
                      <w:divBdr>
                        <w:top w:val="none" w:sz="0" w:space="0" w:color="auto"/>
                        <w:left w:val="none" w:sz="0" w:space="0" w:color="auto"/>
                        <w:bottom w:val="none" w:sz="0" w:space="0" w:color="auto"/>
                        <w:right w:val="none" w:sz="0" w:space="0" w:color="auto"/>
                      </w:divBdr>
                    </w:div>
                  </w:divsChild>
                </w:div>
                <w:div w:id="1829394082">
                  <w:marLeft w:val="0"/>
                  <w:marRight w:val="0"/>
                  <w:marTop w:val="0"/>
                  <w:marBottom w:val="0"/>
                  <w:divBdr>
                    <w:top w:val="none" w:sz="0" w:space="0" w:color="auto"/>
                    <w:left w:val="none" w:sz="0" w:space="0" w:color="auto"/>
                    <w:bottom w:val="none" w:sz="0" w:space="0" w:color="auto"/>
                    <w:right w:val="none" w:sz="0" w:space="0" w:color="auto"/>
                  </w:divBdr>
                  <w:divsChild>
                    <w:div w:id="1406075356">
                      <w:marLeft w:val="0"/>
                      <w:marRight w:val="0"/>
                      <w:marTop w:val="0"/>
                      <w:marBottom w:val="0"/>
                      <w:divBdr>
                        <w:top w:val="none" w:sz="0" w:space="0" w:color="auto"/>
                        <w:left w:val="none" w:sz="0" w:space="0" w:color="auto"/>
                        <w:bottom w:val="none" w:sz="0" w:space="0" w:color="auto"/>
                        <w:right w:val="none" w:sz="0" w:space="0" w:color="auto"/>
                      </w:divBdr>
                    </w:div>
                  </w:divsChild>
                </w:div>
                <w:div w:id="966353932">
                  <w:marLeft w:val="0"/>
                  <w:marRight w:val="0"/>
                  <w:marTop w:val="0"/>
                  <w:marBottom w:val="0"/>
                  <w:divBdr>
                    <w:top w:val="none" w:sz="0" w:space="0" w:color="auto"/>
                    <w:left w:val="none" w:sz="0" w:space="0" w:color="auto"/>
                    <w:bottom w:val="none" w:sz="0" w:space="0" w:color="auto"/>
                    <w:right w:val="none" w:sz="0" w:space="0" w:color="auto"/>
                  </w:divBdr>
                  <w:divsChild>
                    <w:div w:id="463088314">
                      <w:marLeft w:val="0"/>
                      <w:marRight w:val="0"/>
                      <w:marTop w:val="0"/>
                      <w:marBottom w:val="0"/>
                      <w:divBdr>
                        <w:top w:val="none" w:sz="0" w:space="0" w:color="auto"/>
                        <w:left w:val="none" w:sz="0" w:space="0" w:color="auto"/>
                        <w:bottom w:val="none" w:sz="0" w:space="0" w:color="auto"/>
                        <w:right w:val="none" w:sz="0" w:space="0" w:color="auto"/>
                      </w:divBdr>
                    </w:div>
                  </w:divsChild>
                </w:div>
                <w:div w:id="953442919">
                  <w:marLeft w:val="0"/>
                  <w:marRight w:val="0"/>
                  <w:marTop w:val="0"/>
                  <w:marBottom w:val="0"/>
                  <w:divBdr>
                    <w:top w:val="none" w:sz="0" w:space="0" w:color="auto"/>
                    <w:left w:val="none" w:sz="0" w:space="0" w:color="auto"/>
                    <w:bottom w:val="none" w:sz="0" w:space="0" w:color="auto"/>
                    <w:right w:val="none" w:sz="0" w:space="0" w:color="auto"/>
                  </w:divBdr>
                  <w:divsChild>
                    <w:div w:id="135380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122068">
          <w:marLeft w:val="0"/>
          <w:marRight w:val="0"/>
          <w:marTop w:val="0"/>
          <w:marBottom w:val="0"/>
          <w:divBdr>
            <w:top w:val="none" w:sz="0" w:space="0" w:color="auto"/>
            <w:left w:val="none" w:sz="0" w:space="0" w:color="auto"/>
            <w:bottom w:val="none" w:sz="0" w:space="0" w:color="auto"/>
            <w:right w:val="none" w:sz="0" w:space="0" w:color="auto"/>
          </w:divBdr>
        </w:div>
        <w:div w:id="324819158">
          <w:marLeft w:val="0"/>
          <w:marRight w:val="0"/>
          <w:marTop w:val="0"/>
          <w:marBottom w:val="0"/>
          <w:divBdr>
            <w:top w:val="none" w:sz="0" w:space="0" w:color="auto"/>
            <w:left w:val="none" w:sz="0" w:space="0" w:color="auto"/>
            <w:bottom w:val="none" w:sz="0" w:space="0" w:color="auto"/>
            <w:right w:val="none" w:sz="0" w:space="0" w:color="auto"/>
          </w:divBdr>
        </w:div>
        <w:div w:id="500782534">
          <w:marLeft w:val="-15"/>
          <w:marRight w:val="0"/>
          <w:marTop w:val="0"/>
          <w:marBottom w:val="0"/>
          <w:divBdr>
            <w:top w:val="none" w:sz="0" w:space="0" w:color="auto"/>
            <w:left w:val="none" w:sz="0" w:space="0" w:color="auto"/>
            <w:bottom w:val="none" w:sz="0" w:space="0" w:color="auto"/>
            <w:right w:val="none" w:sz="0" w:space="0" w:color="auto"/>
          </w:divBdr>
        </w:div>
        <w:div w:id="936408788">
          <w:marLeft w:val="-15"/>
          <w:marRight w:val="0"/>
          <w:marTop w:val="0"/>
          <w:marBottom w:val="0"/>
          <w:divBdr>
            <w:top w:val="none" w:sz="0" w:space="0" w:color="auto"/>
            <w:left w:val="none" w:sz="0" w:space="0" w:color="auto"/>
            <w:bottom w:val="none" w:sz="0" w:space="0" w:color="auto"/>
            <w:right w:val="none" w:sz="0" w:space="0" w:color="auto"/>
          </w:divBdr>
        </w:div>
        <w:div w:id="1419671730">
          <w:marLeft w:val="0"/>
          <w:marRight w:val="0"/>
          <w:marTop w:val="0"/>
          <w:marBottom w:val="0"/>
          <w:divBdr>
            <w:top w:val="none" w:sz="0" w:space="0" w:color="auto"/>
            <w:left w:val="none" w:sz="0" w:space="0" w:color="auto"/>
            <w:bottom w:val="none" w:sz="0" w:space="0" w:color="auto"/>
            <w:right w:val="none" w:sz="0" w:space="0" w:color="auto"/>
          </w:divBdr>
          <w:divsChild>
            <w:div w:id="432670726">
              <w:marLeft w:val="0"/>
              <w:marRight w:val="0"/>
              <w:marTop w:val="0"/>
              <w:marBottom w:val="0"/>
              <w:divBdr>
                <w:top w:val="none" w:sz="0" w:space="0" w:color="auto"/>
                <w:left w:val="none" w:sz="0" w:space="0" w:color="auto"/>
                <w:bottom w:val="none" w:sz="0" w:space="0" w:color="auto"/>
                <w:right w:val="none" w:sz="0" w:space="0" w:color="auto"/>
              </w:divBdr>
              <w:divsChild>
                <w:div w:id="1412895615">
                  <w:marLeft w:val="0"/>
                  <w:marRight w:val="0"/>
                  <w:marTop w:val="0"/>
                  <w:marBottom w:val="0"/>
                  <w:divBdr>
                    <w:top w:val="none" w:sz="0" w:space="0" w:color="auto"/>
                    <w:left w:val="none" w:sz="0" w:space="0" w:color="auto"/>
                    <w:bottom w:val="none" w:sz="0" w:space="0" w:color="auto"/>
                    <w:right w:val="none" w:sz="0" w:space="0" w:color="auto"/>
                  </w:divBdr>
                  <w:divsChild>
                    <w:div w:id="1369256095">
                      <w:marLeft w:val="0"/>
                      <w:marRight w:val="0"/>
                      <w:marTop w:val="0"/>
                      <w:marBottom w:val="0"/>
                      <w:divBdr>
                        <w:top w:val="none" w:sz="0" w:space="0" w:color="auto"/>
                        <w:left w:val="none" w:sz="0" w:space="0" w:color="auto"/>
                        <w:bottom w:val="none" w:sz="0" w:space="0" w:color="auto"/>
                        <w:right w:val="none" w:sz="0" w:space="0" w:color="auto"/>
                      </w:divBdr>
                    </w:div>
                  </w:divsChild>
                </w:div>
                <w:div w:id="173035857">
                  <w:marLeft w:val="0"/>
                  <w:marRight w:val="0"/>
                  <w:marTop w:val="0"/>
                  <w:marBottom w:val="0"/>
                  <w:divBdr>
                    <w:top w:val="none" w:sz="0" w:space="0" w:color="auto"/>
                    <w:left w:val="none" w:sz="0" w:space="0" w:color="auto"/>
                    <w:bottom w:val="none" w:sz="0" w:space="0" w:color="auto"/>
                    <w:right w:val="none" w:sz="0" w:space="0" w:color="auto"/>
                  </w:divBdr>
                  <w:divsChild>
                    <w:div w:id="1940411658">
                      <w:marLeft w:val="0"/>
                      <w:marRight w:val="0"/>
                      <w:marTop w:val="0"/>
                      <w:marBottom w:val="0"/>
                      <w:divBdr>
                        <w:top w:val="none" w:sz="0" w:space="0" w:color="auto"/>
                        <w:left w:val="none" w:sz="0" w:space="0" w:color="auto"/>
                        <w:bottom w:val="none" w:sz="0" w:space="0" w:color="auto"/>
                        <w:right w:val="none" w:sz="0" w:space="0" w:color="auto"/>
                      </w:divBdr>
                    </w:div>
                  </w:divsChild>
                </w:div>
                <w:div w:id="686904276">
                  <w:marLeft w:val="0"/>
                  <w:marRight w:val="0"/>
                  <w:marTop w:val="0"/>
                  <w:marBottom w:val="0"/>
                  <w:divBdr>
                    <w:top w:val="none" w:sz="0" w:space="0" w:color="auto"/>
                    <w:left w:val="none" w:sz="0" w:space="0" w:color="auto"/>
                    <w:bottom w:val="none" w:sz="0" w:space="0" w:color="auto"/>
                    <w:right w:val="none" w:sz="0" w:space="0" w:color="auto"/>
                  </w:divBdr>
                  <w:divsChild>
                    <w:div w:id="546986772">
                      <w:marLeft w:val="0"/>
                      <w:marRight w:val="0"/>
                      <w:marTop w:val="0"/>
                      <w:marBottom w:val="0"/>
                      <w:divBdr>
                        <w:top w:val="none" w:sz="0" w:space="0" w:color="auto"/>
                        <w:left w:val="none" w:sz="0" w:space="0" w:color="auto"/>
                        <w:bottom w:val="none" w:sz="0" w:space="0" w:color="auto"/>
                        <w:right w:val="none" w:sz="0" w:space="0" w:color="auto"/>
                      </w:divBdr>
                    </w:div>
                  </w:divsChild>
                </w:div>
                <w:div w:id="1665626100">
                  <w:marLeft w:val="0"/>
                  <w:marRight w:val="0"/>
                  <w:marTop w:val="0"/>
                  <w:marBottom w:val="0"/>
                  <w:divBdr>
                    <w:top w:val="none" w:sz="0" w:space="0" w:color="auto"/>
                    <w:left w:val="none" w:sz="0" w:space="0" w:color="auto"/>
                    <w:bottom w:val="none" w:sz="0" w:space="0" w:color="auto"/>
                    <w:right w:val="none" w:sz="0" w:space="0" w:color="auto"/>
                  </w:divBdr>
                  <w:divsChild>
                    <w:div w:id="82146024">
                      <w:marLeft w:val="0"/>
                      <w:marRight w:val="0"/>
                      <w:marTop w:val="0"/>
                      <w:marBottom w:val="0"/>
                      <w:divBdr>
                        <w:top w:val="none" w:sz="0" w:space="0" w:color="auto"/>
                        <w:left w:val="none" w:sz="0" w:space="0" w:color="auto"/>
                        <w:bottom w:val="none" w:sz="0" w:space="0" w:color="auto"/>
                        <w:right w:val="none" w:sz="0" w:space="0" w:color="auto"/>
                      </w:divBdr>
                    </w:div>
                  </w:divsChild>
                </w:div>
                <w:div w:id="19210094">
                  <w:marLeft w:val="0"/>
                  <w:marRight w:val="0"/>
                  <w:marTop w:val="0"/>
                  <w:marBottom w:val="0"/>
                  <w:divBdr>
                    <w:top w:val="none" w:sz="0" w:space="0" w:color="auto"/>
                    <w:left w:val="none" w:sz="0" w:space="0" w:color="auto"/>
                    <w:bottom w:val="none" w:sz="0" w:space="0" w:color="auto"/>
                    <w:right w:val="none" w:sz="0" w:space="0" w:color="auto"/>
                  </w:divBdr>
                  <w:divsChild>
                    <w:div w:id="2085489097">
                      <w:marLeft w:val="0"/>
                      <w:marRight w:val="0"/>
                      <w:marTop w:val="0"/>
                      <w:marBottom w:val="0"/>
                      <w:divBdr>
                        <w:top w:val="none" w:sz="0" w:space="0" w:color="auto"/>
                        <w:left w:val="none" w:sz="0" w:space="0" w:color="auto"/>
                        <w:bottom w:val="none" w:sz="0" w:space="0" w:color="auto"/>
                        <w:right w:val="none" w:sz="0" w:space="0" w:color="auto"/>
                      </w:divBdr>
                    </w:div>
                  </w:divsChild>
                </w:div>
                <w:div w:id="637489108">
                  <w:marLeft w:val="0"/>
                  <w:marRight w:val="0"/>
                  <w:marTop w:val="0"/>
                  <w:marBottom w:val="0"/>
                  <w:divBdr>
                    <w:top w:val="none" w:sz="0" w:space="0" w:color="auto"/>
                    <w:left w:val="none" w:sz="0" w:space="0" w:color="auto"/>
                    <w:bottom w:val="none" w:sz="0" w:space="0" w:color="auto"/>
                    <w:right w:val="none" w:sz="0" w:space="0" w:color="auto"/>
                  </w:divBdr>
                  <w:divsChild>
                    <w:div w:id="1093428385">
                      <w:marLeft w:val="0"/>
                      <w:marRight w:val="0"/>
                      <w:marTop w:val="0"/>
                      <w:marBottom w:val="0"/>
                      <w:divBdr>
                        <w:top w:val="none" w:sz="0" w:space="0" w:color="auto"/>
                        <w:left w:val="none" w:sz="0" w:space="0" w:color="auto"/>
                        <w:bottom w:val="none" w:sz="0" w:space="0" w:color="auto"/>
                        <w:right w:val="none" w:sz="0" w:space="0" w:color="auto"/>
                      </w:divBdr>
                    </w:div>
                  </w:divsChild>
                </w:div>
                <w:div w:id="458308166">
                  <w:marLeft w:val="0"/>
                  <w:marRight w:val="0"/>
                  <w:marTop w:val="0"/>
                  <w:marBottom w:val="0"/>
                  <w:divBdr>
                    <w:top w:val="none" w:sz="0" w:space="0" w:color="auto"/>
                    <w:left w:val="none" w:sz="0" w:space="0" w:color="auto"/>
                    <w:bottom w:val="none" w:sz="0" w:space="0" w:color="auto"/>
                    <w:right w:val="none" w:sz="0" w:space="0" w:color="auto"/>
                  </w:divBdr>
                  <w:divsChild>
                    <w:div w:id="255285011">
                      <w:marLeft w:val="0"/>
                      <w:marRight w:val="0"/>
                      <w:marTop w:val="0"/>
                      <w:marBottom w:val="0"/>
                      <w:divBdr>
                        <w:top w:val="none" w:sz="0" w:space="0" w:color="auto"/>
                        <w:left w:val="none" w:sz="0" w:space="0" w:color="auto"/>
                        <w:bottom w:val="none" w:sz="0" w:space="0" w:color="auto"/>
                        <w:right w:val="none" w:sz="0" w:space="0" w:color="auto"/>
                      </w:divBdr>
                    </w:div>
                  </w:divsChild>
                </w:div>
                <w:div w:id="600650981">
                  <w:marLeft w:val="0"/>
                  <w:marRight w:val="0"/>
                  <w:marTop w:val="0"/>
                  <w:marBottom w:val="0"/>
                  <w:divBdr>
                    <w:top w:val="none" w:sz="0" w:space="0" w:color="auto"/>
                    <w:left w:val="none" w:sz="0" w:space="0" w:color="auto"/>
                    <w:bottom w:val="none" w:sz="0" w:space="0" w:color="auto"/>
                    <w:right w:val="none" w:sz="0" w:space="0" w:color="auto"/>
                  </w:divBdr>
                  <w:divsChild>
                    <w:div w:id="678704319">
                      <w:marLeft w:val="0"/>
                      <w:marRight w:val="0"/>
                      <w:marTop w:val="0"/>
                      <w:marBottom w:val="0"/>
                      <w:divBdr>
                        <w:top w:val="none" w:sz="0" w:space="0" w:color="auto"/>
                        <w:left w:val="none" w:sz="0" w:space="0" w:color="auto"/>
                        <w:bottom w:val="none" w:sz="0" w:space="0" w:color="auto"/>
                        <w:right w:val="none" w:sz="0" w:space="0" w:color="auto"/>
                      </w:divBdr>
                    </w:div>
                  </w:divsChild>
                </w:div>
                <w:div w:id="595287324">
                  <w:marLeft w:val="0"/>
                  <w:marRight w:val="0"/>
                  <w:marTop w:val="0"/>
                  <w:marBottom w:val="0"/>
                  <w:divBdr>
                    <w:top w:val="none" w:sz="0" w:space="0" w:color="auto"/>
                    <w:left w:val="none" w:sz="0" w:space="0" w:color="auto"/>
                    <w:bottom w:val="none" w:sz="0" w:space="0" w:color="auto"/>
                    <w:right w:val="none" w:sz="0" w:space="0" w:color="auto"/>
                  </w:divBdr>
                  <w:divsChild>
                    <w:div w:id="1050155414">
                      <w:marLeft w:val="0"/>
                      <w:marRight w:val="0"/>
                      <w:marTop w:val="0"/>
                      <w:marBottom w:val="0"/>
                      <w:divBdr>
                        <w:top w:val="none" w:sz="0" w:space="0" w:color="auto"/>
                        <w:left w:val="none" w:sz="0" w:space="0" w:color="auto"/>
                        <w:bottom w:val="none" w:sz="0" w:space="0" w:color="auto"/>
                        <w:right w:val="none" w:sz="0" w:space="0" w:color="auto"/>
                      </w:divBdr>
                    </w:div>
                  </w:divsChild>
                </w:div>
                <w:div w:id="1393623061">
                  <w:marLeft w:val="0"/>
                  <w:marRight w:val="0"/>
                  <w:marTop w:val="0"/>
                  <w:marBottom w:val="0"/>
                  <w:divBdr>
                    <w:top w:val="none" w:sz="0" w:space="0" w:color="auto"/>
                    <w:left w:val="none" w:sz="0" w:space="0" w:color="auto"/>
                    <w:bottom w:val="none" w:sz="0" w:space="0" w:color="auto"/>
                    <w:right w:val="none" w:sz="0" w:space="0" w:color="auto"/>
                  </w:divBdr>
                  <w:divsChild>
                    <w:div w:id="411901836">
                      <w:marLeft w:val="0"/>
                      <w:marRight w:val="0"/>
                      <w:marTop w:val="0"/>
                      <w:marBottom w:val="0"/>
                      <w:divBdr>
                        <w:top w:val="none" w:sz="0" w:space="0" w:color="auto"/>
                        <w:left w:val="none" w:sz="0" w:space="0" w:color="auto"/>
                        <w:bottom w:val="none" w:sz="0" w:space="0" w:color="auto"/>
                        <w:right w:val="none" w:sz="0" w:space="0" w:color="auto"/>
                      </w:divBdr>
                    </w:div>
                  </w:divsChild>
                </w:div>
                <w:div w:id="363948438">
                  <w:marLeft w:val="0"/>
                  <w:marRight w:val="0"/>
                  <w:marTop w:val="0"/>
                  <w:marBottom w:val="0"/>
                  <w:divBdr>
                    <w:top w:val="none" w:sz="0" w:space="0" w:color="auto"/>
                    <w:left w:val="none" w:sz="0" w:space="0" w:color="auto"/>
                    <w:bottom w:val="none" w:sz="0" w:space="0" w:color="auto"/>
                    <w:right w:val="none" w:sz="0" w:space="0" w:color="auto"/>
                  </w:divBdr>
                  <w:divsChild>
                    <w:div w:id="495539380">
                      <w:marLeft w:val="0"/>
                      <w:marRight w:val="0"/>
                      <w:marTop w:val="0"/>
                      <w:marBottom w:val="0"/>
                      <w:divBdr>
                        <w:top w:val="none" w:sz="0" w:space="0" w:color="auto"/>
                        <w:left w:val="none" w:sz="0" w:space="0" w:color="auto"/>
                        <w:bottom w:val="none" w:sz="0" w:space="0" w:color="auto"/>
                        <w:right w:val="none" w:sz="0" w:space="0" w:color="auto"/>
                      </w:divBdr>
                    </w:div>
                  </w:divsChild>
                </w:div>
                <w:div w:id="1666662464">
                  <w:marLeft w:val="0"/>
                  <w:marRight w:val="0"/>
                  <w:marTop w:val="0"/>
                  <w:marBottom w:val="0"/>
                  <w:divBdr>
                    <w:top w:val="none" w:sz="0" w:space="0" w:color="auto"/>
                    <w:left w:val="none" w:sz="0" w:space="0" w:color="auto"/>
                    <w:bottom w:val="none" w:sz="0" w:space="0" w:color="auto"/>
                    <w:right w:val="none" w:sz="0" w:space="0" w:color="auto"/>
                  </w:divBdr>
                  <w:divsChild>
                    <w:div w:id="119029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005390">
          <w:marLeft w:val="0"/>
          <w:marRight w:val="0"/>
          <w:marTop w:val="0"/>
          <w:marBottom w:val="0"/>
          <w:divBdr>
            <w:top w:val="none" w:sz="0" w:space="0" w:color="auto"/>
            <w:left w:val="none" w:sz="0" w:space="0" w:color="auto"/>
            <w:bottom w:val="none" w:sz="0" w:space="0" w:color="auto"/>
            <w:right w:val="none" w:sz="0" w:space="0" w:color="auto"/>
          </w:divBdr>
        </w:div>
        <w:div w:id="617417817">
          <w:marLeft w:val="-15"/>
          <w:marRight w:val="0"/>
          <w:marTop w:val="0"/>
          <w:marBottom w:val="0"/>
          <w:divBdr>
            <w:top w:val="none" w:sz="0" w:space="0" w:color="auto"/>
            <w:left w:val="none" w:sz="0" w:space="0" w:color="auto"/>
            <w:bottom w:val="none" w:sz="0" w:space="0" w:color="auto"/>
            <w:right w:val="none" w:sz="0" w:space="0" w:color="auto"/>
          </w:divBdr>
        </w:div>
        <w:div w:id="1252853682">
          <w:marLeft w:val="-15"/>
          <w:marRight w:val="0"/>
          <w:marTop w:val="0"/>
          <w:marBottom w:val="0"/>
          <w:divBdr>
            <w:top w:val="none" w:sz="0" w:space="0" w:color="auto"/>
            <w:left w:val="none" w:sz="0" w:space="0" w:color="auto"/>
            <w:bottom w:val="none" w:sz="0" w:space="0" w:color="auto"/>
            <w:right w:val="none" w:sz="0" w:space="0" w:color="auto"/>
          </w:divBdr>
        </w:div>
      </w:divsChild>
    </w:div>
    <w:div w:id="1452505833">
      <w:bodyDiv w:val="1"/>
      <w:marLeft w:val="0"/>
      <w:marRight w:val="0"/>
      <w:marTop w:val="0"/>
      <w:marBottom w:val="0"/>
      <w:divBdr>
        <w:top w:val="none" w:sz="0" w:space="0" w:color="auto"/>
        <w:left w:val="none" w:sz="0" w:space="0" w:color="auto"/>
        <w:bottom w:val="none" w:sz="0" w:space="0" w:color="auto"/>
        <w:right w:val="none" w:sz="0" w:space="0" w:color="auto"/>
      </w:divBdr>
    </w:div>
    <w:div w:id="1474060644">
      <w:bodyDiv w:val="1"/>
      <w:marLeft w:val="0"/>
      <w:marRight w:val="0"/>
      <w:marTop w:val="0"/>
      <w:marBottom w:val="0"/>
      <w:divBdr>
        <w:top w:val="none" w:sz="0" w:space="0" w:color="auto"/>
        <w:left w:val="none" w:sz="0" w:space="0" w:color="auto"/>
        <w:bottom w:val="none" w:sz="0" w:space="0" w:color="auto"/>
        <w:right w:val="none" w:sz="0" w:space="0" w:color="auto"/>
      </w:divBdr>
    </w:div>
    <w:div w:id="1505245825">
      <w:bodyDiv w:val="1"/>
      <w:marLeft w:val="0"/>
      <w:marRight w:val="0"/>
      <w:marTop w:val="0"/>
      <w:marBottom w:val="0"/>
      <w:divBdr>
        <w:top w:val="none" w:sz="0" w:space="0" w:color="auto"/>
        <w:left w:val="none" w:sz="0" w:space="0" w:color="auto"/>
        <w:bottom w:val="none" w:sz="0" w:space="0" w:color="auto"/>
        <w:right w:val="none" w:sz="0" w:space="0" w:color="auto"/>
      </w:divBdr>
    </w:div>
    <w:div w:id="1609192581">
      <w:bodyDiv w:val="1"/>
      <w:marLeft w:val="0"/>
      <w:marRight w:val="0"/>
      <w:marTop w:val="0"/>
      <w:marBottom w:val="0"/>
      <w:divBdr>
        <w:top w:val="none" w:sz="0" w:space="0" w:color="auto"/>
        <w:left w:val="none" w:sz="0" w:space="0" w:color="auto"/>
        <w:bottom w:val="none" w:sz="0" w:space="0" w:color="auto"/>
        <w:right w:val="none" w:sz="0" w:space="0" w:color="auto"/>
      </w:divBdr>
    </w:div>
    <w:div w:id="1610234000">
      <w:bodyDiv w:val="1"/>
      <w:marLeft w:val="0"/>
      <w:marRight w:val="0"/>
      <w:marTop w:val="0"/>
      <w:marBottom w:val="0"/>
      <w:divBdr>
        <w:top w:val="none" w:sz="0" w:space="0" w:color="auto"/>
        <w:left w:val="none" w:sz="0" w:space="0" w:color="auto"/>
        <w:bottom w:val="none" w:sz="0" w:space="0" w:color="auto"/>
        <w:right w:val="none" w:sz="0" w:space="0" w:color="auto"/>
      </w:divBdr>
    </w:div>
    <w:div w:id="1617448170">
      <w:bodyDiv w:val="1"/>
      <w:marLeft w:val="0"/>
      <w:marRight w:val="0"/>
      <w:marTop w:val="0"/>
      <w:marBottom w:val="0"/>
      <w:divBdr>
        <w:top w:val="none" w:sz="0" w:space="0" w:color="auto"/>
        <w:left w:val="none" w:sz="0" w:space="0" w:color="auto"/>
        <w:bottom w:val="none" w:sz="0" w:space="0" w:color="auto"/>
        <w:right w:val="none" w:sz="0" w:space="0" w:color="auto"/>
      </w:divBdr>
    </w:div>
    <w:div w:id="1644581149">
      <w:bodyDiv w:val="1"/>
      <w:marLeft w:val="0"/>
      <w:marRight w:val="0"/>
      <w:marTop w:val="0"/>
      <w:marBottom w:val="0"/>
      <w:divBdr>
        <w:top w:val="none" w:sz="0" w:space="0" w:color="auto"/>
        <w:left w:val="none" w:sz="0" w:space="0" w:color="auto"/>
        <w:bottom w:val="none" w:sz="0" w:space="0" w:color="auto"/>
        <w:right w:val="none" w:sz="0" w:space="0" w:color="auto"/>
      </w:divBdr>
    </w:div>
    <w:div w:id="1753509000">
      <w:bodyDiv w:val="1"/>
      <w:marLeft w:val="0"/>
      <w:marRight w:val="0"/>
      <w:marTop w:val="0"/>
      <w:marBottom w:val="0"/>
      <w:divBdr>
        <w:top w:val="none" w:sz="0" w:space="0" w:color="auto"/>
        <w:left w:val="none" w:sz="0" w:space="0" w:color="auto"/>
        <w:bottom w:val="none" w:sz="0" w:space="0" w:color="auto"/>
        <w:right w:val="none" w:sz="0" w:space="0" w:color="auto"/>
      </w:divBdr>
    </w:div>
    <w:div w:id="1777560303">
      <w:bodyDiv w:val="1"/>
      <w:marLeft w:val="0"/>
      <w:marRight w:val="0"/>
      <w:marTop w:val="0"/>
      <w:marBottom w:val="0"/>
      <w:divBdr>
        <w:top w:val="none" w:sz="0" w:space="0" w:color="auto"/>
        <w:left w:val="none" w:sz="0" w:space="0" w:color="auto"/>
        <w:bottom w:val="none" w:sz="0" w:space="0" w:color="auto"/>
        <w:right w:val="none" w:sz="0" w:space="0" w:color="auto"/>
      </w:divBdr>
    </w:div>
    <w:div w:id="1914508925">
      <w:bodyDiv w:val="1"/>
      <w:marLeft w:val="0"/>
      <w:marRight w:val="0"/>
      <w:marTop w:val="0"/>
      <w:marBottom w:val="0"/>
      <w:divBdr>
        <w:top w:val="none" w:sz="0" w:space="0" w:color="auto"/>
        <w:left w:val="none" w:sz="0" w:space="0" w:color="auto"/>
        <w:bottom w:val="none" w:sz="0" w:space="0" w:color="auto"/>
        <w:right w:val="none" w:sz="0" w:space="0" w:color="auto"/>
      </w:divBdr>
    </w:div>
    <w:div w:id="2062246430">
      <w:bodyDiv w:val="1"/>
      <w:marLeft w:val="0"/>
      <w:marRight w:val="0"/>
      <w:marTop w:val="0"/>
      <w:marBottom w:val="0"/>
      <w:divBdr>
        <w:top w:val="none" w:sz="0" w:space="0" w:color="auto"/>
        <w:left w:val="none" w:sz="0" w:space="0" w:color="auto"/>
        <w:bottom w:val="none" w:sz="0" w:space="0" w:color="auto"/>
        <w:right w:val="none" w:sz="0" w:space="0" w:color="auto"/>
      </w:divBdr>
    </w:div>
    <w:div w:id="214665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5F9AC6789E7E488079BA56D27486CA" ma:contentTypeVersion="3" ma:contentTypeDescription="Create a new document." ma:contentTypeScope="" ma:versionID="4324cd20c7830faa782d713c62b991b5">
  <xsd:schema xmlns:xsd="http://www.w3.org/2001/XMLSchema" xmlns:xs="http://www.w3.org/2001/XMLSchema" xmlns:p="http://schemas.microsoft.com/office/2006/metadata/properties" xmlns:ns2="f890e2d5-00a7-4a69-bc3e-a0427ef0566c" targetNamespace="http://schemas.microsoft.com/office/2006/metadata/properties" ma:root="true" ma:fieldsID="24e682f9925c0dfd3e203f3ae7c2558f" ns2:_="">
    <xsd:import namespace="f890e2d5-00a7-4a69-bc3e-a0427ef0566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0e2d5-00a7-4a69-bc3e-a0427ef05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EB0FDB-40F9-4192-A9C0-021BB7086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0e2d5-00a7-4a69-bc3e-a0427ef056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D91D0F-805C-4F57-99D1-2B5138EE2091}">
  <ds:schemaRefs>
    <ds:schemaRef ds:uri="http://schemas.openxmlformats.org/officeDocument/2006/bibliography"/>
  </ds:schemaRefs>
</ds:datastoreItem>
</file>

<file path=customXml/itemProps3.xml><?xml version="1.0" encoding="utf-8"?>
<ds:datastoreItem xmlns:ds="http://schemas.openxmlformats.org/officeDocument/2006/customXml" ds:itemID="{BCA8C107-5B03-4E53-A7BA-E5D2821DAA3C}">
  <ds:schemaRefs>
    <ds:schemaRef ds:uri="http://schemas.microsoft.com/sharepoint/v3/contenttype/forms"/>
  </ds:schemaRefs>
</ds:datastoreItem>
</file>

<file path=customXml/itemProps4.xml><?xml version="1.0" encoding="utf-8"?>
<ds:datastoreItem xmlns:ds="http://schemas.openxmlformats.org/officeDocument/2006/customXml" ds:itemID="{2B4539FD-2667-415A-94F3-E09F90F636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7655</Words>
  <Characters>43639</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VEIC</Company>
  <LinksUpToDate>false</LinksUpToDate>
  <CharactersWithSpaces>51192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Shawn Enterline</dc:creator>
  <cp:lastModifiedBy>Celia Johnson</cp:lastModifiedBy>
  <cp:revision>2</cp:revision>
  <dcterms:created xsi:type="dcterms:W3CDTF">2026-07-31T20:01:00Z</dcterms:created>
  <dcterms:modified xsi:type="dcterms:W3CDTF">2026-07-31T20:01:00Z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0x010100D75F9AC6789E7E488079BA56D27486CA</vt:lpwstr>
  </property>
  <property fmtid="{D5CDD505-2E9C-101B-9397-08002B2CF9AE}" pid="3" name="Order">
    <vt:r8>100</vt:r8>
  </property>
  <property fmtid="{D5CDD505-2E9C-101B-9397-08002B2CF9AE}" pid="4" name="MediaServiceImageTags">
    <vt:lpwstr/>
  </property>
  <property fmtid="{D5CDD505-2E9C-101B-9397-08002B2CF9AE}" pid="5" name="_dlc_DocIdItemGuid">
    <vt:lpwstr>7f9dc80a-3a2b-48f0-b334-3a5f89019efe</vt:lpwstr>
  </property>
  <property fmtid="{D5CDD505-2E9C-101B-9397-08002B2CF9AE}" pid="6" name="Services">
    <vt:lpwstr/>
  </property>
  <property fmtid="{D5CDD505-2E9C-101B-9397-08002B2CF9AE}" pid="7" name="d880bb5e637949d8926de21d40ce11da">
    <vt:lpwstr/>
  </property>
  <property fmtid="{D5CDD505-2E9C-101B-9397-08002B2CF9AE}" pid="8" name="g100cfdbb7ab4896bcefb0d4d6ac2282">
    <vt:lpwstr/>
  </property>
  <property fmtid="{D5CDD505-2E9C-101B-9397-08002B2CF9AE}" pid="9" name="Technologies">
    <vt:lpwstr/>
  </property>
  <property fmtid="{D5CDD505-2E9C-101B-9397-08002B2CF9AE}" pid="10" name="_docset_NoMedatataSyncRequired">
    <vt:lpwstr>False</vt:lpwstr>
  </property>
</Properties>
</file>