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BDCF" w14:textId="582EB244" w:rsidR="009F0B8C" w:rsidRPr="009F0B8C" w:rsidRDefault="009F0B8C" w:rsidP="00680EEA">
      <w:pPr>
        <w:pStyle w:val="Heading1"/>
        <w:ind w:left="0"/>
        <w:jc w:val="center"/>
        <w:rPr>
          <w:u w:val="none"/>
        </w:rPr>
      </w:pPr>
      <w:r w:rsidRPr="009F0B8C">
        <w:rPr>
          <w:u w:val="none"/>
        </w:rPr>
        <w:t>SAG Policy Manual Subcommittee</w:t>
      </w:r>
    </w:p>
    <w:p w14:paraId="3B1E2529" w14:textId="3DF685D1" w:rsidR="00307253" w:rsidRDefault="00680EEA" w:rsidP="00680EEA">
      <w:pPr>
        <w:pStyle w:val="Heading1"/>
        <w:ind w:left="0"/>
        <w:jc w:val="center"/>
        <w:rPr>
          <w:u w:val="none"/>
        </w:rPr>
      </w:pPr>
      <w:r w:rsidRPr="00680EEA">
        <w:rPr>
          <w:u w:val="none"/>
        </w:rPr>
        <w:t>IL-TRM Administrator and Independent Evaluator Contract Review</w:t>
      </w:r>
      <w:r w:rsidR="009F0B8C">
        <w:rPr>
          <w:u w:val="none"/>
        </w:rPr>
        <w:t xml:space="preserve"> Policy</w:t>
      </w:r>
    </w:p>
    <w:p w14:paraId="35788828" w14:textId="3C2870D9" w:rsidR="009F0B8C" w:rsidRDefault="009F0B8C" w:rsidP="00680EEA">
      <w:pPr>
        <w:pStyle w:val="Heading1"/>
        <w:ind w:left="0"/>
        <w:jc w:val="center"/>
        <w:rPr>
          <w:u w:val="none"/>
        </w:rPr>
      </w:pPr>
      <w:r>
        <w:rPr>
          <w:u w:val="none"/>
        </w:rPr>
        <w:t>Last Discussed March 15, 2023 Policy Manual Meeting</w:t>
      </w:r>
    </w:p>
    <w:p w14:paraId="2C032410" w14:textId="77777777" w:rsidR="00307253" w:rsidRDefault="00307253">
      <w:pPr>
        <w:pStyle w:val="BodyText"/>
        <w:spacing w:before="10"/>
        <w:rPr>
          <w:sz w:val="23"/>
        </w:rPr>
      </w:pPr>
    </w:p>
    <w:p w14:paraId="74C2957D" w14:textId="67F38BEF" w:rsidR="00CE52CA" w:rsidRDefault="00CE52CA">
      <w:pPr>
        <w:ind w:left="540"/>
        <w:rPr>
          <w:rFonts w:ascii="Arial"/>
          <w:b/>
          <w:bCs/>
          <w:iCs/>
          <w:sz w:val="24"/>
          <w:u w:val="single"/>
        </w:rPr>
      </w:pPr>
      <w:r>
        <w:rPr>
          <w:rFonts w:ascii="Arial"/>
          <w:b/>
          <w:bCs/>
          <w:iCs/>
          <w:sz w:val="24"/>
          <w:u w:val="single"/>
        </w:rPr>
        <w:t>Effective Date</w:t>
      </w:r>
      <w:r w:rsidRPr="00CE52CA">
        <w:rPr>
          <w:rFonts w:ascii="Arial"/>
          <w:b/>
          <w:bCs/>
          <w:iCs/>
          <w:sz w:val="24"/>
        </w:rPr>
        <w:t>: January 1, 2024</w:t>
      </w:r>
    </w:p>
    <w:p w14:paraId="29B4161D" w14:textId="77777777" w:rsidR="00CE52CA" w:rsidRPr="0065210B" w:rsidRDefault="00CE52CA">
      <w:pPr>
        <w:ind w:left="540"/>
        <w:rPr>
          <w:rFonts w:ascii="Arial"/>
          <w:iCs/>
          <w:sz w:val="24"/>
        </w:rPr>
      </w:pPr>
    </w:p>
    <w:p w14:paraId="0F8B48A4" w14:textId="054C4098" w:rsidR="00307253" w:rsidRPr="00CD5CF4" w:rsidRDefault="00680EEA">
      <w:pPr>
        <w:ind w:left="540"/>
        <w:rPr>
          <w:rFonts w:ascii="Arial"/>
          <w:b/>
          <w:bCs/>
          <w:iCs/>
          <w:sz w:val="24"/>
          <w:u w:val="single"/>
        </w:rPr>
      </w:pPr>
      <w:r w:rsidRPr="00CD5CF4">
        <w:rPr>
          <w:rFonts w:ascii="Arial"/>
          <w:b/>
          <w:bCs/>
          <w:iCs/>
          <w:sz w:val="24"/>
          <w:u w:val="single"/>
        </w:rPr>
        <w:t>Proposed</w:t>
      </w:r>
      <w:r w:rsidRPr="00CD5CF4">
        <w:rPr>
          <w:rFonts w:ascii="Arial"/>
          <w:b/>
          <w:bCs/>
          <w:iCs/>
          <w:spacing w:val="-3"/>
          <w:sz w:val="24"/>
          <w:u w:val="single"/>
        </w:rPr>
        <w:t xml:space="preserve"> </w:t>
      </w:r>
      <w:r w:rsidRPr="00CD5CF4">
        <w:rPr>
          <w:rFonts w:ascii="Arial"/>
          <w:b/>
          <w:bCs/>
          <w:iCs/>
          <w:sz w:val="24"/>
          <w:u w:val="single"/>
        </w:rPr>
        <w:t>Policy</w:t>
      </w:r>
      <w:r w:rsidR="00CE52CA" w:rsidRPr="00CE52CA">
        <w:rPr>
          <w:rFonts w:ascii="Arial"/>
          <w:b/>
          <w:bCs/>
          <w:iCs/>
          <w:sz w:val="24"/>
        </w:rPr>
        <w:t>:</w:t>
      </w:r>
    </w:p>
    <w:p w14:paraId="6D6E7259" w14:textId="77777777" w:rsidR="00307253" w:rsidRPr="00CD5CF4" w:rsidRDefault="00307253">
      <w:pPr>
        <w:pStyle w:val="BodyText"/>
        <w:spacing w:before="2"/>
        <w:rPr>
          <w:rFonts w:ascii="Arial"/>
          <w:b/>
          <w:bCs/>
          <w:i/>
          <w:sz w:val="14"/>
        </w:rPr>
      </w:pPr>
    </w:p>
    <w:p w14:paraId="4125B811" w14:textId="59C85347" w:rsidR="00307253" w:rsidRPr="00CD5CF4" w:rsidRDefault="00680EEA">
      <w:pPr>
        <w:pStyle w:val="BodyText"/>
        <w:spacing w:before="94" w:line="252" w:lineRule="exact"/>
        <w:ind w:left="540"/>
        <w:rPr>
          <w:b/>
          <w:bCs/>
        </w:rPr>
      </w:pPr>
      <w:r w:rsidRPr="00CD5CF4">
        <w:rPr>
          <w:b/>
          <w:bCs/>
        </w:rPr>
        <w:t>IL-TRM</w:t>
      </w:r>
      <w:r w:rsidRPr="00CD5CF4">
        <w:rPr>
          <w:b/>
          <w:bCs/>
          <w:spacing w:val="-6"/>
        </w:rPr>
        <w:t xml:space="preserve"> </w:t>
      </w:r>
      <w:r w:rsidRPr="00CD5CF4">
        <w:rPr>
          <w:b/>
          <w:bCs/>
        </w:rPr>
        <w:t>Administrator</w:t>
      </w:r>
      <w:r w:rsidRPr="00CD5CF4">
        <w:rPr>
          <w:b/>
          <w:bCs/>
          <w:spacing w:val="-6"/>
        </w:rPr>
        <w:t xml:space="preserve"> </w:t>
      </w:r>
      <w:r w:rsidRPr="00CD5CF4">
        <w:rPr>
          <w:b/>
          <w:bCs/>
        </w:rPr>
        <w:t>Independence:</w:t>
      </w:r>
    </w:p>
    <w:p w14:paraId="752FAFCB" w14:textId="77777777" w:rsidR="00CD5CF4" w:rsidRDefault="00CD5CF4">
      <w:pPr>
        <w:pStyle w:val="BodyText"/>
        <w:spacing w:before="94" w:line="252" w:lineRule="exact"/>
        <w:ind w:left="540"/>
      </w:pPr>
    </w:p>
    <w:p w14:paraId="5F134834" w14:textId="4346D5DB" w:rsidR="00307253" w:rsidRDefault="00680EEA">
      <w:pPr>
        <w:pStyle w:val="BodyText"/>
        <w:ind w:left="539" w:right="661"/>
      </w:pPr>
      <w:r>
        <w:t>Program Administrators shall implement the following IL-TRM Administrator independence</w:t>
      </w:r>
      <w:r>
        <w:rPr>
          <w:spacing w:val="-59"/>
        </w:rPr>
        <w:t xml:space="preserve"> </w:t>
      </w:r>
      <w:r>
        <w:t>protocols:</w:t>
      </w:r>
    </w:p>
    <w:p w14:paraId="0F871671" w14:textId="77777777" w:rsidR="00DE3113" w:rsidRDefault="00DE3113">
      <w:pPr>
        <w:pStyle w:val="BodyText"/>
        <w:ind w:left="539" w:right="661"/>
      </w:pPr>
    </w:p>
    <w:p w14:paraId="01C5DF8A" w14:textId="54F92C60" w:rsidR="00307253" w:rsidRDefault="00680EEA" w:rsidP="00DE3113">
      <w:pPr>
        <w:pStyle w:val="BodyText"/>
        <w:ind w:left="539" w:right="95"/>
      </w:pPr>
      <w:r>
        <w:t>Program Administrators shall submit the finalized but not yet executed contract with the</w:t>
      </w:r>
      <w:r>
        <w:rPr>
          <w:spacing w:val="1"/>
        </w:rPr>
        <w:t xml:space="preserve"> </w:t>
      </w:r>
      <w:r>
        <w:t>independent IL-TRM Administrator to the Commission by letter to the Executive Director</w:t>
      </w:r>
      <w:r>
        <w:rPr>
          <w:spacing w:val="1"/>
        </w:rPr>
        <w:t xml:space="preserve"> </w:t>
      </w:r>
      <w:r>
        <w:t xml:space="preserve">for each Plan. </w:t>
      </w:r>
      <w:r>
        <w:rPr>
          <w:u w:val="single"/>
        </w:rPr>
        <w:t>Commission Staff will use reasonable efforts to submit a Staff Report to</w:t>
      </w:r>
      <w:r>
        <w:rPr>
          <w:spacing w:val="1"/>
        </w:rPr>
        <w:t xml:space="preserve"> </w:t>
      </w:r>
      <w:r>
        <w:rPr>
          <w:u w:val="single"/>
        </w:rPr>
        <w:t>the Commission within 5 business days of receiving the finalized but not yet executed</w:t>
      </w:r>
      <w:r>
        <w:rPr>
          <w:spacing w:val="1"/>
        </w:rPr>
        <w:t xml:space="preserve"> </w:t>
      </w:r>
      <w:r>
        <w:rPr>
          <w:u w:val="single"/>
        </w:rPr>
        <w:t>contract from the Program Administrator containing its assessment of the contract and/or</w:t>
      </w:r>
      <w:r>
        <w:rPr>
          <w:spacing w:val="-59"/>
        </w:rPr>
        <w:t xml:space="preserve"> </w:t>
      </w:r>
      <w:r>
        <w:rPr>
          <w:u w:val="single"/>
        </w:rPr>
        <w:t>scope of work and describing its recommendations for Commission action, if any. Absent</w:t>
      </w:r>
      <w:r>
        <w:rPr>
          <w:spacing w:val="-59"/>
        </w:rPr>
        <w:t xml:space="preserve"> </w:t>
      </w:r>
      <w:r w:rsidR="0065210B">
        <w:rPr>
          <w:spacing w:val="-59"/>
        </w:rPr>
        <w:t xml:space="preserve"> </w:t>
      </w:r>
      <w:r>
        <w:rPr>
          <w:u w:val="single"/>
        </w:rPr>
        <w:t>a Commissioner request for a longer review time, no later than 15 business days after</w:t>
      </w:r>
      <w:r>
        <w:rPr>
          <w:spacing w:val="1"/>
        </w:rPr>
        <w:t xml:space="preserve"> </w:t>
      </w:r>
      <w:r>
        <w:rPr>
          <w:u w:val="single"/>
        </w:rPr>
        <w:t>the submittal of the Staff Report to the Commission, Staff will notify the Program</w:t>
      </w:r>
      <w:r>
        <w:rPr>
          <w:spacing w:val="1"/>
        </w:rPr>
        <w:t xml:space="preserve"> </w:t>
      </w:r>
      <w:r>
        <w:rPr>
          <w:u w:val="single"/>
        </w:rPr>
        <w:t>Administrator as to whether it may move forward with contract execution. In the event a</w:t>
      </w:r>
      <w:r>
        <w:rPr>
          <w:spacing w:val="1"/>
        </w:rPr>
        <w:t xml:space="preserve"> </w:t>
      </w:r>
      <w:r>
        <w:rPr>
          <w:u w:val="single"/>
        </w:rPr>
        <w:t>Commissioner requests a longer review time, Staff will notify the Program Administrator</w:t>
      </w:r>
      <w:r>
        <w:rPr>
          <w:spacing w:val="1"/>
        </w:rPr>
        <w:t xml:space="preserve"> </w:t>
      </w:r>
      <w:r>
        <w:rPr>
          <w:u w:val="single"/>
        </w:rPr>
        <w:t>that the contract is still under review by the Commission and provide an estimated date</w:t>
      </w:r>
      <w:r>
        <w:rPr>
          <w:spacing w:val="1"/>
        </w:rPr>
        <w:t xml:space="preserve"> </w:t>
      </w:r>
      <w:r>
        <w:rPr>
          <w:u w:val="single"/>
        </w:rPr>
        <w:t>the review may be complete by</w:t>
      </w:r>
      <w:r>
        <w:t>. In addition, a Program Administrator will submit any fully</w:t>
      </w:r>
      <w:r>
        <w:rPr>
          <w:spacing w:val="-59"/>
        </w:rPr>
        <w:t xml:space="preserve"> </w:t>
      </w:r>
      <w:r>
        <w:t>executed contract and scope of work with the independent IL-TRM Administrator as a</w:t>
      </w:r>
      <w:r>
        <w:rPr>
          <w:spacing w:val="1"/>
        </w:rPr>
        <w:t xml:space="preserve"> </w:t>
      </w:r>
      <w:r>
        <w:t>compliance filing in the Policy Manual Version 2.0 approval docket within fourteen (14)</w:t>
      </w:r>
      <w:r>
        <w:rPr>
          <w:spacing w:val="1"/>
        </w:rPr>
        <w:t xml:space="preserve"> </w:t>
      </w:r>
      <w:r>
        <w:t>days of execution. Such compliance filing will be treated primarily as public with only</w:t>
      </w:r>
      <w:r>
        <w:rPr>
          <w:spacing w:val="1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redaction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confidential (e.g.,</w:t>
      </w:r>
      <w:r>
        <w:rPr>
          <w:spacing w:val="-1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rates).</w:t>
      </w:r>
    </w:p>
    <w:p w14:paraId="1F1D7326" w14:textId="4177F941" w:rsidR="00307253" w:rsidRDefault="00307253">
      <w:pPr>
        <w:pStyle w:val="BodyText"/>
      </w:pPr>
    </w:p>
    <w:p w14:paraId="32A20BDB" w14:textId="2972E275" w:rsidR="00CD5CF4" w:rsidRPr="00CD5CF4" w:rsidRDefault="00CD5CF4" w:rsidP="00CD5CF4">
      <w:pPr>
        <w:pStyle w:val="BodyText"/>
        <w:ind w:firstLine="539"/>
        <w:rPr>
          <w:b/>
          <w:bCs/>
        </w:rPr>
      </w:pPr>
      <w:r w:rsidRPr="00CD5CF4">
        <w:rPr>
          <w:b/>
          <w:bCs/>
        </w:rPr>
        <w:t>Evaluator Independence:</w:t>
      </w:r>
    </w:p>
    <w:p w14:paraId="569AA8D3" w14:textId="77777777" w:rsidR="00CD5CF4" w:rsidRDefault="00CD5CF4">
      <w:pPr>
        <w:pStyle w:val="BodyText"/>
      </w:pPr>
    </w:p>
    <w:p w14:paraId="47D72D42" w14:textId="0F0980AD" w:rsidR="00307253" w:rsidRDefault="00680EEA">
      <w:pPr>
        <w:pStyle w:val="BodyText"/>
        <w:ind w:left="540" w:right="538" w:hanging="1"/>
      </w:pPr>
      <w:r>
        <w:t>Program Administrators shall implement the following Independent Evaluator independence</w:t>
      </w:r>
      <w:r>
        <w:rPr>
          <w:spacing w:val="-59"/>
        </w:rPr>
        <w:t xml:space="preserve"> </w:t>
      </w:r>
      <w:r>
        <w:t>protocols:</w:t>
      </w:r>
    </w:p>
    <w:p w14:paraId="7A9A17DA" w14:textId="77777777" w:rsidR="00E53B87" w:rsidRDefault="00E53B87">
      <w:pPr>
        <w:pStyle w:val="BodyText"/>
        <w:ind w:left="540" w:right="538" w:hanging="1"/>
      </w:pPr>
    </w:p>
    <w:p w14:paraId="041AEC96" w14:textId="70F2A45A" w:rsidR="0089182D" w:rsidRDefault="00680EEA" w:rsidP="0089182D">
      <w:pPr>
        <w:pStyle w:val="BodyText"/>
        <w:spacing w:before="80"/>
        <w:ind w:left="539" w:right="110"/>
      </w:pPr>
      <w:r>
        <w:t>The Program Administrator shall submit the finalized but not yet executed contract with</w:t>
      </w:r>
      <w:r>
        <w:rPr>
          <w:spacing w:val="1"/>
        </w:rPr>
        <w:t xml:space="preserve"> </w:t>
      </w:r>
      <w:r>
        <w:t>the independent Evaluator to the Commission by letter to the Executive Director for each</w:t>
      </w:r>
      <w:r>
        <w:rPr>
          <w:spacing w:val="-59"/>
        </w:rPr>
        <w:t xml:space="preserve"> </w:t>
      </w:r>
      <w:r>
        <w:t xml:space="preserve">Energy Efficiency Plan. </w:t>
      </w:r>
      <w:r>
        <w:rPr>
          <w:u w:val="single"/>
        </w:rPr>
        <w:t>Commission Staff will use reasonable efforts to submit a Staff</w:t>
      </w:r>
      <w:r>
        <w:rPr>
          <w:spacing w:val="1"/>
        </w:rPr>
        <w:t xml:space="preserve"> </w:t>
      </w:r>
      <w:r>
        <w:rPr>
          <w:u w:val="single"/>
        </w:rPr>
        <w:t>Report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Commission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within</w:t>
      </w:r>
      <w:r>
        <w:rPr>
          <w:spacing w:val="-1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3"/>
          <w:u w:val="single"/>
        </w:rPr>
        <w:t xml:space="preserve"> </w:t>
      </w:r>
      <w:r>
        <w:rPr>
          <w:u w:val="single"/>
        </w:rPr>
        <w:t>days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receiving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finalized</w:t>
      </w:r>
      <w:r>
        <w:rPr>
          <w:spacing w:val="-4"/>
          <w:u w:val="single"/>
        </w:rPr>
        <w:t xml:space="preserve"> </w:t>
      </w:r>
      <w:r>
        <w:rPr>
          <w:u w:val="single"/>
        </w:rPr>
        <w:t>but</w:t>
      </w:r>
      <w:r>
        <w:rPr>
          <w:spacing w:val="1"/>
          <w:u w:val="single"/>
        </w:rPr>
        <w:t xml:space="preserve"> </w:t>
      </w:r>
      <w:r>
        <w:rPr>
          <w:u w:val="single"/>
        </w:rPr>
        <w:t>not yet</w:t>
      </w:r>
      <w:r w:rsidR="0089182D">
        <w:rPr>
          <w:u w:val="single"/>
        </w:rPr>
        <w:t xml:space="preserve"> executed contract from the Program Administrator containing its assessment of the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contract and/or scope of work and describing its recommendations for Commission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action, if any. Absent a Commissioner request for a longer review time, no later than 15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business days after the submittal of the Staff Report to the Commission, Staff will notify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the Program Administrator as to whether it may move forward with contract execution. In</w:t>
      </w:r>
      <w:r w:rsidR="0089182D">
        <w:rPr>
          <w:spacing w:val="-59"/>
        </w:rPr>
        <w:t xml:space="preserve"> </w:t>
      </w:r>
      <w:r w:rsidR="0089182D">
        <w:rPr>
          <w:u w:val="single"/>
        </w:rPr>
        <w:t>the event a Commissioner requests a longer review time, Staff will notify the Program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Administrator that the contract is still under review by the Commission and provide an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estimated date the review may be complete by</w:t>
      </w:r>
      <w:r w:rsidR="0089182D">
        <w:t>. In addition, the Program Administrator</w:t>
      </w:r>
      <w:r w:rsidR="0089182D">
        <w:rPr>
          <w:spacing w:val="1"/>
        </w:rPr>
        <w:t xml:space="preserve"> </w:t>
      </w:r>
      <w:r w:rsidR="0089182D">
        <w:t>will submit any fully executed contract and scope of work with the independent Evaluator</w:t>
      </w:r>
      <w:r w:rsidR="0089182D">
        <w:rPr>
          <w:spacing w:val="-59"/>
        </w:rPr>
        <w:t xml:space="preserve"> </w:t>
      </w:r>
      <w:r w:rsidR="0089182D">
        <w:t>as</w:t>
      </w:r>
      <w:r w:rsidR="0089182D">
        <w:rPr>
          <w:spacing w:val="-2"/>
        </w:rPr>
        <w:t xml:space="preserve"> </w:t>
      </w:r>
      <w:r w:rsidR="0089182D">
        <w:t>a</w:t>
      </w:r>
      <w:r w:rsidR="0089182D">
        <w:rPr>
          <w:spacing w:val="-2"/>
        </w:rPr>
        <w:t xml:space="preserve"> </w:t>
      </w:r>
      <w:r w:rsidR="0089182D">
        <w:t>compliance</w:t>
      </w:r>
      <w:r w:rsidR="0089182D">
        <w:rPr>
          <w:spacing w:val="-4"/>
        </w:rPr>
        <w:t xml:space="preserve"> </w:t>
      </w:r>
      <w:r w:rsidR="0089182D">
        <w:t>filing</w:t>
      </w:r>
      <w:r w:rsidR="0089182D">
        <w:rPr>
          <w:spacing w:val="-2"/>
        </w:rPr>
        <w:t xml:space="preserve"> </w:t>
      </w:r>
      <w:r w:rsidR="0089182D">
        <w:t>in</w:t>
      </w:r>
      <w:r w:rsidR="0089182D">
        <w:rPr>
          <w:spacing w:val="-2"/>
        </w:rPr>
        <w:t xml:space="preserve"> </w:t>
      </w:r>
      <w:r w:rsidR="0089182D">
        <w:t>the</w:t>
      </w:r>
      <w:r w:rsidR="0089182D">
        <w:rPr>
          <w:spacing w:val="-2"/>
        </w:rPr>
        <w:t xml:space="preserve"> </w:t>
      </w:r>
      <w:r w:rsidR="0089182D">
        <w:t>Policy</w:t>
      </w:r>
      <w:r w:rsidR="0089182D">
        <w:rPr>
          <w:spacing w:val="-4"/>
        </w:rPr>
        <w:t xml:space="preserve"> </w:t>
      </w:r>
      <w:r w:rsidR="0089182D">
        <w:t>Manual</w:t>
      </w:r>
      <w:r w:rsidR="0089182D">
        <w:rPr>
          <w:spacing w:val="-2"/>
        </w:rPr>
        <w:t xml:space="preserve"> </w:t>
      </w:r>
      <w:r w:rsidR="0089182D">
        <w:t>Version</w:t>
      </w:r>
      <w:r w:rsidR="0089182D">
        <w:rPr>
          <w:spacing w:val="-2"/>
        </w:rPr>
        <w:t xml:space="preserve"> </w:t>
      </w:r>
      <w:r w:rsidR="0089182D">
        <w:t>2.0</w:t>
      </w:r>
      <w:r w:rsidR="0089182D">
        <w:rPr>
          <w:spacing w:val="-4"/>
        </w:rPr>
        <w:t xml:space="preserve"> </w:t>
      </w:r>
      <w:r w:rsidR="0089182D">
        <w:t>approval</w:t>
      </w:r>
      <w:r w:rsidR="0089182D">
        <w:rPr>
          <w:spacing w:val="-5"/>
        </w:rPr>
        <w:t xml:space="preserve"> </w:t>
      </w:r>
      <w:r w:rsidR="0089182D">
        <w:t>docket</w:t>
      </w:r>
      <w:r w:rsidR="0089182D">
        <w:rPr>
          <w:spacing w:val="-3"/>
        </w:rPr>
        <w:t xml:space="preserve"> </w:t>
      </w:r>
      <w:r w:rsidR="0089182D">
        <w:t>within</w:t>
      </w:r>
      <w:r w:rsidR="0089182D">
        <w:rPr>
          <w:spacing w:val="-2"/>
        </w:rPr>
        <w:t xml:space="preserve"> </w:t>
      </w:r>
      <w:r w:rsidR="0089182D">
        <w:t>fourteen (14) days of execution. Such compliance filing will be treated primarily as public with only</w:t>
      </w:r>
      <w:r w:rsidR="0089182D">
        <w:rPr>
          <w:spacing w:val="-59"/>
        </w:rPr>
        <w:t xml:space="preserve"> </w:t>
      </w:r>
      <w:r w:rsidR="0089182D">
        <w:t>minimal</w:t>
      </w:r>
      <w:r w:rsidR="0089182D">
        <w:rPr>
          <w:spacing w:val="-1"/>
        </w:rPr>
        <w:t xml:space="preserve"> </w:t>
      </w:r>
      <w:r w:rsidR="0089182D">
        <w:t>redaction</w:t>
      </w:r>
      <w:r w:rsidR="0089182D">
        <w:rPr>
          <w:spacing w:val="-1"/>
        </w:rPr>
        <w:t xml:space="preserve"> </w:t>
      </w:r>
      <w:r w:rsidR="0089182D">
        <w:t>of</w:t>
      </w:r>
      <w:r w:rsidR="0089182D">
        <w:rPr>
          <w:spacing w:val="1"/>
        </w:rPr>
        <w:t xml:space="preserve"> </w:t>
      </w:r>
      <w:r w:rsidR="0089182D">
        <w:t>information</w:t>
      </w:r>
      <w:r w:rsidR="0089182D">
        <w:rPr>
          <w:spacing w:val="-1"/>
        </w:rPr>
        <w:t xml:space="preserve"> </w:t>
      </w:r>
      <w:r w:rsidR="0089182D">
        <w:t>that</w:t>
      </w:r>
      <w:r w:rsidR="0089182D">
        <w:rPr>
          <w:spacing w:val="1"/>
        </w:rPr>
        <w:t xml:space="preserve"> </w:t>
      </w:r>
      <w:r w:rsidR="0089182D">
        <w:t>is</w:t>
      </w:r>
      <w:r w:rsidR="0089182D">
        <w:rPr>
          <w:spacing w:val="-3"/>
        </w:rPr>
        <w:t xml:space="preserve"> </w:t>
      </w:r>
      <w:r w:rsidR="0089182D">
        <w:t>confidential (e.g.,</w:t>
      </w:r>
      <w:r w:rsidR="0089182D">
        <w:rPr>
          <w:spacing w:val="-1"/>
        </w:rPr>
        <w:t xml:space="preserve"> </w:t>
      </w:r>
      <w:r w:rsidR="0089182D">
        <w:t>wage</w:t>
      </w:r>
      <w:r w:rsidR="0089182D">
        <w:rPr>
          <w:spacing w:val="-3"/>
        </w:rPr>
        <w:t xml:space="preserve"> </w:t>
      </w:r>
      <w:r w:rsidR="0089182D">
        <w:t>rates).</w:t>
      </w:r>
    </w:p>
    <w:p w14:paraId="31FA044F" w14:textId="425AFA30" w:rsidR="00DE3113" w:rsidRDefault="00DE3113" w:rsidP="0065210B">
      <w:pPr>
        <w:pStyle w:val="BodyText"/>
        <w:ind w:right="115"/>
        <w:rPr>
          <w:b/>
          <w:bCs/>
        </w:rPr>
      </w:pPr>
    </w:p>
    <w:p w14:paraId="373CC97F" w14:textId="5CC6E2AE" w:rsidR="00DE3113" w:rsidRDefault="00DE3113" w:rsidP="00070C63">
      <w:pPr>
        <w:pStyle w:val="BodyText"/>
        <w:ind w:left="539" w:right="115"/>
        <w:rPr>
          <w:b/>
          <w:bCs/>
        </w:rPr>
      </w:pPr>
      <w:r>
        <w:rPr>
          <w:b/>
          <w:bCs/>
        </w:rPr>
        <w:lastRenderedPageBreak/>
        <w:t>Additional Edits:</w:t>
      </w:r>
    </w:p>
    <w:p w14:paraId="6B83336A" w14:textId="6A53A81B" w:rsidR="00DE3113" w:rsidRPr="00DE3113" w:rsidRDefault="00DE3113" w:rsidP="00070C63">
      <w:pPr>
        <w:pStyle w:val="BodyText"/>
        <w:numPr>
          <w:ilvl w:val="0"/>
          <w:numId w:val="4"/>
        </w:numPr>
        <w:ind w:right="115"/>
      </w:pPr>
      <w:r w:rsidRPr="00DE3113">
        <w:t>There are several independence policies in the Policy Manual (current Policy Manual includes TRM Administrator independence, SAG Facilitator independence, and evaluator independence). A LIEEAC Facilitator independence p</w:t>
      </w:r>
      <w:r w:rsidR="00C71388">
        <w:t xml:space="preserve">olicy </w:t>
      </w:r>
      <w:r w:rsidR="009F7241">
        <w:t xml:space="preserve">is </w:t>
      </w:r>
      <w:r w:rsidR="0030543B">
        <w:t xml:space="preserve">also </w:t>
      </w:r>
      <w:r w:rsidR="009F7241">
        <w:t>under discussion to add</w:t>
      </w:r>
      <w:r w:rsidRPr="00DE3113">
        <w:t xml:space="preserve"> to Policy Manual Version 3.0. Suggestion raised at the March </w:t>
      </w:r>
      <w:r w:rsidR="0065210B">
        <w:t xml:space="preserve">15, </w:t>
      </w:r>
      <w:r w:rsidRPr="00DE3113">
        <w:t xml:space="preserve">2023 meeting is to create a new section of the Policy Manual with all independence policies in one place, and to include </w:t>
      </w:r>
      <w:r w:rsidR="00DF25F0">
        <w:t>introductory</w:t>
      </w:r>
      <w:r w:rsidRPr="00DE3113">
        <w:t xml:space="preserve"> language that would reference common independence language - such as the "contract review" language.</w:t>
      </w:r>
      <w:r w:rsidR="00070C63">
        <w:t xml:space="preserve"> The SAG Facilitator will put this on the list of administrative edits to the Policy Manual, which will be reviewed by the Subcommittee at the May 31</w:t>
      </w:r>
      <w:r w:rsidR="00070C63" w:rsidRPr="00070C63">
        <w:rPr>
          <w:vertAlign w:val="superscript"/>
        </w:rPr>
        <w:t>st</w:t>
      </w:r>
      <w:r w:rsidR="00070C63">
        <w:t xml:space="preserve"> meeting.</w:t>
      </w:r>
    </w:p>
    <w:p w14:paraId="4C332688" w14:textId="77C14207" w:rsidR="00307253" w:rsidRDefault="00307253" w:rsidP="00680EEA">
      <w:pPr>
        <w:pStyle w:val="BodyText"/>
        <w:rPr>
          <w:sz w:val="8"/>
        </w:rPr>
      </w:pPr>
    </w:p>
    <w:p w14:paraId="4C0F1043" w14:textId="78EFAEC8" w:rsidR="009C5754" w:rsidRDefault="009C5754" w:rsidP="00680EEA">
      <w:pPr>
        <w:pStyle w:val="BodyText"/>
        <w:rPr>
          <w:sz w:val="8"/>
        </w:rPr>
      </w:pPr>
    </w:p>
    <w:p w14:paraId="1E1123B2" w14:textId="12933304" w:rsidR="009C5754" w:rsidRDefault="009C5754" w:rsidP="00680EEA">
      <w:pPr>
        <w:pStyle w:val="BodyText"/>
        <w:rPr>
          <w:sz w:val="8"/>
        </w:rPr>
      </w:pPr>
    </w:p>
    <w:p w14:paraId="3418E1A4" w14:textId="39952B78" w:rsidR="009C5754" w:rsidRDefault="009C5754" w:rsidP="00680EEA">
      <w:pPr>
        <w:pStyle w:val="BodyText"/>
        <w:rPr>
          <w:sz w:val="8"/>
        </w:rPr>
      </w:pPr>
    </w:p>
    <w:p w14:paraId="2AB15ABC" w14:textId="77777777" w:rsidR="009C5754" w:rsidRDefault="009C5754" w:rsidP="00680EEA">
      <w:pPr>
        <w:pStyle w:val="BodyText"/>
        <w:rPr>
          <w:sz w:val="8"/>
        </w:rPr>
      </w:pPr>
    </w:p>
    <w:p w14:paraId="174034B7" w14:textId="405EC71D" w:rsidR="00307253" w:rsidRDefault="00307253" w:rsidP="00680EEA">
      <w:pPr>
        <w:ind w:left="540"/>
        <w:rPr>
          <w:sz w:val="24"/>
        </w:rPr>
      </w:pPr>
    </w:p>
    <w:sectPr w:rsidR="00307253">
      <w:footerReference w:type="default" r:id="rId7"/>
      <w:pgSz w:w="12240" w:h="15840"/>
      <w:pgMar w:top="1500" w:right="1340" w:bottom="1200" w:left="9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3870" w14:textId="77777777" w:rsidR="00FC0A67" w:rsidRDefault="00680EEA">
      <w:r>
        <w:separator/>
      </w:r>
    </w:p>
  </w:endnote>
  <w:endnote w:type="continuationSeparator" w:id="0">
    <w:p w14:paraId="475FE910" w14:textId="77777777" w:rsidR="00FC0A67" w:rsidRDefault="006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8804" w14:textId="5F90561A" w:rsidR="00307253" w:rsidRDefault="001D69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362313" wp14:editId="338A66A3">
              <wp:simplePos x="0" y="0"/>
              <wp:positionH relativeFrom="page">
                <wp:posOffset>4514850</wp:posOffset>
              </wp:positionH>
              <wp:positionV relativeFrom="page">
                <wp:posOffset>9276080</wp:posOffset>
              </wp:positionV>
              <wp:extent cx="237998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C59A2" w14:textId="023C6E8F" w:rsidR="00307253" w:rsidRDefault="00CD5CF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ICC Contract Review Policy</w:t>
                          </w:r>
                          <w:r w:rsidR="00680EEA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680EEA">
                            <w:rPr>
                              <w:sz w:val="20"/>
                            </w:rPr>
                            <w:t>–</w:t>
                          </w:r>
                          <w:r w:rsidR="00680EEA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80EEA">
                            <w:rPr>
                              <w:sz w:val="20"/>
                            </w:rPr>
                            <w:t>Page</w:t>
                          </w:r>
                          <w:r w:rsidR="00680EEA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80EEA">
                            <w:fldChar w:fldCharType="begin"/>
                          </w:r>
                          <w:r w:rsidR="00680EEA"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680EEA">
                            <w:fldChar w:fldCharType="separate"/>
                          </w:r>
                          <w:r w:rsidR="00680EEA">
                            <w:t>1</w:t>
                          </w:r>
                          <w:r w:rsidR="00680EE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623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5pt;margin-top:730.4pt;width:187.4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" filled="f" stroked="f">
              <v:textbox inset="0,0,0,0">
                <w:txbxContent>
                  <w:p w14:paraId="34EC59A2" w14:textId="023C6E8F" w:rsidR="00307253" w:rsidRDefault="00CD5CF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ICC Contract Review Policy</w:t>
                    </w:r>
                    <w:r w:rsidR="00680EEA">
                      <w:rPr>
                        <w:spacing w:val="-3"/>
                        <w:sz w:val="20"/>
                      </w:rPr>
                      <w:t xml:space="preserve"> </w:t>
                    </w:r>
                    <w:r w:rsidR="00680EEA">
                      <w:rPr>
                        <w:sz w:val="20"/>
                      </w:rPr>
                      <w:t>–</w:t>
                    </w:r>
                    <w:r w:rsidR="00680EEA">
                      <w:rPr>
                        <w:spacing w:val="-2"/>
                        <w:sz w:val="20"/>
                      </w:rPr>
                      <w:t xml:space="preserve"> </w:t>
                    </w:r>
                    <w:r w:rsidR="00680EEA">
                      <w:rPr>
                        <w:sz w:val="20"/>
                      </w:rPr>
                      <w:t>Page</w:t>
                    </w:r>
                    <w:r w:rsidR="00680EEA">
                      <w:rPr>
                        <w:spacing w:val="-2"/>
                        <w:sz w:val="20"/>
                      </w:rPr>
                      <w:t xml:space="preserve"> </w:t>
                    </w:r>
                    <w:r w:rsidR="00680EEA">
                      <w:fldChar w:fldCharType="begin"/>
                    </w:r>
                    <w:r w:rsidR="00680EEA">
                      <w:rPr>
                        <w:sz w:val="20"/>
                      </w:rPr>
                      <w:instrText xml:space="preserve"> PAGE </w:instrText>
                    </w:r>
                    <w:r w:rsidR="00680EEA">
                      <w:fldChar w:fldCharType="separate"/>
                    </w:r>
                    <w:r w:rsidR="00680EEA">
                      <w:t>1</w:t>
                    </w:r>
                    <w:r w:rsidR="00680EE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36AA" w14:textId="77777777" w:rsidR="00FC0A67" w:rsidRDefault="00680EEA">
      <w:r>
        <w:separator/>
      </w:r>
    </w:p>
  </w:footnote>
  <w:footnote w:type="continuationSeparator" w:id="0">
    <w:p w14:paraId="6E34BB3D" w14:textId="77777777" w:rsidR="00FC0A67" w:rsidRDefault="0068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7E04"/>
    <w:multiLevelType w:val="hybridMultilevel"/>
    <w:tmpl w:val="816EE498"/>
    <w:lvl w:ilvl="0" w:tplc="1FE015E8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48746E">
      <w:numFmt w:val="bullet"/>
      <w:lvlText w:val="o"/>
      <w:lvlJc w:val="left"/>
      <w:pPr>
        <w:ind w:left="133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FD86AB96">
      <w:numFmt w:val="bullet"/>
      <w:lvlText w:val="•"/>
      <w:lvlJc w:val="left"/>
      <w:pPr>
        <w:ind w:left="2302" w:hanging="361"/>
      </w:pPr>
      <w:rPr>
        <w:rFonts w:hint="default"/>
        <w:lang w:val="en-US" w:eastAsia="en-US" w:bidi="ar-SA"/>
      </w:rPr>
    </w:lvl>
    <w:lvl w:ilvl="3" w:tplc="329613FC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4" w:tplc="F2AEB37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 w:tplc="7C6836D0">
      <w:numFmt w:val="bullet"/>
      <w:lvlText w:val="•"/>
      <w:lvlJc w:val="left"/>
      <w:pPr>
        <w:ind w:left="5188" w:hanging="361"/>
      </w:pPr>
      <w:rPr>
        <w:rFonts w:hint="default"/>
        <w:lang w:val="en-US" w:eastAsia="en-US" w:bidi="ar-SA"/>
      </w:rPr>
    </w:lvl>
    <w:lvl w:ilvl="6" w:tplc="3B301630"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  <w:lvl w:ilvl="7" w:tplc="B7D4BF36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20622BE">
      <w:numFmt w:val="bullet"/>
      <w:lvlText w:val="•"/>
      <w:lvlJc w:val="left"/>
      <w:pPr>
        <w:ind w:left="80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A5A40DE"/>
    <w:multiLevelType w:val="hybridMultilevel"/>
    <w:tmpl w:val="A63A78F0"/>
    <w:lvl w:ilvl="0" w:tplc="0B562BCE">
      <w:start w:val="1"/>
      <w:numFmt w:val="decimal"/>
      <w:lvlText w:val="%1."/>
      <w:lvlJc w:val="left"/>
      <w:pPr>
        <w:ind w:left="1260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1" w:tplc="02A6015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C1DA4B7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7B5E32B0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D8A2568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879AB97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BE4CF160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74AA1808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62942C1A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1B7665"/>
    <w:multiLevelType w:val="hybridMultilevel"/>
    <w:tmpl w:val="8B2A47D8"/>
    <w:lvl w:ilvl="0" w:tplc="85802130">
      <w:start w:val="1"/>
      <w:numFmt w:val="decimal"/>
      <w:lvlText w:val="%1."/>
      <w:lvlJc w:val="left"/>
      <w:pPr>
        <w:ind w:left="1259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1" w:tplc="935CBD0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76DE89C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B04E4C16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4AF60F8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2AFC5E66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0B1EBB0E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93AA5950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A52C16DC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F00233"/>
    <w:multiLevelType w:val="hybridMultilevel"/>
    <w:tmpl w:val="06E82DD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832649003">
    <w:abstractNumId w:val="2"/>
  </w:num>
  <w:num w:numId="2" w16cid:durableId="1234271096">
    <w:abstractNumId w:val="1"/>
  </w:num>
  <w:num w:numId="3" w16cid:durableId="1142581075">
    <w:abstractNumId w:val="0"/>
  </w:num>
  <w:num w:numId="4" w16cid:durableId="1685135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53"/>
    <w:rsid w:val="00070C63"/>
    <w:rsid w:val="001D6900"/>
    <w:rsid w:val="0030543B"/>
    <w:rsid w:val="00307253"/>
    <w:rsid w:val="00461774"/>
    <w:rsid w:val="00513B5F"/>
    <w:rsid w:val="0065210B"/>
    <w:rsid w:val="00680EEA"/>
    <w:rsid w:val="0068343A"/>
    <w:rsid w:val="0074450B"/>
    <w:rsid w:val="0089182D"/>
    <w:rsid w:val="009C5754"/>
    <w:rsid w:val="009F0B8C"/>
    <w:rsid w:val="009F7241"/>
    <w:rsid w:val="00C71388"/>
    <w:rsid w:val="00CD5CF4"/>
    <w:rsid w:val="00CE52CA"/>
    <w:rsid w:val="00DE3113"/>
    <w:rsid w:val="00DF25F0"/>
    <w:rsid w:val="00E53B87"/>
    <w:rsid w:val="00E83CBC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8D348E"/>
  <w15:docId w15:val="{43BC4A50-7D8B-410A-8441-B9BAEE3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40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7" w:hanging="361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5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CF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D5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CF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Cheryl A</dc:creator>
  <cp:lastModifiedBy>Celia Johnson</cp:lastModifiedBy>
  <cp:revision>19</cp:revision>
  <dcterms:created xsi:type="dcterms:W3CDTF">2023-03-15T21:28:00Z</dcterms:created>
  <dcterms:modified xsi:type="dcterms:W3CDTF">2023-03-23T14:48:00Z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2022-06-20T00:00:00Z</vt:filetime>
  </property>
</Properties>
</file>