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000B" w14:textId="77777777" w:rsidR="00CE510E" w:rsidRPr="004D2AC4" w:rsidRDefault="00CE510E" w:rsidP="00CE510E">
      <w:pPr>
        <w:jc w:val="center"/>
        <w:rPr>
          <w:rFonts w:cs="Arial"/>
          <w:b/>
          <w:sz w:val="26"/>
          <w:szCs w:val="26"/>
        </w:rPr>
      </w:pPr>
      <w:r w:rsidRPr="004D2AC4">
        <w:rPr>
          <w:rFonts w:cs="Arial"/>
          <w:b/>
          <w:sz w:val="26"/>
          <w:szCs w:val="26"/>
        </w:rPr>
        <w:t>Illinois Energy Efficiency Stakeholder Advisory Group</w:t>
      </w:r>
    </w:p>
    <w:p w14:paraId="7E3D94A9" w14:textId="77777777" w:rsidR="00CE510E" w:rsidRDefault="00CE510E" w:rsidP="00CE510E">
      <w:pPr>
        <w:jc w:val="center"/>
        <w:rPr>
          <w:rFonts w:cs="Arial"/>
          <w:b/>
          <w:bCs/>
          <w:sz w:val="26"/>
          <w:szCs w:val="26"/>
        </w:rPr>
      </w:pPr>
      <w:r w:rsidRPr="004D2AC4">
        <w:rPr>
          <w:rFonts w:cs="Arial"/>
          <w:b/>
          <w:bCs/>
          <w:sz w:val="26"/>
          <w:szCs w:val="26"/>
        </w:rPr>
        <w:t xml:space="preserve">Policy Manual Subcommittee </w:t>
      </w:r>
    </w:p>
    <w:p w14:paraId="1B7D228A" w14:textId="7E141B8C" w:rsidR="00CE510E" w:rsidRDefault="00CE510E" w:rsidP="00CE510E">
      <w:pPr>
        <w:jc w:val="center"/>
        <w:rPr>
          <w:rFonts w:cs="Arial"/>
          <w:b/>
          <w:bCs/>
          <w:sz w:val="24"/>
          <w:szCs w:val="24"/>
        </w:rPr>
      </w:pPr>
      <w:r>
        <w:rPr>
          <w:rFonts w:cs="Arial"/>
          <w:b/>
          <w:bCs/>
          <w:sz w:val="24"/>
          <w:szCs w:val="24"/>
        </w:rPr>
        <w:t>Heating Penalties</w:t>
      </w:r>
      <w:r w:rsidRPr="00B3223D">
        <w:rPr>
          <w:rFonts w:cs="Arial"/>
          <w:b/>
          <w:bCs/>
          <w:sz w:val="24"/>
          <w:szCs w:val="24"/>
        </w:rPr>
        <w:t xml:space="preserve"> Policy</w:t>
      </w:r>
    </w:p>
    <w:p w14:paraId="2AA2C773" w14:textId="77777777" w:rsidR="00CE510E" w:rsidRPr="00B3223D" w:rsidRDefault="00CE510E" w:rsidP="00CE510E">
      <w:pPr>
        <w:jc w:val="center"/>
        <w:rPr>
          <w:rFonts w:cs="Arial"/>
          <w:b/>
          <w:bCs/>
          <w:sz w:val="24"/>
          <w:szCs w:val="24"/>
        </w:rPr>
      </w:pPr>
      <w:r>
        <w:rPr>
          <w:rFonts w:cs="Arial"/>
          <w:b/>
          <w:bCs/>
          <w:sz w:val="24"/>
          <w:szCs w:val="24"/>
        </w:rPr>
        <w:t>Last Discussed May 3, 2023</w:t>
      </w:r>
    </w:p>
    <w:p w14:paraId="5E15DD0A" w14:textId="77777777" w:rsidR="00570533" w:rsidRDefault="00570533" w:rsidP="007D07E7">
      <w:pPr>
        <w:rPr>
          <w:rFonts w:cs="Arial"/>
          <w:b/>
          <w:bCs/>
          <w:color w:val="4472C4" w:themeColor="accent1"/>
          <w:sz w:val="26"/>
          <w:szCs w:val="26"/>
          <w:u w:val="single"/>
        </w:rPr>
      </w:pPr>
    </w:p>
    <w:p w14:paraId="3F355DA5" w14:textId="206319AD" w:rsidR="00235BF6" w:rsidRPr="000E174D" w:rsidRDefault="00235BF6" w:rsidP="007D07E7">
      <w:pPr>
        <w:rPr>
          <w:rFonts w:cs="Arial"/>
          <w:b/>
          <w:bCs/>
          <w:u w:val="single"/>
        </w:rPr>
      </w:pPr>
      <w:r w:rsidRPr="000E174D">
        <w:rPr>
          <w:rFonts w:cs="Arial"/>
          <w:b/>
          <w:bCs/>
          <w:u w:val="single"/>
        </w:rPr>
        <w:t>Effective Date</w:t>
      </w:r>
      <w:r w:rsidRPr="000E174D">
        <w:rPr>
          <w:rFonts w:cs="Arial"/>
          <w:b/>
          <w:bCs/>
        </w:rPr>
        <w:t>: January 1, 2024</w:t>
      </w:r>
    </w:p>
    <w:p w14:paraId="3688DF25" w14:textId="77777777" w:rsidR="00235BF6" w:rsidRPr="000E174D" w:rsidRDefault="00235BF6" w:rsidP="007D07E7">
      <w:pPr>
        <w:rPr>
          <w:rFonts w:cs="Arial"/>
          <w:b/>
          <w:bCs/>
          <w:color w:val="4472C4" w:themeColor="accent1"/>
          <w:u w:val="single"/>
        </w:rPr>
      </w:pPr>
    </w:p>
    <w:p w14:paraId="3BC5713F" w14:textId="7D8D62A6" w:rsidR="00570533" w:rsidRPr="000E174D" w:rsidRDefault="00570533" w:rsidP="00570533">
      <w:pPr>
        <w:rPr>
          <w:rFonts w:eastAsia="Times New Roman" w:cs="Arial"/>
          <w:b/>
          <w:bCs/>
          <w:color w:val="000000"/>
          <w:u w:val="single"/>
        </w:rPr>
      </w:pPr>
      <w:r w:rsidRPr="000E174D">
        <w:rPr>
          <w:rFonts w:eastAsia="Times New Roman" w:cs="Arial"/>
          <w:b/>
          <w:bCs/>
          <w:color w:val="000000"/>
          <w:u w:val="single"/>
        </w:rPr>
        <w:t>Policy</w:t>
      </w:r>
      <w:r w:rsidR="00F90186" w:rsidRPr="000E174D">
        <w:rPr>
          <w:rFonts w:eastAsia="Times New Roman" w:cs="Arial"/>
          <w:b/>
          <w:bCs/>
          <w:color w:val="000000"/>
        </w:rPr>
        <w:t>:</w:t>
      </w:r>
    </w:p>
    <w:p w14:paraId="50D34086" w14:textId="77777777" w:rsidR="00570533" w:rsidRDefault="00570533" w:rsidP="007D07E7">
      <w:pPr>
        <w:rPr>
          <w:rFonts w:cs="Arial"/>
          <w:b/>
          <w:bCs/>
          <w:color w:val="4472C4" w:themeColor="accent1"/>
          <w:sz w:val="26"/>
          <w:szCs w:val="26"/>
          <w:u w:val="single"/>
        </w:rPr>
      </w:pPr>
    </w:p>
    <w:p w14:paraId="17D875D0" w14:textId="21001E36" w:rsidR="00E00377" w:rsidRPr="000E174D" w:rsidRDefault="00E00377" w:rsidP="007D07E7">
      <w:pPr>
        <w:rPr>
          <w:rFonts w:cs="Arial"/>
          <w:b/>
          <w:bCs/>
        </w:rPr>
      </w:pPr>
      <w:r w:rsidRPr="000E174D">
        <w:rPr>
          <w:rFonts w:cs="Arial"/>
          <w:b/>
          <w:bCs/>
        </w:rPr>
        <w:t>Treatment of Gas Heating Penalties from Efficiency Measures Designed to Save Electricity</w:t>
      </w:r>
    </w:p>
    <w:p w14:paraId="4E7BBC2B" w14:textId="77777777" w:rsidR="00E00377" w:rsidRDefault="00E00377" w:rsidP="007D07E7">
      <w:pPr>
        <w:rPr>
          <w:rFonts w:cs="Arial"/>
          <w:b/>
          <w:bCs/>
          <w:color w:val="4472C4" w:themeColor="accent1"/>
          <w:sz w:val="26"/>
          <w:szCs w:val="26"/>
          <w:u w:val="single"/>
        </w:rPr>
      </w:pPr>
    </w:p>
    <w:p w14:paraId="1F903EDF" w14:textId="789974E7" w:rsidR="00570533" w:rsidRDefault="00570533" w:rsidP="000E174D">
      <w:pPr>
        <w:rPr>
          <w:rFonts w:cs="Arial"/>
        </w:rPr>
      </w:pPr>
      <w:r w:rsidRPr="002F7ABA">
        <w:rPr>
          <w:rFonts w:cs="Arial"/>
        </w:rPr>
        <w:t>Evaluat</w:t>
      </w:r>
      <w:r>
        <w:rPr>
          <w:rFonts w:cs="Arial"/>
        </w:rPr>
        <w:t xml:space="preserve">ion should account for gas heating penalties from efficiency measures </w:t>
      </w:r>
      <w:r w:rsidR="00FF0CBF">
        <w:rPr>
          <w:rFonts w:cs="Arial"/>
        </w:rPr>
        <w:t xml:space="preserve">primarily </w:t>
      </w:r>
      <w:r>
        <w:rPr>
          <w:rFonts w:cs="Arial"/>
        </w:rPr>
        <w:t xml:space="preserve">designed to save electricity where they occur, but the resulting values should only be applied as a TRC test input. The gas heating penalties will not factor into the conversion calculation of gas savings to electric savings, </w:t>
      </w:r>
      <w:commentRangeStart w:id="0"/>
      <w:r>
        <w:rPr>
          <w:rFonts w:cs="Arial"/>
        </w:rPr>
        <w:t>per the FEJA legislation</w:t>
      </w:r>
      <w:commentRangeEnd w:id="0"/>
      <w:r w:rsidR="00D278B9">
        <w:rPr>
          <w:rStyle w:val="CommentReference"/>
        </w:rPr>
        <w:commentReference w:id="0"/>
      </w:r>
      <w:r>
        <w:rPr>
          <w:rFonts w:cs="Arial"/>
        </w:rPr>
        <w:t>. The gas heating penalties will not factor into an electric utility’s (ComEd) ability to sell gas savings to a gas utility, nor will the gas heating penalties factor into a dual-fuel utility’s (Ameren IL) ability to claim achieved portfolio gas savings against statutory gas savings goals under Section 8-104.</w:t>
      </w:r>
      <w:r w:rsidR="001B0349">
        <w:rPr>
          <w:rFonts w:cs="Arial"/>
        </w:rPr>
        <w:t xml:space="preserve"> </w:t>
      </w:r>
      <w:r w:rsidR="0011501B">
        <w:rPr>
          <w:rFonts w:cs="Arial"/>
        </w:rPr>
        <w:t>T</w:t>
      </w:r>
      <w:r w:rsidR="001B0349">
        <w:rPr>
          <w:rFonts w:cs="Arial"/>
        </w:rPr>
        <w:t xml:space="preserve">he gas heating penalties </w:t>
      </w:r>
      <w:r w:rsidR="0011501B">
        <w:rPr>
          <w:rFonts w:cs="Arial"/>
        </w:rPr>
        <w:t xml:space="preserve">will not </w:t>
      </w:r>
      <w:r w:rsidR="001B0349">
        <w:rPr>
          <w:rFonts w:cs="Arial"/>
        </w:rPr>
        <w:t xml:space="preserve">factor into a </w:t>
      </w:r>
      <w:r w:rsidR="008570C3">
        <w:rPr>
          <w:rFonts w:cs="Arial"/>
        </w:rPr>
        <w:t xml:space="preserve">gas utility’s </w:t>
      </w:r>
      <w:r w:rsidR="001B0349">
        <w:rPr>
          <w:rFonts w:cs="Arial"/>
        </w:rPr>
        <w:t>ability to claim achieved portfolio gas savings against statutory gas savings goals under Section 8-104.</w:t>
      </w:r>
    </w:p>
    <w:p w14:paraId="7BC8A41C" w14:textId="77777777" w:rsidR="00570533" w:rsidRDefault="00570533" w:rsidP="00570533">
      <w:pPr>
        <w:ind w:left="720"/>
        <w:rPr>
          <w:rFonts w:cs="Arial"/>
        </w:rPr>
      </w:pPr>
    </w:p>
    <w:p w14:paraId="5B4CC1BA" w14:textId="396FC03C" w:rsidR="00570533" w:rsidRDefault="00570533" w:rsidP="000E174D">
      <w:pPr>
        <w:rPr>
          <w:rFonts w:cs="Arial"/>
        </w:rPr>
      </w:pPr>
      <w:r>
        <w:rPr>
          <w:rFonts w:cs="Arial"/>
        </w:rPr>
        <w:t>If a project results in both gas savings and a gas heating penalty from efficiency measures designed to save electricity (i.e., customer with gas heat installs a kitchen hood DCV control and upgrades lighting), the gas penalty is ignored when calculating the project’s verified savings.</w:t>
      </w:r>
    </w:p>
    <w:p w14:paraId="2BCC1CA7" w14:textId="5073EE4F" w:rsidR="00D36893" w:rsidRDefault="00D36893" w:rsidP="00570533">
      <w:pPr>
        <w:ind w:left="720"/>
        <w:rPr>
          <w:rFonts w:cs="Arial"/>
        </w:rPr>
      </w:pPr>
    </w:p>
    <w:p w14:paraId="0A8A3D05" w14:textId="6155857A" w:rsidR="00D36893" w:rsidRDefault="00D36893" w:rsidP="000E174D">
      <w:pPr>
        <w:rPr>
          <w:rFonts w:cs="Arial"/>
        </w:rPr>
      </w:pPr>
      <w:r>
        <w:rPr>
          <w:rFonts w:cs="Arial"/>
        </w:rPr>
        <w:t xml:space="preserve">Note:  Evaluation should similarly account for electric heating penalties or negative electric savings from efficiency </w:t>
      </w:r>
      <w:r>
        <w:rPr>
          <w:rFonts w:cs="Arial"/>
        </w:rPr>
        <w:t xml:space="preserve">measures </w:t>
      </w:r>
      <w:r w:rsidR="00FF0CBF">
        <w:rPr>
          <w:rFonts w:cs="Arial"/>
        </w:rPr>
        <w:t xml:space="preserve">primarily </w:t>
      </w:r>
      <w:r>
        <w:rPr>
          <w:rFonts w:cs="Arial"/>
        </w:rPr>
        <w:t xml:space="preserve">designed to save gas, but the resulting values should similarly only be applied as a TRC test input and should similarly </w:t>
      </w:r>
      <w:r w:rsidR="00FF0CBF">
        <w:rPr>
          <w:rFonts w:cs="Arial"/>
        </w:rPr>
        <w:t>not factor into goal attainment in any manner</w:t>
      </w:r>
      <w:r>
        <w:rPr>
          <w:rFonts w:cs="Arial"/>
        </w:rPr>
        <w:t>.</w:t>
      </w:r>
    </w:p>
    <w:p w14:paraId="28EE86DE" w14:textId="07000650" w:rsidR="00496CAC" w:rsidRDefault="00496CAC" w:rsidP="00D36893">
      <w:pPr>
        <w:ind w:left="720"/>
        <w:rPr>
          <w:rFonts w:cs="Arial"/>
        </w:rPr>
      </w:pPr>
    </w:p>
    <w:p w14:paraId="7F5271B9" w14:textId="58635D73" w:rsidR="00BF0E3E" w:rsidRDefault="00BF0E3E" w:rsidP="00BF0E3E">
      <w:pPr>
        <w:rPr>
          <w:rFonts w:cs="Arial"/>
        </w:rPr>
      </w:pPr>
      <w:r w:rsidRPr="00BF0E3E">
        <w:rPr>
          <w:rFonts w:cs="Arial"/>
          <w:b/>
          <w:bCs/>
        </w:rPr>
        <w:t>Treatment of</w:t>
      </w:r>
      <w:r>
        <w:rPr>
          <w:rFonts w:cs="Arial"/>
        </w:rPr>
        <w:t xml:space="preserve"> </w:t>
      </w:r>
      <w:r>
        <w:rPr>
          <w:rFonts w:eastAsia="Times New Roman" w:cs="Arial"/>
          <w:b/>
          <w:bCs/>
          <w:color w:val="000000"/>
        </w:rPr>
        <w:t>E</w:t>
      </w:r>
      <w:r w:rsidRPr="006D557A">
        <w:rPr>
          <w:rFonts w:eastAsia="Times New Roman" w:cs="Arial"/>
          <w:b/>
          <w:bCs/>
          <w:color w:val="000000"/>
        </w:rPr>
        <w:t xml:space="preserve">lectric </w:t>
      </w:r>
      <w:r w:rsidR="00CE0EFF">
        <w:rPr>
          <w:rFonts w:eastAsia="Times New Roman" w:cs="Arial"/>
          <w:b/>
          <w:bCs/>
          <w:color w:val="000000"/>
        </w:rPr>
        <w:t>H</w:t>
      </w:r>
      <w:r w:rsidRPr="006D557A">
        <w:rPr>
          <w:rFonts w:eastAsia="Times New Roman" w:cs="Arial"/>
          <w:b/>
          <w:bCs/>
          <w:color w:val="000000"/>
        </w:rPr>
        <w:t xml:space="preserve">eating </w:t>
      </w:r>
      <w:r w:rsidR="00CE0EFF">
        <w:rPr>
          <w:rFonts w:eastAsia="Times New Roman" w:cs="Arial"/>
          <w:b/>
          <w:bCs/>
          <w:color w:val="000000"/>
        </w:rPr>
        <w:t>P</w:t>
      </w:r>
      <w:r w:rsidRPr="006D557A">
        <w:rPr>
          <w:rFonts w:eastAsia="Times New Roman" w:cs="Arial"/>
          <w:b/>
          <w:bCs/>
          <w:color w:val="000000"/>
        </w:rPr>
        <w:t xml:space="preserve">enalties from </w:t>
      </w:r>
      <w:r w:rsidR="00CE0EFF">
        <w:rPr>
          <w:rFonts w:eastAsia="Times New Roman" w:cs="Arial"/>
          <w:b/>
          <w:bCs/>
          <w:color w:val="000000"/>
        </w:rPr>
        <w:t>E</w:t>
      </w:r>
      <w:r w:rsidRPr="006D557A">
        <w:rPr>
          <w:rFonts w:eastAsia="Times New Roman" w:cs="Arial"/>
          <w:b/>
          <w:bCs/>
          <w:color w:val="000000"/>
        </w:rPr>
        <w:t xml:space="preserve">fficiency </w:t>
      </w:r>
      <w:r w:rsidR="00CE0EFF">
        <w:rPr>
          <w:rFonts w:eastAsia="Times New Roman" w:cs="Arial"/>
          <w:b/>
          <w:bCs/>
          <w:color w:val="000000"/>
        </w:rPr>
        <w:t>M</w:t>
      </w:r>
      <w:r w:rsidRPr="006D557A">
        <w:rPr>
          <w:rFonts w:eastAsia="Times New Roman" w:cs="Arial"/>
          <w:b/>
          <w:bCs/>
          <w:color w:val="000000"/>
        </w:rPr>
        <w:t xml:space="preserve">easures </w:t>
      </w:r>
      <w:r w:rsidR="00CE0EFF">
        <w:rPr>
          <w:rFonts w:eastAsia="Times New Roman" w:cs="Arial"/>
          <w:b/>
          <w:bCs/>
          <w:color w:val="000000"/>
        </w:rPr>
        <w:t>D</w:t>
      </w:r>
      <w:r w:rsidRPr="006D557A">
        <w:rPr>
          <w:rFonts w:eastAsia="Times New Roman" w:cs="Arial"/>
          <w:b/>
          <w:bCs/>
          <w:color w:val="000000"/>
        </w:rPr>
        <w:t xml:space="preserve">esigned to </w:t>
      </w:r>
      <w:r w:rsidR="00CE0EFF">
        <w:rPr>
          <w:rFonts w:eastAsia="Times New Roman" w:cs="Arial"/>
          <w:b/>
          <w:bCs/>
          <w:color w:val="000000"/>
        </w:rPr>
        <w:t>S</w:t>
      </w:r>
      <w:r w:rsidRPr="006D557A">
        <w:rPr>
          <w:rFonts w:eastAsia="Times New Roman" w:cs="Arial"/>
          <w:b/>
          <w:bCs/>
          <w:color w:val="000000"/>
        </w:rPr>
        <w:t xml:space="preserve">ave </w:t>
      </w:r>
      <w:r w:rsidR="00CE0EFF">
        <w:rPr>
          <w:rFonts w:eastAsia="Times New Roman" w:cs="Arial"/>
          <w:b/>
          <w:bCs/>
          <w:color w:val="000000"/>
        </w:rPr>
        <w:t>E</w:t>
      </w:r>
      <w:r w:rsidRPr="006D557A">
        <w:rPr>
          <w:rFonts w:eastAsia="Times New Roman" w:cs="Arial"/>
          <w:b/>
          <w:bCs/>
          <w:color w:val="000000"/>
        </w:rPr>
        <w:t>lectricity</w:t>
      </w:r>
    </w:p>
    <w:p w14:paraId="283E8EDF" w14:textId="77777777" w:rsidR="00BF0E3E" w:rsidRDefault="00BF0E3E" w:rsidP="00D36893">
      <w:pPr>
        <w:ind w:left="720"/>
        <w:rPr>
          <w:rFonts w:cs="Arial"/>
        </w:rPr>
      </w:pPr>
    </w:p>
    <w:p w14:paraId="3C9318CB" w14:textId="77777777" w:rsidR="00570533" w:rsidRDefault="00570533" w:rsidP="00CE0EFF">
      <w:pPr>
        <w:rPr>
          <w:rFonts w:cs="Arial"/>
        </w:rPr>
      </w:pPr>
      <w:bookmarkStart w:id="1" w:name="_Hlk105681055"/>
      <w:r w:rsidRPr="002F7ABA">
        <w:rPr>
          <w:rFonts w:cs="Arial"/>
        </w:rPr>
        <w:t>Evaluat</w:t>
      </w:r>
      <w:r>
        <w:rPr>
          <w:rFonts w:cs="Arial"/>
        </w:rPr>
        <w:t xml:space="preserve">ion should account for electric heating penalties from efficiency measures designed to save electricity </w:t>
      </w:r>
      <w:r>
        <w:rPr>
          <w:rFonts w:cs="Arial"/>
        </w:rPr>
        <w:t>where they occur, and the resulting values should be included when calculating verified savings (i.e., penalty + savings = verified savings).</w:t>
      </w:r>
    </w:p>
    <w:p w14:paraId="722B0A65" w14:textId="77777777" w:rsidR="00570533" w:rsidRDefault="00570533" w:rsidP="00570533">
      <w:pPr>
        <w:ind w:left="720"/>
        <w:rPr>
          <w:rFonts w:cs="Arial"/>
        </w:rPr>
      </w:pPr>
    </w:p>
    <w:p w14:paraId="783ABF0C" w14:textId="3830D9F5" w:rsidR="00570533" w:rsidRDefault="00570533" w:rsidP="00CE0EFF">
      <w:pPr>
        <w:rPr>
          <w:rFonts w:cs="Arial"/>
        </w:rPr>
      </w:pPr>
      <w:r>
        <w:rPr>
          <w:rFonts w:cs="Arial"/>
        </w:rPr>
        <w:t xml:space="preserve">Note:  Evaluation should </w:t>
      </w:r>
      <w:r w:rsidR="003D7FBB">
        <w:rPr>
          <w:rFonts w:cs="Arial"/>
        </w:rPr>
        <w:t xml:space="preserve">similarly </w:t>
      </w:r>
      <w:r>
        <w:rPr>
          <w:rFonts w:cs="Arial"/>
        </w:rPr>
        <w:t xml:space="preserve">account for gas heating penalties or negative gas savings from efficiency measures designed to save gas where they occur, and the resulting values should be included when calculating verified savings (i.e., </w:t>
      </w:r>
      <w:r>
        <w:rPr>
          <w:rFonts w:cs="Arial"/>
        </w:rPr>
        <w:t>penalty + savings = verified savings).</w:t>
      </w:r>
    </w:p>
    <w:bookmarkEnd w:id="1"/>
    <w:p w14:paraId="6CD75647" w14:textId="77777777" w:rsidR="00704DE2" w:rsidRDefault="00704DE2" w:rsidP="00704DE2">
      <w:pPr>
        <w:rPr>
          <w:rFonts w:cs="Arial"/>
        </w:rPr>
      </w:pPr>
    </w:p>
    <w:p w14:paraId="620A24B1" w14:textId="51A61DF0" w:rsidR="00F90186" w:rsidRDefault="00F90186" w:rsidP="00704DE2">
      <w:pPr>
        <w:rPr>
          <w:rFonts w:cs="Arial"/>
        </w:rPr>
      </w:pPr>
      <w:r>
        <w:rPr>
          <w:rFonts w:cs="Arial"/>
        </w:rPr>
        <w:t>In no case should policy language provided above be interpreted to provide guidance on treatment of savings for electrification measures as defined in Section 8-103B (b-27), which should be evaluated pursuant to statutory language.</w:t>
      </w:r>
    </w:p>
    <w:p w14:paraId="02830FB3" w14:textId="77777777" w:rsidR="00F90186" w:rsidRDefault="00F90186" w:rsidP="00570533">
      <w:pPr>
        <w:ind w:left="720"/>
        <w:rPr>
          <w:rFonts w:cs="Arial"/>
        </w:rPr>
      </w:pPr>
    </w:p>
    <w:p w14:paraId="56FC370D" w14:textId="4A654776" w:rsidR="00ED588A" w:rsidRDefault="00ED588A">
      <w:pPr>
        <w:rPr>
          <w:rFonts w:cs="Arial"/>
          <w:sz w:val="24"/>
          <w:szCs w:val="24"/>
        </w:rPr>
      </w:pPr>
    </w:p>
    <w:sectPr w:rsidR="00ED588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5-09T09:29:00Z" w:initials="CJ">
    <w:p w14:paraId="74A2A5F8" w14:textId="522ABC34" w:rsidR="00D278B9" w:rsidRDefault="00D278B9">
      <w:pPr>
        <w:pStyle w:val="CommentText"/>
      </w:pPr>
      <w:r>
        <w:rPr>
          <w:rStyle w:val="CommentReference"/>
        </w:rPr>
        <w:annotationRef/>
      </w:r>
      <w:r>
        <w:t xml:space="preserve">Zach Ross suggested the </w:t>
      </w:r>
      <w:r w:rsidR="00C25FD0">
        <w:t>writing committee clarify this. Should FEJA be referenced? If not, Zach recommends “per Section 8-103B(b-25)”.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A2A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90DC" w16cex:dateUtc="2023-05-09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A2A5F8" w16cid:durableId="28049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C163" w14:textId="77777777" w:rsidR="00162A41" w:rsidRDefault="00E959C4">
      <w:r>
        <w:separator/>
      </w:r>
    </w:p>
  </w:endnote>
  <w:endnote w:type="continuationSeparator" w:id="0">
    <w:p w14:paraId="682EB2D9" w14:textId="77777777" w:rsidR="00162A41" w:rsidRDefault="00E9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225876CE" w:rsidR="00162A41" w:rsidRDefault="00E959C4">
        <w:pPr>
          <w:pStyle w:val="Footer"/>
          <w:jc w:val="right"/>
          <w:rPr>
            <w:rFonts w:cs="Arial"/>
            <w:sz w:val="20"/>
            <w:szCs w:val="20"/>
          </w:rPr>
        </w:pPr>
        <w:r>
          <w:rPr>
            <w:rFonts w:cs="Arial"/>
            <w:sz w:val="20"/>
            <w:szCs w:val="20"/>
          </w:rPr>
          <w:t xml:space="preserve">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BE8" w14:textId="77777777" w:rsidR="00162A41" w:rsidRDefault="00E959C4">
      <w:r>
        <w:separator/>
      </w:r>
    </w:p>
  </w:footnote>
  <w:footnote w:type="continuationSeparator" w:id="0">
    <w:p w14:paraId="13C73DF6" w14:textId="77777777" w:rsidR="00162A41" w:rsidRDefault="00E9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F156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5"/>
  </w:num>
  <w:num w:numId="2" w16cid:durableId="702098910">
    <w:abstractNumId w:val="8"/>
  </w:num>
  <w:num w:numId="3" w16cid:durableId="1247618492">
    <w:abstractNumId w:val="6"/>
  </w:num>
  <w:num w:numId="4" w16cid:durableId="1366521241">
    <w:abstractNumId w:val="4"/>
  </w:num>
  <w:num w:numId="5" w16cid:durableId="855268833">
    <w:abstractNumId w:val="3"/>
  </w:num>
  <w:num w:numId="6" w16cid:durableId="439034254">
    <w:abstractNumId w:val="1"/>
  </w:num>
  <w:num w:numId="7" w16cid:durableId="1962414713">
    <w:abstractNumId w:val="0"/>
  </w:num>
  <w:num w:numId="8" w16cid:durableId="1029183321">
    <w:abstractNumId w:val="9"/>
  </w:num>
  <w:num w:numId="9" w16cid:durableId="2144733916">
    <w:abstractNumId w:val="2"/>
  </w:num>
  <w:num w:numId="10" w16cid:durableId="5695838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9F0"/>
    <w:rsid w:val="00064D93"/>
    <w:rsid w:val="000667BD"/>
    <w:rsid w:val="000677BA"/>
    <w:rsid w:val="00093C92"/>
    <w:rsid w:val="00094413"/>
    <w:rsid w:val="000A7E0E"/>
    <w:rsid w:val="000E01B3"/>
    <w:rsid w:val="000E174D"/>
    <w:rsid w:val="000F4BEA"/>
    <w:rsid w:val="000F55C9"/>
    <w:rsid w:val="001002E9"/>
    <w:rsid w:val="0011501B"/>
    <w:rsid w:val="001455FF"/>
    <w:rsid w:val="00162A41"/>
    <w:rsid w:val="00180548"/>
    <w:rsid w:val="001B0349"/>
    <w:rsid w:val="001E0D2F"/>
    <w:rsid w:val="001E7D91"/>
    <w:rsid w:val="002044E6"/>
    <w:rsid w:val="00235BF6"/>
    <w:rsid w:val="0027597C"/>
    <w:rsid w:val="00291D31"/>
    <w:rsid w:val="00296A34"/>
    <w:rsid w:val="002B2924"/>
    <w:rsid w:val="002E0D6B"/>
    <w:rsid w:val="002F5A48"/>
    <w:rsid w:val="0030135A"/>
    <w:rsid w:val="00304115"/>
    <w:rsid w:val="00310CF2"/>
    <w:rsid w:val="0035771B"/>
    <w:rsid w:val="003815E8"/>
    <w:rsid w:val="003C6256"/>
    <w:rsid w:val="003D0F4A"/>
    <w:rsid w:val="003D7FBB"/>
    <w:rsid w:val="003E7B35"/>
    <w:rsid w:val="004019E5"/>
    <w:rsid w:val="00407CD9"/>
    <w:rsid w:val="00412CD9"/>
    <w:rsid w:val="00416FCD"/>
    <w:rsid w:val="004231C7"/>
    <w:rsid w:val="004561B5"/>
    <w:rsid w:val="0046447B"/>
    <w:rsid w:val="00485F73"/>
    <w:rsid w:val="00496CAC"/>
    <w:rsid w:val="004B6DEF"/>
    <w:rsid w:val="004D2AC4"/>
    <w:rsid w:val="004D4FA8"/>
    <w:rsid w:val="00561B60"/>
    <w:rsid w:val="00570533"/>
    <w:rsid w:val="00584E3F"/>
    <w:rsid w:val="00595D27"/>
    <w:rsid w:val="005C5824"/>
    <w:rsid w:val="005E0226"/>
    <w:rsid w:val="005E6713"/>
    <w:rsid w:val="00622920"/>
    <w:rsid w:val="00627F34"/>
    <w:rsid w:val="006437AC"/>
    <w:rsid w:val="00662B7C"/>
    <w:rsid w:val="00684099"/>
    <w:rsid w:val="006B63F5"/>
    <w:rsid w:val="006F7861"/>
    <w:rsid w:val="006F7C7A"/>
    <w:rsid w:val="00704DE2"/>
    <w:rsid w:val="00712802"/>
    <w:rsid w:val="00712E3E"/>
    <w:rsid w:val="007175CE"/>
    <w:rsid w:val="007201E1"/>
    <w:rsid w:val="007876D0"/>
    <w:rsid w:val="007926B7"/>
    <w:rsid w:val="007A1EFE"/>
    <w:rsid w:val="007C40FC"/>
    <w:rsid w:val="007D07E7"/>
    <w:rsid w:val="007E70CF"/>
    <w:rsid w:val="007F793B"/>
    <w:rsid w:val="00805D4A"/>
    <w:rsid w:val="00834BEC"/>
    <w:rsid w:val="008570C3"/>
    <w:rsid w:val="00862501"/>
    <w:rsid w:val="0086381F"/>
    <w:rsid w:val="00872C72"/>
    <w:rsid w:val="008737F6"/>
    <w:rsid w:val="00886B10"/>
    <w:rsid w:val="008A0AF2"/>
    <w:rsid w:val="008B230C"/>
    <w:rsid w:val="008E401B"/>
    <w:rsid w:val="009057BD"/>
    <w:rsid w:val="0093009A"/>
    <w:rsid w:val="009433BE"/>
    <w:rsid w:val="00944253"/>
    <w:rsid w:val="0097442D"/>
    <w:rsid w:val="00985948"/>
    <w:rsid w:val="00987847"/>
    <w:rsid w:val="009902DA"/>
    <w:rsid w:val="00997993"/>
    <w:rsid w:val="00997ECD"/>
    <w:rsid w:val="009D4E3E"/>
    <w:rsid w:val="00A13577"/>
    <w:rsid w:val="00A36273"/>
    <w:rsid w:val="00A408E6"/>
    <w:rsid w:val="00A707B5"/>
    <w:rsid w:val="00A8698B"/>
    <w:rsid w:val="00AF0ABB"/>
    <w:rsid w:val="00AF1E36"/>
    <w:rsid w:val="00B054A7"/>
    <w:rsid w:val="00B054B3"/>
    <w:rsid w:val="00B30C10"/>
    <w:rsid w:val="00B3223D"/>
    <w:rsid w:val="00B34E74"/>
    <w:rsid w:val="00B439C5"/>
    <w:rsid w:val="00B50029"/>
    <w:rsid w:val="00B6174D"/>
    <w:rsid w:val="00B971C0"/>
    <w:rsid w:val="00BC0AD1"/>
    <w:rsid w:val="00BC151B"/>
    <w:rsid w:val="00BC3B9D"/>
    <w:rsid w:val="00BD3FF8"/>
    <w:rsid w:val="00BE3216"/>
    <w:rsid w:val="00BF0E3E"/>
    <w:rsid w:val="00C14856"/>
    <w:rsid w:val="00C25FD0"/>
    <w:rsid w:val="00C51C7B"/>
    <w:rsid w:val="00C648B2"/>
    <w:rsid w:val="00C65008"/>
    <w:rsid w:val="00CE0EFF"/>
    <w:rsid w:val="00CE510E"/>
    <w:rsid w:val="00CE7B2F"/>
    <w:rsid w:val="00CF4CDA"/>
    <w:rsid w:val="00D06E90"/>
    <w:rsid w:val="00D278B9"/>
    <w:rsid w:val="00D36893"/>
    <w:rsid w:val="00D605A7"/>
    <w:rsid w:val="00D63C56"/>
    <w:rsid w:val="00D73D09"/>
    <w:rsid w:val="00D75DC8"/>
    <w:rsid w:val="00DC7105"/>
    <w:rsid w:val="00E00377"/>
    <w:rsid w:val="00E6084E"/>
    <w:rsid w:val="00E61346"/>
    <w:rsid w:val="00E959C4"/>
    <w:rsid w:val="00ED588A"/>
    <w:rsid w:val="00ED600B"/>
    <w:rsid w:val="00F04665"/>
    <w:rsid w:val="00F063A4"/>
    <w:rsid w:val="00F34C2A"/>
    <w:rsid w:val="00F54047"/>
    <w:rsid w:val="00F90186"/>
    <w:rsid w:val="00F95AFF"/>
    <w:rsid w:val="00F961CB"/>
    <w:rsid w:val="00F9784A"/>
    <w:rsid w:val="00FA400C"/>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9</cp:revision>
  <dcterms:created xsi:type="dcterms:W3CDTF">2023-05-09T14:24:00Z</dcterms:created>
  <dcterms:modified xsi:type="dcterms:W3CDTF">2023-05-09T14:29:00Z</dcterms:modified>
</cp:coreProperties>
</file>