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14A6" w14:textId="01E1BD02" w:rsidR="002D43AD" w:rsidRPr="003D4A5A" w:rsidRDefault="002D43AD" w:rsidP="00D04344">
      <w:pPr>
        <w:pStyle w:val="GHSubjectDescription"/>
        <w:rPr>
          <w:rFonts w:ascii="Aptos" w:hAnsi="Aptos"/>
          <w:sz w:val="24"/>
          <w:szCs w:val="28"/>
        </w:rPr>
      </w:pPr>
      <w:r w:rsidRPr="003D4A5A">
        <w:rPr>
          <w:rFonts w:ascii="Aptos" w:hAnsi="Aptos"/>
          <w:sz w:val="24"/>
          <w:szCs w:val="28"/>
        </w:rPr>
        <w:t>Memorandum</w:t>
      </w:r>
    </w:p>
    <w:tbl>
      <w:tblPr>
        <w:tblW w:w="9360" w:type="dxa"/>
        <w:tblCellMar>
          <w:left w:w="0" w:type="dxa"/>
          <w:right w:w="0" w:type="dxa"/>
        </w:tblCellMar>
        <w:tblLook w:val="04A0" w:firstRow="1" w:lastRow="0" w:firstColumn="1" w:lastColumn="0" w:noHBand="0" w:noVBand="1"/>
      </w:tblPr>
      <w:tblGrid>
        <w:gridCol w:w="630"/>
        <w:gridCol w:w="8730"/>
      </w:tblGrid>
      <w:tr w:rsidR="002D43AD" w:rsidRPr="003D4A5A" w14:paraId="477B2913" w14:textId="77777777" w:rsidTr="3AD72AA8">
        <w:trPr>
          <w:trHeight w:val="720"/>
        </w:trPr>
        <w:tc>
          <w:tcPr>
            <w:tcW w:w="630" w:type="dxa"/>
            <w:vAlign w:val="bottom"/>
          </w:tcPr>
          <w:p w14:paraId="4C33D0D0" w14:textId="77777777" w:rsidR="002D43AD" w:rsidRPr="003D4A5A" w:rsidRDefault="002D43AD" w:rsidP="00D04344">
            <w:pPr>
              <w:pStyle w:val="GHTablebodyText"/>
              <w:rPr>
                <w:rFonts w:ascii="Aptos" w:hAnsi="Aptos"/>
              </w:rPr>
            </w:pPr>
            <w:r w:rsidRPr="003D4A5A">
              <w:rPr>
                <w:rFonts w:ascii="Aptos" w:hAnsi="Aptos"/>
              </w:rPr>
              <w:t xml:space="preserve">To: </w:t>
            </w:r>
          </w:p>
        </w:tc>
        <w:tc>
          <w:tcPr>
            <w:tcW w:w="8730" w:type="dxa"/>
            <w:tcBorders>
              <w:bottom w:val="single" w:sz="4" w:space="0" w:color="auto"/>
            </w:tcBorders>
            <w:vAlign w:val="bottom"/>
          </w:tcPr>
          <w:p w14:paraId="7ADE915A" w14:textId="728E3897" w:rsidR="002D43AD" w:rsidRPr="003D4A5A" w:rsidRDefault="000073B3" w:rsidP="00D04344">
            <w:pPr>
              <w:pStyle w:val="GHTablebodyText"/>
              <w:rPr>
                <w:rFonts w:ascii="Aptos" w:hAnsi="Aptos"/>
              </w:rPr>
            </w:pPr>
            <w:r w:rsidRPr="003D4A5A">
              <w:rPr>
                <w:rFonts w:ascii="Aptos" w:hAnsi="Aptos"/>
              </w:rPr>
              <w:t>Illinois SAG</w:t>
            </w:r>
          </w:p>
        </w:tc>
      </w:tr>
      <w:tr w:rsidR="002D43AD" w:rsidRPr="003D4A5A" w14:paraId="209B4ADD" w14:textId="77777777" w:rsidTr="3AD72AA8">
        <w:trPr>
          <w:trHeight w:val="720"/>
        </w:trPr>
        <w:tc>
          <w:tcPr>
            <w:tcW w:w="630" w:type="dxa"/>
            <w:vAlign w:val="bottom"/>
          </w:tcPr>
          <w:p w14:paraId="5AE38FA6" w14:textId="77777777" w:rsidR="002D43AD" w:rsidRPr="003D4A5A" w:rsidRDefault="002D43AD" w:rsidP="00D04344">
            <w:pPr>
              <w:pStyle w:val="GHTablebodyText"/>
              <w:rPr>
                <w:rFonts w:ascii="Aptos" w:hAnsi="Aptos"/>
              </w:rPr>
            </w:pPr>
            <w:r w:rsidRPr="003D4A5A">
              <w:rPr>
                <w:rFonts w:ascii="Aptos" w:hAnsi="Aptos"/>
              </w:rPr>
              <w:t>From:</w:t>
            </w:r>
          </w:p>
        </w:tc>
        <w:tc>
          <w:tcPr>
            <w:tcW w:w="8730" w:type="dxa"/>
            <w:tcBorders>
              <w:top w:val="single" w:sz="4" w:space="0" w:color="auto"/>
              <w:bottom w:val="single" w:sz="4" w:space="0" w:color="auto"/>
            </w:tcBorders>
            <w:vAlign w:val="bottom"/>
          </w:tcPr>
          <w:p w14:paraId="670AB3A9" w14:textId="41C7B780" w:rsidR="000073B3" w:rsidRPr="003D4A5A" w:rsidRDefault="6F09CCC3" w:rsidP="00D04344">
            <w:pPr>
              <w:pStyle w:val="GHTablebodyText"/>
              <w:rPr>
                <w:rFonts w:ascii="Aptos" w:hAnsi="Aptos"/>
              </w:rPr>
            </w:pPr>
            <w:r w:rsidRPr="003D4A5A">
              <w:rPr>
                <w:rFonts w:ascii="Aptos" w:hAnsi="Aptos"/>
              </w:rPr>
              <w:t xml:space="preserve">Nancy Iden, </w:t>
            </w:r>
            <w:r w:rsidR="00DC18F5" w:rsidRPr="003D4A5A">
              <w:rPr>
                <w:rFonts w:ascii="Aptos" w:hAnsi="Aptos"/>
              </w:rPr>
              <w:t>June Fang,</w:t>
            </w:r>
            <w:r w:rsidR="000073B3" w:rsidRPr="003D4A5A">
              <w:rPr>
                <w:rFonts w:ascii="Aptos" w:hAnsi="Aptos"/>
              </w:rPr>
              <w:t xml:space="preserve"> </w:t>
            </w:r>
            <w:r w:rsidR="5EEC1744" w:rsidRPr="003D4A5A">
              <w:rPr>
                <w:rFonts w:ascii="Aptos" w:hAnsi="Aptos"/>
              </w:rPr>
              <w:t xml:space="preserve">Parini Shah, </w:t>
            </w:r>
            <w:r w:rsidR="000073B3" w:rsidRPr="003D4A5A">
              <w:rPr>
                <w:rFonts w:ascii="Aptos" w:hAnsi="Aptos"/>
              </w:rPr>
              <w:t>Laura Agapay-Read, Jeff Erickson, Guidehouse</w:t>
            </w:r>
          </w:p>
        </w:tc>
      </w:tr>
      <w:tr w:rsidR="00B14E91" w:rsidRPr="003D4A5A" w14:paraId="1A80D26A" w14:textId="77777777" w:rsidTr="3AD72AA8">
        <w:trPr>
          <w:trHeight w:val="720"/>
        </w:trPr>
        <w:tc>
          <w:tcPr>
            <w:tcW w:w="630" w:type="dxa"/>
            <w:vAlign w:val="bottom"/>
          </w:tcPr>
          <w:p w14:paraId="078CBA78" w14:textId="20EED37B" w:rsidR="00B14E91" w:rsidRPr="003D4A5A" w:rsidRDefault="00B14E91" w:rsidP="00D04344">
            <w:pPr>
              <w:pStyle w:val="GHTablebodyText"/>
              <w:rPr>
                <w:rFonts w:ascii="Aptos" w:hAnsi="Aptos"/>
              </w:rPr>
            </w:pPr>
            <w:r w:rsidRPr="003D4A5A">
              <w:rPr>
                <w:rFonts w:ascii="Aptos" w:hAnsi="Aptos"/>
              </w:rPr>
              <w:t>CC:</w:t>
            </w:r>
          </w:p>
        </w:tc>
        <w:tc>
          <w:tcPr>
            <w:tcW w:w="8730" w:type="dxa"/>
            <w:tcBorders>
              <w:top w:val="single" w:sz="4" w:space="0" w:color="auto"/>
              <w:bottom w:val="single" w:sz="4" w:space="0" w:color="auto"/>
            </w:tcBorders>
            <w:vAlign w:val="bottom"/>
          </w:tcPr>
          <w:p w14:paraId="3CDA371B" w14:textId="645F5E87" w:rsidR="00B14E91" w:rsidRPr="003D4A5A" w:rsidRDefault="00B14E91" w:rsidP="000073B3">
            <w:pPr>
              <w:pStyle w:val="GHTablebodyText"/>
              <w:rPr>
                <w:rFonts w:ascii="Aptos" w:hAnsi="Aptos"/>
              </w:rPr>
            </w:pPr>
            <w:r w:rsidRPr="003D4A5A">
              <w:rPr>
                <w:rFonts w:ascii="Aptos" w:hAnsi="Aptos"/>
              </w:rPr>
              <w:t xml:space="preserve">Elizabeth Horne, ICC; </w:t>
            </w:r>
            <w:r w:rsidR="00047A2D" w:rsidRPr="003D4A5A">
              <w:rPr>
                <w:rFonts w:ascii="Aptos" w:hAnsi="Aptos"/>
              </w:rPr>
              <w:t>Erin Daughton</w:t>
            </w:r>
            <w:r w:rsidR="00836BF1" w:rsidRPr="003D4A5A">
              <w:rPr>
                <w:rFonts w:ascii="Aptos" w:hAnsi="Aptos"/>
              </w:rPr>
              <w:t>, ComEd; Randy Opdyke, Nicor Gas</w:t>
            </w:r>
            <w:r w:rsidR="00D22A22" w:rsidRPr="003D4A5A">
              <w:rPr>
                <w:rFonts w:ascii="Aptos" w:hAnsi="Aptos"/>
              </w:rPr>
              <w:t>; Zachary Ross, ODC</w:t>
            </w:r>
          </w:p>
        </w:tc>
      </w:tr>
      <w:tr w:rsidR="002D43AD" w:rsidRPr="003D4A5A" w14:paraId="7B7EBE01" w14:textId="77777777" w:rsidTr="3AD72AA8">
        <w:trPr>
          <w:trHeight w:val="720"/>
        </w:trPr>
        <w:tc>
          <w:tcPr>
            <w:tcW w:w="630" w:type="dxa"/>
            <w:vAlign w:val="bottom"/>
          </w:tcPr>
          <w:p w14:paraId="0093CC6B" w14:textId="77777777" w:rsidR="002D43AD" w:rsidRPr="003D4A5A" w:rsidRDefault="002D43AD" w:rsidP="00D04344">
            <w:pPr>
              <w:pStyle w:val="GHTablebodyText"/>
              <w:rPr>
                <w:rFonts w:ascii="Aptos" w:hAnsi="Aptos"/>
              </w:rPr>
            </w:pPr>
            <w:r w:rsidRPr="003D4A5A">
              <w:rPr>
                <w:rFonts w:ascii="Aptos" w:hAnsi="Aptos"/>
              </w:rPr>
              <w:t>Date:</w:t>
            </w:r>
          </w:p>
        </w:tc>
        <w:tc>
          <w:tcPr>
            <w:tcW w:w="8730" w:type="dxa"/>
            <w:tcBorders>
              <w:top w:val="single" w:sz="4" w:space="0" w:color="auto"/>
              <w:bottom w:val="single" w:sz="4" w:space="0" w:color="auto"/>
            </w:tcBorders>
            <w:vAlign w:val="bottom"/>
          </w:tcPr>
          <w:p w14:paraId="4115C6F7" w14:textId="70C539F8" w:rsidR="002D43AD" w:rsidRPr="003D4A5A" w:rsidRDefault="00134283" w:rsidP="000073B3">
            <w:pPr>
              <w:pStyle w:val="GHTablebodyText"/>
              <w:rPr>
                <w:rFonts w:ascii="Aptos" w:hAnsi="Aptos"/>
              </w:rPr>
            </w:pPr>
            <w:r w:rsidRPr="003D4A5A">
              <w:rPr>
                <w:rFonts w:ascii="Aptos" w:hAnsi="Aptos"/>
              </w:rPr>
              <w:t>February</w:t>
            </w:r>
            <w:r w:rsidR="00061DA8" w:rsidRPr="003D4A5A">
              <w:rPr>
                <w:rFonts w:ascii="Aptos" w:hAnsi="Aptos"/>
              </w:rPr>
              <w:t xml:space="preserve"> 24</w:t>
            </w:r>
            <w:r w:rsidR="00A67C23" w:rsidRPr="003D4A5A">
              <w:rPr>
                <w:rFonts w:ascii="Aptos" w:hAnsi="Aptos"/>
              </w:rPr>
              <w:t>, 202</w:t>
            </w:r>
            <w:r w:rsidR="008541E9" w:rsidRPr="003D4A5A">
              <w:rPr>
                <w:rFonts w:ascii="Aptos" w:hAnsi="Aptos"/>
              </w:rPr>
              <w:t>6</w:t>
            </w:r>
          </w:p>
        </w:tc>
      </w:tr>
      <w:tr w:rsidR="002D43AD" w:rsidRPr="003D4A5A" w14:paraId="032D99C5" w14:textId="77777777" w:rsidTr="3AD72AA8">
        <w:trPr>
          <w:trHeight w:val="720"/>
        </w:trPr>
        <w:tc>
          <w:tcPr>
            <w:tcW w:w="630" w:type="dxa"/>
            <w:vAlign w:val="bottom"/>
          </w:tcPr>
          <w:p w14:paraId="484C3495" w14:textId="77777777" w:rsidR="002D43AD" w:rsidRPr="003D4A5A" w:rsidRDefault="002D43AD" w:rsidP="00D04344">
            <w:pPr>
              <w:pStyle w:val="GHTablebodyText"/>
              <w:rPr>
                <w:rFonts w:ascii="Aptos" w:hAnsi="Aptos"/>
              </w:rPr>
            </w:pPr>
            <w:r w:rsidRPr="003D4A5A">
              <w:rPr>
                <w:rFonts w:ascii="Aptos" w:hAnsi="Aptos"/>
              </w:rPr>
              <w:t>Re:</w:t>
            </w:r>
          </w:p>
        </w:tc>
        <w:tc>
          <w:tcPr>
            <w:tcW w:w="8730" w:type="dxa"/>
            <w:tcBorders>
              <w:top w:val="single" w:sz="4" w:space="0" w:color="auto"/>
              <w:bottom w:val="single" w:sz="4" w:space="0" w:color="auto"/>
            </w:tcBorders>
            <w:vAlign w:val="bottom"/>
          </w:tcPr>
          <w:p w14:paraId="2E8A1AA9" w14:textId="594DC7D8" w:rsidR="002D43AD" w:rsidRPr="003D4A5A" w:rsidRDefault="000073B3" w:rsidP="00D04344">
            <w:pPr>
              <w:pStyle w:val="GHTablebodyText"/>
              <w:rPr>
                <w:rFonts w:ascii="Aptos" w:hAnsi="Aptos"/>
              </w:rPr>
            </w:pPr>
            <w:r w:rsidRPr="003D4A5A">
              <w:rPr>
                <w:rFonts w:ascii="Aptos" w:hAnsi="Aptos"/>
              </w:rPr>
              <w:t xml:space="preserve">Free Ridership Protocol Deviation from Illinois Statewide </w:t>
            </w:r>
            <w:r w:rsidR="00FE0364" w:rsidRPr="003D4A5A">
              <w:rPr>
                <w:rFonts w:ascii="Aptos" w:hAnsi="Aptos"/>
              </w:rPr>
              <w:t>TRM</w:t>
            </w:r>
            <w:r w:rsidRPr="003D4A5A">
              <w:rPr>
                <w:rFonts w:ascii="Aptos" w:hAnsi="Aptos"/>
              </w:rPr>
              <w:t xml:space="preserve">, Version </w:t>
            </w:r>
            <w:r w:rsidR="00FB7685" w:rsidRPr="003D4A5A">
              <w:rPr>
                <w:rFonts w:ascii="Aptos" w:hAnsi="Aptos"/>
              </w:rPr>
              <w:t>14</w:t>
            </w:r>
            <w:r w:rsidRPr="003D4A5A">
              <w:rPr>
                <w:rFonts w:ascii="Aptos" w:hAnsi="Aptos"/>
              </w:rPr>
              <w:t>.0</w:t>
            </w:r>
          </w:p>
        </w:tc>
      </w:tr>
    </w:tbl>
    <w:p w14:paraId="0770BBEA" w14:textId="77777777" w:rsidR="002D43AD" w:rsidRPr="003D4A5A" w:rsidRDefault="002D43AD" w:rsidP="00CD2231">
      <w:pPr>
        <w:pStyle w:val="GHBodytext"/>
        <w:spacing w:before="120"/>
        <w:rPr>
          <w:rFonts w:ascii="Aptos" w:hAnsi="Aptos"/>
        </w:rPr>
      </w:pPr>
    </w:p>
    <w:p w14:paraId="3F390895" w14:textId="17F880EA" w:rsidR="00F76E96" w:rsidRPr="003D4A5A" w:rsidRDefault="00F76E96" w:rsidP="00F76E96">
      <w:pPr>
        <w:pStyle w:val="GHBodytext"/>
        <w:spacing w:before="120"/>
        <w:rPr>
          <w:rFonts w:ascii="Aptos" w:hAnsi="Aptos"/>
        </w:rPr>
      </w:pPr>
      <w:r w:rsidRPr="003D4A5A">
        <w:rPr>
          <w:rFonts w:ascii="Aptos" w:hAnsi="Aptos"/>
        </w:rPr>
        <w:t>This memorandum outlines the deviation to the residential free ridership (FR) protocol that Guidehouse plans to use for its evaluation of the following programs</w:t>
      </w:r>
      <w:r w:rsidR="00C14A85" w:rsidRPr="003D4A5A">
        <w:rPr>
          <w:rFonts w:ascii="Aptos" w:hAnsi="Aptos"/>
        </w:rPr>
        <w:t xml:space="preserve"> in 2026</w:t>
      </w:r>
      <w:r w:rsidRPr="003D4A5A">
        <w:rPr>
          <w:rFonts w:ascii="Aptos" w:hAnsi="Aptos"/>
        </w:rPr>
        <w:t xml:space="preserve">: </w:t>
      </w:r>
    </w:p>
    <w:p w14:paraId="0076B78F" w14:textId="77777777" w:rsidR="007C6FF3" w:rsidRPr="003D4A5A" w:rsidRDefault="00416618">
      <w:pPr>
        <w:pStyle w:val="GHBodytext"/>
        <w:numPr>
          <w:ilvl w:val="0"/>
          <w:numId w:val="2"/>
        </w:numPr>
        <w:spacing w:before="120"/>
        <w:rPr>
          <w:rFonts w:ascii="Aptos" w:hAnsi="Aptos"/>
        </w:rPr>
      </w:pPr>
      <w:r w:rsidRPr="003D4A5A">
        <w:rPr>
          <w:rFonts w:ascii="Aptos" w:hAnsi="Aptos"/>
        </w:rPr>
        <w:t>ComEd Retail/Online programs (Residential Appliance Rebates and Marketplace 2.0)</w:t>
      </w:r>
    </w:p>
    <w:p w14:paraId="58C9F3F5" w14:textId="64C01673" w:rsidR="00CD6922" w:rsidRPr="003D4A5A" w:rsidRDefault="00CD6922" w:rsidP="001A6D01">
      <w:pPr>
        <w:pStyle w:val="GHBodytext"/>
        <w:numPr>
          <w:ilvl w:val="0"/>
          <w:numId w:val="2"/>
        </w:numPr>
        <w:spacing w:before="120"/>
        <w:rPr>
          <w:rFonts w:ascii="Aptos" w:hAnsi="Aptos"/>
        </w:rPr>
      </w:pPr>
      <w:r w:rsidRPr="003D4A5A">
        <w:rPr>
          <w:rFonts w:ascii="Aptos" w:hAnsi="Aptos"/>
        </w:rPr>
        <w:t>Nicor Gas Energy Savings Kits</w:t>
      </w:r>
      <w:r w:rsidR="00CD0DE6" w:rsidRPr="003D4A5A">
        <w:rPr>
          <w:rFonts w:ascii="Aptos" w:hAnsi="Aptos"/>
        </w:rPr>
        <w:t xml:space="preserve"> program</w:t>
      </w:r>
    </w:p>
    <w:p w14:paraId="1E668F1B" w14:textId="1933574D" w:rsidR="00D35253" w:rsidRPr="003D4A5A" w:rsidRDefault="00992797" w:rsidP="006B2218">
      <w:pPr>
        <w:pStyle w:val="GHBodytext"/>
        <w:spacing w:before="120"/>
        <w:rPr>
          <w:rFonts w:ascii="Aptos" w:hAnsi="Aptos"/>
        </w:rPr>
      </w:pPr>
      <w:r w:rsidRPr="003D4A5A">
        <w:rPr>
          <w:rFonts w:ascii="Aptos" w:hAnsi="Aptos"/>
        </w:rPr>
        <w:t xml:space="preserve">We plan to use the same approach for residential FR that we </w:t>
      </w:r>
      <w:r w:rsidR="00D12EBE" w:rsidRPr="003D4A5A">
        <w:rPr>
          <w:rFonts w:ascii="Aptos" w:hAnsi="Aptos"/>
        </w:rPr>
        <w:t>used in 2025</w:t>
      </w:r>
      <w:r w:rsidR="00C63BDC" w:rsidRPr="003D4A5A">
        <w:rPr>
          <w:rFonts w:ascii="Aptos" w:hAnsi="Aptos"/>
        </w:rPr>
        <w:t xml:space="preserve"> as </w:t>
      </w:r>
      <w:r w:rsidRPr="003D4A5A">
        <w:rPr>
          <w:rFonts w:ascii="Aptos" w:hAnsi="Aptos"/>
        </w:rPr>
        <w:t xml:space="preserve">outlined in our March 6, </w:t>
      </w:r>
      <w:proofErr w:type="gramStart"/>
      <w:r w:rsidRPr="003D4A5A">
        <w:rPr>
          <w:rFonts w:ascii="Aptos" w:hAnsi="Aptos"/>
        </w:rPr>
        <w:t>2025</w:t>
      </w:r>
      <w:proofErr w:type="gramEnd"/>
      <w:r w:rsidRPr="003D4A5A">
        <w:rPr>
          <w:rFonts w:ascii="Aptos" w:hAnsi="Aptos"/>
        </w:rPr>
        <w:t xml:space="preserve"> memo.</w:t>
      </w:r>
      <w:r w:rsidR="00A61023" w:rsidRPr="003D4A5A">
        <w:rPr>
          <w:rFonts w:ascii="Aptos" w:hAnsi="Aptos"/>
        </w:rPr>
        <w:t xml:space="preserve"> A description of the TRM algorithm</w:t>
      </w:r>
      <w:r w:rsidR="00C63BDC" w:rsidRPr="003D4A5A">
        <w:rPr>
          <w:rFonts w:ascii="Aptos" w:hAnsi="Aptos"/>
        </w:rPr>
        <w:t>s</w:t>
      </w:r>
      <w:r w:rsidR="00A61023" w:rsidRPr="003D4A5A">
        <w:rPr>
          <w:rFonts w:ascii="Aptos" w:hAnsi="Aptos"/>
        </w:rPr>
        <w:t xml:space="preserve"> and our proposed deviation</w:t>
      </w:r>
      <w:r w:rsidR="00C63BDC" w:rsidRPr="003D4A5A">
        <w:rPr>
          <w:rFonts w:ascii="Aptos" w:hAnsi="Aptos"/>
        </w:rPr>
        <w:t>s</w:t>
      </w:r>
      <w:r w:rsidR="00A61023" w:rsidRPr="003D4A5A">
        <w:rPr>
          <w:rFonts w:ascii="Aptos" w:hAnsi="Aptos"/>
        </w:rPr>
        <w:t xml:space="preserve"> follow</w:t>
      </w:r>
      <w:r w:rsidR="00CD0DE6" w:rsidRPr="003D4A5A">
        <w:rPr>
          <w:rFonts w:ascii="Aptos" w:hAnsi="Aptos"/>
        </w:rPr>
        <w:t>s</w:t>
      </w:r>
      <w:r w:rsidR="00A61023" w:rsidRPr="003D4A5A">
        <w:rPr>
          <w:rFonts w:ascii="Aptos" w:hAnsi="Aptos"/>
        </w:rPr>
        <w:t>.</w:t>
      </w:r>
    </w:p>
    <w:p w14:paraId="5C1CD60E" w14:textId="7C8B66C7" w:rsidR="00F76E96" w:rsidRPr="003D4A5A" w:rsidDel="00583670" w:rsidRDefault="00F76E96" w:rsidP="005D215B">
      <w:pPr>
        <w:pStyle w:val="Heading1"/>
        <w:rPr>
          <w:rFonts w:ascii="Aptos" w:hAnsi="Aptos"/>
        </w:rPr>
      </w:pPr>
      <w:r w:rsidRPr="003D4A5A" w:rsidDel="00583670">
        <w:rPr>
          <w:rFonts w:ascii="Aptos" w:hAnsi="Aptos"/>
        </w:rPr>
        <w:t xml:space="preserve">IL </w:t>
      </w:r>
      <w:r w:rsidR="00846386" w:rsidRPr="003D4A5A" w:rsidDel="00583670">
        <w:rPr>
          <w:rFonts w:ascii="Aptos" w:hAnsi="Aptos"/>
        </w:rPr>
        <w:t xml:space="preserve">Technical Reference Manual </w:t>
      </w:r>
      <w:r w:rsidRPr="003D4A5A" w:rsidDel="00583670">
        <w:rPr>
          <w:rFonts w:ascii="Aptos" w:hAnsi="Aptos"/>
        </w:rPr>
        <w:t>Residential Participant Free-Ridership Protocol</w:t>
      </w:r>
      <w:r w:rsidR="00C06A4E" w:rsidRPr="003D4A5A">
        <w:rPr>
          <w:rFonts w:ascii="Aptos" w:hAnsi="Aptos"/>
        </w:rPr>
        <w:t>s</w:t>
      </w:r>
    </w:p>
    <w:p w14:paraId="16865DD0" w14:textId="6E65F3EE" w:rsidR="00F56534" w:rsidRPr="003D4A5A" w:rsidRDefault="00F56534" w:rsidP="00F56534">
      <w:pPr>
        <w:pStyle w:val="GHBodytext"/>
        <w:spacing w:before="120"/>
        <w:rPr>
          <w:rFonts w:ascii="Aptos" w:hAnsi="Aptos"/>
        </w:rPr>
      </w:pPr>
      <w:r w:rsidRPr="003D4A5A">
        <w:rPr>
          <w:rFonts w:ascii="Aptos" w:hAnsi="Aptos"/>
        </w:rPr>
        <w:t>For the ComEd Retail/Online programs, Figure 1 illustrates the relevant free ridership algorithm in IL Technical Reference Manual (TRM) Version 14.0.</w:t>
      </w:r>
    </w:p>
    <w:p w14:paraId="78B1B938" w14:textId="77777777" w:rsidR="00D07B0C" w:rsidRPr="003D4A5A" w:rsidRDefault="00D07B0C" w:rsidP="00F76E96">
      <w:pPr>
        <w:pStyle w:val="GHBodytext"/>
        <w:spacing w:before="120"/>
        <w:rPr>
          <w:rFonts w:ascii="Aptos" w:hAnsi="Aptos"/>
        </w:rPr>
      </w:pPr>
    </w:p>
    <w:p w14:paraId="12BC9C8C" w14:textId="77777777" w:rsidR="00D07B0C" w:rsidRPr="003D4A5A" w:rsidRDefault="00D07B0C" w:rsidP="00F76E96">
      <w:pPr>
        <w:pStyle w:val="GHBodytext"/>
        <w:spacing w:before="120"/>
        <w:rPr>
          <w:rFonts w:ascii="Aptos" w:hAnsi="Aptos"/>
        </w:rPr>
      </w:pPr>
    </w:p>
    <w:p w14:paraId="4EC01C33" w14:textId="25F05538" w:rsidR="00AE5E56" w:rsidRPr="003D4A5A" w:rsidRDefault="00AE5E56" w:rsidP="00AE5E56">
      <w:pPr>
        <w:pStyle w:val="Caption"/>
      </w:pPr>
      <w:r w:rsidRPr="003D4A5A">
        <w:t xml:space="preserve">Figure </w:t>
      </w:r>
      <w:r w:rsidRPr="003D4A5A">
        <w:fldChar w:fldCharType="begin"/>
      </w:r>
      <w:r w:rsidRPr="003D4A5A">
        <w:instrText xml:space="preserve"> SEQ Figure \* ARABIC </w:instrText>
      </w:r>
      <w:r w:rsidRPr="003D4A5A">
        <w:fldChar w:fldCharType="separate"/>
      </w:r>
      <w:r w:rsidR="00B95633" w:rsidRPr="003D4A5A">
        <w:rPr>
          <w:noProof/>
        </w:rPr>
        <w:t>1</w:t>
      </w:r>
      <w:r w:rsidRPr="003D4A5A">
        <w:rPr>
          <w:noProof/>
        </w:rPr>
        <w:fldChar w:fldCharType="end"/>
      </w:r>
      <w:r w:rsidRPr="003D4A5A">
        <w:t>. IL TRM v14 Free Ridership Protocol for Residential Prescriptive Rebate (with No Audit)</w:t>
      </w:r>
    </w:p>
    <w:p w14:paraId="52E499D5" w14:textId="5AC15100" w:rsidR="00F76E96" w:rsidRPr="003D4A5A" w:rsidRDefault="00D508AF" w:rsidP="00C44D50">
      <w:r w:rsidRPr="003D4A5A">
        <w:rPr>
          <w:noProof/>
        </w:rPr>
        <w:drawing>
          <wp:inline distT="0" distB="0" distL="0" distR="0" wp14:anchorId="5DC16922" wp14:editId="7AFC5F6A">
            <wp:extent cx="6435354" cy="2877332"/>
            <wp:effectExtent l="0" t="0" r="3810" b="0"/>
            <wp:docPr id="188372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20096" name=""/>
                    <pic:cNvPicPr/>
                  </pic:nvPicPr>
                  <pic:blipFill rotWithShape="1">
                    <a:blip r:embed="rId11"/>
                    <a:srcRect t="11654"/>
                    <a:stretch>
                      <a:fillRect/>
                    </a:stretch>
                  </pic:blipFill>
                  <pic:spPr bwMode="auto">
                    <a:xfrm>
                      <a:off x="0" y="0"/>
                      <a:ext cx="6442583" cy="2880564"/>
                    </a:xfrm>
                    <a:prstGeom prst="rect">
                      <a:avLst/>
                    </a:prstGeom>
                    <a:ln>
                      <a:noFill/>
                    </a:ln>
                    <a:extLst>
                      <a:ext uri="{53640926-AAD7-44D8-BBD7-CCE9431645EC}">
                        <a14:shadowObscured xmlns:a14="http://schemas.microsoft.com/office/drawing/2010/main"/>
                      </a:ext>
                    </a:extLst>
                  </pic:spPr>
                </pic:pic>
              </a:graphicData>
            </a:graphic>
          </wp:inline>
        </w:drawing>
      </w:r>
    </w:p>
    <w:p w14:paraId="26EE63A9" w14:textId="2822BFAA" w:rsidR="00F76E96" w:rsidRPr="003D4A5A" w:rsidRDefault="00F76E96" w:rsidP="00F76E96">
      <w:pPr>
        <w:pStyle w:val="GHBodytext"/>
        <w:spacing w:before="120"/>
        <w:rPr>
          <w:rFonts w:ascii="Aptos" w:hAnsi="Aptos"/>
          <w:sz w:val="16"/>
          <w:szCs w:val="18"/>
        </w:rPr>
      </w:pPr>
      <w:r w:rsidRPr="003D4A5A">
        <w:rPr>
          <w:rFonts w:ascii="Aptos" w:hAnsi="Aptos"/>
          <w:sz w:val="16"/>
          <w:szCs w:val="18"/>
        </w:rPr>
        <w:t>Source: 202</w:t>
      </w:r>
      <w:r w:rsidR="008C5D44" w:rsidRPr="003D4A5A">
        <w:rPr>
          <w:rFonts w:ascii="Aptos" w:hAnsi="Aptos"/>
          <w:sz w:val="16"/>
          <w:szCs w:val="18"/>
        </w:rPr>
        <w:t>5</w:t>
      </w:r>
      <w:r w:rsidRPr="003D4A5A">
        <w:rPr>
          <w:rFonts w:ascii="Aptos" w:hAnsi="Aptos"/>
          <w:sz w:val="16"/>
          <w:szCs w:val="18"/>
        </w:rPr>
        <w:t xml:space="preserve"> Illinois Statewide Technical Reference Manual For Energy Efficiency. Version </w:t>
      </w:r>
      <w:r w:rsidR="004A0D51" w:rsidRPr="003D4A5A">
        <w:rPr>
          <w:rFonts w:ascii="Aptos" w:hAnsi="Aptos"/>
          <w:sz w:val="16"/>
          <w:szCs w:val="18"/>
        </w:rPr>
        <w:t>1</w:t>
      </w:r>
      <w:r w:rsidR="00877759" w:rsidRPr="003D4A5A">
        <w:rPr>
          <w:rFonts w:ascii="Aptos" w:hAnsi="Aptos"/>
          <w:sz w:val="16"/>
          <w:szCs w:val="18"/>
        </w:rPr>
        <w:t>4</w:t>
      </w:r>
      <w:r w:rsidRPr="003D4A5A">
        <w:rPr>
          <w:rFonts w:ascii="Aptos" w:hAnsi="Aptos"/>
          <w:sz w:val="16"/>
          <w:szCs w:val="18"/>
        </w:rPr>
        <w:t xml:space="preserve">.0, </w:t>
      </w:r>
      <w:r w:rsidR="00267EC2" w:rsidRPr="003D4A5A">
        <w:rPr>
          <w:rFonts w:ascii="Aptos" w:hAnsi="Aptos"/>
          <w:sz w:val="16"/>
          <w:szCs w:val="18"/>
        </w:rPr>
        <w:t>Figure 4-6</w:t>
      </w:r>
      <w:r w:rsidRPr="003D4A5A">
        <w:rPr>
          <w:rFonts w:ascii="Aptos" w:hAnsi="Aptos"/>
          <w:sz w:val="16"/>
          <w:szCs w:val="18"/>
        </w:rPr>
        <w:t>.</w:t>
      </w:r>
    </w:p>
    <w:p w14:paraId="34726641" w14:textId="77777777" w:rsidR="0063282A" w:rsidRPr="003D4A5A" w:rsidRDefault="0063282A" w:rsidP="00EC485E">
      <w:pPr>
        <w:rPr>
          <w:bCs/>
        </w:rPr>
      </w:pPr>
    </w:p>
    <w:p w14:paraId="6BA33F62" w14:textId="4E8298BE" w:rsidR="00EC485E" w:rsidRPr="003D4A5A" w:rsidRDefault="00EC485E" w:rsidP="00EC485E">
      <w:pPr>
        <w:rPr>
          <w:bCs/>
        </w:rPr>
      </w:pPr>
      <w:r w:rsidRPr="003D4A5A">
        <w:rPr>
          <w:bCs/>
        </w:rPr>
        <w:t>Figure 2 illustrates the relevant free ridership algorithm for the Energy Savings Kits program in the IL Technical Reference Manual (TRM) Version 14.0.</w:t>
      </w:r>
    </w:p>
    <w:p w14:paraId="7E67E547" w14:textId="59AF0342" w:rsidR="00AE5E56" w:rsidRPr="003D4A5A" w:rsidRDefault="00AE5E56" w:rsidP="00AE5E56">
      <w:pPr>
        <w:pStyle w:val="Caption"/>
      </w:pPr>
      <w:r w:rsidRPr="003D4A5A">
        <w:t xml:space="preserve">Figure </w:t>
      </w:r>
      <w:r w:rsidRPr="003D4A5A">
        <w:fldChar w:fldCharType="begin"/>
      </w:r>
      <w:r w:rsidRPr="003D4A5A">
        <w:instrText xml:space="preserve"> SEQ Figure \* ARABIC </w:instrText>
      </w:r>
      <w:r w:rsidRPr="003D4A5A">
        <w:fldChar w:fldCharType="separate"/>
      </w:r>
      <w:r w:rsidR="00B95633" w:rsidRPr="003D4A5A">
        <w:rPr>
          <w:noProof/>
        </w:rPr>
        <w:t>2</w:t>
      </w:r>
      <w:r w:rsidRPr="003D4A5A">
        <w:rPr>
          <w:noProof/>
        </w:rPr>
        <w:fldChar w:fldCharType="end"/>
      </w:r>
      <w:r w:rsidRPr="003D4A5A">
        <w:t xml:space="preserve">. </w:t>
      </w:r>
      <w:r w:rsidR="00FA666B" w:rsidRPr="003D4A5A">
        <w:t xml:space="preserve">IL TRM v14 Free Ridership Protocol </w:t>
      </w:r>
      <w:r w:rsidR="007670C4" w:rsidRPr="003D4A5A">
        <w:t xml:space="preserve">for </w:t>
      </w:r>
      <w:r w:rsidRPr="003D4A5A">
        <w:t>Energy Savings Kits</w:t>
      </w:r>
    </w:p>
    <w:p w14:paraId="6767A393" w14:textId="19957C39" w:rsidR="00B13904" w:rsidRPr="003D4A5A" w:rsidRDefault="00431204" w:rsidP="00F76E96">
      <w:pPr>
        <w:pStyle w:val="GHBodytext"/>
        <w:spacing w:before="120"/>
        <w:rPr>
          <w:rFonts w:ascii="Aptos" w:hAnsi="Aptos"/>
          <w:sz w:val="18"/>
          <w:szCs w:val="20"/>
        </w:rPr>
      </w:pPr>
      <w:r w:rsidRPr="003D4A5A">
        <w:rPr>
          <w:rFonts w:ascii="Aptos" w:hAnsi="Aptos"/>
          <w:noProof/>
          <w:sz w:val="18"/>
          <w:szCs w:val="20"/>
        </w:rPr>
        <w:drawing>
          <wp:inline distT="0" distB="0" distL="0" distR="0" wp14:anchorId="16CB5041" wp14:editId="48FDEC96">
            <wp:extent cx="5422638" cy="2117737"/>
            <wp:effectExtent l="0" t="0" r="6985" b="0"/>
            <wp:docPr id="71359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99335" name=""/>
                    <pic:cNvPicPr/>
                  </pic:nvPicPr>
                  <pic:blipFill rotWithShape="1">
                    <a:blip r:embed="rId12"/>
                    <a:srcRect b="5763"/>
                    <a:stretch>
                      <a:fillRect/>
                    </a:stretch>
                  </pic:blipFill>
                  <pic:spPr bwMode="auto">
                    <a:xfrm>
                      <a:off x="0" y="0"/>
                      <a:ext cx="5439483" cy="2124316"/>
                    </a:xfrm>
                    <a:prstGeom prst="rect">
                      <a:avLst/>
                    </a:prstGeom>
                    <a:ln>
                      <a:noFill/>
                    </a:ln>
                    <a:extLst>
                      <a:ext uri="{53640926-AAD7-44D8-BBD7-CCE9431645EC}">
                        <a14:shadowObscured xmlns:a14="http://schemas.microsoft.com/office/drawing/2010/main"/>
                      </a:ext>
                    </a:extLst>
                  </pic:spPr>
                </pic:pic>
              </a:graphicData>
            </a:graphic>
          </wp:inline>
        </w:drawing>
      </w:r>
    </w:p>
    <w:p w14:paraId="6631BB36" w14:textId="448AF1E7" w:rsidR="00B13904" w:rsidRPr="003D4A5A" w:rsidRDefault="00431204" w:rsidP="00F76E96">
      <w:pPr>
        <w:pStyle w:val="GHBodytext"/>
        <w:spacing w:before="120"/>
        <w:rPr>
          <w:rFonts w:ascii="Aptos" w:hAnsi="Aptos"/>
          <w:sz w:val="16"/>
          <w:szCs w:val="16"/>
        </w:rPr>
      </w:pPr>
      <w:r w:rsidRPr="003D4A5A">
        <w:rPr>
          <w:rFonts w:ascii="Aptos" w:hAnsi="Aptos"/>
          <w:sz w:val="16"/>
          <w:szCs w:val="16"/>
        </w:rPr>
        <w:t>Source: 2025 Illinois Statewide Technical Reference Manual For Energy Efficiency. Version 14.0, Figure 4-11.</w:t>
      </w:r>
    </w:p>
    <w:p w14:paraId="29BAF5BF" w14:textId="09C8B620" w:rsidR="006F42FE" w:rsidRPr="003D4A5A" w:rsidRDefault="006F42FE" w:rsidP="006F42FE">
      <w:pPr>
        <w:pStyle w:val="Heading1"/>
        <w:rPr>
          <w:rFonts w:ascii="Aptos" w:hAnsi="Aptos"/>
          <w:sz w:val="28"/>
          <w:szCs w:val="28"/>
        </w:rPr>
      </w:pPr>
      <w:r w:rsidRPr="003D4A5A">
        <w:rPr>
          <w:rFonts w:ascii="Aptos" w:hAnsi="Aptos"/>
          <w:sz w:val="28"/>
          <w:szCs w:val="28"/>
        </w:rPr>
        <w:t>Proposed Deviation:</w:t>
      </w:r>
    </w:p>
    <w:p w14:paraId="4CC56822" w14:textId="2CB9D89D" w:rsidR="0001240C" w:rsidRPr="003D4A5A" w:rsidRDefault="0001240C" w:rsidP="0001240C">
      <w:pPr>
        <w:pStyle w:val="GHBodytext"/>
        <w:rPr>
          <w:rFonts w:ascii="Aptos" w:hAnsi="Aptos"/>
          <w:szCs w:val="20"/>
        </w:rPr>
      </w:pPr>
      <w:r w:rsidRPr="003D4A5A">
        <w:rPr>
          <w:rFonts w:ascii="Aptos" w:hAnsi="Aptos"/>
        </w:rPr>
        <w:t>Guidehouse</w:t>
      </w:r>
      <w:r w:rsidR="00EE617D" w:rsidRPr="003D4A5A">
        <w:rPr>
          <w:rFonts w:ascii="Aptos" w:hAnsi="Aptos"/>
        </w:rPr>
        <w:t xml:space="preserve">’s deviation </w:t>
      </w:r>
      <w:r w:rsidR="00640550" w:rsidRPr="003D4A5A">
        <w:rPr>
          <w:rFonts w:ascii="Aptos" w:hAnsi="Aptos"/>
        </w:rPr>
        <w:t xml:space="preserve">is based on several modifications to the </w:t>
      </w:r>
      <w:r w:rsidRPr="003D4A5A">
        <w:rPr>
          <w:rFonts w:ascii="Aptos" w:hAnsi="Aptos"/>
        </w:rPr>
        <w:t>IL TRM Version 14.0 protocol</w:t>
      </w:r>
      <w:r w:rsidR="00640550" w:rsidRPr="003D4A5A">
        <w:rPr>
          <w:rFonts w:ascii="Aptos" w:hAnsi="Aptos"/>
        </w:rPr>
        <w:t>s</w:t>
      </w:r>
      <w:r w:rsidRPr="003D4A5A">
        <w:rPr>
          <w:rFonts w:ascii="Aptos" w:hAnsi="Aptos"/>
        </w:rPr>
        <w:t xml:space="preserve"> for estimating FR of residential programs. The modifications are </w:t>
      </w:r>
      <w:r w:rsidR="00B03349" w:rsidRPr="003D4A5A">
        <w:rPr>
          <w:rFonts w:ascii="Aptos" w:hAnsi="Aptos"/>
        </w:rPr>
        <w:t>generally</w:t>
      </w:r>
      <w:r w:rsidRPr="003D4A5A">
        <w:rPr>
          <w:rFonts w:ascii="Aptos" w:hAnsi="Aptos"/>
        </w:rPr>
        <w:t xml:space="preserve"> informed by improvements to the non-residential FR </w:t>
      </w:r>
      <w:r w:rsidRPr="003D4A5A">
        <w:rPr>
          <w:rFonts w:ascii="Aptos" w:hAnsi="Aptos"/>
          <w:szCs w:val="20"/>
        </w:rPr>
        <w:t xml:space="preserve">algorithm </w:t>
      </w:r>
      <w:r w:rsidR="00F13BD3" w:rsidRPr="003D4A5A">
        <w:rPr>
          <w:rFonts w:ascii="Aptos" w:hAnsi="Aptos"/>
          <w:szCs w:val="20"/>
        </w:rPr>
        <w:t xml:space="preserve">(which were deliberated in the IL NTG Working Group and updated in the TRM) </w:t>
      </w:r>
      <w:r w:rsidRPr="003D4A5A">
        <w:rPr>
          <w:rFonts w:ascii="Aptos" w:hAnsi="Aptos"/>
          <w:szCs w:val="20"/>
        </w:rPr>
        <w:t>that are analogous to the residential version.</w:t>
      </w:r>
    </w:p>
    <w:p w14:paraId="228E0DB1" w14:textId="06891CCA" w:rsidR="00396F84" w:rsidRPr="003D4A5A" w:rsidRDefault="00A8346B" w:rsidP="00DC3A41">
      <w:pPr>
        <w:pStyle w:val="GHBodytext"/>
        <w:rPr>
          <w:rFonts w:ascii="Aptos" w:hAnsi="Aptos"/>
          <w:szCs w:val="20"/>
        </w:rPr>
      </w:pPr>
      <w:r w:rsidRPr="003D4A5A">
        <w:rPr>
          <w:rFonts w:ascii="Aptos" w:hAnsi="Aptos"/>
          <w:szCs w:val="20"/>
        </w:rPr>
        <w:t xml:space="preserve">The deviations diverge from the TRM in how they calculate </w:t>
      </w:r>
      <w:r w:rsidR="006F6AA0" w:rsidRPr="003D4A5A">
        <w:rPr>
          <w:rFonts w:ascii="Aptos" w:hAnsi="Aptos"/>
          <w:szCs w:val="20"/>
        </w:rPr>
        <w:t xml:space="preserve">components of free ridership, Program Influence and a Counterfactual, </w:t>
      </w:r>
      <w:r w:rsidR="006E2408" w:rsidRPr="003D4A5A">
        <w:rPr>
          <w:rFonts w:ascii="Aptos" w:hAnsi="Aptos"/>
          <w:szCs w:val="20"/>
        </w:rPr>
        <w:t xml:space="preserve">and how they apply </w:t>
      </w:r>
      <w:r w:rsidR="00F70258" w:rsidRPr="003D4A5A">
        <w:rPr>
          <w:rFonts w:ascii="Aptos" w:hAnsi="Aptos"/>
          <w:szCs w:val="20"/>
        </w:rPr>
        <w:t>quantity</w:t>
      </w:r>
      <w:r w:rsidR="006E2408" w:rsidRPr="003D4A5A">
        <w:rPr>
          <w:rFonts w:ascii="Aptos" w:hAnsi="Aptos"/>
          <w:szCs w:val="20"/>
        </w:rPr>
        <w:t xml:space="preserve"> and </w:t>
      </w:r>
      <w:r w:rsidR="00F70258" w:rsidRPr="003D4A5A">
        <w:rPr>
          <w:rFonts w:ascii="Aptos" w:hAnsi="Aptos"/>
          <w:szCs w:val="20"/>
        </w:rPr>
        <w:t xml:space="preserve">timing </w:t>
      </w:r>
      <w:r w:rsidR="006E2408" w:rsidRPr="003D4A5A">
        <w:rPr>
          <w:rFonts w:ascii="Aptos" w:hAnsi="Aptos"/>
          <w:szCs w:val="20"/>
        </w:rPr>
        <w:t>adjustments.</w:t>
      </w:r>
    </w:p>
    <w:p w14:paraId="1139419D" w14:textId="77777777" w:rsidR="006E2408" w:rsidRPr="003D4A5A" w:rsidRDefault="006E2408" w:rsidP="00DC3A41">
      <w:pPr>
        <w:pStyle w:val="GHBodytext"/>
        <w:rPr>
          <w:rFonts w:ascii="Aptos" w:hAnsi="Aptos"/>
          <w:szCs w:val="20"/>
        </w:rPr>
      </w:pPr>
    </w:p>
    <w:p w14:paraId="1ECE04E0" w14:textId="3D7DFB36" w:rsidR="006E2408" w:rsidRPr="003D4A5A" w:rsidRDefault="006E2408" w:rsidP="006E2408">
      <w:pPr>
        <w:pStyle w:val="GHBodytext"/>
        <w:numPr>
          <w:ilvl w:val="0"/>
          <w:numId w:val="6"/>
        </w:numPr>
        <w:rPr>
          <w:rFonts w:ascii="Aptos" w:hAnsi="Aptos"/>
          <w:szCs w:val="20"/>
        </w:rPr>
      </w:pPr>
      <w:r w:rsidRPr="003D4A5A">
        <w:rPr>
          <w:rFonts w:ascii="Aptos" w:hAnsi="Aptos"/>
          <w:szCs w:val="20"/>
        </w:rPr>
        <w:t>Calculation of Program Influence</w:t>
      </w:r>
    </w:p>
    <w:p w14:paraId="545D4622" w14:textId="72695433" w:rsidR="006E2408" w:rsidRPr="003D4A5A" w:rsidRDefault="00B5255B" w:rsidP="006E2408">
      <w:pPr>
        <w:pStyle w:val="GHBodytext"/>
        <w:ind w:left="720"/>
        <w:rPr>
          <w:rFonts w:ascii="Aptos" w:hAnsi="Aptos"/>
          <w:szCs w:val="20"/>
        </w:rPr>
      </w:pPr>
      <w:r w:rsidRPr="003D4A5A">
        <w:rPr>
          <w:rFonts w:ascii="Aptos" w:hAnsi="Aptos"/>
          <w:szCs w:val="20"/>
        </w:rPr>
        <w:t>Instead of taking the maximum influence score among several program factors to determine a Program Influence score</w:t>
      </w:r>
      <w:r w:rsidR="00C4120B" w:rsidRPr="003D4A5A">
        <w:rPr>
          <w:rFonts w:ascii="Aptos" w:hAnsi="Aptos"/>
          <w:szCs w:val="20"/>
        </w:rPr>
        <w:t xml:space="preserve"> (as the </w:t>
      </w:r>
      <w:r w:rsidR="00442DC4" w:rsidRPr="003D4A5A">
        <w:rPr>
          <w:rFonts w:ascii="Aptos" w:hAnsi="Aptos"/>
          <w:szCs w:val="20"/>
        </w:rPr>
        <w:t xml:space="preserve">residential </w:t>
      </w:r>
      <w:r w:rsidR="00C4120B" w:rsidRPr="003D4A5A">
        <w:rPr>
          <w:rFonts w:ascii="Aptos" w:hAnsi="Aptos"/>
          <w:szCs w:val="20"/>
        </w:rPr>
        <w:t xml:space="preserve">TRM </w:t>
      </w:r>
      <w:r w:rsidR="00136579" w:rsidRPr="003D4A5A">
        <w:rPr>
          <w:rFonts w:ascii="Aptos" w:hAnsi="Aptos"/>
          <w:szCs w:val="20"/>
        </w:rPr>
        <w:t>algorithm does</w:t>
      </w:r>
      <w:r w:rsidR="00C4120B" w:rsidRPr="003D4A5A">
        <w:rPr>
          <w:rFonts w:ascii="Aptos" w:hAnsi="Aptos"/>
          <w:szCs w:val="20"/>
        </w:rPr>
        <w:t>), the deviation relies on a single direct question</w:t>
      </w:r>
      <w:r w:rsidR="001700F7" w:rsidRPr="003D4A5A">
        <w:rPr>
          <w:rFonts w:ascii="Aptos" w:hAnsi="Aptos"/>
          <w:szCs w:val="20"/>
        </w:rPr>
        <w:t xml:space="preserve"> about how influential the program was overall</w:t>
      </w:r>
      <w:r w:rsidR="0031780A" w:rsidRPr="003D4A5A">
        <w:rPr>
          <w:rFonts w:ascii="Aptos" w:hAnsi="Aptos"/>
          <w:szCs w:val="20"/>
        </w:rPr>
        <w:t xml:space="preserve"> (as the </w:t>
      </w:r>
      <w:r w:rsidR="00F243D7">
        <w:rPr>
          <w:rFonts w:ascii="Aptos" w:hAnsi="Aptos"/>
          <w:szCs w:val="20"/>
        </w:rPr>
        <w:t>non-residential</w:t>
      </w:r>
      <w:r w:rsidR="005121A2" w:rsidRPr="003D4A5A">
        <w:rPr>
          <w:rFonts w:ascii="Aptos" w:hAnsi="Aptos"/>
          <w:szCs w:val="20"/>
        </w:rPr>
        <w:t xml:space="preserve"> TRM algorithm does)</w:t>
      </w:r>
      <w:r w:rsidR="001700F7" w:rsidRPr="003D4A5A">
        <w:rPr>
          <w:rFonts w:ascii="Aptos" w:hAnsi="Aptos"/>
          <w:szCs w:val="20"/>
        </w:rPr>
        <w:t>.</w:t>
      </w:r>
      <w:r w:rsidR="00DE64EA" w:rsidRPr="003D4A5A">
        <w:rPr>
          <w:rFonts w:ascii="Aptos" w:hAnsi="Aptos"/>
          <w:szCs w:val="20"/>
        </w:rPr>
        <w:t xml:space="preserve"> (Note that for energy saving kit programs</w:t>
      </w:r>
      <w:r w:rsidR="00FC5269" w:rsidRPr="003D4A5A">
        <w:rPr>
          <w:rFonts w:ascii="Aptos" w:hAnsi="Aptos"/>
          <w:szCs w:val="20"/>
        </w:rPr>
        <w:t xml:space="preserve">, both TRM and deviation protocols exclude </w:t>
      </w:r>
      <w:r w:rsidR="00F70258" w:rsidRPr="003D4A5A">
        <w:rPr>
          <w:rFonts w:ascii="Aptos" w:hAnsi="Aptos"/>
          <w:szCs w:val="20"/>
        </w:rPr>
        <w:t>the component of Program Influence</w:t>
      </w:r>
      <w:r w:rsidR="00FC5269" w:rsidRPr="003D4A5A">
        <w:rPr>
          <w:rFonts w:ascii="Aptos" w:hAnsi="Aptos"/>
          <w:szCs w:val="20"/>
        </w:rPr>
        <w:t xml:space="preserve"> as it </w:t>
      </w:r>
      <w:r w:rsidR="00BE4696" w:rsidRPr="003D4A5A">
        <w:rPr>
          <w:rFonts w:ascii="Aptos" w:hAnsi="Aptos"/>
          <w:szCs w:val="20"/>
        </w:rPr>
        <w:t>is not applicable to free kit programs.)</w:t>
      </w:r>
    </w:p>
    <w:p w14:paraId="6B7CFF21" w14:textId="625C10E2" w:rsidR="001700F7" w:rsidRPr="003D4A5A" w:rsidRDefault="001700F7" w:rsidP="001700F7">
      <w:pPr>
        <w:pStyle w:val="GHBodytext"/>
        <w:numPr>
          <w:ilvl w:val="0"/>
          <w:numId w:val="6"/>
        </w:numPr>
        <w:rPr>
          <w:rFonts w:ascii="Aptos" w:hAnsi="Aptos"/>
          <w:szCs w:val="20"/>
        </w:rPr>
      </w:pPr>
      <w:r w:rsidRPr="003D4A5A">
        <w:rPr>
          <w:rFonts w:ascii="Aptos" w:hAnsi="Aptos"/>
          <w:szCs w:val="20"/>
        </w:rPr>
        <w:t>Counterfactual / No-Program Scenarios</w:t>
      </w:r>
    </w:p>
    <w:p w14:paraId="4C50A668" w14:textId="4970AE78" w:rsidR="001700F7" w:rsidRPr="003D4A5A" w:rsidRDefault="0016781C" w:rsidP="005F0164">
      <w:pPr>
        <w:pStyle w:val="GHBodytext"/>
        <w:ind w:left="720"/>
        <w:rPr>
          <w:rFonts w:ascii="Aptos" w:hAnsi="Aptos"/>
          <w:szCs w:val="20"/>
        </w:rPr>
      </w:pPr>
      <w:r w:rsidRPr="003D4A5A">
        <w:rPr>
          <w:rFonts w:ascii="Aptos" w:hAnsi="Aptos"/>
          <w:szCs w:val="20"/>
        </w:rPr>
        <w:t xml:space="preserve">Instead of relying on likelihood scales across three dimensions: timing, efficiency, and quantity (as the </w:t>
      </w:r>
      <w:r w:rsidR="00C06913" w:rsidRPr="003D4A5A">
        <w:rPr>
          <w:rFonts w:ascii="Aptos" w:hAnsi="Aptos"/>
          <w:szCs w:val="20"/>
        </w:rPr>
        <w:t xml:space="preserve">residential </w:t>
      </w:r>
      <w:r w:rsidRPr="003D4A5A">
        <w:rPr>
          <w:rFonts w:ascii="Aptos" w:hAnsi="Aptos"/>
          <w:szCs w:val="20"/>
        </w:rPr>
        <w:t xml:space="preserve">TRM </w:t>
      </w:r>
      <w:r w:rsidR="00136579" w:rsidRPr="003D4A5A">
        <w:rPr>
          <w:rFonts w:ascii="Aptos" w:hAnsi="Aptos"/>
          <w:szCs w:val="20"/>
        </w:rPr>
        <w:t>algorithm does</w:t>
      </w:r>
      <w:r w:rsidRPr="003D4A5A">
        <w:rPr>
          <w:rFonts w:ascii="Aptos" w:hAnsi="Aptos"/>
          <w:szCs w:val="20"/>
        </w:rPr>
        <w:t xml:space="preserve">), the </w:t>
      </w:r>
      <w:r w:rsidR="00136579" w:rsidRPr="003D4A5A">
        <w:rPr>
          <w:rFonts w:ascii="Aptos" w:hAnsi="Aptos"/>
          <w:szCs w:val="20"/>
        </w:rPr>
        <w:t>deviation employs a discrete decision tree. Participants</w:t>
      </w:r>
      <w:r w:rsidR="00F65AC0" w:rsidRPr="003D4A5A">
        <w:rPr>
          <w:rFonts w:ascii="Aptos" w:hAnsi="Aptos"/>
          <w:szCs w:val="20"/>
        </w:rPr>
        <w:t xml:space="preserve"> chose one of four specific action scenarios they would have taken</w:t>
      </w:r>
      <w:r w:rsidR="00685F67" w:rsidRPr="003D4A5A">
        <w:rPr>
          <w:rFonts w:ascii="Aptos" w:hAnsi="Aptos"/>
          <w:szCs w:val="20"/>
        </w:rPr>
        <w:t>. Depending on that choice, they are funneled into specific follow-up likelihood questions.</w:t>
      </w:r>
      <w:r w:rsidR="00264D90" w:rsidRPr="003D4A5A">
        <w:rPr>
          <w:rFonts w:ascii="Aptos" w:hAnsi="Aptos"/>
          <w:szCs w:val="20"/>
        </w:rPr>
        <w:t xml:space="preserve"> This is consistent in structure with the IL TRM non</w:t>
      </w:r>
      <w:r w:rsidR="00264D90" w:rsidRPr="003D4A5A">
        <w:rPr>
          <w:rFonts w:ascii="Cambria Math" w:hAnsi="Cambria Math" w:cs="Cambria Math"/>
          <w:szCs w:val="20"/>
        </w:rPr>
        <w:t>‑</w:t>
      </w:r>
      <w:r w:rsidR="00264D90" w:rsidRPr="003D4A5A">
        <w:rPr>
          <w:rFonts w:ascii="Aptos" w:hAnsi="Aptos"/>
          <w:szCs w:val="20"/>
        </w:rPr>
        <w:t>residential free</w:t>
      </w:r>
      <w:r w:rsidR="00264D90" w:rsidRPr="003D4A5A">
        <w:rPr>
          <w:rFonts w:ascii="Cambria Math" w:hAnsi="Cambria Math" w:cs="Cambria Math"/>
          <w:szCs w:val="20"/>
        </w:rPr>
        <w:t>‑</w:t>
      </w:r>
      <w:r w:rsidR="00264D90" w:rsidRPr="003D4A5A">
        <w:rPr>
          <w:rFonts w:ascii="Aptos" w:hAnsi="Aptos"/>
          <w:szCs w:val="20"/>
        </w:rPr>
        <w:t>ridership framework, though question wording is adapted for residential contexts.</w:t>
      </w:r>
    </w:p>
    <w:p w14:paraId="71181EA6" w14:textId="0620519F" w:rsidR="00BE4696" w:rsidRPr="003D4A5A" w:rsidRDefault="00FD08BE" w:rsidP="00BE4696">
      <w:pPr>
        <w:pStyle w:val="GHBodytext"/>
        <w:numPr>
          <w:ilvl w:val="0"/>
          <w:numId w:val="6"/>
        </w:numPr>
        <w:rPr>
          <w:rFonts w:ascii="Aptos" w:hAnsi="Aptos"/>
          <w:szCs w:val="20"/>
        </w:rPr>
      </w:pPr>
      <w:r w:rsidRPr="003D4A5A">
        <w:rPr>
          <w:rFonts w:ascii="Aptos" w:hAnsi="Aptos"/>
          <w:szCs w:val="20"/>
        </w:rPr>
        <w:t>Quantity and Timing</w:t>
      </w:r>
      <w:r w:rsidR="00BE4696" w:rsidRPr="003D4A5A">
        <w:rPr>
          <w:rFonts w:ascii="Aptos" w:hAnsi="Aptos"/>
          <w:szCs w:val="20"/>
        </w:rPr>
        <w:t xml:space="preserve"> Adjustments</w:t>
      </w:r>
      <w:r w:rsidR="0018437D" w:rsidRPr="003D4A5A">
        <w:rPr>
          <w:rFonts w:ascii="Aptos" w:hAnsi="Aptos"/>
          <w:szCs w:val="20"/>
        </w:rPr>
        <w:t xml:space="preserve"> (Q&amp;T)</w:t>
      </w:r>
    </w:p>
    <w:p w14:paraId="60C278AD" w14:textId="02E207D7" w:rsidR="00F6317C" w:rsidRPr="003D4A5A" w:rsidRDefault="00F6697A" w:rsidP="00F6317C">
      <w:pPr>
        <w:pStyle w:val="GHBodytext"/>
        <w:ind w:left="720"/>
        <w:rPr>
          <w:rFonts w:ascii="Aptos" w:hAnsi="Aptos"/>
          <w:szCs w:val="20"/>
        </w:rPr>
      </w:pPr>
      <w:r w:rsidRPr="003D4A5A">
        <w:rPr>
          <w:rFonts w:ascii="Aptos" w:hAnsi="Aptos"/>
          <w:szCs w:val="20"/>
        </w:rPr>
        <w:t xml:space="preserve">Instead of being treated as equal peers to </w:t>
      </w:r>
      <w:r w:rsidR="00F82499" w:rsidRPr="003D4A5A">
        <w:rPr>
          <w:rFonts w:ascii="Aptos" w:hAnsi="Aptos"/>
          <w:szCs w:val="20"/>
        </w:rPr>
        <w:t xml:space="preserve">efficiency, timing and quantity are final adjustments. </w:t>
      </w:r>
      <w:r w:rsidR="00570BC3" w:rsidRPr="003D4A5A">
        <w:rPr>
          <w:rFonts w:ascii="Aptos" w:hAnsi="Aptos"/>
          <w:szCs w:val="20"/>
        </w:rPr>
        <w:t xml:space="preserve">The deviation first calculates an Efficiency FR </w:t>
      </w:r>
      <w:r w:rsidR="00FD08BE" w:rsidRPr="003D4A5A">
        <w:rPr>
          <w:rFonts w:ascii="Aptos" w:hAnsi="Aptos"/>
          <w:szCs w:val="20"/>
        </w:rPr>
        <w:t>score and</w:t>
      </w:r>
      <w:r w:rsidR="00570BC3" w:rsidRPr="003D4A5A">
        <w:rPr>
          <w:rFonts w:ascii="Aptos" w:hAnsi="Aptos"/>
          <w:szCs w:val="20"/>
        </w:rPr>
        <w:t xml:space="preserve"> then applies </w:t>
      </w:r>
      <w:r w:rsidR="00AF68CA" w:rsidRPr="003D4A5A">
        <w:rPr>
          <w:rFonts w:ascii="Aptos" w:hAnsi="Aptos"/>
          <w:szCs w:val="20"/>
        </w:rPr>
        <w:t xml:space="preserve">a separate Q&amp;T adjustment. </w:t>
      </w:r>
      <w:r w:rsidR="00FD08BE" w:rsidRPr="003D4A5A">
        <w:rPr>
          <w:rFonts w:ascii="Aptos" w:hAnsi="Aptos"/>
          <w:szCs w:val="20"/>
        </w:rPr>
        <w:t>In addition, t</w:t>
      </w:r>
      <w:r w:rsidR="00AF68CA" w:rsidRPr="003D4A5A">
        <w:rPr>
          <w:rFonts w:ascii="Aptos" w:hAnsi="Aptos"/>
          <w:szCs w:val="20"/>
        </w:rPr>
        <w:t xml:space="preserve">he deviation </w:t>
      </w:r>
      <w:r w:rsidR="0010733E" w:rsidRPr="003D4A5A">
        <w:rPr>
          <w:rFonts w:ascii="Aptos" w:hAnsi="Aptos"/>
          <w:szCs w:val="20"/>
        </w:rPr>
        <w:t xml:space="preserve">approach is more granular in that it uses a formula based on the number of months </w:t>
      </w:r>
      <w:r w:rsidR="00482C7A" w:rsidRPr="003D4A5A">
        <w:rPr>
          <w:rFonts w:ascii="Aptos" w:hAnsi="Aptos"/>
          <w:szCs w:val="20"/>
        </w:rPr>
        <w:t xml:space="preserve">a purchase was expedited rather than a broader 0-10 likelihood scale </w:t>
      </w:r>
      <w:r w:rsidR="008F3D9E" w:rsidRPr="003D4A5A">
        <w:rPr>
          <w:rFonts w:ascii="Aptos" w:hAnsi="Aptos"/>
          <w:szCs w:val="20"/>
        </w:rPr>
        <w:t>for the 6- or 12-month window.</w:t>
      </w:r>
      <w:r w:rsidR="00FD08BE" w:rsidRPr="003D4A5A">
        <w:rPr>
          <w:rFonts w:ascii="Aptos" w:hAnsi="Aptos"/>
          <w:szCs w:val="20"/>
        </w:rPr>
        <w:t xml:space="preserve"> </w:t>
      </w:r>
      <w:r w:rsidR="00F6317C" w:rsidRPr="003D4A5A">
        <w:rPr>
          <w:rFonts w:ascii="Aptos" w:hAnsi="Aptos"/>
          <w:szCs w:val="20"/>
        </w:rPr>
        <w:t>This mirrors the sequencing used in the IL TRM non</w:t>
      </w:r>
      <w:r w:rsidR="00F6317C" w:rsidRPr="003D4A5A">
        <w:rPr>
          <w:rFonts w:ascii="Aptos" w:hAnsi="Aptos"/>
          <w:szCs w:val="20"/>
        </w:rPr>
        <w:noBreakHyphen/>
        <w:t>residential protocol.</w:t>
      </w:r>
    </w:p>
    <w:p w14:paraId="631B65F3" w14:textId="1F9C710C" w:rsidR="008F18FD" w:rsidRPr="003D4A5A" w:rsidRDefault="00FD08BE" w:rsidP="00F26EB3">
      <w:pPr>
        <w:pStyle w:val="GHBodytext"/>
        <w:ind w:left="720"/>
        <w:rPr>
          <w:rFonts w:ascii="Aptos" w:hAnsi="Aptos"/>
          <w:szCs w:val="20"/>
        </w:rPr>
      </w:pPr>
      <w:r w:rsidRPr="003D4A5A">
        <w:rPr>
          <w:rFonts w:ascii="Aptos" w:hAnsi="Aptos"/>
          <w:szCs w:val="20"/>
        </w:rPr>
        <w:t>(Note that the Q&amp;T</w:t>
      </w:r>
      <w:r w:rsidR="00AC6207" w:rsidRPr="003D4A5A">
        <w:rPr>
          <w:rFonts w:ascii="Aptos" w:hAnsi="Aptos"/>
          <w:szCs w:val="20"/>
        </w:rPr>
        <w:t xml:space="preserve"> Adjustment is a part of the deviation protocol for both </w:t>
      </w:r>
      <w:r w:rsidR="00450E48" w:rsidRPr="003D4A5A">
        <w:rPr>
          <w:rFonts w:ascii="Aptos" w:hAnsi="Aptos"/>
          <w:szCs w:val="20"/>
        </w:rPr>
        <w:t>Residential Prescriptive Rebate programs and Energy Saving Kits programs.</w:t>
      </w:r>
      <w:r w:rsidR="00F70258" w:rsidRPr="003D4A5A">
        <w:rPr>
          <w:rFonts w:ascii="Aptos" w:hAnsi="Aptos"/>
          <w:szCs w:val="20"/>
        </w:rPr>
        <w:t>)</w:t>
      </w:r>
    </w:p>
    <w:p w14:paraId="257D38AC" w14:textId="77777777" w:rsidR="00730129" w:rsidRPr="003D4A5A" w:rsidRDefault="00730129" w:rsidP="007C3C21">
      <w:pPr>
        <w:pStyle w:val="GHBodytext"/>
        <w:ind w:left="720"/>
        <w:rPr>
          <w:rFonts w:ascii="Aptos" w:hAnsi="Aptos"/>
        </w:rPr>
      </w:pPr>
    </w:p>
    <w:p w14:paraId="6F69F857" w14:textId="5ADBBA80" w:rsidR="00F26EB3" w:rsidRPr="003D4A5A" w:rsidRDefault="00F26EB3" w:rsidP="00F26EB3">
      <w:pPr>
        <w:rPr>
          <w:bCs/>
        </w:rPr>
      </w:pPr>
      <w:r w:rsidRPr="003D4A5A">
        <w:rPr>
          <w:bCs/>
        </w:rPr>
        <w:t>Figure 3 presents Guidehouse’s proposed free ridership protocol for Residential Rebate programs.</w:t>
      </w:r>
    </w:p>
    <w:p w14:paraId="38ED4CE0" w14:textId="075FE541" w:rsidR="00B95633" w:rsidRPr="003D4A5A" w:rsidRDefault="00B95633" w:rsidP="00B95633">
      <w:pPr>
        <w:pStyle w:val="Caption"/>
      </w:pPr>
      <w:r w:rsidRPr="003D4A5A">
        <w:t xml:space="preserve">Figure </w:t>
      </w:r>
      <w:r w:rsidRPr="003D4A5A">
        <w:fldChar w:fldCharType="begin"/>
      </w:r>
      <w:r w:rsidRPr="003D4A5A">
        <w:instrText xml:space="preserve"> SEQ Figure \* ARABIC </w:instrText>
      </w:r>
      <w:r w:rsidRPr="003D4A5A">
        <w:fldChar w:fldCharType="separate"/>
      </w:r>
      <w:r w:rsidRPr="003D4A5A">
        <w:rPr>
          <w:noProof/>
        </w:rPr>
        <w:t>3</w:t>
      </w:r>
      <w:r w:rsidRPr="003D4A5A">
        <w:fldChar w:fldCharType="end"/>
      </w:r>
      <w:r w:rsidRPr="003D4A5A">
        <w:t>. Proposed Free Ridership Protocol for Residential Rebate Programs</w:t>
      </w:r>
    </w:p>
    <w:p w14:paraId="595F16E2" w14:textId="7397EB7F" w:rsidR="00071D04" w:rsidRPr="003D4A5A" w:rsidRDefault="00CF148B" w:rsidP="0001240C">
      <w:pPr>
        <w:pStyle w:val="GHBodytext"/>
        <w:rPr>
          <w:rFonts w:ascii="Aptos" w:hAnsi="Aptos"/>
        </w:rPr>
      </w:pPr>
      <w:r w:rsidRPr="003D4A5A">
        <w:rPr>
          <w:rFonts w:ascii="Aptos" w:hAnsi="Aptos"/>
          <w:noProof/>
        </w:rPr>
        <w:drawing>
          <wp:inline distT="0" distB="0" distL="0" distR="0" wp14:anchorId="670D2570" wp14:editId="39085B12">
            <wp:extent cx="5445125" cy="2478058"/>
            <wp:effectExtent l="0" t="0" r="3175" b="0"/>
            <wp:docPr id="960079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b="4372"/>
                    <a:stretch>
                      <a:fillRect/>
                    </a:stretch>
                  </pic:blipFill>
                  <pic:spPr bwMode="auto">
                    <a:xfrm>
                      <a:off x="0" y="0"/>
                      <a:ext cx="5497092" cy="2501708"/>
                    </a:xfrm>
                    <a:prstGeom prst="rect">
                      <a:avLst/>
                    </a:prstGeom>
                    <a:noFill/>
                    <a:ln>
                      <a:noFill/>
                    </a:ln>
                    <a:extLst>
                      <a:ext uri="{53640926-AAD7-44D8-BBD7-CCE9431645EC}">
                        <a14:shadowObscured xmlns:a14="http://schemas.microsoft.com/office/drawing/2010/main"/>
                      </a:ext>
                    </a:extLst>
                  </pic:spPr>
                </pic:pic>
              </a:graphicData>
            </a:graphic>
          </wp:inline>
        </w:drawing>
      </w:r>
    </w:p>
    <w:p w14:paraId="6E8C99F5" w14:textId="79307DA7" w:rsidR="0042397F" w:rsidRPr="003D4A5A" w:rsidRDefault="0042397F" w:rsidP="0042397F">
      <w:pPr>
        <w:pStyle w:val="GHBodytext"/>
        <w:spacing w:before="120"/>
        <w:rPr>
          <w:rFonts w:ascii="Aptos" w:hAnsi="Aptos"/>
          <w:sz w:val="16"/>
          <w:szCs w:val="16"/>
        </w:rPr>
      </w:pPr>
      <w:r w:rsidRPr="003D4A5A">
        <w:rPr>
          <w:rFonts w:ascii="Aptos" w:hAnsi="Aptos"/>
          <w:sz w:val="16"/>
          <w:szCs w:val="16"/>
        </w:rPr>
        <w:t>Source: Guidehouse</w:t>
      </w:r>
    </w:p>
    <w:p w14:paraId="0E2EE75B" w14:textId="3E755D04" w:rsidR="00AE5E56" w:rsidRPr="003D4A5A" w:rsidRDefault="00AE5E56" w:rsidP="00E40261"/>
    <w:p w14:paraId="02F8DFC6" w14:textId="02DF37DD" w:rsidR="00F26EB3" w:rsidRPr="003D4A5A" w:rsidRDefault="00730129" w:rsidP="00F26EB3">
      <w:pPr>
        <w:rPr>
          <w:bCs/>
        </w:rPr>
      </w:pPr>
      <w:r w:rsidRPr="003D4A5A">
        <w:rPr>
          <w:bCs/>
        </w:rPr>
        <w:t>Figure 4 presents the corresponding proposed free ridership protocol for the Energy Savings Kits programs.</w:t>
      </w:r>
    </w:p>
    <w:p w14:paraId="0595385C" w14:textId="31079ACA" w:rsidR="00AE5E56" w:rsidRPr="003D4A5A" w:rsidRDefault="00AE5E56" w:rsidP="00AE5E56">
      <w:pPr>
        <w:pStyle w:val="Caption"/>
      </w:pPr>
      <w:r w:rsidRPr="003D4A5A">
        <w:t xml:space="preserve">Figure </w:t>
      </w:r>
      <w:r w:rsidRPr="003D4A5A">
        <w:fldChar w:fldCharType="begin"/>
      </w:r>
      <w:r w:rsidRPr="003D4A5A">
        <w:instrText xml:space="preserve"> SEQ Figure \* ARABIC </w:instrText>
      </w:r>
      <w:r w:rsidRPr="003D4A5A">
        <w:fldChar w:fldCharType="separate"/>
      </w:r>
      <w:r w:rsidR="00B95633" w:rsidRPr="003D4A5A">
        <w:rPr>
          <w:noProof/>
        </w:rPr>
        <w:t>4</w:t>
      </w:r>
      <w:r w:rsidRPr="003D4A5A">
        <w:rPr>
          <w:noProof/>
        </w:rPr>
        <w:fldChar w:fldCharType="end"/>
      </w:r>
      <w:r w:rsidRPr="003D4A5A">
        <w:t xml:space="preserve">. Proposed Free Ridership </w:t>
      </w:r>
      <w:r w:rsidR="00A060A0" w:rsidRPr="003D4A5A">
        <w:t>Protocol</w:t>
      </w:r>
      <w:r w:rsidRPr="003D4A5A">
        <w:t xml:space="preserve"> for Energy Saving Kits</w:t>
      </w:r>
      <w:r w:rsidR="00F70258" w:rsidRPr="003D4A5A">
        <w:t xml:space="preserve"> Programs</w:t>
      </w:r>
    </w:p>
    <w:p w14:paraId="401C7C6F" w14:textId="653B95DC" w:rsidR="00AE5E56" w:rsidRPr="003D4A5A" w:rsidRDefault="00561DCF" w:rsidP="00AE5E56">
      <w:pPr>
        <w:pStyle w:val="Caption"/>
      </w:pPr>
      <w:r w:rsidRPr="003D4A5A">
        <w:rPr>
          <w:noProof/>
        </w:rPr>
        <w:drawing>
          <wp:inline distT="0" distB="0" distL="0" distR="0" wp14:anchorId="67D7DDC0" wp14:editId="5D5197B0">
            <wp:extent cx="6460808" cy="1454882"/>
            <wp:effectExtent l="0" t="0" r="0" b="0"/>
            <wp:docPr id="2061949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b="10256"/>
                    <a:stretch>
                      <a:fillRect/>
                    </a:stretch>
                  </pic:blipFill>
                  <pic:spPr bwMode="auto">
                    <a:xfrm>
                      <a:off x="0" y="0"/>
                      <a:ext cx="6491240" cy="1461735"/>
                    </a:xfrm>
                    <a:prstGeom prst="rect">
                      <a:avLst/>
                    </a:prstGeom>
                    <a:noFill/>
                    <a:ln>
                      <a:noFill/>
                    </a:ln>
                    <a:extLst>
                      <a:ext uri="{53640926-AAD7-44D8-BBD7-CCE9431645EC}">
                        <a14:shadowObscured xmlns:a14="http://schemas.microsoft.com/office/drawing/2010/main"/>
                      </a:ext>
                    </a:extLst>
                  </pic:spPr>
                </pic:pic>
              </a:graphicData>
            </a:graphic>
          </wp:inline>
        </w:drawing>
      </w:r>
    </w:p>
    <w:p w14:paraId="441A5ABC" w14:textId="50C52C36" w:rsidR="0042397F" w:rsidRPr="003D4A5A" w:rsidRDefault="0042397F" w:rsidP="0042397F">
      <w:pPr>
        <w:pStyle w:val="GHBodytext"/>
        <w:spacing w:before="120"/>
        <w:rPr>
          <w:rFonts w:ascii="Aptos" w:hAnsi="Aptos"/>
          <w:sz w:val="16"/>
          <w:szCs w:val="16"/>
        </w:rPr>
      </w:pPr>
      <w:r w:rsidRPr="003D4A5A">
        <w:rPr>
          <w:rFonts w:ascii="Aptos" w:hAnsi="Aptos"/>
          <w:sz w:val="16"/>
          <w:szCs w:val="16"/>
        </w:rPr>
        <w:t>Source: Guidehouse</w:t>
      </w:r>
    </w:p>
    <w:p w14:paraId="42A85FD8" w14:textId="77777777" w:rsidR="00F26EB3" w:rsidRPr="003D4A5A" w:rsidRDefault="00F26EB3" w:rsidP="00F26EB3">
      <w:pPr>
        <w:rPr>
          <w:bCs/>
        </w:rPr>
      </w:pPr>
    </w:p>
    <w:p w14:paraId="31D21AAA" w14:textId="3D9BBD80" w:rsidR="001A6BB6" w:rsidRPr="003D4A5A" w:rsidRDefault="00A56D25" w:rsidP="001A6BB6">
      <w:r w:rsidRPr="003D4A5A">
        <w:t>Figure 5 outlines the proposed Quantity and Timing Adjustment methodology applied to both Residential Rebate and Energy Savings Kits programs.”</w:t>
      </w:r>
    </w:p>
    <w:p w14:paraId="6E64FF4F" w14:textId="08E3669A" w:rsidR="00AE5E56" w:rsidRPr="003D4A5A" w:rsidRDefault="00AE5E56" w:rsidP="00AE5E56">
      <w:pPr>
        <w:pStyle w:val="Caption"/>
      </w:pPr>
      <w:r w:rsidRPr="003D4A5A">
        <w:t xml:space="preserve">Figure </w:t>
      </w:r>
      <w:r w:rsidRPr="003D4A5A">
        <w:fldChar w:fldCharType="begin"/>
      </w:r>
      <w:r w:rsidRPr="003D4A5A">
        <w:instrText xml:space="preserve"> SEQ Figure \* ARABIC </w:instrText>
      </w:r>
      <w:r w:rsidRPr="003D4A5A">
        <w:fldChar w:fldCharType="separate"/>
      </w:r>
      <w:r w:rsidR="00B95633" w:rsidRPr="003D4A5A">
        <w:rPr>
          <w:noProof/>
        </w:rPr>
        <w:t>5</w:t>
      </w:r>
      <w:r w:rsidRPr="003D4A5A">
        <w:rPr>
          <w:noProof/>
        </w:rPr>
        <w:fldChar w:fldCharType="end"/>
      </w:r>
      <w:r w:rsidRPr="003D4A5A">
        <w:t xml:space="preserve">. </w:t>
      </w:r>
      <w:r w:rsidR="00137337" w:rsidRPr="003D4A5A">
        <w:t xml:space="preserve">Proposed </w:t>
      </w:r>
      <w:r w:rsidR="001D0B63" w:rsidRPr="003D4A5A">
        <w:t xml:space="preserve">Protocol for </w:t>
      </w:r>
      <w:r w:rsidRPr="003D4A5A">
        <w:t>Quantity and Timing Adjustment for Residential Rebate and Energy Saving Kits</w:t>
      </w:r>
      <w:r w:rsidR="00F70258" w:rsidRPr="003D4A5A">
        <w:t xml:space="preserve"> Programs</w:t>
      </w:r>
    </w:p>
    <w:p w14:paraId="0F147A8F" w14:textId="0474B041" w:rsidR="0085087E" w:rsidRPr="003D4A5A" w:rsidRDefault="00A92F85" w:rsidP="0085087E">
      <w:pPr>
        <w:pStyle w:val="GHBodytext"/>
        <w:keepNext/>
        <w:rPr>
          <w:rFonts w:ascii="Aptos" w:hAnsi="Aptos"/>
        </w:rPr>
      </w:pPr>
      <w:r w:rsidRPr="003D4A5A">
        <w:rPr>
          <w:rFonts w:ascii="Aptos" w:hAnsi="Aptos"/>
          <w:bCs w:val="0"/>
          <w:noProof/>
          <w:sz w:val="18"/>
          <w:szCs w:val="20"/>
        </w:rPr>
        <w:drawing>
          <wp:inline distT="0" distB="0" distL="0" distR="0" wp14:anchorId="62551420" wp14:editId="255B8AB3">
            <wp:extent cx="6502845" cy="2305878"/>
            <wp:effectExtent l="0" t="0" r="0" b="0"/>
            <wp:docPr id="694415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7859" cy="2314748"/>
                    </a:xfrm>
                    <a:prstGeom prst="rect">
                      <a:avLst/>
                    </a:prstGeom>
                    <a:noFill/>
                  </pic:spPr>
                </pic:pic>
              </a:graphicData>
            </a:graphic>
          </wp:inline>
        </w:drawing>
      </w:r>
    </w:p>
    <w:p w14:paraId="3299D3E3" w14:textId="77777777" w:rsidR="0042397F" w:rsidRPr="003D4A5A" w:rsidRDefault="0042397F" w:rsidP="0042397F">
      <w:pPr>
        <w:pStyle w:val="GHBodytext"/>
        <w:spacing w:before="120"/>
        <w:rPr>
          <w:rFonts w:ascii="Aptos" w:hAnsi="Aptos"/>
          <w:sz w:val="16"/>
          <w:szCs w:val="16"/>
        </w:rPr>
      </w:pPr>
      <w:r w:rsidRPr="003D4A5A">
        <w:rPr>
          <w:rFonts w:ascii="Aptos" w:hAnsi="Aptos"/>
          <w:sz w:val="16"/>
          <w:szCs w:val="16"/>
        </w:rPr>
        <w:t>Source: Guidehouse.</w:t>
      </w:r>
    </w:p>
    <w:p w14:paraId="31461C98" w14:textId="77777777" w:rsidR="00A92F85" w:rsidRPr="003D4A5A" w:rsidRDefault="00A92F85" w:rsidP="001E5DDF">
      <w:pPr>
        <w:pStyle w:val="GHBodytext"/>
        <w:rPr>
          <w:rFonts w:ascii="Aptos" w:hAnsi="Aptos"/>
          <w:sz w:val="18"/>
          <w:szCs w:val="20"/>
        </w:rPr>
      </w:pPr>
    </w:p>
    <w:p w14:paraId="3DDD4066" w14:textId="4A4DF2D0" w:rsidR="00313D36" w:rsidRPr="003D4A5A" w:rsidRDefault="00313D36" w:rsidP="00322499">
      <w:pPr>
        <w:pStyle w:val="GHBodytext"/>
        <w:rPr>
          <w:rFonts w:ascii="Aptos" w:hAnsi="Aptos"/>
        </w:rPr>
      </w:pPr>
    </w:p>
    <w:sectPr w:rsidR="00313D36" w:rsidRPr="003D4A5A" w:rsidSect="00E05712">
      <w:headerReference w:type="default"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B318" w14:textId="77777777" w:rsidR="00B75971" w:rsidRDefault="00B75971" w:rsidP="00CA0364">
      <w:pPr>
        <w:spacing w:before="0" w:after="0"/>
      </w:pPr>
      <w:r>
        <w:separator/>
      </w:r>
    </w:p>
  </w:endnote>
  <w:endnote w:type="continuationSeparator" w:id="0">
    <w:p w14:paraId="7129431A" w14:textId="77777777" w:rsidR="00B75971" w:rsidRDefault="00B75971" w:rsidP="00CA0364">
      <w:pPr>
        <w:spacing w:before="0" w:after="0"/>
      </w:pPr>
      <w:r>
        <w:continuationSeparator/>
      </w:r>
    </w:p>
  </w:endnote>
  <w:endnote w:type="continuationNotice" w:id="1">
    <w:p w14:paraId="3F403CC2" w14:textId="77777777" w:rsidR="00B75971" w:rsidRDefault="00B759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altName w:val="Arial"/>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77FE" w14:textId="6A8BAC8E" w:rsidR="002E2192" w:rsidRDefault="002E2192" w:rsidP="00D04344">
    <w:pPr>
      <w:pStyle w:val="GHFooterAddress"/>
    </w:pPr>
  </w:p>
  <w:p w14:paraId="46E20F3E" w14:textId="3BE43623" w:rsidR="00D04344" w:rsidRDefault="00C44C0C" w:rsidP="00D04344">
    <w:pPr>
      <w:pStyle w:val="GHFooterAddress"/>
    </w:pPr>
    <w:r>
      <w:t>167 N G</w:t>
    </w:r>
    <w:r w:rsidR="0050613F">
      <w:t xml:space="preserve">reen Street </w:t>
    </w:r>
  </w:p>
  <w:p w14:paraId="656BEB42" w14:textId="2E0EAF0E" w:rsidR="006C756C" w:rsidRDefault="00E41437" w:rsidP="00D04344">
    <w:pPr>
      <w:pStyle w:val="GHFooterAddress"/>
    </w:pPr>
    <w:r>
      <w:t xml:space="preserve">Floor 12 </w:t>
    </w:r>
    <w:r w:rsidR="00AF7A58">
      <w:t>| Chicago</w:t>
    </w:r>
    <w:r w:rsidR="005E0608">
      <w:t xml:space="preserve">, IL </w:t>
    </w:r>
    <w:r>
      <w:t>60607</w:t>
    </w:r>
  </w:p>
  <w:p w14:paraId="0A9DD5D7" w14:textId="5A0FEE51" w:rsidR="00C34449" w:rsidRDefault="00C34449" w:rsidP="00D04344">
    <w:pPr>
      <w:pStyle w:val="GHFooterAddress"/>
    </w:pPr>
    <w:r>
      <w:t>guidehouse.com</w:t>
    </w:r>
  </w:p>
  <w:p w14:paraId="4CA939BA" w14:textId="5E26B16B" w:rsidR="00D04344" w:rsidRDefault="00D04344" w:rsidP="00D04344">
    <w:pPr>
      <w:pStyle w:val="GHFooterAddress"/>
    </w:pPr>
    <w:r>
      <w:tab/>
    </w:r>
    <w:r w:rsidR="3C31687E" w:rsidRPr="00921FB8">
      <w:t xml:space="preserve"> </w:t>
    </w:r>
    <w:r w:rsidRPr="00921FB8">
      <w:t xml:space="preserve">Page </w:t>
    </w:r>
    <w:r w:rsidRPr="00921FB8">
      <w:fldChar w:fldCharType="begin"/>
    </w:r>
    <w:r w:rsidRPr="00921FB8">
      <w:instrText xml:space="preserve"> PAGE  \* Arabic  \* MERGEFORMAT </w:instrText>
    </w:r>
    <w:r w:rsidRPr="00921FB8">
      <w:fldChar w:fldCharType="separate"/>
    </w:r>
    <w:r>
      <w:t>1</w:t>
    </w:r>
    <w:r w:rsidRPr="00921FB8">
      <w:fldChar w:fldCharType="end"/>
    </w:r>
    <w:r w:rsidRPr="00921FB8">
      <w:t xml:space="preserve"> of </w:t>
    </w:r>
    <w:fldSimple w:instr="NUMPAGES  \* Arabic  \* MERGEFORMAT">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648C1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419"/>
    </w:tblGrid>
    <w:tr w:rsidR="006C5616" w:rsidRPr="004524A4" w14:paraId="37E3D099" w14:textId="77777777">
      <w:trPr>
        <w:trHeight w:val="841"/>
      </w:trPr>
      <w:tc>
        <w:tcPr>
          <w:tcW w:w="8931" w:type="dxa"/>
          <w:vAlign w:val="bottom"/>
        </w:tcPr>
        <w:p w14:paraId="5952C2F0" w14:textId="77777777" w:rsidR="001C47FA" w:rsidRPr="00ED26AD" w:rsidRDefault="001C47FA">
          <w:pPr>
            <w:rPr>
              <w:rFonts w:asciiTheme="minorHAnsi" w:hAnsiTheme="minorHAnsi" w:cstheme="minorHAnsi"/>
              <w:sz w:val="13"/>
              <w:szCs w:val="13"/>
            </w:rPr>
          </w:pPr>
          <w:r w:rsidRPr="00ED26AD">
            <w:rPr>
              <w:rFonts w:asciiTheme="minorHAnsi" w:hAnsiTheme="minorHAnsi" w:cstheme="minorHAnsi"/>
              <w:color w:val="000000" w:themeColor="text1"/>
              <w:sz w:val="13"/>
              <w:szCs w:val="13"/>
            </w:rPr>
            <w:t>©20</w:t>
          </w:r>
          <w:r>
            <w:rPr>
              <w:rFonts w:asciiTheme="minorHAnsi" w:hAnsiTheme="minorHAnsi" w:cstheme="minorHAnsi"/>
              <w:color w:val="000000" w:themeColor="text1"/>
              <w:sz w:val="13"/>
              <w:szCs w:val="13"/>
            </w:rPr>
            <w:t>21</w:t>
          </w:r>
          <w:r w:rsidRPr="00ED26AD">
            <w:rPr>
              <w:rFonts w:asciiTheme="minorHAnsi" w:hAnsiTheme="minorHAnsi" w:cstheme="minorHAnsi"/>
              <w:color w:val="000000" w:themeColor="text1"/>
              <w:sz w:val="13"/>
              <w:szCs w:val="13"/>
            </w:rPr>
            <w:t xml:space="preserve"> Guidehouse Inc. All rights reserved. Guidehouse Inc. f/k/a Navigant Consulting, Inc. (“Guidehouse” or “Navigant”) is not a certified public accounting or audit firm. Navigant does not provide audit, attest, or public accounting services. See navigant.com/about/legal for a complete listing of private investigator licenses. This publication is provided by Navigant for informational purposes only and does not constitute consulting services or tax or legal advice. This publication may be used only as expressly permitted by license from Navigant and may not otherwise be reproduced, recorded, photocopied, distributed, displayed, modified, extracted, accessed, or used without the express written permission of Navigant.</w:t>
          </w:r>
        </w:p>
      </w:tc>
      <w:tc>
        <w:tcPr>
          <w:tcW w:w="419" w:type="dxa"/>
          <w:vAlign w:val="center"/>
        </w:tcPr>
        <w:p w14:paraId="570D64E0" w14:textId="77777777" w:rsidR="001C47FA" w:rsidRPr="004524A4" w:rsidRDefault="00B75971">
          <w:pPr>
            <w:rPr>
              <w:rFonts w:ascii="Arial Narrow" w:hAnsi="Arial Narrow"/>
              <w:sz w:val="13"/>
              <w:szCs w:val="13"/>
            </w:rPr>
          </w:pPr>
          <w:sdt>
            <w:sdtPr>
              <w:rPr>
                <w:rFonts w:ascii="Arial Narrow" w:hAnsi="Arial Narrow"/>
                <w:sz w:val="13"/>
                <w:szCs w:val="13"/>
              </w:rPr>
              <w:id w:val="-80915887"/>
              <w:docPartObj>
                <w:docPartGallery w:val="Page Numbers (Bottom of Page)"/>
                <w:docPartUnique/>
              </w:docPartObj>
            </w:sdtPr>
            <w:sdtEndPr/>
            <w:sdtContent>
              <w:r w:rsidR="001C47FA" w:rsidRPr="00ED26AD">
                <w:rPr>
                  <w:rFonts w:asciiTheme="minorHAnsi" w:hAnsiTheme="minorHAnsi" w:cstheme="minorHAnsi"/>
                  <w:sz w:val="13"/>
                  <w:szCs w:val="13"/>
                </w:rPr>
                <w:fldChar w:fldCharType="begin"/>
              </w:r>
              <w:r w:rsidR="001C47FA" w:rsidRPr="00ED26AD">
                <w:rPr>
                  <w:rFonts w:asciiTheme="minorHAnsi" w:hAnsiTheme="minorHAnsi" w:cstheme="minorHAnsi"/>
                  <w:sz w:val="13"/>
                  <w:szCs w:val="13"/>
                </w:rPr>
                <w:instrText xml:space="preserve"> PAGE   \* MERGEFORMAT </w:instrText>
              </w:r>
              <w:r w:rsidR="001C47FA" w:rsidRPr="00ED26AD">
                <w:rPr>
                  <w:rFonts w:asciiTheme="minorHAnsi" w:hAnsiTheme="minorHAnsi" w:cstheme="minorHAnsi"/>
                  <w:sz w:val="13"/>
                  <w:szCs w:val="13"/>
                </w:rPr>
                <w:fldChar w:fldCharType="separate"/>
              </w:r>
              <w:r w:rsidR="001C47FA" w:rsidRPr="00ED26AD">
                <w:rPr>
                  <w:rFonts w:asciiTheme="minorHAnsi" w:hAnsiTheme="minorHAnsi" w:cstheme="minorHAnsi"/>
                  <w:noProof/>
                  <w:sz w:val="13"/>
                  <w:szCs w:val="13"/>
                </w:rPr>
                <w:t>2</w:t>
              </w:r>
              <w:r w:rsidR="001C47FA" w:rsidRPr="00ED26AD">
                <w:rPr>
                  <w:rFonts w:asciiTheme="minorHAnsi" w:hAnsiTheme="minorHAnsi" w:cstheme="minorHAnsi"/>
                  <w:sz w:val="13"/>
                  <w:szCs w:val="13"/>
                </w:rPr>
                <w:fldChar w:fldCharType="end"/>
              </w:r>
            </w:sdtContent>
          </w:sdt>
        </w:p>
      </w:tc>
    </w:tr>
  </w:tbl>
  <w:p w14:paraId="39C654A6" w14:textId="77777777" w:rsidR="001C47FA" w:rsidRPr="0009290F" w:rsidRDefault="001C47FA">
    <w:pPr>
      <w:spacing w:befor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C4B6" w14:textId="77777777" w:rsidR="00B75971" w:rsidRDefault="00B75971" w:rsidP="00CA0364">
      <w:pPr>
        <w:spacing w:before="0" w:after="0"/>
      </w:pPr>
      <w:r>
        <w:separator/>
      </w:r>
    </w:p>
  </w:footnote>
  <w:footnote w:type="continuationSeparator" w:id="0">
    <w:p w14:paraId="10B161CD" w14:textId="77777777" w:rsidR="00B75971" w:rsidRDefault="00B75971" w:rsidP="00CA0364">
      <w:pPr>
        <w:spacing w:before="0" w:after="0"/>
      </w:pPr>
      <w:r>
        <w:continuationSeparator/>
      </w:r>
    </w:p>
  </w:footnote>
  <w:footnote w:type="continuationNotice" w:id="1">
    <w:p w14:paraId="5BE356A1" w14:textId="77777777" w:rsidR="00B75971" w:rsidRDefault="00B7597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5F23" w14:textId="77777777" w:rsidR="001C47FA" w:rsidRDefault="00D04344" w:rsidP="005D7E25">
    <w:pPr>
      <w:pStyle w:val="Header"/>
      <w:rPr>
        <w:rFonts w:eastAsia="Times New Roman" w:cs="Times New Roman"/>
        <w:color w:val="545759"/>
        <w:szCs w:val="20"/>
        <w:lang w:val="en-GB"/>
      </w:rPr>
    </w:pPr>
    <w:bookmarkStart w:id="0" w:name="_Hlk68205109"/>
    <w:r w:rsidRPr="00E625C0">
      <w:rPr>
        <w:noProof/>
      </w:rPr>
      <w:drawing>
        <wp:inline distT="0" distB="0" distL="0" distR="0" wp14:anchorId="0F55B936" wp14:editId="66AF0137">
          <wp:extent cx="2052430" cy="539496"/>
          <wp:effectExtent l="0" t="0" r="5080" b="0"/>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pic:cNvPicPr/>
                </pic:nvPicPr>
                <pic:blipFill>
                  <a:blip r:embed="rId1"/>
                  <a:stretch>
                    <a:fillRect/>
                  </a:stretch>
                </pic:blipFill>
                <pic:spPr>
                  <a:xfrm>
                    <a:off x="0" y="0"/>
                    <a:ext cx="2052430" cy="539496"/>
                  </a:xfrm>
                  <a:prstGeom prst="rect">
                    <a:avLst/>
                  </a:prstGeom>
                </pic:spPr>
              </pic:pic>
            </a:graphicData>
          </a:graphic>
        </wp:inline>
      </w:drawing>
    </w:r>
  </w:p>
  <w:p w14:paraId="4D94D60C" w14:textId="77777777" w:rsidR="001C47FA" w:rsidRPr="005D7E25" w:rsidRDefault="001C47FA" w:rsidP="005D7E25">
    <w:pPr>
      <w:pStyle w:val="Header"/>
      <w:rPr>
        <w:rFonts w:eastAsia="Times New Roman" w:cs="Times New Roman"/>
        <w:color w:val="545759"/>
        <w:szCs w:val="20"/>
        <w:lang w:val="en-GB"/>
      </w:rPr>
    </w:pP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DAD7" w14:textId="77777777" w:rsidR="001C47FA" w:rsidRDefault="001C47FA">
    <w:pPr>
      <w:tabs>
        <w:tab w:val="center" w:pos="4320"/>
        <w:tab w:val="left" w:pos="6760"/>
        <w:tab w:val="right" w:pos="8640"/>
        <w:tab w:val="right" w:pos="9360"/>
      </w:tabs>
      <w:spacing w:before="0" w:after="0"/>
      <w:rPr>
        <w:rFonts w:eastAsia="Times New Roman" w:cs="Times New Roman"/>
        <w:color w:val="545759"/>
        <w:szCs w:val="20"/>
        <w:lang w:val="en-GB"/>
      </w:rPr>
    </w:pPr>
    <w:r>
      <w:rPr>
        <w:noProof/>
      </w:rPr>
      <w:drawing>
        <wp:inline distT="0" distB="0" distL="0" distR="0" wp14:anchorId="62CE8873" wp14:editId="28558C14">
          <wp:extent cx="1562100" cy="396240"/>
          <wp:effectExtent l="0" t="0" r="0" b="3810"/>
          <wp:docPr id="1685771766" name="Graphic 168577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62100" cy="396240"/>
                  </a:xfrm>
                  <a:prstGeom prst="rect">
                    <a:avLst/>
                  </a:prstGeom>
                </pic:spPr>
              </pic:pic>
            </a:graphicData>
          </a:graphic>
        </wp:inline>
      </w:drawing>
    </w:r>
  </w:p>
  <w:p w14:paraId="1DE821C8" w14:textId="77777777" w:rsidR="001C47FA" w:rsidRPr="009A3069" w:rsidRDefault="001C47FA">
    <w:proofErr w:type="spellStart"/>
    <w:r w:rsidRPr="009A3069">
      <w:t>Firstname</w:t>
    </w:r>
    <w:proofErr w:type="spellEnd"/>
    <w:r w:rsidRPr="009A3069">
      <w:t xml:space="preserve"> </w:t>
    </w:r>
    <w:r w:rsidRPr="00D06DF3">
      <w:t>Lastname</w:t>
    </w:r>
    <w:r w:rsidRPr="009A3069">
      <w:t>, Credentials</w:t>
    </w:r>
  </w:p>
  <w:p w14:paraId="6D64A78E" w14:textId="77777777" w:rsidR="001C47FA" w:rsidRPr="009F18DB" w:rsidRDefault="001C47FA">
    <w:pPr>
      <w:rPr>
        <w:rFonts w:cs="Times New Roman"/>
        <w:color w:val="545759"/>
        <w:szCs w:val="20"/>
        <w:lang w:val="en-GB"/>
      </w:rPr>
    </w:pPr>
    <w:r w:rsidRPr="00D06DF3">
      <w:rPr>
        <w:b/>
      </w:rPr>
      <w:t>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38B"/>
    <w:multiLevelType w:val="hybridMultilevel"/>
    <w:tmpl w:val="EBE8A1CC"/>
    <w:lvl w:ilvl="0" w:tplc="7F02F752">
      <w:start w:val="1"/>
      <w:numFmt w:val="decimal"/>
      <w:lvlText w:val="%1."/>
      <w:lvlJc w:val="left"/>
      <w:pPr>
        <w:ind w:left="1020" w:hanging="360"/>
      </w:pPr>
    </w:lvl>
    <w:lvl w:ilvl="1" w:tplc="A3B28E9A">
      <w:start w:val="1"/>
      <w:numFmt w:val="decimal"/>
      <w:lvlText w:val="%2."/>
      <w:lvlJc w:val="left"/>
      <w:pPr>
        <w:ind w:left="1020" w:hanging="360"/>
      </w:pPr>
    </w:lvl>
    <w:lvl w:ilvl="2" w:tplc="2D5A27B6">
      <w:start w:val="1"/>
      <w:numFmt w:val="decimal"/>
      <w:lvlText w:val="%3."/>
      <w:lvlJc w:val="left"/>
      <w:pPr>
        <w:ind w:left="1020" w:hanging="360"/>
      </w:pPr>
    </w:lvl>
    <w:lvl w:ilvl="3" w:tplc="D806E392">
      <w:start w:val="1"/>
      <w:numFmt w:val="decimal"/>
      <w:lvlText w:val="%4."/>
      <w:lvlJc w:val="left"/>
      <w:pPr>
        <w:ind w:left="1020" w:hanging="360"/>
      </w:pPr>
    </w:lvl>
    <w:lvl w:ilvl="4" w:tplc="0D98F906">
      <w:start w:val="1"/>
      <w:numFmt w:val="decimal"/>
      <w:lvlText w:val="%5."/>
      <w:lvlJc w:val="left"/>
      <w:pPr>
        <w:ind w:left="1020" w:hanging="360"/>
      </w:pPr>
    </w:lvl>
    <w:lvl w:ilvl="5" w:tplc="DC1251DE">
      <w:start w:val="1"/>
      <w:numFmt w:val="decimal"/>
      <w:lvlText w:val="%6."/>
      <w:lvlJc w:val="left"/>
      <w:pPr>
        <w:ind w:left="1020" w:hanging="360"/>
      </w:pPr>
    </w:lvl>
    <w:lvl w:ilvl="6" w:tplc="1ECE194C">
      <w:start w:val="1"/>
      <w:numFmt w:val="decimal"/>
      <w:lvlText w:val="%7."/>
      <w:lvlJc w:val="left"/>
      <w:pPr>
        <w:ind w:left="1020" w:hanging="360"/>
      </w:pPr>
    </w:lvl>
    <w:lvl w:ilvl="7" w:tplc="C8DC1D82">
      <w:start w:val="1"/>
      <w:numFmt w:val="decimal"/>
      <w:lvlText w:val="%8."/>
      <w:lvlJc w:val="left"/>
      <w:pPr>
        <w:ind w:left="1020" w:hanging="360"/>
      </w:pPr>
    </w:lvl>
    <w:lvl w:ilvl="8" w:tplc="550E7F28">
      <w:start w:val="1"/>
      <w:numFmt w:val="decimal"/>
      <w:lvlText w:val="%9."/>
      <w:lvlJc w:val="left"/>
      <w:pPr>
        <w:ind w:left="1020" w:hanging="360"/>
      </w:pPr>
    </w:lvl>
  </w:abstractNum>
  <w:abstractNum w:abstractNumId="1" w15:restartNumberingAfterBreak="0">
    <w:nsid w:val="3EC42ADB"/>
    <w:multiLevelType w:val="hybridMultilevel"/>
    <w:tmpl w:val="A198F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85AA9"/>
    <w:multiLevelType w:val="hybridMultilevel"/>
    <w:tmpl w:val="B4C2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F16FE"/>
    <w:multiLevelType w:val="hybridMultilevel"/>
    <w:tmpl w:val="77F09F26"/>
    <w:lvl w:ilvl="0" w:tplc="F404DF42">
      <w:start w:val="1"/>
      <w:numFmt w:val="bullet"/>
      <w:lvlText w:val="•"/>
      <w:lvlJc w:val="left"/>
      <w:pPr>
        <w:tabs>
          <w:tab w:val="num" w:pos="720"/>
        </w:tabs>
        <w:ind w:left="720" w:hanging="360"/>
      </w:pPr>
      <w:rPr>
        <w:rFonts w:ascii="Arial" w:hAnsi="Arial" w:hint="default"/>
      </w:rPr>
    </w:lvl>
    <w:lvl w:ilvl="1" w:tplc="A9244E22" w:tentative="1">
      <w:start w:val="1"/>
      <w:numFmt w:val="bullet"/>
      <w:lvlText w:val="•"/>
      <w:lvlJc w:val="left"/>
      <w:pPr>
        <w:tabs>
          <w:tab w:val="num" w:pos="1440"/>
        </w:tabs>
        <w:ind w:left="1440" w:hanging="360"/>
      </w:pPr>
      <w:rPr>
        <w:rFonts w:ascii="Arial" w:hAnsi="Arial" w:hint="default"/>
      </w:rPr>
    </w:lvl>
    <w:lvl w:ilvl="2" w:tplc="01B48F16" w:tentative="1">
      <w:start w:val="1"/>
      <w:numFmt w:val="bullet"/>
      <w:lvlText w:val="•"/>
      <w:lvlJc w:val="left"/>
      <w:pPr>
        <w:tabs>
          <w:tab w:val="num" w:pos="2160"/>
        </w:tabs>
        <w:ind w:left="2160" w:hanging="360"/>
      </w:pPr>
      <w:rPr>
        <w:rFonts w:ascii="Arial" w:hAnsi="Arial" w:hint="default"/>
      </w:rPr>
    </w:lvl>
    <w:lvl w:ilvl="3" w:tplc="D118430C" w:tentative="1">
      <w:start w:val="1"/>
      <w:numFmt w:val="bullet"/>
      <w:lvlText w:val="•"/>
      <w:lvlJc w:val="left"/>
      <w:pPr>
        <w:tabs>
          <w:tab w:val="num" w:pos="2880"/>
        </w:tabs>
        <w:ind w:left="2880" w:hanging="360"/>
      </w:pPr>
      <w:rPr>
        <w:rFonts w:ascii="Arial" w:hAnsi="Arial" w:hint="default"/>
      </w:rPr>
    </w:lvl>
    <w:lvl w:ilvl="4" w:tplc="B3321892" w:tentative="1">
      <w:start w:val="1"/>
      <w:numFmt w:val="bullet"/>
      <w:lvlText w:val="•"/>
      <w:lvlJc w:val="left"/>
      <w:pPr>
        <w:tabs>
          <w:tab w:val="num" w:pos="3600"/>
        </w:tabs>
        <w:ind w:left="3600" w:hanging="360"/>
      </w:pPr>
      <w:rPr>
        <w:rFonts w:ascii="Arial" w:hAnsi="Arial" w:hint="default"/>
      </w:rPr>
    </w:lvl>
    <w:lvl w:ilvl="5" w:tplc="07465E38" w:tentative="1">
      <w:start w:val="1"/>
      <w:numFmt w:val="bullet"/>
      <w:lvlText w:val="•"/>
      <w:lvlJc w:val="left"/>
      <w:pPr>
        <w:tabs>
          <w:tab w:val="num" w:pos="4320"/>
        </w:tabs>
        <w:ind w:left="4320" w:hanging="360"/>
      </w:pPr>
      <w:rPr>
        <w:rFonts w:ascii="Arial" w:hAnsi="Arial" w:hint="default"/>
      </w:rPr>
    </w:lvl>
    <w:lvl w:ilvl="6" w:tplc="DD1AE76E" w:tentative="1">
      <w:start w:val="1"/>
      <w:numFmt w:val="bullet"/>
      <w:lvlText w:val="•"/>
      <w:lvlJc w:val="left"/>
      <w:pPr>
        <w:tabs>
          <w:tab w:val="num" w:pos="5040"/>
        </w:tabs>
        <w:ind w:left="5040" w:hanging="360"/>
      </w:pPr>
      <w:rPr>
        <w:rFonts w:ascii="Arial" w:hAnsi="Arial" w:hint="default"/>
      </w:rPr>
    </w:lvl>
    <w:lvl w:ilvl="7" w:tplc="FA7AA002" w:tentative="1">
      <w:start w:val="1"/>
      <w:numFmt w:val="bullet"/>
      <w:lvlText w:val="•"/>
      <w:lvlJc w:val="left"/>
      <w:pPr>
        <w:tabs>
          <w:tab w:val="num" w:pos="5760"/>
        </w:tabs>
        <w:ind w:left="5760" w:hanging="360"/>
      </w:pPr>
      <w:rPr>
        <w:rFonts w:ascii="Arial" w:hAnsi="Arial" w:hint="default"/>
      </w:rPr>
    </w:lvl>
    <w:lvl w:ilvl="8" w:tplc="F6F6E5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A5E685A"/>
    <w:multiLevelType w:val="hybridMultilevel"/>
    <w:tmpl w:val="02FCFE8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 w15:restartNumberingAfterBreak="0">
    <w:nsid w:val="70C4517F"/>
    <w:multiLevelType w:val="hybridMultilevel"/>
    <w:tmpl w:val="465EF5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217321">
    <w:abstractNumId w:val="5"/>
  </w:num>
  <w:num w:numId="2" w16cid:durableId="2117020052">
    <w:abstractNumId w:val="2"/>
  </w:num>
  <w:num w:numId="3" w16cid:durableId="1136684932">
    <w:abstractNumId w:val="4"/>
  </w:num>
  <w:num w:numId="4" w16cid:durableId="500195442">
    <w:abstractNumId w:val="3"/>
  </w:num>
  <w:num w:numId="5" w16cid:durableId="1511480809">
    <w:abstractNumId w:val="0"/>
  </w:num>
  <w:num w:numId="6" w16cid:durableId="465661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B3"/>
    <w:rsid w:val="00004C42"/>
    <w:rsid w:val="00006718"/>
    <w:rsid w:val="000073B3"/>
    <w:rsid w:val="00011AEE"/>
    <w:rsid w:val="0001240C"/>
    <w:rsid w:val="0001241F"/>
    <w:rsid w:val="00014FC0"/>
    <w:rsid w:val="0002037F"/>
    <w:rsid w:val="00022769"/>
    <w:rsid w:val="00023984"/>
    <w:rsid w:val="000256B7"/>
    <w:rsid w:val="00027F1B"/>
    <w:rsid w:val="00032A22"/>
    <w:rsid w:val="00032EB2"/>
    <w:rsid w:val="00033985"/>
    <w:rsid w:val="0003478F"/>
    <w:rsid w:val="00036BB3"/>
    <w:rsid w:val="00037233"/>
    <w:rsid w:val="00037996"/>
    <w:rsid w:val="00041EE5"/>
    <w:rsid w:val="00042F69"/>
    <w:rsid w:val="00045FBD"/>
    <w:rsid w:val="00046326"/>
    <w:rsid w:val="00047A2D"/>
    <w:rsid w:val="000538A2"/>
    <w:rsid w:val="00053E7E"/>
    <w:rsid w:val="00055016"/>
    <w:rsid w:val="00061DA8"/>
    <w:rsid w:val="00063C2A"/>
    <w:rsid w:val="0006639D"/>
    <w:rsid w:val="00067005"/>
    <w:rsid w:val="0006721F"/>
    <w:rsid w:val="00071B42"/>
    <w:rsid w:val="00071D04"/>
    <w:rsid w:val="00072B7A"/>
    <w:rsid w:val="00075919"/>
    <w:rsid w:val="00081D71"/>
    <w:rsid w:val="00082C67"/>
    <w:rsid w:val="000838BC"/>
    <w:rsid w:val="00083FF4"/>
    <w:rsid w:val="00087CA8"/>
    <w:rsid w:val="00092042"/>
    <w:rsid w:val="00092148"/>
    <w:rsid w:val="000922A7"/>
    <w:rsid w:val="000947E2"/>
    <w:rsid w:val="00094C4C"/>
    <w:rsid w:val="000955DA"/>
    <w:rsid w:val="000A08BF"/>
    <w:rsid w:val="000A1054"/>
    <w:rsid w:val="000A117E"/>
    <w:rsid w:val="000A1743"/>
    <w:rsid w:val="000A28DB"/>
    <w:rsid w:val="000A53BE"/>
    <w:rsid w:val="000A62B5"/>
    <w:rsid w:val="000A653A"/>
    <w:rsid w:val="000A709A"/>
    <w:rsid w:val="000A7950"/>
    <w:rsid w:val="000B0413"/>
    <w:rsid w:val="000B079A"/>
    <w:rsid w:val="000B2649"/>
    <w:rsid w:val="000B2BE4"/>
    <w:rsid w:val="000B3C76"/>
    <w:rsid w:val="000B45BA"/>
    <w:rsid w:val="000B4B60"/>
    <w:rsid w:val="000B5601"/>
    <w:rsid w:val="000B7C93"/>
    <w:rsid w:val="000C6393"/>
    <w:rsid w:val="000C68EE"/>
    <w:rsid w:val="000E0577"/>
    <w:rsid w:val="000E43BA"/>
    <w:rsid w:val="000E4AAA"/>
    <w:rsid w:val="000E5915"/>
    <w:rsid w:val="000E5FF6"/>
    <w:rsid w:val="000F535C"/>
    <w:rsid w:val="00101284"/>
    <w:rsid w:val="001012CC"/>
    <w:rsid w:val="00102A6F"/>
    <w:rsid w:val="001045F7"/>
    <w:rsid w:val="0010544A"/>
    <w:rsid w:val="00106314"/>
    <w:rsid w:val="0010733E"/>
    <w:rsid w:val="00107D57"/>
    <w:rsid w:val="001110C7"/>
    <w:rsid w:val="001112BD"/>
    <w:rsid w:val="00114134"/>
    <w:rsid w:val="0011567D"/>
    <w:rsid w:val="001161EF"/>
    <w:rsid w:val="001169A9"/>
    <w:rsid w:val="0012104A"/>
    <w:rsid w:val="001210EF"/>
    <w:rsid w:val="00121449"/>
    <w:rsid w:val="001217B4"/>
    <w:rsid w:val="001223D3"/>
    <w:rsid w:val="001248B6"/>
    <w:rsid w:val="001249D2"/>
    <w:rsid w:val="00134283"/>
    <w:rsid w:val="0013445B"/>
    <w:rsid w:val="00134A48"/>
    <w:rsid w:val="00136579"/>
    <w:rsid w:val="00137337"/>
    <w:rsid w:val="00137746"/>
    <w:rsid w:val="001433FB"/>
    <w:rsid w:val="001449E8"/>
    <w:rsid w:val="00145992"/>
    <w:rsid w:val="00152EA2"/>
    <w:rsid w:val="00153967"/>
    <w:rsid w:val="0015578E"/>
    <w:rsid w:val="00165F98"/>
    <w:rsid w:val="0016781C"/>
    <w:rsid w:val="001679A7"/>
    <w:rsid w:val="001700F7"/>
    <w:rsid w:val="00171187"/>
    <w:rsid w:val="0017217C"/>
    <w:rsid w:val="00180DAD"/>
    <w:rsid w:val="00183467"/>
    <w:rsid w:val="0018437D"/>
    <w:rsid w:val="00185F04"/>
    <w:rsid w:val="001868B0"/>
    <w:rsid w:val="00186957"/>
    <w:rsid w:val="001918A6"/>
    <w:rsid w:val="001919B4"/>
    <w:rsid w:val="00194762"/>
    <w:rsid w:val="0019631A"/>
    <w:rsid w:val="001A07CA"/>
    <w:rsid w:val="001A14C8"/>
    <w:rsid w:val="001A1BEE"/>
    <w:rsid w:val="001A482C"/>
    <w:rsid w:val="001A5C90"/>
    <w:rsid w:val="001A6BB6"/>
    <w:rsid w:val="001A6D01"/>
    <w:rsid w:val="001B4D8F"/>
    <w:rsid w:val="001C47FA"/>
    <w:rsid w:val="001C6FA0"/>
    <w:rsid w:val="001D0B63"/>
    <w:rsid w:val="001D0C6A"/>
    <w:rsid w:val="001D17A7"/>
    <w:rsid w:val="001D4060"/>
    <w:rsid w:val="001E4FF4"/>
    <w:rsid w:val="001E5DDF"/>
    <w:rsid w:val="001E6350"/>
    <w:rsid w:val="001F0D82"/>
    <w:rsid w:val="001F0FBA"/>
    <w:rsid w:val="001F1EC3"/>
    <w:rsid w:val="001F4416"/>
    <w:rsid w:val="001F79C8"/>
    <w:rsid w:val="00200C1A"/>
    <w:rsid w:val="00200F15"/>
    <w:rsid w:val="002020AE"/>
    <w:rsid w:val="00205D62"/>
    <w:rsid w:val="002077D6"/>
    <w:rsid w:val="00210D37"/>
    <w:rsid w:val="002118E2"/>
    <w:rsid w:val="00212996"/>
    <w:rsid w:val="002131EE"/>
    <w:rsid w:val="00214CCE"/>
    <w:rsid w:val="0021570A"/>
    <w:rsid w:val="00217C3A"/>
    <w:rsid w:val="00222FB5"/>
    <w:rsid w:val="00223CAF"/>
    <w:rsid w:val="002244BE"/>
    <w:rsid w:val="00226EE4"/>
    <w:rsid w:val="0022711F"/>
    <w:rsid w:val="00232350"/>
    <w:rsid w:val="002341B6"/>
    <w:rsid w:val="00234598"/>
    <w:rsid w:val="00234ACE"/>
    <w:rsid w:val="00240861"/>
    <w:rsid w:val="002431B8"/>
    <w:rsid w:val="00245DBE"/>
    <w:rsid w:val="00246E20"/>
    <w:rsid w:val="00250A2D"/>
    <w:rsid w:val="0025317B"/>
    <w:rsid w:val="00253541"/>
    <w:rsid w:val="00253B4C"/>
    <w:rsid w:val="00255FF0"/>
    <w:rsid w:val="00256462"/>
    <w:rsid w:val="002578BD"/>
    <w:rsid w:val="002603EC"/>
    <w:rsid w:val="00261A78"/>
    <w:rsid w:val="0026244B"/>
    <w:rsid w:val="00264D90"/>
    <w:rsid w:val="002658B2"/>
    <w:rsid w:val="002667E9"/>
    <w:rsid w:val="00267EC2"/>
    <w:rsid w:val="002703AE"/>
    <w:rsid w:val="00271EB6"/>
    <w:rsid w:val="002737CE"/>
    <w:rsid w:val="00273CAA"/>
    <w:rsid w:val="0027708D"/>
    <w:rsid w:val="00282573"/>
    <w:rsid w:val="0028622C"/>
    <w:rsid w:val="0028720B"/>
    <w:rsid w:val="0029084D"/>
    <w:rsid w:val="00290E72"/>
    <w:rsid w:val="002943ED"/>
    <w:rsid w:val="002A46C6"/>
    <w:rsid w:val="002A4B87"/>
    <w:rsid w:val="002A5AB0"/>
    <w:rsid w:val="002B09CE"/>
    <w:rsid w:val="002B15C5"/>
    <w:rsid w:val="002B1A9E"/>
    <w:rsid w:val="002B24E7"/>
    <w:rsid w:val="002B597A"/>
    <w:rsid w:val="002B6917"/>
    <w:rsid w:val="002C5564"/>
    <w:rsid w:val="002D0B6B"/>
    <w:rsid w:val="002D3FCC"/>
    <w:rsid w:val="002D43AD"/>
    <w:rsid w:val="002D5300"/>
    <w:rsid w:val="002D72E8"/>
    <w:rsid w:val="002E2192"/>
    <w:rsid w:val="002E615E"/>
    <w:rsid w:val="00304209"/>
    <w:rsid w:val="0030708A"/>
    <w:rsid w:val="00307AB0"/>
    <w:rsid w:val="00312A8F"/>
    <w:rsid w:val="0031360A"/>
    <w:rsid w:val="00313A9E"/>
    <w:rsid w:val="00313D36"/>
    <w:rsid w:val="003161DD"/>
    <w:rsid w:val="0031780A"/>
    <w:rsid w:val="003200B7"/>
    <w:rsid w:val="00320550"/>
    <w:rsid w:val="00320747"/>
    <w:rsid w:val="00321344"/>
    <w:rsid w:val="00322499"/>
    <w:rsid w:val="00326C49"/>
    <w:rsid w:val="003323CD"/>
    <w:rsid w:val="00337142"/>
    <w:rsid w:val="0034080B"/>
    <w:rsid w:val="00344C35"/>
    <w:rsid w:val="0035039D"/>
    <w:rsid w:val="003505FD"/>
    <w:rsid w:val="00352D0C"/>
    <w:rsid w:val="0035484B"/>
    <w:rsid w:val="003550C5"/>
    <w:rsid w:val="00356903"/>
    <w:rsid w:val="0036326B"/>
    <w:rsid w:val="00364EFE"/>
    <w:rsid w:val="003669A2"/>
    <w:rsid w:val="003706D2"/>
    <w:rsid w:val="003752D4"/>
    <w:rsid w:val="0037552C"/>
    <w:rsid w:val="00375F5E"/>
    <w:rsid w:val="00376B5F"/>
    <w:rsid w:val="00376D40"/>
    <w:rsid w:val="00377DE6"/>
    <w:rsid w:val="003812C3"/>
    <w:rsid w:val="003812C6"/>
    <w:rsid w:val="003816A6"/>
    <w:rsid w:val="0038574C"/>
    <w:rsid w:val="00385AAF"/>
    <w:rsid w:val="00387E85"/>
    <w:rsid w:val="003904BD"/>
    <w:rsid w:val="0039169F"/>
    <w:rsid w:val="00392A94"/>
    <w:rsid w:val="00394CA9"/>
    <w:rsid w:val="00396F84"/>
    <w:rsid w:val="0039712E"/>
    <w:rsid w:val="003A0120"/>
    <w:rsid w:val="003A39F8"/>
    <w:rsid w:val="003A6389"/>
    <w:rsid w:val="003A657E"/>
    <w:rsid w:val="003A7E78"/>
    <w:rsid w:val="003B167C"/>
    <w:rsid w:val="003B6732"/>
    <w:rsid w:val="003C1F95"/>
    <w:rsid w:val="003C3512"/>
    <w:rsid w:val="003C454F"/>
    <w:rsid w:val="003C520C"/>
    <w:rsid w:val="003D07FE"/>
    <w:rsid w:val="003D47C9"/>
    <w:rsid w:val="003D4A40"/>
    <w:rsid w:val="003D4A5A"/>
    <w:rsid w:val="003D63DA"/>
    <w:rsid w:val="003D7210"/>
    <w:rsid w:val="003E2790"/>
    <w:rsid w:val="003E52A9"/>
    <w:rsid w:val="003F0C32"/>
    <w:rsid w:val="003F4B5E"/>
    <w:rsid w:val="003F76BF"/>
    <w:rsid w:val="00402107"/>
    <w:rsid w:val="00404B94"/>
    <w:rsid w:val="004052A0"/>
    <w:rsid w:val="00406A28"/>
    <w:rsid w:val="00410197"/>
    <w:rsid w:val="0041247B"/>
    <w:rsid w:val="00412A29"/>
    <w:rsid w:val="00416618"/>
    <w:rsid w:val="004200A5"/>
    <w:rsid w:val="00420CD0"/>
    <w:rsid w:val="00421B33"/>
    <w:rsid w:val="004229C6"/>
    <w:rsid w:val="00422C65"/>
    <w:rsid w:val="0042397F"/>
    <w:rsid w:val="00424195"/>
    <w:rsid w:val="004253C9"/>
    <w:rsid w:val="00431204"/>
    <w:rsid w:val="00435912"/>
    <w:rsid w:val="00436623"/>
    <w:rsid w:val="00436752"/>
    <w:rsid w:val="0044219B"/>
    <w:rsid w:val="004428E0"/>
    <w:rsid w:val="00442DC4"/>
    <w:rsid w:val="00450DCE"/>
    <w:rsid w:val="00450E48"/>
    <w:rsid w:val="00450FD8"/>
    <w:rsid w:val="0045262E"/>
    <w:rsid w:val="004621ED"/>
    <w:rsid w:val="00464FA2"/>
    <w:rsid w:val="004658C8"/>
    <w:rsid w:val="00473B21"/>
    <w:rsid w:val="004755A4"/>
    <w:rsid w:val="004774DA"/>
    <w:rsid w:val="00480821"/>
    <w:rsid w:val="0048152F"/>
    <w:rsid w:val="004822C8"/>
    <w:rsid w:val="00482C7A"/>
    <w:rsid w:val="00483492"/>
    <w:rsid w:val="0048384A"/>
    <w:rsid w:val="00483950"/>
    <w:rsid w:val="00486C4D"/>
    <w:rsid w:val="00495A8F"/>
    <w:rsid w:val="00497087"/>
    <w:rsid w:val="004A0D51"/>
    <w:rsid w:val="004A4664"/>
    <w:rsid w:val="004B44A8"/>
    <w:rsid w:val="004B4D43"/>
    <w:rsid w:val="004B567E"/>
    <w:rsid w:val="004B635C"/>
    <w:rsid w:val="004C38AC"/>
    <w:rsid w:val="004C51A0"/>
    <w:rsid w:val="004C76DE"/>
    <w:rsid w:val="004D387C"/>
    <w:rsid w:val="004E4DF8"/>
    <w:rsid w:val="004E5C53"/>
    <w:rsid w:val="004E5E74"/>
    <w:rsid w:val="004E7A4E"/>
    <w:rsid w:val="00502853"/>
    <w:rsid w:val="00503596"/>
    <w:rsid w:val="0050613F"/>
    <w:rsid w:val="005065F7"/>
    <w:rsid w:val="00511DA4"/>
    <w:rsid w:val="005121A2"/>
    <w:rsid w:val="00512A7D"/>
    <w:rsid w:val="00515620"/>
    <w:rsid w:val="00516513"/>
    <w:rsid w:val="00520E66"/>
    <w:rsid w:val="00522995"/>
    <w:rsid w:val="0052514A"/>
    <w:rsid w:val="005278CA"/>
    <w:rsid w:val="00531103"/>
    <w:rsid w:val="005315DF"/>
    <w:rsid w:val="00531F89"/>
    <w:rsid w:val="00535333"/>
    <w:rsid w:val="00535D2C"/>
    <w:rsid w:val="005368AC"/>
    <w:rsid w:val="00537B74"/>
    <w:rsid w:val="00541587"/>
    <w:rsid w:val="00543E56"/>
    <w:rsid w:val="005443C3"/>
    <w:rsid w:val="00544BC8"/>
    <w:rsid w:val="00546B7E"/>
    <w:rsid w:val="00547913"/>
    <w:rsid w:val="00550909"/>
    <w:rsid w:val="00551A3B"/>
    <w:rsid w:val="005539B2"/>
    <w:rsid w:val="0056185B"/>
    <w:rsid w:val="00561DCF"/>
    <w:rsid w:val="00562F0D"/>
    <w:rsid w:val="0056683F"/>
    <w:rsid w:val="00570BC3"/>
    <w:rsid w:val="005713BF"/>
    <w:rsid w:val="00583670"/>
    <w:rsid w:val="00586B01"/>
    <w:rsid w:val="00591314"/>
    <w:rsid w:val="00593303"/>
    <w:rsid w:val="005A125B"/>
    <w:rsid w:val="005A18E1"/>
    <w:rsid w:val="005A1A3A"/>
    <w:rsid w:val="005A3CB2"/>
    <w:rsid w:val="005A52F1"/>
    <w:rsid w:val="005B2E36"/>
    <w:rsid w:val="005B380C"/>
    <w:rsid w:val="005C0AAF"/>
    <w:rsid w:val="005C3C94"/>
    <w:rsid w:val="005C3E9E"/>
    <w:rsid w:val="005D20D9"/>
    <w:rsid w:val="005D215B"/>
    <w:rsid w:val="005D60A9"/>
    <w:rsid w:val="005D7E25"/>
    <w:rsid w:val="005E0608"/>
    <w:rsid w:val="005E184D"/>
    <w:rsid w:val="005E2FB0"/>
    <w:rsid w:val="005E363D"/>
    <w:rsid w:val="005E5A57"/>
    <w:rsid w:val="005F0164"/>
    <w:rsid w:val="005F3D56"/>
    <w:rsid w:val="006013E1"/>
    <w:rsid w:val="006026A0"/>
    <w:rsid w:val="00603028"/>
    <w:rsid w:val="00605B51"/>
    <w:rsid w:val="00613630"/>
    <w:rsid w:val="00614DCC"/>
    <w:rsid w:val="006205B3"/>
    <w:rsid w:val="0062195B"/>
    <w:rsid w:val="006222E1"/>
    <w:rsid w:val="0062685C"/>
    <w:rsid w:val="0063076A"/>
    <w:rsid w:val="0063282A"/>
    <w:rsid w:val="006350AB"/>
    <w:rsid w:val="00637550"/>
    <w:rsid w:val="006375DE"/>
    <w:rsid w:val="006378C2"/>
    <w:rsid w:val="00640550"/>
    <w:rsid w:val="00644F52"/>
    <w:rsid w:val="00645D34"/>
    <w:rsid w:val="0065110E"/>
    <w:rsid w:val="0065154C"/>
    <w:rsid w:val="00651B5F"/>
    <w:rsid w:val="00651C58"/>
    <w:rsid w:val="006544A6"/>
    <w:rsid w:val="00656DC9"/>
    <w:rsid w:val="00657D1A"/>
    <w:rsid w:val="00661F0C"/>
    <w:rsid w:val="00662B2A"/>
    <w:rsid w:val="00663748"/>
    <w:rsid w:val="00671FB6"/>
    <w:rsid w:val="00672A06"/>
    <w:rsid w:val="00672DA8"/>
    <w:rsid w:val="00673F38"/>
    <w:rsid w:val="00676171"/>
    <w:rsid w:val="00676DB4"/>
    <w:rsid w:val="00677164"/>
    <w:rsid w:val="00677556"/>
    <w:rsid w:val="00680861"/>
    <w:rsid w:val="00681B1F"/>
    <w:rsid w:val="00683405"/>
    <w:rsid w:val="00685F67"/>
    <w:rsid w:val="00687299"/>
    <w:rsid w:val="00694C7D"/>
    <w:rsid w:val="0069651D"/>
    <w:rsid w:val="006A1B9F"/>
    <w:rsid w:val="006A713A"/>
    <w:rsid w:val="006B2218"/>
    <w:rsid w:val="006B5297"/>
    <w:rsid w:val="006B750F"/>
    <w:rsid w:val="006C3480"/>
    <w:rsid w:val="006C3D71"/>
    <w:rsid w:val="006C5616"/>
    <w:rsid w:val="006C756C"/>
    <w:rsid w:val="006C7D03"/>
    <w:rsid w:val="006C7F2A"/>
    <w:rsid w:val="006D0478"/>
    <w:rsid w:val="006D462A"/>
    <w:rsid w:val="006D48D3"/>
    <w:rsid w:val="006D49BA"/>
    <w:rsid w:val="006D5CE0"/>
    <w:rsid w:val="006D6063"/>
    <w:rsid w:val="006D6A89"/>
    <w:rsid w:val="006E0AFE"/>
    <w:rsid w:val="006E2408"/>
    <w:rsid w:val="006E2797"/>
    <w:rsid w:val="006E70DB"/>
    <w:rsid w:val="006F1590"/>
    <w:rsid w:val="006F35C2"/>
    <w:rsid w:val="006F42FE"/>
    <w:rsid w:val="006F6AA0"/>
    <w:rsid w:val="006F6C01"/>
    <w:rsid w:val="006F709F"/>
    <w:rsid w:val="006F75FC"/>
    <w:rsid w:val="007000B1"/>
    <w:rsid w:val="00702900"/>
    <w:rsid w:val="007146A5"/>
    <w:rsid w:val="00720DCD"/>
    <w:rsid w:val="00723121"/>
    <w:rsid w:val="0072604B"/>
    <w:rsid w:val="0072719C"/>
    <w:rsid w:val="00730129"/>
    <w:rsid w:val="007339A9"/>
    <w:rsid w:val="00734C0C"/>
    <w:rsid w:val="007359F4"/>
    <w:rsid w:val="007360F9"/>
    <w:rsid w:val="00741423"/>
    <w:rsid w:val="0074251F"/>
    <w:rsid w:val="00743A4D"/>
    <w:rsid w:val="00744617"/>
    <w:rsid w:val="007519EF"/>
    <w:rsid w:val="00753F6E"/>
    <w:rsid w:val="0075480C"/>
    <w:rsid w:val="00762C81"/>
    <w:rsid w:val="0076626F"/>
    <w:rsid w:val="00766638"/>
    <w:rsid w:val="007670C4"/>
    <w:rsid w:val="00770D11"/>
    <w:rsid w:val="00772AE3"/>
    <w:rsid w:val="007771E4"/>
    <w:rsid w:val="007808E5"/>
    <w:rsid w:val="00783334"/>
    <w:rsid w:val="00783419"/>
    <w:rsid w:val="00783B67"/>
    <w:rsid w:val="007850F5"/>
    <w:rsid w:val="00796101"/>
    <w:rsid w:val="007A1521"/>
    <w:rsid w:val="007A4985"/>
    <w:rsid w:val="007A512F"/>
    <w:rsid w:val="007A665C"/>
    <w:rsid w:val="007A6791"/>
    <w:rsid w:val="007A68DE"/>
    <w:rsid w:val="007A6BDF"/>
    <w:rsid w:val="007B0A0D"/>
    <w:rsid w:val="007B1041"/>
    <w:rsid w:val="007B1902"/>
    <w:rsid w:val="007B2B02"/>
    <w:rsid w:val="007B2E66"/>
    <w:rsid w:val="007B501D"/>
    <w:rsid w:val="007B579B"/>
    <w:rsid w:val="007C0556"/>
    <w:rsid w:val="007C21D5"/>
    <w:rsid w:val="007C222B"/>
    <w:rsid w:val="007C2989"/>
    <w:rsid w:val="007C2BB8"/>
    <w:rsid w:val="007C3C21"/>
    <w:rsid w:val="007C6246"/>
    <w:rsid w:val="007C6FF3"/>
    <w:rsid w:val="007D0A35"/>
    <w:rsid w:val="007D696B"/>
    <w:rsid w:val="007D7550"/>
    <w:rsid w:val="007E214C"/>
    <w:rsid w:val="007E2EAD"/>
    <w:rsid w:val="007E52BE"/>
    <w:rsid w:val="007E5ED0"/>
    <w:rsid w:val="007F18B1"/>
    <w:rsid w:val="007F1F3B"/>
    <w:rsid w:val="007F5F6A"/>
    <w:rsid w:val="00801BB6"/>
    <w:rsid w:val="00804C49"/>
    <w:rsid w:val="00805DF6"/>
    <w:rsid w:val="0081007E"/>
    <w:rsid w:val="008126EE"/>
    <w:rsid w:val="0081513F"/>
    <w:rsid w:val="00816438"/>
    <w:rsid w:val="0081716A"/>
    <w:rsid w:val="00820419"/>
    <w:rsid w:val="00822823"/>
    <w:rsid w:val="008340F3"/>
    <w:rsid w:val="00836BF1"/>
    <w:rsid w:val="00837C33"/>
    <w:rsid w:val="00841378"/>
    <w:rsid w:val="00843804"/>
    <w:rsid w:val="00845315"/>
    <w:rsid w:val="008459FC"/>
    <w:rsid w:val="00846386"/>
    <w:rsid w:val="0085087E"/>
    <w:rsid w:val="008541E9"/>
    <w:rsid w:val="0085460C"/>
    <w:rsid w:val="0086002F"/>
    <w:rsid w:val="008600FE"/>
    <w:rsid w:val="00861DEF"/>
    <w:rsid w:val="00862C85"/>
    <w:rsid w:val="00865040"/>
    <w:rsid w:val="00865AAE"/>
    <w:rsid w:val="00871567"/>
    <w:rsid w:val="00873B2B"/>
    <w:rsid w:val="0087430F"/>
    <w:rsid w:val="008747A9"/>
    <w:rsid w:val="008761A6"/>
    <w:rsid w:val="00877759"/>
    <w:rsid w:val="00880001"/>
    <w:rsid w:val="008817E7"/>
    <w:rsid w:val="00883215"/>
    <w:rsid w:val="00883B46"/>
    <w:rsid w:val="00885E94"/>
    <w:rsid w:val="008903AC"/>
    <w:rsid w:val="00890FF8"/>
    <w:rsid w:val="0089245B"/>
    <w:rsid w:val="00894602"/>
    <w:rsid w:val="00895AAF"/>
    <w:rsid w:val="008A2245"/>
    <w:rsid w:val="008A2397"/>
    <w:rsid w:val="008A395B"/>
    <w:rsid w:val="008A59F5"/>
    <w:rsid w:val="008A700B"/>
    <w:rsid w:val="008C584D"/>
    <w:rsid w:val="008C5D44"/>
    <w:rsid w:val="008C6C5F"/>
    <w:rsid w:val="008D2A4C"/>
    <w:rsid w:val="008D30EE"/>
    <w:rsid w:val="008D46E2"/>
    <w:rsid w:val="008D4787"/>
    <w:rsid w:val="008D5353"/>
    <w:rsid w:val="008E6287"/>
    <w:rsid w:val="008E6738"/>
    <w:rsid w:val="008E7160"/>
    <w:rsid w:val="008E7706"/>
    <w:rsid w:val="008F0BB9"/>
    <w:rsid w:val="008F1161"/>
    <w:rsid w:val="008F18FD"/>
    <w:rsid w:val="008F2ADA"/>
    <w:rsid w:val="008F2D5E"/>
    <w:rsid w:val="008F2F32"/>
    <w:rsid w:val="008F3D9E"/>
    <w:rsid w:val="008F472B"/>
    <w:rsid w:val="008F7A80"/>
    <w:rsid w:val="008F7F62"/>
    <w:rsid w:val="00902EDA"/>
    <w:rsid w:val="009031F4"/>
    <w:rsid w:val="00905ACE"/>
    <w:rsid w:val="00906AA4"/>
    <w:rsid w:val="00907940"/>
    <w:rsid w:val="00912881"/>
    <w:rsid w:val="00912FFC"/>
    <w:rsid w:val="00914502"/>
    <w:rsid w:val="009153C0"/>
    <w:rsid w:val="00923B52"/>
    <w:rsid w:val="009240F0"/>
    <w:rsid w:val="0092660E"/>
    <w:rsid w:val="00927555"/>
    <w:rsid w:val="00927E84"/>
    <w:rsid w:val="00930313"/>
    <w:rsid w:val="00931C85"/>
    <w:rsid w:val="00935EE9"/>
    <w:rsid w:val="00940C72"/>
    <w:rsid w:val="009434A6"/>
    <w:rsid w:val="00943AF4"/>
    <w:rsid w:val="00943DAA"/>
    <w:rsid w:val="0094792B"/>
    <w:rsid w:val="00950898"/>
    <w:rsid w:val="009510A4"/>
    <w:rsid w:val="0095299E"/>
    <w:rsid w:val="009533B1"/>
    <w:rsid w:val="00953BEC"/>
    <w:rsid w:val="009561D6"/>
    <w:rsid w:val="00962417"/>
    <w:rsid w:val="00962B17"/>
    <w:rsid w:val="00963F8F"/>
    <w:rsid w:val="00972A7B"/>
    <w:rsid w:val="009760D2"/>
    <w:rsid w:val="009806C3"/>
    <w:rsid w:val="00981903"/>
    <w:rsid w:val="0098649D"/>
    <w:rsid w:val="00986A67"/>
    <w:rsid w:val="009916FE"/>
    <w:rsid w:val="00991EE7"/>
    <w:rsid w:val="00991F36"/>
    <w:rsid w:val="00992797"/>
    <w:rsid w:val="009963B1"/>
    <w:rsid w:val="00996454"/>
    <w:rsid w:val="00996B94"/>
    <w:rsid w:val="00997DF8"/>
    <w:rsid w:val="009A1668"/>
    <w:rsid w:val="009A5957"/>
    <w:rsid w:val="009B0D87"/>
    <w:rsid w:val="009B1383"/>
    <w:rsid w:val="009B17AE"/>
    <w:rsid w:val="009B38DC"/>
    <w:rsid w:val="009B49CF"/>
    <w:rsid w:val="009B5021"/>
    <w:rsid w:val="009B5A0A"/>
    <w:rsid w:val="009C23C0"/>
    <w:rsid w:val="009C2961"/>
    <w:rsid w:val="009C3B64"/>
    <w:rsid w:val="009C4307"/>
    <w:rsid w:val="009C659E"/>
    <w:rsid w:val="009C7873"/>
    <w:rsid w:val="009D0667"/>
    <w:rsid w:val="009D1BA8"/>
    <w:rsid w:val="009D2DD3"/>
    <w:rsid w:val="009D6B37"/>
    <w:rsid w:val="009E2219"/>
    <w:rsid w:val="009F11FF"/>
    <w:rsid w:val="009F5803"/>
    <w:rsid w:val="00A012ED"/>
    <w:rsid w:val="00A024C9"/>
    <w:rsid w:val="00A02921"/>
    <w:rsid w:val="00A060A0"/>
    <w:rsid w:val="00A1056B"/>
    <w:rsid w:val="00A10F51"/>
    <w:rsid w:val="00A139E2"/>
    <w:rsid w:val="00A17178"/>
    <w:rsid w:val="00A1756F"/>
    <w:rsid w:val="00A23A8D"/>
    <w:rsid w:val="00A3066E"/>
    <w:rsid w:val="00A31763"/>
    <w:rsid w:val="00A33901"/>
    <w:rsid w:val="00A3730D"/>
    <w:rsid w:val="00A41557"/>
    <w:rsid w:val="00A42F16"/>
    <w:rsid w:val="00A439CA"/>
    <w:rsid w:val="00A43A66"/>
    <w:rsid w:val="00A45ABA"/>
    <w:rsid w:val="00A46332"/>
    <w:rsid w:val="00A535FE"/>
    <w:rsid w:val="00A555F5"/>
    <w:rsid w:val="00A56D25"/>
    <w:rsid w:val="00A61023"/>
    <w:rsid w:val="00A614F0"/>
    <w:rsid w:val="00A64619"/>
    <w:rsid w:val="00A67C23"/>
    <w:rsid w:val="00A712C1"/>
    <w:rsid w:val="00A732C9"/>
    <w:rsid w:val="00A80CB4"/>
    <w:rsid w:val="00A8346B"/>
    <w:rsid w:val="00A84190"/>
    <w:rsid w:val="00A86CC2"/>
    <w:rsid w:val="00A87490"/>
    <w:rsid w:val="00A92F85"/>
    <w:rsid w:val="00AA4244"/>
    <w:rsid w:val="00AB2FC4"/>
    <w:rsid w:val="00AB4265"/>
    <w:rsid w:val="00AB5C43"/>
    <w:rsid w:val="00AB5D44"/>
    <w:rsid w:val="00AC09B9"/>
    <w:rsid w:val="00AC1103"/>
    <w:rsid w:val="00AC437E"/>
    <w:rsid w:val="00AC6207"/>
    <w:rsid w:val="00AD29C7"/>
    <w:rsid w:val="00AD4BF0"/>
    <w:rsid w:val="00AD71B5"/>
    <w:rsid w:val="00AE0218"/>
    <w:rsid w:val="00AE5E56"/>
    <w:rsid w:val="00AE633F"/>
    <w:rsid w:val="00AF04B7"/>
    <w:rsid w:val="00AF1680"/>
    <w:rsid w:val="00AF1FD6"/>
    <w:rsid w:val="00AF41A1"/>
    <w:rsid w:val="00AF6778"/>
    <w:rsid w:val="00AF68CA"/>
    <w:rsid w:val="00AF791F"/>
    <w:rsid w:val="00AF7A58"/>
    <w:rsid w:val="00B01865"/>
    <w:rsid w:val="00B032B4"/>
    <w:rsid w:val="00B03349"/>
    <w:rsid w:val="00B0437F"/>
    <w:rsid w:val="00B04CAD"/>
    <w:rsid w:val="00B07694"/>
    <w:rsid w:val="00B13904"/>
    <w:rsid w:val="00B14E91"/>
    <w:rsid w:val="00B22B8C"/>
    <w:rsid w:val="00B2308C"/>
    <w:rsid w:val="00B25614"/>
    <w:rsid w:val="00B26E55"/>
    <w:rsid w:val="00B274DC"/>
    <w:rsid w:val="00B30BFE"/>
    <w:rsid w:val="00B50914"/>
    <w:rsid w:val="00B51CEE"/>
    <w:rsid w:val="00B5255B"/>
    <w:rsid w:val="00B52F76"/>
    <w:rsid w:val="00B5437B"/>
    <w:rsid w:val="00B5560B"/>
    <w:rsid w:val="00B5583B"/>
    <w:rsid w:val="00B57F9E"/>
    <w:rsid w:val="00B60C11"/>
    <w:rsid w:val="00B61875"/>
    <w:rsid w:val="00B62039"/>
    <w:rsid w:val="00B66377"/>
    <w:rsid w:val="00B66986"/>
    <w:rsid w:val="00B67C57"/>
    <w:rsid w:val="00B73B1A"/>
    <w:rsid w:val="00B75971"/>
    <w:rsid w:val="00B8166D"/>
    <w:rsid w:val="00B87768"/>
    <w:rsid w:val="00B95633"/>
    <w:rsid w:val="00B97B71"/>
    <w:rsid w:val="00BA0F9F"/>
    <w:rsid w:val="00BA1039"/>
    <w:rsid w:val="00BA2A3E"/>
    <w:rsid w:val="00BA4725"/>
    <w:rsid w:val="00BA6A38"/>
    <w:rsid w:val="00BA6A5F"/>
    <w:rsid w:val="00BA6E61"/>
    <w:rsid w:val="00BA7D3E"/>
    <w:rsid w:val="00BB109E"/>
    <w:rsid w:val="00BB15EB"/>
    <w:rsid w:val="00BB6649"/>
    <w:rsid w:val="00BB76B4"/>
    <w:rsid w:val="00BC23F0"/>
    <w:rsid w:val="00BC58D9"/>
    <w:rsid w:val="00BC7814"/>
    <w:rsid w:val="00BD3BBA"/>
    <w:rsid w:val="00BD3EA4"/>
    <w:rsid w:val="00BD66EB"/>
    <w:rsid w:val="00BE18C0"/>
    <w:rsid w:val="00BE1B1C"/>
    <w:rsid w:val="00BE33E9"/>
    <w:rsid w:val="00BE4696"/>
    <w:rsid w:val="00BE5D28"/>
    <w:rsid w:val="00BE6160"/>
    <w:rsid w:val="00BE7860"/>
    <w:rsid w:val="00BF003C"/>
    <w:rsid w:val="00BF2240"/>
    <w:rsid w:val="00BF516A"/>
    <w:rsid w:val="00BF5781"/>
    <w:rsid w:val="00BF6226"/>
    <w:rsid w:val="00BF6791"/>
    <w:rsid w:val="00C052DB"/>
    <w:rsid w:val="00C05768"/>
    <w:rsid w:val="00C05EED"/>
    <w:rsid w:val="00C06222"/>
    <w:rsid w:val="00C06913"/>
    <w:rsid w:val="00C06A4E"/>
    <w:rsid w:val="00C079FC"/>
    <w:rsid w:val="00C146A8"/>
    <w:rsid w:val="00C14A85"/>
    <w:rsid w:val="00C16743"/>
    <w:rsid w:val="00C210D5"/>
    <w:rsid w:val="00C278E5"/>
    <w:rsid w:val="00C31CE2"/>
    <w:rsid w:val="00C33F4A"/>
    <w:rsid w:val="00C33FB7"/>
    <w:rsid w:val="00C34449"/>
    <w:rsid w:val="00C36116"/>
    <w:rsid w:val="00C4120B"/>
    <w:rsid w:val="00C42FE6"/>
    <w:rsid w:val="00C4360B"/>
    <w:rsid w:val="00C44C0C"/>
    <w:rsid w:val="00C44D50"/>
    <w:rsid w:val="00C5037B"/>
    <w:rsid w:val="00C53183"/>
    <w:rsid w:val="00C544C0"/>
    <w:rsid w:val="00C57458"/>
    <w:rsid w:val="00C61BB7"/>
    <w:rsid w:val="00C63922"/>
    <w:rsid w:val="00C63BDC"/>
    <w:rsid w:val="00C63E9F"/>
    <w:rsid w:val="00C647D3"/>
    <w:rsid w:val="00C76118"/>
    <w:rsid w:val="00C80430"/>
    <w:rsid w:val="00C816BE"/>
    <w:rsid w:val="00C820BC"/>
    <w:rsid w:val="00C829EA"/>
    <w:rsid w:val="00C849D3"/>
    <w:rsid w:val="00C84DC2"/>
    <w:rsid w:val="00C97EAA"/>
    <w:rsid w:val="00CA0364"/>
    <w:rsid w:val="00CA37F4"/>
    <w:rsid w:val="00CA3FE3"/>
    <w:rsid w:val="00CB0600"/>
    <w:rsid w:val="00CB077C"/>
    <w:rsid w:val="00CB0CDF"/>
    <w:rsid w:val="00CC5880"/>
    <w:rsid w:val="00CD0DE6"/>
    <w:rsid w:val="00CD1690"/>
    <w:rsid w:val="00CD2231"/>
    <w:rsid w:val="00CD6922"/>
    <w:rsid w:val="00CE3CA4"/>
    <w:rsid w:val="00CE59E1"/>
    <w:rsid w:val="00CF0A4A"/>
    <w:rsid w:val="00CF148B"/>
    <w:rsid w:val="00CF1D15"/>
    <w:rsid w:val="00CF1D9C"/>
    <w:rsid w:val="00D01B1C"/>
    <w:rsid w:val="00D04344"/>
    <w:rsid w:val="00D047E1"/>
    <w:rsid w:val="00D05758"/>
    <w:rsid w:val="00D07B0C"/>
    <w:rsid w:val="00D12290"/>
    <w:rsid w:val="00D12EBE"/>
    <w:rsid w:val="00D17472"/>
    <w:rsid w:val="00D20F7C"/>
    <w:rsid w:val="00D22A22"/>
    <w:rsid w:val="00D30ECE"/>
    <w:rsid w:val="00D31343"/>
    <w:rsid w:val="00D31BD1"/>
    <w:rsid w:val="00D33D0F"/>
    <w:rsid w:val="00D35253"/>
    <w:rsid w:val="00D35323"/>
    <w:rsid w:val="00D36C83"/>
    <w:rsid w:val="00D4107D"/>
    <w:rsid w:val="00D41CC2"/>
    <w:rsid w:val="00D4261F"/>
    <w:rsid w:val="00D42F3E"/>
    <w:rsid w:val="00D432DA"/>
    <w:rsid w:val="00D508AF"/>
    <w:rsid w:val="00D542EA"/>
    <w:rsid w:val="00D546FE"/>
    <w:rsid w:val="00D63965"/>
    <w:rsid w:val="00D63C7B"/>
    <w:rsid w:val="00D66C52"/>
    <w:rsid w:val="00D66C6B"/>
    <w:rsid w:val="00D76480"/>
    <w:rsid w:val="00D80B79"/>
    <w:rsid w:val="00D81BD4"/>
    <w:rsid w:val="00D82D9A"/>
    <w:rsid w:val="00D850F2"/>
    <w:rsid w:val="00D91352"/>
    <w:rsid w:val="00D919AA"/>
    <w:rsid w:val="00D927B6"/>
    <w:rsid w:val="00D92A9C"/>
    <w:rsid w:val="00DA1A7D"/>
    <w:rsid w:val="00DA2158"/>
    <w:rsid w:val="00DA3C05"/>
    <w:rsid w:val="00DA4D64"/>
    <w:rsid w:val="00DB1BC5"/>
    <w:rsid w:val="00DB22E6"/>
    <w:rsid w:val="00DC0C6E"/>
    <w:rsid w:val="00DC18F5"/>
    <w:rsid w:val="00DC3A41"/>
    <w:rsid w:val="00DC6CEE"/>
    <w:rsid w:val="00DC7575"/>
    <w:rsid w:val="00DC768C"/>
    <w:rsid w:val="00DD351E"/>
    <w:rsid w:val="00DD57E8"/>
    <w:rsid w:val="00DD5D2A"/>
    <w:rsid w:val="00DD7173"/>
    <w:rsid w:val="00DE09F7"/>
    <w:rsid w:val="00DE2A59"/>
    <w:rsid w:val="00DE3BA5"/>
    <w:rsid w:val="00DE64EA"/>
    <w:rsid w:val="00DE7C53"/>
    <w:rsid w:val="00DF38B4"/>
    <w:rsid w:val="00DF3FF3"/>
    <w:rsid w:val="00E00BB3"/>
    <w:rsid w:val="00E04416"/>
    <w:rsid w:val="00E052FC"/>
    <w:rsid w:val="00E05712"/>
    <w:rsid w:val="00E11D4B"/>
    <w:rsid w:val="00E12457"/>
    <w:rsid w:val="00E147F5"/>
    <w:rsid w:val="00E16B00"/>
    <w:rsid w:val="00E178AC"/>
    <w:rsid w:val="00E2265E"/>
    <w:rsid w:val="00E24A65"/>
    <w:rsid w:val="00E26DBE"/>
    <w:rsid w:val="00E30018"/>
    <w:rsid w:val="00E301F2"/>
    <w:rsid w:val="00E31C04"/>
    <w:rsid w:val="00E3302C"/>
    <w:rsid w:val="00E36245"/>
    <w:rsid w:val="00E36E5D"/>
    <w:rsid w:val="00E375C3"/>
    <w:rsid w:val="00E40261"/>
    <w:rsid w:val="00E41437"/>
    <w:rsid w:val="00E43643"/>
    <w:rsid w:val="00E45156"/>
    <w:rsid w:val="00E45211"/>
    <w:rsid w:val="00E45605"/>
    <w:rsid w:val="00E50205"/>
    <w:rsid w:val="00E57AF7"/>
    <w:rsid w:val="00E72AA6"/>
    <w:rsid w:val="00E72F2E"/>
    <w:rsid w:val="00E74BBA"/>
    <w:rsid w:val="00E7652C"/>
    <w:rsid w:val="00E765B0"/>
    <w:rsid w:val="00E852E7"/>
    <w:rsid w:val="00E93B35"/>
    <w:rsid w:val="00E94062"/>
    <w:rsid w:val="00E95AEF"/>
    <w:rsid w:val="00E95AF3"/>
    <w:rsid w:val="00E95DF8"/>
    <w:rsid w:val="00E96544"/>
    <w:rsid w:val="00EA0594"/>
    <w:rsid w:val="00EA44D5"/>
    <w:rsid w:val="00EA7AC1"/>
    <w:rsid w:val="00EB0D83"/>
    <w:rsid w:val="00EB3CB9"/>
    <w:rsid w:val="00EB5E90"/>
    <w:rsid w:val="00EB7624"/>
    <w:rsid w:val="00EC3290"/>
    <w:rsid w:val="00EC485E"/>
    <w:rsid w:val="00EC63E9"/>
    <w:rsid w:val="00EC7E7C"/>
    <w:rsid w:val="00ED0E4B"/>
    <w:rsid w:val="00ED2139"/>
    <w:rsid w:val="00ED2EDA"/>
    <w:rsid w:val="00ED39C9"/>
    <w:rsid w:val="00ED458B"/>
    <w:rsid w:val="00ED5DEE"/>
    <w:rsid w:val="00ED716C"/>
    <w:rsid w:val="00ED7F4C"/>
    <w:rsid w:val="00EE0D59"/>
    <w:rsid w:val="00EE528A"/>
    <w:rsid w:val="00EE58B5"/>
    <w:rsid w:val="00EE617D"/>
    <w:rsid w:val="00EE7608"/>
    <w:rsid w:val="00EF1791"/>
    <w:rsid w:val="00EF1C83"/>
    <w:rsid w:val="00EF22A1"/>
    <w:rsid w:val="00EF4B02"/>
    <w:rsid w:val="00F03661"/>
    <w:rsid w:val="00F047BC"/>
    <w:rsid w:val="00F069CD"/>
    <w:rsid w:val="00F1139B"/>
    <w:rsid w:val="00F11967"/>
    <w:rsid w:val="00F128A3"/>
    <w:rsid w:val="00F13BD3"/>
    <w:rsid w:val="00F161C6"/>
    <w:rsid w:val="00F200B0"/>
    <w:rsid w:val="00F243D7"/>
    <w:rsid w:val="00F2630B"/>
    <w:rsid w:val="00F26EB3"/>
    <w:rsid w:val="00F316AA"/>
    <w:rsid w:val="00F35F3E"/>
    <w:rsid w:val="00F40800"/>
    <w:rsid w:val="00F40C4C"/>
    <w:rsid w:val="00F42BB7"/>
    <w:rsid w:val="00F42BF4"/>
    <w:rsid w:val="00F45658"/>
    <w:rsid w:val="00F47910"/>
    <w:rsid w:val="00F47FC2"/>
    <w:rsid w:val="00F50914"/>
    <w:rsid w:val="00F526B0"/>
    <w:rsid w:val="00F52AA9"/>
    <w:rsid w:val="00F56534"/>
    <w:rsid w:val="00F56993"/>
    <w:rsid w:val="00F6106E"/>
    <w:rsid w:val="00F6317C"/>
    <w:rsid w:val="00F65515"/>
    <w:rsid w:val="00F65AC0"/>
    <w:rsid w:val="00F6697A"/>
    <w:rsid w:val="00F67AA1"/>
    <w:rsid w:val="00F70258"/>
    <w:rsid w:val="00F71AEB"/>
    <w:rsid w:val="00F723EE"/>
    <w:rsid w:val="00F74193"/>
    <w:rsid w:val="00F748CE"/>
    <w:rsid w:val="00F752C5"/>
    <w:rsid w:val="00F75A42"/>
    <w:rsid w:val="00F76E96"/>
    <w:rsid w:val="00F77E59"/>
    <w:rsid w:val="00F80810"/>
    <w:rsid w:val="00F82499"/>
    <w:rsid w:val="00F9037D"/>
    <w:rsid w:val="00F91285"/>
    <w:rsid w:val="00F9451D"/>
    <w:rsid w:val="00F95A5F"/>
    <w:rsid w:val="00F95FE1"/>
    <w:rsid w:val="00F965AF"/>
    <w:rsid w:val="00F9722B"/>
    <w:rsid w:val="00F972B1"/>
    <w:rsid w:val="00FA1389"/>
    <w:rsid w:val="00FA4E72"/>
    <w:rsid w:val="00FA666B"/>
    <w:rsid w:val="00FA7380"/>
    <w:rsid w:val="00FB0FCD"/>
    <w:rsid w:val="00FB10AC"/>
    <w:rsid w:val="00FB2E6B"/>
    <w:rsid w:val="00FB65EA"/>
    <w:rsid w:val="00FB6E24"/>
    <w:rsid w:val="00FB7685"/>
    <w:rsid w:val="00FC0569"/>
    <w:rsid w:val="00FC1BF8"/>
    <w:rsid w:val="00FC5269"/>
    <w:rsid w:val="00FD08BE"/>
    <w:rsid w:val="00FD0D11"/>
    <w:rsid w:val="00FD3633"/>
    <w:rsid w:val="00FD616D"/>
    <w:rsid w:val="00FD7EED"/>
    <w:rsid w:val="00FE0364"/>
    <w:rsid w:val="00FE1A6B"/>
    <w:rsid w:val="00FF2D17"/>
    <w:rsid w:val="00FF5DEB"/>
    <w:rsid w:val="00FF5FEB"/>
    <w:rsid w:val="00FF71A3"/>
    <w:rsid w:val="06547C28"/>
    <w:rsid w:val="0F426697"/>
    <w:rsid w:val="1AA72985"/>
    <w:rsid w:val="246B7E9D"/>
    <w:rsid w:val="30F607E9"/>
    <w:rsid w:val="3AD72AA8"/>
    <w:rsid w:val="3C31687E"/>
    <w:rsid w:val="47669D70"/>
    <w:rsid w:val="5614DA3F"/>
    <w:rsid w:val="5A2646E1"/>
    <w:rsid w:val="5EEC1744"/>
    <w:rsid w:val="60F15C28"/>
    <w:rsid w:val="6534AD50"/>
    <w:rsid w:val="69BFD88C"/>
    <w:rsid w:val="6B9256A0"/>
    <w:rsid w:val="6F09CCC3"/>
    <w:rsid w:val="7A251AD2"/>
    <w:rsid w:val="7AC4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A9A8D4"/>
  <w14:defaultImageDpi w14:val="32767"/>
  <w15:chartTrackingRefBased/>
  <w15:docId w15:val="{84492865-F34A-42B3-A2FF-0CA86A3C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11"/>
    <w:pPr>
      <w:spacing w:before="120" w:after="120" w:line="240" w:lineRule="auto"/>
    </w:pPr>
    <w:rPr>
      <w:rFonts w:ascii="Aptos" w:hAnsi="Aptos"/>
      <w:kern w:val="0"/>
      <w:sz w:val="20"/>
      <w14:ligatures w14:val="none"/>
    </w:rPr>
  </w:style>
  <w:style w:type="paragraph" w:styleId="Heading1">
    <w:name w:val="heading 1"/>
    <w:basedOn w:val="Normal"/>
    <w:next w:val="Normal"/>
    <w:link w:val="Heading1Char"/>
    <w:uiPriority w:val="9"/>
    <w:rsid w:val="00BA6A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7A80"/>
    <w:pPr>
      <w:tabs>
        <w:tab w:val="center" w:pos="4680"/>
        <w:tab w:val="right" w:pos="9360"/>
      </w:tabs>
      <w:spacing w:before="0" w:after="0"/>
    </w:pPr>
  </w:style>
  <w:style w:type="character" w:customStyle="1" w:styleId="FooterChar">
    <w:name w:val="Footer Char"/>
    <w:basedOn w:val="DefaultParagraphFont"/>
    <w:link w:val="Footer"/>
    <w:uiPriority w:val="99"/>
    <w:rsid w:val="008F7A80"/>
    <w:rPr>
      <w:rFonts w:ascii="Aptos" w:hAnsi="Aptos"/>
      <w:kern w:val="0"/>
      <w:sz w:val="20"/>
      <w14:ligatures w14:val="none"/>
    </w:rPr>
  </w:style>
  <w:style w:type="table" w:styleId="TableGrid">
    <w:name w:val="Table Grid"/>
    <w:basedOn w:val="TableNormal"/>
    <w:uiPriority w:val="39"/>
    <w:rsid w:val="00CA03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FooterAddress">
    <w:name w:val="GH_Footer Address"/>
    <w:basedOn w:val="GHBodytext"/>
    <w:autoRedefine/>
    <w:qFormat/>
    <w:rsid w:val="00D04344"/>
    <w:pPr>
      <w:tabs>
        <w:tab w:val="right" w:pos="9360"/>
      </w:tabs>
      <w:spacing w:after="0" w:line="240" w:lineRule="exact"/>
    </w:pPr>
    <w:rPr>
      <w:rFonts w:eastAsia="Times New Roman" w:cs="Arial"/>
      <w:sz w:val="16"/>
      <w:szCs w:val="24"/>
    </w:rPr>
  </w:style>
  <w:style w:type="paragraph" w:customStyle="1" w:styleId="GHSubjectDescription">
    <w:name w:val="GH_Subject_Description"/>
    <w:basedOn w:val="GHBodytext"/>
    <w:qFormat/>
    <w:rsid w:val="005D7E25"/>
    <w:pPr>
      <w:spacing w:before="360" w:after="360"/>
    </w:pPr>
    <w:rPr>
      <w:b/>
      <w:bCs w:val="0"/>
    </w:rPr>
  </w:style>
  <w:style w:type="paragraph" w:customStyle="1" w:styleId="GHBodytext">
    <w:name w:val="GH_Bodytext"/>
    <w:basedOn w:val="Normal"/>
    <w:qFormat/>
    <w:rsid w:val="00D04344"/>
    <w:pPr>
      <w:spacing w:before="0" w:after="60" w:line="257" w:lineRule="auto"/>
    </w:pPr>
    <w:rPr>
      <w:rFonts w:ascii="Aptos Light" w:hAnsi="Aptos Light"/>
      <w:bCs/>
    </w:rPr>
  </w:style>
  <w:style w:type="paragraph" w:styleId="Header">
    <w:name w:val="header"/>
    <w:basedOn w:val="GHBodytext"/>
    <w:link w:val="HeaderChar"/>
    <w:uiPriority w:val="99"/>
    <w:unhideWhenUsed/>
    <w:qFormat/>
    <w:rsid w:val="005D7E25"/>
    <w:pPr>
      <w:tabs>
        <w:tab w:val="center" w:pos="4680"/>
        <w:tab w:val="right" w:pos="9360"/>
      </w:tabs>
    </w:pPr>
  </w:style>
  <w:style w:type="character" w:customStyle="1" w:styleId="HeaderChar">
    <w:name w:val="Header Char"/>
    <w:basedOn w:val="DefaultParagraphFont"/>
    <w:link w:val="Header"/>
    <w:uiPriority w:val="99"/>
    <w:rsid w:val="005D7E25"/>
    <w:rPr>
      <w:rFonts w:ascii="Aptos Light" w:hAnsi="Aptos Light"/>
      <w:bCs/>
      <w:kern w:val="0"/>
      <w:sz w:val="20"/>
      <w14:ligatures w14:val="none"/>
    </w:rPr>
  </w:style>
  <w:style w:type="character" w:styleId="CommentReference">
    <w:name w:val="annotation reference"/>
    <w:basedOn w:val="DefaultParagraphFont"/>
    <w:uiPriority w:val="99"/>
    <w:semiHidden/>
    <w:unhideWhenUsed/>
    <w:rsid w:val="000B3C76"/>
    <w:rPr>
      <w:sz w:val="16"/>
      <w:szCs w:val="16"/>
    </w:rPr>
  </w:style>
  <w:style w:type="paragraph" w:styleId="CommentText">
    <w:name w:val="annotation text"/>
    <w:basedOn w:val="Normal"/>
    <w:link w:val="CommentTextChar"/>
    <w:uiPriority w:val="99"/>
    <w:unhideWhenUsed/>
    <w:rsid w:val="000B3C76"/>
    <w:rPr>
      <w:szCs w:val="20"/>
    </w:rPr>
  </w:style>
  <w:style w:type="character" w:customStyle="1" w:styleId="CommentTextChar">
    <w:name w:val="Comment Text Char"/>
    <w:basedOn w:val="DefaultParagraphFont"/>
    <w:link w:val="CommentText"/>
    <w:uiPriority w:val="99"/>
    <w:rsid w:val="000B3C76"/>
    <w:rPr>
      <w:rFonts w:ascii="Aptos" w:hAnsi="Aptos"/>
      <w:color w:val="44546A" w:themeColor="text2"/>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3C76"/>
    <w:rPr>
      <w:b/>
      <w:bCs/>
    </w:rPr>
  </w:style>
  <w:style w:type="character" w:customStyle="1" w:styleId="CommentSubjectChar">
    <w:name w:val="Comment Subject Char"/>
    <w:basedOn w:val="CommentTextChar"/>
    <w:link w:val="CommentSubject"/>
    <w:uiPriority w:val="99"/>
    <w:semiHidden/>
    <w:rsid w:val="000B3C76"/>
    <w:rPr>
      <w:rFonts w:ascii="Aptos" w:hAnsi="Aptos"/>
      <w:b/>
      <w:bCs/>
      <w:color w:val="44546A" w:themeColor="text2"/>
      <w:kern w:val="0"/>
      <w:sz w:val="20"/>
      <w:szCs w:val="20"/>
      <w14:ligatures w14:val="none"/>
    </w:rPr>
  </w:style>
  <w:style w:type="paragraph" w:styleId="BodyText">
    <w:name w:val="Body Text"/>
    <w:basedOn w:val="Normal"/>
    <w:link w:val="BodyTextChar"/>
    <w:uiPriority w:val="99"/>
    <w:semiHidden/>
    <w:unhideWhenUsed/>
    <w:rsid w:val="002D43AD"/>
  </w:style>
  <w:style w:type="character" w:customStyle="1" w:styleId="BodyTextChar">
    <w:name w:val="Body Text Char"/>
    <w:basedOn w:val="DefaultParagraphFont"/>
    <w:link w:val="BodyText"/>
    <w:uiPriority w:val="99"/>
    <w:semiHidden/>
    <w:rsid w:val="002D43AD"/>
    <w:rPr>
      <w:rFonts w:ascii="Aptos" w:hAnsi="Aptos"/>
      <w:color w:val="44546A" w:themeColor="text2"/>
      <w:kern w:val="0"/>
      <w:sz w:val="20"/>
      <w14:ligatures w14:val="none"/>
    </w:rPr>
  </w:style>
  <w:style w:type="paragraph" w:customStyle="1" w:styleId="GHTablebodyText">
    <w:name w:val="GH_TablebodyText"/>
    <w:basedOn w:val="GHBodytext"/>
    <w:qFormat/>
    <w:rsid w:val="00D04344"/>
    <w:pPr>
      <w:spacing w:after="0"/>
    </w:pPr>
  </w:style>
  <w:style w:type="character" w:styleId="Hyperlink">
    <w:name w:val="Hyperlink"/>
    <w:basedOn w:val="DefaultParagraphFont"/>
    <w:uiPriority w:val="99"/>
    <w:unhideWhenUsed/>
    <w:rsid w:val="00F76E96"/>
    <w:rPr>
      <w:noProof w:val="0"/>
      <w:color w:val="0070C0"/>
      <w:u w:val="single"/>
      <w:lang w:val="en-US"/>
    </w:rPr>
  </w:style>
  <w:style w:type="paragraph" w:styleId="FootnoteText">
    <w:name w:val="footnote text"/>
    <w:aliases w:val="TBG Style,ALTS FOOTNOTE,Footnote Text 2,fn,Footnote text,FOOTNOTE,Footnote Text1 Char,Footnote Text Char Ch,Footnote Text Char Ch Char Char Char,Footnote Text Char Ch Char Char,Footnote Text1 Char Char Char,ft Char,ft,EMI Footnote Text"/>
    <w:basedOn w:val="Normal"/>
    <w:link w:val="FootnoteTextChar"/>
    <w:uiPriority w:val="99"/>
    <w:unhideWhenUsed/>
    <w:qFormat/>
    <w:rsid w:val="00F76E96"/>
    <w:pPr>
      <w:spacing w:before="0" w:after="0"/>
    </w:pPr>
    <w:rPr>
      <w:rFonts w:ascii="Arial" w:eastAsia="Times New Roman" w:hAnsi="Arial" w:cs="Times New Roman"/>
      <w:szCs w:val="20"/>
    </w:rPr>
  </w:style>
  <w:style w:type="character" w:customStyle="1" w:styleId="FootnoteTextChar">
    <w:name w:val="Footnote Text Char"/>
    <w:aliases w:val="TBG Style Char,ALTS FOOTNOTE Char,Footnote Text 2 Char,fn Char,Footnote text Char,FOOTNOTE Char,Footnote Text1 Char Char,Footnote Text Char Ch Char,Footnote Text Char Ch Char Char Char Char,Footnote Text Char Ch Char Char Char1"/>
    <w:basedOn w:val="DefaultParagraphFont"/>
    <w:link w:val="FootnoteText"/>
    <w:uiPriority w:val="99"/>
    <w:rsid w:val="00F76E96"/>
    <w:rPr>
      <w:rFonts w:ascii="Arial" w:eastAsia="Times New Roman" w:hAnsi="Arial" w:cs="Times New Roman"/>
      <w:kern w:val="0"/>
      <w:sz w:val="20"/>
      <w:szCs w:val="20"/>
      <w14:ligatures w14:val="none"/>
    </w:rPr>
  </w:style>
  <w:style w:type="character" w:styleId="FootnoteReference">
    <w:name w:val="footnote reference"/>
    <w:aliases w:val="o,fr,Style 17,o + Times New Roman,Footnote_Reference"/>
    <w:basedOn w:val="DefaultParagraphFont"/>
    <w:uiPriority w:val="99"/>
    <w:unhideWhenUsed/>
    <w:qFormat/>
    <w:rsid w:val="00F76E96"/>
    <w:rPr>
      <w:vertAlign w:val="superscript"/>
    </w:rPr>
  </w:style>
  <w:style w:type="character" w:styleId="UnresolvedMention">
    <w:name w:val="Unresolved Mention"/>
    <w:basedOn w:val="DefaultParagraphFont"/>
    <w:uiPriority w:val="99"/>
    <w:semiHidden/>
    <w:unhideWhenUsed/>
    <w:rsid w:val="00D81BD4"/>
    <w:rPr>
      <w:color w:val="605E5C"/>
      <w:shd w:val="clear" w:color="auto" w:fill="E1DFDD"/>
    </w:rPr>
  </w:style>
  <w:style w:type="paragraph" w:styleId="ListParagraph">
    <w:name w:val="List Paragraph"/>
    <w:basedOn w:val="Normal"/>
    <w:uiPriority w:val="34"/>
    <w:qFormat/>
    <w:rsid w:val="00321344"/>
    <w:pPr>
      <w:spacing w:before="0" w:after="0"/>
      <w:ind w:left="720"/>
      <w:contextualSpacing/>
    </w:pPr>
    <w:rPr>
      <w:rFonts w:ascii="Times New Roman" w:eastAsiaTheme="minorEastAsia" w:hAnsi="Times New Roman" w:cs="Times New Roman"/>
      <w:sz w:val="24"/>
      <w:szCs w:val="24"/>
    </w:rPr>
  </w:style>
  <w:style w:type="paragraph" w:styleId="Revision">
    <w:name w:val="Revision"/>
    <w:hidden/>
    <w:uiPriority w:val="99"/>
    <w:semiHidden/>
    <w:rsid w:val="00741423"/>
    <w:pPr>
      <w:spacing w:after="0" w:line="240" w:lineRule="auto"/>
    </w:pPr>
    <w:rPr>
      <w:rFonts w:ascii="Aptos" w:hAnsi="Aptos"/>
      <w:kern w:val="0"/>
      <w:sz w:val="20"/>
      <w14:ligatures w14:val="none"/>
    </w:rPr>
  </w:style>
  <w:style w:type="character" w:customStyle="1" w:styleId="Heading1Char">
    <w:name w:val="Heading 1 Char"/>
    <w:basedOn w:val="DefaultParagraphFont"/>
    <w:link w:val="Heading1"/>
    <w:uiPriority w:val="9"/>
    <w:rsid w:val="00BA6A5F"/>
    <w:rPr>
      <w:rFonts w:asciiTheme="majorHAnsi" w:eastAsiaTheme="majorEastAsia" w:hAnsiTheme="majorHAnsi" w:cstheme="majorBidi"/>
      <w:color w:val="2F5496" w:themeColor="accent1" w:themeShade="BF"/>
      <w:kern w:val="0"/>
      <w:sz w:val="32"/>
      <w:szCs w:val="32"/>
      <w14:ligatures w14:val="none"/>
    </w:rPr>
  </w:style>
  <w:style w:type="paragraph" w:styleId="Caption">
    <w:name w:val="caption"/>
    <w:basedOn w:val="Normal"/>
    <w:next w:val="Normal"/>
    <w:uiPriority w:val="35"/>
    <w:unhideWhenUsed/>
    <w:qFormat/>
    <w:rsid w:val="00BA6A5F"/>
    <w:pPr>
      <w:keepNext/>
      <w:spacing w:before="0" w:after="200"/>
    </w:pPr>
    <w:rPr>
      <w:b/>
      <w:i/>
      <w:iCs/>
      <w:color w:val="44546A" w:themeColor="text2"/>
      <w:szCs w:val="18"/>
    </w:rPr>
  </w:style>
  <w:style w:type="character" w:styleId="Mention">
    <w:name w:val="Mention"/>
    <w:basedOn w:val="DefaultParagraphFont"/>
    <w:uiPriority w:val="99"/>
    <w:unhideWhenUsed/>
    <w:rsid w:val="00BA6A5F"/>
    <w:rPr>
      <w:color w:val="2B579A"/>
      <w:shd w:val="clear" w:color="auto" w:fill="E1DFDD"/>
    </w:rPr>
  </w:style>
  <w:style w:type="character" w:styleId="FollowedHyperlink">
    <w:name w:val="FollowedHyperlink"/>
    <w:basedOn w:val="DefaultParagraphFont"/>
    <w:uiPriority w:val="99"/>
    <w:semiHidden/>
    <w:unhideWhenUsed/>
    <w:rsid w:val="000955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rchiverLinkFileType xmlns="b2d023fd-748d-47fb-9def-a48ce366a9e6" xsi:nil="true"/>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9E46E-60D8-4E76-B847-9A93A7A4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9D876-F0F9-4162-9D4D-EA1007A3EC76}">
  <ds:schemaRefs>
    <ds:schemaRef ds:uri="http://schemas.openxmlformats.org/officeDocument/2006/bibliography"/>
  </ds:schemaRefs>
</ds:datastoreItem>
</file>

<file path=customXml/itemProps3.xml><?xml version="1.0" encoding="utf-8"?>
<ds:datastoreItem xmlns:ds="http://schemas.openxmlformats.org/officeDocument/2006/customXml" ds:itemID="{F8B698A1-BD47-44E6-B9F1-3379ABE25C15}">
  <ds:schemaRefs>
    <ds:schemaRef ds:uri="http://schemas.microsoft.com/office/2006/metadata/properties"/>
    <ds:schemaRef ds:uri="http://schemas.microsoft.com/office/infopath/2007/PartnerControls"/>
    <ds:schemaRef ds:uri="b2d023fd-748d-47fb-9def-a48ce366a9e6"/>
    <ds:schemaRef ds:uri="http://schemas.microsoft.com/sharepoint/v3"/>
    <ds:schemaRef ds:uri="c7dbb18a-942d-48ab-becb-8e31551bea5d"/>
  </ds:schemaRefs>
</ds:datastoreItem>
</file>

<file path=customXml/itemProps4.xml><?xml version="1.0" encoding="utf-8"?>
<ds:datastoreItem xmlns:ds="http://schemas.openxmlformats.org/officeDocument/2006/customXml" ds:itemID="{EABD92F0-296A-44F4-852A-FA184D60C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691</Words>
  <Characters>3943</Characters>
  <Application>Microsoft Office Word</Application>
  <DocSecurity>4</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June Fang</cp:lastModifiedBy>
  <cp:revision>255</cp:revision>
  <cp:lastPrinted>2026-01-16T07:22:00Z</cp:lastPrinted>
  <dcterms:created xsi:type="dcterms:W3CDTF">2025-12-18T05:10:00Z</dcterms:created>
  <dcterms:modified xsi:type="dcterms:W3CDTF">2026-02-24T21:22:00Z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0x0101009AFFE6FE768F1F4ABC2259CAA5A5E2B4</vt:lpwstr>
  </property>
  <property fmtid="{D5CDD505-2E9C-101B-9397-08002B2CF9AE}" pid="4" name="docLang">
    <vt:lpwstr>en</vt:lpwstr>
  </property>
</Properties>
</file>