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288" w:type="dxa"/>
        <w:tblLook w:val="00A0" w:firstRow="1" w:lastRow="0" w:firstColumn="1" w:lastColumn="0" w:noHBand="0" w:noVBand="0"/>
      </w:tblPr>
      <w:tblGrid>
        <w:gridCol w:w="826"/>
        <w:gridCol w:w="8390"/>
      </w:tblGrid>
      <w:tr w:rsidR="003B5FD8" w:rsidRPr="00DD3C93" w14:paraId="71BF0C89" w14:textId="77777777" w:rsidTr="00C22F67">
        <w:tc>
          <w:tcPr>
            <w:tcW w:w="826" w:type="dxa"/>
          </w:tcPr>
          <w:p w14:paraId="533C6C03" w14:textId="77777777" w:rsidR="003B5FD8" w:rsidRPr="00DD3C93" w:rsidRDefault="00546E4D" w:rsidP="00632022">
            <w:pPr>
              <w:pStyle w:val="StyleMemoFrameLeft-018cm"/>
            </w:pPr>
            <w:r w:rsidRPr="00DD3C93">
              <w:t>To:</w:t>
            </w:r>
          </w:p>
        </w:tc>
        <w:tc>
          <w:tcPr>
            <w:tcW w:w="8390" w:type="dxa"/>
          </w:tcPr>
          <w:p w14:paraId="5008840F" w14:textId="3376BB61" w:rsidR="00436646" w:rsidRPr="00DD3C93" w:rsidRDefault="00436646">
            <w:pPr>
              <w:pStyle w:val="MemoFrame"/>
              <w:rPr>
                <w:rFonts w:asciiTheme="majorHAnsi" w:hAnsiTheme="majorHAnsi" w:cstheme="majorHAnsi"/>
                <w:b w:val="0"/>
              </w:rPr>
            </w:pPr>
            <w:r w:rsidRPr="00DD3C93">
              <w:rPr>
                <w:rFonts w:asciiTheme="majorHAnsi" w:hAnsiTheme="majorHAnsi" w:cstheme="majorHAnsi"/>
                <w:b w:val="0"/>
              </w:rPr>
              <w:t>Sam Dent, VEIC; Jennifer Morris</w:t>
            </w:r>
            <w:r w:rsidR="00AA65F6" w:rsidRPr="00DD3C93">
              <w:rPr>
                <w:rFonts w:asciiTheme="majorHAnsi" w:hAnsiTheme="majorHAnsi" w:cstheme="majorHAnsi"/>
                <w:b w:val="0"/>
              </w:rPr>
              <w:t>, David Brightwell</w:t>
            </w:r>
            <w:r w:rsidRPr="00DD3C93">
              <w:rPr>
                <w:rFonts w:asciiTheme="majorHAnsi" w:hAnsiTheme="majorHAnsi" w:cstheme="majorHAnsi"/>
                <w:b w:val="0"/>
              </w:rPr>
              <w:t>, ICC</w:t>
            </w:r>
            <w:r w:rsidR="008D2A81" w:rsidRPr="00DD3C93">
              <w:rPr>
                <w:rFonts w:asciiTheme="majorHAnsi" w:hAnsiTheme="majorHAnsi" w:cstheme="majorHAnsi"/>
                <w:b w:val="0"/>
              </w:rPr>
              <w:t xml:space="preserve">; Vince Gutierrez, Erin Daughton, ComEd </w:t>
            </w:r>
          </w:p>
        </w:tc>
      </w:tr>
      <w:tr w:rsidR="003B5FD8" w:rsidRPr="00DD3C93" w14:paraId="1C4D2C05" w14:textId="77777777" w:rsidTr="00C22F67">
        <w:tc>
          <w:tcPr>
            <w:tcW w:w="826" w:type="dxa"/>
          </w:tcPr>
          <w:p w14:paraId="4950E2D9" w14:textId="77777777" w:rsidR="003B5FD8" w:rsidRPr="00DD3C93" w:rsidRDefault="003B5FD8">
            <w:pPr>
              <w:pStyle w:val="MemoFrame"/>
              <w:rPr>
                <w:rFonts w:ascii="Palatino Linotype" w:hAnsi="Palatino Linotype"/>
                <w:bCs/>
              </w:rPr>
            </w:pPr>
          </w:p>
        </w:tc>
        <w:tc>
          <w:tcPr>
            <w:tcW w:w="8390" w:type="dxa"/>
          </w:tcPr>
          <w:p w14:paraId="3F1B7B12" w14:textId="77777777" w:rsidR="003B5FD8" w:rsidRPr="00DD3C93" w:rsidRDefault="003B5FD8">
            <w:pPr>
              <w:pStyle w:val="MemoFrame"/>
              <w:rPr>
                <w:rFonts w:asciiTheme="majorHAnsi" w:hAnsiTheme="majorHAnsi" w:cstheme="majorHAnsi"/>
                <w:b w:val="0"/>
              </w:rPr>
            </w:pPr>
          </w:p>
        </w:tc>
      </w:tr>
      <w:tr w:rsidR="003B5FD8" w:rsidRPr="00DD3C93" w14:paraId="12E9F2EE" w14:textId="77777777" w:rsidTr="00C22F67">
        <w:tc>
          <w:tcPr>
            <w:tcW w:w="826" w:type="dxa"/>
          </w:tcPr>
          <w:p w14:paraId="579E846C" w14:textId="77777777" w:rsidR="003B5FD8" w:rsidRPr="00DD3C93" w:rsidRDefault="00546E4D" w:rsidP="00632022">
            <w:pPr>
              <w:pStyle w:val="StyleMemoFrameLeft-018cm"/>
            </w:pPr>
            <w:r w:rsidRPr="00DD3C93">
              <w:t>From:</w:t>
            </w:r>
          </w:p>
        </w:tc>
        <w:tc>
          <w:tcPr>
            <w:tcW w:w="8390" w:type="dxa"/>
          </w:tcPr>
          <w:p w14:paraId="774AFD72" w14:textId="5FF04D24" w:rsidR="003B5FD8" w:rsidRPr="00DD3C93" w:rsidRDefault="00C74456">
            <w:pPr>
              <w:pStyle w:val="MemoFrame"/>
              <w:rPr>
                <w:rFonts w:asciiTheme="majorHAnsi" w:hAnsiTheme="majorHAnsi" w:cstheme="majorHAnsi"/>
                <w:b w:val="0"/>
              </w:rPr>
            </w:pPr>
            <w:r w:rsidRPr="00DD3C93">
              <w:rPr>
                <w:rFonts w:asciiTheme="majorHAnsi" w:hAnsiTheme="majorHAnsi" w:cstheme="majorHAnsi"/>
                <w:b w:val="0"/>
              </w:rPr>
              <w:t>Rick Berry,</w:t>
            </w:r>
            <w:r w:rsidR="00B52C2D" w:rsidRPr="00DD3C93">
              <w:rPr>
                <w:rFonts w:asciiTheme="majorHAnsi" w:hAnsiTheme="majorHAnsi" w:cstheme="majorHAnsi"/>
                <w:b w:val="0"/>
              </w:rPr>
              <w:t xml:space="preserve"> Charles Ampong, Nishant Mehta,</w:t>
            </w:r>
            <w:r w:rsidRPr="00DD3C93">
              <w:rPr>
                <w:rFonts w:asciiTheme="majorHAnsi" w:hAnsiTheme="majorHAnsi" w:cstheme="majorHAnsi"/>
                <w:b w:val="0"/>
              </w:rPr>
              <w:t xml:space="preserve"> Guidehouse</w:t>
            </w:r>
          </w:p>
        </w:tc>
      </w:tr>
      <w:tr w:rsidR="003B5FD8" w:rsidRPr="00DD3C93" w14:paraId="33AA2EF2" w14:textId="77777777" w:rsidTr="00C22F67">
        <w:tc>
          <w:tcPr>
            <w:tcW w:w="826" w:type="dxa"/>
          </w:tcPr>
          <w:p w14:paraId="34195952" w14:textId="77777777" w:rsidR="003B5FD8" w:rsidRPr="00DD3C93" w:rsidRDefault="003B5FD8">
            <w:pPr>
              <w:pStyle w:val="MemoFrame"/>
              <w:rPr>
                <w:rFonts w:ascii="Palatino Linotype" w:hAnsi="Palatino Linotype"/>
                <w:bCs/>
              </w:rPr>
            </w:pPr>
          </w:p>
        </w:tc>
        <w:tc>
          <w:tcPr>
            <w:tcW w:w="8390" w:type="dxa"/>
          </w:tcPr>
          <w:p w14:paraId="4B8475DB" w14:textId="77777777" w:rsidR="003B5FD8" w:rsidRPr="00DD3C93" w:rsidRDefault="003B5FD8">
            <w:pPr>
              <w:pStyle w:val="MemoFrame"/>
              <w:rPr>
                <w:rFonts w:asciiTheme="majorHAnsi" w:hAnsiTheme="majorHAnsi" w:cstheme="majorHAnsi"/>
                <w:b w:val="0"/>
              </w:rPr>
            </w:pPr>
          </w:p>
        </w:tc>
      </w:tr>
      <w:tr w:rsidR="003B5FD8" w:rsidRPr="00DD3C93" w14:paraId="1B64707D" w14:textId="77777777" w:rsidTr="00C22F67">
        <w:tc>
          <w:tcPr>
            <w:tcW w:w="826" w:type="dxa"/>
          </w:tcPr>
          <w:p w14:paraId="22D7D255" w14:textId="77777777" w:rsidR="003B5FD8" w:rsidRPr="00DD3C93" w:rsidRDefault="00546E4D" w:rsidP="00632022">
            <w:pPr>
              <w:pStyle w:val="StyleMemoFrameLeft-018cm"/>
            </w:pPr>
            <w:r w:rsidRPr="00DD3C93">
              <w:t>Date:</w:t>
            </w:r>
          </w:p>
        </w:tc>
        <w:tc>
          <w:tcPr>
            <w:tcW w:w="8390" w:type="dxa"/>
          </w:tcPr>
          <w:p w14:paraId="4CACC73E" w14:textId="6DB55719" w:rsidR="003B5FD8" w:rsidRPr="00DD3C93" w:rsidRDefault="00FB78C6" w:rsidP="00A94D41">
            <w:pPr>
              <w:pStyle w:val="MemoFrame"/>
              <w:rPr>
                <w:rFonts w:asciiTheme="majorHAnsi" w:hAnsiTheme="majorHAnsi" w:cstheme="majorHAnsi"/>
                <w:b w:val="0"/>
              </w:rPr>
            </w:pPr>
            <w:r>
              <w:rPr>
                <w:rFonts w:asciiTheme="majorHAnsi" w:hAnsiTheme="majorHAnsi" w:cstheme="majorHAnsi"/>
                <w:b w:val="0"/>
              </w:rPr>
              <w:t>August 4</w:t>
            </w:r>
            <w:r w:rsidR="00C74456" w:rsidRPr="00DD3C93">
              <w:rPr>
                <w:rFonts w:asciiTheme="majorHAnsi" w:hAnsiTheme="majorHAnsi" w:cstheme="majorHAnsi"/>
                <w:b w:val="0"/>
              </w:rPr>
              <w:t>, 2020</w:t>
            </w:r>
          </w:p>
        </w:tc>
      </w:tr>
      <w:tr w:rsidR="003B5FD8" w:rsidRPr="00DD3C93" w14:paraId="2D43C376" w14:textId="77777777" w:rsidTr="00C22F67">
        <w:tc>
          <w:tcPr>
            <w:tcW w:w="826" w:type="dxa"/>
          </w:tcPr>
          <w:p w14:paraId="773C3284" w14:textId="77777777" w:rsidR="003B5FD8" w:rsidRPr="00DD3C93" w:rsidRDefault="003B5FD8">
            <w:pPr>
              <w:pStyle w:val="MemoFrame"/>
              <w:rPr>
                <w:rFonts w:ascii="Palatino Linotype" w:hAnsi="Palatino Linotype"/>
                <w:bCs/>
              </w:rPr>
            </w:pPr>
          </w:p>
        </w:tc>
        <w:tc>
          <w:tcPr>
            <w:tcW w:w="8390" w:type="dxa"/>
          </w:tcPr>
          <w:p w14:paraId="5B6ADA41" w14:textId="77777777" w:rsidR="003B5FD8" w:rsidRPr="00DD3C93" w:rsidRDefault="003B5FD8">
            <w:pPr>
              <w:pStyle w:val="MemoFrame"/>
              <w:rPr>
                <w:rFonts w:asciiTheme="majorHAnsi" w:hAnsiTheme="majorHAnsi" w:cstheme="majorHAnsi"/>
                <w:b w:val="0"/>
              </w:rPr>
            </w:pPr>
          </w:p>
        </w:tc>
      </w:tr>
      <w:tr w:rsidR="003B5FD8" w:rsidRPr="00DD3C93" w14:paraId="20A5BAA6" w14:textId="77777777" w:rsidTr="00C22F67">
        <w:tc>
          <w:tcPr>
            <w:tcW w:w="826" w:type="dxa"/>
          </w:tcPr>
          <w:p w14:paraId="1BAE4329" w14:textId="77777777" w:rsidR="003B5FD8" w:rsidRPr="00DD3C93" w:rsidRDefault="00546E4D" w:rsidP="00632022">
            <w:pPr>
              <w:pStyle w:val="StyleMemoFrameLeft-018cm"/>
            </w:pPr>
            <w:r w:rsidRPr="00DD3C93">
              <w:t>Re:</w:t>
            </w:r>
          </w:p>
        </w:tc>
        <w:tc>
          <w:tcPr>
            <w:tcW w:w="8390" w:type="dxa"/>
          </w:tcPr>
          <w:p w14:paraId="075345B4" w14:textId="1EA9AF17" w:rsidR="003B5FD8" w:rsidRPr="00DD3C93" w:rsidRDefault="00C74456">
            <w:pPr>
              <w:pStyle w:val="MemoFrame"/>
              <w:rPr>
                <w:rFonts w:asciiTheme="majorHAnsi" w:hAnsiTheme="majorHAnsi" w:cstheme="majorHAnsi"/>
                <w:b w:val="0"/>
              </w:rPr>
            </w:pPr>
            <w:r w:rsidRPr="00DD3C93">
              <w:rPr>
                <w:rFonts w:asciiTheme="majorHAnsi" w:hAnsiTheme="majorHAnsi" w:cstheme="majorHAnsi"/>
                <w:b w:val="0"/>
              </w:rPr>
              <w:t>Treatment of Negative</w:t>
            </w:r>
            <w:r w:rsidR="004055BA" w:rsidRPr="00DD3C93">
              <w:rPr>
                <w:rFonts w:asciiTheme="majorHAnsi" w:hAnsiTheme="majorHAnsi" w:cstheme="majorHAnsi"/>
                <w:b w:val="0"/>
              </w:rPr>
              <w:t xml:space="preserve"> Electric and Gas </w:t>
            </w:r>
            <w:r w:rsidRPr="00DD3C93">
              <w:rPr>
                <w:rFonts w:asciiTheme="majorHAnsi" w:hAnsiTheme="majorHAnsi" w:cstheme="majorHAnsi"/>
                <w:b w:val="0"/>
              </w:rPr>
              <w:t>Savings by Evaluation</w:t>
            </w:r>
          </w:p>
        </w:tc>
      </w:tr>
    </w:tbl>
    <w:p w14:paraId="10F624E2" w14:textId="77777777" w:rsidR="002F21D4" w:rsidRPr="00DD3C93" w:rsidRDefault="002F21D4" w:rsidP="002F21D4">
      <w:pPr>
        <w:pStyle w:val="Heading1"/>
      </w:pPr>
      <w:r w:rsidRPr="00DD3C93">
        <w:t>Introduction</w:t>
      </w:r>
    </w:p>
    <w:p w14:paraId="7C5A8511" w14:textId="6EAED5C0" w:rsidR="00B63E3B" w:rsidRPr="00DD3C93" w:rsidRDefault="00C74456" w:rsidP="002F21D4">
      <w:bookmarkStart w:id="0" w:name="_Ref483559393"/>
      <w:r w:rsidRPr="00DD3C93">
        <w:t>Throughout the evaluation cycle there are several instances where the concept</w:t>
      </w:r>
      <w:r w:rsidR="00B63E3B" w:rsidRPr="00DD3C93">
        <w:t>s</w:t>
      </w:r>
      <w:r w:rsidRPr="00DD3C93">
        <w:t xml:space="preserve"> of negative savings </w:t>
      </w:r>
      <w:r w:rsidR="00B63E3B" w:rsidRPr="00DD3C93">
        <w:t>and heating penalties are</w:t>
      </w:r>
      <w:r w:rsidRPr="00DD3C93">
        <w:t xml:space="preserve"> presented. </w:t>
      </w:r>
      <w:r w:rsidR="00B63E3B" w:rsidRPr="00DD3C93">
        <w:t xml:space="preserve">For clarification, </w:t>
      </w:r>
      <w:r w:rsidR="00F35A60" w:rsidRPr="00DD3C93">
        <w:t>in this memo:</w:t>
      </w:r>
    </w:p>
    <w:p w14:paraId="39954021" w14:textId="5E994938" w:rsidR="00B63E3B" w:rsidRPr="00DD3C93" w:rsidRDefault="00B63E3B" w:rsidP="00B63E3B">
      <w:pPr>
        <w:pStyle w:val="ListParagraph"/>
        <w:numPr>
          <w:ilvl w:val="0"/>
          <w:numId w:val="50"/>
        </w:numPr>
      </w:pPr>
      <w:r w:rsidRPr="00DD3C93">
        <w:t>“negative savings” refers to savings values that correctly calculate to negative values</w:t>
      </w:r>
    </w:p>
    <w:p w14:paraId="26617DFC" w14:textId="77777777" w:rsidR="00F35A60" w:rsidRPr="00DD3C93" w:rsidRDefault="00B63E3B" w:rsidP="00B63E3B">
      <w:pPr>
        <w:pStyle w:val="ListParagraph"/>
        <w:numPr>
          <w:ilvl w:val="0"/>
          <w:numId w:val="50"/>
        </w:numPr>
      </w:pPr>
      <w:r w:rsidRPr="00DD3C93">
        <w:t>“heating penalties” refers to negative interactive effects on the heating system.</w:t>
      </w:r>
      <w:r w:rsidRPr="00DD3C93">
        <w:rPr>
          <w:rStyle w:val="FootnoteReference"/>
        </w:rPr>
        <w:footnoteReference w:id="1"/>
      </w:r>
    </w:p>
    <w:p w14:paraId="7835DBDA" w14:textId="424E0E97" w:rsidR="00B63E3B" w:rsidRPr="00DD3C93" w:rsidRDefault="00B63E3B" w:rsidP="00DD3C93"/>
    <w:p w14:paraId="649DDA2C" w14:textId="43020558" w:rsidR="00F41538" w:rsidRPr="00DD3C93" w:rsidRDefault="00B63E3B" w:rsidP="00B63E3B">
      <w:r w:rsidRPr="00DD3C93">
        <w:t xml:space="preserve">While negative savings can be generated in both electric and gas programs, heating penalties are typically only generated by electric measures. </w:t>
      </w:r>
      <w:r w:rsidR="00C74456" w:rsidRPr="00DD3C93">
        <w:t>This memo presents these scenarios</w:t>
      </w:r>
      <w:r w:rsidR="00B82E24" w:rsidRPr="00DD3C93">
        <w:t xml:space="preserve"> (outlined in</w:t>
      </w:r>
      <w:r w:rsidR="0046448C" w:rsidRPr="00DD3C93">
        <w:t xml:space="preserve"> </w:t>
      </w:r>
      <w:r w:rsidR="0046448C" w:rsidRPr="00DD3C93">
        <w:fldChar w:fldCharType="begin"/>
      </w:r>
      <w:r w:rsidR="0046448C" w:rsidRPr="00DD3C93">
        <w:instrText xml:space="preserve"> REF _Ref45186858 \h </w:instrText>
      </w:r>
      <w:r w:rsidR="0046448C" w:rsidRPr="00DD3C93">
        <w:fldChar w:fldCharType="separate"/>
      </w:r>
      <w:r w:rsidR="0046448C" w:rsidRPr="00DD3C93">
        <w:t xml:space="preserve">Table </w:t>
      </w:r>
      <w:r w:rsidR="0046448C" w:rsidRPr="00DD3C93">
        <w:rPr>
          <w:noProof/>
        </w:rPr>
        <w:t>1</w:t>
      </w:r>
      <w:r w:rsidR="0046448C" w:rsidRPr="00DD3C93">
        <w:fldChar w:fldCharType="end"/>
      </w:r>
      <w:r w:rsidR="00B82E24" w:rsidRPr="00DD3C93">
        <w:t>)</w:t>
      </w:r>
      <w:r w:rsidR="00C74456" w:rsidRPr="00DD3C93">
        <w:t xml:space="preserve"> to clarify how Guidehouse has historically treated them while also asking for clarification on how to treat them in the future.</w:t>
      </w:r>
      <w:r w:rsidR="004055BA" w:rsidRPr="00DD3C93">
        <w:t xml:space="preserve"> </w:t>
      </w:r>
    </w:p>
    <w:p w14:paraId="2769C178" w14:textId="77777777" w:rsidR="00D34F42" w:rsidRPr="00DD3C93" w:rsidRDefault="00D34F42" w:rsidP="002F21D4"/>
    <w:p w14:paraId="16784D6F" w14:textId="282C0AEB" w:rsidR="00F41538" w:rsidRPr="00DD3C93" w:rsidRDefault="00D34F42" w:rsidP="00D34F42">
      <w:pPr>
        <w:pStyle w:val="Caption"/>
      </w:pPr>
      <w:bookmarkStart w:id="1" w:name="_Ref45186858"/>
      <w:r w:rsidRPr="00DD3C93">
        <w:t xml:space="preserve">Table </w:t>
      </w:r>
      <w:fldSimple w:instr=" SEQ Table \* ARABIC ">
        <w:r w:rsidR="0046448C" w:rsidRPr="00DD3C93">
          <w:rPr>
            <w:noProof/>
          </w:rPr>
          <w:t>1</w:t>
        </w:r>
      </w:fldSimple>
      <w:bookmarkEnd w:id="1"/>
      <w:r w:rsidRPr="00DD3C93">
        <w:t>. Guidehouse Action by Scenario</w:t>
      </w:r>
    </w:p>
    <w:tbl>
      <w:tblPr>
        <w:tblStyle w:val="EnergyTable"/>
        <w:tblW w:w="5000" w:type="pct"/>
        <w:jc w:val="left"/>
        <w:tblLook w:val="04A0" w:firstRow="1" w:lastRow="0" w:firstColumn="1" w:lastColumn="0" w:noHBand="0" w:noVBand="1"/>
      </w:tblPr>
      <w:tblGrid>
        <w:gridCol w:w="4500"/>
        <w:gridCol w:w="4500"/>
      </w:tblGrid>
      <w:tr w:rsidR="00F41538" w:rsidRPr="00DD3C93" w14:paraId="34A509DF" w14:textId="77777777" w:rsidTr="008C3687">
        <w:trPr>
          <w:cnfStyle w:val="100000000000" w:firstRow="1" w:lastRow="0" w:firstColumn="0" w:lastColumn="0" w:oddVBand="0" w:evenVBand="0" w:oddHBand="0" w:evenHBand="0" w:firstRowFirstColumn="0" w:firstRowLastColumn="0" w:lastRowFirstColumn="0" w:lastRowLastColumn="0"/>
          <w:tblHeader/>
          <w:jc w:val="left"/>
        </w:trPr>
        <w:tc>
          <w:tcPr>
            <w:cnfStyle w:val="001000000000" w:firstRow="0" w:lastRow="0" w:firstColumn="1" w:lastColumn="0" w:oddVBand="0" w:evenVBand="0" w:oddHBand="0" w:evenHBand="0" w:firstRowFirstColumn="0" w:firstRowLastColumn="0" w:lastRowFirstColumn="0" w:lastRowLastColumn="0"/>
            <w:tcW w:w="2500" w:type="pct"/>
          </w:tcPr>
          <w:p w14:paraId="7BCF23D5" w14:textId="560A8CF0" w:rsidR="00F41538" w:rsidRPr="00DD3C93" w:rsidRDefault="00F41538" w:rsidP="008C3687">
            <w:pPr>
              <w:jc w:val="left"/>
              <w:rPr>
                <w:color w:val="FFFFFF" w:themeColor="background1"/>
              </w:rPr>
            </w:pPr>
            <w:r w:rsidRPr="00DD3C93">
              <w:rPr>
                <w:color w:val="FFFFFF" w:themeColor="background1"/>
              </w:rPr>
              <w:t>Scenario</w:t>
            </w:r>
          </w:p>
        </w:tc>
        <w:tc>
          <w:tcPr>
            <w:tcW w:w="2500" w:type="pct"/>
          </w:tcPr>
          <w:p w14:paraId="549E9013" w14:textId="5C1BF25A" w:rsidR="00F41538" w:rsidRPr="00DD3C93" w:rsidRDefault="00F41538" w:rsidP="008C3687">
            <w:pPr>
              <w:jc w:val="left"/>
              <w:cnfStyle w:val="100000000000" w:firstRow="1" w:lastRow="0" w:firstColumn="0" w:lastColumn="0" w:oddVBand="0" w:evenVBand="0" w:oddHBand="0" w:evenHBand="0" w:firstRowFirstColumn="0" w:firstRowLastColumn="0" w:lastRowFirstColumn="0" w:lastRowLastColumn="0"/>
              <w:rPr>
                <w:color w:val="FFFFFF" w:themeColor="background1"/>
              </w:rPr>
            </w:pPr>
            <w:r w:rsidRPr="00DD3C93">
              <w:rPr>
                <w:color w:val="FFFFFF" w:themeColor="background1"/>
              </w:rPr>
              <w:t>Traditional Guidehouse Action</w:t>
            </w:r>
          </w:p>
        </w:tc>
      </w:tr>
      <w:tr w:rsidR="00F41538" w:rsidRPr="00DD3C93" w14:paraId="45CD92A5" w14:textId="77777777" w:rsidTr="008C3687">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2500" w:type="pct"/>
          </w:tcPr>
          <w:p w14:paraId="3A786E6D" w14:textId="5FC8D4E1" w:rsidR="00F41538" w:rsidRPr="00DD3C93" w:rsidRDefault="00F41538" w:rsidP="008C3687">
            <w:pPr>
              <w:jc w:val="left"/>
              <w:rPr>
                <w:rFonts w:ascii="Arial Narrow" w:hAnsi="Arial Narrow"/>
              </w:rPr>
            </w:pPr>
            <w:r w:rsidRPr="00DD3C93">
              <w:rPr>
                <w:rFonts w:ascii="Arial Narrow" w:hAnsi="Arial Narrow"/>
                <w:b/>
                <w:bCs/>
              </w:rPr>
              <w:t xml:space="preserve">Appropriate Result of Project Disaggregation </w:t>
            </w:r>
            <w:r w:rsidR="00691AE1" w:rsidRPr="00DD3C93">
              <w:rPr>
                <w:rFonts w:ascii="Arial Narrow" w:hAnsi="Arial Narrow"/>
                <w:b/>
                <w:bCs/>
              </w:rPr>
              <w:br/>
            </w:r>
            <w:r w:rsidRPr="00DD3C93">
              <w:rPr>
                <w:rFonts w:ascii="Arial Narrow" w:hAnsi="Arial Narrow"/>
              </w:rPr>
              <w:t xml:space="preserve">(one or more individual tracking data line items are negative but part of a larger project that is net positive) </w:t>
            </w:r>
          </w:p>
        </w:tc>
        <w:tc>
          <w:tcPr>
            <w:tcW w:w="2500" w:type="pct"/>
          </w:tcPr>
          <w:p w14:paraId="39313133" w14:textId="6ABBFA78" w:rsidR="00F41538" w:rsidRPr="00DD3C93" w:rsidRDefault="0016686D" w:rsidP="008C3687">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D3C93">
              <w:rPr>
                <w:rFonts w:ascii="Arial Narrow" w:hAnsi="Arial Narrow"/>
              </w:rPr>
              <w:t>Sum the negative values with positive values at project</w:t>
            </w:r>
            <w:r w:rsidRPr="00DD3C93">
              <w:rPr>
                <w:rFonts w:ascii="Arial Narrow" w:hAnsi="Arial Narrow"/>
                <w:color w:val="1F497D"/>
              </w:rPr>
              <w:t xml:space="preserve"> </w:t>
            </w:r>
            <w:r w:rsidRPr="00DD3C93">
              <w:rPr>
                <w:rFonts w:ascii="Arial Narrow" w:hAnsi="Arial Narrow"/>
              </w:rPr>
              <w:t>level.</w:t>
            </w:r>
          </w:p>
        </w:tc>
      </w:tr>
      <w:tr w:rsidR="00F41538" w:rsidRPr="00DD3C93" w14:paraId="468EF12E" w14:textId="77777777" w:rsidTr="008C3687">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2500" w:type="pct"/>
          </w:tcPr>
          <w:p w14:paraId="63E047C6" w14:textId="3F93E2E6" w:rsidR="00F41538" w:rsidRPr="00DD3C93" w:rsidRDefault="00F41538" w:rsidP="008C3687">
            <w:pPr>
              <w:jc w:val="left"/>
              <w:rPr>
                <w:rFonts w:ascii="Arial Narrow" w:hAnsi="Arial Narrow"/>
              </w:rPr>
            </w:pPr>
            <w:r w:rsidRPr="00DD3C93">
              <w:rPr>
                <w:rFonts w:ascii="Arial Narrow" w:hAnsi="Arial Narrow"/>
                <w:b/>
                <w:bCs/>
              </w:rPr>
              <w:t>Appropriate Result of Unexpected Customer</w:t>
            </w:r>
            <w:r w:rsidR="008D2A81" w:rsidRPr="00DD3C93">
              <w:rPr>
                <w:rFonts w:ascii="Arial Narrow" w:hAnsi="Arial Narrow"/>
                <w:b/>
                <w:bCs/>
              </w:rPr>
              <w:t xml:space="preserve"> or </w:t>
            </w:r>
            <w:r w:rsidRPr="00DD3C93">
              <w:rPr>
                <w:rFonts w:ascii="Arial Narrow" w:hAnsi="Arial Narrow"/>
                <w:b/>
                <w:bCs/>
              </w:rPr>
              <w:t xml:space="preserve">Trade Ally Action </w:t>
            </w:r>
            <w:r w:rsidR="00691AE1" w:rsidRPr="00DD3C93">
              <w:rPr>
                <w:rFonts w:ascii="Arial Narrow" w:hAnsi="Arial Narrow"/>
                <w:b/>
                <w:bCs/>
              </w:rPr>
              <w:br/>
            </w:r>
            <w:r w:rsidRPr="00DD3C93">
              <w:rPr>
                <w:rFonts w:ascii="Arial Narrow" w:hAnsi="Arial Narrow"/>
              </w:rPr>
              <w:t>(e.g., trade ally reducing the amount of thermostat setback to meet customer comfort)</w:t>
            </w:r>
          </w:p>
        </w:tc>
        <w:tc>
          <w:tcPr>
            <w:tcW w:w="2500" w:type="pct"/>
          </w:tcPr>
          <w:p w14:paraId="2E2E7017" w14:textId="5F43DA66" w:rsidR="00F41538" w:rsidRPr="00DD3C93" w:rsidRDefault="00691AE1" w:rsidP="008C3687">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DD3C93">
              <w:rPr>
                <w:rFonts w:ascii="Arial Narrow" w:hAnsi="Arial Narrow"/>
              </w:rPr>
              <w:t xml:space="preserve">Treat negative savings values as verified savings. </w:t>
            </w:r>
          </w:p>
        </w:tc>
      </w:tr>
      <w:tr w:rsidR="00F41538" w:rsidRPr="00DD3C93" w14:paraId="0E90472B" w14:textId="77777777" w:rsidTr="008C3687">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2500" w:type="pct"/>
          </w:tcPr>
          <w:p w14:paraId="03423000" w14:textId="1D67773F" w:rsidR="00F41538" w:rsidRPr="00DD3C93" w:rsidRDefault="00691AE1" w:rsidP="008C3687">
            <w:pPr>
              <w:jc w:val="left"/>
              <w:rPr>
                <w:rFonts w:ascii="Arial Narrow" w:hAnsi="Arial Narrow"/>
              </w:rPr>
            </w:pPr>
            <w:r w:rsidRPr="00DD3C93">
              <w:rPr>
                <w:rFonts w:ascii="Arial Narrow" w:hAnsi="Arial Narrow"/>
                <w:b/>
                <w:bCs/>
              </w:rPr>
              <w:t>Potentially Inappropriate Result of Custom Analysis</w:t>
            </w:r>
            <w:r w:rsidRPr="00DD3C93">
              <w:rPr>
                <w:rFonts w:ascii="Arial Narrow" w:hAnsi="Arial Narrow"/>
                <w:b/>
                <w:bCs/>
              </w:rPr>
              <w:br/>
            </w:r>
            <w:r w:rsidRPr="00DD3C93">
              <w:rPr>
                <w:rFonts w:ascii="Arial Narrow" w:hAnsi="Arial Narrow"/>
              </w:rPr>
              <w:t xml:space="preserve">(e.g., </w:t>
            </w:r>
            <w:r w:rsidR="008D2A81" w:rsidRPr="00DD3C93">
              <w:rPr>
                <w:rFonts w:ascii="Arial Narrow" w:hAnsi="Arial Narrow"/>
              </w:rPr>
              <w:t xml:space="preserve">project-level </w:t>
            </w:r>
            <w:r w:rsidRPr="00DD3C93">
              <w:rPr>
                <w:rFonts w:ascii="Arial Narrow" w:hAnsi="Arial Narrow"/>
              </w:rPr>
              <w:t>billing analysis shows an unexplained increase in energy consumption)</w:t>
            </w:r>
          </w:p>
        </w:tc>
        <w:tc>
          <w:tcPr>
            <w:tcW w:w="2500" w:type="pct"/>
          </w:tcPr>
          <w:p w14:paraId="1D38292C" w14:textId="58B3D86F" w:rsidR="00F41538" w:rsidRPr="00DD3C93" w:rsidRDefault="00691AE1" w:rsidP="008C3687">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D3C93">
              <w:rPr>
                <w:rFonts w:ascii="Arial Narrow" w:hAnsi="Arial Narrow"/>
              </w:rPr>
              <w:t>Treat projects that result in negative savings as zero savings.</w:t>
            </w:r>
          </w:p>
        </w:tc>
      </w:tr>
      <w:tr w:rsidR="00691AE1" w:rsidRPr="00DD3C93" w14:paraId="5EF4886E" w14:textId="77777777" w:rsidTr="008C3687">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2500" w:type="pct"/>
          </w:tcPr>
          <w:p w14:paraId="7A7FA69E" w14:textId="1CE63504" w:rsidR="00691AE1" w:rsidRPr="00DD3C93" w:rsidRDefault="00691AE1" w:rsidP="008C3687">
            <w:pPr>
              <w:jc w:val="left"/>
              <w:rPr>
                <w:rFonts w:ascii="Arial Narrow" w:hAnsi="Arial Narrow"/>
              </w:rPr>
            </w:pPr>
            <w:r w:rsidRPr="00DD3C93">
              <w:rPr>
                <w:rFonts w:ascii="Arial Narrow" w:hAnsi="Arial Narrow"/>
                <w:b/>
                <w:bCs/>
              </w:rPr>
              <w:t>Resulting from Actions Taken to Meet Code</w:t>
            </w:r>
            <w:r w:rsidRPr="00DD3C93">
              <w:rPr>
                <w:rFonts w:ascii="Arial Narrow" w:hAnsi="Arial Narrow"/>
              </w:rPr>
              <w:t xml:space="preserve"> </w:t>
            </w:r>
            <w:r w:rsidRPr="00DD3C93">
              <w:rPr>
                <w:rFonts w:ascii="Arial Narrow" w:hAnsi="Arial Narrow"/>
              </w:rPr>
              <w:br/>
              <w:t>(e.g., custom HVAC project involves among other things, increasing ventilation to meet code)</w:t>
            </w:r>
          </w:p>
        </w:tc>
        <w:tc>
          <w:tcPr>
            <w:tcW w:w="2500" w:type="pct"/>
          </w:tcPr>
          <w:p w14:paraId="0E280412" w14:textId="068301E1" w:rsidR="00691AE1" w:rsidRPr="00DD3C93" w:rsidRDefault="00691AE1" w:rsidP="008C3687">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DD3C93">
              <w:rPr>
                <w:rFonts w:ascii="Arial Narrow" w:hAnsi="Arial Narrow"/>
              </w:rPr>
              <w:t>Treat measures that result in negative savings as zero savings.</w:t>
            </w:r>
          </w:p>
        </w:tc>
      </w:tr>
      <w:tr w:rsidR="00CE6398" w:rsidRPr="00DD3C93" w14:paraId="4D528BBD" w14:textId="77777777" w:rsidTr="008C3687">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2500" w:type="pct"/>
          </w:tcPr>
          <w:p w14:paraId="6622DC85" w14:textId="0EA1AACE" w:rsidR="00CE6398" w:rsidRPr="00DD3C93" w:rsidRDefault="00CE6398" w:rsidP="008C3687">
            <w:pPr>
              <w:jc w:val="left"/>
              <w:rPr>
                <w:rFonts w:ascii="Arial Narrow" w:hAnsi="Arial Narrow"/>
              </w:rPr>
            </w:pPr>
            <w:r w:rsidRPr="00DD3C93">
              <w:rPr>
                <w:rFonts w:ascii="Arial Narrow" w:hAnsi="Arial Narrow"/>
                <w:b/>
                <w:bCs/>
              </w:rPr>
              <w:lastRenderedPageBreak/>
              <w:t>Resulting from Errors in the Illinois Technical Reference Manual (TRM)</w:t>
            </w:r>
            <w:r w:rsidRPr="00DD3C93" w:rsidDel="00F20CF7">
              <w:rPr>
                <w:rFonts w:ascii="Arial Narrow" w:hAnsi="Arial Narrow"/>
                <w:b/>
                <w:bCs/>
              </w:rPr>
              <w:t xml:space="preserve"> </w:t>
            </w:r>
            <w:r w:rsidRPr="00DD3C93">
              <w:rPr>
                <w:rFonts w:ascii="Arial Narrow" w:hAnsi="Arial Narrow"/>
              </w:rPr>
              <w:br/>
              <w:t>(e.g., the TRM v6.0 thermostat algorithm producing negative gas savings where they should be positive)</w:t>
            </w:r>
          </w:p>
        </w:tc>
        <w:tc>
          <w:tcPr>
            <w:tcW w:w="2500" w:type="pct"/>
          </w:tcPr>
          <w:p w14:paraId="6272BE1E" w14:textId="5209B00E" w:rsidR="00CE6398" w:rsidRPr="00DD3C93" w:rsidRDefault="00CE6398" w:rsidP="008C3687">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D3C93">
              <w:rPr>
                <w:rFonts w:ascii="Arial Narrow" w:hAnsi="Arial Narrow"/>
              </w:rPr>
              <w:t>If correctable, correct the TRM error. If unable to correct, treat measures that result in negative savings as zero savings.</w:t>
            </w:r>
          </w:p>
        </w:tc>
      </w:tr>
      <w:tr w:rsidR="00CE6398" w:rsidRPr="00DD3C93" w14:paraId="0AE8F667" w14:textId="77777777" w:rsidTr="008C3687">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2500" w:type="pct"/>
          </w:tcPr>
          <w:p w14:paraId="2CEC43E0" w14:textId="3E2228ED" w:rsidR="00CE6398" w:rsidRPr="00DD3C93" w:rsidRDefault="00CE6398" w:rsidP="008C3687">
            <w:pPr>
              <w:jc w:val="left"/>
              <w:rPr>
                <w:rFonts w:ascii="Arial Narrow" w:hAnsi="Arial Narrow"/>
                <w:b/>
                <w:bCs/>
              </w:rPr>
            </w:pPr>
            <w:r w:rsidRPr="00DD3C93">
              <w:rPr>
                <w:rFonts w:ascii="Arial Narrow" w:hAnsi="Arial Narrow"/>
                <w:b/>
                <w:bCs/>
              </w:rPr>
              <w:t>Resulting from Fuel</w:t>
            </w:r>
            <w:r w:rsidR="00F37930" w:rsidRPr="00DD3C93">
              <w:rPr>
                <w:rFonts w:ascii="Arial Narrow" w:hAnsi="Arial Narrow"/>
                <w:b/>
                <w:bCs/>
              </w:rPr>
              <w:t>-</w:t>
            </w:r>
            <w:r w:rsidRPr="00DD3C93">
              <w:rPr>
                <w:rFonts w:ascii="Arial Narrow" w:hAnsi="Arial Narrow"/>
                <w:b/>
                <w:bCs/>
              </w:rPr>
              <w:t>Switching Measures</w:t>
            </w:r>
            <w:r w:rsidRPr="00DD3C93">
              <w:rPr>
                <w:rFonts w:ascii="Arial Narrow" w:hAnsi="Arial Narrow"/>
              </w:rPr>
              <w:br/>
              <w:t>(e.g., ductless heat pump with gas heated baseline)</w:t>
            </w:r>
          </w:p>
        </w:tc>
        <w:tc>
          <w:tcPr>
            <w:tcW w:w="2500" w:type="pct"/>
          </w:tcPr>
          <w:p w14:paraId="07729173" w14:textId="27747AE8" w:rsidR="00CE6398" w:rsidRPr="00DD3C93" w:rsidRDefault="00DB5791" w:rsidP="008C3687">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DD3C93">
              <w:rPr>
                <w:rFonts w:ascii="Arial Narrow" w:hAnsi="Arial Narrow"/>
              </w:rPr>
              <w:t>If switching from gas to electric technology, a</w:t>
            </w:r>
            <w:r w:rsidR="00CE6398" w:rsidRPr="00DD3C93">
              <w:rPr>
                <w:rFonts w:ascii="Arial Narrow" w:hAnsi="Arial Narrow"/>
              </w:rPr>
              <w:t>ssume an electric baseline in accordance with the TRM, which produces no negative electric impact.</w:t>
            </w:r>
            <w:r w:rsidR="00F37930" w:rsidRPr="00DD3C93">
              <w:rPr>
                <w:rFonts w:ascii="Arial Narrow" w:hAnsi="Arial Narrow"/>
              </w:rPr>
              <w:t xml:space="preserve"> Negative gas savings result after midlife adjustment and are treated as verified savings, per the TRM.</w:t>
            </w:r>
            <w:r w:rsidR="00F851DD" w:rsidRPr="00DD3C93">
              <w:rPr>
                <w:rFonts w:ascii="Arial Narrow" w:hAnsi="Arial Narrow"/>
              </w:rPr>
              <w:br/>
            </w:r>
          </w:p>
          <w:p w14:paraId="7EF4A849" w14:textId="56C7E7A7" w:rsidR="00F851DD" w:rsidRPr="00DD3C93" w:rsidRDefault="005D7C88" w:rsidP="008C3687">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DD3C93">
              <w:rPr>
                <w:rFonts w:ascii="Arial Narrow" w:hAnsi="Arial Narrow"/>
              </w:rPr>
              <w:t>S</w:t>
            </w:r>
            <w:r w:rsidR="00F851DD" w:rsidRPr="00DD3C93">
              <w:rPr>
                <w:rFonts w:ascii="Arial Narrow" w:hAnsi="Arial Narrow"/>
              </w:rPr>
              <w:t>witching from electric to gas technology</w:t>
            </w:r>
            <w:r w:rsidRPr="00DD3C93">
              <w:rPr>
                <w:rFonts w:ascii="Arial Narrow" w:hAnsi="Arial Narrow"/>
              </w:rPr>
              <w:t xml:space="preserve"> is rare and Guidehouse does not have a traditional course of action for this scenario.</w:t>
            </w:r>
          </w:p>
        </w:tc>
      </w:tr>
      <w:tr w:rsidR="00CE6398" w:rsidRPr="00DD3C93" w14:paraId="3FCC1570" w14:textId="77777777" w:rsidTr="008C3687">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2500" w:type="pct"/>
          </w:tcPr>
          <w:p w14:paraId="53927B11" w14:textId="7C10BF23" w:rsidR="00CE6398" w:rsidRPr="00DD3C93" w:rsidRDefault="00CE6398" w:rsidP="008C3687">
            <w:pPr>
              <w:jc w:val="left"/>
              <w:rPr>
                <w:rFonts w:ascii="Arial Narrow" w:hAnsi="Arial Narrow"/>
                <w:b/>
                <w:bCs/>
              </w:rPr>
            </w:pPr>
            <w:r w:rsidRPr="00DD3C93">
              <w:rPr>
                <w:rFonts w:ascii="Arial Narrow" w:hAnsi="Arial Narrow"/>
                <w:b/>
                <w:bCs/>
              </w:rPr>
              <w:t>Electric Heating Penalties</w:t>
            </w:r>
          </w:p>
        </w:tc>
        <w:tc>
          <w:tcPr>
            <w:tcW w:w="2500" w:type="pct"/>
          </w:tcPr>
          <w:p w14:paraId="35880F9F" w14:textId="7A4E168B" w:rsidR="00CE6398" w:rsidRPr="00DD3C93" w:rsidRDefault="00CE6398" w:rsidP="008C3687">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D3C93">
              <w:rPr>
                <w:rFonts w:ascii="Arial Narrow" w:hAnsi="Arial Narrow"/>
              </w:rPr>
              <w:t xml:space="preserve">When calculable, the negative heating savings are summed with the positive values at the project level. These values are reported in the </w:t>
            </w:r>
            <w:r w:rsidR="00C051CE" w:rsidRPr="00DD3C93">
              <w:rPr>
                <w:rFonts w:ascii="Arial Narrow" w:hAnsi="Arial Narrow"/>
              </w:rPr>
              <w:t>final evaluation  r</w:t>
            </w:r>
            <w:r w:rsidRPr="00DD3C93">
              <w:rPr>
                <w:rFonts w:ascii="Arial Narrow" w:hAnsi="Arial Narrow"/>
              </w:rPr>
              <w:t>eport</w:t>
            </w:r>
            <w:r w:rsidR="00C051CE" w:rsidRPr="00DD3C93">
              <w:rPr>
                <w:rFonts w:ascii="Arial Narrow" w:hAnsi="Arial Narrow"/>
              </w:rPr>
              <w:t>s</w:t>
            </w:r>
            <w:r w:rsidRPr="00DD3C93">
              <w:rPr>
                <w:rFonts w:ascii="Arial Narrow" w:hAnsi="Arial Narrow"/>
              </w:rPr>
              <w:t xml:space="preserve">. </w:t>
            </w:r>
          </w:p>
        </w:tc>
      </w:tr>
      <w:tr w:rsidR="00CE6398" w:rsidRPr="00DD3C93" w14:paraId="0E6D90AF" w14:textId="77777777" w:rsidTr="008C3687">
        <w:trPr>
          <w:cnfStyle w:val="000000010000" w:firstRow="0" w:lastRow="0" w:firstColumn="0" w:lastColumn="0" w:oddVBand="0" w:evenVBand="0" w:oddHBand="0" w:evenHBand="1"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2500" w:type="pct"/>
          </w:tcPr>
          <w:p w14:paraId="73A453B9" w14:textId="2F764882" w:rsidR="00CE6398" w:rsidRPr="00DD3C93" w:rsidRDefault="00CE6398" w:rsidP="008C3687">
            <w:pPr>
              <w:jc w:val="left"/>
              <w:rPr>
                <w:rFonts w:ascii="Arial Narrow" w:hAnsi="Arial Narrow"/>
              </w:rPr>
            </w:pPr>
            <w:r w:rsidRPr="00DD3C93">
              <w:rPr>
                <w:rFonts w:ascii="Arial Narrow" w:hAnsi="Arial Narrow"/>
                <w:b/>
                <w:bCs/>
              </w:rPr>
              <w:t>Gas Heating Penalties</w:t>
            </w:r>
          </w:p>
        </w:tc>
        <w:tc>
          <w:tcPr>
            <w:tcW w:w="2500" w:type="pct"/>
          </w:tcPr>
          <w:p w14:paraId="022CDED7" w14:textId="1157A74B" w:rsidR="00CE6398" w:rsidRPr="00DD3C93" w:rsidRDefault="00CE6398" w:rsidP="008C3687">
            <w:pPr>
              <w:jc w:val="left"/>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DD3C93">
              <w:rPr>
                <w:rFonts w:ascii="Arial Narrow" w:hAnsi="Arial Narrow"/>
              </w:rPr>
              <w:t xml:space="preserve">Gas heating penalties are not added to any positive gas savings values. These values are reported in the </w:t>
            </w:r>
            <w:r w:rsidR="00C051CE" w:rsidRPr="00DD3C93">
              <w:rPr>
                <w:rFonts w:ascii="Arial Narrow" w:hAnsi="Arial Narrow"/>
              </w:rPr>
              <w:t>final evaluation reports</w:t>
            </w:r>
            <w:r w:rsidRPr="00DD3C93">
              <w:rPr>
                <w:rFonts w:ascii="Arial Narrow" w:hAnsi="Arial Narrow"/>
              </w:rPr>
              <w:t xml:space="preserve">. </w:t>
            </w:r>
          </w:p>
        </w:tc>
      </w:tr>
      <w:tr w:rsidR="008C3687" w:rsidRPr="00DD3C93" w14:paraId="71F95528" w14:textId="77777777" w:rsidTr="008C3687">
        <w:trPr>
          <w:cnfStyle w:val="000000100000" w:firstRow="0" w:lastRow="0" w:firstColumn="0" w:lastColumn="0" w:oddVBand="0" w:evenVBand="0" w:oddHBand="1" w:evenHBand="0" w:firstRowFirstColumn="0" w:firstRowLastColumn="0" w:lastRowFirstColumn="0" w:lastRowLastColumn="0"/>
          <w:jc w:val="left"/>
        </w:trPr>
        <w:tc>
          <w:tcPr>
            <w:cnfStyle w:val="001000000000" w:firstRow="0" w:lastRow="0" w:firstColumn="1" w:lastColumn="0" w:oddVBand="0" w:evenVBand="0" w:oddHBand="0" w:evenHBand="0" w:firstRowFirstColumn="0" w:firstRowLastColumn="0" w:lastRowFirstColumn="0" w:lastRowLastColumn="0"/>
            <w:tcW w:w="2500" w:type="pct"/>
          </w:tcPr>
          <w:p w14:paraId="657DEEC2" w14:textId="48A64B81" w:rsidR="008C3687" w:rsidRPr="00DD3C93" w:rsidRDefault="008C3687" w:rsidP="008C3687">
            <w:pPr>
              <w:jc w:val="left"/>
              <w:rPr>
                <w:rFonts w:ascii="Arial Narrow" w:hAnsi="Arial Narrow"/>
                <w:b/>
                <w:bCs/>
              </w:rPr>
            </w:pPr>
            <w:r w:rsidRPr="00DD3C93">
              <w:rPr>
                <w:rFonts w:ascii="Arial Narrow" w:hAnsi="Arial Narrow"/>
                <w:b/>
                <w:bCs/>
              </w:rPr>
              <w:t>Ambiguity in Determining the Heating System Fuel Source</w:t>
            </w:r>
          </w:p>
        </w:tc>
        <w:tc>
          <w:tcPr>
            <w:tcW w:w="2500" w:type="pct"/>
          </w:tcPr>
          <w:p w14:paraId="2B3D83E3" w14:textId="715ACE8D" w:rsidR="008C3687" w:rsidRPr="00DD3C93" w:rsidRDefault="008C3687" w:rsidP="008C3687">
            <w:pPr>
              <w:jc w:val="lef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DD3C93">
              <w:rPr>
                <w:rFonts w:ascii="Arial Narrow" w:hAnsi="Arial Narrow"/>
              </w:rPr>
              <w:t>It is not clear how evaluators</w:t>
            </w:r>
            <w:r w:rsidR="0033221B" w:rsidRPr="00DD3C93">
              <w:rPr>
                <w:rFonts w:ascii="Arial Narrow" w:hAnsi="Arial Narrow"/>
              </w:rPr>
              <w:t xml:space="preserve"> or implementers </w:t>
            </w:r>
            <w:r w:rsidRPr="00DD3C93">
              <w:rPr>
                <w:rFonts w:ascii="Arial Narrow" w:hAnsi="Arial Narrow"/>
              </w:rPr>
              <w:t xml:space="preserve">should </w:t>
            </w:r>
            <w:r w:rsidR="00DB5791" w:rsidRPr="00DD3C93">
              <w:rPr>
                <w:rFonts w:ascii="Arial Narrow" w:hAnsi="Arial Narrow"/>
              </w:rPr>
              <w:t xml:space="preserve">categorize the </w:t>
            </w:r>
            <w:r w:rsidR="000A2DDF" w:rsidRPr="00DD3C93">
              <w:rPr>
                <w:rFonts w:ascii="Arial Narrow" w:hAnsi="Arial Narrow"/>
              </w:rPr>
              <w:t>heating systems</w:t>
            </w:r>
            <w:r w:rsidRPr="00DD3C93">
              <w:rPr>
                <w:rFonts w:ascii="Arial Narrow" w:hAnsi="Arial Narrow"/>
              </w:rPr>
              <w:t>.</w:t>
            </w:r>
          </w:p>
        </w:tc>
      </w:tr>
    </w:tbl>
    <w:p w14:paraId="5123D924" w14:textId="43B2F780" w:rsidR="00C74456" w:rsidRPr="00DD3C93" w:rsidRDefault="00C74456" w:rsidP="00C74456">
      <w:pPr>
        <w:pStyle w:val="Heading1"/>
      </w:pPr>
      <w:r w:rsidRPr="00DD3C93">
        <w:t>Negative Savings</w:t>
      </w:r>
    </w:p>
    <w:p w14:paraId="13A7B1D6" w14:textId="59B907F1" w:rsidR="00F530AF" w:rsidRPr="00DD3C93" w:rsidRDefault="00C74456" w:rsidP="00C74456">
      <w:r w:rsidRPr="00DD3C93">
        <w:t xml:space="preserve">Negative savings typically occurs </w:t>
      </w:r>
      <w:r w:rsidR="00FB78C6">
        <w:t xml:space="preserve">as an interactive effect for lighting or furnace blower motors or </w:t>
      </w:r>
      <w:r w:rsidRPr="00DD3C93">
        <w:t>when the tracking data relies on a custom input.</w:t>
      </w:r>
      <w:r w:rsidR="004F1E18" w:rsidRPr="00DD3C93" w:rsidDel="004F1E18">
        <w:rPr>
          <w:rStyle w:val="FootnoteReference"/>
        </w:rPr>
        <w:t xml:space="preserve"> </w:t>
      </w:r>
    </w:p>
    <w:p w14:paraId="01A84CD3" w14:textId="3AFC00C5" w:rsidR="009C2273" w:rsidRPr="00DD3C93" w:rsidRDefault="009C2273" w:rsidP="009C2273">
      <w:pPr>
        <w:pStyle w:val="Heading3"/>
      </w:pPr>
      <w:r w:rsidRPr="00DD3C93">
        <w:t>Requests for Clarification</w:t>
      </w:r>
    </w:p>
    <w:p w14:paraId="57F1F8A6" w14:textId="7D65401A" w:rsidR="009C2273" w:rsidRPr="00DD3C93" w:rsidRDefault="009C2273" w:rsidP="00C75979">
      <w:pPr>
        <w:pStyle w:val="ListParagraph"/>
        <w:numPr>
          <w:ilvl w:val="0"/>
          <w:numId w:val="45"/>
        </w:numPr>
      </w:pPr>
      <w:r w:rsidRPr="00DD3C93">
        <w:t xml:space="preserve">How should evaluation treat </w:t>
      </w:r>
      <w:r w:rsidR="00F35A60" w:rsidRPr="00DD3C93">
        <w:t xml:space="preserve">measure installations </w:t>
      </w:r>
      <w:r w:rsidRPr="00DD3C93">
        <w:t>that result in negative savings?</w:t>
      </w:r>
    </w:p>
    <w:p w14:paraId="3C632AEC" w14:textId="77777777" w:rsidR="00F41538" w:rsidRPr="00DD3C93" w:rsidRDefault="00F41538" w:rsidP="00F41538">
      <w:pPr>
        <w:pStyle w:val="Heading2"/>
      </w:pPr>
      <w:r w:rsidRPr="00DD3C93">
        <w:t>Appropriate Result of Project Disaggregation</w:t>
      </w:r>
    </w:p>
    <w:p w14:paraId="31EAAC3D" w14:textId="14F93437" w:rsidR="00F530AF" w:rsidRPr="00DD3C93" w:rsidRDefault="00C74456" w:rsidP="00C74456">
      <w:r w:rsidRPr="00DD3C93">
        <w:t>In some cases, negative</w:t>
      </w:r>
      <w:r w:rsidR="00F530AF" w:rsidRPr="00DD3C93">
        <w:t xml:space="preserve"> energy savings</w:t>
      </w:r>
      <w:r w:rsidRPr="00DD3C93">
        <w:t xml:space="preserve"> is an expected outcome. In the ComEd Standard Program, interior lighting projects may include several lighting measures, each correlating to a particular space or fixture type. In this scenario</w:t>
      </w:r>
      <w:r w:rsidR="0074684B" w:rsidRPr="00DD3C93">
        <w:t>,</w:t>
      </w:r>
      <w:r w:rsidRPr="00DD3C93">
        <w:t xml:space="preserve"> it is common for </w:t>
      </w:r>
      <w:r w:rsidR="00F530AF" w:rsidRPr="00DD3C93">
        <w:t>one or several measures to result in negative energy savings, but the project result</w:t>
      </w:r>
      <w:r w:rsidR="0074684B" w:rsidRPr="00DD3C93">
        <w:t>s</w:t>
      </w:r>
      <w:r w:rsidR="00F530AF" w:rsidRPr="00DD3C93">
        <w:t xml:space="preserve"> in net energy savings. </w:t>
      </w:r>
    </w:p>
    <w:p w14:paraId="7A90F3F7" w14:textId="77777777" w:rsidR="00F530AF" w:rsidRPr="00DD3C93" w:rsidRDefault="00F530AF" w:rsidP="00F530AF">
      <w:pPr>
        <w:ind w:firstLine="720"/>
      </w:pPr>
    </w:p>
    <w:p w14:paraId="68C09823" w14:textId="69D4ABB3" w:rsidR="00F530AF" w:rsidRPr="00DD3C93" w:rsidRDefault="008C3687" w:rsidP="004B5050">
      <w:r w:rsidRPr="00DD3C93">
        <w:rPr>
          <w:b/>
          <w:bCs/>
        </w:rPr>
        <w:t xml:space="preserve">Traditional Guidehouse Action. </w:t>
      </w:r>
      <w:r w:rsidR="00F530AF" w:rsidRPr="00DD3C93">
        <w:t xml:space="preserve">In these cases, Guidehouse has always counted the negative savings in the project (and program) as verified savings. </w:t>
      </w:r>
    </w:p>
    <w:p w14:paraId="4373B388" w14:textId="22B26894" w:rsidR="00AB343A" w:rsidRPr="00DD3C93" w:rsidRDefault="00AB343A" w:rsidP="00AB343A">
      <w:pPr>
        <w:pStyle w:val="Heading2"/>
      </w:pPr>
      <w:r w:rsidRPr="00DD3C93">
        <w:t>Appropriate Result of Unexpected Customer</w:t>
      </w:r>
      <w:r w:rsidR="0074684B" w:rsidRPr="00DD3C93">
        <w:t xml:space="preserve"> </w:t>
      </w:r>
      <w:r w:rsidR="004227F1" w:rsidRPr="00DD3C93">
        <w:t>or</w:t>
      </w:r>
      <w:r w:rsidR="0074684B" w:rsidRPr="00DD3C93">
        <w:t xml:space="preserve"> </w:t>
      </w:r>
      <w:r w:rsidRPr="00DD3C93">
        <w:t>Trade Ally Action</w:t>
      </w:r>
    </w:p>
    <w:p w14:paraId="0A222C3B" w14:textId="525EB2E2" w:rsidR="00B079D5" w:rsidRPr="00DD3C93" w:rsidRDefault="00F530AF" w:rsidP="00C74456">
      <w:r w:rsidRPr="00DD3C93">
        <w:t xml:space="preserve">In other cases, negative energy savings is an unexpected outcome. </w:t>
      </w:r>
      <w:r w:rsidR="00B079D5" w:rsidRPr="00DD3C93">
        <w:t>There are several examples of this occurring:</w:t>
      </w:r>
    </w:p>
    <w:p w14:paraId="16017114" w14:textId="77777777" w:rsidR="0074684B" w:rsidRPr="00DD3C93" w:rsidRDefault="0074684B" w:rsidP="00C74456"/>
    <w:p w14:paraId="5DF34068" w14:textId="360363D8" w:rsidR="00AB343A" w:rsidRPr="00DD3C93" w:rsidRDefault="00B079D5" w:rsidP="00B079D5">
      <w:pPr>
        <w:pStyle w:val="ListParagraph"/>
        <w:numPr>
          <w:ilvl w:val="0"/>
          <w:numId w:val="41"/>
        </w:numPr>
      </w:pPr>
      <w:r w:rsidRPr="00DD3C93">
        <w:lastRenderedPageBreak/>
        <w:t>I</w:t>
      </w:r>
      <w:r w:rsidR="00F530AF" w:rsidRPr="00DD3C93">
        <w:t>n the previously existing ComEd AirCare Plus Program,</w:t>
      </w:r>
      <w:r w:rsidR="00F530AF" w:rsidRPr="00DD3C93">
        <w:rPr>
          <w:rStyle w:val="FootnoteReference"/>
        </w:rPr>
        <w:footnoteReference w:id="2"/>
      </w:r>
      <w:r w:rsidR="00F530AF" w:rsidRPr="00DD3C93">
        <w:t xml:space="preserve"> the program tracked custom algorithm input values for the thermostat adjustment measure. In rare cases, the amount of </w:t>
      </w:r>
      <w:r w:rsidR="0033221B" w:rsidRPr="00DD3C93">
        <w:t xml:space="preserve">thermostat </w:t>
      </w:r>
      <w:r w:rsidR="00F530AF" w:rsidRPr="00DD3C93">
        <w:t xml:space="preserve">setback decreased </w:t>
      </w:r>
      <w:r w:rsidR="0033221B" w:rsidRPr="00DD3C93">
        <w:t>(e.g., 10</w:t>
      </w:r>
      <w:r w:rsidR="0033221B" w:rsidRPr="00DD3C93">
        <w:rPr>
          <w:rFonts w:cs="Arial"/>
        </w:rPr>
        <w:t>°</w:t>
      </w:r>
      <w:r w:rsidR="0033221B" w:rsidRPr="00DD3C93">
        <w:t>F</w:t>
      </w:r>
      <w:r w:rsidR="00400CEC" w:rsidRPr="00DD3C93">
        <w:t xml:space="preserve"> of setback </w:t>
      </w:r>
      <w:r w:rsidR="0033221B" w:rsidRPr="00DD3C93">
        <w:t>reduced to 8</w:t>
      </w:r>
      <w:r w:rsidR="0033221B" w:rsidRPr="00DD3C93">
        <w:rPr>
          <w:rFonts w:cs="Arial"/>
        </w:rPr>
        <w:t>°</w:t>
      </w:r>
      <w:r w:rsidR="0033221B" w:rsidRPr="00DD3C93">
        <w:t>F</w:t>
      </w:r>
      <w:r w:rsidR="00400CEC" w:rsidRPr="00DD3C93">
        <w:t xml:space="preserve"> of setback, typically for customer comfort</w:t>
      </w:r>
      <w:r w:rsidR="0033221B" w:rsidRPr="00DD3C93">
        <w:t xml:space="preserve">) </w:t>
      </w:r>
      <w:r w:rsidR="00F530AF" w:rsidRPr="00DD3C93">
        <w:t>from the adjustment, resulting in negative energy savings.</w:t>
      </w:r>
    </w:p>
    <w:p w14:paraId="27D2E6D5" w14:textId="30590DD2" w:rsidR="006713E3" w:rsidRPr="00DD3C93" w:rsidRDefault="009D73F1" w:rsidP="00B079D5">
      <w:pPr>
        <w:pStyle w:val="ListParagraph"/>
        <w:numPr>
          <w:ilvl w:val="0"/>
          <w:numId w:val="41"/>
        </w:numPr>
      </w:pPr>
      <w:r w:rsidRPr="00DD3C93">
        <w:t>A customer raises their water heater temperature instead of lower</w:t>
      </w:r>
      <w:r w:rsidR="0097260E" w:rsidRPr="00DD3C93">
        <w:t>ing it.</w:t>
      </w:r>
      <w:r w:rsidRPr="00DD3C93">
        <w:t xml:space="preserve"> </w:t>
      </w:r>
    </w:p>
    <w:p w14:paraId="0A01C987" w14:textId="4345FAA2" w:rsidR="00F530AF" w:rsidRDefault="006713E3" w:rsidP="00B079D5">
      <w:pPr>
        <w:pStyle w:val="ListParagraph"/>
        <w:numPr>
          <w:ilvl w:val="0"/>
          <w:numId w:val="41"/>
        </w:numPr>
      </w:pPr>
      <w:r w:rsidRPr="00DD3C93">
        <w:t>A customer installs a chiller that is less efficient than local energy code.</w:t>
      </w:r>
    </w:p>
    <w:p w14:paraId="6EACF2C3" w14:textId="53924552" w:rsidR="004F1E18" w:rsidRPr="00DD3C93" w:rsidRDefault="004F1E18" w:rsidP="00B079D5">
      <w:pPr>
        <w:pStyle w:val="ListParagraph"/>
        <w:numPr>
          <w:ilvl w:val="0"/>
          <w:numId w:val="41"/>
        </w:numPr>
      </w:pPr>
      <w:r>
        <w:t>A customer purchases LED lamps from a midstream program but then returns them.</w:t>
      </w:r>
    </w:p>
    <w:p w14:paraId="13D9624A" w14:textId="77777777" w:rsidR="00F530AF" w:rsidRPr="00DD3C93" w:rsidRDefault="00F530AF" w:rsidP="00F530AF">
      <w:pPr>
        <w:ind w:firstLine="720"/>
      </w:pPr>
    </w:p>
    <w:p w14:paraId="7E419AFE" w14:textId="61D3B0EB" w:rsidR="00F530AF" w:rsidRPr="00DD3C93" w:rsidRDefault="008C3687" w:rsidP="004B5050">
      <w:r w:rsidRPr="00DD3C93">
        <w:rPr>
          <w:b/>
          <w:bCs/>
        </w:rPr>
        <w:t xml:space="preserve">Traditional Guidehouse Action. </w:t>
      </w:r>
      <w:r w:rsidR="00F530AF" w:rsidRPr="00DD3C93">
        <w:t xml:space="preserve">In these cases, Guidehouse has counted the negative savings in the project (and program) as verified savings. </w:t>
      </w:r>
      <w:r w:rsidR="00B079D5" w:rsidRPr="00DD3C93">
        <w:t xml:space="preserve">This </w:t>
      </w:r>
      <w:r w:rsidR="004227F1" w:rsidRPr="00DD3C93">
        <w:t>agrees</w:t>
      </w:r>
      <w:r w:rsidR="00B079D5" w:rsidRPr="00DD3C93">
        <w:t xml:space="preserve"> with comments received from Jennifer Morris on a previous evaluation report.</w:t>
      </w:r>
      <w:r w:rsidR="00B079D5" w:rsidRPr="00DD3C93">
        <w:rPr>
          <w:rStyle w:val="FootnoteReference"/>
        </w:rPr>
        <w:footnoteReference w:id="3"/>
      </w:r>
      <w:r w:rsidR="00B079D5" w:rsidRPr="00DD3C93">
        <w:t xml:space="preserve"> </w:t>
      </w:r>
    </w:p>
    <w:p w14:paraId="11370C87" w14:textId="276F7F04" w:rsidR="009C2273" w:rsidRPr="00DD3C93" w:rsidRDefault="009C2273" w:rsidP="009C2273">
      <w:pPr>
        <w:pStyle w:val="Heading3"/>
      </w:pPr>
      <w:r w:rsidRPr="00DD3C93">
        <w:t>Request for Clarification</w:t>
      </w:r>
    </w:p>
    <w:p w14:paraId="7DF1C9B6" w14:textId="13B26396" w:rsidR="009C2273" w:rsidRPr="00DD3C93" w:rsidRDefault="009C2273" w:rsidP="00641592">
      <w:pPr>
        <w:pStyle w:val="ListParagraph"/>
        <w:numPr>
          <w:ilvl w:val="0"/>
          <w:numId w:val="45"/>
        </w:numPr>
      </w:pPr>
      <w:r w:rsidRPr="00DD3C93">
        <w:t>How should evaluation treat projects that result in negative savings due to unexpected customer or trade ally action?</w:t>
      </w:r>
    </w:p>
    <w:p w14:paraId="0FE7B644" w14:textId="64DBCE3B" w:rsidR="00AB343A" w:rsidRPr="00DD3C93" w:rsidRDefault="00AB343A" w:rsidP="00470CF9">
      <w:pPr>
        <w:pStyle w:val="Heading2"/>
      </w:pPr>
      <w:r w:rsidRPr="00DD3C93">
        <w:t>Potentially Inappropriate Result of Custom Analysis</w:t>
      </w:r>
    </w:p>
    <w:p w14:paraId="5F839A4E" w14:textId="12A17142" w:rsidR="00AB343A" w:rsidRPr="00DD3C93" w:rsidRDefault="00AB343A" w:rsidP="00AB343A">
      <w:r w:rsidRPr="00DD3C93">
        <w:t xml:space="preserve">An example of this scenario involves the ComEd Standard Program’s Energy Management System (EMS) measure. This is a </w:t>
      </w:r>
      <w:r w:rsidR="001E4C0A" w:rsidRPr="00DD3C93">
        <w:t xml:space="preserve">prescriptive </w:t>
      </w:r>
      <w:r w:rsidRPr="00DD3C93">
        <w:t>non-TRM measure that is typically evaluated using a regression analysis</w:t>
      </w:r>
      <w:r w:rsidR="0097260E" w:rsidRPr="00DD3C93">
        <w:t xml:space="preserve"> at the project level</w:t>
      </w:r>
      <w:r w:rsidRPr="00DD3C93">
        <w:t>. The EMS measure has a tremendous amount of variability that can be a function of a number of different building characteristics: type, size (ft</w:t>
      </w:r>
      <w:r w:rsidRPr="00DD3C93">
        <w:rPr>
          <w:vertAlign w:val="superscript"/>
        </w:rPr>
        <w:t>2</w:t>
      </w:r>
      <w:r w:rsidRPr="00DD3C93">
        <w:t xml:space="preserve">), HVAC systems, existing HVAC control strategies, etc. The evaluation team has limited tools to evaluate this type of measure when it </w:t>
      </w:r>
      <w:r w:rsidR="0033221B" w:rsidRPr="00DD3C93">
        <w:t xml:space="preserve">is </w:t>
      </w:r>
      <w:r w:rsidRPr="00DD3C93">
        <w:t>administered prescriptively,</w:t>
      </w:r>
      <w:r w:rsidR="001E4C0A" w:rsidRPr="00DD3C93">
        <w:rPr>
          <w:rStyle w:val="FootnoteReference"/>
        </w:rPr>
        <w:footnoteReference w:id="4"/>
      </w:r>
      <w:r w:rsidRPr="00DD3C93">
        <w:t xml:space="preserve"> and we have recognized that regression analysis </w:t>
      </w:r>
      <w:r w:rsidR="006B6682" w:rsidRPr="00DD3C93">
        <w:t xml:space="preserve">is </w:t>
      </w:r>
      <w:r w:rsidR="0097260E" w:rsidRPr="00DD3C93">
        <w:t xml:space="preserve">sometimes </w:t>
      </w:r>
      <w:r w:rsidR="006B6682" w:rsidRPr="00DD3C93">
        <w:t>an imperfect tool for evaluatin</w:t>
      </w:r>
      <w:r w:rsidR="0097260E" w:rsidRPr="00DD3C93">
        <w:t>g</w:t>
      </w:r>
      <w:r w:rsidR="006B6682" w:rsidRPr="00DD3C93">
        <w:t xml:space="preserve"> this measure. Occasionally, regression analyses will show that energy consumption has increased after the installation of a new EMS. </w:t>
      </w:r>
      <w:r w:rsidR="001E4C0A" w:rsidRPr="00DD3C93">
        <w:t xml:space="preserve">While this measure is a prescriptive measure for ComEd, it </w:t>
      </w:r>
      <w:r w:rsidR="006B6682" w:rsidRPr="00DD3C93">
        <w:t xml:space="preserve">is a custom measure for the gas utilities and has the same potential for negative savings. </w:t>
      </w:r>
    </w:p>
    <w:p w14:paraId="180FE990" w14:textId="357FF9AD" w:rsidR="006B6682" w:rsidRPr="00DD3C93" w:rsidRDefault="006B6682" w:rsidP="00AB343A"/>
    <w:p w14:paraId="099A3CD0" w14:textId="06039FE4" w:rsidR="006B6682" w:rsidRPr="00DD3C93" w:rsidRDefault="008C3687" w:rsidP="00A301FD">
      <w:r w:rsidRPr="00DD3C93">
        <w:rPr>
          <w:b/>
          <w:bCs/>
        </w:rPr>
        <w:t xml:space="preserve">Traditional Guidehouse Action. </w:t>
      </w:r>
      <w:r w:rsidR="006B6682" w:rsidRPr="00DD3C93">
        <w:t>In these cases, Guidehouse has not counted the negative savings as verified savings, but rather as zero verified savings. This is due to the recognition that there are a large number of unknown factors in the analysis that could have led to this result (e.g., increased occupancy, increasing ventilation to comply with code, increased in occupant demands)</w:t>
      </w:r>
      <w:r w:rsidR="0035389B" w:rsidRPr="00DD3C93">
        <w:t xml:space="preserve"> </w:t>
      </w:r>
      <w:r w:rsidR="0097260E" w:rsidRPr="00DD3C93">
        <w:t xml:space="preserve">which we cannot control for and </w:t>
      </w:r>
      <w:r w:rsidR="0035389B" w:rsidRPr="00DD3C93">
        <w:t xml:space="preserve">which would explain the increase in energy usage. </w:t>
      </w:r>
    </w:p>
    <w:p w14:paraId="54198F3F" w14:textId="528375FD" w:rsidR="009C2273" w:rsidRPr="00DD3C93" w:rsidRDefault="009C2273" w:rsidP="009C2273">
      <w:pPr>
        <w:pStyle w:val="Heading3"/>
      </w:pPr>
      <w:r w:rsidRPr="00DD3C93">
        <w:t>Request for Clarification</w:t>
      </w:r>
    </w:p>
    <w:p w14:paraId="18523E02" w14:textId="7174B4C3" w:rsidR="009C2273" w:rsidRPr="00DD3C93" w:rsidRDefault="009C2273" w:rsidP="00641592">
      <w:pPr>
        <w:pStyle w:val="ListParagraph"/>
        <w:numPr>
          <w:ilvl w:val="0"/>
          <w:numId w:val="45"/>
        </w:numPr>
      </w:pPr>
      <w:r w:rsidRPr="00DD3C93">
        <w:t xml:space="preserve">How should evaluation treat projects that result in negative savings due to custom analysis? </w:t>
      </w:r>
    </w:p>
    <w:p w14:paraId="75A81795" w14:textId="5BA9871E" w:rsidR="00470CF9" w:rsidRPr="00DD3C93" w:rsidRDefault="00470CF9" w:rsidP="00470CF9">
      <w:pPr>
        <w:pStyle w:val="Heading2"/>
      </w:pPr>
      <w:r w:rsidRPr="00DD3C93">
        <w:t xml:space="preserve">Resulting from </w:t>
      </w:r>
      <w:r w:rsidR="00AB343A" w:rsidRPr="00DD3C93">
        <w:t xml:space="preserve">Actions Taken to Meet </w:t>
      </w:r>
      <w:r w:rsidRPr="00DD3C93">
        <w:t xml:space="preserve">Code </w:t>
      </w:r>
    </w:p>
    <w:p w14:paraId="2948626F" w14:textId="5E51DA39" w:rsidR="00C74456" w:rsidRPr="00DD3C93" w:rsidRDefault="00470CF9" w:rsidP="00470CF9">
      <w:r w:rsidRPr="00DD3C93">
        <w:t xml:space="preserve">Occasionally, there are cases where the negative energy savings is a result of the customer becoming compliant with local energy code. An example of this scenario is the aforementioned thermostat adjustment measure in the ComEd AirCare Plus Program. In rare cases, the tracking data </w:t>
      </w:r>
      <w:r w:rsidRPr="00DD3C93">
        <w:lastRenderedPageBreak/>
        <w:t>would show that a commercial thermostat had its fan mode adjusted from intermittent to continuous operation. This adjustment increases the energy consumption of the HVAC fan, but brings the customer in compliance with the commercial energy code.</w:t>
      </w:r>
      <w:r w:rsidRPr="00DD3C93">
        <w:rPr>
          <w:rStyle w:val="FootnoteReference"/>
        </w:rPr>
        <w:footnoteReference w:id="5"/>
      </w:r>
    </w:p>
    <w:p w14:paraId="052D9F2B" w14:textId="423FDBA9" w:rsidR="006B6682" w:rsidRPr="00DD3C93" w:rsidRDefault="006B6682" w:rsidP="00470CF9"/>
    <w:p w14:paraId="26DAAE39" w14:textId="77F86BBD" w:rsidR="006B6682" w:rsidRPr="00DD3C93" w:rsidRDefault="008C3687" w:rsidP="00A301FD">
      <w:r w:rsidRPr="00DD3C93">
        <w:rPr>
          <w:b/>
          <w:bCs/>
        </w:rPr>
        <w:t xml:space="preserve">Traditional Guidehouse Action. </w:t>
      </w:r>
      <w:r w:rsidR="006B6682" w:rsidRPr="00DD3C93">
        <w:t>In the</w:t>
      </w:r>
      <w:r w:rsidR="004227F1" w:rsidRPr="00DD3C93">
        <w:t>se</w:t>
      </w:r>
      <w:r w:rsidR="006B6682" w:rsidRPr="00DD3C93">
        <w:t xml:space="preserve"> cases, Guidehouse has not</w:t>
      </w:r>
      <w:r w:rsidR="00F20CF7" w:rsidRPr="00DD3C93">
        <w:t xml:space="preserve"> typically</w:t>
      </w:r>
      <w:r w:rsidR="006B6682" w:rsidRPr="00DD3C93">
        <w:t xml:space="preserve"> counted the negative savings as verified savings, but rather as zero verified savings. This is because Guidehouse felt it inappropriate to penalize the program for actions that would benefit the health and safety of the public. </w:t>
      </w:r>
    </w:p>
    <w:p w14:paraId="104A24E7" w14:textId="17ED555E" w:rsidR="009C2273" w:rsidRPr="00DD3C93" w:rsidRDefault="009C2273" w:rsidP="009C2273">
      <w:pPr>
        <w:pStyle w:val="Heading3"/>
      </w:pPr>
      <w:r w:rsidRPr="00DD3C93">
        <w:t>Request for Clarification</w:t>
      </w:r>
    </w:p>
    <w:p w14:paraId="00DBEE6C" w14:textId="5D454546" w:rsidR="009C2273" w:rsidRPr="00DD3C93" w:rsidRDefault="009C2273" w:rsidP="00641592">
      <w:pPr>
        <w:pStyle w:val="ListParagraph"/>
        <w:numPr>
          <w:ilvl w:val="0"/>
          <w:numId w:val="45"/>
        </w:numPr>
      </w:pPr>
      <w:r w:rsidRPr="00DD3C93">
        <w:t>How should evaluation treat projects that result in negative savings due to actions taken to meet code?</w:t>
      </w:r>
    </w:p>
    <w:p w14:paraId="3CCE56E7" w14:textId="48927C9E" w:rsidR="00C74456" w:rsidRPr="00DD3C93" w:rsidRDefault="0035389B" w:rsidP="005B3D06">
      <w:pPr>
        <w:pStyle w:val="Heading2"/>
      </w:pPr>
      <w:r w:rsidRPr="00DD3C93">
        <w:t xml:space="preserve">Resulting from Errors in </w:t>
      </w:r>
      <w:r w:rsidR="008D2A81" w:rsidRPr="00DD3C93">
        <w:t xml:space="preserve">the </w:t>
      </w:r>
      <w:r w:rsidRPr="00DD3C93">
        <w:t>TRM</w:t>
      </w:r>
    </w:p>
    <w:p w14:paraId="482E2C96" w14:textId="4812047D" w:rsidR="005B3D06" w:rsidRPr="00DD3C93" w:rsidRDefault="008C3687" w:rsidP="005B3D06">
      <w:r w:rsidRPr="00DD3C93">
        <w:rPr>
          <w:b/>
          <w:bCs/>
        </w:rPr>
        <w:t xml:space="preserve">Traditional Guidehouse Action. </w:t>
      </w:r>
      <w:r w:rsidR="005B3D06" w:rsidRPr="00DD3C93">
        <w:t xml:space="preserve">In cases where negative savings were determined to result from an error in the TRM, Guidehouse has </w:t>
      </w:r>
      <w:r w:rsidR="00A41F26" w:rsidRPr="00DD3C93">
        <w:t>attempted to correct the error. In cases where the TRM could not be corrected,</w:t>
      </w:r>
      <w:r w:rsidR="00A41F26" w:rsidRPr="00DD3C93">
        <w:rPr>
          <w:rStyle w:val="FootnoteReference"/>
        </w:rPr>
        <w:footnoteReference w:id="6"/>
      </w:r>
      <w:r w:rsidR="00A41F26" w:rsidRPr="00DD3C93">
        <w:t xml:space="preserve"> Guidehouse has not counted the negative savings as verified savings, but rather as zero verified savings.</w:t>
      </w:r>
    </w:p>
    <w:p w14:paraId="62DF4E20" w14:textId="3480E65B" w:rsidR="00CE6398" w:rsidRPr="00DD3C93" w:rsidRDefault="00CE6398" w:rsidP="00CE6398">
      <w:pPr>
        <w:pStyle w:val="Heading2"/>
      </w:pPr>
      <w:r w:rsidRPr="00DD3C93">
        <w:t>Resulting from Fuel</w:t>
      </w:r>
      <w:r w:rsidR="00F37930" w:rsidRPr="00DD3C93">
        <w:t>-</w:t>
      </w:r>
      <w:r w:rsidRPr="00DD3C93">
        <w:t>Switching Measures</w:t>
      </w:r>
    </w:p>
    <w:p w14:paraId="54526A90" w14:textId="56829E28" w:rsidR="00CE6398" w:rsidRPr="00DD3C93" w:rsidRDefault="00CE6398" w:rsidP="00CE6398">
      <w:r w:rsidRPr="00DD3C93">
        <w:t>In fuel</w:t>
      </w:r>
      <w:r w:rsidR="00F37930" w:rsidRPr="00DD3C93">
        <w:t>-</w:t>
      </w:r>
      <w:r w:rsidR="00F67DB9" w:rsidRPr="00DD3C93">
        <w:t>switching measures such as ductless and ground source heat pumps, the TRM instructs the user to assume an electric baseline when calculating electric energy savings</w:t>
      </w:r>
      <w:r w:rsidR="00315A51" w:rsidRPr="00DD3C93">
        <w:t xml:space="preserve"> (for both early replacement and time-of-sale scenarios)</w:t>
      </w:r>
      <w:r w:rsidR="00F67DB9" w:rsidRPr="00DD3C93">
        <w:t xml:space="preserve">. The TRM does not instruct the user to calculate negative savings, reflecting the increase in electric load seen by the utility. </w:t>
      </w:r>
      <w:r w:rsidR="005D7C88" w:rsidRPr="00DD3C93">
        <w:t xml:space="preserve">Guidehouse does not encounter electric-to-gas fuel switching in its evaluation. </w:t>
      </w:r>
    </w:p>
    <w:p w14:paraId="651C42EC" w14:textId="08403639" w:rsidR="00F67DB9" w:rsidRPr="00DD3C93" w:rsidRDefault="00F67DB9" w:rsidP="00CE6398"/>
    <w:p w14:paraId="226CDE0F" w14:textId="43D5462C" w:rsidR="00F67DB9" w:rsidRPr="00DD3C93" w:rsidRDefault="00F67DB9" w:rsidP="00CE6398">
      <w:pPr>
        <w:rPr>
          <w:rFonts w:eastAsia="Arial" w:cs="Arial"/>
          <w:color w:val="auto"/>
          <w:szCs w:val="20"/>
        </w:rPr>
      </w:pPr>
      <w:r w:rsidRPr="00DD3C93">
        <w:t xml:space="preserve">However, when calculating gas savings for early replacement scenarios, the TRM algorithms result in negative gas savings after the mid-life adjustment. </w:t>
      </w:r>
      <w:r w:rsidRPr="00DD3C93">
        <w:rPr>
          <w:rFonts w:eastAsia="Arial" w:cs="Arial"/>
          <w:color w:val="auto"/>
          <w:szCs w:val="20"/>
        </w:rPr>
        <w:t>Negative gas energy savings result due to a baseline shift from the AFUE</w:t>
      </w:r>
      <w:r w:rsidRPr="00DD3C93">
        <w:rPr>
          <w:rFonts w:eastAsia="Arial" w:cs="Arial"/>
          <w:color w:val="auto"/>
          <w:szCs w:val="20"/>
          <w:vertAlign w:val="subscript"/>
        </w:rPr>
        <w:t>exist</w:t>
      </w:r>
      <w:r w:rsidRPr="00DD3C93">
        <w:rPr>
          <w:rFonts w:eastAsia="Arial" w:cs="Arial"/>
          <w:color w:val="auto"/>
          <w:szCs w:val="20"/>
        </w:rPr>
        <w:t xml:space="preserve"> to the AFUE</w:t>
      </w:r>
      <w:r w:rsidRPr="00DD3C93">
        <w:rPr>
          <w:rFonts w:eastAsia="Arial" w:cs="Arial"/>
          <w:color w:val="auto"/>
          <w:szCs w:val="20"/>
          <w:vertAlign w:val="subscript"/>
        </w:rPr>
        <w:t xml:space="preserve">baseER </w:t>
      </w:r>
      <w:r w:rsidRPr="00DD3C93">
        <w:rPr>
          <w:rFonts w:eastAsia="Arial" w:cs="Arial"/>
          <w:color w:val="auto"/>
          <w:szCs w:val="20"/>
        </w:rPr>
        <w:t>after some years (midlife adjustment), which in some cases can be more efficient than the newly installed equipment.</w:t>
      </w:r>
    </w:p>
    <w:p w14:paraId="22CBA493" w14:textId="79755611" w:rsidR="00315A51" w:rsidRPr="00DD3C93" w:rsidRDefault="00315A51" w:rsidP="00CE6398">
      <w:pPr>
        <w:rPr>
          <w:rFonts w:eastAsia="Arial" w:cs="Arial"/>
          <w:color w:val="auto"/>
          <w:szCs w:val="20"/>
        </w:rPr>
      </w:pPr>
    </w:p>
    <w:p w14:paraId="2573D2FF" w14:textId="36E7AF9E" w:rsidR="00315A51" w:rsidRPr="00DD3C93" w:rsidRDefault="008C3687" w:rsidP="00CE6398">
      <w:pPr>
        <w:rPr>
          <w:rFonts w:eastAsia="Arial" w:cs="Arial"/>
          <w:color w:val="auto"/>
          <w:szCs w:val="20"/>
        </w:rPr>
      </w:pPr>
      <w:r w:rsidRPr="00DD3C93">
        <w:rPr>
          <w:b/>
          <w:bCs/>
        </w:rPr>
        <w:t xml:space="preserve">Traditional Guidehouse Action. </w:t>
      </w:r>
      <w:r w:rsidR="00315A51" w:rsidRPr="00DD3C93">
        <w:rPr>
          <w:rFonts w:eastAsia="Arial" w:cs="Arial"/>
          <w:color w:val="auto"/>
          <w:szCs w:val="20"/>
        </w:rPr>
        <w:t xml:space="preserve">In these cases, Guidehouse has calculated energy savings in accordance with the TRM. The electric energy savings are always positive while the gas savings for fuel-switching heat pump measures are negative after the midlife adjustment. This </w:t>
      </w:r>
      <w:r w:rsidR="00F37930" w:rsidRPr="00DD3C93">
        <w:rPr>
          <w:rFonts w:eastAsia="Arial" w:cs="Arial"/>
          <w:color w:val="auto"/>
          <w:szCs w:val="20"/>
        </w:rPr>
        <w:t>effect is seen only in the CPAS tables that include gas savings.</w:t>
      </w:r>
      <w:r w:rsidR="00315A51" w:rsidRPr="00DD3C93">
        <w:rPr>
          <w:rStyle w:val="FootnoteReference"/>
          <w:rFonts w:eastAsia="Arial" w:cs="Arial"/>
          <w:szCs w:val="20"/>
        </w:rPr>
        <w:footnoteReference w:id="7"/>
      </w:r>
    </w:p>
    <w:p w14:paraId="37A81E78" w14:textId="69A4DDF9" w:rsidR="009C2273" w:rsidRPr="00DD3C93" w:rsidRDefault="009C2273" w:rsidP="009C2273">
      <w:pPr>
        <w:pStyle w:val="Heading3"/>
      </w:pPr>
      <w:r w:rsidRPr="00DD3C93">
        <w:t>Request for Clarification</w:t>
      </w:r>
    </w:p>
    <w:p w14:paraId="0E9D5050" w14:textId="77777777" w:rsidR="009C2273" w:rsidRPr="00DD3C93" w:rsidRDefault="009C2273" w:rsidP="00641592">
      <w:pPr>
        <w:pStyle w:val="ListParagraph"/>
        <w:numPr>
          <w:ilvl w:val="0"/>
          <w:numId w:val="45"/>
        </w:numPr>
      </w:pPr>
      <w:r w:rsidRPr="00DD3C93">
        <w:t>The TRM’s approach to fuel-switching heat pumps intention appears inconsistent. It applies a negative impact for increased load to the gas savings but not the electric savings (i.e., the electric utility does not account for the added electric load). Was this intentional or an oversight?</w:t>
      </w:r>
    </w:p>
    <w:p w14:paraId="0DCE4B33" w14:textId="79C8E8FB" w:rsidR="00A41F26" w:rsidRPr="00DD3C93" w:rsidRDefault="00A41F26" w:rsidP="00A41F26">
      <w:pPr>
        <w:pStyle w:val="Heading1"/>
      </w:pPr>
      <w:r w:rsidRPr="00DD3C93">
        <w:lastRenderedPageBreak/>
        <w:t>Heating Penalties</w:t>
      </w:r>
    </w:p>
    <w:p w14:paraId="6004FDB5" w14:textId="6B8444AA" w:rsidR="00F35A60" w:rsidRPr="00DD3C93" w:rsidRDefault="004055BA">
      <w:r w:rsidRPr="00DD3C93">
        <w:t xml:space="preserve">With the exception of fuel-switching projects, gas measures do not generate interactive heating penalties. This section focuses primarily on penalties that affect electric utility programs. </w:t>
      </w:r>
      <w:r w:rsidR="00F35A60" w:rsidRPr="00DD3C93">
        <w:t xml:space="preserve">Interactive heating penalties are generated by </w:t>
      </w:r>
      <w:r w:rsidR="00816433" w:rsidRPr="00DD3C93">
        <w:t>types of measures: all interior lighting measures and residential furnace blower motors.</w:t>
      </w:r>
    </w:p>
    <w:p w14:paraId="5D2FADF3" w14:textId="1E91A1A9" w:rsidR="00A41F26" w:rsidRPr="00DD3C93" w:rsidRDefault="00A41F26" w:rsidP="00A41F26">
      <w:pPr>
        <w:pStyle w:val="Heading2"/>
      </w:pPr>
      <w:r w:rsidRPr="00DD3C93">
        <w:t>Electric Heating Penalties</w:t>
      </w:r>
    </w:p>
    <w:p w14:paraId="17FA0DDB" w14:textId="7DC6C0E8" w:rsidR="009E0204" w:rsidRPr="00DD3C93" w:rsidRDefault="009E0204" w:rsidP="00A41F26">
      <w:r w:rsidRPr="00DD3C93">
        <w:t>In programs where heating fuel source data is tracked, electric heating penalties are likely to exist</w:t>
      </w:r>
      <w:r w:rsidR="003E4922" w:rsidRPr="00DD3C93">
        <w:t xml:space="preserve"> for some measures</w:t>
      </w:r>
      <w:r w:rsidR="002C3220" w:rsidRPr="00DD3C93">
        <w:t xml:space="preserve">, primarily </w:t>
      </w:r>
      <w:r w:rsidRPr="00DD3C93">
        <w:t xml:space="preserve">resulting from lighting improvements. </w:t>
      </w:r>
      <w:r w:rsidR="002C3220" w:rsidRPr="00DD3C93">
        <w:t>Most programs do not track this value and the TRM instructs users to assume natural gas heating if the information is not known.</w:t>
      </w:r>
      <w:r w:rsidR="002C3220" w:rsidRPr="00DD3C93">
        <w:rPr>
          <w:rStyle w:val="FootnoteReference"/>
        </w:rPr>
        <w:footnoteReference w:id="8"/>
      </w:r>
      <w:r w:rsidR="002C3220" w:rsidRPr="00DD3C93">
        <w:t xml:space="preserve"> In a program that does </w:t>
      </w:r>
      <w:r w:rsidR="00F41538" w:rsidRPr="00DD3C93">
        <w:t xml:space="preserve">track </w:t>
      </w:r>
      <w:r w:rsidR="002C3220" w:rsidRPr="00DD3C93">
        <w:t xml:space="preserve">this </w:t>
      </w:r>
      <w:r w:rsidR="00F41538" w:rsidRPr="00DD3C93">
        <w:t>information,</w:t>
      </w:r>
      <w:r w:rsidR="00400CEC" w:rsidRPr="00DD3C93">
        <w:t xml:space="preserve"> Guidehouse calculates</w:t>
      </w:r>
      <w:r w:rsidR="00F41538" w:rsidRPr="00DD3C93">
        <w:t xml:space="preserve"> electric heating penalties </w:t>
      </w:r>
      <w:r w:rsidR="004B5050" w:rsidRPr="00DD3C93">
        <w:t xml:space="preserve"> for projects where the heating fuel is electric.</w:t>
      </w:r>
      <w:r w:rsidR="0097260E" w:rsidRPr="00DD3C93">
        <w:t xml:space="preserve"> </w:t>
      </w:r>
    </w:p>
    <w:p w14:paraId="1E31B72D" w14:textId="744CF85C" w:rsidR="00DF0605" w:rsidRPr="00DD3C93" w:rsidRDefault="00DF0605" w:rsidP="00A41F26"/>
    <w:p w14:paraId="47E0D868" w14:textId="4CE3725A" w:rsidR="00DF0605" w:rsidRPr="00DD3C93" w:rsidRDefault="008C3687" w:rsidP="00A301FD">
      <w:r w:rsidRPr="00DD3C93">
        <w:rPr>
          <w:b/>
          <w:bCs/>
        </w:rPr>
        <w:t xml:space="preserve">Traditional Guidehouse Action. </w:t>
      </w:r>
      <w:r w:rsidR="00DF0605" w:rsidRPr="00DD3C93">
        <w:t xml:space="preserve">In these cases, Guidehouse has typically netted these penalties out in the </w:t>
      </w:r>
      <w:r w:rsidR="002261CD" w:rsidRPr="00DD3C93">
        <w:t xml:space="preserve">project-level </w:t>
      </w:r>
      <w:r w:rsidR="00DF0605" w:rsidRPr="00DD3C93">
        <w:t xml:space="preserve">verified savings. </w:t>
      </w:r>
    </w:p>
    <w:p w14:paraId="54F9EC11" w14:textId="77777777" w:rsidR="00816433" w:rsidRPr="00DD3C93" w:rsidRDefault="00816433" w:rsidP="00816433">
      <w:pPr>
        <w:pStyle w:val="Heading3"/>
      </w:pPr>
      <w:r w:rsidRPr="00DD3C93">
        <w:t>Request for Clarification</w:t>
      </w:r>
    </w:p>
    <w:p w14:paraId="12E238DF" w14:textId="77777777" w:rsidR="00816433" w:rsidRPr="00DD3C93" w:rsidRDefault="00816433" w:rsidP="00641592">
      <w:pPr>
        <w:pStyle w:val="ListParagraph"/>
        <w:numPr>
          <w:ilvl w:val="0"/>
          <w:numId w:val="45"/>
        </w:numPr>
      </w:pPr>
      <w:r w:rsidRPr="00DD3C93">
        <w:t>How should evaluation treat electric heating penalties? Should they continue to be added to the verified savings?</w:t>
      </w:r>
    </w:p>
    <w:p w14:paraId="40DA4AE4" w14:textId="2067830D" w:rsidR="00A41F26" w:rsidRPr="00DD3C93" w:rsidRDefault="00A41F26" w:rsidP="00A41F26">
      <w:pPr>
        <w:pStyle w:val="Heading2"/>
      </w:pPr>
      <w:r w:rsidRPr="00DD3C93">
        <w:t>Gas Heating Penalties</w:t>
      </w:r>
    </w:p>
    <w:p w14:paraId="1A4FAFF1" w14:textId="31ADF675" w:rsidR="008C3687" w:rsidRPr="00DD3C93" w:rsidRDefault="002817CA" w:rsidP="00A41F26">
      <w:r w:rsidRPr="00DD3C93">
        <w:t xml:space="preserve">The most common source of gas heating penalties </w:t>
      </w:r>
      <w:r w:rsidR="004B5050" w:rsidRPr="00DD3C93">
        <w:t>results</w:t>
      </w:r>
      <w:r w:rsidRPr="00DD3C93">
        <w:t xml:space="preserve"> from lighting improvements. </w:t>
      </w:r>
      <w:r w:rsidR="002261CD" w:rsidRPr="00DD3C93">
        <w:t xml:space="preserve">Since most gas penalties result from lighting improvements, this section only applies to electric utility programs. </w:t>
      </w:r>
    </w:p>
    <w:p w14:paraId="4A0BC146" w14:textId="77777777" w:rsidR="008C3687" w:rsidRPr="00DD3C93" w:rsidRDefault="008C3687" w:rsidP="00A41F26"/>
    <w:p w14:paraId="382D054F" w14:textId="77777777" w:rsidR="00B53372" w:rsidRDefault="008C3687" w:rsidP="00A41F26">
      <w:r w:rsidRPr="00DD3C93">
        <w:rPr>
          <w:b/>
          <w:bCs/>
        </w:rPr>
        <w:t xml:space="preserve">Traditional Guidehouse Action. </w:t>
      </w:r>
      <w:r w:rsidR="00B53372" w:rsidRPr="00B53372">
        <w:t xml:space="preserve">Historically, Guidehouse has not counted gas heating penalties against the electric utility programs’ gas savings. This approach predates the FEJA legislation and was intended to avoid penalizing one utility for program effects from another utility’s program. </w:t>
      </w:r>
      <w:r w:rsidR="00B53372">
        <w:t>However, t</w:t>
      </w:r>
      <w:r w:rsidR="00E9702C">
        <w:t xml:space="preserve">his approach overstates the total savings, electric and gas, that result from an energy efficiency portfolio. </w:t>
      </w:r>
    </w:p>
    <w:p w14:paraId="2C74E8A6" w14:textId="77777777" w:rsidR="00B53372" w:rsidRDefault="00B53372" w:rsidP="00A41F26"/>
    <w:p w14:paraId="5B5A174F" w14:textId="0A9111B8" w:rsidR="00E9702C" w:rsidRDefault="00B53372" w:rsidP="00A41F26">
      <w:r>
        <w:t>As an alternative, w</w:t>
      </w:r>
      <w:r w:rsidR="00E9702C">
        <w:t xml:space="preserve">e present </w:t>
      </w:r>
      <w:r>
        <w:t>three</w:t>
      </w:r>
      <w:r w:rsidR="00E9702C">
        <w:t xml:space="preserve"> options to account for the gas heating penalties.</w:t>
      </w:r>
    </w:p>
    <w:p w14:paraId="7712D704" w14:textId="713E6453" w:rsidR="00E9702C" w:rsidRDefault="00E9702C" w:rsidP="00E9702C">
      <w:pPr>
        <w:pStyle w:val="ListParagraph"/>
        <w:numPr>
          <w:ilvl w:val="0"/>
          <w:numId w:val="55"/>
        </w:numPr>
      </w:pPr>
      <w:r w:rsidRPr="00B53372">
        <w:rPr>
          <w:b/>
          <w:bCs/>
          <w:u w:val="single"/>
        </w:rPr>
        <w:t>Portfolio-level</w:t>
      </w:r>
      <w:r w:rsidRPr="00B53372">
        <w:t xml:space="preserve"> </w:t>
      </w:r>
      <w:r>
        <w:t>– The portfolio’s total gas savings is added to the portfolio’s total gas heating penalties. T</w:t>
      </w:r>
      <w:r w:rsidRPr="00DD3C93">
        <w:t xml:space="preserve">his </w:t>
      </w:r>
      <w:r>
        <w:t>approach w</w:t>
      </w:r>
      <w:r w:rsidRPr="00DD3C93">
        <w:t xml:space="preserve">ould have a tremendous effect. In the CY2019 ComEd Summary Report, the portfolio generated 7,612,287 verified gross therms savings (Table 2-4, Summary Report) and counted 3,761,357 verified gross therms toward goal (Table 2-5, Summary Report). However, accounting for just the programs with the five largest heating penalties results in a significant negative balance as shown in </w:t>
      </w:r>
      <w:r w:rsidRPr="00DD3C93">
        <w:fldChar w:fldCharType="begin"/>
      </w:r>
      <w:r w:rsidRPr="00DD3C93">
        <w:instrText xml:space="preserve"> REF _Ref43714775 \h </w:instrText>
      </w:r>
      <w:r w:rsidRPr="00DD3C93">
        <w:fldChar w:fldCharType="separate"/>
      </w:r>
      <w:r w:rsidRPr="00DD3C93">
        <w:t xml:space="preserve">Table </w:t>
      </w:r>
      <w:r w:rsidRPr="00DD3C93">
        <w:rPr>
          <w:noProof/>
        </w:rPr>
        <w:t>2</w:t>
      </w:r>
      <w:r w:rsidRPr="00DD3C93">
        <w:fldChar w:fldCharType="end"/>
      </w:r>
      <w:r w:rsidRPr="00DD3C93">
        <w:t>. The effect of netting out the gas heating penalties at the portfolio level would be to eliminate the converted gas savings for electric utilities.</w:t>
      </w:r>
    </w:p>
    <w:p w14:paraId="376E6FA8" w14:textId="01DA13A5" w:rsidR="00E9702C" w:rsidRDefault="00E9702C" w:rsidP="00E9702C">
      <w:pPr>
        <w:pStyle w:val="ListParagraph"/>
        <w:numPr>
          <w:ilvl w:val="0"/>
          <w:numId w:val="55"/>
        </w:numPr>
      </w:pPr>
      <w:r w:rsidRPr="00B53372">
        <w:rPr>
          <w:b/>
          <w:bCs/>
          <w:u w:val="single"/>
        </w:rPr>
        <w:t>Program-level</w:t>
      </w:r>
      <w:r>
        <w:t xml:space="preserve"> – For each program</w:t>
      </w:r>
      <w:r w:rsidR="00B53372">
        <w:t xml:space="preserve"> with gas measures</w:t>
      </w:r>
      <w:r>
        <w:t xml:space="preserve">, the total gas savings is added to the total gas heating penalties. This approach has the effect of dramatically reducing the heating penalties attributed to the portfolio. For example, </w:t>
      </w:r>
      <w:r w:rsidR="00B53372">
        <w:t xml:space="preserve">four of the six programs identified in </w:t>
      </w:r>
      <w:r w:rsidR="00B53372">
        <w:fldChar w:fldCharType="begin"/>
      </w:r>
      <w:r w:rsidR="00B53372">
        <w:instrText xml:space="preserve"> REF _Ref43714775 \h </w:instrText>
      </w:r>
      <w:r w:rsidR="00B53372">
        <w:fldChar w:fldCharType="separate"/>
      </w:r>
      <w:r w:rsidR="00B53372" w:rsidRPr="00DD3C93">
        <w:t xml:space="preserve">Table </w:t>
      </w:r>
      <w:r w:rsidR="00B53372" w:rsidRPr="00DD3C93">
        <w:rPr>
          <w:noProof/>
        </w:rPr>
        <w:t>2</w:t>
      </w:r>
      <w:r w:rsidR="00B53372">
        <w:fldChar w:fldCharType="end"/>
      </w:r>
      <w:r w:rsidR="00B53372">
        <w:t xml:space="preserve"> (Lighting Discounts, Instant Discounts, Food Bank LED Distribution, Retail (Lighting) Discounts – Income Eligible) would not have a negative savings value associated with it.</w:t>
      </w:r>
    </w:p>
    <w:p w14:paraId="43CC5EF5" w14:textId="1C7948E7" w:rsidR="00E9702C" w:rsidRDefault="00B53372" w:rsidP="00E9702C">
      <w:pPr>
        <w:pStyle w:val="ListParagraph"/>
        <w:numPr>
          <w:ilvl w:val="0"/>
          <w:numId w:val="55"/>
        </w:numPr>
      </w:pPr>
      <w:r w:rsidRPr="00B53372">
        <w:rPr>
          <w:b/>
          <w:bCs/>
          <w:u w:val="single"/>
        </w:rPr>
        <w:lastRenderedPageBreak/>
        <w:t>Project-</w:t>
      </w:r>
      <w:r>
        <w:rPr>
          <w:b/>
          <w:bCs/>
          <w:u w:val="single"/>
        </w:rPr>
        <w:t>l</w:t>
      </w:r>
      <w:r w:rsidRPr="00B53372">
        <w:rPr>
          <w:b/>
          <w:bCs/>
          <w:u w:val="single"/>
        </w:rPr>
        <w:t>evel</w:t>
      </w:r>
      <w:r>
        <w:t xml:space="preserve"> – For each project with gas measures, the total gas savings is added to the total gas heating penalties. This would have the effect of virtually negating the effect of gas heating penalties on the gas portfolio savings. This is because it is relatively uncommon for projects to contain both gas savings and gas heating penalties. </w:t>
      </w:r>
    </w:p>
    <w:p w14:paraId="05EA3C8A" w14:textId="77777777" w:rsidR="00E9702C" w:rsidRPr="00DD3C93" w:rsidRDefault="00E9702C" w:rsidP="00A41F26"/>
    <w:p w14:paraId="562CA8D2" w14:textId="63EC9260" w:rsidR="00A773B4" w:rsidRPr="00DD3C93" w:rsidRDefault="00142B2B" w:rsidP="00142B2B">
      <w:pPr>
        <w:pStyle w:val="Caption"/>
      </w:pPr>
      <w:bookmarkStart w:id="2" w:name="_Ref43714775"/>
      <w:r w:rsidRPr="00DD3C93">
        <w:t xml:space="preserve">Table </w:t>
      </w:r>
      <w:fldSimple w:instr=" SEQ Table \* ARABIC ">
        <w:r w:rsidR="0046448C" w:rsidRPr="00DD3C93">
          <w:rPr>
            <w:noProof/>
          </w:rPr>
          <w:t>2</w:t>
        </w:r>
      </w:fldSimple>
      <w:bookmarkEnd w:id="2"/>
      <w:r w:rsidRPr="00DD3C93">
        <w:t xml:space="preserve">. </w:t>
      </w:r>
      <w:r w:rsidR="007E2EBE" w:rsidRPr="00DD3C93">
        <w:t xml:space="preserve">CY2019 </w:t>
      </w:r>
      <w:r w:rsidRPr="00DD3C93">
        <w:t>Heating Penalty for Programs &gt; 1,000,000 therms</w:t>
      </w:r>
    </w:p>
    <w:tbl>
      <w:tblPr>
        <w:tblStyle w:val="EnergyTable"/>
        <w:tblW w:w="0" w:type="auto"/>
        <w:tblLook w:val="04A0" w:firstRow="1" w:lastRow="0" w:firstColumn="1" w:lastColumn="0" w:noHBand="0" w:noVBand="1"/>
      </w:tblPr>
      <w:tblGrid>
        <w:gridCol w:w="3780"/>
        <w:gridCol w:w="3206"/>
      </w:tblGrid>
      <w:tr w:rsidR="007E2EBE" w:rsidRPr="00DD3C93" w14:paraId="026D5356" w14:textId="22B5E170" w:rsidTr="007E2EBE">
        <w:trPr>
          <w:cnfStyle w:val="100000000000" w:firstRow="1" w:lastRow="0" w:firstColumn="0" w:lastColumn="0" w:oddVBand="0" w:evenVBand="0" w:oddHBand="0" w:evenHBand="0" w:firstRowFirstColumn="0" w:firstRowLastColumn="0" w:lastRowFirstColumn="0" w:lastRowLastColumn="0"/>
          <w:cantSplit w:val="0"/>
          <w:trHeight w:val="477"/>
          <w:tblHeader/>
        </w:trPr>
        <w:tc>
          <w:tcPr>
            <w:cnfStyle w:val="001000000000" w:firstRow="0" w:lastRow="0" w:firstColumn="1" w:lastColumn="0" w:oddVBand="0" w:evenVBand="0" w:oddHBand="0" w:evenHBand="0" w:firstRowFirstColumn="0" w:firstRowLastColumn="0" w:lastRowFirstColumn="0" w:lastRowLastColumn="0"/>
            <w:tcW w:w="3780" w:type="dxa"/>
          </w:tcPr>
          <w:p w14:paraId="2751B957" w14:textId="4F7C6A79" w:rsidR="007E2EBE" w:rsidRPr="00DD3C93" w:rsidRDefault="007E2EBE" w:rsidP="007E2EBE">
            <w:pPr>
              <w:jc w:val="left"/>
              <w:rPr>
                <w:color w:val="FFFFFF" w:themeColor="background1"/>
              </w:rPr>
            </w:pPr>
            <w:r w:rsidRPr="00DD3C93">
              <w:rPr>
                <w:color w:val="FFFFFF" w:themeColor="background1"/>
              </w:rPr>
              <w:t>Program</w:t>
            </w:r>
          </w:p>
        </w:tc>
        <w:tc>
          <w:tcPr>
            <w:tcW w:w="0" w:type="auto"/>
          </w:tcPr>
          <w:p w14:paraId="64852364" w14:textId="4F0E6C40" w:rsidR="007E2EBE" w:rsidRPr="00DD3C93" w:rsidRDefault="007E2EBE" w:rsidP="007E2EBE">
            <w:pPr>
              <w:jc w:val="right"/>
              <w:cnfStyle w:val="100000000000" w:firstRow="1" w:lastRow="0" w:firstColumn="0" w:lastColumn="0" w:oddVBand="0" w:evenVBand="0" w:oddHBand="0" w:evenHBand="0" w:firstRowFirstColumn="0" w:firstRowLastColumn="0" w:lastRowFirstColumn="0" w:lastRowLastColumn="0"/>
              <w:rPr>
                <w:color w:val="FFFFFF" w:themeColor="background1"/>
              </w:rPr>
            </w:pPr>
            <w:r w:rsidRPr="00DD3C93">
              <w:rPr>
                <w:color w:val="FFFFFF" w:themeColor="background1"/>
              </w:rPr>
              <w:t>Gross Heating Penalty (therms)</w:t>
            </w:r>
          </w:p>
        </w:tc>
      </w:tr>
      <w:tr w:rsidR="0044339D" w:rsidRPr="00DD3C93" w14:paraId="34EA57B3" w14:textId="40B09D2A" w:rsidTr="00732F53">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780" w:type="dxa"/>
          </w:tcPr>
          <w:p w14:paraId="3722CC8E" w14:textId="185D3BC0" w:rsidR="0044339D" w:rsidRPr="00DD3C93" w:rsidRDefault="0044339D" w:rsidP="0044339D">
            <w:pPr>
              <w:jc w:val="left"/>
            </w:pPr>
            <w:r w:rsidRPr="00DD3C93">
              <w:rPr>
                <w:rFonts w:ascii="Arial Narrow" w:hAnsi="Arial Narrow"/>
                <w:sz w:val="22"/>
                <w:szCs w:val="22"/>
              </w:rPr>
              <w:t>Lighting Discounts</w:t>
            </w:r>
          </w:p>
        </w:tc>
        <w:tc>
          <w:tcPr>
            <w:tcW w:w="0" w:type="auto"/>
          </w:tcPr>
          <w:p w14:paraId="6AFD14A9" w14:textId="1CFE3DD0" w:rsidR="0044339D" w:rsidRPr="00DD3C93" w:rsidRDefault="0044339D" w:rsidP="0044339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DD3C93">
              <w:rPr>
                <w:rFonts w:ascii="Arial Narrow" w:hAnsi="Arial Narrow"/>
                <w:sz w:val="22"/>
                <w:szCs w:val="22"/>
              </w:rPr>
              <w:t>-6,334,101</w:t>
            </w:r>
          </w:p>
        </w:tc>
      </w:tr>
      <w:tr w:rsidR="0044339D" w:rsidRPr="00DD3C93" w14:paraId="0A84A614" w14:textId="1B02FC27" w:rsidTr="00732F53">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780" w:type="dxa"/>
          </w:tcPr>
          <w:p w14:paraId="1D3330A4" w14:textId="1D2214D7" w:rsidR="0044339D" w:rsidRPr="00DD3C93" w:rsidRDefault="0044339D" w:rsidP="0044339D">
            <w:pPr>
              <w:jc w:val="left"/>
            </w:pPr>
            <w:r w:rsidRPr="00DD3C93">
              <w:rPr>
                <w:rFonts w:ascii="Arial Narrow" w:hAnsi="Arial Narrow"/>
                <w:sz w:val="22"/>
                <w:szCs w:val="22"/>
              </w:rPr>
              <w:t>Instant Discounts</w:t>
            </w:r>
          </w:p>
        </w:tc>
        <w:tc>
          <w:tcPr>
            <w:tcW w:w="0" w:type="auto"/>
          </w:tcPr>
          <w:p w14:paraId="6AD81167" w14:textId="2730AD6C" w:rsidR="0044339D" w:rsidRPr="00DD3C93" w:rsidRDefault="0044339D" w:rsidP="0044339D">
            <w:pPr>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2"/>
                <w:szCs w:val="22"/>
              </w:rPr>
            </w:pPr>
            <w:r w:rsidRPr="00DD3C93">
              <w:rPr>
                <w:rFonts w:ascii="Arial Narrow" w:hAnsi="Arial Narrow"/>
                <w:sz w:val="22"/>
                <w:szCs w:val="22"/>
              </w:rPr>
              <w:t>-5,963,086</w:t>
            </w:r>
          </w:p>
        </w:tc>
      </w:tr>
      <w:tr w:rsidR="0044339D" w:rsidRPr="00DD3C93" w14:paraId="19AB8089" w14:textId="1FF05AB8" w:rsidTr="00732F53">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780" w:type="dxa"/>
          </w:tcPr>
          <w:p w14:paraId="1DE3F415" w14:textId="0790165E" w:rsidR="0044339D" w:rsidRPr="00DD3C93" w:rsidRDefault="0044339D" w:rsidP="0044339D">
            <w:pPr>
              <w:jc w:val="left"/>
            </w:pPr>
            <w:r w:rsidRPr="00DD3C93">
              <w:rPr>
                <w:rFonts w:ascii="Arial Narrow" w:hAnsi="Arial Narrow"/>
                <w:sz w:val="22"/>
                <w:szCs w:val="22"/>
              </w:rPr>
              <w:t xml:space="preserve">Standard </w:t>
            </w:r>
          </w:p>
        </w:tc>
        <w:tc>
          <w:tcPr>
            <w:tcW w:w="0" w:type="auto"/>
          </w:tcPr>
          <w:p w14:paraId="3FA4A572" w14:textId="2A11DFE8" w:rsidR="0044339D" w:rsidRPr="00DD3C93" w:rsidRDefault="0044339D" w:rsidP="0044339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DD3C93">
              <w:rPr>
                <w:rFonts w:ascii="Arial Narrow" w:hAnsi="Arial Narrow"/>
                <w:sz w:val="22"/>
                <w:szCs w:val="22"/>
              </w:rPr>
              <w:t>-2,354,866</w:t>
            </w:r>
          </w:p>
        </w:tc>
      </w:tr>
      <w:tr w:rsidR="0044339D" w:rsidRPr="00DD3C93" w14:paraId="6D9E01B6" w14:textId="1FE26C7B" w:rsidTr="00732F53">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780" w:type="dxa"/>
          </w:tcPr>
          <w:p w14:paraId="636EBD0B" w14:textId="2757959E" w:rsidR="0044339D" w:rsidRPr="00DD3C93" w:rsidRDefault="0044339D" w:rsidP="0044339D">
            <w:pPr>
              <w:jc w:val="left"/>
            </w:pPr>
            <w:r w:rsidRPr="00DD3C93">
              <w:rPr>
                <w:rFonts w:ascii="Arial Narrow" w:hAnsi="Arial Narrow"/>
                <w:sz w:val="22"/>
                <w:szCs w:val="22"/>
              </w:rPr>
              <w:t>Small Business</w:t>
            </w:r>
          </w:p>
        </w:tc>
        <w:tc>
          <w:tcPr>
            <w:tcW w:w="0" w:type="auto"/>
          </w:tcPr>
          <w:p w14:paraId="043F950D" w14:textId="17A08693" w:rsidR="0044339D" w:rsidRPr="00DD3C93" w:rsidRDefault="0044339D" w:rsidP="0044339D">
            <w:pPr>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2"/>
                <w:szCs w:val="22"/>
              </w:rPr>
            </w:pPr>
            <w:r w:rsidRPr="00DD3C93">
              <w:rPr>
                <w:rFonts w:ascii="Arial Narrow" w:hAnsi="Arial Narrow"/>
                <w:sz w:val="22"/>
                <w:szCs w:val="22"/>
              </w:rPr>
              <w:t>-2,118,017</w:t>
            </w:r>
          </w:p>
        </w:tc>
      </w:tr>
      <w:tr w:rsidR="0044339D" w:rsidRPr="00DD3C93" w14:paraId="49C9D815" w14:textId="5C051026" w:rsidTr="00732F53">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780" w:type="dxa"/>
          </w:tcPr>
          <w:p w14:paraId="61B4A0B2" w14:textId="275F7CEC" w:rsidR="0044339D" w:rsidRPr="00DD3C93" w:rsidRDefault="0044339D" w:rsidP="0044339D">
            <w:pPr>
              <w:jc w:val="left"/>
            </w:pPr>
            <w:r w:rsidRPr="00DD3C93">
              <w:rPr>
                <w:rFonts w:ascii="Arial Narrow" w:hAnsi="Arial Narrow"/>
                <w:sz w:val="22"/>
                <w:szCs w:val="22"/>
              </w:rPr>
              <w:t>Food Bank LED Distribution</w:t>
            </w:r>
          </w:p>
        </w:tc>
        <w:tc>
          <w:tcPr>
            <w:tcW w:w="0" w:type="auto"/>
          </w:tcPr>
          <w:p w14:paraId="1002E9AA" w14:textId="0DBD2DF4" w:rsidR="0044339D" w:rsidRPr="00DD3C93" w:rsidRDefault="0044339D" w:rsidP="0044339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DD3C93">
              <w:rPr>
                <w:rFonts w:ascii="Arial Narrow" w:hAnsi="Arial Narrow"/>
                <w:sz w:val="22"/>
                <w:szCs w:val="22"/>
              </w:rPr>
              <w:t>-1,479,811</w:t>
            </w:r>
          </w:p>
        </w:tc>
      </w:tr>
      <w:tr w:rsidR="0044339D" w:rsidRPr="00DD3C93" w14:paraId="0A5A4AF2" w14:textId="22302DDE" w:rsidTr="00732F53">
        <w:trPr>
          <w:cnfStyle w:val="000000010000" w:firstRow="0" w:lastRow="0" w:firstColumn="0" w:lastColumn="0" w:oddVBand="0" w:evenVBand="0" w:oddHBand="0" w:evenHBand="1"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780" w:type="dxa"/>
          </w:tcPr>
          <w:p w14:paraId="09DB0229" w14:textId="51AE06A2" w:rsidR="0044339D" w:rsidRPr="00DD3C93" w:rsidRDefault="0044339D" w:rsidP="0044339D">
            <w:pPr>
              <w:jc w:val="left"/>
              <w:rPr>
                <w:rFonts w:ascii="Arial Narrow" w:hAnsi="Arial Narrow"/>
                <w:sz w:val="22"/>
                <w:szCs w:val="22"/>
              </w:rPr>
            </w:pPr>
            <w:r w:rsidRPr="00DD3C93">
              <w:rPr>
                <w:rFonts w:ascii="Arial Narrow" w:hAnsi="Arial Narrow"/>
                <w:sz w:val="22"/>
                <w:szCs w:val="22"/>
              </w:rPr>
              <w:t>Retail (Lighting) Discounts - Income Eligible</w:t>
            </w:r>
          </w:p>
        </w:tc>
        <w:tc>
          <w:tcPr>
            <w:tcW w:w="0" w:type="auto"/>
          </w:tcPr>
          <w:p w14:paraId="2B7A3544" w14:textId="0F8618B6" w:rsidR="0044339D" w:rsidRPr="00DD3C93" w:rsidRDefault="0044339D" w:rsidP="0044339D">
            <w:pPr>
              <w:jc w:val="right"/>
              <w:cnfStyle w:val="000000010000" w:firstRow="0" w:lastRow="0" w:firstColumn="0" w:lastColumn="0" w:oddVBand="0" w:evenVBand="0" w:oddHBand="0" w:evenHBand="1" w:firstRowFirstColumn="0" w:firstRowLastColumn="0" w:lastRowFirstColumn="0" w:lastRowLastColumn="0"/>
              <w:rPr>
                <w:rFonts w:ascii="Arial Narrow" w:hAnsi="Arial Narrow"/>
                <w:sz w:val="22"/>
                <w:szCs w:val="22"/>
              </w:rPr>
            </w:pPr>
            <w:r w:rsidRPr="00DD3C93">
              <w:rPr>
                <w:rFonts w:ascii="Arial Narrow" w:hAnsi="Arial Narrow"/>
                <w:sz w:val="22"/>
                <w:szCs w:val="22"/>
              </w:rPr>
              <w:t>-1,319,518</w:t>
            </w:r>
          </w:p>
        </w:tc>
      </w:tr>
      <w:tr w:rsidR="0044339D" w:rsidRPr="00DD3C93" w14:paraId="67483A31" w14:textId="4E5853FB" w:rsidTr="00732F53">
        <w:trPr>
          <w:cnfStyle w:val="000000100000" w:firstRow="0" w:lastRow="0" w:firstColumn="0" w:lastColumn="0" w:oddVBand="0" w:evenVBand="0" w:oddHBand="1" w:evenHBand="0" w:firstRowFirstColumn="0" w:firstRowLastColumn="0" w:lastRowFirstColumn="0" w:lastRowLastColumn="0"/>
          <w:cantSplit w:val="0"/>
        </w:trPr>
        <w:tc>
          <w:tcPr>
            <w:cnfStyle w:val="001000000000" w:firstRow="0" w:lastRow="0" w:firstColumn="1" w:lastColumn="0" w:oddVBand="0" w:evenVBand="0" w:oddHBand="0" w:evenHBand="0" w:firstRowFirstColumn="0" w:firstRowLastColumn="0" w:lastRowFirstColumn="0" w:lastRowLastColumn="0"/>
            <w:tcW w:w="3780" w:type="dxa"/>
          </w:tcPr>
          <w:p w14:paraId="5F73851A" w14:textId="7F130C39" w:rsidR="0044339D" w:rsidRPr="00DD3C93" w:rsidRDefault="0044339D" w:rsidP="0044339D">
            <w:pPr>
              <w:jc w:val="left"/>
              <w:rPr>
                <w:b/>
                <w:bCs/>
              </w:rPr>
            </w:pPr>
            <w:r w:rsidRPr="00DD3C93">
              <w:rPr>
                <w:rFonts w:ascii="Arial Narrow" w:hAnsi="Arial Narrow"/>
                <w:b/>
                <w:bCs/>
                <w:sz w:val="22"/>
                <w:szCs w:val="22"/>
              </w:rPr>
              <w:t>Total</w:t>
            </w:r>
          </w:p>
        </w:tc>
        <w:tc>
          <w:tcPr>
            <w:tcW w:w="0" w:type="auto"/>
          </w:tcPr>
          <w:p w14:paraId="3473FC80" w14:textId="6FC219A1" w:rsidR="0044339D" w:rsidRPr="00DD3C93" w:rsidRDefault="0044339D" w:rsidP="0044339D">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sz w:val="22"/>
                <w:szCs w:val="22"/>
              </w:rPr>
            </w:pPr>
            <w:r w:rsidRPr="00DD3C93">
              <w:rPr>
                <w:rFonts w:ascii="Arial Narrow" w:hAnsi="Arial Narrow"/>
                <w:b/>
                <w:bCs/>
                <w:sz w:val="22"/>
                <w:szCs w:val="22"/>
              </w:rPr>
              <w:t>-19,569,399</w:t>
            </w:r>
          </w:p>
        </w:tc>
      </w:tr>
    </w:tbl>
    <w:p w14:paraId="1A49F45E" w14:textId="40F023BB" w:rsidR="00405F6D" w:rsidRPr="00DD3C93" w:rsidRDefault="00142B2B" w:rsidP="00B53372">
      <w:pPr>
        <w:pStyle w:val="Source"/>
        <w:ind w:left="990"/>
      </w:pPr>
      <w:r w:rsidRPr="00DD3C93">
        <w:t>Source: ComEd CY201</w:t>
      </w:r>
      <w:r w:rsidR="0044339D" w:rsidRPr="00DD3C93">
        <w:t>9</w:t>
      </w:r>
      <w:r w:rsidRPr="00DD3C93">
        <w:t xml:space="preserve"> Summary Evaluation Report. Can be found at </w:t>
      </w:r>
      <w:hyperlink r:id="rId11" w:history="1">
        <w:r w:rsidRPr="00DD3C93">
          <w:rPr>
            <w:rStyle w:val="Hyperlink"/>
          </w:rPr>
          <w:t>https://www.ilsag.info/evaluation-documents/final-evaluation-reports/</w:t>
        </w:r>
      </w:hyperlink>
    </w:p>
    <w:bookmarkEnd w:id="0"/>
    <w:p w14:paraId="279F125F" w14:textId="77777777" w:rsidR="00816433" w:rsidRPr="00DD3C93" w:rsidRDefault="00816433" w:rsidP="00816433">
      <w:pPr>
        <w:pStyle w:val="Heading3"/>
      </w:pPr>
      <w:r w:rsidRPr="00DD3C93">
        <w:t>Request for Clarification</w:t>
      </w:r>
    </w:p>
    <w:p w14:paraId="1C908CDF" w14:textId="77777777" w:rsidR="00816433" w:rsidRPr="00DD3C93" w:rsidRDefault="00816433" w:rsidP="006E17F5">
      <w:pPr>
        <w:pStyle w:val="ListParagraph"/>
        <w:numPr>
          <w:ilvl w:val="0"/>
          <w:numId w:val="45"/>
        </w:numPr>
      </w:pPr>
      <w:r w:rsidRPr="00DD3C93">
        <w:t>How should evaluation treat gas heating penalties with respect to converted gas savings? Should these be netted out at the project level. program level, portfolio level, or at all?</w:t>
      </w:r>
    </w:p>
    <w:p w14:paraId="468DE0B4" w14:textId="22DB2789" w:rsidR="003A5593" w:rsidRPr="00DD3C93" w:rsidRDefault="003A5593" w:rsidP="003A5593">
      <w:pPr>
        <w:pStyle w:val="Heading2"/>
      </w:pPr>
      <w:r w:rsidRPr="00DD3C93">
        <w:t>Ambiguity in Determining the Heating System Fuel Source</w:t>
      </w:r>
    </w:p>
    <w:p w14:paraId="7012BE49" w14:textId="33CFFE2C" w:rsidR="003A5593" w:rsidRPr="00DD3C93" w:rsidRDefault="003A5593" w:rsidP="003A5593">
      <w:r w:rsidRPr="00DD3C93">
        <w:t>The TRM categorizes heating system</w:t>
      </w:r>
      <w:r w:rsidR="00574968" w:rsidRPr="00DD3C93">
        <w:t xml:space="preserve">s as either electric resistance, electric heat pump or gas heated. In reality, commercial facilities commonly have both gas and electric heat sources. </w:t>
      </w:r>
    </w:p>
    <w:p w14:paraId="4D569AFA" w14:textId="11379C8D" w:rsidR="00574968" w:rsidRPr="00DD3C93" w:rsidRDefault="00574968" w:rsidP="00574968">
      <w:pPr>
        <w:pStyle w:val="ListParagraph"/>
        <w:numPr>
          <w:ilvl w:val="0"/>
          <w:numId w:val="43"/>
        </w:numPr>
      </w:pPr>
      <w:r w:rsidRPr="00DD3C93">
        <w:t xml:space="preserve">Gas-fired rooftop units with electric reheat boxes. </w:t>
      </w:r>
    </w:p>
    <w:p w14:paraId="1D7D81D3" w14:textId="471B0AC9" w:rsidR="00574968" w:rsidRPr="00DD3C93" w:rsidRDefault="00574968" w:rsidP="00574968">
      <w:pPr>
        <w:pStyle w:val="ListParagraph"/>
        <w:numPr>
          <w:ilvl w:val="0"/>
          <w:numId w:val="43"/>
        </w:numPr>
      </w:pPr>
      <w:r w:rsidRPr="00DD3C93">
        <w:t>Gas boiler-fed air handling units with electric resistance perimeter heat.</w:t>
      </w:r>
    </w:p>
    <w:p w14:paraId="3DA4A3E1" w14:textId="702FBFBC" w:rsidR="00574968" w:rsidRPr="00DD3C93" w:rsidRDefault="00574968" w:rsidP="00574968"/>
    <w:p w14:paraId="72DB76B2" w14:textId="51421145" w:rsidR="00574968" w:rsidRPr="00DD3C93" w:rsidRDefault="00C852BE" w:rsidP="00574968">
      <w:r w:rsidRPr="00DD3C93">
        <w:t>Based on the current TRM guidance, i</w:t>
      </w:r>
      <w:r w:rsidR="00574968" w:rsidRPr="00DD3C93">
        <w:t xml:space="preserve">t is not clear how programs or evaluators should </w:t>
      </w:r>
      <w:r w:rsidR="00DA2696" w:rsidRPr="00DD3C93">
        <w:t xml:space="preserve">categorize </w:t>
      </w:r>
      <w:r w:rsidRPr="00DD3C93">
        <w:t xml:space="preserve">these types of systems. </w:t>
      </w:r>
    </w:p>
    <w:p w14:paraId="393954AD" w14:textId="18B4552A" w:rsidR="009C2273" w:rsidRPr="00DD3C93" w:rsidRDefault="009C2273" w:rsidP="009C2273">
      <w:pPr>
        <w:pStyle w:val="Heading3"/>
      </w:pPr>
      <w:r w:rsidRPr="00DD3C93">
        <w:t>Request for Clarification</w:t>
      </w:r>
    </w:p>
    <w:p w14:paraId="35C7A4B8" w14:textId="77777777" w:rsidR="009C2273" w:rsidRPr="00DD3C93" w:rsidRDefault="009C2273" w:rsidP="006E17F5">
      <w:pPr>
        <w:pStyle w:val="ListParagraph"/>
        <w:numPr>
          <w:ilvl w:val="0"/>
          <w:numId w:val="45"/>
        </w:numPr>
      </w:pPr>
      <w:r w:rsidRPr="00DD3C93">
        <w:t>How should more complex heating systems be categorized for TRM application?</w:t>
      </w:r>
    </w:p>
    <w:p w14:paraId="449256C1" w14:textId="77777777" w:rsidR="00A768B3" w:rsidRPr="00DD3C93" w:rsidRDefault="00A768B3" w:rsidP="006E17F5"/>
    <w:sectPr w:rsidR="00A768B3" w:rsidRPr="00DD3C93" w:rsidSect="003B5FD8">
      <w:headerReference w:type="default" r:id="rId12"/>
      <w:headerReference w:type="first" r:id="rId13"/>
      <w:footerReference w:type="first" r:id="rId14"/>
      <w:pgSz w:w="12240" w:h="15840" w:code="1"/>
      <w:pgMar w:top="1440" w:right="144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A7D03A" w14:textId="77777777" w:rsidR="00DA42A1" w:rsidRDefault="00DA42A1" w:rsidP="00691AE1">
      <w:r>
        <w:separator/>
      </w:r>
    </w:p>
  </w:endnote>
  <w:endnote w:type="continuationSeparator" w:id="0">
    <w:p w14:paraId="24AEAFDF" w14:textId="77777777" w:rsidR="00DA42A1" w:rsidRDefault="00DA42A1" w:rsidP="00691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06DAC" w14:textId="77777777" w:rsidR="00691AE1" w:rsidRDefault="00691AE1" w:rsidP="00CB04D3">
    <w:pPr>
      <w:pStyle w:val="Footer"/>
      <w:ind w:firstLine="720"/>
    </w:pPr>
  </w:p>
  <w:p w14:paraId="5A4C4E01" w14:textId="77777777" w:rsidR="00691AE1" w:rsidRDefault="00691AE1" w:rsidP="00CB04D3">
    <w:pPr>
      <w:pStyle w:val="Footer"/>
      <w:ind w:firstLine="720"/>
    </w:pPr>
  </w:p>
  <w:p w14:paraId="3C595321" w14:textId="77777777" w:rsidR="00691AE1" w:rsidRDefault="00691AE1" w:rsidP="00CB04D3">
    <w:pPr>
      <w:pStyle w:val="Footer"/>
      <w:ind w:firstLine="720"/>
    </w:pPr>
  </w:p>
  <w:p w14:paraId="49D6FFDD" w14:textId="77777777" w:rsidR="00691AE1" w:rsidRDefault="00691AE1" w:rsidP="00CB04D3">
    <w:pPr>
      <w:pStyle w:val="Footer"/>
      <w:ind w:firstLine="720"/>
    </w:pPr>
  </w:p>
  <w:p w14:paraId="5822AA2F" w14:textId="77777777" w:rsidR="00691AE1" w:rsidRDefault="00691AE1" w:rsidP="00CB04D3">
    <w:pPr>
      <w:pStyle w:val="Footer"/>
      <w:ind w:firstLine="720"/>
    </w:pPr>
  </w:p>
  <w:p w14:paraId="44E7B24D" w14:textId="77777777" w:rsidR="00691AE1" w:rsidRDefault="00691AE1" w:rsidP="00CB04D3">
    <w:pPr>
      <w:pStyle w:val="Footer"/>
      <w:ind w:firstLine="720"/>
    </w:pPr>
  </w:p>
  <w:p w14:paraId="07B01D07" w14:textId="77777777" w:rsidR="00691AE1" w:rsidRDefault="00691AE1" w:rsidP="00CB04D3">
    <w:pPr>
      <w:pStyle w:val="Footer"/>
      <w:ind w:firstLine="720"/>
    </w:pPr>
    <w:r>
      <w:rPr>
        <w:noProof/>
      </w:rPr>
      <mc:AlternateContent>
        <mc:Choice Requires="wps">
          <w:drawing>
            <wp:anchor distT="0" distB="0" distL="114300" distR="114300" simplePos="0" relativeHeight="251658240" behindDoc="0" locked="0" layoutInCell="1" allowOverlap="1" wp14:anchorId="61F48C93" wp14:editId="7DC1C0E9">
              <wp:simplePos x="0" y="0"/>
              <wp:positionH relativeFrom="column">
                <wp:posOffset>-591185</wp:posOffset>
              </wp:positionH>
              <wp:positionV relativeFrom="paragraph">
                <wp:posOffset>-747395</wp:posOffset>
              </wp:positionV>
              <wp:extent cx="1811655" cy="956310"/>
              <wp:effectExtent l="0" t="0" r="0" b="635"/>
              <wp:wrapNone/>
              <wp:docPr id="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956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5138456" w14:textId="77777777" w:rsidR="00691AE1" w:rsidRPr="00C75979" w:rsidRDefault="00691AE1" w:rsidP="003B0439">
                          <w:pPr>
                            <w:pStyle w:val="FooterAddress"/>
                            <w:rPr>
                              <w:lang w:val="es-ES"/>
                            </w:rPr>
                          </w:pPr>
                          <w:r w:rsidRPr="00C75979">
                            <w:rPr>
                              <w:lang w:val="es-ES"/>
                            </w:rPr>
                            <w:t>150 N. Riverside Plaza</w:t>
                          </w:r>
                        </w:p>
                        <w:p w14:paraId="78C895F4" w14:textId="77777777" w:rsidR="00691AE1" w:rsidRPr="00C75979" w:rsidRDefault="00691AE1" w:rsidP="003B0439">
                          <w:pPr>
                            <w:pStyle w:val="FooterAddress"/>
                            <w:rPr>
                              <w:lang w:val="es-ES"/>
                            </w:rPr>
                          </w:pPr>
                          <w:r w:rsidRPr="00C75979">
                            <w:rPr>
                              <w:lang w:val="es-ES"/>
                            </w:rPr>
                            <w:t>Chicago, IL 60606</w:t>
                          </w:r>
                        </w:p>
                        <w:p w14:paraId="422DB31E" w14:textId="77777777" w:rsidR="00691AE1" w:rsidRPr="00A94D41" w:rsidRDefault="00691AE1" w:rsidP="003B0439">
                          <w:pPr>
                            <w:pStyle w:val="FooterAddress"/>
                          </w:pPr>
                          <w:r>
                            <w:t>guidehouse</w:t>
                          </w:r>
                          <w:r w:rsidRPr="00A94D41">
                            <w:t>.com</w:t>
                          </w:r>
                        </w:p>
                        <w:p w14:paraId="6E3D5AF1" w14:textId="77777777" w:rsidR="00691AE1" w:rsidRPr="00B06FC9" w:rsidRDefault="00691AE1" w:rsidP="003B0439">
                          <w:pPr>
                            <w:pStyle w:val="FooterAddress"/>
                            <w:rPr>
                              <w:rFonts w:ascii="Arial Narrow" w:hAnsi="Arial Narr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F48C93" id="_x0000_t202" coordsize="21600,21600" o:spt="202" path="m,l,21600r21600,l21600,xe">
              <v:stroke joinstyle="miter"/>
              <v:path gradientshapeok="t" o:connecttype="rect"/>
            </v:shapetype>
            <v:shape id="Text Box 29" o:spid="_x0000_s1026" type="#_x0000_t202" style="position:absolute;left:0;text-align:left;margin-left:-46.55pt;margin-top:-58.85pt;width:142.65pt;height:7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2ITRgIAAEYEAAAOAAAAZHJzL2Uyb0RvYy54bWysU9tu2zAMfR+wfxD07vpSx4mNOkUuzTCg&#10;uwDtPkCR5diYLWqSUrsr9u+j5KTLtrdhL4IkkofkOeTN7dh35Elo04IsaXwVUSIkh6qVh5J+edwF&#10;C0qMZbJiHUhR0mdh6O3y7ZubQRUigQa6SmiCINIUgyppY60qwtDwRvTMXIESEo016J5ZfOpDWGk2&#10;IHrfhUkUZeEAulIauDAGf7eTkS49fl0Lbj/VtRGWdCXF2qw/tT/37gyXN6w4aKaalp/KYP9QRc9a&#10;iUlfobbMMnLU7V9Qfcs1GKjtFYc+hLpuufA9YDdx9Ec3Dw1TwveC5Bj1SpP5f7D849NnTdqqpBkl&#10;kvUo0aMYLVnDSJLc0TMoU6DXg0I/O+I/yuxbNeoe+FdDJGwaJg9ipTUMjWAVlhe7yPAidMIxDmQ/&#10;fIAK87CjBQ801rp33CEbBNFRpudXaVwt3KVcxHE2m1HC0ZbPsuvYaxey4hyttLHvBPTEXUqqUXqP&#10;zp7ujXXVsOLs4pJJ2LVd5+Xv5G8f6Dj9YG4MdTZXhVfzJY/yu8XdIg3SJLsL0qiqgtVukwbZLp7P&#10;ttfbzWYb/5im6iIoTtJoneTBLlvMg7ROZ0E+jxZBFOfrPIvSPN3ufBCmPif15Dm+JubsuB9PYuyh&#10;ekYaNUzDjMuHlwb0d0oGHOSSmm9HpgUl3XuJUuRxmrrJ9490Nk/woS8t+0sLkxyhSmopma4bO23L&#10;Uen20GCmSXwJK5Svbj2zTuepqpPoOKye8NNiuW24fHuvX+u//AkAAP//AwBQSwMEFAAGAAgAAAAh&#10;ADHvVR/gAAAACwEAAA8AAABkcnMvZG93bnJldi54bWxMj01PwzAMhu9I+w+RJ3HbknbAaFd3QiCu&#10;IMaHtFvWeG1F41RNtpZ/T3aCmy0/ev28xXaynTjT4FvHCMlSgSCunGm5Rvh4f17cg/BBs9GdY0L4&#10;IQ/bcnZV6Ny4kd/ovAu1iCHsc43QhNDnUvqqIav90vXE8XZ0g9UhrkMtzaDHGG47mSp1J61uOX5o&#10;dE+PDVXfu5NF+Hw57r9u1Gv9ZG/70U1Kss0k4vV8etiACDSFPxgu+lEdyuh0cCc2XnQIi2yVRDQO&#10;SbJeg7ggWZqCOCCs0gxkWcj/HcpfAAAA//8DAFBLAQItABQABgAIAAAAIQC2gziS/gAAAOEBAAAT&#10;AAAAAAAAAAAAAAAAAAAAAABbQ29udGVudF9UeXBlc10ueG1sUEsBAi0AFAAGAAgAAAAhADj9If/W&#10;AAAAlAEAAAsAAAAAAAAAAAAAAAAALwEAAF9yZWxzLy5yZWxzUEsBAi0AFAAGAAgAAAAhAM43YhNG&#10;AgAARgQAAA4AAAAAAAAAAAAAAAAALgIAAGRycy9lMm9Eb2MueG1sUEsBAi0AFAAGAAgAAAAhADHv&#10;VR/gAAAACwEAAA8AAAAAAAAAAAAAAAAAoAQAAGRycy9kb3ducmV2LnhtbFBLBQYAAAAABAAEAPMA&#10;AACtBQAAAAA=&#10;" filled="f" stroked="f">
              <v:textbox>
                <w:txbxContent>
                  <w:p w14:paraId="25138456" w14:textId="77777777" w:rsidR="00691AE1" w:rsidRPr="00C75979" w:rsidRDefault="00691AE1" w:rsidP="003B0439">
                    <w:pPr>
                      <w:pStyle w:val="FooterAddress"/>
                      <w:rPr>
                        <w:lang w:val="es-ES"/>
                      </w:rPr>
                    </w:pPr>
                    <w:r w:rsidRPr="00C75979">
                      <w:rPr>
                        <w:lang w:val="es-ES"/>
                      </w:rPr>
                      <w:t>150 N. Riverside Plaza</w:t>
                    </w:r>
                  </w:p>
                  <w:p w14:paraId="78C895F4" w14:textId="77777777" w:rsidR="00691AE1" w:rsidRPr="00C75979" w:rsidRDefault="00691AE1" w:rsidP="003B0439">
                    <w:pPr>
                      <w:pStyle w:val="FooterAddress"/>
                      <w:rPr>
                        <w:lang w:val="es-ES"/>
                      </w:rPr>
                    </w:pPr>
                    <w:r w:rsidRPr="00C75979">
                      <w:rPr>
                        <w:lang w:val="es-ES"/>
                      </w:rPr>
                      <w:t>Chicago, IL 60606</w:t>
                    </w:r>
                  </w:p>
                  <w:p w14:paraId="422DB31E" w14:textId="77777777" w:rsidR="00691AE1" w:rsidRPr="00A94D41" w:rsidRDefault="00691AE1" w:rsidP="003B0439">
                    <w:pPr>
                      <w:pStyle w:val="FooterAddress"/>
                    </w:pPr>
                    <w:r>
                      <w:t>guidehouse</w:t>
                    </w:r>
                    <w:r w:rsidRPr="00A94D41">
                      <w:t>.com</w:t>
                    </w:r>
                  </w:p>
                  <w:p w14:paraId="6E3D5AF1" w14:textId="77777777" w:rsidR="00691AE1" w:rsidRPr="00B06FC9" w:rsidRDefault="00691AE1" w:rsidP="003B0439">
                    <w:pPr>
                      <w:pStyle w:val="FooterAddress"/>
                      <w:rPr>
                        <w:rFonts w:ascii="Arial Narrow" w:hAnsi="Arial Narrow"/>
                      </w:rPr>
                    </w:pP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D129EDD" wp14:editId="1E652D46">
              <wp:simplePos x="0" y="0"/>
              <wp:positionH relativeFrom="column">
                <wp:posOffset>549275</wp:posOffset>
              </wp:positionH>
              <wp:positionV relativeFrom="paragraph">
                <wp:posOffset>8627745</wp:posOffset>
              </wp:positionV>
              <wp:extent cx="1935480" cy="956310"/>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11BC86B" w14:textId="77777777" w:rsidR="00691AE1" w:rsidRDefault="00691AE1" w:rsidP="00CB04D3">
                          <w:pPr>
                            <w:rPr>
                              <w:rFonts w:ascii="Arial Narrow" w:hAnsi="Arial Narrow"/>
                              <w:color w:val="6F6754"/>
                              <w:sz w:val="16"/>
                            </w:rPr>
                          </w:pPr>
                          <w:r>
                            <w:rPr>
                              <w:rFonts w:ascii="Arial Narrow" w:hAnsi="Arial Narrow"/>
                              <w:color w:val="6F6754"/>
                              <w:sz w:val="16"/>
                            </w:rPr>
                            <w:t>Address #1 ## Long Street</w:t>
                          </w:r>
                        </w:p>
                        <w:p w14:paraId="61E4750E" w14:textId="77777777" w:rsidR="00691AE1" w:rsidRDefault="00691AE1" w:rsidP="00CB04D3">
                          <w:pPr>
                            <w:rPr>
                              <w:rFonts w:ascii="Arial Narrow" w:hAnsi="Arial Narrow"/>
                              <w:color w:val="6F6754"/>
                              <w:sz w:val="16"/>
                            </w:rPr>
                          </w:pPr>
                          <w:r>
                            <w:rPr>
                              <w:rFonts w:ascii="Arial Narrow" w:hAnsi="Arial Narrow"/>
                              <w:color w:val="6F6754"/>
                              <w:sz w:val="16"/>
                            </w:rPr>
                            <w:t>Suite ## | City, ST #####</w:t>
                          </w:r>
                        </w:p>
                        <w:p w14:paraId="146B7F2B" w14:textId="7B9CA7B7" w:rsidR="00691AE1" w:rsidRDefault="00691AE1" w:rsidP="00CB04D3">
                          <w:pPr>
                            <w:rPr>
                              <w:rFonts w:ascii="Arial Narrow" w:hAnsi="Arial Narrow"/>
                              <w:color w:val="6F6754"/>
                              <w:sz w:val="16"/>
                            </w:rPr>
                          </w:pPr>
                          <w:r>
                            <w:rPr>
                              <w:rFonts w:ascii="Arial Narrow" w:hAnsi="Arial Narrow"/>
                              <w:color w:val="6F6754"/>
                              <w:sz w:val="16"/>
                            </w:rPr>
                            <w:t>000.000.0000</w:t>
                          </w:r>
                          <w:r w:rsidR="0097260E">
                            <w:rPr>
                              <w:rFonts w:ascii="Arial Narrow" w:hAnsi="Arial Narrow"/>
                              <w:color w:val="6F6754"/>
                              <w:sz w:val="16"/>
                            </w:rPr>
                            <w:t xml:space="preserve"> </w:t>
                          </w:r>
                          <w:r>
                            <w:rPr>
                              <w:rFonts w:ascii="Arial Narrow" w:hAnsi="Arial Narrow"/>
                              <w:color w:val="6F6754"/>
                              <w:sz w:val="16"/>
                            </w:rPr>
                            <w:t>main</w:t>
                          </w:r>
                        </w:p>
                        <w:p w14:paraId="7AFA495E" w14:textId="46AFABC1" w:rsidR="00691AE1" w:rsidRDefault="00691AE1" w:rsidP="00CB04D3">
                          <w:pPr>
                            <w:rPr>
                              <w:rFonts w:ascii="Arial Narrow" w:hAnsi="Arial Narrow"/>
                              <w:color w:val="6F6754"/>
                              <w:sz w:val="16"/>
                            </w:rPr>
                          </w:pPr>
                          <w:r>
                            <w:rPr>
                              <w:rFonts w:ascii="Arial Narrow" w:hAnsi="Arial Narrow"/>
                              <w:color w:val="6F6754"/>
                              <w:sz w:val="16"/>
                            </w:rPr>
                            <w:t>000.000.0000</w:t>
                          </w:r>
                          <w:r w:rsidR="0097260E">
                            <w:rPr>
                              <w:rFonts w:ascii="Arial Narrow" w:hAnsi="Arial Narrow"/>
                              <w:color w:val="6F6754"/>
                              <w:sz w:val="16"/>
                            </w:rPr>
                            <w:t xml:space="preserve"> </w:t>
                          </w:r>
                          <w:r>
                            <w:rPr>
                              <w:rFonts w:ascii="Arial Narrow" w:hAnsi="Arial Narrow"/>
                              <w:color w:val="6F6754"/>
                              <w:sz w:val="16"/>
                            </w:rPr>
                            <w:t>fax</w:t>
                          </w:r>
                        </w:p>
                        <w:p w14:paraId="6EDD968E" w14:textId="77777777" w:rsidR="00691AE1" w:rsidRDefault="00691AE1"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29EDD" id="Text Box 17" o:spid="_x0000_s1027" type="#_x0000_t202" style="position:absolute;left:0;text-align:left;margin-left:43.25pt;margin-top:679.35pt;width:152.4pt;height:7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huMSgIAAE0EAAAOAAAAZHJzL2Uyb0RvYy54bWysVNtu2zAMfR+wfxD07tpOlcQ26hRt0gwD&#10;ugvQ7gMUWY6N2aImKbW7Yf8+Sm7SbHsb9mJIInlInkP66nrsO/IkjW1BlTS9SCiRSkDVqn1Jvzxu&#10;o4wS67iqeAdKlvRZWnq9evvmatCFnEEDXSUNQRBli0GXtHFOF3FsRSN7bi9AS4XGGkzPHV7NPq4M&#10;HxC97+JZkiziAUylDQhpLb5uJiNdBfy6lsJ9qmsrHelKirW58DXhu/PfeHXFi73humnFSxn8H6ro&#10;easw6Qlqwx0nB9P+BdW3woCF2l0I6GOo61bI0AN2kyZ/dPPQcC1DL0iO1Sea7P+DFR+fPhvSViWd&#10;U6J4jxI9ytGRWxhJuvT0DNoW6PWg0c+N+I4yh1atvgfx1RIF64arvbwxBoZG8grLS31kfBY64VgP&#10;shs+QIV5+MFBABpr03vukA2C6CjT80kaX4vwKfPLOcvQJNCWzxeXadAu5sUxWhvr3knoiT+U1KD0&#10;AZ0/3Vvnq+HF0cUnU7Btuy7I36nfHtBxesHcGOptvoqg5o88ye+yu4xFbLa4i1hSVdHNds2ixTZd&#10;zjeXm/V6k/6cpuosKJ2x5HaWR9tFtoxYzeZRvkyyKEnz23yRsJxttiEIUx+TBvI8XxNzbtyNQabA&#10;rCd2B9UzsmlgmmncQTw0YL5TMuA8l9R+O3AjKeneK1QkTxnzCxAubL6c4cWcW3bnFq4EQpXUUTId&#10;125amoM27b7BTNMMKLhBFes2EPxa1Yv2OLOB95f98ktxfg9er3+B1S8AAAD//wMAUEsDBBQABgAI&#10;AAAAIQDsUPHU3wAAAAwBAAAPAAAAZHJzL2Rvd25yZXYueG1sTI/BTsMwDIbvSLxDZCRuLBmloy1N&#10;JwTiCtpgk7hljddWNE7VZGt5e8wJjv796ffncj27XpxxDJ0nDcuFAoFUe9tRo+Hj/eUmAxGiIWt6&#10;T6jhGwOsq8uL0hTWT7TB8zY2gksoFEZDG+NQSBnqFp0JCz8g8e7oR2cij2Mj7WgmLne9vFVqJZ3p&#10;iC+0ZsCnFuuv7clp2L0eP/d36q15dukw+VlJcrnU+vpqfnwAEXGOfzD86rM6VOx08CeyQfQaslXK&#10;JOdJmt2DYCLJlwmIA0epyhOQVSn/P1H9AAAA//8DAFBLAQItABQABgAIAAAAIQC2gziS/gAAAOEB&#10;AAATAAAAAAAAAAAAAAAAAAAAAABbQ29udGVudF9UeXBlc10ueG1sUEsBAi0AFAAGAAgAAAAhADj9&#10;If/WAAAAlAEAAAsAAAAAAAAAAAAAAAAALwEAAF9yZWxzLy5yZWxzUEsBAi0AFAAGAAgAAAAhAMS+&#10;G4xKAgAATQQAAA4AAAAAAAAAAAAAAAAALgIAAGRycy9lMm9Eb2MueG1sUEsBAi0AFAAGAAgAAAAh&#10;AOxQ8dTfAAAADAEAAA8AAAAAAAAAAAAAAAAApAQAAGRycy9kb3ducmV2LnhtbFBLBQYAAAAABAAE&#10;APMAAACwBQAAAAA=&#10;" filled="f" stroked="f">
              <v:textbox>
                <w:txbxContent>
                  <w:p w14:paraId="411BC86B" w14:textId="77777777" w:rsidR="00691AE1" w:rsidRDefault="00691AE1" w:rsidP="00CB04D3">
                    <w:pPr>
                      <w:rPr>
                        <w:rFonts w:ascii="Arial Narrow" w:hAnsi="Arial Narrow"/>
                        <w:color w:val="6F6754"/>
                        <w:sz w:val="16"/>
                      </w:rPr>
                    </w:pPr>
                    <w:r>
                      <w:rPr>
                        <w:rFonts w:ascii="Arial Narrow" w:hAnsi="Arial Narrow"/>
                        <w:color w:val="6F6754"/>
                        <w:sz w:val="16"/>
                      </w:rPr>
                      <w:t>Address #1 ## Long Street</w:t>
                    </w:r>
                  </w:p>
                  <w:p w14:paraId="61E4750E" w14:textId="77777777" w:rsidR="00691AE1" w:rsidRDefault="00691AE1" w:rsidP="00CB04D3">
                    <w:pPr>
                      <w:rPr>
                        <w:rFonts w:ascii="Arial Narrow" w:hAnsi="Arial Narrow"/>
                        <w:color w:val="6F6754"/>
                        <w:sz w:val="16"/>
                      </w:rPr>
                    </w:pPr>
                    <w:r>
                      <w:rPr>
                        <w:rFonts w:ascii="Arial Narrow" w:hAnsi="Arial Narrow"/>
                        <w:color w:val="6F6754"/>
                        <w:sz w:val="16"/>
                      </w:rPr>
                      <w:t>Suite ## | City, ST #####</w:t>
                    </w:r>
                  </w:p>
                  <w:p w14:paraId="146B7F2B" w14:textId="7B9CA7B7" w:rsidR="00691AE1" w:rsidRDefault="00691AE1" w:rsidP="00CB04D3">
                    <w:pPr>
                      <w:rPr>
                        <w:rFonts w:ascii="Arial Narrow" w:hAnsi="Arial Narrow"/>
                        <w:color w:val="6F6754"/>
                        <w:sz w:val="16"/>
                      </w:rPr>
                    </w:pPr>
                    <w:r>
                      <w:rPr>
                        <w:rFonts w:ascii="Arial Narrow" w:hAnsi="Arial Narrow"/>
                        <w:color w:val="6F6754"/>
                        <w:sz w:val="16"/>
                      </w:rPr>
                      <w:t>000.000.0000</w:t>
                    </w:r>
                    <w:r w:rsidR="0097260E">
                      <w:rPr>
                        <w:rFonts w:ascii="Arial Narrow" w:hAnsi="Arial Narrow"/>
                        <w:color w:val="6F6754"/>
                        <w:sz w:val="16"/>
                      </w:rPr>
                      <w:t xml:space="preserve"> </w:t>
                    </w:r>
                    <w:r>
                      <w:rPr>
                        <w:rFonts w:ascii="Arial Narrow" w:hAnsi="Arial Narrow"/>
                        <w:color w:val="6F6754"/>
                        <w:sz w:val="16"/>
                      </w:rPr>
                      <w:t>main</w:t>
                    </w:r>
                  </w:p>
                  <w:p w14:paraId="7AFA495E" w14:textId="46AFABC1" w:rsidR="00691AE1" w:rsidRDefault="00691AE1" w:rsidP="00CB04D3">
                    <w:pPr>
                      <w:rPr>
                        <w:rFonts w:ascii="Arial Narrow" w:hAnsi="Arial Narrow"/>
                        <w:color w:val="6F6754"/>
                        <w:sz w:val="16"/>
                      </w:rPr>
                    </w:pPr>
                    <w:r>
                      <w:rPr>
                        <w:rFonts w:ascii="Arial Narrow" w:hAnsi="Arial Narrow"/>
                        <w:color w:val="6F6754"/>
                        <w:sz w:val="16"/>
                      </w:rPr>
                      <w:t>000.000.0000</w:t>
                    </w:r>
                    <w:r w:rsidR="0097260E">
                      <w:rPr>
                        <w:rFonts w:ascii="Arial Narrow" w:hAnsi="Arial Narrow"/>
                        <w:color w:val="6F6754"/>
                        <w:sz w:val="16"/>
                      </w:rPr>
                      <w:t xml:space="preserve"> </w:t>
                    </w:r>
                    <w:r>
                      <w:rPr>
                        <w:rFonts w:ascii="Arial Narrow" w:hAnsi="Arial Narrow"/>
                        <w:color w:val="6F6754"/>
                        <w:sz w:val="16"/>
                      </w:rPr>
                      <w:t>fax</w:t>
                    </w:r>
                  </w:p>
                  <w:p w14:paraId="6EDD968E" w14:textId="77777777" w:rsidR="00691AE1" w:rsidRDefault="00691AE1"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2A86979E" wp14:editId="0873634A">
              <wp:simplePos x="0" y="0"/>
              <wp:positionH relativeFrom="column">
                <wp:posOffset>549275</wp:posOffset>
              </wp:positionH>
              <wp:positionV relativeFrom="paragraph">
                <wp:posOffset>8627745</wp:posOffset>
              </wp:positionV>
              <wp:extent cx="1935480" cy="956310"/>
              <wp:effectExtent l="0" t="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6135F7C" w14:textId="77777777" w:rsidR="00691AE1" w:rsidRDefault="00691AE1" w:rsidP="00CB04D3">
                          <w:pPr>
                            <w:rPr>
                              <w:rFonts w:ascii="Arial Narrow" w:hAnsi="Arial Narrow"/>
                              <w:color w:val="6F6754"/>
                              <w:sz w:val="16"/>
                            </w:rPr>
                          </w:pPr>
                          <w:r>
                            <w:rPr>
                              <w:rFonts w:ascii="Arial Narrow" w:hAnsi="Arial Narrow"/>
                              <w:color w:val="6F6754"/>
                              <w:sz w:val="16"/>
                            </w:rPr>
                            <w:t>Address #1 ## Long Street</w:t>
                          </w:r>
                        </w:p>
                        <w:p w14:paraId="0042D125" w14:textId="77777777" w:rsidR="00691AE1" w:rsidRDefault="00691AE1" w:rsidP="00CB04D3">
                          <w:pPr>
                            <w:rPr>
                              <w:rFonts w:ascii="Arial Narrow" w:hAnsi="Arial Narrow"/>
                              <w:color w:val="6F6754"/>
                              <w:sz w:val="16"/>
                            </w:rPr>
                          </w:pPr>
                          <w:r>
                            <w:rPr>
                              <w:rFonts w:ascii="Arial Narrow" w:hAnsi="Arial Narrow"/>
                              <w:color w:val="6F6754"/>
                              <w:sz w:val="16"/>
                            </w:rPr>
                            <w:t>Suite ## | City, ST #####</w:t>
                          </w:r>
                        </w:p>
                        <w:p w14:paraId="1E5E3BA8" w14:textId="70F3AB64" w:rsidR="00691AE1" w:rsidRDefault="00691AE1" w:rsidP="00CB04D3">
                          <w:pPr>
                            <w:rPr>
                              <w:rFonts w:ascii="Arial Narrow" w:hAnsi="Arial Narrow"/>
                              <w:color w:val="6F6754"/>
                              <w:sz w:val="16"/>
                            </w:rPr>
                          </w:pPr>
                          <w:r>
                            <w:rPr>
                              <w:rFonts w:ascii="Arial Narrow" w:hAnsi="Arial Narrow"/>
                              <w:color w:val="6F6754"/>
                              <w:sz w:val="16"/>
                            </w:rPr>
                            <w:t>000.000.0000</w:t>
                          </w:r>
                          <w:r w:rsidR="0097260E">
                            <w:rPr>
                              <w:rFonts w:ascii="Arial Narrow" w:hAnsi="Arial Narrow"/>
                              <w:color w:val="6F6754"/>
                              <w:sz w:val="16"/>
                            </w:rPr>
                            <w:t xml:space="preserve"> </w:t>
                          </w:r>
                          <w:r>
                            <w:rPr>
                              <w:rFonts w:ascii="Arial Narrow" w:hAnsi="Arial Narrow"/>
                              <w:color w:val="6F6754"/>
                              <w:sz w:val="16"/>
                            </w:rPr>
                            <w:t>main</w:t>
                          </w:r>
                        </w:p>
                        <w:p w14:paraId="20234CE3" w14:textId="42614377" w:rsidR="00691AE1" w:rsidRDefault="00691AE1" w:rsidP="00CB04D3">
                          <w:pPr>
                            <w:rPr>
                              <w:rFonts w:ascii="Arial Narrow" w:hAnsi="Arial Narrow"/>
                              <w:color w:val="6F6754"/>
                              <w:sz w:val="16"/>
                            </w:rPr>
                          </w:pPr>
                          <w:r>
                            <w:rPr>
                              <w:rFonts w:ascii="Arial Narrow" w:hAnsi="Arial Narrow"/>
                              <w:color w:val="6F6754"/>
                              <w:sz w:val="16"/>
                            </w:rPr>
                            <w:t>000.000.0000</w:t>
                          </w:r>
                          <w:r w:rsidR="0097260E">
                            <w:rPr>
                              <w:rFonts w:ascii="Arial Narrow" w:hAnsi="Arial Narrow"/>
                              <w:color w:val="6F6754"/>
                              <w:sz w:val="16"/>
                            </w:rPr>
                            <w:t xml:space="preserve"> </w:t>
                          </w:r>
                          <w:r>
                            <w:rPr>
                              <w:rFonts w:ascii="Arial Narrow" w:hAnsi="Arial Narrow"/>
                              <w:color w:val="6F6754"/>
                              <w:sz w:val="16"/>
                            </w:rPr>
                            <w:t>fax</w:t>
                          </w:r>
                        </w:p>
                        <w:p w14:paraId="054972D1" w14:textId="77777777" w:rsidR="00691AE1" w:rsidRDefault="00691AE1"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6979E" id="_x0000_s1028" type="#_x0000_t202" style="position:absolute;left:0;text-align:left;margin-left:43.25pt;margin-top:679.35pt;width:152.4pt;height:75.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7csSgIAAE0EAAAOAAAAZHJzL2Uyb0RvYy54bWysVNtu2zAMfR+wfxD07vpS5WKjTtEmzTCg&#10;uwDtPkCR5diYLWqSUrsr9u+j5KTLtrdhL4YkkofkOaSvrse+I0/S2BZUSdOLhBKpBFSt2pf0y+M2&#10;WlJiHVcV70DJkj5LS69Xb99cDbqQGTTQVdIQBFG2GHRJG+d0EcdWNLLn9gK0VGiswfTc4dXs48rw&#10;AdH7Ls6SZB4PYCptQEhr8XUzGekq4Ne1FO5TXVvpSFdSrM2Frwnfnf/Gqyte7A3XTSuOZfB/qKLn&#10;rcKkr1Ab7jg5mPYvqL4VBizU7kJAH0Ndt0KGHrCbNPmjm4eGaxl6QXKsfqXJ/j9Y8fHpsyFtVVJG&#10;ieI9SvQoR0duYSTpwtMzaFug14NGPzfiO8ocWrX6HsRXSxSsG6728sYYGBrJKywv9ZHxWeiEYz3I&#10;bvgAFebhBwcBaKxN77lDNgiio0zPr9L4WoRPmV/O2BJNAm35bH6ZBu1iXpyitbHunYSe+ENJDUof&#10;0PnTvXW+Gl6cXHwyBdu264L8nfrtAR2nF8yNod7mqwhqvuRJfre8W7KIZfO7iCVVFd1s1yyab9PF&#10;bHO5Wa836Y9pqs6C0owlt1kebefLRcRqNovyRbKMkjS/zecJy9lmG4Iw9SlpIM/zNTHnxt0YZMpO&#10;muygekY2DUwzjTuIhwbMd0oGnOeS2m8HbiQl3XuFiuQpY34BwoXNFhlezLlld27hSiBUSR0l03Ht&#10;pqU5aNPuG8w0zYCCG1SxbgPBXu6pqqP2OLOB9+N++aU4vwevX3+B1U8AAAD//wMAUEsDBBQABgAI&#10;AAAAIQDsUPHU3wAAAAwBAAAPAAAAZHJzL2Rvd25yZXYueG1sTI/BTsMwDIbvSLxDZCRuLBmloy1N&#10;JwTiCtpgk7hljddWNE7VZGt5e8wJjv796ffncj27XpxxDJ0nDcuFAoFUe9tRo+Hj/eUmAxGiIWt6&#10;T6jhGwOsq8uL0hTWT7TB8zY2gksoFEZDG+NQSBnqFp0JCz8g8e7oR2cij2Mj7WgmLne9vFVqJZ3p&#10;iC+0ZsCnFuuv7clp2L0eP/d36q15dukw+VlJcrnU+vpqfnwAEXGOfzD86rM6VOx08CeyQfQaslXK&#10;JOdJmt2DYCLJlwmIA0epyhOQVSn/P1H9AAAA//8DAFBLAQItABQABgAIAAAAIQC2gziS/gAAAOEB&#10;AAATAAAAAAAAAAAAAAAAAAAAAABbQ29udGVudF9UeXBlc10ueG1sUEsBAi0AFAAGAAgAAAAhADj9&#10;If/WAAAAlAEAAAsAAAAAAAAAAAAAAAAALwEAAF9yZWxzLy5yZWxzUEsBAi0AFAAGAAgAAAAhACIf&#10;tyxKAgAATQQAAA4AAAAAAAAAAAAAAAAALgIAAGRycy9lMm9Eb2MueG1sUEsBAi0AFAAGAAgAAAAh&#10;AOxQ8dTfAAAADAEAAA8AAAAAAAAAAAAAAAAApAQAAGRycy9kb3ducmV2LnhtbFBLBQYAAAAABAAE&#10;APMAAACwBQAAAAA=&#10;" filled="f" stroked="f">
              <v:textbox>
                <w:txbxContent>
                  <w:p w14:paraId="16135F7C" w14:textId="77777777" w:rsidR="00691AE1" w:rsidRDefault="00691AE1" w:rsidP="00CB04D3">
                    <w:pPr>
                      <w:rPr>
                        <w:rFonts w:ascii="Arial Narrow" w:hAnsi="Arial Narrow"/>
                        <w:color w:val="6F6754"/>
                        <w:sz w:val="16"/>
                      </w:rPr>
                    </w:pPr>
                    <w:r>
                      <w:rPr>
                        <w:rFonts w:ascii="Arial Narrow" w:hAnsi="Arial Narrow"/>
                        <w:color w:val="6F6754"/>
                        <w:sz w:val="16"/>
                      </w:rPr>
                      <w:t>Address #1 ## Long Street</w:t>
                    </w:r>
                  </w:p>
                  <w:p w14:paraId="0042D125" w14:textId="77777777" w:rsidR="00691AE1" w:rsidRDefault="00691AE1" w:rsidP="00CB04D3">
                    <w:pPr>
                      <w:rPr>
                        <w:rFonts w:ascii="Arial Narrow" w:hAnsi="Arial Narrow"/>
                        <w:color w:val="6F6754"/>
                        <w:sz w:val="16"/>
                      </w:rPr>
                    </w:pPr>
                    <w:r>
                      <w:rPr>
                        <w:rFonts w:ascii="Arial Narrow" w:hAnsi="Arial Narrow"/>
                        <w:color w:val="6F6754"/>
                        <w:sz w:val="16"/>
                      </w:rPr>
                      <w:t>Suite ## | City, ST #####</w:t>
                    </w:r>
                  </w:p>
                  <w:p w14:paraId="1E5E3BA8" w14:textId="70F3AB64" w:rsidR="00691AE1" w:rsidRDefault="00691AE1" w:rsidP="00CB04D3">
                    <w:pPr>
                      <w:rPr>
                        <w:rFonts w:ascii="Arial Narrow" w:hAnsi="Arial Narrow"/>
                        <w:color w:val="6F6754"/>
                        <w:sz w:val="16"/>
                      </w:rPr>
                    </w:pPr>
                    <w:r>
                      <w:rPr>
                        <w:rFonts w:ascii="Arial Narrow" w:hAnsi="Arial Narrow"/>
                        <w:color w:val="6F6754"/>
                        <w:sz w:val="16"/>
                      </w:rPr>
                      <w:t>000.000.0000</w:t>
                    </w:r>
                    <w:r w:rsidR="0097260E">
                      <w:rPr>
                        <w:rFonts w:ascii="Arial Narrow" w:hAnsi="Arial Narrow"/>
                        <w:color w:val="6F6754"/>
                        <w:sz w:val="16"/>
                      </w:rPr>
                      <w:t xml:space="preserve"> </w:t>
                    </w:r>
                    <w:r>
                      <w:rPr>
                        <w:rFonts w:ascii="Arial Narrow" w:hAnsi="Arial Narrow"/>
                        <w:color w:val="6F6754"/>
                        <w:sz w:val="16"/>
                      </w:rPr>
                      <w:t>main</w:t>
                    </w:r>
                  </w:p>
                  <w:p w14:paraId="20234CE3" w14:textId="42614377" w:rsidR="00691AE1" w:rsidRDefault="00691AE1" w:rsidP="00CB04D3">
                    <w:pPr>
                      <w:rPr>
                        <w:rFonts w:ascii="Arial Narrow" w:hAnsi="Arial Narrow"/>
                        <w:color w:val="6F6754"/>
                        <w:sz w:val="16"/>
                      </w:rPr>
                    </w:pPr>
                    <w:r>
                      <w:rPr>
                        <w:rFonts w:ascii="Arial Narrow" w:hAnsi="Arial Narrow"/>
                        <w:color w:val="6F6754"/>
                        <w:sz w:val="16"/>
                      </w:rPr>
                      <w:t>000.000.0000</w:t>
                    </w:r>
                    <w:r w:rsidR="0097260E">
                      <w:rPr>
                        <w:rFonts w:ascii="Arial Narrow" w:hAnsi="Arial Narrow"/>
                        <w:color w:val="6F6754"/>
                        <w:sz w:val="16"/>
                      </w:rPr>
                      <w:t xml:space="preserve"> </w:t>
                    </w:r>
                    <w:r>
                      <w:rPr>
                        <w:rFonts w:ascii="Arial Narrow" w:hAnsi="Arial Narrow"/>
                        <w:color w:val="6F6754"/>
                        <w:sz w:val="16"/>
                      </w:rPr>
                      <w:t>fax</w:t>
                    </w:r>
                  </w:p>
                  <w:p w14:paraId="054972D1" w14:textId="77777777" w:rsidR="00691AE1" w:rsidRDefault="00691AE1"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DB4CE05" wp14:editId="2C50823D">
              <wp:simplePos x="0" y="0"/>
              <wp:positionH relativeFrom="column">
                <wp:posOffset>549275</wp:posOffset>
              </wp:positionH>
              <wp:positionV relativeFrom="paragraph">
                <wp:posOffset>8627745</wp:posOffset>
              </wp:positionV>
              <wp:extent cx="1935480" cy="95631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E81CD0C" w14:textId="77777777" w:rsidR="00691AE1" w:rsidRDefault="00691AE1" w:rsidP="00CB04D3">
                          <w:pPr>
                            <w:rPr>
                              <w:rFonts w:ascii="Arial Narrow" w:hAnsi="Arial Narrow"/>
                              <w:color w:val="6F6754"/>
                              <w:sz w:val="16"/>
                            </w:rPr>
                          </w:pPr>
                          <w:r>
                            <w:rPr>
                              <w:rFonts w:ascii="Arial Narrow" w:hAnsi="Arial Narrow"/>
                              <w:color w:val="6F6754"/>
                              <w:sz w:val="16"/>
                            </w:rPr>
                            <w:t>Address #1 ## Long Street</w:t>
                          </w:r>
                        </w:p>
                        <w:p w14:paraId="04A43AED" w14:textId="77777777" w:rsidR="00691AE1" w:rsidRDefault="00691AE1" w:rsidP="00CB04D3">
                          <w:pPr>
                            <w:rPr>
                              <w:rFonts w:ascii="Arial Narrow" w:hAnsi="Arial Narrow"/>
                              <w:color w:val="6F6754"/>
                              <w:sz w:val="16"/>
                            </w:rPr>
                          </w:pPr>
                          <w:r>
                            <w:rPr>
                              <w:rFonts w:ascii="Arial Narrow" w:hAnsi="Arial Narrow"/>
                              <w:color w:val="6F6754"/>
                              <w:sz w:val="16"/>
                            </w:rPr>
                            <w:t>Suite ## | City, ST #####</w:t>
                          </w:r>
                        </w:p>
                        <w:p w14:paraId="2B75496D" w14:textId="6CC754ED" w:rsidR="00691AE1" w:rsidRDefault="00691AE1" w:rsidP="00CB04D3">
                          <w:pPr>
                            <w:rPr>
                              <w:rFonts w:ascii="Arial Narrow" w:hAnsi="Arial Narrow"/>
                              <w:color w:val="6F6754"/>
                              <w:sz w:val="16"/>
                            </w:rPr>
                          </w:pPr>
                          <w:r>
                            <w:rPr>
                              <w:rFonts w:ascii="Arial Narrow" w:hAnsi="Arial Narrow"/>
                              <w:color w:val="6F6754"/>
                              <w:sz w:val="16"/>
                            </w:rPr>
                            <w:t>000.000.0000</w:t>
                          </w:r>
                          <w:r w:rsidR="0097260E">
                            <w:rPr>
                              <w:rFonts w:ascii="Arial Narrow" w:hAnsi="Arial Narrow"/>
                              <w:color w:val="6F6754"/>
                              <w:sz w:val="16"/>
                            </w:rPr>
                            <w:t xml:space="preserve"> </w:t>
                          </w:r>
                          <w:r>
                            <w:rPr>
                              <w:rFonts w:ascii="Arial Narrow" w:hAnsi="Arial Narrow"/>
                              <w:color w:val="6F6754"/>
                              <w:sz w:val="16"/>
                            </w:rPr>
                            <w:t>main</w:t>
                          </w:r>
                        </w:p>
                        <w:p w14:paraId="4D8E9E55" w14:textId="687CD5B1" w:rsidR="00691AE1" w:rsidRDefault="00691AE1" w:rsidP="00CB04D3">
                          <w:pPr>
                            <w:rPr>
                              <w:rFonts w:ascii="Arial Narrow" w:hAnsi="Arial Narrow"/>
                              <w:color w:val="6F6754"/>
                              <w:sz w:val="16"/>
                            </w:rPr>
                          </w:pPr>
                          <w:r>
                            <w:rPr>
                              <w:rFonts w:ascii="Arial Narrow" w:hAnsi="Arial Narrow"/>
                              <w:color w:val="6F6754"/>
                              <w:sz w:val="16"/>
                            </w:rPr>
                            <w:t>000.000.0000</w:t>
                          </w:r>
                          <w:r w:rsidR="0097260E">
                            <w:rPr>
                              <w:rFonts w:ascii="Arial Narrow" w:hAnsi="Arial Narrow"/>
                              <w:color w:val="6F6754"/>
                              <w:sz w:val="16"/>
                            </w:rPr>
                            <w:t xml:space="preserve"> </w:t>
                          </w:r>
                          <w:r>
                            <w:rPr>
                              <w:rFonts w:ascii="Arial Narrow" w:hAnsi="Arial Narrow"/>
                              <w:color w:val="6F6754"/>
                              <w:sz w:val="16"/>
                            </w:rPr>
                            <w:t>fax</w:t>
                          </w:r>
                        </w:p>
                        <w:p w14:paraId="735D0482" w14:textId="77777777" w:rsidR="00691AE1" w:rsidRDefault="00691AE1"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4CE05" id="_x0000_s1029" type="#_x0000_t202" style="position:absolute;left:0;text-align:left;margin-left:43.25pt;margin-top:679.35pt;width:152.4pt;height:7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nzzSQIAAE0EAAAOAAAAZHJzL2Uyb0RvYy54bWysVNtu2zAMfR+wfxD07tpOlIuNOkVzGwZ0&#10;F6DdByiyHBuzRU1SanfF/n2UnHbZ9jbsxZBE8pA8h/T1zdC15FEa24AqaHqVUCKVgLJRx4J+edhH&#10;S0qs46rkLShZ0Cdp6c3q7ZvrXudyAjW0pTQEQZTNe13Q2jmdx7EVtey4vQItFRorMB13eDXHuDS8&#10;R/SujSdJMo97MKU2IKS1+LodjXQV8KtKCvepqqx0pC0o1ubC14TvwX/j1TXPj4bruhHnMvg/VNHx&#10;RmHSV6gtd5ycTPMXVNcIAxYqdyWgi6GqGiFDD9hNmvzRzX3NtQy9IDlWv9Jk/x+s+Pj42ZCmLOiU&#10;EsU7lOhBDo6sYSDpwtPTa5uj171GPzfgO8ocWrX6DsRXSxRsaq6O8tYY6GvJSywv9ZHxReiIYz3I&#10;of8AJebhJwcBaKhM57lDNgiio0xPr9L4WoRPmU1nbIkmgbZsNp+mQbuY5y/R2lj3TkJH/KGgBqUP&#10;6PzxzjpfDc9fXHwyBfumbYP8rfrtAR3HF8yNod7mqwhqPmdJtlvulixik/kuYklZRrf7DYvm+3Qx&#10;2063m802/TFO1UVQOmHJepJF+/lyEbGKzaJskSyjJM3W2TxhGdvuQxCmfkkayPN8jcy54TCcZTpr&#10;coDyCdk0MM407iAeajDfKelxngtqv524kZS07xUqkqWM+QUIFzZbTPBiLi2HSwtXAqEK6igZjxs3&#10;Ls1Jm+ZYY6ZxBhTcoopVEwj2co9VnbXHmQ28n/fLL8XlPXj9+gusfgIAAP//AwBQSwMEFAAGAAgA&#10;AAAhAOxQ8dTfAAAADAEAAA8AAABkcnMvZG93bnJldi54bWxMj8FOwzAMhu9IvENkJG4sGaWjLU0n&#10;BOIK2mCTuGWN11Y0TtVka3l7zAmO/v3p9+dyPbtenHEMnScNy4UCgVR721Gj4eP95SYDEaIha3pP&#10;qOEbA6yry4vSFNZPtMHzNjaCSygURkMb41BIGeoWnQkLPyDx7uhHZyKPYyPtaCYud728VWolnemI&#10;L7RmwKcW66/tyWnYvR4/93fqrXl26TD5WUlyudT6+mp+fAARcY5/MPzqszpU7HTwJ7JB9BqyVcok&#10;50ma3YNgIsmXCYgDR6nKE5BVKf8/Uf0AAAD//wMAUEsBAi0AFAAGAAgAAAAhALaDOJL+AAAA4QEA&#10;ABMAAAAAAAAAAAAAAAAAAAAAAFtDb250ZW50X1R5cGVzXS54bWxQSwECLQAUAAYACAAAACEAOP0h&#10;/9YAAACUAQAACwAAAAAAAAAAAAAAAAAvAQAAX3JlbHMvLnJlbHNQSwECLQAUAAYACAAAACEAFhp8&#10;80kCAABNBAAADgAAAAAAAAAAAAAAAAAuAgAAZHJzL2Uyb0RvYy54bWxQSwECLQAUAAYACAAAACEA&#10;7FDx1N8AAAAMAQAADwAAAAAAAAAAAAAAAACjBAAAZHJzL2Rvd25yZXYueG1sUEsFBgAAAAAEAAQA&#10;8wAAAK8FAAAAAA==&#10;" filled="f" stroked="f">
              <v:textbox>
                <w:txbxContent>
                  <w:p w14:paraId="6E81CD0C" w14:textId="77777777" w:rsidR="00691AE1" w:rsidRDefault="00691AE1" w:rsidP="00CB04D3">
                    <w:pPr>
                      <w:rPr>
                        <w:rFonts w:ascii="Arial Narrow" w:hAnsi="Arial Narrow"/>
                        <w:color w:val="6F6754"/>
                        <w:sz w:val="16"/>
                      </w:rPr>
                    </w:pPr>
                    <w:r>
                      <w:rPr>
                        <w:rFonts w:ascii="Arial Narrow" w:hAnsi="Arial Narrow"/>
                        <w:color w:val="6F6754"/>
                        <w:sz w:val="16"/>
                      </w:rPr>
                      <w:t>Address #1 ## Long Street</w:t>
                    </w:r>
                  </w:p>
                  <w:p w14:paraId="04A43AED" w14:textId="77777777" w:rsidR="00691AE1" w:rsidRDefault="00691AE1" w:rsidP="00CB04D3">
                    <w:pPr>
                      <w:rPr>
                        <w:rFonts w:ascii="Arial Narrow" w:hAnsi="Arial Narrow"/>
                        <w:color w:val="6F6754"/>
                        <w:sz w:val="16"/>
                      </w:rPr>
                    </w:pPr>
                    <w:r>
                      <w:rPr>
                        <w:rFonts w:ascii="Arial Narrow" w:hAnsi="Arial Narrow"/>
                        <w:color w:val="6F6754"/>
                        <w:sz w:val="16"/>
                      </w:rPr>
                      <w:t>Suite ## | City, ST #####</w:t>
                    </w:r>
                  </w:p>
                  <w:p w14:paraId="2B75496D" w14:textId="6CC754ED" w:rsidR="00691AE1" w:rsidRDefault="00691AE1" w:rsidP="00CB04D3">
                    <w:pPr>
                      <w:rPr>
                        <w:rFonts w:ascii="Arial Narrow" w:hAnsi="Arial Narrow"/>
                        <w:color w:val="6F6754"/>
                        <w:sz w:val="16"/>
                      </w:rPr>
                    </w:pPr>
                    <w:r>
                      <w:rPr>
                        <w:rFonts w:ascii="Arial Narrow" w:hAnsi="Arial Narrow"/>
                        <w:color w:val="6F6754"/>
                        <w:sz w:val="16"/>
                      </w:rPr>
                      <w:t>000.000.0000</w:t>
                    </w:r>
                    <w:r w:rsidR="0097260E">
                      <w:rPr>
                        <w:rFonts w:ascii="Arial Narrow" w:hAnsi="Arial Narrow"/>
                        <w:color w:val="6F6754"/>
                        <w:sz w:val="16"/>
                      </w:rPr>
                      <w:t xml:space="preserve"> </w:t>
                    </w:r>
                    <w:r>
                      <w:rPr>
                        <w:rFonts w:ascii="Arial Narrow" w:hAnsi="Arial Narrow"/>
                        <w:color w:val="6F6754"/>
                        <w:sz w:val="16"/>
                      </w:rPr>
                      <w:t>main</w:t>
                    </w:r>
                  </w:p>
                  <w:p w14:paraId="4D8E9E55" w14:textId="687CD5B1" w:rsidR="00691AE1" w:rsidRDefault="00691AE1" w:rsidP="00CB04D3">
                    <w:pPr>
                      <w:rPr>
                        <w:rFonts w:ascii="Arial Narrow" w:hAnsi="Arial Narrow"/>
                        <w:color w:val="6F6754"/>
                        <w:sz w:val="16"/>
                      </w:rPr>
                    </w:pPr>
                    <w:r>
                      <w:rPr>
                        <w:rFonts w:ascii="Arial Narrow" w:hAnsi="Arial Narrow"/>
                        <w:color w:val="6F6754"/>
                        <w:sz w:val="16"/>
                      </w:rPr>
                      <w:t>000.000.0000</w:t>
                    </w:r>
                    <w:r w:rsidR="0097260E">
                      <w:rPr>
                        <w:rFonts w:ascii="Arial Narrow" w:hAnsi="Arial Narrow"/>
                        <w:color w:val="6F6754"/>
                        <w:sz w:val="16"/>
                      </w:rPr>
                      <w:t xml:space="preserve"> </w:t>
                    </w:r>
                    <w:r>
                      <w:rPr>
                        <w:rFonts w:ascii="Arial Narrow" w:hAnsi="Arial Narrow"/>
                        <w:color w:val="6F6754"/>
                        <w:sz w:val="16"/>
                      </w:rPr>
                      <w:t>fax</w:t>
                    </w:r>
                  </w:p>
                  <w:p w14:paraId="735D0482" w14:textId="77777777" w:rsidR="00691AE1" w:rsidRDefault="00691AE1"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7A131A2" wp14:editId="6DF9D4A9">
              <wp:simplePos x="0" y="0"/>
              <wp:positionH relativeFrom="column">
                <wp:posOffset>549275</wp:posOffset>
              </wp:positionH>
              <wp:positionV relativeFrom="paragraph">
                <wp:posOffset>8627745</wp:posOffset>
              </wp:positionV>
              <wp:extent cx="1935480" cy="956310"/>
              <wp:effectExtent l="0" t="0" r="0" b="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95631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24DD620" w14:textId="77777777" w:rsidR="00691AE1" w:rsidRDefault="00691AE1" w:rsidP="00CB04D3">
                          <w:pPr>
                            <w:rPr>
                              <w:rFonts w:ascii="Arial Narrow" w:hAnsi="Arial Narrow"/>
                              <w:color w:val="6F6754"/>
                              <w:sz w:val="16"/>
                            </w:rPr>
                          </w:pPr>
                          <w:r>
                            <w:rPr>
                              <w:rFonts w:ascii="Arial Narrow" w:hAnsi="Arial Narrow"/>
                              <w:color w:val="6F6754"/>
                              <w:sz w:val="16"/>
                            </w:rPr>
                            <w:t>Address #1 ## Long Street</w:t>
                          </w:r>
                        </w:p>
                        <w:p w14:paraId="7F1C4005" w14:textId="77777777" w:rsidR="00691AE1" w:rsidRDefault="00691AE1" w:rsidP="00CB04D3">
                          <w:pPr>
                            <w:rPr>
                              <w:rFonts w:ascii="Arial Narrow" w:hAnsi="Arial Narrow"/>
                              <w:color w:val="6F6754"/>
                              <w:sz w:val="16"/>
                            </w:rPr>
                          </w:pPr>
                          <w:r>
                            <w:rPr>
                              <w:rFonts w:ascii="Arial Narrow" w:hAnsi="Arial Narrow"/>
                              <w:color w:val="6F6754"/>
                              <w:sz w:val="16"/>
                            </w:rPr>
                            <w:t>Suite ## | City, ST #####</w:t>
                          </w:r>
                        </w:p>
                        <w:p w14:paraId="79D0FB13" w14:textId="721D4EA1" w:rsidR="00691AE1" w:rsidRDefault="00691AE1" w:rsidP="00CB04D3">
                          <w:pPr>
                            <w:rPr>
                              <w:rFonts w:ascii="Arial Narrow" w:hAnsi="Arial Narrow"/>
                              <w:color w:val="6F6754"/>
                              <w:sz w:val="16"/>
                            </w:rPr>
                          </w:pPr>
                          <w:r>
                            <w:rPr>
                              <w:rFonts w:ascii="Arial Narrow" w:hAnsi="Arial Narrow"/>
                              <w:color w:val="6F6754"/>
                              <w:sz w:val="16"/>
                            </w:rPr>
                            <w:t>000.000.0000</w:t>
                          </w:r>
                          <w:r w:rsidR="0097260E">
                            <w:rPr>
                              <w:rFonts w:ascii="Arial Narrow" w:hAnsi="Arial Narrow"/>
                              <w:color w:val="6F6754"/>
                              <w:sz w:val="16"/>
                            </w:rPr>
                            <w:t xml:space="preserve"> </w:t>
                          </w:r>
                          <w:r>
                            <w:rPr>
                              <w:rFonts w:ascii="Arial Narrow" w:hAnsi="Arial Narrow"/>
                              <w:color w:val="6F6754"/>
                              <w:sz w:val="16"/>
                            </w:rPr>
                            <w:t>main</w:t>
                          </w:r>
                        </w:p>
                        <w:p w14:paraId="613CF106" w14:textId="68E50B7F" w:rsidR="00691AE1" w:rsidRDefault="00691AE1" w:rsidP="00CB04D3">
                          <w:pPr>
                            <w:rPr>
                              <w:rFonts w:ascii="Arial Narrow" w:hAnsi="Arial Narrow"/>
                              <w:color w:val="6F6754"/>
                              <w:sz w:val="16"/>
                            </w:rPr>
                          </w:pPr>
                          <w:r>
                            <w:rPr>
                              <w:rFonts w:ascii="Arial Narrow" w:hAnsi="Arial Narrow"/>
                              <w:color w:val="6F6754"/>
                              <w:sz w:val="16"/>
                            </w:rPr>
                            <w:t>000.000.0000</w:t>
                          </w:r>
                          <w:r w:rsidR="0097260E">
                            <w:rPr>
                              <w:rFonts w:ascii="Arial Narrow" w:hAnsi="Arial Narrow"/>
                              <w:color w:val="6F6754"/>
                              <w:sz w:val="16"/>
                            </w:rPr>
                            <w:t xml:space="preserve"> </w:t>
                          </w:r>
                          <w:r>
                            <w:rPr>
                              <w:rFonts w:ascii="Arial Narrow" w:hAnsi="Arial Narrow"/>
                              <w:color w:val="6F6754"/>
                              <w:sz w:val="16"/>
                            </w:rPr>
                            <w:t>fax</w:t>
                          </w:r>
                        </w:p>
                        <w:p w14:paraId="79F76D62" w14:textId="77777777" w:rsidR="00691AE1" w:rsidRDefault="00691AE1" w:rsidP="00CB04D3">
                          <w:pPr>
                            <w:spacing w:line="360" w:lineRule="exact"/>
                            <w:rPr>
                              <w:rFonts w:ascii="Arial Narrow" w:hAnsi="Arial Narrow"/>
                              <w:color w:val="6F6754"/>
                              <w:sz w:val="16"/>
                            </w:rPr>
                          </w:pPr>
                          <w:r>
                            <w:rPr>
                              <w:rFonts w:ascii="Arial Narrow" w:hAnsi="Arial Narrow"/>
                              <w:color w:val="6F6754"/>
                              <w:sz w:val="16"/>
                            </w:rPr>
                            <w:t>navigant.com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131A2" id="_x0000_s1030" type="#_x0000_t202" style="position:absolute;left:0;text-align:left;margin-left:43.25pt;margin-top:679.35pt;width:152.4pt;height:75.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edWSgIAAE0EAAAOAAAAZHJzL2Uyb0RvYy54bWysVNtu2zAMfR+wfxD07vpS5WKjTtEmzTCg&#10;uwDtPkCR5diYLWqSUrsr9u+j5KTLtrdhL4YkkofkOaSvrse+I0/S2BZUSdOLhBKpBFSt2pf0y+M2&#10;WlJiHVcV70DJkj5LS69Xb99cDbqQGTTQVdIQBFG2GHRJG+d0EcdWNLLn9gK0VGiswfTc4dXs48rw&#10;AdH7Ls6SZB4PYCptQEhr8XUzGekq4Ne1FO5TXVvpSFdSrM2Frwnfnf/Gqyte7A3XTSuOZfB/qKLn&#10;rcKkr1Ab7jg5mPYvqL4VBizU7kJAH0Ndt0KGHrCbNPmjm4eGaxl6QXKsfqXJ/j9Y8fHpsyFtVdKM&#10;EsV7lOhRjo7cwkjShadn0LZArweNfm7Ed5Q5tGr1PYivlihYN1zt5Y0xMDSSV1he6iPjs9AJx3qQ&#10;3fABKszDDw4C0Fib3nOHbBBER5meX6XxtQifMr+csSWaBNry2fwyDdrFvDhFa2PdOwk98YeSGpQ+&#10;oPOne+t8Nbw4ufhkCrZt1wX5O/XbAzpOL5gbQ73NVxHUfMmT/G55t2QRy+Z3EUuqKrrZrlk036aL&#10;2eZys15v0h/TVJ0FpRlLbrM82s6Xi4jVbBbli2QZJWl+m88TlrPNNgRh6lPSQJ7na2LOjbsxyMRO&#10;muygekY2DUwzjTuIhwbMd0oGnOeS2m8HbiQl3XuFiuQpY34BwoXNFhlezLlld27hSiBUSR0l03Ht&#10;pqU5aNPuG8w0zYCCG1SxbgPBXu6pqqP2OLOB9+N++aU4vwevX3+B1U8AAAD//wMAUEsDBBQABgAI&#10;AAAAIQDsUPHU3wAAAAwBAAAPAAAAZHJzL2Rvd25yZXYueG1sTI/BTsMwDIbvSLxDZCRuLBmloy1N&#10;JwTiCtpgk7hljddWNE7VZGt5e8wJjv796ffncj27XpxxDJ0nDcuFAoFUe9tRo+Hj/eUmAxGiIWt6&#10;T6jhGwOsq8uL0hTWT7TB8zY2gksoFEZDG+NQSBnqFp0JCz8g8e7oR2cij2Mj7WgmLne9vFVqJZ3p&#10;iC+0ZsCnFuuv7clp2L0eP/d36q15dukw+VlJcrnU+vpqfnwAEXGOfzD86rM6VOx08CeyQfQaslXK&#10;JOdJmt2DYCLJlwmIA0epyhOQVSn/P1H9AAAA//8DAFBLAQItABQABgAIAAAAIQC2gziS/gAAAOEB&#10;AAATAAAAAAAAAAAAAAAAAAAAAABbQ29udGVudF9UeXBlc10ueG1sUEsBAi0AFAAGAAgAAAAhADj9&#10;If/WAAAAlAEAAAsAAAAAAAAAAAAAAAAALwEAAF9yZWxzLy5yZWxzUEsBAi0AFAAGAAgAAAAhAPKN&#10;51ZKAgAATQQAAA4AAAAAAAAAAAAAAAAALgIAAGRycy9lMm9Eb2MueG1sUEsBAi0AFAAGAAgAAAAh&#10;AOxQ8dTfAAAADAEAAA8AAAAAAAAAAAAAAAAApAQAAGRycy9kb3ducmV2LnhtbFBLBQYAAAAABAAE&#10;APMAAACwBQAAAAA=&#10;" filled="f" stroked="f">
              <v:textbox>
                <w:txbxContent>
                  <w:p w14:paraId="024DD620" w14:textId="77777777" w:rsidR="00691AE1" w:rsidRDefault="00691AE1" w:rsidP="00CB04D3">
                    <w:pPr>
                      <w:rPr>
                        <w:rFonts w:ascii="Arial Narrow" w:hAnsi="Arial Narrow"/>
                        <w:color w:val="6F6754"/>
                        <w:sz w:val="16"/>
                      </w:rPr>
                    </w:pPr>
                    <w:r>
                      <w:rPr>
                        <w:rFonts w:ascii="Arial Narrow" w:hAnsi="Arial Narrow"/>
                        <w:color w:val="6F6754"/>
                        <w:sz w:val="16"/>
                      </w:rPr>
                      <w:t>Address #1 ## Long Street</w:t>
                    </w:r>
                  </w:p>
                  <w:p w14:paraId="7F1C4005" w14:textId="77777777" w:rsidR="00691AE1" w:rsidRDefault="00691AE1" w:rsidP="00CB04D3">
                    <w:pPr>
                      <w:rPr>
                        <w:rFonts w:ascii="Arial Narrow" w:hAnsi="Arial Narrow"/>
                        <w:color w:val="6F6754"/>
                        <w:sz w:val="16"/>
                      </w:rPr>
                    </w:pPr>
                    <w:r>
                      <w:rPr>
                        <w:rFonts w:ascii="Arial Narrow" w:hAnsi="Arial Narrow"/>
                        <w:color w:val="6F6754"/>
                        <w:sz w:val="16"/>
                      </w:rPr>
                      <w:t>Suite ## | City, ST #####</w:t>
                    </w:r>
                  </w:p>
                  <w:p w14:paraId="79D0FB13" w14:textId="721D4EA1" w:rsidR="00691AE1" w:rsidRDefault="00691AE1" w:rsidP="00CB04D3">
                    <w:pPr>
                      <w:rPr>
                        <w:rFonts w:ascii="Arial Narrow" w:hAnsi="Arial Narrow"/>
                        <w:color w:val="6F6754"/>
                        <w:sz w:val="16"/>
                      </w:rPr>
                    </w:pPr>
                    <w:r>
                      <w:rPr>
                        <w:rFonts w:ascii="Arial Narrow" w:hAnsi="Arial Narrow"/>
                        <w:color w:val="6F6754"/>
                        <w:sz w:val="16"/>
                      </w:rPr>
                      <w:t>000.000.0000</w:t>
                    </w:r>
                    <w:r w:rsidR="0097260E">
                      <w:rPr>
                        <w:rFonts w:ascii="Arial Narrow" w:hAnsi="Arial Narrow"/>
                        <w:color w:val="6F6754"/>
                        <w:sz w:val="16"/>
                      </w:rPr>
                      <w:t xml:space="preserve"> </w:t>
                    </w:r>
                    <w:r>
                      <w:rPr>
                        <w:rFonts w:ascii="Arial Narrow" w:hAnsi="Arial Narrow"/>
                        <w:color w:val="6F6754"/>
                        <w:sz w:val="16"/>
                      </w:rPr>
                      <w:t>main</w:t>
                    </w:r>
                  </w:p>
                  <w:p w14:paraId="613CF106" w14:textId="68E50B7F" w:rsidR="00691AE1" w:rsidRDefault="00691AE1" w:rsidP="00CB04D3">
                    <w:pPr>
                      <w:rPr>
                        <w:rFonts w:ascii="Arial Narrow" w:hAnsi="Arial Narrow"/>
                        <w:color w:val="6F6754"/>
                        <w:sz w:val="16"/>
                      </w:rPr>
                    </w:pPr>
                    <w:r>
                      <w:rPr>
                        <w:rFonts w:ascii="Arial Narrow" w:hAnsi="Arial Narrow"/>
                        <w:color w:val="6F6754"/>
                        <w:sz w:val="16"/>
                      </w:rPr>
                      <w:t>000.000.0000</w:t>
                    </w:r>
                    <w:r w:rsidR="0097260E">
                      <w:rPr>
                        <w:rFonts w:ascii="Arial Narrow" w:hAnsi="Arial Narrow"/>
                        <w:color w:val="6F6754"/>
                        <w:sz w:val="16"/>
                      </w:rPr>
                      <w:t xml:space="preserve"> </w:t>
                    </w:r>
                    <w:r>
                      <w:rPr>
                        <w:rFonts w:ascii="Arial Narrow" w:hAnsi="Arial Narrow"/>
                        <w:color w:val="6F6754"/>
                        <w:sz w:val="16"/>
                      </w:rPr>
                      <w:t>fax</w:t>
                    </w:r>
                  </w:p>
                  <w:p w14:paraId="79F76D62" w14:textId="77777777" w:rsidR="00691AE1" w:rsidRDefault="00691AE1" w:rsidP="00CB04D3">
                    <w:pPr>
                      <w:spacing w:line="360" w:lineRule="exact"/>
                      <w:rPr>
                        <w:rFonts w:ascii="Arial Narrow" w:hAnsi="Arial Narrow"/>
                        <w:color w:val="6F6754"/>
                        <w:sz w:val="16"/>
                      </w:rPr>
                    </w:pPr>
                    <w:r>
                      <w:rPr>
                        <w:rFonts w:ascii="Arial Narrow" w:hAnsi="Arial Narrow"/>
                        <w:color w:val="6F6754"/>
                        <w:sz w:val="16"/>
                      </w:rPr>
                      <w:t>navigant.com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9C0288" w14:textId="77777777" w:rsidR="00DA42A1" w:rsidRDefault="00DA42A1" w:rsidP="00691AE1">
      <w:r>
        <w:separator/>
      </w:r>
    </w:p>
  </w:footnote>
  <w:footnote w:type="continuationSeparator" w:id="0">
    <w:p w14:paraId="23EAB7AA" w14:textId="77777777" w:rsidR="00DA42A1" w:rsidRDefault="00DA42A1" w:rsidP="00691AE1">
      <w:r>
        <w:continuationSeparator/>
      </w:r>
    </w:p>
  </w:footnote>
  <w:footnote w:id="1">
    <w:p w14:paraId="072C6346" w14:textId="77777777" w:rsidR="00B63E3B" w:rsidRDefault="00B63E3B" w:rsidP="00B63E3B">
      <w:pPr>
        <w:pStyle w:val="FootnoteText"/>
      </w:pPr>
      <w:r>
        <w:rPr>
          <w:rStyle w:val="FootnoteReference"/>
        </w:rPr>
        <w:footnoteRef/>
      </w:r>
      <w:r>
        <w:t xml:space="preserve"> There are interactive cooling effects, though these are typically positive values. One exception is </w:t>
      </w:r>
      <w:r w:rsidRPr="00B2450D">
        <w:t>4.6.13</w:t>
      </w:r>
      <w:r>
        <w:t xml:space="preserve"> </w:t>
      </w:r>
      <w:r w:rsidRPr="00B2450D">
        <w:t>Add Doors to Open Refrigerated Display Cases</w:t>
      </w:r>
      <w:r>
        <w:t xml:space="preserve">, proposed in TRM v9.0. This measure generates an electric cooling penalty which is embedded in the annual energy savings equation. </w:t>
      </w:r>
    </w:p>
  </w:footnote>
  <w:footnote w:id="2">
    <w:p w14:paraId="1000591B" w14:textId="6060B40E" w:rsidR="00691AE1" w:rsidRDefault="00691AE1">
      <w:pPr>
        <w:pStyle w:val="FootnoteText"/>
      </w:pPr>
      <w:r>
        <w:rPr>
          <w:rStyle w:val="FootnoteReference"/>
        </w:rPr>
        <w:footnoteRef/>
      </w:r>
      <w:r>
        <w:t xml:space="preserve"> ComEd operated this program from PY8 to CY2018. </w:t>
      </w:r>
    </w:p>
  </w:footnote>
  <w:footnote w:id="3">
    <w:p w14:paraId="416086D9" w14:textId="1DAD2218" w:rsidR="00691AE1" w:rsidRDefault="00691AE1">
      <w:pPr>
        <w:pStyle w:val="FootnoteText"/>
      </w:pPr>
      <w:r>
        <w:rPr>
          <w:rStyle w:val="FootnoteReference"/>
        </w:rPr>
        <w:footnoteRef/>
      </w:r>
      <w:r>
        <w:t xml:space="preserve"> “This [negative savings] needs to be netted out of the overall program savings.” Jennifer Morris provided this comment on the ComEd AirCare Plus CY2018 Impact Evaluation Report on March 21, 2019.</w:t>
      </w:r>
    </w:p>
  </w:footnote>
  <w:footnote w:id="4">
    <w:p w14:paraId="72D7D4D4" w14:textId="16434FC3" w:rsidR="001E4C0A" w:rsidRDefault="001E4C0A">
      <w:pPr>
        <w:pStyle w:val="FootnoteText"/>
      </w:pPr>
      <w:r>
        <w:rPr>
          <w:rStyle w:val="FootnoteReference"/>
        </w:rPr>
        <w:footnoteRef/>
      </w:r>
      <w:r>
        <w:t xml:space="preserve"> EMS is typically administered as a custom measure which allows for greater possibilities for information gathering and more appropriate project-specific calculations can be utilized. </w:t>
      </w:r>
    </w:p>
  </w:footnote>
  <w:footnote w:id="5">
    <w:p w14:paraId="455AE259" w14:textId="3F4925CC" w:rsidR="00691AE1" w:rsidRDefault="00691AE1">
      <w:pPr>
        <w:pStyle w:val="FootnoteText"/>
      </w:pPr>
      <w:r>
        <w:rPr>
          <w:rStyle w:val="FootnoteReference"/>
        </w:rPr>
        <w:footnoteRef/>
      </w:r>
      <w:r>
        <w:t xml:space="preserve"> At the time this was IECC 2015. </w:t>
      </w:r>
    </w:p>
  </w:footnote>
  <w:footnote w:id="6">
    <w:p w14:paraId="7E4F4B09" w14:textId="3A354149" w:rsidR="00691AE1" w:rsidRDefault="00691AE1">
      <w:pPr>
        <w:pStyle w:val="FootnoteText"/>
      </w:pPr>
      <w:r>
        <w:rPr>
          <w:rStyle w:val="FootnoteReference"/>
        </w:rPr>
        <w:footnoteRef/>
      </w:r>
      <w:r>
        <w:t xml:space="preserve"> Such a case was the IL TRM v6.0 Thermostat Replacement and Thermostat Adjustment algorithms. The algorithm produced negative gas savings for certain applications where it appeared that the gas savings should have been positive.</w:t>
      </w:r>
      <w:r w:rsidR="0097260E">
        <w:t xml:space="preserve"> </w:t>
      </w:r>
    </w:p>
  </w:footnote>
  <w:footnote w:id="7">
    <w:p w14:paraId="1D8FFA74" w14:textId="2732217D" w:rsidR="00F37930" w:rsidRDefault="00315A51">
      <w:pPr>
        <w:pStyle w:val="FootnoteText"/>
      </w:pPr>
      <w:r>
        <w:rPr>
          <w:rStyle w:val="FootnoteReference"/>
        </w:rPr>
        <w:footnoteRef/>
      </w:r>
      <w:r>
        <w:t xml:space="preserve"> See the </w:t>
      </w:r>
      <w:r w:rsidR="00F37930">
        <w:t xml:space="preserve">Table 4-2 of the </w:t>
      </w:r>
      <w:r>
        <w:t>ComEd Residential HVAC CY2019 Impact Evaluation Report</w:t>
      </w:r>
      <w:r w:rsidR="009C26CB">
        <w:t xml:space="preserve"> (April 21, 2020) </w:t>
      </w:r>
      <w:r>
        <w:t>for an example o</w:t>
      </w:r>
      <w:r w:rsidR="00F37930">
        <w:t xml:space="preserve">f this. </w:t>
      </w:r>
    </w:p>
  </w:footnote>
  <w:footnote w:id="8">
    <w:p w14:paraId="74D73C25" w14:textId="0407381E" w:rsidR="00691AE1" w:rsidRDefault="00691AE1">
      <w:pPr>
        <w:pStyle w:val="FootnoteText"/>
      </w:pPr>
      <w:r>
        <w:rPr>
          <w:rStyle w:val="FootnoteReference"/>
        </w:rPr>
        <w:footnoteRef/>
      </w:r>
      <w:r>
        <w:t xml:space="preserve"> “Heating Penalty if fossil fuel heated building (or if heating fuel is unknown)” Illinois Statewide Technical Reference Manual, 4.5.4 LED Bulbs and Fixtures.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00477" w14:textId="246776B1" w:rsidR="00691AE1" w:rsidRDefault="00691AE1">
    <w:pPr>
      <w:pStyle w:val="Header"/>
      <w:rPr>
        <w:szCs w:val="18"/>
      </w:rPr>
    </w:pPr>
    <w:r w:rsidRPr="009E0204">
      <w:rPr>
        <w:szCs w:val="18"/>
      </w:rPr>
      <w:t>Treatment of Negative Savings by Evaluation</w:t>
    </w:r>
  </w:p>
  <w:p w14:paraId="7297F3C9" w14:textId="70B71E10" w:rsidR="00691AE1" w:rsidRDefault="00FB78C6">
    <w:pPr>
      <w:pStyle w:val="Header"/>
      <w:rPr>
        <w:szCs w:val="18"/>
      </w:rPr>
    </w:pPr>
    <w:r>
      <w:rPr>
        <w:szCs w:val="18"/>
      </w:rPr>
      <w:t>August 4</w:t>
    </w:r>
    <w:r w:rsidR="00691AE1">
      <w:rPr>
        <w:szCs w:val="18"/>
      </w:rPr>
      <w:t>, 2020</w:t>
    </w:r>
  </w:p>
  <w:p w14:paraId="4A706CD1" w14:textId="77777777" w:rsidR="00691AE1" w:rsidRDefault="00691AE1">
    <w:pPr>
      <w:pStyle w:val="Header"/>
      <w:rPr>
        <w:szCs w:val="18"/>
      </w:rPr>
    </w:pPr>
    <w:r>
      <w:rPr>
        <w:szCs w:val="18"/>
      </w:rPr>
      <w:t xml:space="preserve">Page </w:t>
    </w:r>
    <w:r>
      <w:rPr>
        <w:szCs w:val="18"/>
      </w:rPr>
      <w:fldChar w:fldCharType="begin"/>
    </w:r>
    <w:r>
      <w:rPr>
        <w:szCs w:val="18"/>
      </w:rPr>
      <w:instrText xml:space="preserve"> PAGE </w:instrText>
    </w:r>
    <w:r>
      <w:rPr>
        <w:szCs w:val="18"/>
      </w:rPr>
      <w:fldChar w:fldCharType="separate"/>
    </w:r>
    <w:r>
      <w:rPr>
        <w:noProof/>
        <w:szCs w:val="18"/>
      </w:rPr>
      <w:t>2</w:t>
    </w:r>
    <w:r>
      <w:rPr>
        <w:szCs w:val="18"/>
      </w:rPr>
      <w:fldChar w:fldCharType="end"/>
    </w:r>
    <w:r>
      <w:rPr>
        <w:szCs w:val="18"/>
      </w:rPr>
      <w:t xml:space="preserve"> of </w:t>
    </w:r>
    <w:r>
      <w:rPr>
        <w:szCs w:val="18"/>
      </w:rPr>
      <w:fldChar w:fldCharType="begin"/>
    </w:r>
    <w:r>
      <w:rPr>
        <w:szCs w:val="18"/>
      </w:rPr>
      <w:instrText xml:space="preserve"> NUMPAGES </w:instrText>
    </w:r>
    <w:r>
      <w:rPr>
        <w:szCs w:val="18"/>
      </w:rPr>
      <w:fldChar w:fldCharType="separate"/>
    </w:r>
    <w:r>
      <w:rPr>
        <w:noProof/>
        <w:szCs w:val="18"/>
      </w:rPr>
      <w:t>1</w:t>
    </w:r>
    <w:r>
      <w:rPr>
        <w:szCs w:val="18"/>
      </w:rPr>
      <w:fldChar w:fldCharType="end"/>
    </w:r>
  </w:p>
  <w:p w14:paraId="560B5F12" w14:textId="77777777" w:rsidR="00691AE1" w:rsidRDefault="00691AE1">
    <w:pPr>
      <w:pStyle w:val="Header"/>
      <w:rPr>
        <w:szCs w:val="18"/>
      </w:rPr>
    </w:pPr>
  </w:p>
  <w:p w14:paraId="0D4B2AE1" w14:textId="77777777" w:rsidR="00691AE1" w:rsidRDefault="00691AE1">
    <w:pPr>
      <w:pStyle w:val="Header"/>
      <w:rPr>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CAD168" w14:textId="77777777" w:rsidR="00691AE1" w:rsidRDefault="00691AE1">
    <w:pPr>
      <w:pStyle w:val="Header"/>
      <w:spacing w:line="200" w:lineRule="exact"/>
    </w:pPr>
    <w:r>
      <w:rPr>
        <w:noProof/>
      </w:rPr>
      <w:drawing>
        <wp:anchor distT="0" distB="0" distL="114300" distR="114300" simplePos="0" relativeHeight="251680768" behindDoc="0" locked="0" layoutInCell="1" allowOverlap="1" wp14:anchorId="475B99D3" wp14:editId="20290D6B">
          <wp:simplePos x="0" y="0"/>
          <wp:positionH relativeFrom="column">
            <wp:posOffset>-509270</wp:posOffset>
          </wp:positionH>
          <wp:positionV relativeFrom="page">
            <wp:posOffset>638810</wp:posOffset>
          </wp:positionV>
          <wp:extent cx="1562100" cy="396240"/>
          <wp:effectExtent l="0" t="0" r="0" b="3810"/>
          <wp:wrapSquare wrapText="bothSides"/>
          <wp:docPr id="16" name="Graphic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562100" cy="396240"/>
                  </a:xfrm>
                  <a:prstGeom prst="rect">
                    <a:avLst/>
                  </a:prstGeom>
                </pic:spPr>
              </pic:pic>
            </a:graphicData>
          </a:graphic>
        </wp:anchor>
      </w:drawing>
    </w:r>
  </w:p>
  <w:p w14:paraId="6FD04624" w14:textId="77777777" w:rsidR="00691AE1" w:rsidRDefault="00691AE1">
    <w:pPr>
      <w:pStyle w:val="Header"/>
      <w:spacing w:line="200" w:lineRule="exact"/>
    </w:pPr>
  </w:p>
  <w:p w14:paraId="241FB83C" w14:textId="77777777" w:rsidR="00691AE1" w:rsidRDefault="00691AE1">
    <w:pPr>
      <w:pStyle w:val="Header"/>
      <w:spacing w:line="200" w:lineRule="exact"/>
    </w:pPr>
  </w:p>
  <w:p w14:paraId="6FEB91A9" w14:textId="77777777" w:rsidR="00691AE1" w:rsidRDefault="00691AE1">
    <w:pPr>
      <w:pStyle w:val="Header"/>
      <w:spacing w:line="200" w:lineRule="exact"/>
    </w:pPr>
  </w:p>
  <w:p w14:paraId="3B40059E" w14:textId="77777777" w:rsidR="00691AE1" w:rsidRDefault="00691AE1">
    <w:pPr>
      <w:pStyle w:val="Header"/>
      <w:spacing w:line="200" w:lineRule="exact"/>
    </w:pPr>
  </w:p>
  <w:p w14:paraId="222456BE" w14:textId="77777777" w:rsidR="00691AE1" w:rsidRDefault="00691AE1">
    <w:pPr>
      <w:pStyle w:val="Header"/>
      <w:spacing w:line="200" w:lineRule="exact"/>
    </w:pPr>
  </w:p>
  <w:p w14:paraId="6720706B" w14:textId="77777777" w:rsidR="00691AE1" w:rsidRDefault="00691AE1">
    <w:pPr>
      <w:pStyle w:val="Header"/>
      <w:spacing w:line="200" w:lineRule="exact"/>
    </w:pPr>
  </w:p>
  <w:p w14:paraId="628597F4" w14:textId="77777777" w:rsidR="00691AE1" w:rsidRDefault="00691AE1">
    <w:pPr>
      <w:pStyle w:val="Header"/>
      <w:spacing w:line="200" w:lineRule="exact"/>
    </w:pPr>
  </w:p>
  <w:p w14:paraId="3A2358BD" w14:textId="77777777" w:rsidR="00691AE1" w:rsidRDefault="00691AE1">
    <w:pPr>
      <w:pStyle w:val="Header"/>
      <w:spacing w:line="200" w:lineRule="exact"/>
    </w:pPr>
  </w:p>
  <w:p w14:paraId="7910101E" w14:textId="77777777" w:rsidR="00691AE1" w:rsidRDefault="00691AE1">
    <w:pPr>
      <w:pStyle w:val="Header"/>
      <w:spacing w:line="200" w:lineRule="exact"/>
    </w:pPr>
  </w:p>
  <w:p w14:paraId="78473758" w14:textId="77777777" w:rsidR="00691AE1" w:rsidRPr="00632022" w:rsidRDefault="00691AE1" w:rsidP="0010536E">
    <w:pPr>
      <w:pStyle w:val="MemorandumHeader"/>
    </w:pPr>
    <w:r w:rsidRPr="00632022">
      <w:t>Memorandum</w:t>
    </w:r>
  </w:p>
  <w:p w14:paraId="5F233343" w14:textId="77777777" w:rsidR="00691AE1" w:rsidRDefault="00691AE1">
    <w:pPr>
      <w:pStyle w:val="Header"/>
      <w:spacing w:line="200" w:lineRule="exact"/>
    </w:pPr>
  </w:p>
  <w:p w14:paraId="64727AC3" w14:textId="77777777" w:rsidR="00691AE1" w:rsidRDefault="00691AE1">
    <w:pPr>
      <w:pStyle w:val="Header"/>
      <w:spacing w:line="200" w:lineRule="exact"/>
    </w:pPr>
  </w:p>
  <w:p w14:paraId="16DC7A7C" w14:textId="77777777" w:rsidR="00691AE1" w:rsidRDefault="00691AE1">
    <w:pPr>
      <w:pStyle w:val="Heade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772E162"/>
    <w:lvl w:ilvl="0">
      <w:numFmt w:val="decimal"/>
      <w:pStyle w:val="Bullet-ItalicIndent"/>
      <w:lvlText w:val="*"/>
      <w:lvlJc w:val="left"/>
    </w:lvl>
  </w:abstractNum>
  <w:abstractNum w:abstractNumId="1" w15:restartNumberingAfterBreak="0">
    <w:nsid w:val="010420B2"/>
    <w:multiLevelType w:val="hybridMultilevel"/>
    <w:tmpl w:val="1BC48C88"/>
    <w:lvl w:ilvl="0" w:tplc="972E3E58">
      <w:start w:val="1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264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49D22F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88C1D7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AC735D"/>
    <w:multiLevelType w:val="hybridMultilevel"/>
    <w:tmpl w:val="8AFC8E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674AE9"/>
    <w:multiLevelType w:val="singleLevel"/>
    <w:tmpl w:val="24D67C08"/>
    <w:lvl w:ilvl="0">
      <w:start w:val="1"/>
      <w:numFmt w:val="upperLetter"/>
      <w:lvlText w:val="%1."/>
      <w:lvlJc w:val="left"/>
      <w:pPr>
        <w:tabs>
          <w:tab w:val="num" w:pos="720"/>
        </w:tabs>
        <w:ind w:left="720" w:hanging="720"/>
      </w:pPr>
      <w:rPr>
        <w:rFonts w:hint="default"/>
      </w:rPr>
    </w:lvl>
  </w:abstractNum>
  <w:abstractNum w:abstractNumId="7" w15:restartNumberingAfterBreak="0">
    <w:nsid w:val="0DA1043D"/>
    <w:multiLevelType w:val="hybridMultilevel"/>
    <w:tmpl w:val="6CEC2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840229"/>
    <w:multiLevelType w:val="hybridMultilevel"/>
    <w:tmpl w:val="133EB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F04A3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1760169"/>
    <w:multiLevelType w:val="hybridMultilevel"/>
    <w:tmpl w:val="7192747C"/>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8169C0"/>
    <w:multiLevelType w:val="singleLevel"/>
    <w:tmpl w:val="7840C80E"/>
    <w:lvl w:ilvl="0">
      <w:start w:val="1"/>
      <w:numFmt w:val="upperLetter"/>
      <w:lvlText w:val="%1."/>
      <w:lvlJc w:val="left"/>
      <w:pPr>
        <w:tabs>
          <w:tab w:val="num" w:pos="720"/>
        </w:tabs>
        <w:ind w:left="720" w:hanging="720"/>
      </w:pPr>
      <w:rPr>
        <w:rFonts w:hint="default"/>
      </w:rPr>
    </w:lvl>
  </w:abstractNum>
  <w:abstractNum w:abstractNumId="12" w15:restartNumberingAfterBreak="0">
    <w:nsid w:val="19DB19D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A3B10B5"/>
    <w:multiLevelType w:val="singleLevel"/>
    <w:tmpl w:val="28DAA796"/>
    <w:lvl w:ilvl="0">
      <w:start w:val="17"/>
      <w:numFmt w:val="upperLetter"/>
      <w:lvlText w:val="%1."/>
      <w:lvlJc w:val="left"/>
      <w:pPr>
        <w:tabs>
          <w:tab w:val="num" w:pos="720"/>
        </w:tabs>
        <w:ind w:left="720" w:hanging="720"/>
      </w:pPr>
      <w:rPr>
        <w:rFonts w:hint="default"/>
      </w:rPr>
    </w:lvl>
  </w:abstractNum>
  <w:abstractNum w:abstractNumId="14" w15:restartNumberingAfterBreak="0">
    <w:nsid w:val="1A7C3268"/>
    <w:multiLevelType w:val="hybridMultilevel"/>
    <w:tmpl w:val="4D204B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AC81C9F"/>
    <w:multiLevelType w:val="hybridMultilevel"/>
    <w:tmpl w:val="CC300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2152B7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22D620FC"/>
    <w:multiLevelType w:val="hybridMultilevel"/>
    <w:tmpl w:val="7666BB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DF7F12"/>
    <w:multiLevelType w:val="singleLevel"/>
    <w:tmpl w:val="5964AA8C"/>
    <w:lvl w:ilvl="0">
      <w:start w:val="1"/>
      <w:numFmt w:val="upperLetter"/>
      <w:lvlText w:val="%1."/>
      <w:lvlJc w:val="left"/>
      <w:pPr>
        <w:tabs>
          <w:tab w:val="num" w:pos="720"/>
        </w:tabs>
        <w:ind w:left="720" w:hanging="720"/>
      </w:pPr>
      <w:rPr>
        <w:rFonts w:hint="default"/>
      </w:rPr>
    </w:lvl>
  </w:abstractNum>
  <w:abstractNum w:abstractNumId="19" w15:restartNumberingAfterBreak="0">
    <w:nsid w:val="23C16B7F"/>
    <w:multiLevelType w:val="singleLevel"/>
    <w:tmpl w:val="5F84A852"/>
    <w:lvl w:ilvl="0">
      <w:start w:val="1"/>
      <w:numFmt w:val="upperLetter"/>
      <w:lvlText w:val=""/>
      <w:lvlJc w:val="left"/>
      <w:pPr>
        <w:tabs>
          <w:tab w:val="num" w:pos="360"/>
        </w:tabs>
        <w:ind w:left="360" w:hanging="360"/>
      </w:pPr>
      <w:rPr>
        <w:rFonts w:ascii="Arial" w:hAnsi="Arial" w:hint="default"/>
      </w:rPr>
    </w:lvl>
  </w:abstractNum>
  <w:abstractNum w:abstractNumId="20" w15:restartNumberingAfterBreak="0">
    <w:nsid w:val="286D190D"/>
    <w:multiLevelType w:val="singleLevel"/>
    <w:tmpl w:val="979812B4"/>
    <w:lvl w:ilvl="0">
      <w:start w:val="17"/>
      <w:numFmt w:val="upperLetter"/>
      <w:lvlText w:val="%1."/>
      <w:lvlJc w:val="left"/>
      <w:pPr>
        <w:tabs>
          <w:tab w:val="num" w:pos="720"/>
        </w:tabs>
        <w:ind w:left="720" w:hanging="720"/>
      </w:pPr>
      <w:rPr>
        <w:rFonts w:hint="default"/>
      </w:rPr>
    </w:lvl>
  </w:abstractNum>
  <w:abstractNum w:abstractNumId="21" w15:restartNumberingAfterBreak="0">
    <w:nsid w:val="2A9A1D08"/>
    <w:multiLevelType w:val="singleLevel"/>
    <w:tmpl w:val="FAEE1AE8"/>
    <w:lvl w:ilvl="0">
      <w:start w:val="17"/>
      <w:numFmt w:val="upperLetter"/>
      <w:lvlText w:val="%1."/>
      <w:lvlJc w:val="left"/>
      <w:pPr>
        <w:tabs>
          <w:tab w:val="num" w:pos="720"/>
        </w:tabs>
        <w:ind w:left="720" w:hanging="720"/>
      </w:pPr>
      <w:rPr>
        <w:rFonts w:hint="default"/>
      </w:rPr>
    </w:lvl>
  </w:abstractNum>
  <w:abstractNum w:abstractNumId="22" w15:restartNumberingAfterBreak="0">
    <w:nsid w:val="2FFB7185"/>
    <w:multiLevelType w:val="singleLevel"/>
    <w:tmpl w:val="8430B4F0"/>
    <w:lvl w:ilvl="0">
      <w:start w:val="1"/>
      <w:numFmt w:val="upperLetter"/>
      <w:lvlText w:val="%1."/>
      <w:lvlJc w:val="left"/>
      <w:pPr>
        <w:tabs>
          <w:tab w:val="num" w:pos="720"/>
        </w:tabs>
        <w:ind w:left="720" w:hanging="720"/>
      </w:pPr>
      <w:rPr>
        <w:rFonts w:hint="default"/>
      </w:rPr>
    </w:lvl>
  </w:abstractNum>
  <w:abstractNum w:abstractNumId="23" w15:restartNumberingAfterBreak="0">
    <w:nsid w:val="31CF081A"/>
    <w:multiLevelType w:val="singleLevel"/>
    <w:tmpl w:val="E87EBD42"/>
    <w:lvl w:ilvl="0">
      <w:start w:val="1"/>
      <w:numFmt w:val="upperLetter"/>
      <w:lvlText w:val="%1."/>
      <w:lvlJc w:val="left"/>
      <w:pPr>
        <w:tabs>
          <w:tab w:val="num" w:pos="720"/>
        </w:tabs>
        <w:ind w:left="720" w:hanging="720"/>
      </w:pPr>
      <w:rPr>
        <w:rFonts w:hint="default"/>
      </w:rPr>
    </w:lvl>
  </w:abstractNum>
  <w:abstractNum w:abstractNumId="24" w15:restartNumberingAfterBreak="0">
    <w:nsid w:val="345E2A9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34BC4C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369943E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3C166606"/>
    <w:multiLevelType w:val="singleLevel"/>
    <w:tmpl w:val="819803F8"/>
    <w:lvl w:ilvl="0">
      <w:start w:val="1"/>
      <w:numFmt w:val="upperLetter"/>
      <w:lvlText w:val="%1."/>
      <w:lvlJc w:val="left"/>
      <w:pPr>
        <w:tabs>
          <w:tab w:val="num" w:pos="720"/>
        </w:tabs>
        <w:ind w:left="720" w:hanging="720"/>
      </w:pPr>
      <w:rPr>
        <w:rFonts w:hint="default"/>
      </w:rPr>
    </w:lvl>
  </w:abstractNum>
  <w:abstractNum w:abstractNumId="28" w15:restartNumberingAfterBreak="0">
    <w:nsid w:val="3EC55A79"/>
    <w:multiLevelType w:val="hybridMultilevel"/>
    <w:tmpl w:val="609467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EE937F8"/>
    <w:multiLevelType w:val="hybridMultilevel"/>
    <w:tmpl w:val="4920D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F025F8E"/>
    <w:multiLevelType w:val="hybridMultilevel"/>
    <w:tmpl w:val="2064288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3FF60769"/>
    <w:multiLevelType w:val="hybridMultilevel"/>
    <w:tmpl w:val="D23A99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3D2154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4DD4068F"/>
    <w:multiLevelType w:val="singleLevel"/>
    <w:tmpl w:val="B3624B7C"/>
    <w:lvl w:ilvl="0">
      <w:start w:val="17"/>
      <w:numFmt w:val="upperLetter"/>
      <w:lvlText w:val="%1."/>
      <w:lvlJc w:val="left"/>
      <w:pPr>
        <w:tabs>
          <w:tab w:val="num" w:pos="720"/>
        </w:tabs>
        <w:ind w:left="720" w:hanging="720"/>
      </w:pPr>
      <w:rPr>
        <w:rFonts w:hint="default"/>
      </w:rPr>
    </w:lvl>
  </w:abstractNum>
  <w:abstractNum w:abstractNumId="34" w15:restartNumberingAfterBreak="0">
    <w:nsid w:val="53F9351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7092D6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587F5AC9"/>
    <w:multiLevelType w:val="singleLevel"/>
    <w:tmpl w:val="46407B1C"/>
    <w:lvl w:ilvl="0">
      <w:start w:val="1"/>
      <w:numFmt w:val="upperLetter"/>
      <w:lvlText w:val="%1."/>
      <w:lvlJc w:val="left"/>
      <w:pPr>
        <w:tabs>
          <w:tab w:val="num" w:pos="720"/>
        </w:tabs>
        <w:ind w:left="720" w:hanging="720"/>
      </w:pPr>
      <w:rPr>
        <w:rFonts w:hint="default"/>
      </w:rPr>
    </w:lvl>
  </w:abstractNum>
  <w:abstractNum w:abstractNumId="37" w15:restartNumberingAfterBreak="0">
    <w:nsid w:val="592F1CB7"/>
    <w:multiLevelType w:val="singleLevel"/>
    <w:tmpl w:val="86C0E5C6"/>
    <w:lvl w:ilvl="0">
      <w:start w:val="17"/>
      <w:numFmt w:val="upperLetter"/>
      <w:lvlText w:val="%1."/>
      <w:lvlJc w:val="left"/>
      <w:pPr>
        <w:tabs>
          <w:tab w:val="num" w:pos="720"/>
        </w:tabs>
        <w:ind w:left="720" w:hanging="720"/>
      </w:pPr>
      <w:rPr>
        <w:rFonts w:hint="default"/>
      </w:rPr>
    </w:lvl>
  </w:abstractNum>
  <w:abstractNum w:abstractNumId="38" w15:restartNumberingAfterBreak="0">
    <w:nsid w:val="59F85145"/>
    <w:multiLevelType w:val="singleLevel"/>
    <w:tmpl w:val="22B25576"/>
    <w:lvl w:ilvl="0">
      <w:start w:val="1"/>
      <w:numFmt w:val="upperLetter"/>
      <w:lvlText w:val="%1."/>
      <w:lvlJc w:val="left"/>
      <w:pPr>
        <w:tabs>
          <w:tab w:val="num" w:pos="720"/>
        </w:tabs>
        <w:ind w:left="720" w:hanging="720"/>
      </w:pPr>
      <w:rPr>
        <w:rFonts w:hint="default"/>
      </w:rPr>
    </w:lvl>
  </w:abstractNum>
  <w:abstractNum w:abstractNumId="39" w15:restartNumberingAfterBreak="0">
    <w:nsid w:val="5C0629D4"/>
    <w:multiLevelType w:val="hybridMultilevel"/>
    <w:tmpl w:val="C960E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5F1300"/>
    <w:multiLevelType w:val="singleLevel"/>
    <w:tmpl w:val="37E6D30E"/>
    <w:lvl w:ilvl="0">
      <w:start w:val="1"/>
      <w:numFmt w:val="upperLetter"/>
      <w:lvlText w:val="%1."/>
      <w:lvlJc w:val="left"/>
      <w:pPr>
        <w:tabs>
          <w:tab w:val="num" w:pos="1440"/>
        </w:tabs>
        <w:ind w:left="1440" w:hanging="1440"/>
      </w:pPr>
      <w:rPr>
        <w:rFonts w:hint="default"/>
        <w:b w:val="0"/>
        <w:i w:val="0"/>
      </w:rPr>
    </w:lvl>
  </w:abstractNum>
  <w:abstractNum w:abstractNumId="41" w15:restartNumberingAfterBreak="0">
    <w:nsid w:val="62E40DB8"/>
    <w:multiLevelType w:val="singleLevel"/>
    <w:tmpl w:val="FC920374"/>
    <w:lvl w:ilvl="0">
      <w:start w:val="17"/>
      <w:numFmt w:val="upperLetter"/>
      <w:lvlText w:val="%1."/>
      <w:lvlJc w:val="left"/>
      <w:pPr>
        <w:tabs>
          <w:tab w:val="num" w:pos="720"/>
        </w:tabs>
        <w:ind w:left="720" w:hanging="720"/>
      </w:pPr>
      <w:rPr>
        <w:rFonts w:hint="default"/>
      </w:rPr>
    </w:lvl>
  </w:abstractNum>
  <w:abstractNum w:abstractNumId="42" w15:restartNumberingAfterBreak="0">
    <w:nsid w:val="65727F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671B37C0"/>
    <w:multiLevelType w:val="singleLevel"/>
    <w:tmpl w:val="E0B29BAA"/>
    <w:lvl w:ilvl="0">
      <w:start w:val="17"/>
      <w:numFmt w:val="upperLetter"/>
      <w:lvlText w:val="%1."/>
      <w:lvlJc w:val="left"/>
      <w:pPr>
        <w:tabs>
          <w:tab w:val="num" w:pos="720"/>
        </w:tabs>
        <w:ind w:left="720" w:hanging="720"/>
      </w:pPr>
      <w:rPr>
        <w:rFonts w:hint="default"/>
      </w:rPr>
    </w:lvl>
  </w:abstractNum>
  <w:abstractNum w:abstractNumId="44" w15:restartNumberingAfterBreak="0">
    <w:nsid w:val="70786F66"/>
    <w:multiLevelType w:val="hybridMultilevel"/>
    <w:tmpl w:val="F0CC87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0B342D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70BC226C"/>
    <w:multiLevelType w:val="singleLevel"/>
    <w:tmpl w:val="85A8227E"/>
    <w:lvl w:ilvl="0">
      <w:start w:val="17"/>
      <w:numFmt w:val="upperLetter"/>
      <w:lvlText w:val="%1."/>
      <w:lvlJc w:val="left"/>
      <w:pPr>
        <w:tabs>
          <w:tab w:val="num" w:pos="720"/>
        </w:tabs>
        <w:ind w:left="720" w:hanging="720"/>
      </w:pPr>
      <w:rPr>
        <w:rFonts w:hint="default"/>
      </w:rPr>
    </w:lvl>
  </w:abstractNum>
  <w:abstractNum w:abstractNumId="47" w15:restartNumberingAfterBreak="0">
    <w:nsid w:val="74FD5CE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8" w15:restartNumberingAfterBreak="0">
    <w:nsid w:val="790A48FA"/>
    <w:multiLevelType w:val="hybridMultilevel"/>
    <w:tmpl w:val="E5082B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B4C6C50"/>
    <w:multiLevelType w:val="singleLevel"/>
    <w:tmpl w:val="1310CD64"/>
    <w:lvl w:ilvl="0">
      <w:start w:val="17"/>
      <w:numFmt w:val="upperLetter"/>
      <w:lvlText w:val="%1."/>
      <w:lvlJc w:val="left"/>
      <w:pPr>
        <w:tabs>
          <w:tab w:val="num" w:pos="720"/>
        </w:tabs>
        <w:ind w:left="720" w:hanging="720"/>
      </w:pPr>
      <w:rPr>
        <w:rFonts w:hint="default"/>
      </w:rPr>
    </w:lvl>
  </w:abstractNum>
  <w:abstractNum w:abstractNumId="50" w15:restartNumberingAfterBreak="0">
    <w:nsid w:val="7BA247E7"/>
    <w:multiLevelType w:val="hybridMultilevel"/>
    <w:tmpl w:val="35766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CF36E4"/>
    <w:multiLevelType w:val="singleLevel"/>
    <w:tmpl w:val="20F0DCDC"/>
    <w:lvl w:ilvl="0">
      <w:start w:val="17"/>
      <w:numFmt w:val="upperLetter"/>
      <w:lvlText w:val="%1."/>
      <w:lvlJc w:val="left"/>
      <w:pPr>
        <w:tabs>
          <w:tab w:val="num" w:pos="720"/>
        </w:tabs>
        <w:ind w:left="720" w:hanging="720"/>
      </w:pPr>
      <w:rPr>
        <w:rFonts w:hint="default"/>
      </w:rPr>
    </w:lvl>
  </w:abstractNum>
  <w:abstractNum w:abstractNumId="52" w15:restartNumberingAfterBreak="0">
    <w:nsid w:val="7E2F215A"/>
    <w:multiLevelType w:val="hybridMultilevel"/>
    <w:tmpl w:val="8278A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2F34A0"/>
    <w:multiLevelType w:val="singleLevel"/>
    <w:tmpl w:val="04090015"/>
    <w:lvl w:ilvl="0">
      <w:start w:val="1"/>
      <w:numFmt w:val="upperLetter"/>
      <w:lvlText w:val="%1."/>
      <w:lvlJc w:val="left"/>
      <w:pPr>
        <w:tabs>
          <w:tab w:val="num" w:pos="360"/>
        </w:tabs>
        <w:ind w:left="360" w:hanging="360"/>
      </w:pPr>
      <w:rPr>
        <w:rFonts w:hint="default"/>
      </w:rPr>
    </w:lvl>
  </w:abstractNum>
  <w:abstractNum w:abstractNumId="54" w15:restartNumberingAfterBreak="0">
    <w:nsid w:val="7FB7539A"/>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45"/>
  </w:num>
  <w:num w:numId="2">
    <w:abstractNumId w:val="43"/>
  </w:num>
  <w:num w:numId="3">
    <w:abstractNumId w:val="11"/>
  </w:num>
  <w:num w:numId="4">
    <w:abstractNumId w:val="21"/>
  </w:num>
  <w:num w:numId="5">
    <w:abstractNumId w:val="27"/>
  </w:num>
  <w:num w:numId="6">
    <w:abstractNumId w:val="37"/>
  </w:num>
  <w:num w:numId="7">
    <w:abstractNumId w:val="22"/>
  </w:num>
  <w:num w:numId="8">
    <w:abstractNumId w:val="54"/>
  </w:num>
  <w:num w:numId="9">
    <w:abstractNumId w:val="47"/>
  </w:num>
  <w:num w:numId="10">
    <w:abstractNumId w:val="51"/>
  </w:num>
  <w:num w:numId="11">
    <w:abstractNumId w:val="24"/>
  </w:num>
  <w:num w:numId="12">
    <w:abstractNumId w:val="35"/>
  </w:num>
  <w:num w:numId="13">
    <w:abstractNumId w:val="34"/>
  </w:num>
  <w:num w:numId="14">
    <w:abstractNumId w:val="18"/>
  </w:num>
  <w:num w:numId="15">
    <w:abstractNumId w:val="16"/>
  </w:num>
  <w:num w:numId="16">
    <w:abstractNumId w:val="4"/>
  </w:num>
  <w:num w:numId="17">
    <w:abstractNumId w:val="26"/>
  </w:num>
  <w:num w:numId="18">
    <w:abstractNumId w:val="49"/>
  </w:num>
  <w:num w:numId="19">
    <w:abstractNumId w:val="6"/>
  </w:num>
  <w:num w:numId="20">
    <w:abstractNumId w:val="41"/>
  </w:num>
  <w:num w:numId="21">
    <w:abstractNumId w:val="38"/>
  </w:num>
  <w:num w:numId="22">
    <w:abstractNumId w:val="46"/>
  </w:num>
  <w:num w:numId="23">
    <w:abstractNumId w:val="36"/>
  </w:num>
  <w:num w:numId="24">
    <w:abstractNumId w:val="20"/>
  </w:num>
  <w:num w:numId="25">
    <w:abstractNumId w:val="40"/>
  </w:num>
  <w:num w:numId="26">
    <w:abstractNumId w:val="19"/>
  </w:num>
  <w:num w:numId="27">
    <w:abstractNumId w:val="53"/>
  </w:num>
  <w:num w:numId="28">
    <w:abstractNumId w:val="13"/>
  </w:num>
  <w:num w:numId="29">
    <w:abstractNumId w:val="33"/>
  </w:num>
  <w:num w:numId="30">
    <w:abstractNumId w:val="23"/>
  </w:num>
  <w:num w:numId="31">
    <w:abstractNumId w:val="12"/>
  </w:num>
  <w:num w:numId="32">
    <w:abstractNumId w:val="9"/>
  </w:num>
  <w:num w:numId="33">
    <w:abstractNumId w:val="2"/>
  </w:num>
  <w:num w:numId="34">
    <w:abstractNumId w:val="42"/>
  </w:num>
  <w:num w:numId="35">
    <w:abstractNumId w:val="32"/>
  </w:num>
  <w:num w:numId="36">
    <w:abstractNumId w:val="3"/>
  </w:num>
  <w:num w:numId="37">
    <w:abstractNumId w:val="25"/>
  </w:num>
  <w:num w:numId="38">
    <w:abstractNumId w:val="0"/>
  </w:num>
  <w:num w:numId="39">
    <w:abstractNumId w:val="15"/>
  </w:num>
  <w:num w:numId="40">
    <w:abstractNumId w:val="1"/>
  </w:num>
  <w:num w:numId="41">
    <w:abstractNumId w:val="39"/>
  </w:num>
  <w:num w:numId="42">
    <w:abstractNumId w:val="17"/>
  </w:num>
  <w:num w:numId="43">
    <w:abstractNumId w:val="8"/>
  </w:num>
  <w:num w:numId="44">
    <w:abstractNumId w:val="10"/>
  </w:num>
  <w:num w:numId="45">
    <w:abstractNumId w:val="30"/>
  </w:num>
  <w:num w:numId="46">
    <w:abstractNumId w:val="31"/>
  </w:num>
  <w:num w:numId="47">
    <w:abstractNumId w:val="28"/>
  </w:num>
  <w:num w:numId="48">
    <w:abstractNumId w:val="7"/>
  </w:num>
  <w:num w:numId="49">
    <w:abstractNumId w:val="29"/>
  </w:num>
  <w:num w:numId="50">
    <w:abstractNumId w:val="52"/>
  </w:num>
  <w:num w:numId="51">
    <w:abstractNumId w:val="14"/>
  </w:num>
  <w:num w:numId="52">
    <w:abstractNumId w:val="50"/>
  </w:num>
  <w:num w:numId="53">
    <w:abstractNumId w:val="5"/>
  </w:num>
  <w:num w:numId="54">
    <w:abstractNumId w:val="44"/>
  </w:num>
  <w:num w:numId="55">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E98"/>
    <w:rsid w:val="000567D5"/>
    <w:rsid w:val="00067E1F"/>
    <w:rsid w:val="000A2DDF"/>
    <w:rsid w:val="000B4D57"/>
    <w:rsid w:val="000C1515"/>
    <w:rsid w:val="0010536E"/>
    <w:rsid w:val="0010604B"/>
    <w:rsid w:val="00142B2B"/>
    <w:rsid w:val="001468E7"/>
    <w:rsid w:val="0016686D"/>
    <w:rsid w:val="00175D65"/>
    <w:rsid w:val="001950C1"/>
    <w:rsid w:val="001E4C0A"/>
    <w:rsid w:val="002177B6"/>
    <w:rsid w:val="002261CD"/>
    <w:rsid w:val="0024359C"/>
    <w:rsid w:val="002627DA"/>
    <w:rsid w:val="002817CA"/>
    <w:rsid w:val="002B2E17"/>
    <w:rsid w:val="002C3220"/>
    <w:rsid w:val="002D4C44"/>
    <w:rsid w:val="002F21D4"/>
    <w:rsid w:val="002F5BD5"/>
    <w:rsid w:val="00315A51"/>
    <w:rsid w:val="00317161"/>
    <w:rsid w:val="0033221B"/>
    <w:rsid w:val="0035389B"/>
    <w:rsid w:val="00367738"/>
    <w:rsid w:val="003A5593"/>
    <w:rsid w:val="003B0439"/>
    <w:rsid w:val="003B1867"/>
    <w:rsid w:val="003B5FD8"/>
    <w:rsid w:val="003E4922"/>
    <w:rsid w:val="00400CEC"/>
    <w:rsid w:val="004055BA"/>
    <w:rsid w:val="00405F6D"/>
    <w:rsid w:val="004227F1"/>
    <w:rsid w:val="00436646"/>
    <w:rsid w:val="0044339D"/>
    <w:rsid w:val="00462FC0"/>
    <w:rsid w:val="0046448C"/>
    <w:rsid w:val="00470CF9"/>
    <w:rsid w:val="004B5050"/>
    <w:rsid w:val="004D5FF9"/>
    <w:rsid w:val="004F1E18"/>
    <w:rsid w:val="00521A0F"/>
    <w:rsid w:val="00546E4D"/>
    <w:rsid w:val="00553A5C"/>
    <w:rsid w:val="00574968"/>
    <w:rsid w:val="00576A02"/>
    <w:rsid w:val="00591E98"/>
    <w:rsid w:val="00591FF4"/>
    <w:rsid w:val="005B3D06"/>
    <w:rsid w:val="005D3367"/>
    <w:rsid w:val="005D7C88"/>
    <w:rsid w:val="00612B7D"/>
    <w:rsid w:val="00632022"/>
    <w:rsid w:val="00641592"/>
    <w:rsid w:val="00666A5A"/>
    <w:rsid w:val="006713E3"/>
    <w:rsid w:val="00691AE1"/>
    <w:rsid w:val="006A5C5C"/>
    <w:rsid w:val="006B6682"/>
    <w:rsid w:val="006D663D"/>
    <w:rsid w:val="006E17F5"/>
    <w:rsid w:val="006F320D"/>
    <w:rsid w:val="007178A3"/>
    <w:rsid w:val="0074684B"/>
    <w:rsid w:val="007502EC"/>
    <w:rsid w:val="00754BF5"/>
    <w:rsid w:val="007C040E"/>
    <w:rsid w:val="007E2EBE"/>
    <w:rsid w:val="007F1BB1"/>
    <w:rsid w:val="00803AE3"/>
    <w:rsid w:val="00812ED6"/>
    <w:rsid w:val="00816433"/>
    <w:rsid w:val="00852532"/>
    <w:rsid w:val="00885638"/>
    <w:rsid w:val="008C3687"/>
    <w:rsid w:val="008D2A81"/>
    <w:rsid w:val="00961CF0"/>
    <w:rsid w:val="0097260E"/>
    <w:rsid w:val="009A556C"/>
    <w:rsid w:val="009C2273"/>
    <w:rsid w:val="009C26CB"/>
    <w:rsid w:val="009D73F1"/>
    <w:rsid w:val="009E0204"/>
    <w:rsid w:val="009F57D6"/>
    <w:rsid w:val="00A301FD"/>
    <w:rsid w:val="00A41F26"/>
    <w:rsid w:val="00A51010"/>
    <w:rsid w:val="00A60AE8"/>
    <w:rsid w:val="00A768B3"/>
    <w:rsid w:val="00A773B4"/>
    <w:rsid w:val="00A94D41"/>
    <w:rsid w:val="00AA65F6"/>
    <w:rsid w:val="00AB343A"/>
    <w:rsid w:val="00AF0183"/>
    <w:rsid w:val="00B06FC9"/>
    <w:rsid w:val="00B079D5"/>
    <w:rsid w:val="00B2450D"/>
    <w:rsid w:val="00B52C2D"/>
    <w:rsid w:val="00B53372"/>
    <w:rsid w:val="00B53DB2"/>
    <w:rsid w:val="00B61284"/>
    <w:rsid w:val="00B63E3B"/>
    <w:rsid w:val="00B75602"/>
    <w:rsid w:val="00B82E24"/>
    <w:rsid w:val="00BE6133"/>
    <w:rsid w:val="00C051CE"/>
    <w:rsid w:val="00C22F67"/>
    <w:rsid w:val="00C324E7"/>
    <w:rsid w:val="00C453A4"/>
    <w:rsid w:val="00C53561"/>
    <w:rsid w:val="00C64934"/>
    <w:rsid w:val="00C669D2"/>
    <w:rsid w:val="00C74304"/>
    <w:rsid w:val="00C74456"/>
    <w:rsid w:val="00C75979"/>
    <w:rsid w:val="00C82E81"/>
    <w:rsid w:val="00C852BE"/>
    <w:rsid w:val="00CA063B"/>
    <w:rsid w:val="00CB04D3"/>
    <w:rsid w:val="00CD6801"/>
    <w:rsid w:val="00CE6398"/>
    <w:rsid w:val="00D03412"/>
    <w:rsid w:val="00D045CE"/>
    <w:rsid w:val="00D34F42"/>
    <w:rsid w:val="00D618C4"/>
    <w:rsid w:val="00DA2696"/>
    <w:rsid w:val="00DA42A1"/>
    <w:rsid w:val="00DA46FB"/>
    <w:rsid w:val="00DB5791"/>
    <w:rsid w:val="00DD0A79"/>
    <w:rsid w:val="00DD3C93"/>
    <w:rsid w:val="00DF0605"/>
    <w:rsid w:val="00DF1A64"/>
    <w:rsid w:val="00DF5065"/>
    <w:rsid w:val="00E14833"/>
    <w:rsid w:val="00E924EB"/>
    <w:rsid w:val="00E9702C"/>
    <w:rsid w:val="00ED614F"/>
    <w:rsid w:val="00ED79A8"/>
    <w:rsid w:val="00EF2998"/>
    <w:rsid w:val="00F1476B"/>
    <w:rsid w:val="00F20CF7"/>
    <w:rsid w:val="00F35A60"/>
    <w:rsid w:val="00F37930"/>
    <w:rsid w:val="00F41538"/>
    <w:rsid w:val="00F46FB8"/>
    <w:rsid w:val="00F530AF"/>
    <w:rsid w:val="00F67DB9"/>
    <w:rsid w:val="00F67FA6"/>
    <w:rsid w:val="00F851DD"/>
    <w:rsid w:val="00FB78C6"/>
    <w:rsid w:val="00FC7815"/>
    <w:rsid w:val="00FF6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5A4F75F7"/>
  <w15:docId w15:val="{64130E76-64BB-47D7-8ED0-15A517B0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2" w:qFormat="1"/>
    <w:lsdException w:name="heading 3" w:uiPriority="2"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E98"/>
    <w:rPr>
      <w:rFonts w:ascii="Arial" w:hAnsi="Arial"/>
      <w:color w:val="000000"/>
      <w:szCs w:val="24"/>
    </w:rPr>
  </w:style>
  <w:style w:type="paragraph" w:styleId="Heading1">
    <w:name w:val="heading 1"/>
    <w:basedOn w:val="Normal"/>
    <w:next w:val="Normal"/>
    <w:link w:val="Heading1Char"/>
    <w:qFormat/>
    <w:rsid w:val="002F21D4"/>
    <w:pPr>
      <w:keepNext/>
      <w:spacing w:before="360" w:after="120"/>
      <w:contextualSpacing/>
      <w:outlineLvl w:val="0"/>
    </w:pPr>
    <w:rPr>
      <w:rFonts w:eastAsiaTheme="minorHAnsi" w:cs="Arial"/>
      <w:b/>
      <w:bCs/>
      <w:smallCaps/>
      <w:color w:val="93D500" w:themeColor="accent1"/>
      <w:kern w:val="28"/>
      <w:position w:val="6"/>
      <w:sz w:val="28"/>
      <w:szCs w:val="26"/>
    </w:rPr>
  </w:style>
  <w:style w:type="paragraph" w:styleId="Heading2">
    <w:name w:val="heading 2"/>
    <w:basedOn w:val="Normal"/>
    <w:next w:val="Normal"/>
    <w:link w:val="Heading2Char"/>
    <w:uiPriority w:val="2"/>
    <w:qFormat/>
    <w:rsid w:val="00CD6801"/>
    <w:pPr>
      <w:keepNext/>
      <w:spacing w:before="360" w:after="240"/>
      <w:contextualSpacing/>
      <w:outlineLvl w:val="1"/>
    </w:pPr>
    <w:rPr>
      <w:rFonts w:eastAsiaTheme="minorHAnsi" w:cs="Arial"/>
      <w:b/>
      <w:bCs/>
      <w:iCs/>
      <w:color w:val="0093C9"/>
      <w:sz w:val="26"/>
      <w:szCs w:val="28"/>
    </w:rPr>
  </w:style>
  <w:style w:type="paragraph" w:styleId="Heading3">
    <w:name w:val="heading 3"/>
    <w:basedOn w:val="Normal"/>
    <w:next w:val="Normal"/>
    <w:link w:val="Heading3Char"/>
    <w:uiPriority w:val="2"/>
    <w:qFormat/>
    <w:rsid w:val="00DA46FB"/>
    <w:pPr>
      <w:keepNext/>
      <w:spacing w:before="360" w:after="240"/>
      <w:contextualSpacing/>
      <w:outlineLvl w:val="2"/>
    </w:pPr>
    <w:rPr>
      <w:rFonts w:eastAsiaTheme="minorHAnsi" w:cs="Arial"/>
      <w:b/>
      <w:bCs/>
      <w:color w:val="863399" w:themeColor="accent5"/>
      <w:szCs w:val="26"/>
    </w:rPr>
  </w:style>
  <w:style w:type="paragraph" w:styleId="Heading4">
    <w:name w:val="heading 4"/>
    <w:basedOn w:val="Normal"/>
    <w:next w:val="Normal"/>
    <w:qFormat/>
    <w:rsid w:val="003B5FD8"/>
    <w:pPr>
      <w:keepNext/>
      <w:spacing w:line="200" w:lineRule="exact"/>
      <w:jc w:val="right"/>
      <w:outlineLvl w:val="3"/>
    </w:pPr>
    <w:rPr>
      <w:rFonts w:ascii="Arial Narrow" w:hAnsi="Arial Narrow"/>
      <w:b/>
      <w:bCs/>
    </w:rPr>
  </w:style>
  <w:style w:type="paragraph" w:styleId="Heading5">
    <w:name w:val="heading 5"/>
    <w:basedOn w:val="Normal"/>
    <w:next w:val="Normal"/>
    <w:qFormat/>
    <w:rsid w:val="00A94D41"/>
    <w:pPr>
      <w:keepNext/>
      <w:outlineLvl w:val="4"/>
    </w:pPr>
    <w:rPr>
      <w:rFonts w:cs="Arial"/>
      <w:b/>
      <w:bCs/>
      <w:i/>
      <w:iCs/>
    </w:rPr>
  </w:style>
  <w:style w:type="paragraph" w:styleId="Heading6">
    <w:name w:val="heading 6"/>
    <w:basedOn w:val="Normal"/>
    <w:next w:val="Normal"/>
    <w:link w:val="Heading6Char"/>
    <w:uiPriority w:val="9"/>
    <w:semiHidden/>
    <w:unhideWhenUsed/>
    <w:qFormat/>
    <w:rsid w:val="00FF69E0"/>
    <w:pPr>
      <w:keepNext/>
      <w:keepLines/>
      <w:spacing w:before="200"/>
      <w:outlineLvl w:val="5"/>
    </w:pPr>
    <w:rPr>
      <w:rFonts w:eastAsiaTheme="majorEastAsia" w:cstheme="majorBidi"/>
      <w:i/>
      <w:iCs/>
      <w:color w:val="486A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B5FD8"/>
    <w:pPr>
      <w:jc w:val="both"/>
    </w:pPr>
    <w:rPr>
      <w:szCs w:val="20"/>
    </w:rPr>
  </w:style>
  <w:style w:type="paragraph" w:styleId="BodyText2">
    <w:name w:val="Body Text 2"/>
    <w:basedOn w:val="Normal"/>
    <w:semiHidden/>
    <w:rsid w:val="003B5FD8"/>
    <w:rPr>
      <w:b/>
      <w:szCs w:val="20"/>
    </w:rPr>
  </w:style>
  <w:style w:type="paragraph" w:styleId="Header">
    <w:name w:val="header"/>
    <w:basedOn w:val="Normal"/>
    <w:semiHidden/>
    <w:rsid w:val="003B5FD8"/>
    <w:pPr>
      <w:tabs>
        <w:tab w:val="center" w:pos="4320"/>
        <w:tab w:val="right" w:pos="8640"/>
      </w:tabs>
    </w:pPr>
    <w:rPr>
      <w:szCs w:val="20"/>
    </w:rPr>
  </w:style>
  <w:style w:type="character" w:styleId="Hyperlink">
    <w:name w:val="Hyperlink"/>
    <w:basedOn w:val="DefaultParagraphFont"/>
    <w:semiHidden/>
    <w:rsid w:val="003B5FD8"/>
    <w:rPr>
      <w:color w:val="0000FF"/>
      <w:u w:val="single"/>
    </w:rPr>
  </w:style>
  <w:style w:type="paragraph" w:styleId="Footer">
    <w:name w:val="footer"/>
    <w:basedOn w:val="Normal"/>
    <w:semiHidden/>
    <w:rsid w:val="003B5FD8"/>
    <w:pPr>
      <w:tabs>
        <w:tab w:val="center" w:pos="4320"/>
        <w:tab w:val="right" w:pos="8640"/>
      </w:tabs>
    </w:pPr>
  </w:style>
  <w:style w:type="paragraph" w:customStyle="1" w:styleId="Bullet-ItalicIndent">
    <w:name w:val="Bullet - Italic Indent"/>
    <w:basedOn w:val="Normal"/>
    <w:rsid w:val="00FF69E0"/>
    <w:pPr>
      <w:numPr>
        <w:numId w:val="38"/>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sz w:val="22"/>
    </w:rPr>
  </w:style>
  <w:style w:type="paragraph" w:customStyle="1" w:styleId="P4">
    <w:name w:val="P4"/>
    <w:basedOn w:val="Normal"/>
    <w:rsid w:val="003B5FD8"/>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sz w:val="22"/>
    </w:rPr>
  </w:style>
  <w:style w:type="paragraph" w:customStyle="1" w:styleId="ProposalText">
    <w:name w:val="Proposal Text"/>
    <w:basedOn w:val="Normal"/>
    <w:rsid w:val="003B5FD8"/>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rPr>
      <w:sz w:val="22"/>
    </w:rPr>
  </w:style>
  <w:style w:type="paragraph" w:styleId="BodyTextIndent">
    <w:name w:val="Body Text Indent"/>
    <w:basedOn w:val="Normal"/>
    <w:semiHidden/>
    <w:rsid w:val="003B5FD8"/>
    <w:pPr>
      <w:spacing w:after="120"/>
      <w:ind w:left="360"/>
    </w:pPr>
  </w:style>
  <w:style w:type="paragraph" w:styleId="Salutation">
    <w:name w:val="Salutation"/>
    <w:basedOn w:val="Normal"/>
    <w:next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jc w:val="both"/>
    </w:pPr>
    <w:rPr>
      <w:rFonts w:ascii="Times New Roman" w:hAnsi="Times New Roman"/>
      <w:sz w:val="22"/>
      <w:szCs w:val="20"/>
    </w:rPr>
  </w:style>
  <w:style w:type="paragraph" w:styleId="Closing">
    <w:name w:val="Closing"/>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InsideAddress">
    <w:name w:val="Inside Address"/>
    <w:basedOn w:val="Normal"/>
    <w:rsid w:val="00FF69E0"/>
    <w:pPr>
      <w:tabs>
        <w:tab w:val="left" w:pos="360"/>
        <w:tab w:val="left" w:pos="720"/>
        <w:tab w:val="left" w:pos="1080"/>
        <w:tab w:val="left" w:pos="1440"/>
        <w:tab w:val="left" w:pos="1800"/>
        <w:tab w:val="left" w:pos="2160"/>
        <w:tab w:val="left" w:pos="2520"/>
        <w:tab w:val="left" w:pos="2880"/>
        <w:tab w:val="left" w:pos="3240"/>
        <w:tab w:val="left" w:pos="3600"/>
      </w:tabs>
      <w:jc w:val="both"/>
    </w:pPr>
    <w:rPr>
      <w:sz w:val="22"/>
      <w:szCs w:val="20"/>
    </w:rPr>
  </w:style>
  <w:style w:type="paragraph" w:styleId="Signature">
    <w:name w:val="Signature"/>
    <w:basedOn w:val="Normal"/>
    <w:semiHidden/>
    <w:rsid w:val="003B5FD8"/>
    <w:pPr>
      <w:tabs>
        <w:tab w:val="left" w:pos="360"/>
        <w:tab w:val="left" w:pos="720"/>
        <w:tab w:val="left" w:pos="1080"/>
        <w:tab w:val="left" w:pos="1440"/>
        <w:tab w:val="left" w:pos="1800"/>
        <w:tab w:val="left" w:pos="2160"/>
        <w:tab w:val="left" w:pos="2520"/>
        <w:tab w:val="left" w:pos="2880"/>
        <w:tab w:val="left" w:pos="3240"/>
        <w:tab w:val="left" w:pos="3600"/>
      </w:tabs>
      <w:ind w:left="4320"/>
      <w:jc w:val="both"/>
    </w:pPr>
    <w:rPr>
      <w:rFonts w:ascii="Times New Roman" w:hAnsi="Times New Roman"/>
      <w:sz w:val="22"/>
      <w:szCs w:val="20"/>
    </w:rPr>
  </w:style>
  <w:style w:type="paragraph" w:customStyle="1" w:styleId="ReferenceLine">
    <w:name w:val="Reference Line"/>
    <w:basedOn w:val="BodyText"/>
    <w:rsid w:val="00FF69E0"/>
    <w:pPr>
      <w:ind w:right="-630"/>
      <w:jc w:val="left"/>
    </w:pPr>
    <w:rPr>
      <w:sz w:val="24"/>
    </w:rPr>
  </w:style>
  <w:style w:type="paragraph" w:customStyle="1" w:styleId="MemoFrame">
    <w:name w:val="Memo Frame"/>
    <w:basedOn w:val="Normal"/>
    <w:rsid w:val="00A94D41"/>
    <w:rPr>
      <w:b/>
    </w:rPr>
  </w:style>
  <w:style w:type="paragraph" w:styleId="BalloonText">
    <w:name w:val="Balloon Text"/>
    <w:basedOn w:val="Normal"/>
    <w:link w:val="BalloonTextChar"/>
    <w:uiPriority w:val="99"/>
    <w:semiHidden/>
    <w:unhideWhenUsed/>
    <w:rsid w:val="00A94D41"/>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A94D41"/>
    <w:rPr>
      <w:rFonts w:ascii="Lucida Grande" w:hAnsi="Lucida Grande" w:cs="Lucida Grande"/>
      <w:sz w:val="18"/>
      <w:szCs w:val="18"/>
    </w:rPr>
  </w:style>
  <w:style w:type="character" w:customStyle="1" w:styleId="Heading6Char">
    <w:name w:val="Heading 6 Char"/>
    <w:basedOn w:val="DefaultParagraphFont"/>
    <w:link w:val="Heading6"/>
    <w:uiPriority w:val="9"/>
    <w:semiHidden/>
    <w:rsid w:val="00FF69E0"/>
    <w:rPr>
      <w:rFonts w:ascii="Arial" w:eastAsiaTheme="majorEastAsia" w:hAnsi="Arial" w:cstheme="majorBidi"/>
      <w:i/>
      <w:iCs/>
      <w:color w:val="486A00" w:themeColor="accent1" w:themeShade="7F"/>
      <w:sz w:val="18"/>
      <w:szCs w:val="24"/>
    </w:rPr>
  </w:style>
  <w:style w:type="paragraph" w:customStyle="1" w:styleId="MemorandumHeader">
    <w:name w:val="Memorandum Header"/>
    <w:basedOn w:val="Heading5"/>
    <w:autoRedefine/>
    <w:qFormat/>
    <w:rsid w:val="00632022"/>
    <w:pPr>
      <w:spacing w:line="200" w:lineRule="exact"/>
      <w:ind w:hanging="270"/>
    </w:pPr>
    <w:rPr>
      <w:i w:val="0"/>
      <w:iCs w:val="0"/>
      <w:sz w:val="22"/>
      <w:szCs w:val="22"/>
    </w:rPr>
  </w:style>
  <w:style w:type="paragraph" w:customStyle="1" w:styleId="FooterAddress">
    <w:name w:val="Footer Address"/>
    <w:basedOn w:val="Normal"/>
    <w:autoRedefine/>
    <w:qFormat/>
    <w:rsid w:val="00632022"/>
    <w:rPr>
      <w:rFonts w:cs="Arial"/>
      <w:sz w:val="16"/>
    </w:rPr>
  </w:style>
  <w:style w:type="paragraph" w:customStyle="1" w:styleId="StyleMemoFrameLeft-018cm">
    <w:name w:val="Style Memo Frame + Left:  -0.18 cm"/>
    <w:basedOn w:val="MemoFrame"/>
    <w:rsid w:val="00632022"/>
    <w:pPr>
      <w:ind w:left="-101"/>
    </w:pPr>
    <w:rPr>
      <w:bCs/>
      <w:szCs w:val="20"/>
    </w:rPr>
  </w:style>
  <w:style w:type="paragraph" w:styleId="Caption">
    <w:name w:val="caption"/>
    <w:basedOn w:val="Normal"/>
    <w:next w:val="Normal"/>
    <w:link w:val="CaptionChar"/>
    <w:uiPriority w:val="35"/>
    <w:qFormat/>
    <w:rsid w:val="002F21D4"/>
    <w:pPr>
      <w:keepNext/>
      <w:spacing w:after="120"/>
      <w:jc w:val="center"/>
    </w:pPr>
    <w:rPr>
      <w:rFonts w:eastAsiaTheme="minorHAnsi" w:cstheme="minorBidi"/>
      <w:b/>
      <w:bCs/>
      <w:color w:val="93D500" w:themeColor="accent1"/>
      <w:szCs w:val="20"/>
    </w:rPr>
  </w:style>
  <w:style w:type="paragraph" w:styleId="FootnoteText">
    <w:name w:val="footnote text"/>
    <w:basedOn w:val="Normal"/>
    <w:link w:val="FootnoteTextChar"/>
    <w:uiPriority w:val="99"/>
    <w:rsid w:val="002F21D4"/>
    <w:pPr>
      <w:keepLines/>
    </w:pPr>
    <w:rPr>
      <w:rFonts w:eastAsiaTheme="minorHAnsi" w:cstheme="minorBidi"/>
      <w:color w:val="auto"/>
      <w:sz w:val="16"/>
      <w:szCs w:val="20"/>
    </w:rPr>
  </w:style>
  <w:style w:type="character" w:customStyle="1" w:styleId="FootnoteTextChar">
    <w:name w:val="Footnote Text Char"/>
    <w:basedOn w:val="DefaultParagraphFont"/>
    <w:link w:val="FootnoteText"/>
    <w:uiPriority w:val="99"/>
    <w:rsid w:val="002F21D4"/>
    <w:rPr>
      <w:rFonts w:ascii="Arial" w:eastAsiaTheme="minorHAnsi" w:hAnsi="Arial" w:cstheme="minorBidi"/>
      <w:sz w:val="16"/>
    </w:rPr>
  </w:style>
  <w:style w:type="character" w:styleId="FootnoteReference">
    <w:name w:val="footnote reference"/>
    <w:aliases w:val="Footnote_Reference"/>
    <w:basedOn w:val="DefaultParagraphFont"/>
    <w:uiPriority w:val="99"/>
    <w:rsid w:val="002F21D4"/>
    <w:rPr>
      <w:rFonts w:ascii="Arial" w:hAnsi="Arial"/>
      <w:color w:val="53575A" w:themeColor="text1"/>
      <w:vertAlign w:val="superscript"/>
    </w:rPr>
  </w:style>
  <w:style w:type="paragraph" w:styleId="ListParagraph">
    <w:name w:val="List Paragraph"/>
    <w:basedOn w:val="Normal"/>
    <w:link w:val="ListParagraphChar"/>
    <w:uiPriority w:val="34"/>
    <w:qFormat/>
    <w:rsid w:val="002F21D4"/>
    <w:pPr>
      <w:ind w:left="720"/>
    </w:pPr>
    <w:rPr>
      <w:rFonts w:eastAsiaTheme="minorHAnsi" w:cstheme="minorBidi"/>
      <w:color w:val="auto"/>
      <w:szCs w:val="22"/>
    </w:rPr>
  </w:style>
  <w:style w:type="table" w:customStyle="1" w:styleId="EnergyTable">
    <w:name w:val="Energy Table"/>
    <w:basedOn w:val="TableNormal"/>
    <w:uiPriority w:val="99"/>
    <w:qFormat/>
    <w:rsid w:val="002F21D4"/>
    <w:pPr>
      <w:spacing w:before="40" w:after="40"/>
      <w:jc w:val="center"/>
    </w:pPr>
    <w:rPr>
      <w:rFonts w:ascii="Arial" w:hAnsi="Arial"/>
    </w:rPr>
    <w:tblPr>
      <w:tblStyleRowBandSize w:val="1"/>
      <w:jc w:val="center"/>
      <w:tblBorders>
        <w:bottom w:val="single" w:sz="8" w:space="0" w:color="53575A" w:themeColor="text2"/>
        <w:insideH w:val="single" w:sz="4" w:space="0" w:color="DB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3D500" w:themeColor="accent1"/>
          <w:right w:val="nil"/>
          <w:insideH w:val="nil"/>
          <w:insideV w:val="nil"/>
          <w:tl2br w:val="nil"/>
          <w:tr2bl w:val="nil"/>
        </w:tcBorders>
        <w:shd w:val="clear" w:color="auto" w:fill="53575A"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customStyle="1" w:styleId="Source">
    <w:name w:val="Source"/>
    <w:basedOn w:val="Normal"/>
    <w:link w:val="SourceChar"/>
    <w:qFormat/>
    <w:rsid w:val="002F21D4"/>
    <w:rPr>
      <w:rFonts w:eastAsiaTheme="minorHAnsi" w:cstheme="minorBidi"/>
      <w:i/>
      <w:color w:val="auto"/>
      <w:sz w:val="16"/>
      <w:szCs w:val="20"/>
    </w:rPr>
  </w:style>
  <w:style w:type="character" w:customStyle="1" w:styleId="SourceChar">
    <w:name w:val="Source Char"/>
    <w:basedOn w:val="DefaultParagraphFont"/>
    <w:link w:val="Source"/>
    <w:rsid w:val="002F21D4"/>
    <w:rPr>
      <w:rFonts w:ascii="Arial" w:eastAsiaTheme="minorHAnsi" w:hAnsi="Arial" w:cstheme="minorBidi"/>
      <w:i/>
      <w:sz w:val="16"/>
    </w:rPr>
  </w:style>
  <w:style w:type="character" w:customStyle="1" w:styleId="CaptionChar">
    <w:name w:val="Caption Char"/>
    <w:basedOn w:val="DefaultParagraphFont"/>
    <w:link w:val="Caption"/>
    <w:uiPriority w:val="35"/>
    <w:rsid w:val="002F21D4"/>
    <w:rPr>
      <w:rFonts w:ascii="Arial" w:eastAsiaTheme="minorHAnsi" w:hAnsi="Arial" w:cstheme="minorBidi"/>
      <w:b/>
      <w:bCs/>
      <w:color w:val="93D500" w:themeColor="accent1"/>
    </w:rPr>
  </w:style>
  <w:style w:type="character" w:customStyle="1" w:styleId="ListParagraphChar">
    <w:name w:val="List Paragraph Char"/>
    <w:basedOn w:val="DefaultParagraphFont"/>
    <w:link w:val="ListParagraph"/>
    <w:uiPriority w:val="34"/>
    <w:locked/>
    <w:rsid w:val="002F21D4"/>
    <w:rPr>
      <w:rFonts w:ascii="Arial" w:eastAsiaTheme="minorHAnsi" w:hAnsi="Arial" w:cstheme="minorBidi"/>
      <w:szCs w:val="22"/>
    </w:rPr>
  </w:style>
  <w:style w:type="paragraph" w:customStyle="1" w:styleId="GraphFootnote">
    <w:name w:val="Graph Footnote"/>
    <w:basedOn w:val="Normal"/>
    <w:next w:val="Normal"/>
    <w:uiPriority w:val="99"/>
    <w:qFormat/>
    <w:rsid w:val="002F21D4"/>
    <w:rPr>
      <w:rFonts w:ascii="Arial Narrow" w:hAnsi="Arial Narrow" w:cstheme="minorBidi"/>
      <w:color w:val="auto"/>
    </w:rPr>
  </w:style>
  <w:style w:type="character" w:customStyle="1" w:styleId="Heading1Char">
    <w:name w:val="Heading 1 Char"/>
    <w:basedOn w:val="DefaultParagraphFont"/>
    <w:link w:val="Heading1"/>
    <w:rsid w:val="002F21D4"/>
    <w:rPr>
      <w:rFonts w:ascii="Arial" w:eastAsiaTheme="minorHAnsi" w:hAnsi="Arial" w:cs="Arial"/>
      <w:b/>
      <w:bCs/>
      <w:smallCaps/>
      <w:color w:val="93D500" w:themeColor="accent1"/>
      <w:kern w:val="28"/>
      <w:position w:val="6"/>
      <w:sz w:val="28"/>
      <w:szCs w:val="26"/>
    </w:rPr>
  </w:style>
  <w:style w:type="character" w:customStyle="1" w:styleId="Heading2Char">
    <w:name w:val="Heading 2 Char"/>
    <w:basedOn w:val="DefaultParagraphFont"/>
    <w:link w:val="Heading2"/>
    <w:uiPriority w:val="2"/>
    <w:rsid w:val="00CD6801"/>
    <w:rPr>
      <w:rFonts w:ascii="Arial" w:eastAsiaTheme="minorHAnsi" w:hAnsi="Arial" w:cs="Arial"/>
      <w:b/>
      <w:bCs/>
      <w:iCs/>
      <w:color w:val="0093C9"/>
      <w:sz w:val="26"/>
      <w:szCs w:val="28"/>
    </w:rPr>
  </w:style>
  <w:style w:type="character" w:customStyle="1" w:styleId="Heading3Char">
    <w:name w:val="Heading 3 Char"/>
    <w:basedOn w:val="DefaultParagraphFont"/>
    <w:link w:val="Heading3"/>
    <w:uiPriority w:val="2"/>
    <w:rsid w:val="00DA46FB"/>
    <w:rPr>
      <w:rFonts w:ascii="Arial" w:eastAsiaTheme="minorHAnsi" w:hAnsi="Arial" w:cs="Arial"/>
      <w:b/>
      <w:bCs/>
      <w:color w:val="863399" w:themeColor="accent5"/>
      <w:szCs w:val="26"/>
    </w:rPr>
  </w:style>
  <w:style w:type="table" w:styleId="TableGrid">
    <w:name w:val="Table Grid"/>
    <w:basedOn w:val="TableNormal"/>
    <w:uiPriority w:val="59"/>
    <w:rsid w:val="00A773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24EB"/>
    <w:rPr>
      <w:sz w:val="16"/>
      <w:szCs w:val="16"/>
    </w:rPr>
  </w:style>
  <w:style w:type="paragraph" w:styleId="CommentText">
    <w:name w:val="annotation text"/>
    <w:basedOn w:val="Normal"/>
    <w:link w:val="CommentTextChar"/>
    <w:uiPriority w:val="99"/>
    <w:semiHidden/>
    <w:unhideWhenUsed/>
    <w:rsid w:val="00E924EB"/>
    <w:rPr>
      <w:szCs w:val="20"/>
    </w:rPr>
  </w:style>
  <w:style w:type="character" w:customStyle="1" w:styleId="CommentTextChar">
    <w:name w:val="Comment Text Char"/>
    <w:basedOn w:val="DefaultParagraphFont"/>
    <w:link w:val="CommentText"/>
    <w:uiPriority w:val="99"/>
    <w:semiHidden/>
    <w:rsid w:val="00E924EB"/>
    <w:rPr>
      <w:rFonts w:ascii="Arial" w:hAnsi="Arial"/>
      <w:color w:val="000000"/>
    </w:rPr>
  </w:style>
  <w:style w:type="paragraph" w:styleId="CommentSubject">
    <w:name w:val="annotation subject"/>
    <w:basedOn w:val="CommentText"/>
    <w:next w:val="CommentText"/>
    <w:link w:val="CommentSubjectChar"/>
    <w:uiPriority w:val="99"/>
    <w:semiHidden/>
    <w:unhideWhenUsed/>
    <w:rsid w:val="00E924EB"/>
    <w:rPr>
      <w:b/>
      <w:bCs/>
    </w:rPr>
  </w:style>
  <w:style w:type="character" w:customStyle="1" w:styleId="CommentSubjectChar">
    <w:name w:val="Comment Subject Char"/>
    <w:basedOn w:val="CommentTextChar"/>
    <w:link w:val="CommentSubject"/>
    <w:uiPriority w:val="99"/>
    <w:semiHidden/>
    <w:rsid w:val="00E924EB"/>
    <w:rPr>
      <w:rFonts w:ascii="Arial" w:hAnsi="Arial"/>
      <w:b/>
      <w:bCs/>
      <w:color w:val="000000"/>
    </w:rPr>
  </w:style>
  <w:style w:type="character" w:styleId="UnresolvedMention">
    <w:name w:val="Unresolved Mention"/>
    <w:basedOn w:val="DefaultParagraphFont"/>
    <w:uiPriority w:val="99"/>
    <w:semiHidden/>
    <w:unhideWhenUsed/>
    <w:rsid w:val="00F37930"/>
    <w:rPr>
      <w:color w:val="605E5C"/>
      <w:shd w:val="clear" w:color="auto" w:fill="E1DFDD"/>
    </w:rPr>
  </w:style>
  <w:style w:type="character" w:styleId="FollowedHyperlink">
    <w:name w:val="FollowedHyperlink"/>
    <w:basedOn w:val="DefaultParagraphFont"/>
    <w:uiPriority w:val="99"/>
    <w:semiHidden/>
    <w:unhideWhenUsed/>
    <w:rsid w:val="00DA2696"/>
    <w:rPr>
      <w:color w:val="638C1C" w:themeColor="followedHyperlink"/>
      <w:u w:val="single"/>
    </w:rPr>
  </w:style>
  <w:style w:type="paragraph" w:styleId="Revision">
    <w:name w:val="Revision"/>
    <w:hidden/>
    <w:uiPriority w:val="99"/>
    <w:semiHidden/>
    <w:rsid w:val="00B52C2D"/>
    <w:rPr>
      <w:rFonts w:ascii="Arial" w:hAnsi="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72033">
      <w:bodyDiv w:val="1"/>
      <w:marLeft w:val="0"/>
      <w:marRight w:val="0"/>
      <w:marTop w:val="0"/>
      <w:marBottom w:val="0"/>
      <w:divBdr>
        <w:top w:val="none" w:sz="0" w:space="0" w:color="auto"/>
        <w:left w:val="none" w:sz="0" w:space="0" w:color="auto"/>
        <w:bottom w:val="none" w:sz="0" w:space="0" w:color="auto"/>
        <w:right w:val="none" w:sz="0" w:space="0" w:color="auto"/>
      </w:divBdr>
    </w:div>
    <w:div w:id="1339888619">
      <w:bodyDiv w:val="1"/>
      <w:marLeft w:val="0"/>
      <w:marRight w:val="0"/>
      <w:marTop w:val="0"/>
      <w:marBottom w:val="0"/>
      <w:divBdr>
        <w:top w:val="none" w:sz="0" w:space="0" w:color="auto"/>
        <w:left w:val="none" w:sz="0" w:space="0" w:color="auto"/>
        <w:bottom w:val="none" w:sz="0" w:space="0" w:color="auto"/>
        <w:right w:val="none" w:sz="0" w:space="0" w:color="auto"/>
      </w:divBdr>
    </w:div>
    <w:div w:id="187334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lsag.info/evaluation-documents/final-evaluation-repor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Navigant Color Palette_Word">
  <a:themeElements>
    <a:clrScheme name="NavigantColorPalette">
      <a:dk1>
        <a:srgbClr val="53575A"/>
      </a:dk1>
      <a:lt1>
        <a:srgbClr val="FFFFFF"/>
      </a:lt1>
      <a:dk2>
        <a:srgbClr val="53575A"/>
      </a:dk2>
      <a:lt2>
        <a:srgbClr val="FFFFFF"/>
      </a:lt2>
      <a:accent1>
        <a:srgbClr val="93D500"/>
      </a:accent1>
      <a:accent2>
        <a:srgbClr val="638C1C"/>
      </a:accent2>
      <a:accent3>
        <a:srgbClr val="53575A"/>
      </a:accent3>
      <a:accent4>
        <a:srgbClr val="095540"/>
      </a:accent4>
      <a:accent5>
        <a:srgbClr val="863399"/>
      </a:accent5>
      <a:accent6>
        <a:srgbClr val="0069A7"/>
      </a:accent6>
      <a:hlink>
        <a:srgbClr val="93D500"/>
      </a:hlink>
      <a:folHlink>
        <a:srgbClr val="638C1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99E4CC8FA0FD34A88BE0C380B684BAB" ma:contentTypeVersion="10" ma:contentTypeDescription="Create a new document." ma:contentTypeScope="" ma:versionID="f890aeb844cf6e9ce28b67625203f3af">
  <xsd:schema xmlns:xsd="http://www.w3.org/2001/XMLSchema" xmlns:xs="http://www.w3.org/2001/XMLSchema" xmlns:p="http://schemas.microsoft.com/office/2006/metadata/properties" xmlns:ns3="765227eb-2557-40de-b741-36f4bef2b5cf" targetNamespace="http://schemas.microsoft.com/office/2006/metadata/properties" ma:root="true" ma:fieldsID="db1bb154309f27afb910f7fbccc6c9bd" ns3:_="">
    <xsd:import namespace="765227eb-2557-40de-b741-36f4bef2b5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227eb-2557-40de-b741-36f4bef2b5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F7B46-84F3-41F6-BE08-2ECB3AE52E01}">
  <ds:schemaRefs>
    <ds:schemaRef ds:uri="http://schemas.openxmlformats.org/officeDocument/2006/bibliography"/>
  </ds:schemaRefs>
</ds:datastoreItem>
</file>

<file path=customXml/itemProps2.xml><?xml version="1.0" encoding="utf-8"?>
<ds:datastoreItem xmlns:ds="http://schemas.openxmlformats.org/officeDocument/2006/customXml" ds:itemID="{E27BF390-C24C-486E-A7DD-342357954B58}">
  <ds:schemaRefs>
    <ds:schemaRef ds:uri="http://schemas.microsoft.com/sharepoint/v3/contenttype/forms"/>
  </ds:schemaRefs>
</ds:datastoreItem>
</file>

<file path=customXml/itemProps3.xml><?xml version="1.0" encoding="utf-8"?>
<ds:datastoreItem xmlns:ds="http://schemas.openxmlformats.org/officeDocument/2006/customXml" ds:itemID="{EFD93F32-DCAB-437D-8022-5D5B42100F9B}">
  <ds:schemaRefs>
    <ds:schemaRef ds:uri="http://www.w3.org/XML/1998/namespace"/>
    <ds:schemaRef ds:uri="765227eb-2557-40de-b741-36f4bef2b5cf"/>
    <ds:schemaRef ds:uri="http://schemas.microsoft.com/office/2006/metadata/properties"/>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D30F4496-3680-4783-BE50-172528F42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227eb-2557-40de-b741-36f4bef2b5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2069</Words>
  <Characters>12184</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June 20, 2001</vt:lpstr>
    </vt:vector>
  </TitlesOfParts>
  <Company>VisionTrust</Company>
  <LinksUpToDate>false</LinksUpToDate>
  <CharactersWithSpaces>14225</CharactersWithSpaces>
  <SharedDoc>false</SharedDoc>
  <HLinks>
    <vt:vector size="6" baseType="variant">
      <vt:variant>
        <vt:i4>4522068</vt:i4>
      </vt:variant>
      <vt:variant>
        <vt:i4>-1</vt:i4>
      </vt:variant>
      <vt:variant>
        <vt:i4>2076</vt:i4>
      </vt:variant>
      <vt:variant>
        <vt:i4>1</vt:i4>
      </vt:variant>
      <vt:variant>
        <vt:lpwstr>M_logo_cmyk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20, 2001</dc:title>
  <dc:subject/>
  <dc:creator>Mary Thony</dc:creator>
  <cp:keywords/>
  <dc:description/>
  <cp:lastModifiedBy>Celia Johnson</cp:lastModifiedBy>
  <cp:revision>2</cp:revision>
  <cp:lastPrinted>2003-03-31T18:06:00Z</cp:lastPrinted>
  <dcterms:created xsi:type="dcterms:W3CDTF">2020-10-16T14:37:00Z</dcterms:created>
  <dcterms:modified xsi:type="dcterms:W3CDTF">2020-10-16T14:37:00Z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0x010100E99E4CC8FA0FD34A88BE0C380B684BAB</vt:lpwstr>
  </property>
  <property fmtid="{D5CDD505-2E9C-101B-9397-08002B2CF9AE}" pid="3" name="Mendeley Document_1">
    <vt:lpwstr>True</vt:lpwstr>
  </property>
  <property fmtid="{D5CDD505-2E9C-101B-9397-08002B2CF9AE}" pid="4" name="Mendeley Unique User Id_1">
    <vt:lpwstr>ac20e724-a70d-3b6b-aac2-d4fec9331798</vt:lpwstr>
  </property>
</Properties>
</file>