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Illinois EE Stakeholder Advisory Group</w:t>
      </w:r>
    </w:p>
    <w:p w14:paraId="4023C563" w14:textId="1BF2C5BA" w:rsid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Fuel Conversion Working Group</w:t>
      </w:r>
    </w:p>
    <w:p w14:paraId="4B983EDF" w14:textId="237709D1" w:rsidR="00D572A6" w:rsidRPr="00C3693B" w:rsidRDefault="00D572A6" w:rsidP="00C369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Policy Questions </w:t>
      </w:r>
      <w:r w:rsidR="00B04474">
        <w:rPr>
          <w:rFonts w:ascii="Times New Roman" w:hAnsi="Times New Roman" w:cs="Times New Roman"/>
          <w:b/>
          <w:sz w:val="28"/>
          <w:szCs w:val="28"/>
        </w:rPr>
        <w:t>– Request for Responses</w:t>
      </w:r>
      <w:r>
        <w:rPr>
          <w:rFonts w:ascii="Times New Roman" w:hAnsi="Times New Roman" w:cs="Times New Roman"/>
          <w:b/>
          <w:sz w:val="28"/>
          <w:szCs w:val="28"/>
        </w:rPr>
        <w:t xml:space="preserve"> (</w:t>
      </w:r>
      <w:r w:rsidR="00B04474">
        <w:rPr>
          <w:rFonts w:ascii="Times New Roman" w:hAnsi="Times New Roman" w:cs="Times New Roman"/>
          <w:b/>
          <w:sz w:val="28"/>
          <w:szCs w:val="28"/>
        </w:rPr>
        <w:t>3/23/2021</w:t>
      </w:r>
      <w:r>
        <w:rPr>
          <w:rFonts w:ascii="Times New Roman" w:hAnsi="Times New Roman" w:cs="Times New Roman"/>
          <w:b/>
          <w:sz w:val="28"/>
          <w:szCs w:val="28"/>
        </w:rPr>
        <w:t>)</w:t>
      </w:r>
    </w:p>
    <w:p w14:paraId="3BBBE52A" w14:textId="38D7AF12" w:rsidR="00C3693B" w:rsidRDefault="00C3693B" w:rsidP="00D66F07">
      <w:pPr>
        <w:spacing w:after="0" w:line="240" w:lineRule="auto"/>
        <w:rPr>
          <w:rFonts w:ascii="Times New Roman" w:hAnsi="Times New Roman" w:cs="Times New Roman"/>
          <w:b/>
          <w:bCs/>
        </w:rPr>
      </w:pPr>
    </w:p>
    <w:p w14:paraId="01F90528" w14:textId="77777777" w:rsidR="006E3416" w:rsidRDefault="006E3416" w:rsidP="006E3416">
      <w:pPr>
        <w:spacing w:after="0" w:line="240" w:lineRule="auto"/>
        <w:rPr>
          <w:rFonts w:ascii="Times New Roman" w:hAnsi="Times New Roman" w:cs="Times New Roman"/>
          <w:b/>
          <w:bCs/>
          <w:sz w:val="24"/>
          <w:szCs w:val="24"/>
        </w:rPr>
      </w:pPr>
      <w:r w:rsidRPr="006E3416">
        <w:rPr>
          <w:rFonts w:ascii="Times New Roman" w:hAnsi="Times New Roman" w:cs="Times New Roman"/>
          <w:b/>
          <w:bCs/>
          <w:sz w:val="24"/>
          <w:szCs w:val="24"/>
        </w:rPr>
        <w:t>Instructions for Responding</w:t>
      </w:r>
      <w:r w:rsidR="00073CE7" w:rsidRPr="006E3416">
        <w:rPr>
          <w:rFonts w:ascii="Times New Roman" w:hAnsi="Times New Roman" w:cs="Times New Roman"/>
          <w:b/>
          <w:bCs/>
          <w:sz w:val="24"/>
          <w:szCs w:val="24"/>
        </w:rPr>
        <w:t xml:space="preserve"> to Policy Questions</w:t>
      </w:r>
      <w:r w:rsidR="004D0F2F" w:rsidRPr="006E3416">
        <w:rPr>
          <w:rFonts w:ascii="Times New Roman" w:hAnsi="Times New Roman" w:cs="Times New Roman"/>
          <w:b/>
          <w:bCs/>
          <w:sz w:val="24"/>
          <w:szCs w:val="24"/>
        </w:rPr>
        <w:t>:</w:t>
      </w:r>
    </w:p>
    <w:p w14:paraId="0050357B" w14:textId="4E644C25" w:rsidR="00D455C9" w:rsidRPr="006E3416" w:rsidRDefault="00510A7B" w:rsidP="006E3416">
      <w:pPr>
        <w:pStyle w:val="ListParagraph"/>
        <w:numPr>
          <w:ilvl w:val="0"/>
          <w:numId w:val="3"/>
        </w:numPr>
        <w:spacing w:after="0" w:line="240" w:lineRule="auto"/>
        <w:rPr>
          <w:rFonts w:ascii="Times New Roman" w:hAnsi="Times New Roman" w:cs="Times New Roman"/>
          <w:b/>
          <w:bCs/>
          <w:sz w:val="24"/>
          <w:szCs w:val="24"/>
        </w:rPr>
      </w:pPr>
      <w:r w:rsidRPr="006E3416">
        <w:rPr>
          <w:rFonts w:ascii="Times New Roman" w:eastAsia="Times New Roman" w:hAnsi="Times New Roman" w:cs="Times New Roman"/>
          <w:sz w:val="24"/>
          <w:szCs w:val="24"/>
        </w:rPr>
        <w:t>I</w:t>
      </w:r>
      <w:r w:rsidR="00D455C9" w:rsidRPr="006E3416">
        <w:rPr>
          <w:rFonts w:ascii="Times New Roman" w:eastAsia="Times New Roman" w:hAnsi="Times New Roman" w:cs="Times New Roman"/>
          <w:sz w:val="24"/>
          <w:szCs w:val="24"/>
        </w:rPr>
        <w:t xml:space="preserve">nterested parties are requested to respond to </w:t>
      </w:r>
      <w:r w:rsidRPr="006E3416">
        <w:rPr>
          <w:rFonts w:ascii="Times New Roman" w:eastAsia="Times New Roman" w:hAnsi="Times New Roman" w:cs="Times New Roman"/>
          <w:sz w:val="24"/>
          <w:szCs w:val="24"/>
        </w:rPr>
        <w:t xml:space="preserve">policy </w:t>
      </w:r>
      <w:r w:rsidR="00D455C9" w:rsidRPr="006E3416">
        <w:rPr>
          <w:rFonts w:ascii="Times New Roman" w:eastAsia="Times New Roman" w:hAnsi="Times New Roman" w:cs="Times New Roman"/>
          <w:sz w:val="24"/>
          <w:szCs w:val="24"/>
        </w:rPr>
        <w:t xml:space="preserve">questions </w:t>
      </w:r>
      <w:r w:rsidR="00DC7A71" w:rsidRPr="006E3416">
        <w:rPr>
          <w:rFonts w:ascii="Times New Roman" w:eastAsia="Times New Roman" w:hAnsi="Times New Roman" w:cs="Times New Roman"/>
          <w:sz w:val="24"/>
          <w:szCs w:val="24"/>
        </w:rPr>
        <w:t>no later than</w:t>
      </w:r>
      <w:r w:rsidR="00D455C9" w:rsidRPr="006E3416">
        <w:rPr>
          <w:rFonts w:ascii="Times New Roman" w:eastAsia="Times New Roman" w:hAnsi="Times New Roman" w:cs="Times New Roman"/>
          <w:sz w:val="24"/>
          <w:szCs w:val="24"/>
        </w:rPr>
        <w:t xml:space="preserve"> </w:t>
      </w:r>
      <w:r w:rsidR="00D455C9" w:rsidRPr="006E3416">
        <w:rPr>
          <w:rFonts w:ascii="Times New Roman" w:eastAsia="Times New Roman" w:hAnsi="Times New Roman" w:cs="Times New Roman"/>
          <w:b/>
          <w:bCs/>
          <w:sz w:val="24"/>
          <w:szCs w:val="24"/>
          <w:u w:val="single"/>
        </w:rPr>
        <w:t>Monday, April 19</w:t>
      </w:r>
      <w:r w:rsidRPr="006E3416">
        <w:rPr>
          <w:rFonts w:ascii="Times New Roman" w:eastAsia="Times New Roman" w:hAnsi="Times New Roman" w:cs="Times New Roman"/>
          <w:b/>
          <w:bCs/>
          <w:sz w:val="24"/>
          <w:szCs w:val="24"/>
        </w:rPr>
        <w:t xml:space="preserve"> – </w:t>
      </w:r>
      <w:r w:rsidRPr="006E3416">
        <w:rPr>
          <w:rFonts w:ascii="Times New Roman" w:eastAsia="Times New Roman" w:hAnsi="Times New Roman" w:cs="Times New Roman"/>
          <w:sz w:val="24"/>
          <w:szCs w:val="24"/>
        </w:rPr>
        <w:t xml:space="preserve">send responses to </w:t>
      </w:r>
      <w:hyperlink r:id="rId7" w:history="1">
        <w:r w:rsidRPr="006E3416">
          <w:rPr>
            <w:rStyle w:val="Hyperlink"/>
            <w:rFonts w:ascii="Times New Roman" w:eastAsia="Times New Roman" w:hAnsi="Times New Roman" w:cs="Times New Roman"/>
            <w:sz w:val="24"/>
            <w:szCs w:val="24"/>
            <w:u w:val="none"/>
          </w:rPr>
          <w:t>Celia@CeliaJohnsonConsulting.com</w:t>
        </w:r>
      </w:hyperlink>
      <w:r w:rsidR="00F00400" w:rsidRPr="006E3416">
        <w:rPr>
          <w:rFonts w:ascii="Times New Roman" w:eastAsia="Times New Roman" w:hAnsi="Times New Roman" w:cs="Times New Roman"/>
          <w:sz w:val="24"/>
          <w:szCs w:val="24"/>
        </w:rPr>
        <w:t>.</w:t>
      </w:r>
      <w:r w:rsidRPr="006E3416">
        <w:rPr>
          <w:rFonts w:ascii="Times New Roman" w:eastAsia="Times New Roman" w:hAnsi="Times New Roman" w:cs="Times New Roman"/>
          <w:sz w:val="24"/>
          <w:szCs w:val="24"/>
        </w:rPr>
        <w:t xml:space="preserve"> </w:t>
      </w:r>
      <w:r w:rsidR="006E3416" w:rsidRPr="006E3416">
        <w:rPr>
          <w:rFonts w:ascii="Times New Roman" w:eastAsia="Times New Roman" w:hAnsi="Times New Roman" w:cs="Times New Roman"/>
          <w:sz w:val="24"/>
          <w:szCs w:val="24"/>
        </w:rPr>
        <w:t xml:space="preserve"> </w:t>
      </w:r>
    </w:p>
    <w:p w14:paraId="16AF7604" w14:textId="399C6F47" w:rsidR="00F00400" w:rsidRPr="006E3416" w:rsidRDefault="006E3416" w:rsidP="00D455C9">
      <w:pPr>
        <w:pStyle w:val="ListParagraph"/>
        <w:numPr>
          <w:ilvl w:val="0"/>
          <w:numId w:val="3"/>
        </w:numPr>
        <w:spacing w:after="0" w:line="240" w:lineRule="auto"/>
        <w:rPr>
          <w:rFonts w:ascii="Times New Roman" w:eastAsia="Times New Roman" w:hAnsi="Times New Roman" w:cs="Times New Roman"/>
          <w:sz w:val="24"/>
          <w:szCs w:val="24"/>
        </w:rPr>
      </w:pPr>
      <w:r w:rsidRPr="006E3416">
        <w:rPr>
          <w:rFonts w:ascii="Times New Roman" w:eastAsia="Times New Roman" w:hAnsi="Times New Roman" w:cs="Times New Roman"/>
          <w:sz w:val="24"/>
          <w:szCs w:val="24"/>
        </w:rPr>
        <w:t xml:space="preserve">Please provide responses </w:t>
      </w:r>
      <w:r w:rsidRPr="006E3416">
        <w:rPr>
          <w:rFonts w:ascii="Times New Roman" w:eastAsia="Times New Roman" w:hAnsi="Times New Roman" w:cs="Times New Roman"/>
          <w:i/>
          <w:iCs/>
          <w:sz w:val="24"/>
          <w:szCs w:val="24"/>
          <w:u w:val="single"/>
        </w:rPr>
        <w:t>within this Word document</w:t>
      </w:r>
      <w:r w:rsidRPr="006E3416">
        <w:rPr>
          <w:rFonts w:ascii="Times New Roman" w:eastAsia="Times New Roman" w:hAnsi="Times New Roman" w:cs="Times New Roman"/>
          <w:sz w:val="24"/>
          <w:szCs w:val="24"/>
        </w:rPr>
        <w:t>.</w:t>
      </w:r>
    </w:p>
    <w:p w14:paraId="4505604F" w14:textId="26361DE4" w:rsidR="0099261B" w:rsidRDefault="00252909" w:rsidP="00D455C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99261B" w:rsidRPr="006E3416">
        <w:rPr>
          <w:rFonts w:ascii="Times New Roman" w:eastAsia="Times New Roman" w:hAnsi="Times New Roman" w:cs="Times New Roman"/>
          <w:sz w:val="24"/>
          <w:szCs w:val="24"/>
        </w:rPr>
        <w:t>SAG Facilitator will organize</w:t>
      </w:r>
      <w:r w:rsidR="00B06525" w:rsidRPr="006E3416">
        <w:rPr>
          <w:rFonts w:ascii="Times New Roman" w:eastAsia="Times New Roman" w:hAnsi="Times New Roman" w:cs="Times New Roman"/>
          <w:sz w:val="24"/>
          <w:szCs w:val="24"/>
        </w:rPr>
        <w:t xml:space="preserve"> responses to questions </w:t>
      </w:r>
      <w:r w:rsidR="00A82933" w:rsidRPr="006E3416">
        <w:rPr>
          <w:rFonts w:ascii="Times New Roman" w:eastAsia="Times New Roman" w:hAnsi="Times New Roman" w:cs="Times New Roman"/>
          <w:sz w:val="24"/>
          <w:szCs w:val="24"/>
        </w:rPr>
        <w:t xml:space="preserve">and circulate </w:t>
      </w:r>
      <w:r w:rsidR="00603927" w:rsidRPr="006E3416">
        <w:rPr>
          <w:rFonts w:ascii="Times New Roman" w:eastAsia="Times New Roman" w:hAnsi="Times New Roman" w:cs="Times New Roman"/>
          <w:sz w:val="24"/>
          <w:szCs w:val="24"/>
        </w:rPr>
        <w:t>in advance of</w:t>
      </w:r>
      <w:r w:rsidR="00B06525" w:rsidRPr="006E3416">
        <w:rPr>
          <w:rFonts w:ascii="Times New Roman" w:eastAsia="Times New Roman" w:hAnsi="Times New Roman" w:cs="Times New Roman"/>
          <w:sz w:val="24"/>
          <w:szCs w:val="24"/>
        </w:rPr>
        <w:t xml:space="preserve"> Meeting #2</w:t>
      </w:r>
      <w:r w:rsidR="00510A7B" w:rsidRPr="006E3416">
        <w:rPr>
          <w:rFonts w:ascii="Times New Roman" w:eastAsia="Times New Roman" w:hAnsi="Times New Roman" w:cs="Times New Roman"/>
          <w:sz w:val="24"/>
          <w:szCs w:val="24"/>
        </w:rPr>
        <w:t>, scheduled on Monday, April 26</w:t>
      </w:r>
      <w:r w:rsidR="006E3416">
        <w:rPr>
          <w:rFonts w:ascii="Times New Roman" w:eastAsia="Times New Roman" w:hAnsi="Times New Roman" w:cs="Times New Roman"/>
          <w:sz w:val="24"/>
          <w:szCs w:val="24"/>
        </w:rPr>
        <w:t>.</w:t>
      </w:r>
    </w:p>
    <w:p w14:paraId="05257518" w14:textId="5AD99B48" w:rsidR="00386B31" w:rsidRDefault="00386B31" w:rsidP="00386B31">
      <w:pPr>
        <w:spacing w:after="0" w:line="240" w:lineRule="auto"/>
        <w:rPr>
          <w:rFonts w:ascii="Times New Roman" w:eastAsia="Times New Roman" w:hAnsi="Times New Roman" w:cs="Times New Roman"/>
          <w:sz w:val="24"/>
          <w:szCs w:val="24"/>
        </w:rPr>
      </w:pPr>
    </w:p>
    <w:p w14:paraId="692702A7" w14:textId="28820F27" w:rsidR="00386B31" w:rsidRPr="00E66EC2" w:rsidRDefault="00386B31" w:rsidP="00386B31">
      <w:pPr>
        <w:spacing w:after="0" w:line="240" w:lineRule="auto"/>
        <w:rPr>
          <w:rFonts w:ascii="Times New Roman" w:eastAsia="Times New Roman" w:hAnsi="Times New Roman" w:cs="Times New Roman"/>
          <w:b/>
          <w:bCs/>
          <w:color w:val="0070C0"/>
          <w:sz w:val="24"/>
          <w:szCs w:val="24"/>
        </w:rPr>
      </w:pPr>
      <w:r w:rsidRPr="00E66EC2">
        <w:rPr>
          <w:rFonts w:ascii="Times New Roman" w:eastAsia="Times New Roman" w:hAnsi="Times New Roman" w:cs="Times New Roman"/>
          <w:b/>
          <w:bCs/>
          <w:color w:val="0070C0"/>
          <w:sz w:val="24"/>
          <w:szCs w:val="24"/>
        </w:rPr>
        <w:t>Introduction:</w:t>
      </w:r>
    </w:p>
    <w:p w14:paraId="208C1F64" w14:textId="3A9CF919" w:rsidR="00386B31" w:rsidRPr="00E66EC2" w:rsidRDefault="00386B31" w:rsidP="00386B31">
      <w:pPr>
        <w:spacing w:after="0" w:line="240" w:lineRule="auto"/>
        <w:rPr>
          <w:rFonts w:ascii="Times New Roman" w:eastAsia="Times New Roman" w:hAnsi="Times New Roman" w:cs="Times New Roman"/>
          <w:color w:val="0070C0"/>
          <w:sz w:val="24"/>
          <w:szCs w:val="24"/>
        </w:rPr>
      </w:pPr>
    </w:p>
    <w:p w14:paraId="330D0FA5" w14:textId="53FDDDD7" w:rsidR="00386B31" w:rsidRPr="00E66EC2" w:rsidRDefault="0068046C" w:rsidP="0068046C">
      <w:pPr>
        <w:spacing w:after="0" w:line="240" w:lineRule="auto"/>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Before responding to the specific questions, we thought it would be helpful to provide context on definitions, legislative history</w:t>
      </w:r>
      <w:r w:rsidR="008A40E6" w:rsidRPr="00E66EC2">
        <w:rPr>
          <w:rFonts w:ascii="Times New Roman" w:eastAsia="Times New Roman" w:hAnsi="Times New Roman" w:cs="Times New Roman"/>
          <w:color w:val="0070C0"/>
          <w:sz w:val="24"/>
          <w:szCs w:val="24"/>
        </w:rPr>
        <w:t>, and legislative/policy language</w:t>
      </w:r>
      <w:r w:rsidR="00BE7F03" w:rsidRPr="00E66EC2">
        <w:rPr>
          <w:rFonts w:ascii="Times New Roman" w:eastAsia="Times New Roman" w:hAnsi="Times New Roman" w:cs="Times New Roman"/>
          <w:color w:val="0070C0"/>
          <w:sz w:val="24"/>
          <w:szCs w:val="24"/>
        </w:rPr>
        <w:t>.</w:t>
      </w:r>
    </w:p>
    <w:p w14:paraId="2B76D499" w14:textId="77777777" w:rsidR="0068046C" w:rsidRPr="00E66EC2" w:rsidRDefault="0068046C" w:rsidP="0068046C">
      <w:pPr>
        <w:spacing w:after="0" w:line="240" w:lineRule="auto"/>
        <w:rPr>
          <w:rFonts w:ascii="Times New Roman" w:eastAsia="Times New Roman" w:hAnsi="Times New Roman" w:cs="Times New Roman"/>
          <w:color w:val="0070C0"/>
          <w:sz w:val="24"/>
          <w:szCs w:val="24"/>
        </w:rPr>
      </w:pPr>
    </w:p>
    <w:p w14:paraId="013B487A" w14:textId="13B6E8EF" w:rsidR="0068046C" w:rsidRPr="00E66EC2" w:rsidRDefault="00C538CD" w:rsidP="0068046C">
      <w:pPr>
        <w:pStyle w:val="ListParagraph"/>
        <w:numPr>
          <w:ilvl w:val="0"/>
          <w:numId w:val="9"/>
        </w:numPr>
        <w:spacing w:after="0" w:line="240" w:lineRule="auto"/>
        <w:rPr>
          <w:rFonts w:ascii="Times New Roman" w:eastAsia="Times New Roman" w:hAnsi="Times New Roman" w:cs="Times New Roman"/>
          <w:b/>
          <w:bCs/>
          <w:color w:val="0070C0"/>
          <w:sz w:val="24"/>
          <w:szCs w:val="24"/>
          <w:u w:val="single"/>
        </w:rPr>
      </w:pPr>
      <w:r w:rsidRPr="00E66EC2">
        <w:rPr>
          <w:rFonts w:ascii="Times New Roman" w:eastAsia="Times New Roman" w:hAnsi="Times New Roman" w:cs="Times New Roman"/>
          <w:b/>
          <w:bCs/>
          <w:color w:val="0070C0"/>
          <w:sz w:val="24"/>
          <w:szCs w:val="24"/>
          <w:u w:val="single"/>
        </w:rPr>
        <w:t>Terms</w:t>
      </w:r>
    </w:p>
    <w:p w14:paraId="3370E481" w14:textId="4D347638" w:rsidR="0068046C" w:rsidRPr="00E66EC2" w:rsidRDefault="0068046C" w:rsidP="0068046C">
      <w:pPr>
        <w:pStyle w:val="ListParagraph"/>
        <w:numPr>
          <w:ilvl w:val="1"/>
          <w:numId w:val="9"/>
        </w:numPr>
        <w:spacing w:after="0" w:line="240" w:lineRule="auto"/>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 xml:space="preserve">These are also covered below in Question 4, but, since our responses to Questions 1 through 3 reference these terms, we </w:t>
      </w:r>
      <w:r w:rsidR="00BA14C7" w:rsidRPr="00E66EC2">
        <w:rPr>
          <w:rFonts w:ascii="Times New Roman" w:eastAsia="Times New Roman" w:hAnsi="Times New Roman" w:cs="Times New Roman"/>
          <w:color w:val="0070C0"/>
          <w:sz w:val="24"/>
          <w:szCs w:val="24"/>
        </w:rPr>
        <w:t xml:space="preserve">also </w:t>
      </w:r>
      <w:r w:rsidRPr="00E66EC2">
        <w:rPr>
          <w:rFonts w:ascii="Times New Roman" w:eastAsia="Times New Roman" w:hAnsi="Times New Roman" w:cs="Times New Roman"/>
          <w:color w:val="0070C0"/>
          <w:sz w:val="24"/>
          <w:szCs w:val="24"/>
        </w:rPr>
        <w:t>define them here in the introduction.</w:t>
      </w:r>
    </w:p>
    <w:p w14:paraId="5DF059E0" w14:textId="77777777" w:rsidR="0068046C" w:rsidRPr="00E66EC2" w:rsidRDefault="0068046C" w:rsidP="0068046C">
      <w:pPr>
        <w:pStyle w:val="ListParagraph"/>
        <w:spacing w:after="0" w:line="240" w:lineRule="auto"/>
        <w:ind w:left="1440"/>
        <w:rPr>
          <w:rFonts w:ascii="Times New Roman" w:hAnsi="Times New Roman" w:cs="Times New Roman"/>
          <w:color w:val="0070C0"/>
          <w:sz w:val="24"/>
          <w:szCs w:val="24"/>
        </w:rPr>
      </w:pPr>
    </w:p>
    <w:p w14:paraId="5264DDD2" w14:textId="1BEBF59C" w:rsidR="0068046C" w:rsidRPr="00E66EC2" w:rsidRDefault="00C538CD" w:rsidP="0068046C">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For the purpose of this working group, we define</w:t>
      </w:r>
      <w:r w:rsidRPr="00E66EC2">
        <w:rPr>
          <w:rFonts w:ascii="Times New Roman" w:hAnsi="Times New Roman" w:cs="Times New Roman"/>
          <w:b/>
          <w:bCs/>
          <w:i/>
          <w:iCs/>
          <w:color w:val="0070C0"/>
          <w:sz w:val="24"/>
          <w:szCs w:val="24"/>
        </w:rPr>
        <w:t xml:space="preserve"> e</w:t>
      </w:r>
      <w:r w:rsidR="0068046C" w:rsidRPr="00E66EC2">
        <w:rPr>
          <w:rFonts w:ascii="Times New Roman" w:hAnsi="Times New Roman" w:cs="Times New Roman"/>
          <w:b/>
          <w:bCs/>
          <w:i/>
          <w:iCs/>
          <w:color w:val="0070C0"/>
          <w:sz w:val="24"/>
          <w:szCs w:val="24"/>
        </w:rPr>
        <w:t>nergy conservation</w:t>
      </w:r>
      <w:r w:rsidR="0068046C" w:rsidRPr="00E66EC2">
        <w:rPr>
          <w:rFonts w:ascii="Times New Roman" w:hAnsi="Times New Roman" w:cs="Times New Roman"/>
          <w:color w:val="0070C0"/>
          <w:sz w:val="24"/>
          <w:szCs w:val="24"/>
        </w:rPr>
        <w:t xml:space="preserve"> </w:t>
      </w:r>
      <w:r w:rsidRPr="00E66EC2">
        <w:rPr>
          <w:rFonts w:ascii="Times New Roman" w:hAnsi="Times New Roman" w:cs="Times New Roman"/>
          <w:color w:val="0070C0"/>
          <w:sz w:val="24"/>
          <w:szCs w:val="24"/>
        </w:rPr>
        <w:t xml:space="preserve">as </w:t>
      </w:r>
      <w:r w:rsidR="0068046C" w:rsidRPr="00E66EC2">
        <w:rPr>
          <w:rFonts w:ascii="Times New Roman" w:hAnsi="Times New Roman" w:cs="Times New Roman"/>
          <w:color w:val="0070C0"/>
          <w:sz w:val="24"/>
          <w:szCs w:val="24"/>
        </w:rPr>
        <w:t xml:space="preserve">measures </w:t>
      </w:r>
      <w:r w:rsidR="00DA21EB" w:rsidRPr="00E66EC2">
        <w:rPr>
          <w:rFonts w:ascii="Times New Roman" w:hAnsi="Times New Roman" w:cs="Times New Roman"/>
          <w:color w:val="0070C0"/>
          <w:sz w:val="24"/>
          <w:szCs w:val="24"/>
        </w:rPr>
        <w:t xml:space="preserve">that </w:t>
      </w:r>
      <w:r w:rsidR="0068046C" w:rsidRPr="00E66EC2">
        <w:rPr>
          <w:rFonts w:ascii="Times New Roman" w:hAnsi="Times New Roman" w:cs="Times New Roman"/>
          <w:color w:val="0070C0"/>
          <w:sz w:val="24"/>
          <w:szCs w:val="24"/>
        </w:rPr>
        <w:t>save energy without replacing the end use fuel. Energy conservation measures include two subtypes:</w:t>
      </w:r>
    </w:p>
    <w:p w14:paraId="029EA732" w14:textId="77777777" w:rsidR="0068046C" w:rsidRPr="00E66EC2" w:rsidRDefault="0068046C" w:rsidP="0068046C">
      <w:pPr>
        <w:pStyle w:val="ListParagraph"/>
        <w:numPr>
          <w:ilvl w:val="0"/>
          <w:numId w:val="5"/>
        </w:numPr>
        <w:spacing w:after="0" w:line="240" w:lineRule="auto"/>
        <w:rPr>
          <w:rFonts w:ascii="Times New Roman" w:hAnsi="Times New Roman" w:cs="Times New Roman"/>
          <w:color w:val="0070C0"/>
          <w:sz w:val="24"/>
          <w:szCs w:val="24"/>
        </w:rPr>
      </w:pPr>
      <w:r w:rsidRPr="00E66EC2">
        <w:rPr>
          <w:rFonts w:ascii="Times New Roman" w:hAnsi="Times New Roman" w:cs="Times New Roman"/>
          <w:color w:val="0070C0"/>
          <w:sz w:val="24"/>
          <w:szCs w:val="24"/>
        </w:rPr>
        <w:t>Own-fuel energy conservation measures save the energy delivered by the utility delivering the measure.</w:t>
      </w:r>
    </w:p>
    <w:p w14:paraId="1B80DDD7" w14:textId="54C7E540" w:rsidR="0068046C" w:rsidRPr="00E66EC2" w:rsidRDefault="0068046C" w:rsidP="0068046C">
      <w:pPr>
        <w:pStyle w:val="ListParagraph"/>
        <w:numPr>
          <w:ilvl w:val="0"/>
          <w:numId w:val="5"/>
        </w:numPr>
        <w:spacing w:after="0" w:line="240" w:lineRule="auto"/>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Cross-fuel energy conservation measures save energy for a different fuel than the one delivered by the utility delivering the measure. </w:t>
      </w:r>
    </w:p>
    <w:p w14:paraId="09AA776E" w14:textId="1366D320" w:rsidR="00C538CD" w:rsidRPr="00E66EC2" w:rsidRDefault="00C538CD" w:rsidP="00C538CD">
      <w:pPr>
        <w:spacing w:after="0" w:line="240" w:lineRule="auto"/>
        <w:rPr>
          <w:rFonts w:ascii="Times New Roman" w:hAnsi="Times New Roman" w:cs="Times New Roman"/>
          <w:color w:val="0070C0"/>
          <w:sz w:val="24"/>
          <w:szCs w:val="24"/>
        </w:rPr>
      </w:pPr>
    </w:p>
    <w:p w14:paraId="6ABE2FB0" w14:textId="036710C7" w:rsidR="00C538CD" w:rsidRPr="00E66EC2" w:rsidRDefault="00C538CD" w:rsidP="00C538CD">
      <w:pPr>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(Note that USDOE defines energy conservation as “the decision and practice of using less energy”, as opposed to savings that come from the use of more efficient equipment to deliver the same amount of end use energy.)</w:t>
      </w:r>
    </w:p>
    <w:p w14:paraId="2E905001" w14:textId="09670C7A" w:rsidR="0068046C" w:rsidRPr="00E66EC2" w:rsidRDefault="0068046C" w:rsidP="0068046C">
      <w:pPr>
        <w:spacing w:after="0" w:line="240" w:lineRule="auto"/>
        <w:rPr>
          <w:rFonts w:ascii="Times New Roman" w:hAnsi="Times New Roman" w:cs="Times New Roman"/>
          <w:color w:val="0070C0"/>
          <w:sz w:val="24"/>
          <w:szCs w:val="24"/>
        </w:rPr>
      </w:pPr>
    </w:p>
    <w:p w14:paraId="51564BCF" w14:textId="1B3B80C6" w:rsidR="0068046C" w:rsidRPr="00E66EC2" w:rsidRDefault="0068046C" w:rsidP="0068046C">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b/>
          <w:bCs/>
          <w:i/>
          <w:iCs/>
          <w:color w:val="0070C0"/>
          <w:sz w:val="24"/>
          <w:szCs w:val="24"/>
        </w:rPr>
        <w:t>Fuel switching</w:t>
      </w:r>
      <w:r w:rsidRPr="00E66EC2">
        <w:rPr>
          <w:rFonts w:ascii="Times New Roman" w:hAnsi="Times New Roman" w:cs="Times New Roman"/>
          <w:color w:val="0070C0"/>
          <w:sz w:val="24"/>
          <w:szCs w:val="24"/>
        </w:rPr>
        <w:t xml:space="preserve"> measures </w:t>
      </w:r>
      <w:r w:rsidR="00C538CD" w:rsidRPr="00E66EC2">
        <w:rPr>
          <w:rFonts w:ascii="Times New Roman" w:hAnsi="Times New Roman" w:cs="Times New Roman"/>
          <w:color w:val="0070C0"/>
          <w:sz w:val="24"/>
          <w:szCs w:val="24"/>
        </w:rPr>
        <w:t xml:space="preserve">replace an </w:t>
      </w:r>
      <w:r w:rsidRPr="00E66EC2">
        <w:rPr>
          <w:rFonts w:ascii="Times New Roman" w:hAnsi="Times New Roman" w:cs="Times New Roman"/>
          <w:color w:val="0070C0"/>
          <w:sz w:val="24"/>
          <w:szCs w:val="24"/>
        </w:rPr>
        <w:t>end use fuel with a different fuel. Fuel switching can be from the utility’s own fuel to another fuel, or from another fuel to the utility’s fuel.</w:t>
      </w:r>
      <w:r w:rsidR="00C538CD" w:rsidRPr="00E66EC2">
        <w:rPr>
          <w:rFonts w:ascii="Times New Roman" w:hAnsi="Times New Roman" w:cs="Times New Roman"/>
          <w:color w:val="0070C0"/>
          <w:sz w:val="24"/>
          <w:szCs w:val="24"/>
        </w:rPr>
        <w:t xml:space="preserve"> Fuel switching may increase or decrease source energy use.</w:t>
      </w:r>
    </w:p>
    <w:p w14:paraId="5AF4C703" w14:textId="5EB0C4DB" w:rsidR="0068046C" w:rsidRPr="00E66EC2" w:rsidRDefault="0068046C" w:rsidP="0068046C">
      <w:pPr>
        <w:pStyle w:val="ListParagraph"/>
        <w:spacing w:after="0" w:line="240" w:lineRule="auto"/>
        <w:ind w:left="1440"/>
        <w:rPr>
          <w:rFonts w:ascii="Times New Roman" w:hAnsi="Times New Roman" w:cs="Times New Roman"/>
          <w:color w:val="0070C0"/>
          <w:sz w:val="24"/>
          <w:szCs w:val="24"/>
        </w:rPr>
      </w:pPr>
    </w:p>
    <w:p w14:paraId="0692C728" w14:textId="2D56C77E" w:rsidR="0068046C" w:rsidRPr="00E66EC2" w:rsidRDefault="0068046C" w:rsidP="0068046C">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Table 1 outlines the key terms used throughout our responses. Table 1 also outlines the statutory language and current TRM policies relevant to each type of energy efficiency measure.</w:t>
      </w:r>
    </w:p>
    <w:p w14:paraId="493D83F3" w14:textId="6BF02FE8" w:rsidR="0068046C" w:rsidRDefault="0068046C" w:rsidP="0068046C">
      <w:pPr>
        <w:pStyle w:val="ListParagraph"/>
        <w:spacing w:after="0" w:line="240" w:lineRule="auto"/>
        <w:ind w:left="1440"/>
        <w:rPr>
          <w:rFonts w:ascii="Times New Roman" w:hAnsi="Times New Roman" w:cs="Times New Roman"/>
          <w:color w:val="00B050"/>
          <w:sz w:val="24"/>
          <w:szCs w:val="24"/>
        </w:rPr>
      </w:pPr>
    </w:p>
    <w:p w14:paraId="786ADA8D" w14:textId="77777777" w:rsidR="00C33CA8" w:rsidRDefault="00C33CA8" w:rsidP="0068046C">
      <w:pPr>
        <w:pStyle w:val="ListParagraph"/>
        <w:spacing w:after="0" w:line="240" w:lineRule="auto"/>
        <w:ind w:left="1440"/>
        <w:rPr>
          <w:rFonts w:ascii="Times New Roman" w:hAnsi="Times New Roman" w:cs="Times New Roman"/>
          <w:color w:val="00B050"/>
          <w:sz w:val="24"/>
          <w:szCs w:val="24"/>
        </w:rPr>
      </w:pPr>
    </w:p>
    <w:p w14:paraId="5C798A2B" w14:textId="77777777" w:rsidR="00C33CA8" w:rsidRDefault="00C33CA8">
      <w:pPr>
        <w:rPr>
          <w:rFonts w:ascii="Arial Narrow" w:eastAsia="Times New Roman" w:hAnsi="Arial Narrow" w:cs="Times New Roman"/>
          <w:b/>
          <w:bCs/>
          <w:color w:val="00B050"/>
          <w:sz w:val="20"/>
          <w:szCs w:val="20"/>
          <w:u w:val="single"/>
        </w:rPr>
        <w:sectPr w:rsidR="00C33CA8">
          <w:footerReference w:type="default" r:id="rId8"/>
          <w:pgSz w:w="12240" w:h="15840"/>
          <w:pgMar w:top="1440" w:right="1440" w:bottom="1440" w:left="1440" w:header="720" w:footer="720" w:gutter="0"/>
          <w:cols w:space="720"/>
          <w:docGrid w:linePitch="360"/>
        </w:sectPr>
      </w:pPr>
    </w:p>
    <w:p w14:paraId="4B0AEE48" w14:textId="37CA06F4" w:rsidR="0068046C" w:rsidRDefault="0068046C">
      <w:pPr>
        <w:rPr>
          <w:rFonts w:ascii="Arial Narrow" w:eastAsia="Times New Roman" w:hAnsi="Arial Narrow" w:cs="Times New Roman"/>
          <w:b/>
          <w:bCs/>
          <w:color w:val="00B050"/>
          <w:sz w:val="20"/>
          <w:szCs w:val="20"/>
          <w:u w:val="single"/>
        </w:rPr>
      </w:pPr>
    </w:p>
    <w:p w14:paraId="364A8FEF" w14:textId="431C6CA2" w:rsidR="00386B31" w:rsidRDefault="0068046C" w:rsidP="00386B31">
      <w:pPr>
        <w:spacing w:after="0" w:line="240" w:lineRule="auto"/>
        <w:rPr>
          <w:rFonts w:ascii="Arial Narrow" w:eastAsia="Times New Roman" w:hAnsi="Arial Narrow" w:cs="Times New Roman"/>
          <w:b/>
          <w:bCs/>
          <w:color w:val="0070C0"/>
          <w:sz w:val="32"/>
          <w:szCs w:val="32"/>
          <w:u w:val="single"/>
        </w:rPr>
      </w:pPr>
      <w:r w:rsidRPr="00E66EC2">
        <w:rPr>
          <w:rFonts w:ascii="Arial Narrow" w:eastAsia="Times New Roman" w:hAnsi="Arial Narrow" w:cs="Times New Roman"/>
          <w:b/>
          <w:bCs/>
          <w:color w:val="0070C0"/>
          <w:sz w:val="32"/>
          <w:szCs w:val="32"/>
          <w:u w:val="single"/>
        </w:rPr>
        <w:t>Table 1</w:t>
      </w:r>
    </w:p>
    <w:p w14:paraId="34806AEE" w14:textId="77777777" w:rsidR="00E66EC2" w:rsidRPr="00E66EC2" w:rsidRDefault="00E66EC2" w:rsidP="00386B31">
      <w:pPr>
        <w:spacing w:after="0" w:line="240" w:lineRule="auto"/>
        <w:rPr>
          <w:rFonts w:ascii="Arial Narrow" w:eastAsia="Times New Roman" w:hAnsi="Arial Narrow" w:cs="Times New Roman"/>
          <w:b/>
          <w:bCs/>
          <w:color w:val="0070C0"/>
          <w:sz w:val="32"/>
          <w:szCs w:val="32"/>
          <w:u w:val="single"/>
        </w:rPr>
      </w:pPr>
    </w:p>
    <w:p w14:paraId="05904D63" w14:textId="1EDF55C1" w:rsidR="00386B31" w:rsidRPr="00386B31" w:rsidRDefault="00386B31" w:rsidP="00386B31">
      <w:pPr>
        <w:spacing w:after="0" w:line="240" w:lineRule="auto"/>
        <w:rPr>
          <w:rFonts w:ascii="Times New Roman" w:eastAsia="Times New Roman" w:hAnsi="Times New Roman" w:cs="Times New Roman"/>
          <w:sz w:val="24"/>
          <w:szCs w:val="24"/>
        </w:rPr>
      </w:pPr>
      <w:r w:rsidRPr="00386B31">
        <w:rPr>
          <w:noProof/>
        </w:rPr>
        <w:drawing>
          <wp:inline distT="0" distB="0" distL="0" distR="0" wp14:anchorId="3E0FA8D4" wp14:editId="7926447C">
            <wp:extent cx="8788124"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1728" cy="2763383"/>
                    </a:xfrm>
                    <a:prstGeom prst="rect">
                      <a:avLst/>
                    </a:prstGeom>
                    <a:noFill/>
                    <a:ln>
                      <a:noFill/>
                    </a:ln>
                  </pic:spPr>
                </pic:pic>
              </a:graphicData>
            </a:graphic>
          </wp:inline>
        </w:drawing>
      </w:r>
    </w:p>
    <w:p w14:paraId="57CA07CF" w14:textId="77777777" w:rsidR="00386B31" w:rsidRPr="00386B31" w:rsidRDefault="00386B31" w:rsidP="00386B31">
      <w:pPr>
        <w:spacing w:after="0" w:line="240" w:lineRule="auto"/>
        <w:rPr>
          <w:rFonts w:ascii="Times New Roman" w:eastAsia="Times New Roman" w:hAnsi="Times New Roman" w:cs="Times New Roman"/>
          <w:sz w:val="24"/>
          <w:szCs w:val="24"/>
        </w:rPr>
      </w:pPr>
    </w:p>
    <w:p w14:paraId="1F1E7747" w14:textId="77777777" w:rsidR="00C33CA8" w:rsidRDefault="00C33CA8">
      <w:pPr>
        <w:rPr>
          <w:rFonts w:ascii="Times New Roman" w:eastAsia="Times New Roman" w:hAnsi="Times New Roman" w:cs="Times New Roman"/>
          <w:color w:val="00B050"/>
          <w:sz w:val="24"/>
          <w:szCs w:val="24"/>
        </w:rPr>
        <w:sectPr w:rsidR="00C33CA8" w:rsidSect="00C33CA8">
          <w:pgSz w:w="15840" w:h="12240" w:orient="landscape"/>
          <w:pgMar w:top="1440" w:right="1440" w:bottom="1440" w:left="1440" w:header="720" w:footer="720" w:gutter="0"/>
          <w:cols w:space="720"/>
          <w:docGrid w:linePitch="360"/>
        </w:sectPr>
      </w:pPr>
    </w:p>
    <w:p w14:paraId="5166D1C2" w14:textId="6152F246" w:rsidR="00386B31" w:rsidRPr="00E66EC2" w:rsidRDefault="0068046C" w:rsidP="0068046C">
      <w:pPr>
        <w:pStyle w:val="ListParagraph"/>
        <w:numPr>
          <w:ilvl w:val="0"/>
          <w:numId w:val="9"/>
        </w:numPr>
        <w:spacing w:after="0" w:line="240" w:lineRule="auto"/>
        <w:rPr>
          <w:rFonts w:ascii="Times New Roman" w:eastAsia="Times New Roman" w:hAnsi="Times New Roman" w:cs="Times New Roman"/>
          <w:b/>
          <w:bCs/>
          <w:color w:val="0070C0"/>
          <w:sz w:val="24"/>
          <w:szCs w:val="24"/>
          <w:u w:val="single"/>
        </w:rPr>
      </w:pPr>
      <w:r w:rsidRPr="00E66EC2">
        <w:rPr>
          <w:rFonts w:ascii="Times New Roman" w:eastAsia="Times New Roman" w:hAnsi="Times New Roman" w:cs="Times New Roman"/>
          <w:b/>
          <w:bCs/>
          <w:color w:val="0070C0"/>
          <w:sz w:val="24"/>
          <w:szCs w:val="24"/>
          <w:u w:val="single"/>
        </w:rPr>
        <w:lastRenderedPageBreak/>
        <w:t>L</w:t>
      </w:r>
      <w:r w:rsidR="00386B31" w:rsidRPr="00E66EC2">
        <w:rPr>
          <w:rFonts w:ascii="Times New Roman" w:eastAsia="Times New Roman" w:hAnsi="Times New Roman" w:cs="Times New Roman"/>
          <w:b/>
          <w:bCs/>
          <w:color w:val="0070C0"/>
          <w:sz w:val="24"/>
          <w:szCs w:val="24"/>
          <w:u w:val="single"/>
        </w:rPr>
        <w:t xml:space="preserve">egislative </w:t>
      </w:r>
      <w:r w:rsidR="00805AF2" w:rsidRPr="00E66EC2">
        <w:rPr>
          <w:rFonts w:ascii="Times New Roman" w:eastAsia="Times New Roman" w:hAnsi="Times New Roman" w:cs="Times New Roman"/>
          <w:b/>
          <w:bCs/>
          <w:color w:val="0070C0"/>
          <w:sz w:val="24"/>
          <w:szCs w:val="24"/>
          <w:u w:val="single"/>
        </w:rPr>
        <w:t>H</w:t>
      </w:r>
      <w:r w:rsidR="00386B31" w:rsidRPr="00E66EC2">
        <w:rPr>
          <w:rFonts w:ascii="Times New Roman" w:eastAsia="Times New Roman" w:hAnsi="Times New Roman" w:cs="Times New Roman"/>
          <w:b/>
          <w:bCs/>
          <w:color w:val="0070C0"/>
          <w:sz w:val="24"/>
          <w:szCs w:val="24"/>
          <w:u w:val="single"/>
        </w:rPr>
        <w:t>istory</w:t>
      </w:r>
    </w:p>
    <w:p w14:paraId="7089DA70" w14:textId="395330F9" w:rsidR="00386B31" w:rsidRPr="00E66EC2" w:rsidRDefault="00C33CA8" w:rsidP="0068046C">
      <w:pPr>
        <w:pStyle w:val="ListParagraph"/>
        <w:numPr>
          <w:ilvl w:val="1"/>
          <w:numId w:val="9"/>
        </w:numPr>
        <w:spacing w:after="0" w:line="240" w:lineRule="auto"/>
        <w:rPr>
          <w:rFonts w:ascii="Times New Roman" w:eastAsia="Times New Roman" w:hAnsi="Times New Roman" w:cs="Times New Roman"/>
          <w:b/>
          <w:bCs/>
          <w:color w:val="0070C0"/>
          <w:sz w:val="24"/>
          <w:szCs w:val="24"/>
        </w:rPr>
      </w:pPr>
      <w:r w:rsidRPr="00E66EC2">
        <w:rPr>
          <w:rFonts w:ascii="Times New Roman" w:eastAsia="Times New Roman" w:hAnsi="Times New Roman" w:cs="Times New Roman"/>
          <w:b/>
          <w:bCs/>
          <w:color w:val="0070C0"/>
          <w:sz w:val="24"/>
          <w:szCs w:val="24"/>
        </w:rPr>
        <w:t>2013 Legislative Session</w:t>
      </w:r>
    </w:p>
    <w:p w14:paraId="49C16EBC" w14:textId="30607364" w:rsidR="00C33CA8" w:rsidRPr="00E66EC2" w:rsidRDefault="008A40E6" w:rsidP="00C33CA8">
      <w:pPr>
        <w:pStyle w:val="ListParagraph"/>
        <w:numPr>
          <w:ilvl w:val="2"/>
          <w:numId w:val="9"/>
        </w:numPr>
        <w:spacing w:after="0" w:line="240" w:lineRule="auto"/>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 xml:space="preserve">Illinois Power Agency (IPA) Act </w:t>
      </w:r>
      <w:r w:rsidR="00B61BC1" w:rsidRPr="00E66EC2">
        <w:rPr>
          <w:rFonts w:ascii="Times New Roman" w:eastAsia="Times New Roman" w:hAnsi="Times New Roman" w:cs="Times New Roman"/>
          <w:color w:val="0070C0"/>
          <w:sz w:val="24"/>
          <w:szCs w:val="24"/>
        </w:rPr>
        <w:t xml:space="preserve">Section 1-10 </w:t>
      </w:r>
      <w:r w:rsidR="00C33CA8" w:rsidRPr="00E66EC2">
        <w:rPr>
          <w:rFonts w:ascii="Times New Roman" w:eastAsia="Times New Roman" w:hAnsi="Times New Roman" w:cs="Times New Roman"/>
          <w:color w:val="0070C0"/>
          <w:sz w:val="24"/>
          <w:szCs w:val="24"/>
        </w:rPr>
        <w:t xml:space="preserve">and </w:t>
      </w:r>
      <w:r w:rsidRPr="00E66EC2">
        <w:rPr>
          <w:rFonts w:ascii="Times New Roman" w:eastAsia="Times New Roman" w:hAnsi="Times New Roman" w:cs="Times New Roman"/>
          <w:color w:val="0070C0"/>
          <w:sz w:val="24"/>
          <w:szCs w:val="24"/>
        </w:rPr>
        <w:t>Public Utilities Act (</w:t>
      </w:r>
      <w:r w:rsidR="00C33CA8" w:rsidRPr="00E66EC2">
        <w:rPr>
          <w:rFonts w:ascii="Times New Roman" w:eastAsia="Times New Roman" w:hAnsi="Times New Roman" w:cs="Times New Roman"/>
          <w:color w:val="0070C0"/>
          <w:sz w:val="24"/>
          <w:szCs w:val="24"/>
        </w:rPr>
        <w:t>PUA</w:t>
      </w:r>
      <w:r w:rsidRPr="00E66EC2">
        <w:rPr>
          <w:rFonts w:ascii="Times New Roman" w:eastAsia="Times New Roman" w:hAnsi="Times New Roman" w:cs="Times New Roman"/>
          <w:color w:val="0070C0"/>
          <w:sz w:val="24"/>
          <w:szCs w:val="24"/>
        </w:rPr>
        <w:t>)</w:t>
      </w:r>
      <w:r w:rsidR="00C33CA8" w:rsidRPr="00E66EC2">
        <w:rPr>
          <w:rFonts w:ascii="Times New Roman" w:eastAsia="Times New Roman" w:hAnsi="Times New Roman" w:cs="Times New Roman"/>
          <w:color w:val="0070C0"/>
          <w:sz w:val="24"/>
          <w:szCs w:val="24"/>
        </w:rPr>
        <w:t xml:space="preserve"> Section 8-104(b) were </w:t>
      </w:r>
      <w:r w:rsidR="00B61BC1" w:rsidRPr="00E66EC2">
        <w:rPr>
          <w:rFonts w:ascii="Times New Roman" w:eastAsia="Times New Roman" w:hAnsi="Times New Roman" w:cs="Times New Roman"/>
          <w:color w:val="0070C0"/>
          <w:sz w:val="24"/>
          <w:szCs w:val="24"/>
        </w:rPr>
        <w:t xml:space="preserve">modified </w:t>
      </w:r>
      <w:r w:rsidR="00C33CA8" w:rsidRPr="00E66EC2">
        <w:rPr>
          <w:rFonts w:ascii="Times New Roman" w:eastAsia="Times New Roman" w:hAnsi="Times New Roman" w:cs="Times New Roman"/>
          <w:color w:val="0070C0"/>
          <w:sz w:val="24"/>
          <w:szCs w:val="24"/>
        </w:rPr>
        <w:t xml:space="preserve">to include identical </w:t>
      </w:r>
      <w:r w:rsidR="00BA14C7" w:rsidRPr="00E66EC2">
        <w:rPr>
          <w:rFonts w:ascii="Times New Roman" w:eastAsia="Times New Roman" w:hAnsi="Times New Roman" w:cs="Times New Roman"/>
          <w:color w:val="0070C0"/>
          <w:sz w:val="24"/>
          <w:szCs w:val="24"/>
        </w:rPr>
        <w:t xml:space="preserve">language </w:t>
      </w:r>
      <w:r w:rsidR="00C33CA8" w:rsidRPr="00E66EC2">
        <w:rPr>
          <w:rFonts w:ascii="Times New Roman" w:eastAsia="Times New Roman" w:hAnsi="Times New Roman" w:cs="Times New Roman"/>
          <w:color w:val="0070C0"/>
          <w:sz w:val="24"/>
          <w:szCs w:val="24"/>
        </w:rPr>
        <w:t xml:space="preserve">that </w:t>
      </w:r>
      <w:r w:rsidR="00EB2146" w:rsidRPr="00E66EC2">
        <w:rPr>
          <w:rFonts w:ascii="Times New Roman" w:eastAsia="Times New Roman" w:hAnsi="Times New Roman" w:cs="Times New Roman"/>
          <w:color w:val="0070C0"/>
          <w:sz w:val="24"/>
          <w:szCs w:val="24"/>
        </w:rPr>
        <w:t xml:space="preserve">added reducing the total </w:t>
      </w:r>
      <w:proofErr w:type="spellStart"/>
      <w:r w:rsidR="00EB2146" w:rsidRPr="00E66EC2">
        <w:rPr>
          <w:rFonts w:ascii="Times New Roman" w:eastAsia="Times New Roman" w:hAnsi="Times New Roman" w:cs="Times New Roman"/>
          <w:color w:val="0070C0"/>
          <w:sz w:val="24"/>
          <w:szCs w:val="24"/>
        </w:rPr>
        <w:t>Btus</w:t>
      </w:r>
      <w:proofErr w:type="spellEnd"/>
      <w:r w:rsidR="00EB2146" w:rsidRPr="00E66EC2">
        <w:rPr>
          <w:rFonts w:ascii="Times New Roman" w:eastAsia="Times New Roman" w:hAnsi="Times New Roman" w:cs="Times New Roman"/>
          <w:color w:val="0070C0"/>
          <w:sz w:val="24"/>
          <w:szCs w:val="24"/>
        </w:rPr>
        <w:t xml:space="preserve"> of</w:t>
      </w:r>
      <w:r w:rsidR="00E66EC2">
        <w:rPr>
          <w:rFonts w:ascii="Times New Roman" w:eastAsia="Times New Roman" w:hAnsi="Times New Roman" w:cs="Times New Roman"/>
          <w:color w:val="0070C0"/>
          <w:sz w:val="24"/>
          <w:szCs w:val="24"/>
        </w:rPr>
        <w:t xml:space="preserve"> electricity and</w:t>
      </w:r>
      <w:r w:rsidR="00EB2146" w:rsidRPr="00E66EC2">
        <w:rPr>
          <w:rFonts w:ascii="Times New Roman" w:eastAsia="Times New Roman" w:hAnsi="Times New Roman" w:cs="Times New Roman"/>
          <w:color w:val="0070C0"/>
          <w:sz w:val="24"/>
          <w:szCs w:val="24"/>
        </w:rPr>
        <w:t xml:space="preserve"> natural gas to the definition of energy efficiency.</w:t>
      </w:r>
      <w:r w:rsidR="00C33CA8" w:rsidRPr="00E66EC2">
        <w:rPr>
          <w:rFonts w:ascii="Times New Roman" w:eastAsia="Times New Roman" w:hAnsi="Times New Roman" w:cs="Times New Roman"/>
          <w:color w:val="0070C0"/>
          <w:sz w:val="24"/>
          <w:szCs w:val="24"/>
        </w:rPr>
        <w:t xml:space="preserve"> </w:t>
      </w:r>
    </w:p>
    <w:p w14:paraId="50979735" w14:textId="31E8C45A" w:rsidR="00C33CA8" w:rsidRPr="00E66EC2" w:rsidRDefault="00C33CA8" w:rsidP="00C33CA8">
      <w:pPr>
        <w:pStyle w:val="ListParagraph"/>
        <w:spacing w:after="0" w:line="240" w:lineRule="auto"/>
        <w:ind w:left="2880"/>
        <w:rPr>
          <w:rFonts w:ascii="Times New Roman" w:eastAsia="Times New Roman" w:hAnsi="Times New Roman" w:cs="Times New Roman"/>
          <w:i/>
          <w:iCs/>
          <w:color w:val="0070C0"/>
          <w:sz w:val="24"/>
          <w:szCs w:val="24"/>
        </w:rPr>
      </w:pPr>
      <w:r w:rsidRPr="00E66EC2">
        <w:rPr>
          <w:rFonts w:ascii="Times New Roman" w:eastAsia="Times New Roman" w:hAnsi="Times New Roman" w:cs="Times New Roman"/>
          <w:i/>
          <w:iCs/>
          <w:color w:val="0070C0"/>
          <w:sz w:val="24"/>
          <w:szCs w:val="24"/>
        </w:rPr>
        <w:t xml:space="preserve">“Energy efficiency" also includes measures that reduce the total </w:t>
      </w:r>
      <w:proofErr w:type="spellStart"/>
      <w:r w:rsidRPr="00E66EC2">
        <w:rPr>
          <w:rFonts w:ascii="Times New Roman" w:eastAsia="Times New Roman" w:hAnsi="Times New Roman" w:cs="Times New Roman"/>
          <w:i/>
          <w:iCs/>
          <w:color w:val="0070C0"/>
          <w:sz w:val="24"/>
          <w:szCs w:val="24"/>
        </w:rPr>
        <w:t>Btus</w:t>
      </w:r>
      <w:proofErr w:type="spellEnd"/>
      <w:r w:rsidRPr="00E66EC2">
        <w:rPr>
          <w:rFonts w:ascii="Times New Roman" w:eastAsia="Times New Roman" w:hAnsi="Times New Roman" w:cs="Times New Roman"/>
          <w:i/>
          <w:iCs/>
          <w:color w:val="0070C0"/>
          <w:sz w:val="24"/>
          <w:szCs w:val="24"/>
        </w:rPr>
        <w:t xml:space="preserve"> of electricity and natural gas needed to meet the end use or uses.</w:t>
      </w:r>
    </w:p>
    <w:p w14:paraId="26102EE9" w14:textId="615199DE" w:rsidR="00386B31" w:rsidRPr="00E66EC2" w:rsidRDefault="00C33CA8" w:rsidP="0068046C">
      <w:pPr>
        <w:pStyle w:val="ListParagraph"/>
        <w:numPr>
          <w:ilvl w:val="2"/>
          <w:numId w:val="9"/>
        </w:numPr>
        <w:spacing w:after="0" w:line="240" w:lineRule="auto"/>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 xml:space="preserve">The </w:t>
      </w:r>
      <w:r w:rsidR="00386B31" w:rsidRPr="00E66EC2">
        <w:rPr>
          <w:rFonts w:ascii="Times New Roman" w:eastAsia="Times New Roman" w:hAnsi="Times New Roman" w:cs="Times New Roman"/>
          <w:color w:val="0070C0"/>
          <w:sz w:val="24"/>
          <w:szCs w:val="24"/>
        </w:rPr>
        <w:t xml:space="preserve">TAC </w:t>
      </w:r>
      <w:r w:rsidR="00A93807" w:rsidRPr="00E66EC2">
        <w:rPr>
          <w:rFonts w:ascii="Times New Roman" w:eastAsia="Times New Roman" w:hAnsi="Times New Roman" w:cs="Times New Roman"/>
          <w:color w:val="0070C0"/>
          <w:sz w:val="24"/>
          <w:szCs w:val="24"/>
        </w:rPr>
        <w:t xml:space="preserve">had extensive discussions throughout 2014 to </w:t>
      </w:r>
      <w:proofErr w:type="gramStart"/>
      <w:r w:rsidR="00A93807" w:rsidRPr="00E66EC2">
        <w:rPr>
          <w:rFonts w:ascii="Times New Roman" w:eastAsia="Times New Roman" w:hAnsi="Times New Roman" w:cs="Times New Roman"/>
          <w:color w:val="0070C0"/>
          <w:sz w:val="24"/>
          <w:szCs w:val="24"/>
        </w:rPr>
        <w:t xml:space="preserve">develop  </w:t>
      </w:r>
      <w:r w:rsidR="00386B31" w:rsidRPr="00E66EC2">
        <w:rPr>
          <w:rFonts w:ascii="Times New Roman" w:eastAsia="Times New Roman" w:hAnsi="Times New Roman" w:cs="Times New Roman"/>
          <w:color w:val="0070C0"/>
          <w:sz w:val="24"/>
          <w:szCs w:val="24"/>
        </w:rPr>
        <w:t>algorithms</w:t>
      </w:r>
      <w:proofErr w:type="gramEnd"/>
      <w:r w:rsidR="00386B31" w:rsidRPr="00E66EC2">
        <w:rPr>
          <w:rFonts w:ascii="Times New Roman" w:eastAsia="Times New Roman" w:hAnsi="Times New Roman" w:cs="Times New Roman"/>
          <w:color w:val="0070C0"/>
          <w:sz w:val="24"/>
          <w:szCs w:val="24"/>
        </w:rPr>
        <w:t xml:space="preserve"> </w:t>
      </w:r>
      <w:r w:rsidR="00EB2146" w:rsidRPr="00E66EC2">
        <w:rPr>
          <w:rFonts w:ascii="Times New Roman" w:eastAsia="Times New Roman" w:hAnsi="Times New Roman" w:cs="Times New Roman"/>
          <w:color w:val="0070C0"/>
          <w:sz w:val="24"/>
          <w:szCs w:val="24"/>
        </w:rPr>
        <w:t xml:space="preserve">that calculate the source energy savings resulting from CHP installations and from </w:t>
      </w:r>
      <w:r w:rsidR="00383EE7" w:rsidRPr="00E66EC2">
        <w:rPr>
          <w:rFonts w:ascii="Times New Roman" w:eastAsia="Times New Roman" w:hAnsi="Times New Roman" w:cs="Times New Roman"/>
          <w:color w:val="0070C0"/>
          <w:sz w:val="24"/>
          <w:szCs w:val="24"/>
        </w:rPr>
        <w:t>replacing natural gas sp</w:t>
      </w:r>
      <w:r w:rsidR="00043003" w:rsidRPr="00E66EC2">
        <w:rPr>
          <w:rFonts w:ascii="Times New Roman" w:eastAsia="Times New Roman" w:hAnsi="Times New Roman" w:cs="Times New Roman"/>
          <w:color w:val="0070C0"/>
          <w:sz w:val="24"/>
          <w:szCs w:val="24"/>
        </w:rPr>
        <w:t xml:space="preserve">ace and water heating with </w:t>
      </w:r>
      <w:r w:rsidR="00383EE7" w:rsidRPr="00E66EC2">
        <w:rPr>
          <w:rFonts w:ascii="Times New Roman" w:eastAsia="Times New Roman" w:hAnsi="Times New Roman" w:cs="Times New Roman"/>
          <w:color w:val="0070C0"/>
          <w:sz w:val="24"/>
          <w:szCs w:val="24"/>
        </w:rPr>
        <w:t>ground source heat pump</w:t>
      </w:r>
      <w:r w:rsidR="00043003" w:rsidRPr="00E66EC2">
        <w:rPr>
          <w:rFonts w:ascii="Times New Roman" w:eastAsia="Times New Roman" w:hAnsi="Times New Roman" w:cs="Times New Roman"/>
          <w:color w:val="0070C0"/>
          <w:sz w:val="24"/>
          <w:szCs w:val="24"/>
        </w:rPr>
        <w:t>s</w:t>
      </w:r>
      <w:r w:rsidR="00383EE7" w:rsidRPr="00E66EC2">
        <w:rPr>
          <w:rFonts w:ascii="Times New Roman" w:eastAsia="Times New Roman" w:hAnsi="Times New Roman" w:cs="Times New Roman"/>
          <w:color w:val="0070C0"/>
          <w:sz w:val="24"/>
          <w:szCs w:val="24"/>
        </w:rPr>
        <w:t>. These changes</w:t>
      </w:r>
      <w:r w:rsidRPr="00E66EC2">
        <w:rPr>
          <w:rFonts w:ascii="Times New Roman" w:eastAsia="Times New Roman" w:hAnsi="Times New Roman" w:cs="Times New Roman"/>
          <w:color w:val="0070C0"/>
          <w:sz w:val="24"/>
          <w:szCs w:val="24"/>
        </w:rPr>
        <w:t xml:space="preserve"> </w:t>
      </w:r>
      <w:r w:rsidR="00A93807" w:rsidRPr="00E66EC2">
        <w:rPr>
          <w:rFonts w:ascii="Times New Roman" w:eastAsia="Times New Roman" w:hAnsi="Times New Roman" w:cs="Times New Roman"/>
          <w:color w:val="0070C0"/>
          <w:sz w:val="24"/>
          <w:szCs w:val="24"/>
        </w:rPr>
        <w:t xml:space="preserve">were </w:t>
      </w:r>
      <w:r w:rsidRPr="00E66EC2">
        <w:rPr>
          <w:rFonts w:ascii="Times New Roman" w:eastAsia="Times New Roman" w:hAnsi="Times New Roman" w:cs="Times New Roman"/>
          <w:color w:val="0070C0"/>
          <w:sz w:val="24"/>
          <w:szCs w:val="24"/>
        </w:rPr>
        <w:t>first included in TRM v.4.0</w:t>
      </w:r>
      <w:r w:rsidR="00A93807" w:rsidRPr="00E66EC2">
        <w:rPr>
          <w:rFonts w:ascii="Times New Roman" w:eastAsia="Times New Roman" w:hAnsi="Times New Roman" w:cs="Times New Roman"/>
          <w:color w:val="0070C0"/>
          <w:sz w:val="24"/>
          <w:szCs w:val="24"/>
        </w:rPr>
        <w:t xml:space="preserve"> and first applied </w:t>
      </w:r>
      <w:r w:rsidR="00BA14C7" w:rsidRPr="00E66EC2">
        <w:rPr>
          <w:rFonts w:ascii="Times New Roman" w:eastAsia="Times New Roman" w:hAnsi="Times New Roman" w:cs="Times New Roman"/>
          <w:color w:val="0070C0"/>
          <w:sz w:val="24"/>
          <w:szCs w:val="24"/>
        </w:rPr>
        <w:t xml:space="preserve">to measures installed </w:t>
      </w:r>
      <w:r w:rsidR="00A93807" w:rsidRPr="00E66EC2">
        <w:rPr>
          <w:rFonts w:ascii="Times New Roman" w:eastAsia="Times New Roman" w:hAnsi="Times New Roman" w:cs="Times New Roman"/>
          <w:color w:val="0070C0"/>
          <w:sz w:val="24"/>
          <w:szCs w:val="24"/>
        </w:rPr>
        <w:t>in June 2015</w:t>
      </w:r>
      <w:r w:rsidRPr="00E66EC2">
        <w:rPr>
          <w:rFonts w:ascii="Times New Roman" w:eastAsia="Times New Roman" w:hAnsi="Times New Roman" w:cs="Times New Roman"/>
          <w:color w:val="0070C0"/>
          <w:sz w:val="24"/>
          <w:szCs w:val="24"/>
        </w:rPr>
        <w:t>.</w:t>
      </w:r>
      <w:r w:rsidR="00A93807" w:rsidRPr="00E66EC2">
        <w:rPr>
          <w:rFonts w:ascii="Times New Roman" w:eastAsia="Times New Roman" w:hAnsi="Times New Roman" w:cs="Times New Roman"/>
          <w:color w:val="0070C0"/>
          <w:sz w:val="24"/>
          <w:szCs w:val="24"/>
        </w:rPr>
        <w:t xml:space="preserve"> All parties agree</w:t>
      </w:r>
      <w:r w:rsidR="00BA14C7" w:rsidRPr="00E66EC2">
        <w:rPr>
          <w:rFonts w:ascii="Times New Roman" w:eastAsia="Times New Roman" w:hAnsi="Times New Roman" w:cs="Times New Roman"/>
          <w:color w:val="0070C0"/>
          <w:sz w:val="24"/>
          <w:szCs w:val="24"/>
        </w:rPr>
        <w:t>d</w:t>
      </w:r>
      <w:r w:rsidR="00A93807" w:rsidRPr="00E66EC2">
        <w:rPr>
          <w:rFonts w:ascii="Times New Roman" w:eastAsia="Times New Roman" w:hAnsi="Times New Roman" w:cs="Times New Roman"/>
          <w:color w:val="0070C0"/>
          <w:sz w:val="24"/>
          <w:szCs w:val="24"/>
        </w:rPr>
        <w:t xml:space="preserve"> that the best policy </w:t>
      </w:r>
      <w:r w:rsidR="00BA14C7" w:rsidRPr="00E66EC2">
        <w:rPr>
          <w:rFonts w:ascii="Times New Roman" w:eastAsia="Times New Roman" w:hAnsi="Times New Roman" w:cs="Times New Roman"/>
          <w:color w:val="0070C0"/>
          <w:sz w:val="24"/>
          <w:szCs w:val="24"/>
        </w:rPr>
        <w:t xml:space="preserve">was </w:t>
      </w:r>
      <w:r w:rsidR="00A93807" w:rsidRPr="00E66EC2">
        <w:rPr>
          <w:rFonts w:ascii="Times New Roman" w:eastAsia="Times New Roman" w:hAnsi="Times New Roman" w:cs="Times New Roman"/>
          <w:color w:val="0070C0"/>
          <w:sz w:val="24"/>
          <w:szCs w:val="24"/>
        </w:rPr>
        <w:t xml:space="preserve">to calculate </w:t>
      </w:r>
      <w:r w:rsidR="00BA14C7" w:rsidRPr="00E66EC2">
        <w:rPr>
          <w:rFonts w:ascii="Times New Roman" w:eastAsia="Times New Roman" w:hAnsi="Times New Roman" w:cs="Times New Roman"/>
          <w:color w:val="0070C0"/>
          <w:sz w:val="24"/>
          <w:szCs w:val="24"/>
        </w:rPr>
        <w:t xml:space="preserve">“total </w:t>
      </w:r>
      <w:proofErr w:type="spellStart"/>
      <w:r w:rsidR="00BA14C7" w:rsidRPr="00E66EC2">
        <w:rPr>
          <w:rFonts w:ascii="Times New Roman" w:eastAsia="Times New Roman" w:hAnsi="Times New Roman" w:cs="Times New Roman"/>
          <w:color w:val="0070C0"/>
          <w:sz w:val="24"/>
          <w:szCs w:val="24"/>
        </w:rPr>
        <w:t>Btus</w:t>
      </w:r>
      <w:proofErr w:type="spellEnd"/>
      <w:r w:rsidR="00BA14C7" w:rsidRPr="00E66EC2">
        <w:rPr>
          <w:rFonts w:ascii="Times New Roman" w:eastAsia="Times New Roman" w:hAnsi="Times New Roman" w:cs="Times New Roman"/>
          <w:color w:val="0070C0"/>
          <w:sz w:val="24"/>
          <w:szCs w:val="24"/>
        </w:rPr>
        <w:t>” to mean source energy savings (although the CHP algorithm allocates savings among gas and electric utilities by also making calculations that involve carbon savings).</w:t>
      </w:r>
    </w:p>
    <w:p w14:paraId="3E3046AF" w14:textId="69051EC1" w:rsidR="00386B31" w:rsidRPr="00E66EC2" w:rsidRDefault="00386B31" w:rsidP="0068046C">
      <w:pPr>
        <w:pStyle w:val="ListParagraph"/>
        <w:numPr>
          <w:ilvl w:val="1"/>
          <w:numId w:val="9"/>
        </w:numPr>
        <w:spacing w:after="0" w:line="240" w:lineRule="auto"/>
        <w:rPr>
          <w:rFonts w:ascii="Times New Roman" w:eastAsia="Times New Roman" w:hAnsi="Times New Roman" w:cs="Times New Roman"/>
          <w:b/>
          <w:bCs/>
          <w:color w:val="0070C0"/>
          <w:sz w:val="24"/>
          <w:szCs w:val="24"/>
        </w:rPr>
      </w:pPr>
      <w:r w:rsidRPr="00E66EC2">
        <w:rPr>
          <w:rFonts w:ascii="Times New Roman" w:eastAsia="Times New Roman" w:hAnsi="Times New Roman" w:cs="Times New Roman"/>
          <w:b/>
          <w:bCs/>
          <w:color w:val="0070C0"/>
          <w:sz w:val="24"/>
          <w:szCs w:val="24"/>
        </w:rPr>
        <w:t>2016</w:t>
      </w:r>
      <w:r w:rsidR="00A93807" w:rsidRPr="00E66EC2">
        <w:rPr>
          <w:rFonts w:ascii="Times New Roman" w:eastAsia="Times New Roman" w:hAnsi="Times New Roman" w:cs="Times New Roman"/>
          <w:b/>
          <w:bCs/>
          <w:color w:val="0070C0"/>
          <w:sz w:val="24"/>
          <w:szCs w:val="24"/>
        </w:rPr>
        <w:t xml:space="preserve"> Veto Session</w:t>
      </w:r>
    </w:p>
    <w:p w14:paraId="1434D2C2" w14:textId="77777777" w:rsidR="00AC0BCA" w:rsidRPr="00E66EC2" w:rsidRDefault="00AC0BCA" w:rsidP="00AC0BCA">
      <w:pPr>
        <w:pStyle w:val="ListParagraph"/>
        <w:numPr>
          <w:ilvl w:val="2"/>
          <w:numId w:val="9"/>
        </w:numPr>
        <w:spacing w:after="0" w:line="240" w:lineRule="auto"/>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 xml:space="preserve">FEJA expanded the definition of energy efficiency to include reducing total </w:t>
      </w:r>
      <w:proofErr w:type="spellStart"/>
      <w:r w:rsidRPr="00E66EC2">
        <w:rPr>
          <w:rFonts w:ascii="Times New Roman" w:eastAsia="Times New Roman" w:hAnsi="Times New Roman" w:cs="Times New Roman"/>
          <w:color w:val="0070C0"/>
          <w:sz w:val="24"/>
          <w:szCs w:val="24"/>
        </w:rPr>
        <w:t>Btus</w:t>
      </w:r>
      <w:proofErr w:type="spellEnd"/>
      <w:r w:rsidRPr="00E66EC2">
        <w:rPr>
          <w:rFonts w:ascii="Times New Roman" w:eastAsia="Times New Roman" w:hAnsi="Times New Roman" w:cs="Times New Roman"/>
          <w:color w:val="0070C0"/>
          <w:sz w:val="24"/>
          <w:szCs w:val="24"/>
        </w:rPr>
        <w:t xml:space="preserve"> of other </w:t>
      </w:r>
      <w:proofErr w:type="gramStart"/>
      <w:r w:rsidRPr="00E66EC2">
        <w:rPr>
          <w:rFonts w:ascii="Times New Roman" w:eastAsia="Times New Roman" w:hAnsi="Times New Roman" w:cs="Times New Roman"/>
          <w:color w:val="0070C0"/>
          <w:sz w:val="24"/>
          <w:szCs w:val="24"/>
        </w:rPr>
        <w:t>fuels::</w:t>
      </w:r>
      <w:proofErr w:type="gramEnd"/>
    </w:p>
    <w:p w14:paraId="49860E14" w14:textId="77777777" w:rsidR="00AC0BCA" w:rsidRPr="00E66EC2" w:rsidRDefault="00AC0BCA" w:rsidP="00AC0BCA">
      <w:pPr>
        <w:spacing w:after="0" w:line="240" w:lineRule="auto"/>
        <w:ind w:left="2160"/>
        <w:rPr>
          <w:rFonts w:ascii="Times New Roman" w:eastAsia="Times New Roman" w:hAnsi="Times New Roman" w:cs="Times New Roman"/>
          <w:i/>
          <w:iCs/>
          <w:color w:val="0070C0"/>
          <w:sz w:val="24"/>
          <w:szCs w:val="24"/>
        </w:rPr>
      </w:pPr>
      <w:r w:rsidRPr="00E66EC2">
        <w:rPr>
          <w:rFonts w:ascii="Times New Roman" w:eastAsia="Times New Roman" w:hAnsi="Times New Roman" w:cs="Times New Roman"/>
          <w:i/>
          <w:iCs/>
          <w:color w:val="0070C0"/>
          <w:sz w:val="24"/>
          <w:szCs w:val="24"/>
        </w:rPr>
        <w:t xml:space="preserve">“Energy efficiency" also includes measures that reduce the total </w:t>
      </w:r>
      <w:proofErr w:type="spellStart"/>
      <w:r w:rsidRPr="00E66EC2">
        <w:rPr>
          <w:rFonts w:ascii="Times New Roman" w:eastAsia="Times New Roman" w:hAnsi="Times New Roman" w:cs="Times New Roman"/>
          <w:i/>
          <w:iCs/>
          <w:color w:val="0070C0"/>
          <w:sz w:val="24"/>
          <w:szCs w:val="24"/>
        </w:rPr>
        <w:t>Btus</w:t>
      </w:r>
      <w:proofErr w:type="spellEnd"/>
      <w:r w:rsidRPr="00E66EC2">
        <w:rPr>
          <w:rFonts w:ascii="Times New Roman" w:eastAsia="Times New Roman" w:hAnsi="Times New Roman" w:cs="Times New Roman"/>
          <w:i/>
          <w:iCs/>
          <w:color w:val="0070C0"/>
          <w:sz w:val="24"/>
          <w:szCs w:val="24"/>
        </w:rPr>
        <w:t xml:space="preserve"> of electricity, natural gas </w:t>
      </w:r>
      <w:r w:rsidRPr="00E66EC2">
        <w:rPr>
          <w:rFonts w:ascii="Times New Roman" w:eastAsia="Times New Roman" w:hAnsi="Times New Roman" w:cs="Times New Roman"/>
          <w:i/>
          <w:iCs/>
          <w:color w:val="0070C0"/>
          <w:sz w:val="24"/>
          <w:szCs w:val="24"/>
          <w:u w:val="single"/>
        </w:rPr>
        <w:t xml:space="preserve">and other fuels </w:t>
      </w:r>
      <w:r w:rsidRPr="00E66EC2">
        <w:rPr>
          <w:rFonts w:ascii="Times New Roman" w:eastAsia="Times New Roman" w:hAnsi="Times New Roman" w:cs="Times New Roman"/>
          <w:i/>
          <w:iCs/>
          <w:color w:val="0070C0"/>
          <w:sz w:val="24"/>
          <w:szCs w:val="24"/>
        </w:rPr>
        <w:t>needed to meet the end use or uses.</w:t>
      </w:r>
    </w:p>
    <w:p w14:paraId="5D992F69" w14:textId="278C2D7A" w:rsidR="00BA14C7" w:rsidRPr="00E66EC2" w:rsidRDefault="00A93807" w:rsidP="0068046C">
      <w:pPr>
        <w:pStyle w:val="ListParagraph"/>
        <w:numPr>
          <w:ilvl w:val="2"/>
          <w:numId w:val="9"/>
        </w:numPr>
        <w:spacing w:after="0" w:line="240" w:lineRule="auto"/>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 xml:space="preserve">FEJA </w:t>
      </w:r>
      <w:r w:rsidR="00AC0BCA" w:rsidRPr="00E66EC2">
        <w:rPr>
          <w:rFonts w:ascii="Times New Roman" w:eastAsia="Times New Roman" w:hAnsi="Times New Roman" w:cs="Times New Roman"/>
          <w:color w:val="0070C0"/>
          <w:sz w:val="24"/>
          <w:szCs w:val="24"/>
        </w:rPr>
        <w:t xml:space="preserve">also </w:t>
      </w:r>
      <w:r w:rsidRPr="00E66EC2">
        <w:rPr>
          <w:rFonts w:ascii="Times New Roman" w:eastAsia="Times New Roman" w:hAnsi="Times New Roman" w:cs="Times New Roman"/>
          <w:color w:val="0070C0"/>
          <w:sz w:val="24"/>
          <w:szCs w:val="24"/>
        </w:rPr>
        <w:t>create</w:t>
      </w:r>
      <w:r w:rsidR="00024E73" w:rsidRPr="00E66EC2">
        <w:rPr>
          <w:rFonts w:ascii="Times New Roman" w:eastAsia="Times New Roman" w:hAnsi="Times New Roman" w:cs="Times New Roman"/>
          <w:color w:val="0070C0"/>
          <w:sz w:val="24"/>
          <w:szCs w:val="24"/>
        </w:rPr>
        <w:t>d</w:t>
      </w:r>
      <w:r w:rsidRPr="00E66EC2">
        <w:rPr>
          <w:rFonts w:ascii="Times New Roman" w:eastAsia="Times New Roman" w:hAnsi="Times New Roman" w:cs="Times New Roman"/>
          <w:color w:val="0070C0"/>
          <w:sz w:val="24"/>
          <w:szCs w:val="24"/>
        </w:rPr>
        <w:t xml:space="preserve"> a new section 8-103B(b-25) </w:t>
      </w:r>
      <w:r w:rsidR="004A5FD2" w:rsidRPr="00E66EC2">
        <w:rPr>
          <w:rFonts w:ascii="Times New Roman" w:eastAsia="Times New Roman" w:hAnsi="Times New Roman" w:cs="Times New Roman"/>
          <w:color w:val="0070C0"/>
          <w:sz w:val="24"/>
          <w:szCs w:val="24"/>
        </w:rPr>
        <w:t>o</w:t>
      </w:r>
      <w:r w:rsidR="00024E73" w:rsidRPr="00E66EC2">
        <w:rPr>
          <w:rFonts w:ascii="Times New Roman" w:eastAsia="Times New Roman" w:hAnsi="Times New Roman" w:cs="Times New Roman"/>
          <w:color w:val="0070C0"/>
          <w:sz w:val="24"/>
          <w:szCs w:val="24"/>
        </w:rPr>
        <w:t xml:space="preserve">f the PUA </w:t>
      </w:r>
      <w:r w:rsidRPr="00E66EC2">
        <w:rPr>
          <w:rFonts w:ascii="Times New Roman" w:eastAsia="Times New Roman" w:hAnsi="Times New Roman" w:cs="Times New Roman"/>
          <w:color w:val="0070C0"/>
          <w:sz w:val="24"/>
          <w:szCs w:val="24"/>
        </w:rPr>
        <w:t>that allows electric utilities to claim savings from natural gas</w:t>
      </w:r>
      <w:r w:rsidR="00BA14C7" w:rsidRPr="00E66EC2">
        <w:rPr>
          <w:rFonts w:ascii="Times New Roman" w:eastAsia="Times New Roman" w:hAnsi="Times New Roman" w:cs="Times New Roman"/>
          <w:color w:val="0070C0"/>
          <w:sz w:val="24"/>
          <w:szCs w:val="24"/>
        </w:rPr>
        <w:t xml:space="preserve"> and other fuels, with </w:t>
      </w:r>
      <w:r w:rsidR="00024E73" w:rsidRPr="00E66EC2">
        <w:rPr>
          <w:rFonts w:ascii="Times New Roman" w:eastAsia="Times New Roman" w:hAnsi="Times New Roman" w:cs="Times New Roman"/>
          <w:color w:val="0070C0"/>
          <w:sz w:val="24"/>
          <w:szCs w:val="24"/>
        </w:rPr>
        <w:t xml:space="preserve">some </w:t>
      </w:r>
      <w:r w:rsidR="00BA14C7" w:rsidRPr="00E66EC2">
        <w:rPr>
          <w:rFonts w:ascii="Times New Roman" w:eastAsia="Times New Roman" w:hAnsi="Times New Roman" w:cs="Times New Roman"/>
          <w:color w:val="0070C0"/>
          <w:sz w:val="24"/>
          <w:szCs w:val="24"/>
        </w:rPr>
        <w:t>limitations on the programs and measures delivering these savings and the direction that:</w:t>
      </w:r>
    </w:p>
    <w:p w14:paraId="4B5BFA96" w14:textId="4775EABF" w:rsidR="00A93807" w:rsidRPr="00E66EC2" w:rsidRDefault="00BA14C7" w:rsidP="00BA14C7">
      <w:pPr>
        <w:pStyle w:val="ListParagraph"/>
        <w:spacing w:after="0" w:line="240" w:lineRule="auto"/>
        <w:ind w:left="2340"/>
        <w:rPr>
          <w:rFonts w:ascii="Times New Roman" w:eastAsia="Times New Roman" w:hAnsi="Times New Roman" w:cs="Times New Roman"/>
          <w:i/>
          <w:iCs/>
          <w:color w:val="0070C0"/>
          <w:sz w:val="24"/>
          <w:szCs w:val="24"/>
        </w:rPr>
      </w:pPr>
      <w:r w:rsidRPr="00E66EC2">
        <w:rPr>
          <w:rFonts w:ascii="Times New Roman" w:eastAsia="Times New Roman" w:hAnsi="Times New Roman" w:cs="Times New Roman"/>
          <w:i/>
          <w:iCs/>
          <w:color w:val="0070C0"/>
          <w:sz w:val="24"/>
          <w:szCs w:val="24"/>
        </w:rPr>
        <w:t>...the energy savings value associated with such other fuels shall be converted to electric energy savings on an equivalent Btu basis for the premises.</w:t>
      </w:r>
    </w:p>
    <w:p w14:paraId="24B1DFC8" w14:textId="77777777" w:rsidR="008A40E6" w:rsidRPr="00E66EC2" w:rsidRDefault="008A40E6" w:rsidP="008A40E6">
      <w:pPr>
        <w:pStyle w:val="ListParagraph"/>
        <w:numPr>
          <w:ilvl w:val="0"/>
          <w:numId w:val="9"/>
        </w:numPr>
        <w:rPr>
          <w:rFonts w:ascii="Times New Roman" w:eastAsia="Times New Roman" w:hAnsi="Times New Roman" w:cs="Times New Roman"/>
          <w:b/>
          <w:bCs/>
          <w:color w:val="0070C0"/>
          <w:sz w:val="24"/>
          <w:szCs w:val="24"/>
          <w:u w:val="single"/>
        </w:rPr>
      </w:pPr>
      <w:r w:rsidRPr="00E66EC2">
        <w:rPr>
          <w:rFonts w:ascii="Times New Roman" w:eastAsia="Times New Roman" w:hAnsi="Times New Roman" w:cs="Times New Roman"/>
          <w:b/>
          <w:bCs/>
          <w:color w:val="0070C0"/>
          <w:sz w:val="24"/>
          <w:szCs w:val="24"/>
          <w:u w:val="single"/>
        </w:rPr>
        <w:t>Legislative/Policy Language</w:t>
      </w:r>
    </w:p>
    <w:p w14:paraId="6CB88486" w14:textId="5E98BDB0" w:rsidR="008A40E6" w:rsidRPr="00E66EC2" w:rsidRDefault="00BE7F03" w:rsidP="008A40E6">
      <w:pPr>
        <w:pStyle w:val="ListParagraph"/>
        <w:numPr>
          <w:ilvl w:val="1"/>
          <w:numId w:val="9"/>
        </w:numPr>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 xml:space="preserve">We have appended key language from the following statutes to our response. </w:t>
      </w:r>
    </w:p>
    <w:p w14:paraId="5479A972" w14:textId="47246027" w:rsidR="008A40E6" w:rsidRPr="00E66EC2" w:rsidRDefault="008A40E6" w:rsidP="008A40E6">
      <w:pPr>
        <w:pStyle w:val="ListParagraph"/>
        <w:numPr>
          <w:ilvl w:val="2"/>
          <w:numId w:val="9"/>
        </w:numPr>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IPA Section 1-10</w:t>
      </w:r>
      <w:r w:rsidR="00024E73" w:rsidRPr="00E66EC2">
        <w:rPr>
          <w:rFonts w:ascii="Times New Roman" w:eastAsia="Times New Roman" w:hAnsi="Times New Roman" w:cs="Times New Roman"/>
          <w:color w:val="0070C0"/>
          <w:sz w:val="24"/>
          <w:szCs w:val="24"/>
        </w:rPr>
        <w:t>, defining energy efficiency</w:t>
      </w:r>
    </w:p>
    <w:p w14:paraId="7320C9C8" w14:textId="7DD3D89F" w:rsidR="008A40E6" w:rsidRPr="00E66EC2" w:rsidRDefault="008A40E6" w:rsidP="008A40E6">
      <w:pPr>
        <w:pStyle w:val="ListParagraph"/>
        <w:numPr>
          <w:ilvl w:val="2"/>
          <w:numId w:val="9"/>
        </w:numPr>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PUA Section 8-103B(a)</w:t>
      </w:r>
      <w:r w:rsidR="00024E73" w:rsidRPr="00E66EC2">
        <w:rPr>
          <w:rFonts w:ascii="Times New Roman" w:eastAsia="Times New Roman" w:hAnsi="Times New Roman" w:cs="Times New Roman"/>
          <w:color w:val="0070C0"/>
          <w:sz w:val="24"/>
          <w:szCs w:val="24"/>
        </w:rPr>
        <w:t>, outlining State policy for electric energy efficiency</w:t>
      </w:r>
    </w:p>
    <w:p w14:paraId="635BEF3F" w14:textId="3DF5C004" w:rsidR="008A40E6" w:rsidRPr="00E66EC2" w:rsidRDefault="008A40E6" w:rsidP="008A40E6">
      <w:pPr>
        <w:pStyle w:val="ListParagraph"/>
        <w:numPr>
          <w:ilvl w:val="2"/>
          <w:numId w:val="9"/>
        </w:numPr>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PUA Se</w:t>
      </w:r>
      <w:r w:rsidR="00024E73" w:rsidRPr="00E66EC2">
        <w:rPr>
          <w:rFonts w:ascii="Times New Roman" w:eastAsia="Times New Roman" w:hAnsi="Times New Roman" w:cs="Times New Roman"/>
          <w:color w:val="0070C0"/>
          <w:sz w:val="24"/>
          <w:szCs w:val="24"/>
        </w:rPr>
        <w:t>c</w:t>
      </w:r>
      <w:r w:rsidRPr="00E66EC2">
        <w:rPr>
          <w:rFonts w:ascii="Times New Roman" w:eastAsia="Times New Roman" w:hAnsi="Times New Roman" w:cs="Times New Roman"/>
          <w:color w:val="0070C0"/>
          <w:sz w:val="24"/>
          <w:szCs w:val="24"/>
        </w:rPr>
        <w:t>tion 8-103(b-25)</w:t>
      </w:r>
      <w:r w:rsidR="00024E73" w:rsidRPr="00E66EC2">
        <w:rPr>
          <w:rFonts w:ascii="Times New Roman" w:eastAsia="Times New Roman" w:hAnsi="Times New Roman" w:cs="Times New Roman"/>
          <w:color w:val="0070C0"/>
          <w:sz w:val="24"/>
          <w:szCs w:val="24"/>
        </w:rPr>
        <w:t xml:space="preserve">, defining requirements for cross-fuel conservation for electric </w:t>
      </w:r>
      <w:r w:rsidR="004A5FD2" w:rsidRPr="00E66EC2">
        <w:rPr>
          <w:rFonts w:ascii="Times New Roman" w:eastAsia="Times New Roman" w:hAnsi="Times New Roman" w:cs="Times New Roman"/>
          <w:color w:val="0070C0"/>
          <w:sz w:val="24"/>
          <w:szCs w:val="24"/>
        </w:rPr>
        <w:t>utilities</w:t>
      </w:r>
    </w:p>
    <w:p w14:paraId="5586BBC0" w14:textId="15A7FCDB" w:rsidR="00024E73" w:rsidRPr="00E66EC2" w:rsidRDefault="008A40E6" w:rsidP="00024E73">
      <w:pPr>
        <w:pStyle w:val="ListParagraph"/>
        <w:numPr>
          <w:ilvl w:val="2"/>
          <w:numId w:val="9"/>
        </w:numPr>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PUA Section 8-104(a)</w:t>
      </w:r>
      <w:r w:rsidR="00024E73" w:rsidRPr="00E66EC2">
        <w:rPr>
          <w:rFonts w:ascii="Times New Roman" w:eastAsia="Times New Roman" w:hAnsi="Times New Roman" w:cs="Times New Roman"/>
          <w:color w:val="0070C0"/>
          <w:sz w:val="24"/>
          <w:szCs w:val="24"/>
        </w:rPr>
        <w:t xml:space="preserve">, outlining State policy for </w:t>
      </w:r>
      <w:r w:rsidR="004A5FD2" w:rsidRPr="00E66EC2">
        <w:rPr>
          <w:rFonts w:ascii="Times New Roman" w:eastAsia="Times New Roman" w:hAnsi="Times New Roman" w:cs="Times New Roman"/>
          <w:color w:val="0070C0"/>
          <w:sz w:val="24"/>
          <w:szCs w:val="24"/>
        </w:rPr>
        <w:t>natural gas</w:t>
      </w:r>
      <w:r w:rsidR="00024E73" w:rsidRPr="00E66EC2">
        <w:rPr>
          <w:rFonts w:ascii="Times New Roman" w:eastAsia="Times New Roman" w:hAnsi="Times New Roman" w:cs="Times New Roman"/>
          <w:color w:val="0070C0"/>
          <w:sz w:val="24"/>
          <w:szCs w:val="24"/>
        </w:rPr>
        <w:t xml:space="preserve"> energy efficiency and defining natural gas energy efficiency</w:t>
      </w:r>
    </w:p>
    <w:p w14:paraId="640C1AF9" w14:textId="6758C8B6" w:rsidR="008A40E6" w:rsidRPr="00E66EC2" w:rsidRDefault="008A40E6" w:rsidP="008A40E6">
      <w:pPr>
        <w:pStyle w:val="ListParagraph"/>
        <w:numPr>
          <w:ilvl w:val="2"/>
          <w:numId w:val="9"/>
        </w:numPr>
        <w:rPr>
          <w:rFonts w:ascii="Times New Roman" w:eastAsia="Times New Roman" w:hAnsi="Times New Roman" w:cs="Times New Roman"/>
          <w:color w:val="0070C0"/>
          <w:sz w:val="24"/>
          <w:szCs w:val="24"/>
        </w:rPr>
      </w:pPr>
      <w:r w:rsidRPr="00E66EC2">
        <w:rPr>
          <w:rFonts w:ascii="Times New Roman" w:eastAsia="Times New Roman" w:hAnsi="Times New Roman" w:cs="Times New Roman"/>
          <w:color w:val="0070C0"/>
          <w:sz w:val="24"/>
          <w:szCs w:val="24"/>
        </w:rPr>
        <w:t>PUA Section 8-104(b)</w:t>
      </w:r>
      <w:r w:rsidR="00024E73" w:rsidRPr="00E66EC2">
        <w:rPr>
          <w:rFonts w:ascii="Times New Roman" w:eastAsia="Times New Roman" w:hAnsi="Times New Roman" w:cs="Times New Roman"/>
          <w:color w:val="0070C0"/>
          <w:sz w:val="24"/>
          <w:szCs w:val="24"/>
        </w:rPr>
        <w:t>, expanding the definition of natural gas energy efficiency</w:t>
      </w:r>
    </w:p>
    <w:p w14:paraId="54FD1637" w14:textId="77777777" w:rsidR="008A40E6" w:rsidRPr="00E66EC2" w:rsidRDefault="008A40E6" w:rsidP="008A40E6">
      <w:pPr>
        <w:pStyle w:val="ListParagraph"/>
        <w:ind w:left="1440"/>
        <w:rPr>
          <w:rFonts w:ascii="Times New Roman" w:eastAsia="Times New Roman" w:hAnsi="Times New Roman" w:cs="Times New Roman"/>
          <w:color w:val="0070C0"/>
          <w:sz w:val="24"/>
          <w:szCs w:val="24"/>
        </w:rPr>
      </w:pPr>
    </w:p>
    <w:p w14:paraId="566FE95E" w14:textId="6A117A17" w:rsidR="00386B31" w:rsidRPr="008A40E6" w:rsidRDefault="00BE7F03" w:rsidP="008A40E6">
      <w:pPr>
        <w:pStyle w:val="ListParagraph"/>
        <w:numPr>
          <w:ilvl w:val="1"/>
          <w:numId w:val="9"/>
        </w:numPr>
        <w:rPr>
          <w:rFonts w:ascii="Times New Roman" w:eastAsia="Times New Roman" w:hAnsi="Times New Roman" w:cs="Times New Roman"/>
          <w:color w:val="00B050"/>
          <w:sz w:val="24"/>
          <w:szCs w:val="24"/>
        </w:rPr>
      </w:pPr>
      <w:r w:rsidRPr="00E66EC2">
        <w:rPr>
          <w:rFonts w:ascii="Times New Roman" w:eastAsia="Times New Roman" w:hAnsi="Times New Roman" w:cs="Times New Roman"/>
          <w:color w:val="0070C0"/>
          <w:sz w:val="24"/>
          <w:szCs w:val="24"/>
        </w:rPr>
        <w:t xml:space="preserve">We have also appended </w:t>
      </w:r>
      <w:r w:rsidR="008A40E6" w:rsidRPr="00E66EC2">
        <w:rPr>
          <w:rFonts w:ascii="Times New Roman" w:eastAsia="Times New Roman" w:hAnsi="Times New Roman" w:cs="Times New Roman"/>
          <w:color w:val="0070C0"/>
          <w:sz w:val="24"/>
          <w:szCs w:val="24"/>
        </w:rPr>
        <w:t xml:space="preserve">the CHP Workpaper from TRM v9.0, highlighting key </w:t>
      </w:r>
      <w:r w:rsidR="00AC0BCA" w:rsidRPr="00E66EC2">
        <w:rPr>
          <w:rFonts w:ascii="Times New Roman" w:eastAsia="Times New Roman" w:hAnsi="Times New Roman" w:cs="Times New Roman"/>
          <w:color w:val="0070C0"/>
          <w:sz w:val="24"/>
          <w:szCs w:val="24"/>
        </w:rPr>
        <w:t>source energy</w:t>
      </w:r>
      <w:r w:rsidR="008A40E6" w:rsidRPr="00E66EC2">
        <w:rPr>
          <w:rFonts w:ascii="Times New Roman" w:eastAsia="Times New Roman" w:hAnsi="Times New Roman" w:cs="Times New Roman"/>
          <w:color w:val="0070C0"/>
          <w:sz w:val="24"/>
          <w:szCs w:val="24"/>
        </w:rPr>
        <w:t xml:space="preserve"> policies agreed to by the TAC.</w:t>
      </w:r>
      <w:r w:rsidR="00386B31" w:rsidRPr="008A40E6">
        <w:rPr>
          <w:rFonts w:ascii="Times New Roman" w:eastAsia="Times New Roman" w:hAnsi="Times New Roman" w:cs="Times New Roman"/>
          <w:color w:val="00B050"/>
          <w:sz w:val="24"/>
          <w:szCs w:val="24"/>
        </w:rPr>
        <w:br w:type="page"/>
      </w:r>
    </w:p>
    <w:p w14:paraId="681D5EB0" w14:textId="47A5ACBE" w:rsidR="008C2D0A" w:rsidRDefault="008C2D0A" w:rsidP="00D66F0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Policy Questions – March 2021</w:t>
      </w:r>
    </w:p>
    <w:p w14:paraId="39E0CA25" w14:textId="77777777" w:rsidR="008B2FE3" w:rsidRPr="008C2D0A" w:rsidRDefault="008B2FE3" w:rsidP="00D66F07">
      <w:pPr>
        <w:spacing w:after="0" w:line="240" w:lineRule="auto"/>
        <w:rPr>
          <w:rFonts w:ascii="Times New Roman" w:hAnsi="Times New Roman" w:cs="Times New Roman"/>
          <w:b/>
          <w:bCs/>
          <w:sz w:val="24"/>
          <w:szCs w:val="24"/>
          <w:u w:val="single"/>
        </w:rPr>
      </w:pPr>
    </w:p>
    <w:p w14:paraId="240AC6D2" w14:textId="2CDF53E3"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There is a 2-phase question around Section 8-103B(b-25) in </w:t>
      </w:r>
      <w:r w:rsidR="00246652" w:rsidRPr="00F458DD">
        <w:rPr>
          <w:rFonts w:ascii="Times New Roman" w:hAnsi="Times New Roman" w:cs="Times New Roman"/>
          <w:sz w:val="24"/>
          <w:szCs w:val="24"/>
        </w:rPr>
        <w:t>the Future Energy Jobs Act (</w:t>
      </w:r>
      <w:r w:rsidRPr="00F458DD">
        <w:rPr>
          <w:rFonts w:ascii="Times New Roman" w:hAnsi="Times New Roman" w:cs="Times New Roman"/>
          <w:sz w:val="24"/>
          <w:szCs w:val="24"/>
        </w:rPr>
        <w:t>FEJA</w:t>
      </w:r>
      <w:r w:rsidR="00246652" w:rsidRPr="00F458DD">
        <w:rPr>
          <w:rFonts w:ascii="Times New Roman" w:hAnsi="Times New Roman" w:cs="Times New Roman"/>
          <w:sz w:val="24"/>
          <w:szCs w:val="24"/>
        </w:rPr>
        <w:t>)</w:t>
      </w:r>
      <w:r w:rsidRPr="00F458DD">
        <w:rPr>
          <w:rFonts w:ascii="Times New Roman" w:hAnsi="Times New Roman" w:cs="Times New Roman"/>
          <w:sz w:val="24"/>
          <w:szCs w:val="24"/>
        </w:rPr>
        <w:t xml:space="preserve"> – does the statute require the same methodology? If not, is another methodology / conversion factor more appropriate?</w:t>
      </w:r>
    </w:p>
    <w:p w14:paraId="0EA20409" w14:textId="7B1A413D" w:rsidR="005644E7" w:rsidRDefault="005644E7" w:rsidP="005644E7">
      <w:pPr>
        <w:spacing w:after="0" w:line="240" w:lineRule="auto"/>
        <w:rPr>
          <w:rFonts w:ascii="Times New Roman" w:hAnsi="Times New Roman" w:cs="Times New Roman"/>
          <w:sz w:val="24"/>
          <w:szCs w:val="24"/>
        </w:rPr>
      </w:pPr>
    </w:p>
    <w:p w14:paraId="64E5A3DA" w14:textId="77777777" w:rsidR="00B0214F" w:rsidRPr="00E66EC2" w:rsidRDefault="005644E7" w:rsidP="005644E7">
      <w:pPr>
        <w:spacing w:after="0" w:line="240" w:lineRule="auto"/>
        <w:ind w:left="720"/>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Section 8-103B(b-25) requires cross-fuel conservation measures delivered by electric utilities to be converted “to electric energy savings on an equivalent Btu basis for the premises”. </w:t>
      </w:r>
    </w:p>
    <w:p w14:paraId="1E0473E5" w14:textId="77777777" w:rsidR="00B0214F" w:rsidRPr="00E66EC2" w:rsidRDefault="00B0214F" w:rsidP="005644E7">
      <w:pPr>
        <w:spacing w:after="0" w:line="240" w:lineRule="auto"/>
        <w:ind w:left="720"/>
        <w:rPr>
          <w:rFonts w:ascii="Times New Roman" w:hAnsi="Times New Roman" w:cs="Times New Roman"/>
          <w:color w:val="0070C0"/>
          <w:sz w:val="24"/>
          <w:szCs w:val="24"/>
        </w:rPr>
      </w:pPr>
    </w:p>
    <w:p w14:paraId="3945AB7C" w14:textId="08241F10" w:rsidR="005644E7" w:rsidRPr="00E66EC2" w:rsidRDefault="005644E7" w:rsidP="005644E7">
      <w:pPr>
        <w:spacing w:after="0" w:line="240" w:lineRule="auto"/>
        <w:ind w:left="720"/>
        <w:rPr>
          <w:rFonts w:ascii="Times New Roman" w:hAnsi="Times New Roman" w:cs="Times New Roman"/>
          <w:color w:val="0070C0"/>
          <w:sz w:val="24"/>
          <w:szCs w:val="24"/>
        </w:rPr>
      </w:pPr>
      <w:r w:rsidRPr="00E66EC2">
        <w:rPr>
          <w:rFonts w:ascii="Times New Roman" w:hAnsi="Times New Roman" w:cs="Times New Roman"/>
          <w:color w:val="0070C0"/>
          <w:sz w:val="24"/>
          <w:szCs w:val="24"/>
        </w:rPr>
        <w:t>Section 8-103B(b-25) does not apply to fuel switching and fuel switching savings should continue to be converted to electricity using source savings.</w:t>
      </w:r>
    </w:p>
    <w:p w14:paraId="1A701FB1" w14:textId="77777777" w:rsidR="005644E7" w:rsidRPr="005644E7" w:rsidRDefault="005644E7" w:rsidP="005644E7">
      <w:pPr>
        <w:spacing w:after="0" w:line="240" w:lineRule="auto"/>
        <w:rPr>
          <w:rFonts w:ascii="Times New Roman" w:hAnsi="Times New Roman" w:cs="Times New Roman"/>
          <w:sz w:val="24"/>
          <w:szCs w:val="24"/>
        </w:rPr>
      </w:pPr>
    </w:p>
    <w:p w14:paraId="4C7A26A7"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Does Section 8-103B(b-25) relate to measures / programs that save both gas and electric for joint programs (or non-joint programs)?</w:t>
      </w:r>
    </w:p>
    <w:p w14:paraId="146A0B2E" w14:textId="4CA46F27" w:rsidR="005644E7" w:rsidRDefault="005644E7" w:rsidP="005644E7">
      <w:pPr>
        <w:pStyle w:val="ListParagraph"/>
        <w:spacing w:after="0" w:line="240" w:lineRule="auto"/>
        <w:ind w:left="1440"/>
        <w:rPr>
          <w:rFonts w:ascii="Times New Roman" w:hAnsi="Times New Roman" w:cs="Times New Roman"/>
          <w:sz w:val="24"/>
          <w:szCs w:val="24"/>
        </w:rPr>
      </w:pPr>
    </w:p>
    <w:p w14:paraId="1B0732C3" w14:textId="77777777" w:rsidR="005644E7" w:rsidRPr="00E66EC2" w:rsidRDefault="005644E7" w:rsidP="005644E7">
      <w:pPr>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The first paragraph of 8-103B(b-25) applies to joint programs.  The second paragraph applies to non-jointly offered programs and non-jointly offered measures.  </w:t>
      </w:r>
    </w:p>
    <w:p w14:paraId="7E333449" w14:textId="77777777" w:rsidR="005644E7" w:rsidRPr="00E66EC2" w:rsidRDefault="005644E7" w:rsidP="005644E7">
      <w:pPr>
        <w:spacing w:after="0" w:line="240" w:lineRule="auto"/>
        <w:ind w:left="2160"/>
        <w:rPr>
          <w:rFonts w:ascii="Times New Roman" w:hAnsi="Times New Roman" w:cs="Times New Roman"/>
          <w:color w:val="0070C0"/>
          <w:sz w:val="24"/>
          <w:szCs w:val="24"/>
        </w:rPr>
      </w:pPr>
    </w:p>
    <w:p w14:paraId="5B49030F" w14:textId="07EE0164" w:rsidR="005644E7" w:rsidRPr="00E66EC2" w:rsidRDefault="005644E7" w:rsidP="00102798">
      <w:pPr>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More importantly, Section 8-103B(b-25) </w:t>
      </w:r>
      <w:r w:rsidRPr="00E66EC2">
        <w:rPr>
          <w:rFonts w:ascii="Times New Roman" w:hAnsi="Times New Roman" w:cs="Times New Roman"/>
          <w:i/>
          <w:iCs/>
          <w:color w:val="0070C0"/>
          <w:sz w:val="24"/>
          <w:szCs w:val="24"/>
        </w:rPr>
        <w:t>only</w:t>
      </w:r>
      <w:r w:rsidRPr="00E66EC2">
        <w:rPr>
          <w:rFonts w:ascii="Times New Roman" w:hAnsi="Times New Roman" w:cs="Times New Roman"/>
          <w:color w:val="0070C0"/>
          <w:sz w:val="24"/>
          <w:szCs w:val="24"/>
        </w:rPr>
        <w:t xml:space="preserve"> applies to measures/programs that </w:t>
      </w:r>
      <w:r w:rsidRPr="00E66EC2">
        <w:rPr>
          <w:rFonts w:ascii="Times New Roman" w:hAnsi="Times New Roman" w:cs="Times New Roman"/>
          <w:i/>
          <w:iCs/>
          <w:color w:val="0070C0"/>
          <w:sz w:val="24"/>
          <w:szCs w:val="24"/>
        </w:rPr>
        <w:t>save</w:t>
      </w:r>
      <w:r w:rsidRPr="00E66EC2">
        <w:rPr>
          <w:rFonts w:ascii="Times New Roman" w:hAnsi="Times New Roman" w:cs="Times New Roman"/>
          <w:color w:val="0070C0"/>
          <w:sz w:val="24"/>
          <w:szCs w:val="24"/>
        </w:rPr>
        <w:t xml:space="preserve"> </w:t>
      </w:r>
      <w:r w:rsidR="00DC132C" w:rsidRPr="00E66EC2">
        <w:rPr>
          <w:rFonts w:ascii="Times New Roman" w:hAnsi="Times New Roman" w:cs="Times New Roman"/>
          <w:i/>
          <w:color w:val="0070C0"/>
          <w:sz w:val="24"/>
          <w:szCs w:val="24"/>
        </w:rPr>
        <w:t xml:space="preserve">both </w:t>
      </w:r>
      <w:r w:rsidR="00DC132C" w:rsidRPr="00E66EC2">
        <w:rPr>
          <w:rFonts w:ascii="Times New Roman" w:hAnsi="Times New Roman" w:cs="Times New Roman"/>
          <w:color w:val="0070C0"/>
          <w:sz w:val="24"/>
          <w:szCs w:val="24"/>
        </w:rPr>
        <w:t xml:space="preserve">electricity and other </w:t>
      </w:r>
      <w:proofErr w:type="gramStart"/>
      <w:r w:rsidR="00DC132C" w:rsidRPr="00E66EC2">
        <w:rPr>
          <w:rFonts w:ascii="Times New Roman" w:hAnsi="Times New Roman" w:cs="Times New Roman"/>
          <w:color w:val="0070C0"/>
          <w:sz w:val="24"/>
          <w:szCs w:val="24"/>
        </w:rPr>
        <w:t>fuels</w:t>
      </w:r>
      <w:r w:rsidRPr="00E66EC2">
        <w:rPr>
          <w:rFonts w:ascii="Times New Roman" w:hAnsi="Times New Roman" w:cs="Times New Roman"/>
          <w:color w:val="0070C0"/>
          <w:sz w:val="24"/>
          <w:szCs w:val="24"/>
        </w:rPr>
        <w:t>(</w:t>
      </w:r>
      <w:proofErr w:type="gramEnd"/>
      <w:r w:rsidRPr="00E66EC2">
        <w:rPr>
          <w:rFonts w:ascii="Times New Roman" w:hAnsi="Times New Roman" w:cs="Times New Roman"/>
          <w:color w:val="0070C0"/>
          <w:sz w:val="24"/>
          <w:szCs w:val="24"/>
        </w:rPr>
        <w:t>i.e., own-fuel energy conservation or cross-fuel conservation). Therefore, the requirement in b-25 to convert “to electric energy savings on an equivalent Btu basis for the premises” only applies to cross-fuel conservation measures. It does not apply to fuel switch measures.</w:t>
      </w:r>
    </w:p>
    <w:p w14:paraId="63E1130B" w14:textId="77777777" w:rsidR="005644E7" w:rsidRDefault="005644E7" w:rsidP="005644E7">
      <w:pPr>
        <w:pStyle w:val="ListParagraph"/>
        <w:spacing w:after="0" w:line="240" w:lineRule="auto"/>
        <w:ind w:left="1440"/>
        <w:rPr>
          <w:rFonts w:ascii="Times New Roman" w:hAnsi="Times New Roman" w:cs="Times New Roman"/>
          <w:sz w:val="24"/>
          <w:szCs w:val="24"/>
        </w:rPr>
      </w:pPr>
    </w:p>
    <w:p w14:paraId="0529AFA3" w14:textId="7650F69B"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Since FEJA states that claiming savings from “other fuels” is permissible for measures or programs that save both electricity and other fuels, what does that mean (specifically “</w:t>
      </w:r>
      <w:r w:rsidRPr="00F458DD">
        <w:rPr>
          <w:rFonts w:ascii="Times New Roman" w:hAnsi="Times New Roman" w:cs="Times New Roman"/>
          <w:i/>
          <w:iCs/>
          <w:sz w:val="24"/>
          <w:szCs w:val="24"/>
        </w:rPr>
        <w:t>measures or programs that save both electricity and other fuels</w:t>
      </w:r>
      <w:r w:rsidRPr="00F458DD">
        <w:rPr>
          <w:rFonts w:ascii="Times New Roman" w:hAnsi="Times New Roman" w:cs="Times New Roman"/>
          <w:sz w:val="24"/>
          <w:szCs w:val="24"/>
        </w:rPr>
        <w:t>?”)</w:t>
      </w:r>
    </w:p>
    <w:p w14:paraId="1B1186C1" w14:textId="5B1AFE3E" w:rsidR="005644E7" w:rsidRPr="00E66EC2" w:rsidRDefault="005644E7" w:rsidP="005644E7">
      <w:pPr>
        <w:spacing w:after="0" w:line="240" w:lineRule="auto"/>
        <w:rPr>
          <w:rFonts w:ascii="Times New Roman" w:hAnsi="Times New Roman" w:cs="Times New Roman"/>
          <w:color w:val="0070C0"/>
          <w:sz w:val="24"/>
          <w:szCs w:val="24"/>
        </w:rPr>
      </w:pPr>
    </w:p>
    <w:p w14:paraId="3773D293" w14:textId="77777777" w:rsidR="005644E7" w:rsidRPr="00E66EC2" w:rsidRDefault="005644E7" w:rsidP="005644E7">
      <w:pPr>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The term “measures or programs that save both electricity and other fuels” means either of the following:</w:t>
      </w:r>
    </w:p>
    <w:p w14:paraId="71621390" w14:textId="77777777" w:rsidR="005644E7" w:rsidRPr="00E66EC2" w:rsidRDefault="005644E7" w:rsidP="005644E7">
      <w:pPr>
        <w:spacing w:after="0" w:line="240" w:lineRule="auto"/>
        <w:ind w:left="1728" w:hanging="288"/>
        <w:rPr>
          <w:rFonts w:ascii="Times New Roman" w:hAnsi="Times New Roman" w:cs="Times New Roman"/>
          <w:color w:val="0070C0"/>
          <w:sz w:val="24"/>
          <w:szCs w:val="24"/>
        </w:rPr>
      </w:pPr>
      <w:r w:rsidRPr="00E66EC2">
        <w:rPr>
          <w:rFonts w:ascii="Times New Roman" w:hAnsi="Times New Roman" w:cs="Times New Roman"/>
          <w:color w:val="0070C0"/>
          <w:sz w:val="24"/>
          <w:szCs w:val="24"/>
        </w:rPr>
        <w:t>•</w:t>
      </w:r>
      <w:r w:rsidRPr="00E66EC2">
        <w:rPr>
          <w:rFonts w:ascii="Times New Roman" w:hAnsi="Times New Roman" w:cs="Times New Roman"/>
          <w:color w:val="0070C0"/>
          <w:sz w:val="24"/>
          <w:szCs w:val="24"/>
        </w:rPr>
        <w:tab/>
        <w:t>Measures that save both electricity and other fuels (e.g., advanced thermostats, air sealing, attic insulation)</w:t>
      </w:r>
    </w:p>
    <w:p w14:paraId="5A956410" w14:textId="15330CDC" w:rsidR="005644E7" w:rsidRPr="00E66EC2" w:rsidRDefault="005644E7" w:rsidP="005644E7">
      <w:pPr>
        <w:spacing w:after="0" w:line="240" w:lineRule="auto"/>
        <w:ind w:left="1728" w:hanging="288"/>
        <w:rPr>
          <w:rFonts w:ascii="Times New Roman" w:hAnsi="Times New Roman" w:cs="Times New Roman"/>
          <w:color w:val="0070C0"/>
          <w:sz w:val="24"/>
          <w:szCs w:val="24"/>
        </w:rPr>
      </w:pPr>
      <w:r w:rsidRPr="00E66EC2">
        <w:rPr>
          <w:rFonts w:ascii="Times New Roman" w:hAnsi="Times New Roman" w:cs="Times New Roman"/>
          <w:color w:val="0070C0"/>
          <w:sz w:val="24"/>
          <w:szCs w:val="24"/>
        </w:rPr>
        <w:t>•</w:t>
      </w:r>
      <w:r w:rsidRPr="00E66EC2">
        <w:rPr>
          <w:rFonts w:ascii="Times New Roman" w:hAnsi="Times New Roman" w:cs="Times New Roman"/>
          <w:color w:val="0070C0"/>
          <w:sz w:val="24"/>
          <w:szCs w:val="24"/>
        </w:rPr>
        <w:tab/>
        <w:t xml:space="preserve">Programs that save both electricity and other fuels (e.g., income qualified programs that offer own-fuel conservation measures for electricity—such as LED lamps and efficient air conditioners—and also offer cross-fuel conservation measures for other fuels—such as </w:t>
      </w:r>
      <w:r w:rsidR="00B0214F" w:rsidRPr="00E66EC2">
        <w:rPr>
          <w:rFonts w:ascii="Times New Roman" w:hAnsi="Times New Roman" w:cs="Times New Roman"/>
          <w:color w:val="0070C0"/>
          <w:sz w:val="24"/>
          <w:szCs w:val="24"/>
        </w:rPr>
        <w:t xml:space="preserve">faucet </w:t>
      </w:r>
      <w:r w:rsidRPr="00E66EC2">
        <w:rPr>
          <w:rFonts w:ascii="Times New Roman" w:hAnsi="Times New Roman" w:cs="Times New Roman"/>
          <w:color w:val="0070C0"/>
          <w:sz w:val="24"/>
          <w:szCs w:val="24"/>
        </w:rPr>
        <w:t>aerators and efficient furnaces).</w:t>
      </w:r>
    </w:p>
    <w:p w14:paraId="302C9141" w14:textId="77777777" w:rsidR="005644E7" w:rsidRPr="00E66EC2" w:rsidRDefault="005644E7" w:rsidP="005644E7">
      <w:pPr>
        <w:spacing w:after="0" w:line="240" w:lineRule="auto"/>
        <w:ind w:left="1440"/>
        <w:rPr>
          <w:rFonts w:ascii="Times New Roman" w:hAnsi="Times New Roman" w:cs="Times New Roman"/>
          <w:color w:val="0070C0"/>
          <w:sz w:val="24"/>
          <w:szCs w:val="24"/>
        </w:rPr>
      </w:pPr>
    </w:p>
    <w:p w14:paraId="38CD437B" w14:textId="2F5A6E4E" w:rsidR="005644E7" w:rsidRPr="00E66EC2" w:rsidRDefault="005644E7" w:rsidP="005644E7">
      <w:pPr>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The term does not apply to fuel switching measures, because fuel switching measures </w:t>
      </w:r>
      <w:r w:rsidRPr="00E66EC2">
        <w:rPr>
          <w:rFonts w:ascii="Times New Roman" w:hAnsi="Times New Roman" w:cs="Times New Roman"/>
          <w:i/>
          <w:iCs/>
          <w:color w:val="0070C0"/>
          <w:sz w:val="24"/>
          <w:szCs w:val="24"/>
        </w:rPr>
        <w:t>increase</w:t>
      </w:r>
      <w:r w:rsidRPr="00E66EC2">
        <w:rPr>
          <w:rFonts w:ascii="Times New Roman" w:hAnsi="Times New Roman" w:cs="Times New Roman"/>
          <w:color w:val="0070C0"/>
          <w:sz w:val="24"/>
          <w:szCs w:val="24"/>
        </w:rPr>
        <w:t xml:space="preserve"> usage for one fuel; they do not </w:t>
      </w:r>
      <w:r w:rsidRPr="00E66EC2">
        <w:rPr>
          <w:rFonts w:ascii="Times New Roman" w:hAnsi="Times New Roman" w:cs="Times New Roman"/>
          <w:i/>
          <w:iCs/>
          <w:color w:val="0070C0"/>
          <w:sz w:val="24"/>
          <w:szCs w:val="24"/>
        </w:rPr>
        <w:t>save both</w:t>
      </w:r>
      <w:r w:rsidRPr="00E66EC2">
        <w:rPr>
          <w:rFonts w:ascii="Times New Roman" w:hAnsi="Times New Roman" w:cs="Times New Roman"/>
          <w:color w:val="0070C0"/>
          <w:sz w:val="24"/>
          <w:szCs w:val="24"/>
        </w:rPr>
        <w:t xml:space="preserve"> electricity and other fuels. </w:t>
      </w:r>
    </w:p>
    <w:p w14:paraId="7F89D037" w14:textId="77777777" w:rsidR="00875C33" w:rsidRPr="00875C33" w:rsidRDefault="00875C33" w:rsidP="00875C33">
      <w:pPr>
        <w:spacing w:after="0" w:line="240" w:lineRule="auto"/>
        <w:rPr>
          <w:rFonts w:ascii="Times New Roman" w:hAnsi="Times New Roman" w:cs="Times New Roman"/>
          <w:sz w:val="24"/>
          <w:szCs w:val="24"/>
        </w:rPr>
      </w:pPr>
    </w:p>
    <w:p w14:paraId="2B43A0F6" w14:textId="1E4304B0"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lastRenderedPageBreak/>
        <w:t>Should site or source savings be used for screening criteria (whether a project qualifies as an energy efficiency measure)?</w:t>
      </w:r>
    </w:p>
    <w:p w14:paraId="33C94932" w14:textId="77777777" w:rsidR="005644E7" w:rsidRPr="00E66EC2" w:rsidRDefault="005644E7" w:rsidP="005644E7">
      <w:pPr>
        <w:spacing w:after="0" w:line="240" w:lineRule="auto"/>
        <w:ind w:left="720"/>
        <w:rPr>
          <w:rFonts w:ascii="Times New Roman" w:hAnsi="Times New Roman" w:cs="Times New Roman"/>
          <w:color w:val="0070C0"/>
          <w:sz w:val="24"/>
          <w:szCs w:val="24"/>
        </w:rPr>
      </w:pPr>
      <w:r w:rsidRPr="00E66EC2">
        <w:rPr>
          <w:rFonts w:ascii="Times New Roman" w:hAnsi="Times New Roman" w:cs="Times New Roman"/>
          <w:color w:val="0070C0"/>
          <w:sz w:val="24"/>
          <w:szCs w:val="24"/>
        </w:rPr>
        <w:t>For energy conservation measures (both own-fuel and cross-fuel), site savings will always produce source savings, and so no screening criteria is needed.</w:t>
      </w:r>
    </w:p>
    <w:p w14:paraId="4C09C4BA" w14:textId="77777777" w:rsidR="005644E7" w:rsidRPr="00E66EC2" w:rsidRDefault="005644E7" w:rsidP="005644E7">
      <w:pPr>
        <w:spacing w:after="0" w:line="240" w:lineRule="auto"/>
        <w:ind w:left="720"/>
        <w:rPr>
          <w:rFonts w:ascii="Times New Roman" w:hAnsi="Times New Roman" w:cs="Times New Roman"/>
          <w:color w:val="0070C0"/>
          <w:sz w:val="24"/>
          <w:szCs w:val="24"/>
        </w:rPr>
      </w:pPr>
    </w:p>
    <w:p w14:paraId="295DCB16" w14:textId="20C47BDD" w:rsidR="005644E7" w:rsidRPr="00E66EC2" w:rsidRDefault="005644E7" w:rsidP="00B0214F">
      <w:pPr>
        <w:spacing w:after="0" w:line="240" w:lineRule="auto"/>
        <w:ind w:left="720"/>
        <w:rPr>
          <w:rFonts w:ascii="Times New Roman" w:hAnsi="Times New Roman" w:cs="Times New Roman"/>
          <w:color w:val="0070C0"/>
          <w:sz w:val="24"/>
          <w:szCs w:val="24"/>
        </w:rPr>
      </w:pPr>
      <w:r w:rsidRPr="00E66EC2">
        <w:rPr>
          <w:rFonts w:ascii="Times New Roman" w:hAnsi="Times New Roman" w:cs="Times New Roman"/>
          <w:color w:val="0070C0"/>
          <w:sz w:val="24"/>
          <w:szCs w:val="24"/>
        </w:rPr>
        <w:t>For fuel switching measures, source savings should continue to be the screening criteria.</w:t>
      </w:r>
    </w:p>
    <w:p w14:paraId="33DDF1FB" w14:textId="77777777" w:rsidR="00F00400" w:rsidRDefault="00F00400" w:rsidP="00F00400">
      <w:pPr>
        <w:pStyle w:val="ListParagraph"/>
        <w:spacing w:after="0" w:line="240" w:lineRule="auto"/>
        <w:rPr>
          <w:rFonts w:ascii="Times New Roman" w:hAnsi="Times New Roman" w:cs="Times New Roman"/>
          <w:sz w:val="24"/>
          <w:szCs w:val="24"/>
        </w:rPr>
      </w:pPr>
    </w:p>
    <w:p w14:paraId="52EF3BA5" w14:textId="77777777" w:rsidR="00F00400" w:rsidRPr="00F458DD" w:rsidRDefault="00F00400" w:rsidP="00F00400">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If using source energy is the SAG decision, how is “source energy” or “carbon equivalency” defined for each fuel?</w:t>
      </w:r>
    </w:p>
    <w:p w14:paraId="3ECFFB83" w14:textId="7F6DE67B" w:rsidR="00F00400" w:rsidRDefault="00F00400" w:rsidP="00F00400">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What losses, if any, should be included in source energy?</w:t>
      </w:r>
    </w:p>
    <w:p w14:paraId="62DA3579" w14:textId="77777777" w:rsidR="00B0214F" w:rsidRPr="00E66EC2" w:rsidRDefault="00B0214F" w:rsidP="005644E7">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For electric savings, l</w:t>
      </w:r>
      <w:r w:rsidR="005644E7" w:rsidRPr="00E66EC2">
        <w:rPr>
          <w:rFonts w:ascii="Times New Roman" w:hAnsi="Times New Roman" w:cs="Times New Roman"/>
          <w:color w:val="0070C0"/>
          <w:sz w:val="24"/>
          <w:szCs w:val="24"/>
        </w:rPr>
        <w:t xml:space="preserve">osses should be calculated for the distribution system, transmission system, and electric generation. </w:t>
      </w:r>
    </w:p>
    <w:p w14:paraId="53538B0D" w14:textId="77777777" w:rsidR="00B0214F" w:rsidRPr="00E66EC2" w:rsidRDefault="00B0214F" w:rsidP="005644E7">
      <w:pPr>
        <w:pStyle w:val="ListParagraph"/>
        <w:spacing w:after="0" w:line="240" w:lineRule="auto"/>
        <w:ind w:left="1440"/>
        <w:rPr>
          <w:rFonts w:ascii="Times New Roman" w:hAnsi="Times New Roman" w:cs="Times New Roman"/>
          <w:color w:val="0070C0"/>
          <w:sz w:val="24"/>
          <w:szCs w:val="24"/>
        </w:rPr>
      </w:pPr>
    </w:p>
    <w:p w14:paraId="242102BD" w14:textId="6805B46C" w:rsidR="005644E7" w:rsidRPr="00E66EC2" w:rsidRDefault="00DC132C" w:rsidP="005644E7">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For n</w:t>
      </w:r>
      <w:r w:rsidR="00B0214F" w:rsidRPr="00E66EC2">
        <w:rPr>
          <w:rFonts w:ascii="Times New Roman" w:hAnsi="Times New Roman" w:cs="Times New Roman"/>
          <w:color w:val="0070C0"/>
          <w:sz w:val="24"/>
          <w:szCs w:val="24"/>
        </w:rPr>
        <w:t>atural gas savings, l</w:t>
      </w:r>
      <w:r w:rsidR="005644E7" w:rsidRPr="00E66EC2">
        <w:rPr>
          <w:rFonts w:ascii="Times New Roman" w:hAnsi="Times New Roman" w:cs="Times New Roman"/>
          <w:color w:val="0070C0"/>
          <w:sz w:val="24"/>
          <w:szCs w:val="24"/>
        </w:rPr>
        <w:t>osses should be calculated for the distribution system and transmission system.</w:t>
      </w:r>
      <w:r w:rsidR="00B0214F" w:rsidRPr="00E66EC2">
        <w:rPr>
          <w:rFonts w:ascii="Times New Roman" w:hAnsi="Times New Roman" w:cs="Times New Roman"/>
          <w:color w:val="0070C0"/>
          <w:sz w:val="24"/>
          <w:szCs w:val="24"/>
        </w:rPr>
        <w:t xml:space="preserve"> (Currently these losses are excluded from TRM calculations.)</w:t>
      </w:r>
    </w:p>
    <w:p w14:paraId="0F755A97" w14:textId="77777777" w:rsidR="005644E7" w:rsidRPr="005644E7" w:rsidRDefault="005644E7" w:rsidP="005644E7">
      <w:pPr>
        <w:spacing w:after="0" w:line="240" w:lineRule="auto"/>
        <w:rPr>
          <w:rFonts w:ascii="Times New Roman" w:hAnsi="Times New Roman" w:cs="Times New Roman"/>
          <w:sz w:val="24"/>
          <w:szCs w:val="24"/>
        </w:rPr>
      </w:pPr>
    </w:p>
    <w:p w14:paraId="501BBB5A" w14:textId="17CE4B62" w:rsidR="00F00400" w:rsidRDefault="00F00400" w:rsidP="00F00400">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historic, current or forecast be used, or a blend?</w:t>
      </w:r>
    </w:p>
    <w:p w14:paraId="6D675612" w14:textId="1D93F3F3" w:rsidR="005644E7" w:rsidRPr="00E66EC2" w:rsidRDefault="005644E7" w:rsidP="005644E7">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Forecasts of marginal source Btu/carbon should be used. TAC should be charged with developing appropriate data sources and algorithms that best reflect this, understanding that any forecast is imperfect and some reasonable estimat</w:t>
      </w:r>
      <w:r w:rsidR="00B0214F" w:rsidRPr="00E66EC2">
        <w:rPr>
          <w:rFonts w:ascii="Times New Roman" w:hAnsi="Times New Roman" w:cs="Times New Roman"/>
          <w:color w:val="0070C0"/>
          <w:sz w:val="24"/>
          <w:szCs w:val="24"/>
        </w:rPr>
        <w:t>e</w:t>
      </w:r>
      <w:r w:rsidRPr="00E66EC2">
        <w:rPr>
          <w:rFonts w:ascii="Times New Roman" w:hAnsi="Times New Roman" w:cs="Times New Roman"/>
          <w:color w:val="0070C0"/>
          <w:sz w:val="24"/>
          <w:szCs w:val="24"/>
        </w:rPr>
        <w:t>s will be required.</w:t>
      </w:r>
    </w:p>
    <w:p w14:paraId="3BA263CE" w14:textId="5FDBBA50" w:rsidR="005644E7" w:rsidRDefault="005644E7" w:rsidP="005644E7">
      <w:pPr>
        <w:spacing w:after="0" w:line="240" w:lineRule="auto"/>
        <w:rPr>
          <w:rFonts w:ascii="Times New Roman" w:hAnsi="Times New Roman" w:cs="Times New Roman"/>
          <w:sz w:val="24"/>
          <w:szCs w:val="24"/>
        </w:rPr>
      </w:pPr>
    </w:p>
    <w:p w14:paraId="5C82BF4D"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bookmarkStart w:id="0" w:name="_Hlk69453150"/>
      <w:r w:rsidRPr="00F458DD">
        <w:rPr>
          <w:rFonts w:ascii="Times New Roman" w:hAnsi="Times New Roman" w:cs="Times New Roman"/>
          <w:sz w:val="24"/>
          <w:szCs w:val="24"/>
        </w:rPr>
        <w:t>Should site or source savings (or carbon equivalency) be used for counting savings?</w:t>
      </w:r>
    </w:p>
    <w:p w14:paraId="1EF1E72F" w14:textId="2FD4F58C"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Does the decision depend on whether it’s an energy conservation measure vs. a fuel switching measure?</w:t>
      </w:r>
    </w:p>
    <w:p w14:paraId="78030D5A" w14:textId="77777777" w:rsidR="008D1088" w:rsidRPr="00E66EC2" w:rsidRDefault="008D1088" w:rsidP="008D1088">
      <w:pPr>
        <w:pStyle w:val="ListParagraph"/>
        <w:spacing w:after="0" w:line="240" w:lineRule="auto"/>
        <w:ind w:left="1440"/>
        <w:rPr>
          <w:rFonts w:ascii="Times New Roman" w:hAnsi="Times New Roman" w:cs="Times New Roman"/>
          <w:color w:val="0070C0"/>
          <w:sz w:val="24"/>
          <w:szCs w:val="24"/>
        </w:rPr>
      </w:pPr>
      <w:bookmarkStart w:id="1" w:name="_Hlk69453135"/>
      <w:bookmarkEnd w:id="0"/>
      <w:r w:rsidRPr="00E66EC2">
        <w:rPr>
          <w:rFonts w:ascii="Times New Roman" w:hAnsi="Times New Roman" w:cs="Times New Roman"/>
          <w:color w:val="0070C0"/>
          <w:sz w:val="24"/>
          <w:szCs w:val="24"/>
        </w:rPr>
        <w:t xml:space="preserve">Yes, the approach depends on the type of measure. </w:t>
      </w:r>
    </w:p>
    <w:p w14:paraId="282428F0" w14:textId="6DF5A5BA" w:rsidR="008D1088" w:rsidRPr="00E66EC2" w:rsidRDefault="008D1088" w:rsidP="008D1088">
      <w:pPr>
        <w:pStyle w:val="ListParagraph"/>
        <w:numPr>
          <w:ilvl w:val="0"/>
          <w:numId w:val="4"/>
        </w:numPr>
        <w:spacing w:after="0" w:line="240" w:lineRule="auto"/>
        <w:rPr>
          <w:rFonts w:ascii="Times New Roman" w:hAnsi="Times New Roman" w:cs="Times New Roman"/>
          <w:color w:val="0070C0"/>
          <w:sz w:val="24"/>
          <w:szCs w:val="24"/>
        </w:rPr>
      </w:pPr>
      <w:r w:rsidRPr="00E66EC2">
        <w:rPr>
          <w:rFonts w:ascii="Times New Roman" w:hAnsi="Times New Roman" w:cs="Times New Roman"/>
          <w:color w:val="0070C0"/>
          <w:sz w:val="24"/>
          <w:szCs w:val="24"/>
        </w:rPr>
        <w:t>For own-fuel energy conservation measures, no source/carbon savings calculation is required</w:t>
      </w:r>
      <w:r w:rsidR="0045567B" w:rsidRPr="00E66EC2">
        <w:rPr>
          <w:rFonts w:ascii="Times New Roman" w:hAnsi="Times New Roman" w:cs="Times New Roman"/>
          <w:color w:val="0070C0"/>
          <w:sz w:val="24"/>
          <w:szCs w:val="24"/>
        </w:rPr>
        <w:t>, because measure savings are in the same units as utility performance goals.</w:t>
      </w:r>
    </w:p>
    <w:p w14:paraId="0E4340C1" w14:textId="56F12011" w:rsidR="008D1088" w:rsidRPr="00E66EC2" w:rsidRDefault="008D1088" w:rsidP="008D1088">
      <w:pPr>
        <w:pStyle w:val="ListParagraph"/>
        <w:numPr>
          <w:ilvl w:val="0"/>
          <w:numId w:val="4"/>
        </w:numPr>
        <w:spacing w:after="0" w:line="240" w:lineRule="auto"/>
        <w:rPr>
          <w:rFonts w:ascii="Times New Roman" w:hAnsi="Times New Roman" w:cs="Times New Roman"/>
          <w:color w:val="0070C0"/>
          <w:sz w:val="24"/>
          <w:szCs w:val="24"/>
        </w:rPr>
      </w:pPr>
      <w:r w:rsidRPr="00E66EC2">
        <w:rPr>
          <w:rFonts w:ascii="Times New Roman" w:hAnsi="Times New Roman" w:cs="Times New Roman"/>
          <w:color w:val="0070C0"/>
          <w:sz w:val="24"/>
          <w:szCs w:val="24"/>
        </w:rPr>
        <w:t>For cross-fuel energy conservation,</w:t>
      </w:r>
      <w:r w:rsidR="004A5FD2" w:rsidRPr="00E66EC2">
        <w:rPr>
          <w:rFonts w:ascii="Times New Roman" w:hAnsi="Times New Roman" w:cs="Times New Roman"/>
          <w:color w:val="0070C0"/>
          <w:sz w:val="24"/>
          <w:szCs w:val="24"/>
        </w:rPr>
        <w:t xml:space="preserve"> </w:t>
      </w:r>
      <w:r w:rsidR="00B0214F" w:rsidRPr="00E66EC2">
        <w:rPr>
          <w:rFonts w:ascii="Times New Roman" w:hAnsi="Times New Roman" w:cs="Times New Roman"/>
          <w:color w:val="0070C0"/>
          <w:sz w:val="24"/>
          <w:szCs w:val="24"/>
        </w:rPr>
        <w:t xml:space="preserve">Section </w:t>
      </w:r>
      <w:r w:rsidRPr="00E66EC2">
        <w:rPr>
          <w:rFonts w:ascii="Times New Roman" w:hAnsi="Times New Roman" w:cs="Times New Roman"/>
          <w:color w:val="0070C0"/>
          <w:sz w:val="24"/>
          <w:szCs w:val="24"/>
        </w:rPr>
        <w:t xml:space="preserve">8-103B(b-25) </w:t>
      </w:r>
      <w:r w:rsidR="00B0214F" w:rsidRPr="00E66EC2">
        <w:rPr>
          <w:rFonts w:ascii="Times New Roman" w:hAnsi="Times New Roman" w:cs="Times New Roman"/>
          <w:color w:val="0070C0"/>
          <w:sz w:val="24"/>
          <w:szCs w:val="24"/>
        </w:rPr>
        <w:t xml:space="preserve">requires </w:t>
      </w:r>
      <w:r w:rsidRPr="00E66EC2">
        <w:rPr>
          <w:rFonts w:ascii="Times New Roman" w:hAnsi="Times New Roman" w:cs="Times New Roman"/>
          <w:color w:val="0070C0"/>
          <w:sz w:val="24"/>
          <w:szCs w:val="24"/>
        </w:rPr>
        <w:t>that</w:t>
      </w:r>
      <w:r w:rsidR="0045567B" w:rsidRPr="00E66EC2">
        <w:rPr>
          <w:rFonts w:ascii="Times New Roman" w:hAnsi="Times New Roman" w:cs="Times New Roman"/>
          <w:color w:val="0070C0"/>
          <w:sz w:val="24"/>
          <w:szCs w:val="24"/>
        </w:rPr>
        <w:t>, for the purpose of converting nonelectric savings to electric savings goals</w:t>
      </w:r>
      <w:r w:rsidRPr="00E66EC2">
        <w:rPr>
          <w:rFonts w:ascii="Times New Roman" w:hAnsi="Times New Roman" w:cs="Times New Roman"/>
          <w:color w:val="0070C0"/>
          <w:sz w:val="24"/>
          <w:szCs w:val="24"/>
        </w:rPr>
        <w:t xml:space="preserve"> “...the energy savings value associated with such other fuels shall be converted to electric energy savings on an equivalent Btu basis for the premises.”</w:t>
      </w:r>
    </w:p>
    <w:p w14:paraId="4AA00595" w14:textId="5EEA32E2" w:rsidR="008D1088" w:rsidRPr="00E66EC2" w:rsidRDefault="008D1088" w:rsidP="00B0214F">
      <w:pPr>
        <w:pStyle w:val="ListParagraph"/>
        <w:numPr>
          <w:ilvl w:val="0"/>
          <w:numId w:val="4"/>
        </w:numPr>
        <w:spacing w:after="0" w:line="240" w:lineRule="auto"/>
        <w:rPr>
          <w:rFonts w:ascii="Times New Roman" w:hAnsi="Times New Roman" w:cs="Times New Roman"/>
          <w:color w:val="0070C0"/>
          <w:sz w:val="24"/>
          <w:szCs w:val="24"/>
        </w:rPr>
      </w:pPr>
      <w:r w:rsidRPr="00E66EC2">
        <w:rPr>
          <w:rFonts w:ascii="Times New Roman" w:hAnsi="Times New Roman" w:cs="Times New Roman"/>
          <w:color w:val="0070C0"/>
          <w:sz w:val="24"/>
          <w:szCs w:val="24"/>
        </w:rPr>
        <w:t>For fuel switching measures, source savings should continue to be the</w:t>
      </w:r>
      <w:r w:rsidR="0045567B" w:rsidRPr="00E66EC2">
        <w:rPr>
          <w:rFonts w:ascii="Times New Roman" w:hAnsi="Times New Roman" w:cs="Times New Roman"/>
          <w:color w:val="0070C0"/>
          <w:sz w:val="24"/>
          <w:szCs w:val="24"/>
        </w:rPr>
        <w:t xml:space="preserve"> basis for counting savings</w:t>
      </w:r>
      <w:r w:rsidRPr="00E66EC2">
        <w:rPr>
          <w:rFonts w:ascii="Times New Roman" w:hAnsi="Times New Roman" w:cs="Times New Roman"/>
          <w:color w:val="0070C0"/>
          <w:sz w:val="24"/>
          <w:szCs w:val="24"/>
        </w:rPr>
        <w:t xml:space="preserve">, as defined in </w:t>
      </w:r>
      <w:r w:rsidR="00B0214F" w:rsidRPr="00E66EC2">
        <w:rPr>
          <w:rFonts w:ascii="Times New Roman" w:hAnsi="Times New Roman" w:cs="Times New Roman"/>
          <w:color w:val="0070C0"/>
          <w:sz w:val="24"/>
          <w:szCs w:val="24"/>
        </w:rPr>
        <w:t xml:space="preserve">the </w:t>
      </w:r>
      <w:r w:rsidRPr="00E66EC2">
        <w:rPr>
          <w:rFonts w:ascii="Times New Roman" w:hAnsi="Times New Roman" w:cs="Times New Roman"/>
          <w:color w:val="0070C0"/>
          <w:sz w:val="24"/>
          <w:szCs w:val="24"/>
        </w:rPr>
        <w:t>IL-TRM</w:t>
      </w:r>
      <w:r w:rsidR="00B0214F" w:rsidRPr="00E66EC2">
        <w:rPr>
          <w:rFonts w:ascii="Times New Roman" w:hAnsi="Times New Roman" w:cs="Times New Roman"/>
          <w:color w:val="0070C0"/>
          <w:sz w:val="24"/>
          <w:szCs w:val="24"/>
        </w:rPr>
        <w:t>.</w:t>
      </w:r>
      <w:r w:rsidRPr="00E66EC2">
        <w:rPr>
          <w:rFonts w:ascii="Times New Roman" w:hAnsi="Times New Roman" w:cs="Times New Roman"/>
          <w:color w:val="0070C0"/>
          <w:sz w:val="24"/>
          <w:szCs w:val="24"/>
        </w:rPr>
        <w:t xml:space="preserve"> </w:t>
      </w:r>
    </w:p>
    <w:bookmarkEnd w:id="1"/>
    <w:p w14:paraId="36CA888A" w14:textId="77777777" w:rsidR="00B0214F" w:rsidRPr="00B0214F" w:rsidRDefault="00B0214F" w:rsidP="00B0214F">
      <w:pPr>
        <w:spacing w:after="0" w:line="240" w:lineRule="auto"/>
        <w:ind w:left="1440"/>
        <w:rPr>
          <w:rFonts w:ascii="Times New Roman" w:hAnsi="Times New Roman" w:cs="Times New Roman"/>
          <w:sz w:val="24"/>
          <w:szCs w:val="24"/>
        </w:rPr>
      </w:pPr>
    </w:p>
    <w:p w14:paraId="413EB35E"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Define “energy conservation measure”</w:t>
      </w:r>
    </w:p>
    <w:p w14:paraId="506FAF82" w14:textId="41DA0C3B" w:rsidR="00DA21EB" w:rsidRPr="00E66EC2" w:rsidRDefault="00DA21EB" w:rsidP="00DA21EB">
      <w:pPr>
        <w:pStyle w:val="ListParagraph"/>
        <w:spacing w:after="0" w:line="240" w:lineRule="auto"/>
        <w:ind w:left="1440"/>
        <w:rPr>
          <w:rFonts w:ascii="Times New Roman" w:hAnsi="Times New Roman" w:cs="Times New Roman"/>
          <w:color w:val="0070C0"/>
          <w:sz w:val="24"/>
          <w:szCs w:val="24"/>
        </w:rPr>
      </w:pPr>
      <w:bookmarkStart w:id="2" w:name="_Hlk69403492"/>
      <w:r w:rsidRPr="00E66EC2">
        <w:rPr>
          <w:rFonts w:ascii="Times New Roman" w:hAnsi="Times New Roman" w:cs="Times New Roman"/>
          <w:color w:val="0070C0"/>
          <w:sz w:val="24"/>
          <w:szCs w:val="24"/>
        </w:rPr>
        <w:t>For the purpose of this working group, we define</w:t>
      </w:r>
      <w:r w:rsidRPr="00E66EC2">
        <w:rPr>
          <w:rFonts w:ascii="Times New Roman" w:hAnsi="Times New Roman" w:cs="Times New Roman"/>
          <w:b/>
          <w:bCs/>
          <w:i/>
          <w:iCs/>
          <w:color w:val="0070C0"/>
          <w:sz w:val="24"/>
          <w:szCs w:val="24"/>
        </w:rPr>
        <w:t xml:space="preserve"> </w:t>
      </w:r>
      <w:r w:rsidRPr="00E66EC2">
        <w:rPr>
          <w:rFonts w:ascii="Times New Roman" w:hAnsi="Times New Roman" w:cs="Times New Roman"/>
          <w:color w:val="0070C0"/>
          <w:sz w:val="24"/>
          <w:szCs w:val="24"/>
        </w:rPr>
        <w:t>energy conservation as measures that save energy without replacing the end use fuel. Energy conservation measures include two subtypes:</w:t>
      </w:r>
    </w:p>
    <w:p w14:paraId="67ACFE18" w14:textId="77777777" w:rsidR="00DA21EB" w:rsidRPr="00E66EC2" w:rsidRDefault="00DA21EB" w:rsidP="00DA21EB">
      <w:pPr>
        <w:pStyle w:val="ListParagraph"/>
        <w:numPr>
          <w:ilvl w:val="0"/>
          <w:numId w:val="5"/>
        </w:numPr>
        <w:spacing w:after="0" w:line="240" w:lineRule="auto"/>
        <w:rPr>
          <w:rFonts w:ascii="Times New Roman" w:hAnsi="Times New Roman" w:cs="Times New Roman"/>
          <w:color w:val="0070C0"/>
          <w:sz w:val="24"/>
          <w:szCs w:val="24"/>
        </w:rPr>
      </w:pPr>
      <w:r w:rsidRPr="00E66EC2">
        <w:rPr>
          <w:rFonts w:ascii="Times New Roman" w:hAnsi="Times New Roman" w:cs="Times New Roman"/>
          <w:color w:val="0070C0"/>
          <w:sz w:val="24"/>
          <w:szCs w:val="24"/>
        </w:rPr>
        <w:t>Own-fuel energy conservation measures save the energy delivered by the utility delivering the measure.</w:t>
      </w:r>
    </w:p>
    <w:p w14:paraId="729CCB49" w14:textId="77777777" w:rsidR="00DA21EB" w:rsidRPr="00E66EC2" w:rsidRDefault="00DA21EB" w:rsidP="00DA21EB">
      <w:pPr>
        <w:pStyle w:val="ListParagraph"/>
        <w:numPr>
          <w:ilvl w:val="0"/>
          <w:numId w:val="5"/>
        </w:numPr>
        <w:spacing w:after="0" w:line="240" w:lineRule="auto"/>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Cross-fuel energy conservation measures save energy for a different fuel than the one delivered by the utility delivering the measure. </w:t>
      </w:r>
    </w:p>
    <w:p w14:paraId="042FB74B" w14:textId="77777777" w:rsidR="00DA21EB" w:rsidRPr="00E66EC2" w:rsidRDefault="00DA21EB" w:rsidP="00DA21EB">
      <w:pPr>
        <w:spacing w:after="0" w:line="240" w:lineRule="auto"/>
        <w:rPr>
          <w:rFonts w:ascii="Times New Roman" w:hAnsi="Times New Roman" w:cs="Times New Roman"/>
          <w:color w:val="0070C0"/>
          <w:sz w:val="24"/>
          <w:szCs w:val="24"/>
        </w:rPr>
      </w:pPr>
    </w:p>
    <w:p w14:paraId="574248C7" w14:textId="64191655" w:rsidR="008D1088" w:rsidRPr="00E66EC2" w:rsidRDefault="00DA21EB" w:rsidP="00DA21EB">
      <w:pPr>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lastRenderedPageBreak/>
        <w:t>(Note that USDOE defines energy conservation as “the decision and practice of using less energy”, as opposed to savings that come from the use of more efficient equipment to deliver the same amount of end use energy.)</w:t>
      </w:r>
      <w:r w:rsidR="008D1088" w:rsidRPr="00E66EC2">
        <w:rPr>
          <w:rFonts w:ascii="Times New Roman" w:hAnsi="Times New Roman" w:cs="Times New Roman"/>
          <w:color w:val="0070C0"/>
          <w:sz w:val="24"/>
          <w:szCs w:val="24"/>
        </w:rPr>
        <w:t xml:space="preserve"> </w:t>
      </w:r>
    </w:p>
    <w:bookmarkEnd w:id="2"/>
    <w:p w14:paraId="6F477DE8" w14:textId="77777777" w:rsidR="008D1088" w:rsidRDefault="008D1088" w:rsidP="008D1088">
      <w:pPr>
        <w:pStyle w:val="ListParagraph"/>
        <w:spacing w:after="0" w:line="240" w:lineRule="auto"/>
        <w:ind w:left="1440"/>
        <w:rPr>
          <w:rFonts w:ascii="Times New Roman" w:hAnsi="Times New Roman" w:cs="Times New Roman"/>
          <w:sz w:val="24"/>
          <w:szCs w:val="24"/>
        </w:rPr>
      </w:pPr>
    </w:p>
    <w:p w14:paraId="1D73E6F5" w14:textId="51D84CC4"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Define “fuel switching”</w:t>
      </w:r>
    </w:p>
    <w:p w14:paraId="4C1D29AA" w14:textId="77777777" w:rsidR="00DA21EB" w:rsidRPr="00E66EC2" w:rsidRDefault="00DA21EB" w:rsidP="00DA21EB">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Fuel switching measures replace an end use fuel with a different fuel. Fuel switching can be from the utility’s own fuel to another fuel, or from another fuel to the utility’s fuel. Fuel switching may increase or decrease source energy use.</w:t>
      </w:r>
    </w:p>
    <w:p w14:paraId="33608D8C" w14:textId="77777777" w:rsidR="008D1088" w:rsidRPr="008D1088" w:rsidRDefault="008D1088" w:rsidP="008D1088">
      <w:pPr>
        <w:spacing w:after="0" w:line="240" w:lineRule="auto"/>
        <w:rPr>
          <w:rFonts w:ascii="Times New Roman" w:hAnsi="Times New Roman" w:cs="Times New Roman"/>
          <w:sz w:val="24"/>
          <w:szCs w:val="24"/>
        </w:rPr>
      </w:pPr>
    </w:p>
    <w:p w14:paraId="026FF543" w14:textId="7E186ECB"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switching between a regulated fuel and a non-regulated fuel?</w:t>
      </w:r>
    </w:p>
    <w:p w14:paraId="5C4CCDAE" w14:textId="104EDD9C" w:rsidR="0045567B" w:rsidRPr="00E66EC2" w:rsidRDefault="0045567B" w:rsidP="008D1088">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Virtually all fuels are regulated, the difference being the regulatory body. The Illinois Commerce Commission regulates electricity</w:t>
      </w:r>
      <w:r w:rsidR="008F634F">
        <w:rPr>
          <w:rFonts w:ascii="Times New Roman" w:hAnsi="Times New Roman" w:cs="Times New Roman"/>
          <w:color w:val="0070C0"/>
          <w:sz w:val="24"/>
          <w:szCs w:val="24"/>
        </w:rPr>
        <w:t xml:space="preserve"> and</w:t>
      </w:r>
      <w:r w:rsidRPr="00E66EC2">
        <w:rPr>
          <w:rFonts w:ascii="Times New Roman" w:hAnsi="Times New Roman" w:cs="Times New Roman"/>
          <w:color w:val="0070C0"/>
          <w:sz w:val="24"/>
          <w:szCs w:val="24"/>
        </w:rPr>
        <w:t xml:space="preserve"> natural gas within the state of Illinois. Other federal and state bodies regulate pricing, environmental impacts, and safety </w:t>
      </w:r>
      <w:r w:rsidR="003A6CB8" w:rsidRPr="00E66EC2">
        <w:rPr>
          <w:rFonts w:ascii="Times New Roman" w:hAnsi="Times New Roman" w:cs="Times New Roman"/>
          <w:color w:val="0070C0"/>
          <w:sz w:val="24"/>
          <w:szCs w:val="24"/>
        </w:rPr>
        <w:t>of</w:t>
      </w:r>
      <w:r w:rsidR="008F634F">
        <w:rPr>
          <w:rFonts w:ascii="Times New Roman" w:hAnsi="Times New Roman" w:cs="Times New Roman"/>
          <w:color w:val="0070C0"/>
          <w:sz w:val="24"/>
          <w:szCs w:val="24"/>
        </w:rPr>
        <w:t xml:space="preserve"> other </w:t>
      </w:r>
      <w:r w:rsidR="003A6CB8" w:rsidRPr="00E66EC2">
        <w:rPr>
          <w:rFonts w:ascii="Times New Roman" w:hAnsi="Times New Roman" w:cs="Times New Roman"/>
          <w:color w:val="0070C0"/>
          <w:sz w:val="24"/>
          <w:szCs w:val="24"/>
        </w:rPr>
        <w:t>fuels</w:t>
      </w:r>
      <w:r w:rsidRPr="00E66EC2">
        <w:rPr>
          <w:rFonts w:ascii="Times New Roman" w:hAnsi="Times New Roman" w:cs="Times New Roman"/>
          <w:color w:val="0070C0"/>
          <w:sz w:val="24"/>
          <w:szCs w:val="24"/>
        </w:rPr>
        <w:t xml:space="preserve">.   </w:t>
      </w:r>
    </w:p>
    <w:p w14:paraId="5D829858" w14:textId="77777777" w:rsidR="0045567B" w:rsidRPr="00E66EC2" w:rsidRDefault="0045567B" w:rsidP="008D1088">
      <w:pPr>
        <w:pStyle w:val="ListParagraph"/>
        <w:spacing w:after="0" w:line="240" w:lineRule="auto"/>
        <w:ind w:left="1440"/>
        <w:rPr>
          <w:rFonts w:ascii="Times New Roman" w:hAnsi="Times New Roman" w:cs="Times New Roman"/>
          <w:color w:val="0070C0"/>
          <w:sz w:val="24"/>
          <w:szCs w:val="24"/>
        </w:rPr>
      </w:pPr>
    </w:p>
    <w:p w14:paraId="13A55848" w14:textId="2CD871E1" w:rsidR="008D1088" w:rsidRPr="00E66EC2" w:rsidRDefault="008D1088" w:rsidP="008D1088">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From a policy and technical standpoint, </w:t>
      </w:r>
      <w:r w:rsidR="0045567B" w:rsidRPr="00E66EC2">
        <w:rPr>
          <w:rFonts w:ascii="Times New Roman" w:hAnsi="Times New Roman" w:cs="Times New Roman"/>
          <w:color w:val="0070C0"/>
          <w:sz w:val="24"/>
          <w:szCs w:val="24"/>
        </w:rPr>
        <w:t>there no difference between switching between an ICC-regulated fuel and a non-regulated fuel.</w:t>
      </w:r>
      <w:r w:rsidRPr="00E66EC2">
        <w:rPr>
          <w:rFonts w:ascii="Times New Roman" w:hAnsi="Times New Roman" w:cs="Times New Roman"/>
          <w:color w:val="0070C0"/>
          <w:sz w:val="24"/>
          <w:szCs w:val="24"/>
        </w:rPr>
        <w:t xml:space="preserve"> The approach and calculations </w:t>
      </w:r>
      <w:r w:rsidR="00760E5D" w:rsidRPr="00E66EC2">
        <w:rPr>
          <w:rFonts w:ascii="Times New Roman" w:hAnsi="Times New Roman" w:cs="Times New Roman"/>
          <w:color w:val="0070C0"/>
          <w:sz w:val="24"/>
          <w:szCs w:val="24"/>
        </w:rPr>
        <w:t>sh</w:t>
      </w:r>
      <w:r w:rsidRPr="00E66EC2">
        <w:rPr>
          <w:rFonts w:ascii="Times New Roman" w:hAnsi="Times New Roman" w:cs="Times New Roman"/>
          <w:color w:val="0070C0"/>
          <w:sz w:val="24"/>
          <w:szCs w:val="24"/>
        </w:rPr>
        <w:t>ould be consistent, regardless of whether the fuel is regulated by the ICC or not.</w:t>
      </w:r>
    </w:p>
    <w:p w14:paraId="77084754" w14:textId="77777777" w:rsidR="008D1088" w:rsidRPr="008D1088" w:rsidRDefault="008D1088" w:rsidP="008D1088">
      <w:pPr>
        <w:spacing w:after="0" w:line="240" w:lineRule="auto"/>
        <w:rPr>
          <w:rFonts w:ascii="Times New Roman" w:hAnsi="Times New Roman" w:cs="Times New Roman"/>
          <w:sz w:val="24"/>
          <w:szCs w:val="24"/>
        </w:rPr>
      </w:pPr>
    </w:p>
    <w:p w14:paraId="1C20BDEB" w14:textId="69444194"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For CHP, does the carbon equivalency need to change (given there is no methodology in the gas statute)?</w:t>
      </w:r>
    </w:p>
    <w:p w14:paraId="7A94B7C8" w14:textId="2768A50E" w:rsidR="00526A79" w:rsidRPr="00E66EC2" w:rsidRDefault="00526A79" w:rsidP="00526A79">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No. </w:t>
      </w:r>
      <w:r w:rsidR="00760E5D" w:rsidRPr="00E66EC2">
        <w:rPr>
          <w:rFonts w:ascii="Times New Roman" w:hAnsi="Times New Roman" w:cs="Times New Roman"/>
          <w:color w:val="0070C0"/>
          <w:sz w:val="24"/>
          <w:szCs w:val="24"/>
        </w:rPr>
        <w:t>But the TAC should review the algorithms to make sure they remain consistent with the policy direction resolved by SAG in this subcommittee.</w:t>
      </w:r>
    </w:p>
    <w:p w14:paraId="6D0A31C8" w14:textId="77777777" w:rsidR="00CF6A4C" w:rsidRPr="00CF6A4C" w:rsidRDefault="00CF6A4C" w:rsidP="00CF6A4C">
      <w:pPr>
        <w:spacing w:after="0" w:line="240" w:lineRule="auto"/>
        <w:rPr>
          <w:rFonts w:ascii="Times New Roman" w:hAnsi="Times New Roman" w:cs="Times New Roman"/>
          <w:sz w:val="24"/>
          <w:szCs w:val="24"/>
        </w:rPr>
      </w:pPr>
    </w:p>
    <w:p w14:paraId="2F22AB27" w14:textId="62EC38C7"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the answer to the site vs. source question be different in different use cases?</w:t>
      </w:r>
    </w:p>
    <w:p w14:paraId="6646BED2" w14:textId="39BD1603" w:rsidR="00EC469A" w:rsidRPr="00E66EC2" w:rsidRDefault="00EC469A" w:rsidP="00CF6A4C">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As a matter of policy, it is important that </w:t>
      </w:r>
      <w:r w:rsidR="00102748" w:rsidRPr="00E66EC2">
        <w:rPr>
          <w:rFonts w:ascii="Times New Roman" w:hAnsi="Times New Roman" w:cs="Times New Roman"/>
          <w:color w:val="0070C0"/>
          <w:sz w:val="24"/>
          <w:szCs w:val="24"/>
        </w:rPr>
        <w:t xml:space="preserve">Illinois ensure that utility energy efficiency programs always reduce </w:t>
      </w:r>
      <w:r w:rsidRPr="00E66EC2">
        <w:rPr>
          <w:rFonts w:ascii="Times New Roman" w:hAnsi="Times New Roman" w:cs="Times New Roman"/>
          <w:color w:val="0070C0"/>
          <w:sz w:val="24"/>
          <w:szCs w:val="24"/>
        </w:rPr>
        <w:t xml:space="preserve">source energy </w:t>
      </w:r>
      <w:r w:rsidR="00102748" w:rsidRPr="00E66EC2">
        <w:rPr>
          <w:rFonts w:ascii="Times New Roman" w:hAnsi="Times New Roman" w:cs="Times New Roman"/>
          <w:color w:val="0070C0"/>
          <w:sz w:val="24"/>
          <w:szCs w:val="24"/>
        </w:rPr>
        <w:t>use</w:t>
      </w:r>
      <w:r w:rsidRPr="00E66EC2">
        <w:rPr>
          <w:rFonts w:ascii="Times New Roman" w:hAnsi="Times New Roman" w:cs="Times New Roman"/>
          <w:color w:val="0070C0"/>
          <w:sz w:val="24"/>
          <w:szCs w:val="24"/>
        </w:rPr>
        <w:t>. For own-fuel and cross-fuel conservation</w:t>
      </w:r>
      <w:r w:rsidR="00102748" w:rsidRPr="00E66EC2">
        <w:rPr>
          <w:rFonts w:ascii="Times New Roman" w:hAnsi="Times New Roman" w:cs="Times New Roman"/>
          <w:color w:val="0070C0"/>
          <w:sz w:val="24"/>
          <w:szCs w:val="24"/>
        </w:rPr>
        <w:t xml:space="preserve"> measures</w:t>
      </w:r>
      <w:r w:rsidRPr="00E66EC2">
        <w:rPr>
          <w:rFonts w:ascii="Times New Roman" w:hAnsi="Times New Roman" w:cs="Times New Roman"/>
          <w:color w:val="0070C0"/>
          <w:sz w:val="24"/>
          <w:szCs w:val="24"/>
        </w:rPr>
        <w:t>, source energy is always saved</w:t>
      </w:r>
      <w:r w:rsidR="00102748" w:rsidRPr="00E66EC2">
        <w:rPr>
          <w:rFonts w:ascii="Times New Roman" w:hAnsi="Times New Roman" w:cs="Times New Roman"/>
          <w:color w:val="0070C0"/>
          <w:sz w:val="24"/>
          <w:szCs w:val="24"/>
        </w:rPr>
        <w:t>,</w:t>
      </w:r>
      <w:r w:rsidRPr="00E66EC2">
        <w:rPr>
          <w:rFonts w:ascii="Times New Roman" w:hAnsi="Times New Roman" w:cs="Times New Roman"/>
          <w:color w:val="0070C0"/>
          <w:sz w:val="24"/>
          <w:szCs w:val="24"/>
        </w:rPr>
        <w:t xml:space="preserve"> by definition. For fuel switching, </w:t>
      </w:r>
      <w:r w:rsidR="00102748" w:rsidRPr="00E66EC2">
        <w:rPr>
          <w:rFonts w:ascii="Times New Roman" w:hAnsi="Times New Roman" w:cs="Times New Roman"/>
          <w:color w:val="0070C0"/>
          <w:sz w:val="24"/>
          <w:szCs w:val="24"/>
        </w:rPr>
        <w:t xml:space="preserve">the </w:t>
      </w:r>
      <w:r w:rsidRPr="00E66EC2">
        <w:rPr>
          <w:rFonts w:ascii="Times New Roman" w:hAnsi="Times New Roman" w:cs="Times New Roman"/>
          <w:color w:val="0070C0"/>
          <w:sz w:val="24"/>
          <w:szCs w:val="24"/>
        </w:rPr>
        <w:t xml:space="preserve">screening </w:t>
      </w:r>
      <w:r w:rsidR="00102748" w:rsidRPr="00E66EC2">
        <w:rPr>
          <w:rFonts w:ascii="Times New Roman" w:hAnsi="Times New Roman" w:cs="Times New Roman"/>
          <w:color w:val="0070C0"/>
          <w:sz w:val="24"/>
          <w:szCs w:val="24"/>
        </w:rPr>
        <w:t xml:space="preserve">approaches included in the TRM also ensure that these measures are only installed when </w:t>
      </w:r>
      <w:r w:rsidRPr="00E66EC2">
        <w:rPr>
          <w:rFonts w:ascii="Times New Roman" w:hAnsi="Times New Roman" w:cs="Times New Roman"/>
          <w:color w:val="0070C0"/>
          <w:sz w:val="24"/>
          <w:szCs w:val="24"/>
        </w:rPr>
        <w:t xml:space="preserve">source energy </w:t>
      </w:r>
      <w:r w:rsidR="00102748" w:rsidRPr="00E66EC2">
        <w:rPr>
          <w:rFonts w:ascii="Times New Roman" w:hAnsi="Times New Roman" w:cs="Times New Roman"/>
          <w:color w:val="0070C0"/>
          <w:sz w:val="24"/>
          <w:szCs w:val="24"/>
        </w:rPr>
        <w:t xml:space="preserve">is saved. </w:t>
      </w:r>
    </w:p>
    <w:p w14:paraId="5A4DC2F5" w14:textId="77777777" w:rsidR="00EC469A" w:rsidRPr="00E66EC2" w:rsidRDefault="00EC469A" w:rsidP="00CF6A4C">
      <w:pPr>
        <w:pStyle w:val="ListParagraph"/>
        <w:spacing w:after="0" w:line="240" w:lineRule="auto"/>
        <w:ind w:left="1440"/>
        <w:rPr>
          <w:rFonts w:ascii="Times New Roman" w:hAnsi="Times New Roman" w:cs="Times New Roman"/>
          <w:color w:val="0070C0"/>
          <w:sz w:val="24"/>
          <w:szCs w:val="24"/>
        </w:rPr>
      </w:pPr>
    </w:p>
    <w:p w14:paraId="1B4B25DA" w14:textId="4F392D22" w:rsidR="00CF6A4C" w:rsidRPr="00E66EC2" w:rsidRDefault="00EC469A" w:rsidP="00CF6A4C">
      <w:pPr>
        <w:pStyle w:val="ListParagraph"/>
        <w:spacing w:after="0" w:line="240" w:lineRule="auto"/>
        <w:ind w:left="1440"/>
        <w:rPr>
          <w:rFonts w:ascii="Times New Roman" w:hAnsi="Times New Roman" w:cs="Times New Roman"/>
          <w:color w:val="0070C0"/>
          <w:sz w:val="24"/>
          <w:szCs w:val="24"/>
        </w:rPr>
      </w:pPr>
      <w:r w:rsidRPr="00E66EC2">
        <w:rPr>
          <w:rFonts w:ascii="Times New Roman" w:hAnsi="Times New Roman" w:cs="Times New Roman"/>
          <w:color w:val="0070C0"/>
          <w:sz w:val="24"/>
          <w:szCs w:val="24"/>
        </w:rPr>
        <w:t>For the purpose of claiming savings, t</w:t>
      </w:r>
      <w:r w:rsidR="00CF6A4C" w:rsidRPr="00E66EC2">
        <w:rPr>
          <w:rFonts w:ascii="Times New Roman" w:hAnsi="Times New Roman" w:cs="Times New Roman"/>
          <w:color w:val="0070C0"/>
          <w:sz w:val="24"/>
          <w:szCs w:val="24"/>
        </w:rPr>
        <w:t xml:space="preserve">he only use cases that matter are cross-fuel conservation vs. fuel switching. Cross-fuel conservation must be converted to electricity at the site, consistent with 8-103B(b-25). Fuel switching should be converted at source. Within each category </w:t>
      </w:r>
      <w:r w:rsidR="00760E5D" w:rsidRPr="00E66EC2">
        <w:rPr>
          <w:rFonts w:ascii="Times New Roman" w:hAnsi="Times New Roman" w:cs="Times New Roman"/>
          <w:color w:val="0070C0"/>
          <w:sz w:val="24"/>
          <w:szCs w:val="24"/>
        </w:rPr>
        <w:t xml:space="preserve">all </w:t>
      </w:r>
      <w:r w:rsidR="00CF6A4C" w:rsidRPr="00E66EC2">
        <w:rPr>
          <w:rFonts w:ascii="Times New Roman" w:hAnsi="Times New Roman" w:cs="Times New Roman"/>
          <w:color w:val="0070C0"/>
          <w:sz w:val="24"/>
          <w:szCs w:val="24"/>
        </w:rPr>
        <w:t>use cases should be treated consistently.</w:t>
      </w:r>
    </w:p>
    <w:p w14:paraId="40E4EA5C" w14:textId="77777777" w:rsidR="00CF6A4C" w:rsidRPr="00CF6A4C" w:rsidRDefault="00CF6A4C" w:rsidP="00CF6A4C">
      <w:pPr>
        <w:pStyle w:val="ListParagraph"/>
        <w:rPr>
          <w:rFonts w:ascii="Times New Roman" w:hAnsi="Times New Roman" w:cs="Times New Roman"/>
          <w:color w:val="00B050"/>
          <w:sz w:val="24"/>
          <w:szCs w:val="24"/>
        </w:rPr>
      </w:pPr>
    </w:p>
    <w:p w14:paraId="600CCC49" w14:textId="7C0A2B9F"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How does the site vs. source decision impact custom measures?</w:t>
      </w:r>
    </w:p>
    <w:p w14:paraId="2A438EA7" w14:textId="7DCA42D0" w:rsidR="00CF6A4C" w:rsidRPr="00E66EC2" w:rsidRDefault="00CF6A4C" w:rsidP="00CF6A4C">
      <w:pPr>
        <w:pStyle w:val="ListParagraph"/>
        <w:ind w:left="1440"/>
        <w:rPr>
          <w:rFonts w:ascii="Times New Roman" w:hAnsi="Times New Roman" w:cs="Times New Roman"/>
          <w:color w:val="0070C0"/>
          <w:sz w:val="24"/>
          <w:szCs w:val="24"/>
        </w:rPr>
      </w:pPr>
      <w:bookmarkStart w:id="3" w:name="_Hlk69362875"/>
      <w:r w:rsidRPr="00E66EC2">
        <w:rPr>
          <w:rFonts w:ascii="Times New Roman" w:hAnsi="Times New Roman" w:cs="Times New Roman"/>
          <w:color w:val="0070C0"/>
          <w:sz w:val="24"/>
          <w:szCs w:val="24"/>
        </w:rPr>
        <w:t xml:space="preserve">Custom fuel-switching measures should be treated using approaches consistent with those defined for IL-TRM </w:t>
      </w:r>
      <w:r w:rsidR="00760E5D" w:rsidRPr="00E66EC2">
        <w:rPr>
          <w:rFonts w:ascii="Times New Roman" w:hAnsi="Times New Roman" w:cs="Times New Roman"/>
          <w:color w:val="0070C0"/>
          <w:sz w:val="24"/>
          <w:szCs w:val="24"/>
        </w:rPr>
        <w:t xml:space="preserve">fuel-switching </w:t>
      </w:r>
      <w:r w:rsidRPr="00E66EC2">
        <w:rPr>
          <w:rFonts w:ascii="Times New Roman" w:hAnsi="Times New Roman" w:cs="Times New Roman"/>
          <w:color w:val="0070C0"/>
          <w:sz w:val="24"/>
          <w:szCs w:val="24"/>
        </w:rPr>
        <w:t xml:space="preserve">measures. </w:t>
      </w:r>
    </w:p>
    <w:bookmarkEnd w:id="3"/>
    <w:p w14:paraId="1E4AC2EE" w14:textId="77777777" w:rsidR="00D72492" w:rsidRPr="00D72492" w:rsidRDefault="00D72492" w:rsidP="00D72492">
      <w:pPr>
        <w:spacing w:after="0" w:line="240" w:lineRule="auto"/>
        <w:rPr>
          <w:rFonts w:ascii="Times New Roman" w:hAnsi="Times New Roman" w:cs="Times New Roman"/>
          <w:sz w:val="24"/>
          <w:szCs w:val="24"/>
        </w:rPr>
      </w:pPr>
    </w:p>
    <w:p w14:paraId="6605F38B" w14:textId="09799FB1"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lastRenderedPageBreak/>
        <w:t>There may be statutory language that is applicable for defining an energy efficiency measure; once an energy efficiency measure is identified, how should the savings be calculated?</w:t>
      </w:r>
    </w:p>
    <w:p w14:paraId="19EFF5D0" w14:textId="1997ADC9" w:rsidR="00CF6A4C" w:rsidRPr="00E66EC2" w:rsidRDefault="00CF6A4C" w:rsidP="00CF6A4C">
      <w:pPr>
        <w:spacing w:after="0" w:line="240" w:lineRule="auto"/>
        <w:ind w:left="720"/>
        <w:rPr>
          <w:rFonts w:ascii="Times New Roman" w:hAnsi="Times New Roman" w:cs="Times New Roman"/>
          <w:color w:val="0070C0"/>
          <w:sz w:val="24"/>
          <w:szCs w:val="24"/>
        </w:rPr>
      </w:pPr>
      <w:r w:rsidRPr="00E66EC2">
        <w:rPr>
          <w:rFonts w:ascii="Times New Roman" w:hAnsi="Times New Roman" w:cs="Times New Roman"/>
          <w:color w:val="0070C0"/>
          <w:sz w:val="24"/>
          <w:szCs w:val="24"/>
        </w:rPr>
        <w:t xml:space="preserve">Cross-fuel conservation measures should be converted at </w:t>
      </w:r>
      <w:r w:rsidR="00760E5D" w:rsidRPr="00E66EC2">
        <w:rPr>
          <w:rFonts w:ascii="Times New Roman" w:hAnsi="Times New Roman" w:cs="Times New Roman"/>
          <w:color w:val="0070C0"/>
          <w:sz w:val="24"/>
          <w:szCs w:val="24"/>
        </w:rPr>
        <w:t>site</w:t>
      </w:r>
      <w:r w:rsidRPr="00E66EC2">
        <w:rPr>
          <w:rFonts w:ascii="Times New Roman" w:hAnsi="Times New Roman" w:cs="Times New Roman"/>
          <w:color w:val="0070C0"/>
          <w:sz w:val="24"/>
          <w:szCs w:val="24"/>
        </w:rPr>
        <w:t>, consistent with 8-103B(b-25). Fuel switching measures should be converted at source</w:t>
      </w:r>
      <w:r w:rsidR="00760E5D" w:rsidRPr="00E66EC2">
        <w:rPr>
          <w:rFonts w:ascii="Times New Roman" w:hAnsi="Times New Roman" w:cs="Times New Roman"/>
          <w:color w:val="0070C0"/>
          <w:sz w:val="24"/>
          <w:szCs w:val="24"/>
        </w:rPr>
        <w:t>,</w:t>
      </w:r>
      <w:r w:rsidRPr="00E66EC2">
        <w:rPr>
          <w:rFonts w:ascii="Times New Roman" w:hAnsi="Times New Roman" w:cs="Times New Roman"/>
          <w:color w:val="0070C0"/>
          <w:sz w:val="24"/>
          <w:szCs w:val="24"/>
        </w:rPr>
        <w:t xml:space="preserve"> consistent with sound energy policy and consistent with the approach used in Illinois since 201</w:t>
      </w:r>
      <w:r w:rsidR="00760E5D" w:rsidRPr="00E66EC2">
        <w:rPr>
          <w:rFonts w:ascii="Times New Roman" w:hAnsi="Times New Roman" w:cs="Times New Roman"/>
          <w:color w:val="0070C0"/>
          <w:sz w:val="24"/>
          <w:szCs w:val="24"/>
        </w:rPr>
        <w:t>5</w:t>
      </w:r>
      <w:r w:rsidR="00EB346B" w:rsidRPr="00E66EC2">
        <w:rPr>
          <w:rFonts w:ascii="Times New Roman" w:hAnsi="Times New Roman" w:cs="Times New Roman"/>
          <w:color w:val="0070C0"/>
          <w:sz w:val="24"/>
          <w:szCs w:val="24"/>
        </w:rPr>
        <w:t>.</w:t>
      </w:r>
    </w:p>
    <w:p w14:paraId="00D7B91C" w14:textId="77777777" w:rsidR="00875C33" w:rsidRPr="00875C33" w:rsidRDefault="00875C33" w:rsidP="00875C33">
      <w:pPr>
        <w:spacing w:after="0" w:line="240" w:lineRule="auto"/>
        <w:rPr>
          <w:rFonts w:ascii="Times New Roman" w:hAnsi="Times New Roman" w:cs="Times New Roman"/>
          <w:sz w:val="24"/>
          <w:szCs w:val="24"/>
        </w:rPr>
      </w:pPr>
    </w:p>
    <w:p w14:paraId="0D5D1256" w14:textId="5199BB75"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reducing consumption at the site, and eliminating a natural gas customer? Does that change how we treat the savings?</w:t>
      </w:r>
    </w:p>
    <w:p w14:paraId="7789378C" w14:textId="0C316AA3" w:rsidR="00760E5D" w:rsidRPr="0026735F" w:rsidRDefault="00760E5D" w:rsidP="00760E5D">
      <w:pPr>
        <w:pStyle w:val="ListParagraph"/>
        <w:spacing w:after="0" w:line="240" w:lineRule="auto"/>
        <w:rPr>
          <w:rFonts w:ascii="Times New Roman" w:hAnsi="Times New Roman" w:cs="Times New Roman"/>
          <w:color w:val="0070C0"/>
          <w:sz w:val="24"/>
          <w:szCs w:val="24"/>
        </w:rPr>
      </w:pPr>
      <w:r w:rsidRPr="0026735F">
        <w:rPr>
          <w:rFonts w:ascii="Times New Roman" w:hAnsi="Times New Roman" w:cs="Times New Roman"/>
          <w:color w:val="0070C0"/>
          <w:sz w:val="24"/>
          <w:szCs w:val="24"/>
        </w:rPr>
        <w:t>From a policy and technical standpoint, no. The approach and calculations should be consistent, regardless of whether the fuel is regulated by the ICC or not.</w:t>
      </w:r>
    </w:p>
    <w:p w14:paraId="4F41489F" w14:textId="77777777" w:rsidR="00875C33" w:rsidRPr="00875C33" w:rsidRDefault="00875C33" w:rsidP="00875C33">
      <w:pPr>
        <w:spacing w:after="0" w:line="240" w:lineRule="auto"/>
        <w:rPr>
          <w:rFonts w:ascii="Times New Roman" w:hAnsi="Times New Roman" w:cs="Times New Roman"/>
          <w:sz w:val="24"/>
          <w:szCs w:val="24"/>
        </w:rPr>
      </w:pPr>
    </w:p>
    <w:p w14:paraId="469523DD" w14:textId="62F8D26D" w:rsidR="00D66F07" w:rsidRDefault="00D66F07" w:rsidP="00D66F07">
      <w:pPr>
        <w:pStyle w:val="ListParagraph"/>
        <w:numPr>
          <w:ilvl w:val="0"/>
          <w:numId w:val="1"/>
        </w:numPr>
        <w:spacing w:after="0" w:line="240" w:lineRule="auto"/>
        <w:rPr>
          <w:rFonts w:ascii="Times New Roman" w:hAnsi="Times New Roman" w:cs="Times New Roman"/>
          <w:sz w:val="24"/>
          <w:szCs w:val="24"/>
        </w:rPr>
      </w:pPr>
      <w:proofErr w:type="gramStart"/>
      <w:r w:rsidRPr="00F458DD">
        <w:rPr>
          <w:rFonts w:ascii="Times New Roman" w:hAnsi="Times New Roman" w:cs="Times New Roman"/>
          <w:sz w:val="24"/>
          <w:szCs w:val="24"/>
        </w:rPr>
        <w:t>Are</w:t>
      </w:r>
      <w:proofErr w:type="gramEnd"/>
      <w:r w:rsidRPr="00F458DD">
        <w:rPr>
          <w:rFonts w:ascii="Times New Roman" w:hAnsi="Times New Roman" w:cs="Times New Roman"/>
          <w:sz w:val="24"/>
          <w:szCs w:val="24"/>
        </w:rPr>
        <w:t xml:space="preserve"> fuel switching measures limited by the 10% cap in FEJA?</w:t>
      </w:r>
    </w:p>
    <w:p w14:paraId="7EAD7D41" w14:textId="212A3E57" w:rsidR="00EB346B" w:rsidRPr="0026735F" w:rsidRDefault="00EB346B" w:rsidP="00EB346B">
      <w:pPr>
        <w:pStyle w:val="ListParagraph"/>
        <w:spacing w:after="0" w:line="240" w:lineRule="auto"/>
        <w:rPr>
          <w:rFonts w:ascii="Times New Roman" w:hAnsi="Times New Roman" w:cs="Times New Roman"/>
          <w:color w:val="0070C0"/>
          <w:sz w:val="24"/>
          <w:szCs w:val="24"/>
        </w:rPr>
      </w:pPr>
      <w:r w:rsidRPr="0026735F">
        <w:rPr>
          <w:rFonts w:ascii="Times New Roman" w:hAnsi="Times New Roman" w:cs="Times New Roman"/>
          <w:color w:val="0070C0"/>
          <w:sz w:val="24"/>
          <w:szCs w:val="24"/>
        </w:rPr>
        <w:t>No. The 10% cap only occurs in Section 8-103B(b-25) and does not apply to fuel switching.</w:t>
      </w:r>
    </w:p>
    <w:p w14:paraId="1D27D318" w14:textId="77777777" w:rsidR="00875C33" w:rsidRPr="00875C33" w:rsidRDefault="00875C33" w:rsidP="00875C33">
      <w:pPr>
        <w:spacing w:after="0" w:line="240" w:lineRule="auto"/>
        <w:rPr>
          <w:rFonts w:ascii="Times New Roman" w:hAnsi="Times New Roman" w:cs="Times New Roman"/>
          <w:sz w:val="24"/>
          <w:szCs w:val="24"/>
        </w:rPr>
      </w:pPr>
    </w:p>
    <w:p w14:paraId="628DBF15" w14:textId="6CA65E94"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Are there any differences in these conclusions depending on which fuel is being substituted?</w:t>
      </w:r>
    </w:p>
    <w:p w14:paraId="45873ED7" w14:textId="0D09B028" w:rsidR="00EB346B" w:rsidRPr="0026735F" w:rsidRDefault="00EB346B" w:rsidP="00EB346B">
      <w:pPr>
        <w:pStyle w:val="ListParagraph"/>
        <w:spacing w:after="0" w:line="240" w:lineRule="auto"/>
        <w:rPr>
          <w:rFonts w:ascii="Times New Roman" w:hAnsi="Times New Roman" w:cs="Times New Roman"/>
          <w:color w:val="0070C0"/>
          <w:sz w:val="24"/>
          <w:szCs w:val="24"/>
        </w:rPr>
      </w:pPr>
      <w:r w:rsidRPr="0026735F">
        <w:rPr>
          <w:rFonts w:ascii="Times New Roman" w:hAnsi="Times New Roman" w:cs="Times New Roman"/>
          <w:color w:val="0070C0"/>
          <w:sz w:val="24"/>
          <w:szCs w:val="24"/>
        </w:rPr>
        <w:t>No.</w:t>
      </w:r>
    </w:p>
    <w:p w14:paraId="72E874BF" w14:textId="47B7B650"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switching between a regulated fuel and a non-regulated fuel?</w:t>
      </w:r>
    </w:p>
    <w:p w14:paraId="6DD9F559" w14:textId="04F25D55" w:rsidR="00EB346B" w:rsidRPr="0026735F" w:rsidRDefault="00EB346B" w:rsidP="00EB346B">
      <w:pPr>
        <w:pStyle w:val="ListParagraph"/>
        <w:spacing w:after="0" w:line="240" w:lineRule="auto"/>
        <w:ind w:left="1440"/>
        <w:rPr>
          <w:rFonts w:ascii="Times New Roman" w:hAnsi="Times New Roman" w:cs="Times New Roman"/>
          <w:color w:val="0070C0"/>
          <w:sz w:val="24"/>
          <w:szCs w:val="24"/>
        </w:rPr>
      </w:pPr>
      <w:r w:rsidRPr="0026735F">
        <w:rPr>
          <w:rFonts w:ascii="Times New Roman" w:hAnsi="Times New Roman" w:cs="Times New Roman"/>
          <w:color w:val="0070C0"/>
          <w:sz w:val="24"/>
          <w:szCs w:val="24"/>
        </w:rPr>
        <w:t>No.</w:t>
      </w:r>
    </w:p>
    <w:p w14:paraId="0A69D922" w14:textId="77777777" w:rsidR="00875C33" w:rsidRPr="00875C33" w:rsidRDefault="00875C33" w:rsidP="00875C33">
      <w:pPr>
        <w:spacing w:after="0" w:line="240" w:lineRule="auto"/>
        <w:rPr>
          <w:rFonts w:ascii="Times New Roman" w:hAnsi="Times New Roman" w:cs="Times New Roman"/>
          <w:sz w:val="24"/>
          <w:szCs w:val="24"/>
        </w:rPr>
      </w:pPr>
    </w:p>
    <w:p w14:paraId="5AD3C7B5"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When is a utility allowed to claim savings from a gas to electricity fuel switch?</w:t>
      </w:r>
    </w:p>
    <w:p w14:paraId="09A16291" w14:textId="60F33C80"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electric-only utilities</w:t>
      </w:r>
    </w:p>
    <w:p w14:paraId="54429AF8" w14:textId="57E72BB7" w:rsidR="00EB346B" w:rsidRPr="0026735F" w:rsidRDefault="00EB346B" w:rsidP="00EB346B">
      <w:pPr>
        <w:pStyle w:val="ListParagraph"/>
        <w:spacing w:after="0" w:line="240" w:lineRule="auto"/>
        <w:ind w:left="1440"/>
        <w:rPr>
          <w:rFonts w:ascii="Times New Roman" w:hAnsi="Times New Roman" w:cs="Times New Roman"/>
          <w:color w:val="0070C0"/>
          <w:sz w:val="24"/>
          <w:szCs w:val="24"/>
        </w:rPr>
      </w:pPr>
      <w:r w:rsidRPr="0026735F">
        <w:rPr>
          <w:rFonts w:ascii="Times New Roman" w:hAnsi="Times New Roman" w:cs="Times New Roman"/>
          <w:color w:val="0070C0"/>
          <w:sz w:val="24"/>
          <w:szCs w:val="24"/>
        </w:rPr>
        <w:t>First, the measure must pass the source Btu screening criteria. If the measure passes</w:t>
      </w:r>
      <w:r w:rsidR="00760E5D" w:rsidRPr="0026735F">
        <w:rPr>
          <w:rFonts w:ascii="Times New Roman" w:hAnsi="Times New Roman" w:cs="Times New Roman"/>
          <w:color w:val="0070C0"/>
          <w:sz w:val="24"/>
          <w:szCs w:val="24"/>
        </w:rPr>
        <w:t xml:space="preserve"> the screen</w:t>
      </w:r>
      <w:r w:rsidRPr="0026735F">
        <w:rPr>
          <w:rFonts w:ascii="Times New Roman" w:hAnsi="Times New Roman" w:cs="Times New Roman"/>
          <w:color w:val="0070C0"/>
          <w:sz w:val="24"/>
          <w:szCs w:val="24"/>
        </w:rPr>
        <w:t xml:space="preserve">, then savings are calculated as </w:t>
      </w:r>
      <w:r w:rsidR="00760E5D" w:rsidRPr="0026735F">
        <w:rPr>
          <w:rFonts w:ascii="Times New Roman" w:hAnsi="Times New Roman" w:cs="Times New Roman"/>
          <w:color w:val="0070C0"/>
          <w:sz w:val="24"/>
          <w:szCs w:val="24"/>
        </w:rPr>
        <w:t xml:space="preserve">net </w:t>
      </w:r>
      <w:r w:rsidRPr="0026735F">
        <w:rPr>
          <w:rFonts w:ascii="Times New Roman" w:hAnsi="Times New Roman" w:cs="Times New Roman"/>
          <w:color w:val="0070C0"/>
          <w:sz w:val="24"/>
          <w:szCs w:val="24"/>
        </w:rPr>
        <w:t>source savings converted to kWh.</w:t>
      </w:r>
    </w:p>
    <w:p w14:paraId="7C7E80E2" w14:textId="77777777" w:rsidR="00000417" w:rsidRPr="00000417" w:rsidRDefault="00000417" w:rsidP="00000417">
      <w:pPr>
        <w:spacing w:after="0" w:line="240" w:lineRule="auto"/>
        <w:rPr>
          <w:rFonts w:ascii="Times New Roman" w:hAnsi="Times New Roman" w:cs="Times New Roman"/>
          <w:color w:val="00B050"/>
          <w:sz w:val="24"/>
          <w:szCs w:val="24"/>
        </w:rPr>
      </w:pPr>
    </w:p>
    <w:p w14:paraId="0F4F192A" w14:textId="0A783697"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gas-only utilities</w:t>
      </w:r>
    </w:p>
    <w:p w14:paraId="79B580E2" w14:textId="5377BE60" w:rsidR="00EB346B" w:rsidRPr="0026735F" w:rsidRDefault="00EB346B" w:rsidP="00EB346B">
      <w:pPr>
        <w:pStyle w:val="ListParagraph"/>
        <w:spacing w:after="0" w:line="240" w:lineRule="auto"/>
        <w:ind w:left="1440"/>
        <w:rPr>
          <w:rFonts w:ascii="Times New Roman" w:hAnsi="Times New Roman" w:cs="Times New Roman"/>
          <w:color w:val="0070C0"/>
          <w:sz w:val="24"/>
          <w:szCs w:val="24"/>
        </w:rPr>
      </w:pPr>
      <w:r w:rsidRPr="0026735F">
        <w:rPr>
          <w:rFonts w:ascii="Times New Roman" w:hAnsi="Times New Roman" w:cs="Times New Roman"/>
          <w:color w:val="0070C0"/>
          <w:sz w:val="24"/>
          <w:szCs w:val="24"/>
        </w:rPr>
        <w:t>First, the measure must pass the source Btu screening criteria. If the measure passes</w:t>
      </w:r>
      <w:r w:rsidR="00760E5D" w:rsidRPr="0026735F">
        <w:rPr>
          <w:rFonts w:ascii="Times New Roman" w:hAnsi="Times New Roman" w:cs="Times New Roman"/>
          <w:color w:val="0070C0"/>
          <w:sz w:val="24"/>
          <w:szCs w:val="24"/>
        </w:rPr>
        <w:t xml:space="preserve"> the screen</w:t>
      </w:r>
      <w:r w:rsidRPr="0026735F">
        <w:rPr>
          <w:rFonts w:ascii="Times New Roman" w:hAnsi="Times New Roman" w:cs="Times New Roman"/>
          <w:color w:val="0070C0"/>
          <w:sz w:val="24"/>
          <w:szCs w:val="24"/>
        </w:rPr>
        <w:t xml:space="preserve">, then savings are calculated as net source savings converted to </w:t>
      </w:r>
      <w:proofErr w:type="spellStart"/>
      <w:r w:rsidRPr="0026735F">
        <w:rPr>
          <w:rFonts w:ascii="Times New Roman" w:hAnsi="Times New Roman" w:cs="Times New Roman"/>
          <w:color w:val="0070C0"/>
          <w:sz w:val="24"/>
          <w:szCs w:val="24"/>
        </w:rPr>
        <w:t>therms</w:t>
      </w:r>
      <w:proofErr w:type="spellEnd"/>
      <w:r w:rsidRPr="0026735F">
        <w:rPr>
          <w:rFonts w:ascii="Times New Roman" w:hAnsi="Times New Roman" w:cs="Times New Roman"/>
          <w:color w:val="0070C0"/>
          <w:sz w:val="24"/>
          <w:szCs w:val="24"/>
        </w:rPr>
        <w:t>.</w:t>
      </w:r>
    </w:p>
    <w:p w14:paraId="40D3000B" w14:textId="77777777" w:rsidR="00EB346B" w:rsidRPr="00F458DD" w:rsidRDefault="00EB346B" w:rsidP="00EB346B">
      <w:pPr>
        <w:pStyle w:val="ListParagraph"/>
        <w:spacing w:after="0" w:line="240" w:lineRule="auto"/>
        <w:ind w:left="1440"/>
        <w:rPr>
          <w:rFonts w:ascii="Times New Roman" w:hAnsi="Times New Roman" w:cs="Times New Roman"/>
          <w:sz w:val="24"/>
          <w:szCs w:val="24"/>
        </w:rPr>
      </w:pPr>
    </w:p>
    <w:p w14:paraId="6885147B" w14:textId="485BE6B8"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dual-fuel utilities</w:t>
      </w:r>
    </w:p>
    <w:p w14:paraId="0D20A04E" w14:textId="4A3D408E" w:rsidR="00D66F07" w:rsidRPr="0026735F" w:rsidRDefault="00EB346B" w:rsidP="00EB346B">
      <w:pPr>
        <w:spacing w:after="0" w:line="240" w:lineRule="auto"/>
        <w:ind w:left="1440"/>
        <w:rPr>
          <w:rFonts w:ascii="Times New Roman" w:hAnsi="Times New Roman" w:cs="Times New Roman"/>
          <w:color w:val="0070C0"/>
          <w:sz w:val="24"/>
          <w:szCs w:val="24"/>
        </w:rPr>
      </w:pPr>
      <w:r w:rsidRPr="0026735F">
        <w:rPr>
          <w:rFonts w:ascii="Times New Roman" w:hAnsi="Times New Roman" w:cs="Times New Roman"/>
          <w:color w:val="0070C0"/>
          <w:sz w:val="24"/>
          <w:szCs w:val="24"/>
        </w:rPr>
        <w:t xml:space="preserve">Dual-fuel utilities should be treated as the combination of an electric-only and a gas-only utility. The same criteria listed above would apply. </w:t>
      </w:r>
    </w:p>
    <w:p w14:paraId="7B3AB45D" w14:textId="77777777" w:rsidR="00EB346B" w:rsidRPr="006E5EA3" w:rsidRDefault="00EB346B" w:rsidP="006E5EA3">
      <w:pPr>
        <w:spacing w:after="0" w:line="240" w:lineRule="auto"/>
        <w:rPr>
          <w:rFonts w:ascii="Times New Roman" w:hAnsi="Times New Roman" w:cs="Times New Roman"/>
          <w:sz w:val="24"/>
          <w:szCs w:val="24"/>
        </w:rPr>
      </w:pPr>
    </w:p>
    <w:p w14:paraId="1879D665" w14:textId="2870DBE3" w:rsidR="009D572E" w:rsidRDefault="00130DB8" w:rsidP="00130DB8">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Is a source savings calculation required </w:t>
      </w:r>
      <w:r w:rsidR="00C8009A">
        <w:rPr>
          <w:rFonts w:ascii="Times New Roman" w:hAnsi="Times New Roman" w:cs="Times New Roman"/>
          <w:sz w:val="24"/>
          <w:szCs w:val="24"/>
        </w:rPr>
        <w:t xml:space="preserve">for each installation </w:t>
      </w:r>
      <w:r w:rsidRPr="00F458DD">
        <w:rPr>
          <w:rFonts w:ascii="Times New Roman" w:hAnsi="Times New Roman" w:cs="Times New Roman"/>
          <w:sz w:val="24"/>
          <w:szCs w:val="24"/>
        </w:rPr>
        <w:t xml:space="preserve">to determine whether </w:t>
      </w:r>
      <w:r w:rsidR="00F04EA2">
        <w:rPr>
          <w:rFonts w:ascii="Times New Roman" w:hAnsi="Times New Roman" w:cs="Times New Roman"/>
          <w:sz w:val="24"/>
          <w:szCs w:val="24"/>
        </w:rPr>
        <w:t xml:space="preserve">it is an </w:t>
      </w:r>
      <w:r w:rsidRPr="00F458DD">
        <w:rPr>
          <w:rFonts w:ascii="Times New Roman" w:hAnsi="Times New Roman" w:cs="Times New Roman"/>
          <w:sz w:val="24"/>
          <w:szCs w:val="24"/>
        </w:rPr>
        <w:t xml:space="preserve">eligible efficiency measure? </w:t>
      </w:r>
    </w:p>
    <w:p w14:paraId="0CB064C4" w14:textId="726C2885" w:rsidR="00EB346B" w:rsidRPr="0026735F" w:rsidRDefault="00EB346B" w:rsidP="00EB346B">
      <w:pPr>
        <w:spacing w:after="0" w:line="240" w:lineRule="auto"/>
        <w:ind w:left="720"/>
        <w:rPr>
          <w:rFonts w:ascii="Times New Roman" w:hAnsi="Times New Roman" w:cs="Times New Roman"/>
          <w:color w:val="0070C0"/>
          <w:sz w:val="24"/>
          <w:szCs w:val="24"/>
        </w:rPr>
      </w:pPr>
      <w:r w:rsidRPr="0026735F">
        <w:rPr>
          <w:rFonts w:ascii="Times New Roman" w:hAnsi="Times New Roman" w:cs="Times New Roman"/>
          <w:color w:val="0070C0"/>
          <w:sz w:val="24"/>
          <w:szCs w:val="24"/>
        </w:rPr>
        <w:t xml:space="preserve">No. Reasonable assumptions across expected installations can be </w:t>
      </w:r>
      <w:r w:rsidR="00275944" w:rsidRPr="0026735F">
        <w:rPr>
          <w:rFonts w:ascii="Times New Roman" w:hAnsi="Times New Roman" w:cs="Times New Roman"/>
          <w:color w:val="0070C0"/>
          <w:sz w:val="24"/>
          <w:szCs w:val="24"/>
        </w:rPr>
        <w:t xml:space="preserve">made </w:t>
      </w:r>
      <w:r w:rsidRPr="0026735F">
        <w:rPr>
          <w:rFonts w:ascii="Times New Roman" w:hAnsi="Times New Roman" w:cs="Times New Roman"/>
          <w:color w:val="0070C0"/>
          <w:sz w:val="24"/>
          <w:szCs w:val="24"/>
        </w:rPr>
        <w:t xml:space="preserve">to create </w:t>
      </w:r>
      <w:r w:rsidR="00275944" w:rsidRPr="0026735F">
        <w:rPr>
          <w:rFonts w:ascii="Times New Roman" w:hAnsi="Times New Roman" w:cs="Times New Roman"/>
          <w:color w:val="0070C0"/>
          <w:sz w:val="24"/>
          <w:szCs w:val="24"/>
        </w:rPr>
        <w:t xml:space="preserve">eligibility </w:t>
      </w:r>
      <w:r w:rsidRPr="0026735F">
        <w:rPr>
          <w:rFonts w:ascii="Times New Roman" w:hAnsi="Times New Roman" w:cs="Times New Roman"/>
          <w:color w:val="0070C0"/>
          <w:sz w:val="24"/>
          <w:szCs w:val="24"/>
        </w:rPr>
        <w:t>rules regarding issues such as the combination of heating and cooling efficiencies that would produce source Btu savings. These could the</w:t>
      </w:r>
      <w:r w:rsidR="00275944" w:rsidRPr="0026735F">
        <w:rPr>
          <w:rFonts w:ascii="Times New Roman" w:hAnsi="Times New Roman" w:cs="Times New Roman"/>
          <w:color w:val="0070C0"/>
          <w:sz w:val="24"/>
          <w:szCs w:val="24"/>
        </w:rPr>
        <w:t>n</w:t>
      </w:r>
      <w:r w:rsidRPr="0026735F">
        <w:rPr>
          <w:rFonts w:ascii="Times New Roman" w:hAnsi="Times New Roman" w:cs="Times New Roman"/>
          <w:color w:val="0070C0"/>
          <w:sz w:val="24"/>
          <w:szCs w:val="24"/>
        </w:rPr>
        <w:t xml:space="preserve"> be applied across all midstream or downstream program offerings, without the administrative burden of calculating source savings for each individual application.</w:t>
      </w:r>
    </w:p>
    <w:p w14:paraId="3A5B7851" w14:textId="77777777" w:rsidR="00275944" w:rsidRPr="00EB346B" w:rsidRDefault="00275944" w:rsidP="00EB346B">
      <w:pPr>
        <w:spacing w:after="0" w:line="240" w:lineRule="auto"/>
        <w:ind w:left="720"/>
        <w:rPr>
          <w:rFonts w:ascii="Times New Roman" w:hAnsi="Times New Roman" w:cs="Times New Roman"/>
          <w:color w:val="00B050"/>
          <w:sz w:val="24"/>
          <w:szCs w:val="24"/>
        </w:rPr>
      </w:pPr>
    </w:p>
    <w:p w14:paraId="4F35F381" w14:textId="0A3F4C5B" w:rsidR="00130DB8" w:rsidRDefault="00130DB8" w:rsidP="009D572E">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lastRenderedPageBreak/>
        <w:t>If yes, what if measures are delivered midstream and the existing fuel type is not collected?</w:t>
      </w:r>
    </w:p>
    <w:p w14:paraId="697EC131" w14:textId="58B9A4E3" w:rsidR="00EB346B" w:rsidRPr="0026735F" w:rsidRDefault="00EB346B" w:rsidP="00EB346B">
      <w:pPr>
        <w:pStyle w:val="ListParagraph"/>
        <w:spacing w:after="0" w:line="240" w:lineRule="auto"/>
        <w:ind w:left="1440"/>
        <w:rPr>
          <w:rFonts w:ascii="Times New Roman" w:hAnsi="Times New Roman" w:cs="Times New Roman"/>
          <w:color w:val="0070C0"/>
          <w:sz w:val="24"/>
          <w:szCs w:val="24"/>
        </w:rPr>
      </w:pPr>
      <w:r w:rsidRPr="0026735F">
        <w:rPr>
          <w:rFonts w:ascii="Times New Roman" w:hAnsi="Times New Roman" w:cs="Times New Roman"/>
          <w:color w:val="0070C0"/>
          <w:sz w:val="24"/>
          <w:szCs w:val="24"/>
        </w:rPr>
        <w:t>The independent evaluator would be required to collect appropriate information to identify installations that pass (or do not pass) the source savings screening criteria. This could be accomplished by data collecti</w:t>
      </w:r>
      <w:r w:rsidR="009E71AF" w:rsidRPr="0026735F">
        <w:rPr>
          <w:rFonts w:ascii="Times New Roman" w:hAnsi="Times New Roman" w:cs="Times New Roman"/>
          <w:color w:val="0070C0"/>
          <w:sz w:val="24"/>
          <w:szCs w:val="24"/>
        </w:rPr>
        <w:t>o</w:t>
      </w:r>
      <w:r w:rsidRPr="0026735F">
        <w:rPr>
          <w:rFonts w:ascii="Times New Roman" w:hAnsi="Times New Roman" w:cs="Times New Roman"/>
          <w:color w:val="0070C0"/>
          <w:sz w:val="24"/>
          <w:szCs w:val="24"/>
        </w:rPr>
        <w:t xml:space="preserve">n approaches such as: </w:t>
      </w:r>
    </w:p>
    <w:p w14:paraId="63182E05" w14:textId="5F7D1FE7" w:rsidR="00275944" w:rsidRPr="0026735F" w:rsidRDefault="00275944" w:rsidP="00275944">
      <w:pPr>
        <w:pStyle w:val="ListParagraph"/>
        <w:numPr>
          <w:ilvl w:val="0"/>
          <w:numId w:val="6"/>
        </w:numPr>
        <w:spacing w:after="0" w:line="240" w:lineRule="auto"/>
        <w:rPr>
          <w:rFonts w:ascii="Times New Roman" w:hAnsi="Times New Roman" w:cs="Times New Roman"/>
          <w:color w:val="0070C0"/>
          <w:sz w:val="24"/>
          <w:szCs w:val="24"/>
        </w:rPr>
      </w:pPr>
      <w:r w:rsidRPr="0026735F">
        <w:rPr>
          <w:rFonts w:ascii="Times New Roman" w:hAnsi="Times New Roman" w:cs="Times New Roman"/>
          <w:color w:val="0070C0"/>
          <w:sz w:val="24"/>
          <w:szCs w:val="24"/>
        </w:rPr>
        <w:t>Requiring installers to collect fuel type and efficiency information (including whether the installation was early replacement or time of sale)</w:t>
      </w:r>
    </w:p>
    <w:p w14:paraId="3960FB74" w14:textId="05B0426C" w:rsidR="00EB346B" w:rsidRPr="0026735F" w:rsidRDefault="00275944" w:rsidP="00275944">
      <w:pPr>
        <w:pStyle w:val="ListParagraph"/>
        <w:numPr>
          <w:ilvl w:val="0"/>
          <w:numId w:val="6"/>
        </w:numPr>
        <w:spacing w:after="0" w:line="240" w:lineRule="auto"/>
        <w:rPr>
          <w:rFonts w:ascii="Times New Roman" w:hAnsi="Times New Roman" w:cs="Times New Roman"/>
          <w:color w:val="0070C0"/>
          <w:sz w:val="24"/>
          <w:szCs w:val="24"/>
        </w:rPr>
      </w:pPr>
      <w:r w:rsidRPr="0026735F">
        <w:rPr>
          <w:rFonts w:ascii="Times New Roman" w:hAnsi="Times New Roman" w:cs="Times New Roman"/>
          <w:color w:val="0070C0"/>
          <w:sz w:val="24"/>
          <w:szCs w:val="24"/>
        </w:rPr>
        <w:t>S</w:t>
      </w:r>
      <w:r w:rsidR="00EB346B" w:rsidRPr="0026735F">
        <w:rPr>
          <w:rFonts w:ascii="Times New Roman" w:hAnsi="Times New Roman" w:cs="Times New Roman"/>
          <w:color w:val="0070C0"/>
          <w:sz w:val="24"/>
          <w:szCs w:val="24"/>
        </w:rPr>
        <w:t>tatistically significant survey</w:t>
      </w:r>
      <w:r w:rsidRPr="0026735F">
        <w:rPr>
          <w:rFonts w:ascii="Times New Roman" w:hAnsi="Times New Roman" w:cs="Times New Roman"/>
          <w:color w:val="0070C0"/>
          <w:sz w:val="24"/>
          <w:szCs w:val="24"/>
        </w:rPr>
        <w:t>s</w:t>
      </w:r>
      <w:r w:rsidR="00EB346B" w:rsidRPr="0026735F">
        <w:rPr>
          <w:rFonts w:ascii="Times New Roman" w:hAnsi="Times New Roman" w:cs="Times New Roman"/>
          <w:color w:val="0070C0"/>
          <w:sz w:val="24"/>
          <w:szCs w:val="24"/>
        </w:rPr>
        <w:t xml:space="preserve"> </w:t>
      </w:r>
      <w:r w:rsidRPr="0026735F">
        <w:rPr>
          <w:rFonts w:ascii="Times New Roman" w:hAnsi="Times New Roman" w:cs="Times New Roman"/>
          <w:color w:val="0070C0"/>
          <w:sz w:val="24"/>
          <w:szCs w:val="24"/>
        </w:rPr>
        <w:t xml:space="preserve">that </w:t>
      </w:r>
      <w:r w:rsidR="00EB346B" w:rsidRPr="0026735F">
        <w:rPr>
          <w:rFonts w:ascii="Times New Roman" w:hAnsi="Times New Roman" w:cs="Times New Roman"/>
          <w:color w:val="0070C0"/>
          <w:sz w:val="24"/>
          <w:szCs w:val="24"/>
        </w:rPr>
        <w:t>identify the mix of existing fuel types</w:t>
      </w:r>
      <w:r w:rsidRPr="0026735F">
        <w:rPr>
          <w:rFonts w:ascii="Times New Roman" w:hAnsi="Times New Roman" w:cs="Times New Roman"/>
          <w:color w:val="0070C0"/>
          <w:sz w:val="24"/>
          <w:szCs w:val="24"/>
        </w:rPr>
        <w:t xml:space="preserve"> and equipment efficiencies </w:t>
      </w:r>
    </w:p>
    <w:p w14:paraId="55F0DD75" w14:textId="136BCC8D" w:rsidR="00275944" w:rsidRPr="0026735F" w:rsidRDefault="00275944" w:rsidP="00275944">
      <w:pPr>
        <w:pStyle w:val="ListParagraph"/>
        <w:numPr>
          <w:ilvl w:val="0"/>
          <w:numId w:val="6"/>
        </w:numPr>
        <w:spacing w:after="0" w:line="240" w:lineRule="auto"/>
        <w:rPr>
          <w:rFonts w:ascii="Times New Roman" w:hAnsi="Times New Roman" w:cs="Times New Roman"/>
          <w:color w:val="0070C0"/>
          <w:sz w:val="24"/>
          <w:szCs w:val="24"/>
        </w:rPr>
      </w:pPr>
      <w:r w:rsidRPr="0026735F">
        <w:rPr>
          <w:rFonts w:ascii="Times New Roman" w:hAnsi="Times New Roman" w:cs="Times New Roman"/>
          <w:color w:val="0070C0"/>
          <w:sz w:val="24"/>
          <w:szCs w:val="24"/>
        </w:rPr>
        <w:t xml:space="preserve">Other approaches determined by the independent </w:t>
      </w:r>
      <w:r w:rsidR="00760E5D" w:rsidRPr="0026735F">
        <w:rPr>
          <w:rFonts w:ascii="Times New Roman" w:hAnsi="Times New Roman" w:cs="Times New Roman"/>
          <w:color w:val="0070C0"/>
          <w:sz w:val="24"/>
          <w:szCs w:val="24"/>
        </w:rPr>
        <w:t>evaluator</w:t>
      </w:r>
    </w:p>
    <w:p w14:paraId="32C346B2" w14:textId="77777777" w:rsidR="00760E5D" w:rsidRPr="00275944" w:rsidRDefault="00760E5D" w:rsidP="00760E5D">
      <w:pPr>
        <w:pStyle w:val="ListParagraph"/>
        <w:spacing w:after="0" w:line="240" w:lineRule="auto"/>
        <w:ind w:left="1800"/>
        <w:rPr>
          <w:rFonts w:ascii="Times New Roman" w:hAnsi="Times New Roman" w:cs="Times New Roman"/>
          <w:color w:val="00B050"/>
          <w:sz w:val="24"/>
          <w:szCs w:val="24"/>
        </w:rPr>
      </w:pPr>
    </w:p>
    <w:p w14:paraId="6A6D095C" w14:textId="4619DB74" w:rsidR="009D572E" w:rsidRDefault="009D572E" w:rsidP="009D572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source savings screening occur for most likely baseline and efficiency assumptions at the start of a program year, and if eligible, no further source screening would be required for the rest of the program year?</w:t>
      </w:r>
    </w:p>
    <w:p w14:paraId="5E384537" w14:textId="59EA6E9D" w:rsidR="00E50E25" w:rsidRPr="0026735F" w:rsidRDefault="00EB346B" w:rsidP="00EB346B">
      <w:pPr>
        <w:pStyle w:val="ListParagraph"/>
        <w:spacing w:after="0" w:line="240" w:lineRule="auto"/>
        <w:ind w:left="1440"/>
        <w:rPr>
          <w:rFonts w:ascii="Times New Roman" w:hAnsi="Times New Roman" w:cs="Times New Roman"/>
          <w:color w:val="0070C0"/>
          <w:sz w:val="24"/>
          <w:szCs w:val="24"/>
        </w:rPr>
      </w:pPr>
      <w:r w:rsidRPr="0026735F">
        <w:rPr>
          <w:rFonts w:ascii="Times New Roman" w:hAnsi="Times New Roman" w:cs="Times New Roman"/>
          <w:color w:val="0070C0"/>
          <w:sz w:val="24"/>
          <w:szCs w:val="24"/>
        </w:rPr>
        <w:t>Yes. See above.</w:t>
      </w:r>
    </w:p>
    <w:p w14:paraId="01D11BC0" w14:textId="54B4D875" w:rsidR="00BE7F03" w:rsidRDefault="00BE7F03" w:rsidP="00BE7F03">
      <w:pPr>
        <w:spacing w:after="0" w:line="240" w:lineRule="auto"/>
        <w:rPr>
          <w:rFonts w:ascii="Times New Roman" w:hAnsi="Times New Roman" w:cs="Times New Roman"/>
          <w:color w:val="00B050"/>
          <w:sz w:val="24"/>
          <w:szCs w:val="24"/>
        </w:rPr>
      </w:pPr>
    </w:p>
    <w:p w14:paraId="38E0D95F" w14:textId="24FFD553" w:rsidR="00BE7F03" w:rsidRDefault="00BE7F03" w:rsidP="00BE7F03">
      <w:pPr>
        <w:spacing w:after="0" w:line="240" w:lineRule="auto"/>
        <w:rPr>
          <w:rFonts w:ascii="Times New Roman" w:hAnsi="Times New Roman" w:cs="Times New Roman"/>
          <w:color w:val="00B050"/>
          <w:sz w:val="24"/>
          <w:szCs w:val="24"/>
        </w:rPr>
      </w:pPr>
    </w:p>
    <w:p w14:paraId="05A79365" w14:textId="08CE2CB0" w:rsidR="00BE7F03" w:rsidRDefault="00BE7F03">
      <w:pPr>
        <w:rPr>
          <w:rFonts w:ascii="Times New Roman" w:hAnsi="Times New Roman" w:cs="Times New Roman"/>
          <w:color w:val="00B050"/>
          <w:sz w:val="24"/>
          <w:szCs w:val="24"/>
        </w:rPr>
      </w:pPr>
      <w:r>
        <w:rPr>
          <w:rFonts w:ascii="Times New Roman" w:hAnsi="Times New Roman" w:cs="Times New Roman"/>
          <w:color w:val="00B050"/>
          <w:sz w:val="24"/>
          <w:szCs w:val="24"/>
        </w:rPr>
        <w:br w:type="page"/>
      </w:r>
    </w:p>
    <w:p w14:paraId="387D52B1" w14:textId="77777777" w:rsidR="00BE7F03" w:rsidRPr="006649F9" w:rsidRDefault="00BE7F03" w:rsidP="00BE7F03">
      <w:pPr>
        <w:rPr>
          <w:b/>
          <w:sz w:val="28"/>
          <w:szCs w:val="28"/>
          <w:u w:val="single"/>
        </w:rPr>
      </w:pPr>
      <w:r w:rsidRPr="006649F9">
        <w:rPr>
          <w:b/>
          <w:sz w:val="28"/>
          <w:szCs w:val="28"/>
          <w:u w:val="single"/>
        </w:rPr>
        <w:lastRenderedPageBreak/>
        <w:t>Legislative Language</w:t>
      </w:r>
    </w:p>
    <w:p w14:paraId="3ADA18D5" w14:textId="77777777" w:rsidR="00BE7F03" w:rsidRPr="00ED7FA1" w:rsidRDefault="00BE7F03" w:rsidP="00BE7F03">
      <w:pPr>
        <w:rPr>
          <w:u w:val="single"/>
        </w:rPr>
      </w:pPr>
      <w:r>
        <w:rPr>
          <w:u w:val="single"/>
        </w:rPr>
        <w:t xml:space="preserve">Illinois </w:t>
      </w:r>
      <w:r w:rsidRPr="00ED7FA1">
        <w:rPr>
          <w:u w:val="single"/>
        </w:rPr>
        <w:t>Power Agency Act</w:t>
      </w:r>
    </w:p>
    <w:p w14:paraId="5BF7769F" w14:textId="77777777" w:rsidR="00BE7F03" w:rsidRDefault="00BE7F03" w:rsidP="00BE7F03">
      <w:pPr>
        <w:pStyle w:val="ListParagraph"/>
        <w:numPr>
          <w:ilvl w:val="0"/>
          <w:numId w:val="10"/>
        </w:numPr>
      </w:pPr>
      <w:r>
        <w:t>Section 1-10 (In Part)</w:t>
      </w:r>
    </w:p>
    <w:p w14:paraId="3F8EAA66" w14:textId="77777777" w:rsidR="00BE7F03" w:rsidRDefault="00BE7F03" w:rsidP="00BE7F03">
      <w:pPr>
        <w:pStyle w:val="ListParagraph"/>
        <w:numPr>
          <w:ilvl w:val="1"/>
          <w:numId w:val="10"/>
        </w:numPr>
      </w:pPr>
      <w:r>
        <w:t xml:space="preserve">"Energy efficiency" means measures that reduce the amount of electricity or natural gas consumed in order to achieve a given end use. "Energy efficiency" includes voltage optimization measures that optimize the voltage at points on the electric distribution voltage system and thereby reduce electricity consumption by electric customers' end use devices. </w:t>
      </w:r>
      <w:r w:rsidRPr="00665EBA">
        <w:rPr>
          <w:highlight w:val="yellow"/>
        </w:rPr>
        <w:t xml:space="preserve">"Energy efficiency" also includes measures that reduce the total </w:t>
      </w:r>
      <w:proofErr w:type="spellStart"/>
      <w:r w:rsidRPr="00665EBA">
        <w:rPr>
          <w:highlight w:val="yellow"/>
        </w:rPr>
        <w:t>Btus</w:t>
      </w:r>
      <w:proofErr w:type="spellEnd"/>
      <w:r w:rsidRPr="00665EBA">
        <w:rPr>
          <w:highlight w:val="yellow"/>
        </w:rPr>
        <w:t xml:space="preserve"> of electricity, natural gas, and other fuels needed to meet the end use or uses.</w:t>
      </w:r>
    </w:p>
    <w:p w14:paraId="5F2BCF76" w14:textId="77777777" w:rsidR="00BE7F03" w:rsidRPr="00ED7FA1" w:rsidRDefault="00BE7F03" w:rsidP="00BE7F03">
      <w:pPr>
        <w:rPr>
          <w:u w:val="single"/>
        </w:rPr>
      </w:pPr>
      <w:r w:rsidRPr="00ED7FA1">
        <w:rPr>
          <w:u w:val="single"/>
        </w:rPr>
        <w:t>Public Utilities Act</w:t>
      </w:r>
    </w:p>
    <w:p w14:paraId="2EC2DBDA" w14:textId="77777777" w:rsidR="00BE7F03" w:rsidRDefault="00BE7F03" w:rsidP="00BE7F03">
      <w:pPr>
        <w:pStyle w:val="ListParagraph"/>
        <w:numPr>
          <w:ilvl w:val="0"/>
          <w:numId w:val="10"/>
        </w:numPr>
      </w:pPr>
      <w:r>
        <w:t>Section 103B(a) (In Part)</w:t>
      </w:r>
    </w:p>
    <w:p w14:paraId="047908F3" w14:textId="77777777" w:rsidR="00BE7F03" w:rsidRDefault="00BE7F03" w:rsidP="00BE7F03">
      <w:pPr>
        <w:pStyle w:val="ListParagraph"/>
        <w:numPr>
          <w:ilvl w:val="1"/>
          <w:numId w:val="10"/>
        </w:numPr>
      </w:pPr>
      <w:r w:rsidRPr="00CB18CD">
        <w:t>It is the policy of the State that electric utilities are required to use cost-effective energy efficiency and demand-response measures to reduce delivery load. Requiring investment in cost-effective energy efficiency and demand-response measures will reduce direct and indirect costs to consumers by decreasing environmental impacts and by avoiding or delaying the need for new generation, transmission, and distribution infrastructure. It serves the public interest to allow electric utilities to recover costs for reasonably and prudently incurred expenses for energy efficiency and demand-response measures</w:t>
      </w:r>
      <w:r>
        <w:t>…</w:t>
      </w:r>
      <w:r w:rsidRPr="00CB18CD">
        <w:t>For purposes of this Section, the terms "energy-efficiency", "demand-response", "electric utility", and "total resource cost test" shall have the meanings set forth in the Illinois Power Agency Act</w:t>
      </w:r>
      <w:r>
        <w:t>…</w:t>
      </w:r>
    </w:p>
    <w:p w14:paraId="32590215" w14:textId="77777777" w:rsidR="00BE7F03" w:rsidRDefault="00BE7F03" w:rsidP="00BE7F03">
      <w:pPr>
        <w:pStyle w:val="ListParagraph"/>
        <w:numPr>
          <w:ilvl w:val="0"/>
          <w:numId w:val="10"/>
        </w:numPr>
      </w:pPr>
      <w:r>
        <w:t>Section 103B(b-25)</w:t>
      </w:r>
    </w:p>
    <w:p w14:paraId="1BB1B520" w14:textId="77777777" w:rsidR="00BE7F03" w:rsidRDefault="00BE7F03" w:rsidP="00BE7F03">
      <w:pPr>
        <w:pStyle w:val="ListParagraph"/>
        <w:numPr>
          <w:ilvl w:val="1"/>
          <w:numId w:val="10"/>
        </w:numPr>
      </w:pPr>
      <w:r>
        <w:t>In the event an electric utility jointly offers an energy efficiency measure or program with a gas utility under plans approved under this Section and Section 8-104 of this Act, the electric utility may continue offering the program, including the gas energy efficiency measures, in the event the gas utility discontinues funding the program.  </w:t>
      </w:r>
      <w:r w:rsidRPr="00665EBA">
        <w:rPr>
          <w:highlight w:val="yellow"/>
        </w:rPr>
        <w:t>In that event, the energy savings value associated with such other fuels shall be converted to electric energy savings on an equivalent Btu basis for the premises.</w:t>
      </w:r>
      <w:r>
        <w:t xml:space="preserve">  However, the electric utility shall prioritize programs for low-income residential customers to the extent practicable.  An electric utility may recover the costs of offering the gas energy efficiency measures under this subsection (b-25).</w:t>
      </w:r>
    </w:p>
    <w:p w14:paraId="0B7E49C5" w14:textId="77777777" w:rsidR="00BE7F03" w:rsidRDefault="00BE7F03" w:rsidP="00BE7F03">
      <w:pPr>
        <w:ind w:left="1440"/>
      </w:pPr>
      <w:r>
        <w:t xml:space="preserve">For those energy efficiency measures or programs that save both electricity and other fuels but are not jointly offered with a gas utility under plans approved under this Section and Section 8-104 or not offered with an affiliated gas utility under paragraph (6) of subsection (f) of Section 8-104 of this Act, the electric utility may count savings of fuels other than electricity toward the achievement of its annual savings goal, and </w:t>
      </w:r>
      <w:r w:rsidRPr="00ED7FA1">
        <w:rPr>
          <w:highlight w:val="yellow"/>
        </w:rPr>
        <w:t>the energy savings value associated with such other fuels shall be converted to electric energy savings on an equivalent Btu basis at the premises.</w:t>
      </w:r>
    </w:p>
    <w:p w14:paraId="06E0C670" w14:textId="77777777" w:rsidR="00BE7F03" w:rsidRDefault="00BE7F03" w:rsidP="00BE7F03">
      <w:pPr>
        <w:ind w:left="1440"/>
      </w:pPr>
      <w:r>
        <w:t>In no event shall more than 10% of each year's applicable annual incremental goal as defined in paragraph (7) of subsection (g) of this Section be met through savings of fuels other than electricity.</w:t>
      </w:r>
    </w:p>
    <w:p w14:paraId="78296F2E" w14:textId="77777777" w:rsidR="00BE7F03" w:rsidRDefault="00BE7F03" w:rsidP="00BE7F03">
      <w:pPr>
        <w:pStyle w:val="ListParagraph"/>
        <w:keepNext/>
        <w:numPr>
          <w:ilvl w:val="0"/>
          <w:numId w:val="10"/>
        </w:numPr>
      </w:pPr>
      <w:r>
        <w:lastRenderedPageBreak/>
        <w:t>Section 8-104(a)</w:t>
      </w:r>
    </w:p>
    <w:p w14:paraId="689B3643" w14:textId="77777777" w:rsidR="00BE7F03" w:rsidRPr="00CB18CD" w:rsidRDefault="00BE7F03" w:rsidP="00BE7F03">
      <w:pPr>
        <w:pStyle w:val="ListParagraph"/>
        <w:keepNext/>
        <w:numPr>
          <w:ilvl w:val="1"/>
          <w:numId w:val="10"/>
        </w:numPr>
      </w:pPr>
      <w:r w:rsidRPr="00CB18CD">
        <w:t>It is the policy of the State that natural gas utilities and the Department of Commerce and Economic Opportunity are required to use cost-effective energy efficiency to reduce direct and indirect costs to consumers. It serves the public interest to allow natural gas utilities to recover costs for reasonably and prudently incurred expenses for cost-effective energy efficiency measures.</w:t>
      </w:r>
    </w:p>
    <w:p w14:paraId="257DA09A" w14:textId="77777777" w:rsidR="00BE7F03" w:rsidRDefault="00BE7F03" w:rsidP="00BE7F03">
      <w:pPr>
        <w:pStyle w:val="ListParagraph"/>
        <w:numPr>
          <w:ilvl w:val="0"/>
          <w:numId w:val="10"/>
        </w:numPr>
      </w:pPr>
      <w:r>
        <w:t>Section 8-104(b) (In Part)</w:t>
      </w:r>
    </w:p>
    <w:p w14:paraId="5F86FBE0" w14:textId="77777777" w:rsidR="00BE7F03" w:rsidRDefault="00BE7F03" w:rsidP="00BE7F03">
      <w:pPr>
        <w:pStyle w:val="ListParagraph"/>
        <w:numPr>
          <w:ilvl w:val="1"/>
          <w:numId w:val="10"/>
        </w:numPr>
      </w:pPr>
      <w:r w:rsidRPr="00665EBA">
        <w:t xml:space="preserve">For purposes of this Section, “energy efficiency” means measures that reduce the amount of energy required to achieve a given end use. </w:t>
      </w:r>
      <w:r w:rsidRPr="00665EBA">
        <w:rPr>
          <w:highlight w:val="yellow"/>
        </w:rPr>
        <w:t xml:space="preserve">“Energy efficiency” also includes measures that reduce the total </w:t>
      </w:r>
      <w:proofErr w:type="spellStart"/>
      <w:r w:rsidRPr="00665EBA">
        <w:rPr>
          <w:highlight w:val="yellow"/>
        </w:rPr>
        <w:t>Btus</w:t>
      </w:r>
      <w:proofErr w:type="spellEnd"/>
      <w:r w:rsidRPr="00665EBA">
        <w:rPr>
          <w:highlight w:val="yellow"/>
        </w:rPr>
        <w:t xml:space="preserve"> of electricity and natural gas needed to meet the end use or uses.</w:t>
      </w:r>
    </w:p>
    <w:p w14:paraId="5879A899" w14:textId="77777777" w:rsidR="00BE7F03" w:rsidRDefault="00BE7F03" w:rsidP="00BE7F03">
      <w:pPr>
        <w:pStyle w:val="BodyText"/>
        <w:spacing w:after="0"/>
        <w:ind w:left="360"/>
        <w:rPr>
          <w:rFonts w:asciiTheme="minorHAnsi" w:hAnsiTheme="minorHAnsi" w:cstheme="minorHAnsi"/>
          <w:b/>
          <w:sz w:val="28"/>
          <w:szCs w:val="28"/>
          <w:u w:val="single"/>
        </w:rPr>
      </w:pPr>
    </w:p>
    <w:p w14:paraId="7DF3D09B" w14:textId="77777777" w:rsidR="00BE7F03" w:rsidRDefault="00BE7F03">
      <w:pPr>
        <w:rPr>
          <w:rFonts w:cstheme="minorHAnsi"/>
          <w:b/>
          <w:sz w:val="28"/>
          <w:szCs w:val="28"/>
          <w:u w:val="single"/>
        </w:rPr>
      </w:pPr>
      <w:r>
        <w:rPr>
          <w:rFonts w:cstheme="minorHAnsi"/>
          <w:b/>
          <w:sz w:val="28"/>
          <w:szCs w:val="28"/>
          <w:u w:val="single"/>
        </w:rPr>
        <w:br w:type="page"/>
      </w:r>
    </w:p>
    <w:p w14:paraId="4E45E8D2" w14:textId="3882689B" w:rsidR="00BE7F03" w:rsidRDefault="00BE7F03" w:rsidP="00BE7F03">
      <w:pPr>
        <w:pStyle w:val="BodyText"/>
        <w:spacing w:after="0"/>
        <w:rPr>
          <w:rFonts w:asciiTheme="minorHAnsi" w:hAnsiTheme="minorHAnsi" w:cstheme="minorHAnsi"/>
          <w:b/>
          <w:sz w:val="28"/>
          <w:szCs w:val="28"/>
          <w:u w:val="single"/>
        </w:rPr>
      </w:pPr>
      <w:r w:rsidRPr="006649F9">
        <w:rPr>
          <w:rFonts w:asciiTheme="minorHAnsi" w:hAnsiTheme="minorHAnsi" w:cstheme="minorHAnsi"/>
          <w:b/>
          <w:sz w:val="28"/>
          <w:szCs w:val="28"/>
          <w:u w:val="single"/>
        </w:rPr>
        <w:lastRenderedPageBreak/>
        <w:t>Key Points Copied from IL TRM CHP Measure</w:t>
      </w:r>
    </w:p>
    <w:p w14:paraId="6B01A810" w14:textId="77777777" w:rsidR="00BE7F03" w:rsidRPr="006649F9" w:rsidRDefault="00BE7F03" w:rsidP="00BE7F03">
      <w:pPr>
        <w:pStyle w:val="BodyText"/>
        <w:spacing w:after="0"/>
        <w:ind w:left="360"/>
        <w:rPr>
          <w:rFonts w:asciiTheme="minorHAnsi" w:hAnsiTheme="minorHAnsi" w:cstheme="minorHAnsi"/>
          <w:b/>
          <w:sz w:val="28"/>
          <w:szCs w:val="28"/>
          <w:u w:val="single"/>
        </w:rPr>
      </w:pPr>
    </w:p>
    <w:p w14:paraId="39995D9B" w14:textId="77777777" w:rsidR="00BE7F03" w:rsidRDefault="00BE7F03" w:rsidP="00BE7F03">
      <w:pPr>
        <w:rPr>
          <w:rFonts w:ascii="Times New Roman" w:hAnsi="Times New Roman" w:cs="Times New Roman"/>
          <w:b/>
          <w:sz w:val="28"/>
          <w:szCs w:val="28"/>
        </w:rPr>
      </w:pPr>
      <w:r>
        <w:rPr>
          <w:noProof/>
        </w:rPr>
        <w:drawing>
          <wp:inline distT="0" distB="0" distL="0" distR="0" wp14:anchorId="0047BF39" wp14:editId="5B7F9784">
            <wp:extent cx="5943600" cy="1196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96340"/>
                    </a:xfrm>
                    <a:prstGeom prst="rect">
                      <a:avLst/>
                    </a:prstGeom>
                  </pic:spPr>
                </pic:pic>
              </a:graphicData>
            </a:graphic>
          </wp:inline>
        </w:drawing>
      </w:r>
    </w:p>
    <w:p w14:paraId="4BA8DD72" w14:textId="77777777" w:rsidR="00BE7F03" w:rsidRDefault="00BE7F03" w:rsidP="00BE7F03">
      <w:pPr>
        <w:spacing w:after="0" w:line="240" w:lineRule="auto"/>
        <w:rPr>
          <w:rFonts w:ascii="Times New Roman" w:hAnsi="Times New Roman" w:cs="Times New Roman"/>
          <w:b/>
          <w:sz w:val="28"/>
          <w:szCs w:val="28"/>
        </w:rPr>
      </w:pPr>
      <w:r>
        <w:rPr>
          <w:noProof/>
        </w:rPr>
        <w:drawing>
          <wp:inline distT="0" distB="0" distL="0" distR="0" wp14:anchorId="48E48A6E" wp14:editId="029F8045">
            <wp:extent cx="5943600" cy="17164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716405"/>
                    </a:xfrm>
                    <a:prstGeom prst="rect">
                      <a:avLst/>
                    </a:prstGeom>
                  </pic:spPr>
                </pic:pic>
              </a:graphicData>
            </a:graphic>
          </wp:inline>
        </w:drawing>
      </w:r>
    </w:p>
    <w:p w14:paraId="28444BF6" w14:textId="77777777" w:rsidR="00BE7F03" w:rsidRDefault="00BE7F03" w:rsidP="00BE7F03">
      <w:pPr>
        <w:spacing w:after="0" w:line="240" w:lineRule="auto"/>
        <w:rPr>
          <w:rFonts w:ascii="Times New Roman" w:hAnsi="Times New Roman" w:cs="Times New Roman"/>
          <w:b/>
          <w:sz w:val="28"/>
          <w:szCs w:val="28"/>
        </w:rPr>
      </w:pPr>
      <w:r>
        <w:rPr>
          <w:noProof/>
        </w:rPr>
        <w:drawing>
          <wp:inline distT="0" distB="0" distL="0" distR="0" wp14:anchorId="3C089688" wp14:editId="3083B37B">
            <wp:extent cx="5943600" cy="3568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56870"/>
                    </a:xfrm>
                    <a:prstGeom prst="rect">
                      <a:avLst/>
                    </a:prstGeom>
                  </pic:spPr>
                </pic:pic>
              </a:graphicData>
            </a:graphic>
          </wp:inline>
        </w:drawing>
      </w:r>
    </w:p>
    <w:p w14:paraId="5F22E545" w14:textId="77777777" w:rsidR="00BE7F03" w:rsidRDefault="00BE7F03" w:rsidP="00BE7F03">
      <w:pPr>
        <w:spacing w:after="0" w:line="240" w:lineRule="auto"/>
        <w:rPr>
          <w:rFonts w:ascii="Times New Roman" w:hAnsi="Times New Roman" w:cs="Times New Roman"/>
          <w:b/>
          <w:sz w:val="28"/>
          <w:szCs w:val="28"/>
        </w:rPr>
      </w:pPr>
      <w:r>
        <w:rPr>
          <w:noProof/>
        </w:rPr>
        <w:drawing>
          <wp:inline distT="0" distB="0" distL="0" distR="0" wp14:anchorId="47893885" wp14:editId="764A210D">
            <wp:extent cx="5943600" cy="26200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20010"/>
                    </a:xfrm>
                    <a:prstGeom prst="rect">
                      <a:avLst/>
                    </a:prstGeom>
                  </pic:spPr>
                </pic:pic>
              </a:graphicData>
            </a:graphic>
          </wp:inline>
        </w:drawing>
      </w:r>
    </w:p>
    <w:p w14:paraId="58C27E27" w14:textId="77777777" w:rsidR="00BE7F03" w:rsidRDefault="00BE7F03" w:rsidP="00BE7F03">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14E2EEA7" wp14:editId="60EA4B1E">
            <wp:extent cx="5944235"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1524000"/>
                    </a:xfrm>
                    <a:prstGeom prst="rect">
                      <a:avLst/>
                    </a:prstGeom>
                    <a:noFill/>
                  </pic:spPr>
                </pic:pic>
              </a:graphicData>
            </a:graphic>
          </wp:inline>
        </w:drawing>
      </w:r>
    </w:p>
    <w:p w14:paraId="386E8233" w14:textId="77777777" w:rsidR="00BE7F03" w:rsidRDefault="00BE7F03" w:rsidP="00BE7F03">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17509E8F" wp14:editId="0ADF9391">
            <wp:extent cx="5944235" cy="1183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235" cy="1183005"/>
                    </a:xfrm>
                    <a:prstGeom prst="rect">
                      <a:avLst/>
                    </a:prstGeom>
                    <a:noFill/>
                  </pic:spPr>
                </pic:pic>
              </a:graphicData>
            </a:graphic>
          </wp:inline>
        </w:drawing>
      </w:r>
    </w:p>
    <w:p w14:paraId="0285A4D0" w14:textId="77777777" w:rsidR="00BE7F03" w:rsidRDefault="00BE7F03" w:rsidP="00BE7F03">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E2CDD52" wp14:editId="5A335CBE">
            <wp:extent cx="5846400" cy="3004079"/>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6400" cy="3004079"/>
                    </a:xfrm>
                    <a:prstGeom prst="rect">
                      <a:avLst/>
                    </a:prstGeom>
                    <a:noFill/>
                  </pic:spPr>
                </pic:pic>
              </a:graphicData>
            </a:graphic>
          </wp:inline>
        </w:drawing>
      </w:r>
    </w:p>
    <w:p w14:paraId="5C108193" w14:textId="77777777" w:rsidR="00BE7F03" w:rsidRDefault="00BE7F03" w:rsidP="00BE7F03">
      <w:pPr>
        <w:spacing w:after="0" w:line="240" w:lineRule="auto"/>
        <w:rPr>
          <w:rFonts w:ascii="Times New Roman" w:hAnsi="Times New Roman" w:cs="Times New Roman"/>
          <w:b/>
          <w:sz w:val="28"/>
          <w:szCs w:val="28"/>
        </w:rPr>
      </w:pPr>
      <w:r>
        <w:rPr>
          <w:noProof/>
        </w:rPr>
        <w:drawing>
          <wp:inline distT="0" distB="0" distL="0" distR="0" wp14:anchorId="7F79C993" wp14:editId="7E370376">
            <wp:extent cx="5943600" cy="26631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7247" cy="2664824"/>
                    </a:xfrm>
                    <a:prstGeom prst="rect">
                      <a:avLst/>
                    </a:prstGeom>
                  </pic:spPr>
                </pic:pic>
              </a:graphicData>
            </a:graphic>
          </wp:inline>
        </w:drawing>
      </w:r>
    </w:p>
    <w:p w14:paraId="689508BE" w14:textId="77777777" w:rsidR="00BE7F03" w:rsidRPr="00BE7F03" w:rsidRDefault="00BE7F03" w:rsidP="00BE7F03">
      <w:pPr>
        <w:spacing w:after="0" w:line="240" w:lineRule="auto"/>
        <w:rPr>
          <w:rFonts w:ascii="Times New Roman" w:hAnsi="Times New Roman" w:cs="Times New Roman"/>
          <w:color w:val="00B050"/>
          <w:sz w:val="24"/>
          <w:szCs w:val="24"/>
        </w:rPr>
      </w:pPr>
    </w:p>
    <w:sectPr w:rsidR="00BE7F03" w:rsidRPr="00BE7F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9853" w14:textId="77777777" w:rsidR="001536CC" w:rsidRDefault="001536CC" w:rsidP="00B212E9">
      <w:pPr>
        <w:spacing w:after="0" w:line="240" w:lineRule="auto"/>
      </w:pPr>
      <w:r>
        <w:separator/>
      </w:r>
    </w:p>
  </w:endnote>
  <w:endnote w:type="continuationSeparator" w:id="0">
    <w:p w14:paraId="4B74584B" w14:textId="77777777" w:rsidR="001536CC" w:rsidRDefault="001536CC"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Corbel"/>
    <w:charset w:val="00"/>
    <w:family w:val="swiss"/>
    <w:pitch w:val="variable"/>
    <w:sig w:usb0="A00002EF" w:usb1="5000204B" w:usb2="00000000" w:usb3="00000000" w:csb0="00000097"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17BF1083"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0026735F">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7104" w14:textId="77777777" w:rsidR="001536CC" w:rsidRDefault="001536CC" w:rsidP="00B212E9">
      <w:pPr>
        <w:spacing w:after="0" w:line="240" w:lineRule="auto"/>
      </w:pPr>
      <w:r>
        <w:separator/>
      </w:r>
    </w:p>
  </w:footnote>
  <w:footnote w:type="continuationSeparator" w:id="0">
    <w:p w14:paraId="76245616" w14:textId="77777777" w:rsidR="001536CC" w:rsidRDefault="001536CC"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50C28"/>
    <w:multiLevelType w:val="hybridMultilevel"/>
    <w:tmpl w:val="F3466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12D23"/>
    <w:multiLevelType w:val="hybridMultilevel"/>
    <w:tmpl w:val="2C74EAB4"/>
    <w:lvl w:ilvl="0" w:tplc="0409000F">
      <w:start w:val="1"/>
      <w:numFmt w:val="decimal"/>
      <w:lvlText w:val="%1."/>
      <w:lvlJc w:val="left"/>
      <w:pPr>
        <w:ind w:left="720" w:hanging="360"/>
      </w:pPr>
      <w:rPr>
        <w:rFonts w:hint="default"/>
      </w:rPr>
    </w:lvl>
    <w:lvl w:ilvl="1" w:tplc="86E2F05C">
      <w:start w:val="1"/>
      <w:numFmt w:val="lowerLetter"/>
      <w:lvlText w:val="%2."/>
      <w:lvlJc w:val="left"/>
      <w:pPr>
        <w:ind w:left="1440" w:hanging="360"/>
      </w:pPr>
      <w:rPr>
        <w:color w:val="0070C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65290"/>
    <w:multiLevelType w:val="hybridMultilevel"/>
    <w:tmpl w:val="2BDC17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A2B5D6D"/>
    <w:multiLevelType w:val="hybridMultilevel"/>
    <w:tmpl w:val="D8863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B57CFB"/>
    <w:multiLevelType w:val="hybridMultilevel"/>
    <w:tmpl w:val="F3466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B5C65"/>
    <w:multiLevelType w:val="hybridMultilevel"/>
    <w:tmpl w:val="AB86D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5728C"/>
    <w:multiLevelType w:val="hybridMultilevel"/>
    <w:tmpl w:val="77EE63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3"/>
  </w:num>
  <w:num w:numId="6">
    <w:abstractNumId w:val="9"/>
  </w:num>
  <w:num w:numId="7">
    <w:abstractNumId w:val="1"/>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07"/>
    <w:rsid w:val="00000417"/>
    <w:rsid w:val="0000375C"/>
    <w:rsid w:val="00024E73"/>
    <w:rsid w:val="00043003"/>
    <w:rsid w:val="00073CE7"/>
    <w:rsid w:val="00083C95"/>
    <w:rsid w:val="000F53AB"/>
    <w:rsid w:val="00102748"/>
    <w:rsid w:val="00102798"/>
    <w:rsid w:val="00122958"/>
    <w:rsid w:val="00130B9A"/>
    <w:rsid w:val="00130DB8"/>
    <w:rsid w:val="00145F6C"/>
    <w:rsid w:val="001536CC"/>
    <w:rsid w:val="00165DDF"/>
    <w:rsid w:val="00184309"/>
    <w:rsid w:val="001B3902"/>
    <w:rsid w:val="001F05E6"/>
    <w:rsid w:val="00235B6C"/>
    <w:rsid w:val="00246652"/>
    <w:rsid w:val="00252909"/>
    <w:rsid w:val="0026735F"/>
    <w:rsid w:val="00274DC6"/>
    <w:rsid w:val="00275944"/>
    <w:rsid w:val="002C155E"/>
    <w:rsid w:val="002F22CD"/>
    <w:rsid w:val="00300F0F"/>
    <w:rsid w:val="003230AC"/>
    <w:rsid w:val="00383EE7"/>
    <w:rsid w:val="00384334"/>
    <w:rsid w:val="00386B31"/>
    <w:rsid w:val="003A6CB8"/>
    <w:rsid w:val="003F13BE"/>
    <w:rsid w:val="004125DA"/>
    <w:rsid w:val="00430B34"/>
    <w:rsid w:val="0045567B"/>
    <w:rsid w:val="00494675"/>
    <w:rsid w:val="00495EB9"/>
    <w:rsid w:val="004A5FD2"/>
    <w:rsid w:val="004D0F2F"/>
    <w:rsid w:val="004D4ECB"/>
    <w:rsid w:val="00510A7B"/>
    <w:rsid w:val="00526A79"/>
    <w:rsid w:val="005644E7"/>
    <w:rsid w:val="00586DC2"/>
    <w:rsid w:val="005A2263"/>
    <w:rsid w:val="005C7A15"/>
    <w:rsid w:val="005D7537"/>
    <w:rsid w:val="00603927"/>
    <w:rsid w:val="00605DEF"/>
    <w:rsid w:val="00606861"/>
    <w:rsid w:val="00621935"/>
    <w:rsid w:val="00670034"/>
    <w:rsid w:val="0068046C"/>
    <w:rsid w:val="006913B9"/>
    <w:rsid w:val="00692288"/>
    <w:rsid w:val="006E3416"/>
    <w:rsid w:val="006E5EA3"/>
    <w:rsid w:val="006F3791"/>
    <w:rsid w:val="0070338F"/>
    <w:rsid w:val="00705940"/>
    <w:rsid w:val="00742244"/>
    <w:rsid w:val="00760E5D"/>
    <w:rsid w:val="007E50BB"/>
    <w:rsid w:val="00805AF2"/>
    <w:rsid w:val="00875C33"/>
    <w:rsid w:val="00890168"/>
    <w:rsid w:val="008A40E6"/>
    <w:rsid w:val="008B2FE3"/>
    <w:rsid w:val="008C2D0A"/>
    <w:rsid w:val="008C34A8"/>
    <w:rsid w:val="008D1088"/>
    <w:rsid w:val="008F634F"/>
    <w:rsid w:val="008F7DDD"/>
    <w:rsid w:val="009419CA"/>
    <w:rsid w:val="00967540"/>
    <w:rsid w:val="009718B3"/>
    <w:rsid w:val="0099261B"/>
    <w:rsid w:val="00997C4D"/>
    <w:rsid w:val="009A59AD"/>
    <w:rsid w:val="009B1E7A"/>
    <w:rsid w:val="009C1BC9"/>
    <w:rsid w:val="009D21D3"/>
    <w:rsid w:val="009D572E"/>
    <w:rsid w:val="009E71AF"/>
    <w:rsid w:val="00A71F79"/>
    <w:rsid w:val="00A82933"/>
    <w:rsid w:val="00A93807"/>
    <w:rsid w:val="00AA4A12"/>
    <w:rsid w:val="00AC0BCA"/>
    <w:rsid w:val="00AF0D5F"/>
    <w:rsid w:val="00AF107E"/>
    <w:rsid w:val="00B01B2B"/>
    <w:rsid w:val="00B0214F"/>
    <w:rsid w:val="00B04474"/>
    <w:rsid w:val="00B06525"/>
    <w:rsid w:val="00B212E9"/>
    <w:rsid w:val="00B438CA"/>
    <w:rsid w:val="00B525F5"/>
    <w:rsid w:val="00B53B7B"/>
    <w:rsid w:val="00B61BC1"/>
    <w:rsid w:val="00B755C5"/>
    <w:rsid w:val="00BA14C7"/>
    <w:rsid w:val="00BE5F61"/>
    <w:rsid w:val="00BE7F03"/>
    <w:rsid w:val="00C33CA8"/>
    <w:rsid w:val="00C3693B"/>
    <w:rsid w:val="00C404C2"/>
    <w:rsid w:val="00C538CD"/>
    <w:rsid w:val="00C8009A"/>
    <w:rsid w:val="00CF3C90"/>
    <w:rsid w:val="00CF650C"/>
    <w:rsid w:val="00CF6A4C"/>
    <w:rsid w:val="00D03FBB"/>
    <w:rsid w:val="00D2703C"/>
    <w:rsid w:val="00D455C9"/>
    <w:rsid w:val="00D572A6"/>
    <w:rsid w:val="00D66F07"/>
    <w:rsid w:val="00D72492"/>
    <w:rsid w:val="00D927FC"/>
    <w:rsid w:val="00DA21EB"/>
    <w:rsid w:val="00DB5B8F"/>
    <w:rsid w:val="00DB6330"/>
    <w:rsid w:val="00DC132C"/>
    <w:rsid w:val="00DC7A71"/>
    <w:rsid w:val="00E154D1"/>
    <w:rsid w:val="00E273A0"/>
    <w:rsid w:val="00E27657"/>
    <w:rsid w:val="00E66EC2"/>
    <w:rsid w:val="00E970EF"/>
    <w:rsid w:val="00EA2AE3"/>
    <w:rsid w:val="00EB2146"/>
    <w:rsid w:val="00EB346B"/>
    <w:rsid w:val="00EC469A"/>
    <w:rsid w:val="00ED0BE6"/>
    <w:rsid w:val="00F00400"/>
    <w:rsid w:val="00F04EA2"/>
    <w:rsid w:val="00F458DD"/>
    <w:rsid w:val="00F81D4F"/>
    <w:rsid w:val="00FA492E"/>
    <w:rsid w:val="00FD4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customStyle="1" w:styleId="UnresolvedMention1">
    <w:name w:val="Unresolved Mention1"/>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 w:type="paragraph" w:styleId="BodyText">
    <w:name w:val="Body Text"/>
    <w:basedOn w:val="Normal"/>
    <w:link w:val="BodyTextChar"/>
    <w:uiPriority w:val="99"/>
    <w:unhideWhenUsed/>
    <w:rsid w:val="00BE7F03"/>
    <w:pPr>
      <w:spacing w:after="240" w:line="288" w:lineRule="auto"/>
    </w:pPr>
    <w:rPr>
      <w:rFonts w:ascii="PT Sans" w:hAnsi="PT Sans"/>
      <w:sz w:val="20"/>
      <w:szCs w:val="20"/>
    </w:rPr>
  </w:style>
  <w:style w:type="character" w:customStyle="1" w:styleId="BodyTextChar">
    <w:name w:val="Body Text Char"/>
    <w:basedOn w:val="DefaultParagraphFont"/>
    <w:link w:val="BodyText"/>
    <w:uiPriority w:val="99"/>
    <w:rsid w:val="00BE7F03"/>
    <w:rPr>
      <w:rFonts w:ascii="PT Sans" w:hAnsi="PT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lia@CeliaJohnsonConsulting.com"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2714</Words>
  <Characters>15475</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2021-04-22T12:14:00Z</dcterms:created>
  <dcterms:modified xsi:type="dcterms:W3CDTF">2021-04-22T12:14:00Z</dcterms:modified>
</cp:coreProperties>
</file>