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38D7AF12" w:rsidR="00C3693B" w:rsidRPr="003E01AE" w:rsidRDefault="00C3693B" w:rsidP="00D66F07">
      <w:pPr>
        <w:spacing w:after="0" w:line="240" w:lineRule="auto"/>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8"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732E00EA" w:rsidR="008C2D0A" w:rsidRPr="003E01AE"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39E0CA25" w14:textId="77777777" w:rsidR="008B2FE3" w:rsidRPr="003E01AE" w:rsidRDefault="008B2FE3" w:rsidP="00D66F07">
      <w:pPr>
        <w:spacing w:after="0" w:line="240" w:lineRule="auto"/>
        <w:rPr>
          <w:rFonts w:ascii="Arial" w:hAnsi="Arial" w:cs="Arial"/>
          <w:b/>
          <w:bCs/>
          <w:u w:val="single"/>
        </w:rPr>
      </w:pPr>
    </w:p>
    <w:p w14:paraId="2D0DCB94" w14:textId="77777777" w:rsidR="00EF3A21"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 xml:space="preserve">Are savings constrained by the 10% limit in (b)25? </w:t>
      </w:r>
    </w:p>
    <w:p w14:paraId="75FFE4FF" w14:textId="302D624C" w:rsidR="008554FB" w:rsidRPr="00156C13" w:rsidRDefault="008554FB" w:rsidP="00EF3A21">
      <w:pPr>
        <w:pStyle w:val="ListParagraph"/>
        <w:numPr>
          <w:ilvl w:val="2"/>
          <w:numId w:val="8"/>
        </w:numPr>
        <w:spacing w:after="0" w:line="240" w:lineRule="auto"/>
        <w:ind w:left="1224"/>
        <w:rPr>
          <w:rFonts w:ascii="Arial" w:hAnsi="Arial" w:cs="Arial"/>
        </w:rPr>
      </w:pPr>
      <w:r w:rsidRPr="003E01AE">
        <w:rPr>
          <w:rFonts w:ascii="Arial" w:hAnsi="Arial" w:cs="Arial"/>
        </w:rPr>
        <w:t>Should discussion of this issue be paused due to pending energy bill?</w:t>
      </w:r>
      <w:r w:rsidR="003E01AE" w:rsidRPr="003E01AE">
        <w:rPr>
          <w:rFonts w:ascii="Arial" w:hAnsi="Arial" w:cs="Arial"/>
        </w:rPr>
        <w:t xml:space="preserve"> </w:t>
      </w:r>
      <w:r w:rsidR="003E01AE" w:rsidRPr="003E01AE">
        <w:rPr>
          <w:rFonts w:ascii="Arial" w:hAnsi="Arial" w:cs="Arial"/>
          <w:i/>
          <w:iCs/>
        </w:rPr>
        <w:t>Note: “Pausing” means keeping as a source calculation (current IL-TRM).</w:t>
      </w:r>
    </w:p>
    <w:p w14:paraId="100FE2B7" w14:textId="77777777" w:rsidR="00156C13" w:rsidRPr="00156C13" w:rsidRDefault="00156C13" w:rsidP="00156C13">
      <w:pPr>
        <w:spacing w:after="0" w:line="240" w:lineRule="auto"/>
        <w:ind w:left="864"/>
        <w:rPr>
          <w:rFonts w:ascii="Arial" w:hAnsi="Arial" w:cs="Arial"/>
          <w:color w:val="00B050"/>
        </w:rPr>
      </w:pPr>
      <w:r w:rsidRPr="00156C13">
        <w:rPr>
          <w:rFonts w:ascii="Arial" w:hAnsi="Arial" w:cs="Arial"/>
          <w:color w:val="00B050"/>
        </w:rPr>
        <w:t>Nicor Gas response:</w:t>
      </w:r>
    </w:p>
    <w:p w14:paraId="710AF3E2" w14:textId="77777777" w:rsidR="00F0488A" w:rsidRDefault="00F0488A" w:rsidP="00156C13">
      <w:pPr>
        <w:spacing w:after="0" w:line="240" w:lineRule="auto"/>
        <w:ind w:left="1224"/>
        <w:rPr>
          <w:rFonts w:ascii="Arial" w:hAnsi="Arial" w:cs="Arial"/>
          <w:color w:val="00B050"/>
        </w:rPr>
      </w:pPr>
      <w:r>
        <w:rPr>
          <w:rFonts w:ascii="Arial" w:hAnsi="Arial" w:cs="Arial"/>
          <w:color w:val="00B050"/>
        </w:rPr>
        <w:t>Nicor Gas’ position has not changed since our initial position presented at the 4/26 meeting, i.e., since the references to site conversions in Section 8-103B(b-25) does not apply to fuel switching, then the 10% savings limit also does not apply.</w:t>
      </w:r>
    </w:p>
    <w:p w14:paraId="1429F20D" w14:textId="77777777" w:rsidR="00F0488A" w:rsidRDefault="00F0488A" w:rsidP="00156C13">
      <w:pPr>
        <w:spacing w:after="0" w:line="240" w:lineRule="auto"/>
        <w:ind w:left="1224"/>
        <w:rPr>
          <w:rFonts w:ascii="Arial" w:hAnsi="Arial" w:cs="Arial"/>
          <w:color w:val="00B050"/>
        </w:rPr>
      </w:pPr>
    </w:p>
    <w:p w14:paraId="5820B821" w14:textId="1FC9591A" w:rsidR="00156C13" w:rsidRDefault="00F0488A" w:rsidP="00156C13">
      <w:pPr>
        <w:spacing w:after="0" w:line="240" w:lineRule="auto"/>
        <w:ind w:left="1224"/>
        <w:rPr>
          <w:rFonts w:ascii="Arial" w:hAnsi="Arial" w:cs="Arial"/>
          <w:color w:val="00B050"/>
        </w:rPr>
      </w:pPr>
      <w:r>
        <w:rPr>
          <w:rFonts w:ascii="Arial" w:hAnsi="Arial" w:cs="Arial"/>
          <w:color w:val="00B050"/>
        </w:rPr>
        <w:t xml:space="preserve">That said, Nicor Gas supports pausing discussion on this issue, along with discussions related to site vs. source calculations for qualifying and quantifying fuel switching measures, and </w:t>
      </w:r>
      <w:r w:rsidR="0021776B">
        <w:rPr>
          <w:rFonts w:ascii="Arial" w:hAnsi="Arial" w:cs="Arial"/>
          <w:color w:val="00B050"/>
        </w:rPr>
        <w:t xml:space="preserve">instead focusing </w:t>
      </w:r>
      <w:r>
        <w:rPr>
          <w:rFonts w:ascii="Arial" w:hAnsi="Arial" w:cs="Arial"/>
          <w:color w:val="00B050"/>
        </w:rPr>
        <w:t xml:space="preserve">discussions </w:t>
      </w:r>
      <w:r w:rsidR="0021776B">
        <w:rPr>
          <w:rFonts w:ascii="Arial" w:hAnsi="Arial" w:cs="Arial"/>
          <w:color w:val="00B050"/>
        </w:rPr>
        <w:t xml:space="preserve">on </w:t>
      </w:r>
      <w:r>
        <w:rPr>
          <w:rFonts w:ascii="Arial" w:hAnsi="Arial" w:cs="Arial"/>
          <w:color w:val="00B050"/>
        </w:rPr>
        <w:t xml:space="preserve">limited technical issues including </w:t>
      </w:r>
      <w:r w:rsidR="00156C13">
        <w:rPr>
          <w:rFonts w:ascii="Arial" w:hAnsi="Arial" w:cs="Arial"/>
          <w:color w:val="00B050"/>
        </w:rPr>
        <w:t>heat rate and CHP savings calculations.</w:t>
      </w:r>
    </w:p>
    <w:p w14:paraId="1315D70A" w14:textId="77777777" w:rsidR="00F0488A" w:rsidRPr="00156C13" w:rsidRDefault="00F0488A" w:rsidP="00156C13">
      <w:pPr>
        <w:spacing w:after="0" w:line="240" w:lineRule="auto"/>
        <w:ind w:left="1224"/>
        <w:rPr>
          <w:rFonts w:ascii="Arial" w:hAnsi="Arial" w:cs="Arial"/>
          <w:color w:val="00B050"/>
        </w:rPr>
      </w:pPr>
    </w:p>
    <w:p w14:paraId="1347B26C" w14:textId="77777777" w:rsidR="00156C13" w:rsidRDefault="008554FB" w:rsidP="00156C13">
      <w:pPr>
        <w:pStyle w:val="ListParagraph"/>
        <w:numPr>
          <w:ilvl w:val="1"/>
          <w:numId w:val="5"/>
        </w:numPr>
        <w:spacing w:after="0" w:line="240" w:lineRule="auto"/>
        <w:ind w:left="720"/>
        <w:rPr>
          <w:rFonts w:ascii="Arial" w:hAnsi="Arial" w:cs="Arial"/>
        </w:rPr>
      </w:pPr>
      <w:r w:rsidRPr="003E01AE">
        <w:rPr>
          <w:rFonts w:ascii="Arial" w:hAnsi="Arial" w:cs="Arial"/>
        </w:rPr>
        <w:t>Should eligibility be constrained to measures that provide customers monetary savings (either bill savings or total lifecycle cost savings)?</w:t>
      </w:r>
    </w:p>
    <w:p w14:paraId="27923637" w14:textId="49C7DBCA" w:rsidR="00156C13" w:rsidRPr="00156C13" w:rsidRDefault="00156C13" w:rsidP="00156C13">
      <w:pPr>
        <w:pStyle w:val="ListParagraph"/>
        <w:spacing w:after="0" w:line="240" w:lineRule="auto"/>
        <w:rPr>
          <w:rFonts w:ascii="Arial" w:hAnsi="Arial" w:cs="Arial"/>
        </w:rPr>
      </w:pPr>
      <w:r w:rsidRPr="00156C13">
        <w:rPr>
          <w:rFonts w:ascii="Arial" w:hAnsi="Arial" w:cs="Arial"/>
          <w:color w:val="00B050"/>
        </w:rPr>
        <w:t>Nicor Gas response:</w:t>
      </w:r>
    </w:p>
    <w:p w14:paraId="3F803618" w14:textId="611A4271" w:rsidR="00F0488A" w:rsidRDefault="00F0488A" w:rsidP="00F0488A">
      <w:pPr>
        <w:spacing w:after="0" w:line="240" w:lineRule="auto"/>
        <w:ind w:left="1224"/>
        <w:rPr>
          <w:rFonts w:ascii="Arial" w:hAnsi="Arial" w:cs="Arial"/>
          <w:color w:val="00B050"/>
        </w:rPr>
      </w:pPr>
      <w:r>
        <w:rPr>
          <w:rFonts w:ascii="Arial" w:hAnsi="Arial" w:cs="Arial"/>
          <w:color w:val="00B050"/>
        </w:rPr>
        <w:t>Nicor Gas’ position has not changed since our initial position presented at the 4/26 meeting when this issue was raised by NCLC, i.e., fuel switching should be limited to those applications that provide financial savings to customers. Nicor Gas defines financial savings as including utility bill savings, equipment/installation</w:t>
      </w:r>
      <w:r w:rsidR="002334DA">
        <w:rPr>
          <w:rFonts w:ascii="Arial" w:hAnsi="Arial" w:cs="Arial"/>
          <w:color w:val="00B050"/>
        </w:rPr>
        <w:t xml:space="preserve"> costs</w:t>
      </w:r>
      <w:r>
        <w:rPr>
          <w:rFonts w:ascii="Arial" w:hAnsi="Arial" w:cs="Arial"/>
          <w:color w:val="00B050"/>
        </w:rPr>
        <w:t>, and ongoing O&amp;M</w:t>
      </w:r>
      <w:r w:rsidR="002334DA">
        <w:rPr>
          <w:rFonts w:ascii="Arial" w:hAnsi="Arial" w:cs="Arial"/>
          <w:color w:val="00B050"/>
        </w:rPr>
        <w:t xml:space="preserve"> costs</w:t>
      </w:r>
      <w:r>
        <w:rPr>
          <w:rFonts w:ascii="Arial" w:hAnsi="Arial" w:cs="Arial"/>
          <w:color w:val="00B050"/>
        </w:rPr>
        <w:t xml:space="preserve">. </w:t>
      </w:r>
    </w:p>
    <w:p w14:paraId="34A81415" w14:textId="77777777" w:rsidR="00F0488A" w:rsidRDefault="00F0488A" w:rsidP="00F0488A">
      <w:pPr>
        <w:spacing w:after="0" w:line="240" w:lineRule="auto"/>
        <w:ind w:left="1224"/>
        <w:rPr>
          <w:rFonts w:ascii="Arial" w:hAnsi="Arial" w:cs="Arial"/>
          <w:color w:val="00B050"/>
        </w:rPr>
      </w:pPr>
    </w:p>
    <w:p w14:paraId="2F17298B" w14:textId="496DD570" w:rsidR="00F0488A" w:rsidRPr="00156C13" w:rsidRDefault="00F0488A" w:rsidP="00F0488A">
      <w:pPr>
        <w:spacing w:after="0" w:line="240" w:lineRule="auto"/>
        <w:ind w:left="1224"/>
        <w:rPr>
          <w:rFonts w:ascii="Arial" w:hAnsi="Arial" w:cs="Arial"/>
          <w:color w:val="00B050"/>
        </w:rPr>
      </w:pPr>
      <w:r>
        <w:rPr>
          <w:rFonts w:ascii="Arial" w:hAnsi="Arial" w:cs="Arial"/>
          <w:color w:val="00B050"/>
        </w:rPr>
        <w:t xml:space="preserve">That said, Nicor Gas supports pausing discussion on this issue, along with discussions related to site vs. source calculations for qualifying and quantifying fuel switching measures, and </w:t>
      </w:r>
      <w:r w:rsidR="0021776B">
        <w:rPr>
          <w:rFonts w:ascii="Arial" w:hAnsi="Arial" w:cs="Arial"/>
          <w:color w:val="00B050"/>
        </w:rPr>
        <w:t xml:space="preserve">instead focusing </w:t>
      </w:r>
      <w:r>
        <w:rPr>
          <w:rFonts w:ascii="Arial" w:hAnsi="Arial" w:cs="Arial"/>
          <w:color w:val="00B050"/>
        </w:rPr>
        <w:t xml:space="preserve">discussions </w:t>
      </w:r>
      <w:r w:rsidR="0021776B">
        <w:rPr>
          <w:rFonts w:ascii="Arial" w:hAnsi="Arial" w:cs="Arial"/>
          <w:color w:val="00B050"/>
        </w:rPr>
        <w:t xml:space="preserve">on </w:t>
      </w:r>
      <w:r>
        <w:rPr>
          <w:rFonts w:ascii="Arial" w:hAnsi="Arial" w:cs="Arial"/>
          <w:color w:val="00B050"/>
        </w:rPr>
        <w:t>limited technical issues including heat rate and CHP savings calculations.</w:t>
      </w:r>
    </w:p>
    <w:p w14:paraId="5AD13EBA" w14:textId="77777777" w:rsidR="00F0488A" w:rsidRDefault="00F0488A" w:rsidP="00156C13">
      <w:pPr>
        <w:pStyle w:val="ListParagraph"/>
        <w:spacing w:after="0" w:line="240" w:lineRule="auto"/>
        <w:ind w:left="1440"/>
        <w:rPr>
          <w:rFonts w:ascii="Arial" w:hAnsi="Arial" w:cs="Arial"/>
          <w:color w:val="00B050"/>
        </w:rPr>
      </w:pPr>
    </w:p>
    <w:p w14:paraId="17DA28A3" w14:textId="77777777" w:rsidR="000F6B95" w:rsidRPr="003E01AE" w:rsidRDefault="008554FB" w:rsidP="000F6B95">
      <w:pPr>
        <w:pStyle w:val="ListParagraph"/>
        <w:numPr>
          <w:ilvl w:val="1"/>
          <w:numId w:val="5"/>
        </w:numPr>
        <w:spacing w:after="0" w:line="240" w:lineRule="auto"/>
        <w:ind w:left="720"/>
        <w:rPr>
          <w:rFonts w:ascii="Arial" w:hAnsi="Arial" w:cs="Arial"/>
        </w:rPr>
      </w:pPr>
      <w:r w:rsidRPr="003E01AE">
        <w:rPr>
          <w:rFonts w:ascii="Arial" w:hAnsi="Arial" w:cs="Arial"/>
        </w:rPr>
        <w:t>Can the gas utilities claim kWh equivalent savings?</w:t>
      </w:r>
    </w:p>
    <w:p w14:paraId="24B461CB" w14:textId="7BE1FFE1" w:rsidR="008554FB" w:rsidRDefault="008554FB" w:rsidP="00EF3A21">
      <w:pPr>
        <w:pStyle w:val="ListParagraph"/>
        <w:numPr>
          <w:ilvl w:val="1"/>
          <w:numId w:val="6"/>
        </w:numPr>
        <w:spacing w:after="0" w:line="240" w:lineRule="auto"/>
        <w:ind w:left="1224"/>
        <w:rPr>
          <w:rFonts w:ascii="Arial" w:hAnsi="Arial" w:cs="Arial"/>
        </w:rPr>
      </w:pPr>
      <w:r w:rsidRPr="003E01AE">
        <w:rPr>
          <w:rFonts w:ascii="Arial" w:hAnsi="Arial" w:cs="Arial"/>
        </w:rPr>
        <w:t>Evaluation consideration: If SAG decides that gas conversion is allowed for fuel switching measures, can the same be allowed for other measures that have both fuel components?</w:t>
      </w:r>
    </w:p>
    <w:p w14:paraId="1FCCF4F0" w14:textId="77777777" w:rsidR="00156C13" w:rsidRPr="00156C13" w:rsidRDefault="00156C13" w:rsidP="00156C13">
      <w:pPr>
        <w:pStyle w:val="ListParagraph"/>
        <w:spacing w:after="0" w:line="240" w:lineRule="auto"/>
        <w:rPr>
          <w:rFonts w:ascii="Arial" w:hAnsi="Arial" w:cs="Arial"/>
        </w:rPr>
      </w:pPr>
      <w:r w:rsidRPr="00156C13">
        <w:rPr>
          <w:rFonts w:ascii="Arial" w:hAnsi="Arial" w:cs="Arial"/>
          <w:color w:val="00B050"/>
        </w:rPr>
        <w:t>Nicor Gas response:</w:t>
      </w:r>
    </w:p>
    <w:p w14:paraId="07C6BDB3" w14:textId="77777777" w:rsidR="00156C13" w:rsidRDefault="00156C13" w:rsidP="00156C13">
      <w:pPr>
        <w:pStyle w:val="ListParagraph"/>
        <w:spacing w:after="0" w:line="240" w:lineRule="auto"/>
        <w:rPr>
          <w:rFonts w:ascii="Arial" w:hAnsi="Arial" w:cs="Arial"/>
          <w:color w:val="00B050"/>
        </w:rPr>
      </w:pPr>
    </w:p>
    <w:p w14:paraId="14DD5988" w14:textId="15A1F9F0" w:rsidR="00156C13" w:rsidRDefault="00156C13" w:rsidP="00156C13">
      <w:pPr>
        <w:pStyle w:val="ListParagraph"/>
        <w:spacing w:after="0" w:line="240" w:lineRule="auto"/>
        <w:rPr>
          <w:rFonts w:ascii="Arial" w:hAnsi="Arial" w:cs="Arial"/>
          <w:color w:val="00B050"/>
        </w:rPr>
      </w:pPr>
      <w:r w:rsidRPr="00156C13">
        <w:rPr>
          <w:rFonts w:ascii="Arial" w:hAnsi="Arial" w:cs="Arial"/>
          <w:color w:val="00B050"/>
        </w:rPr>
        <w:t>If</w:t>
      </w:r>
      <w:r>
        <w:rPr>
          <w:rFonts w:ascii="Arial" w:hAnsi="Arial" w:cs="Arial"/>
          <w:color w:val="00B050"/>
        </w:rPr>
        <w:t xml:space="preserve"> </w:t>
      </w:r>
      <w:r w:rsidRPr="00156C13">
        <w:rPr>
          <w:rFonts w:ascii="Arial" w:hAnsi="Arial" w:cs="Arial"/>
          <w:color w:val="00B050"/>
        </w:rPr>
        <w:t xml:space="preserve">we maintain the current TRM approach </w:t>
      </w:r>
      <w:r w:rsidR="00BA0611">
        <w:rPr>
          <w:rFonts w:ascii="Arial" w:hAnsi="Arial" w:cs="Arial"/>
          <w:color w:val="00B050"/>
        </w:rPr>
        <w:t xml:space="preserve">with </w:t>
      </w:r>
      <w:r w:rsidRPr="00156C13">
        <w:rPr>
          <w:rFonts w:ascii="Arial" w:hAnsi="Arial" w:cs="Arial"/>
          <w:color w:val="00B050"/>
        </w:rPr>
        <w:t>limit</w:t>
      </w:r>
      <w:r w:rsidR="00BA0611">
        <w:rPr>
          <w:rFonts w:ascii="Arial" w:hAnsi="Arial" w:cs="Arial"/>
          <w:color w:val="00B050"/>
        </w:rPr>
        <w:t>ed</w:t>
      </w:r>
      <w:r w:rsidRPr="00156C13">
        <w:rPr>
          <w:rFonts w:ascii="Arial" w:hAnsi="Arial" w:cs="Arial"/>
          <w:color w:val="00B050"/>
        </w:rPr>
        <w:t xml:space="preserve"> changes to the heat rate and CHP savings calculations, then this item should also be paused due to the pending energy bill.</w:t>
      </w:r>
    </w:p>
    <w:p w14:paraId="1892C024" w14:textId="50E1DE9F" w:rsidR="00156C13" w:rsidRDefault="00156C13" w:rsidP="00156C13">
      <w:pPr>
        <w:pStyle w:val="ListParagraph"/>
        <w:spacing w:after="0" w:line="240" w:lineRule="auto"/>
        <w:rPr>
          <w:rFonts w:ascii="Arial" w:hAnsi="Arial" w:cs="Arial"/>
          <w:color w:val="00B050"/>
        </w:rPr>
      </w:pPr>
    </w:p>
    <w:p w14:paraId="28224391" w14:textId="77777777" w:rsidR="00156C13" w:rsidRPr="003E01AE" w:rsidRDefault="00156C13" w:rsidP="00156C13">
      <w:pPr>
        <w:pStyle w:val="ListParagraph"/>
        <w:spacing w:after="0" w:line="240" w:lineRule="auto"/>
        <w:ind w:left="1224"/>
        <w:rPr>
          <w:rFonts w:ascii="Arial" w:hAnsi="Arial" w:cs="Arial"/>
        </w:rPr>
      </w:pPr>
    </w:p>
    <w:p w14:paraId="5E384537" w14:textId="26E8C332" w:rsidR="00E50E25" w:rsidRPr="00156C13" w:rsidRDefault="008554FB" w:rsidP="00164E62">
      <w:pPr>
        <w:pStyle w:val="ListParagraph"/>
        <w:numPr>
          <w:ilvl w:val="1"/>
          <w:numId w:val="5"/>
        </w:numPr>
        <w:spacing w:after="0" w:line="240" w:lineRule="auto"/>
        <w:ind w:left="720"/>
        <w:rPr>
          <w:rFonts w:ascii="Arial" w:hAnsi="Arial" w:cs="Arial"/>
        </w:rPr>
      </w:pPr>
      <w:bookmarkStart w:id="0" w:name="_Hlk75518708"/>
      <w:r w:rsidRPr="003E01AE">
        <w:rPr>
          <w:rFonts w:ascii="Arial" w:hAnsi="Arial" w:cs="Arial"/>
        </w:rPr>
        <w:t xml:space="preserve">If proposed legislation </w:t>
      </w:r>
      <w:r w:rsidR="0003456E" w:rsidRPr="003E01AE">
        <w:rPr>
          <w:rFonts w:ascii="Arial" w:hAnsi="Arial" w:cs="Arial"/>
        </w:rPr>
        <w:t>that adopts a site conversion for fuel switching in the electric EE statute is passed</w:t>
      </w:r>
      <w:r w:rsidRPr="003E01AE">
        <w:rPr>
          <w:rFonts w:ascii="Arial" w:hAnsi="Arial" w:cs="Arial"/>
        </w:rPr>
        <w:t>, should CHP also be calculated at site</w:t>
      </w:r>
      <w:r w:rsidR="0003456E" w:rsidRPr="003E01AE">
        <w:rPr>
          <w:rFonts w:ascii="Arial" w:hAnsi="Arial" w:cs="Arial"/>
        </w:rPr>
        <w:t xml:space="preserve"> for consistency</w:t>
      </w:r>
      <w:r w:rsidRPr="003E01AE">
        <w:rPr>
          <w:rFonts w:ascii="Arial" w:hAnsi="Arial" w:cs="Arial"/>
        </w:rPr>
        <w:t xml:space="preserve">? </w:t>
      </w:r>
      <w:r w:rsidR="004E2804" w:rsidRPr="004E2804">
        <w:rPr>
          <w:rFonts w:ascii="Arial" w:hAnsi="Arial" w:cs="Arial"/>
          <w:i/>
          <w:iCs/>
        </w:rPr>
        <w:t xml:space="preserve">Note: </w:t>
      </w:r>
      <w:r w:rsidRPr="004E2804">
        <w:rPr>
          <w:rFonts w:ascii="Arial" w:hAnsi="Arial" w:cs="Arial"/>
          <w:i/>
          <w:iCs/>
        </w:rPr>
        <w:t>Question raised by ICC Staff</w:t>
      </w:r>
      <w:r w:rsidR="00586889" w:rsidRPr="004E2804">
        <w:rPr>
          <w:rFonts w:ascii="Arial" w:hAnsi="Arial" w:cs="Arial"/>
          <w:i/>
          <w:iCs/>
        </w:rPr>
        <w:t xml:space="preserve"> after 6/21 meeting</w:t>
      </w:r>
      <w:r w:rsidR="004E2804" w:rsidRPr="004E2804">
        <w:rPr>
          <w:rFonts w:ascii="Arial" w:hAnsi="Arial" w:cs="Arial"/>
          <w:i/>
          <w:iCs/>
        </w:rPr>
        <w:t>.</w:t>
      </w:r>
    </w:p>
    <w:p w14:paraId="4A9526D6" w14:textId="27150B6B" w:rsidR="00156C13" w:rsidRDefault="00156C13" w:rsidP="00156C13">
      <w:pPr>
        <w:spacing w:after="0" w:line="240" w:lineRule="auto"/>
        <w:ind w:left="360"/>
        <w:rPr>
          <w:rFonts w:ascii="Arial" w:hAnsi="Arial" w:cs="Arial"/>
        </w:rPr>
      </w:pPr>
    </w:p>
    <w:p w14:paraId="22AC9E97" w14:textId="77777777" w:rsidR="00156C13" w:rsidRPr="00156C13" w:rsidRDefault="00156C13" w:rsidP="00156C13">
      <w:pPr>
        <w:pStyle w:val="ListParagraph"/>
        <w:spacing w:after="0" w:line="240" w:lineRule="auto"/>
        <w:rPr>
          <w:rFonts w:ascii="Arial" w:hAnsi="Arial" w:cs="Arial"/>
        </w:rPr>
      </w:pPr>
      <w:r w:rsidRPr="00156C13">
        <w:rPr>
          <w:rFonts w:ascii="Arial" w:hAnsi="Arial" w:cs="Arial"/>
          <w:color w:val="00B050"/>
        </w:rPr>
        <w:t>Nicor Gas response:</w:t>
      </w:r>
    </w:p>
    <w:p w14:paraId="534CC891" w14:textId="77777777" w:rsidR="00156C13" w:rsidRDefault="00156C13" w:rsidP="00156C13">
      <w:pPr>
        <w:pStyle w:val="ListParagraph"/>
        <w:spacing w:after="0" w:line="240" w:lineRule="auto"/>
        <w:rPr>
          <w:rFonts w:ascii="Arial" w:hAnsi="Arial" w:cs="Arial"/>
          <w:color w:val="00B050"/>
        </w:rPr>
      </w:pPr>
    </w:p>
    <w:p w14:paraId="6E3133A6" w14:textId="08BCB8D6" w:rsidR="006C754C" w:rsidRDefault="00156C13" w:rsidP="00156C13">
      <w:pPr>
        <w:pStyle w:val="ListParagraph"/>
        <w:spacing w:after="0" w:line="240" w:lineRule="auto"/>
        <w:rPr>
          <w:rFonts w:ascii="Arial" w:hAnsi="Arial" w:cs="Arial"/>
          <w:color w:val="00B050"/>
        </w:rPr>
      </w:pPr>
      <w:r>
        <w:rPr>
          <w:rFonts w:ascii="Arial" w:hAnsi="Arial" w:cs="Arial"/>
          <w:color w:val="00B050"/>
        </w:rPr>
        <w:t>No. The most recent version of the Governor’s energy bill addresses only electrification. If that version of the energy bill does pass, it provides no direction for</w:t>
      </w:r>
      <w:r w:rsidR="00E85341">
        <w:rPr>
          <w:rFonts w:ascii="Arial" w:hAnsi="Arial" w:cs="Arial"/>
          <w:color w:val="00B050"/>
        </w:rPr>
        <w:t xml:space="preserve"> </w:t>
      </w:r>
      <w:r>
        <w:rPr>
          <w:rFonts w:ascii="Arial" w:hAnsi="Arial" w:cs="Arial"/>
          <w:color w:val="00B050"/>
        </w:rPr>
        <w:t xml:space="preserve">fuel switching measures </w:t>
      </w:r>
      <w:r w:rsidR="0021776B">
        <w:rPr>
          <w:rFonts w:ascii="Arial" w:hAnsi="Arial" w:cs="Arial"/>
          <w:color w:val="00B050"/>
        </w:rPr>
        <w:t xml:space="preserve">like </w:t>
      </w:r>
      <w:r>
        <w:rPr>
          <w:rFonts w:ascii="Arial" w:hAnsi="Arial" w:cs="Arial"/>
          <w:color w:val="00B050"/>
        </w:rPr>
        <w:t>CHP</w:t>
      </w:r>
      <w:r w:rsidR="00655EA0">
        <w:rPr>
          <w:rFonts w:ascii="Arial" w:hAnsi="Arial" w:cs="Arial"/>
          <w:color w:val="00B050"/>
        </w:rPr>
        <w:t xml:space="preserve"> that increase gas usage and decrease electricity usage</w:t>
      </w:r>
      <w:r w:rsidR="00DE4974">
        <w:rPr>
          <w:rFonts w:ascii="Arial" w:hAnsi="Arial" w:cs="Arial"/>
          <w:color w:val="00B050"/>
        </w:rPr>
        <w:t xml:space="preserve">. </w:t>
      </w:r>
    </w:p>
    <w:p w14:paraId="77A7C338" w14:textId="77777777" w:rsidR="006C754C" w:rsidRDefault="006C754C" w:rsidP="00156C13">
      <w:pPr>
        <w:pStyle w:val="ListParagraph"/>
        <w:spacing w:after="0" w:line="240" w:lineRule="auto"/>
        <w:rPr>
          <w:rFonts w:ascii="Arial" w:hAnsi="Arial" w:cs="Arial"/>
          <w:color w:val="00B050"/>
        </w:rPr>
      </w:pPr>
    </w:p>
    <w:p w14:paraId="1F4C3C8A" w14:textId="19DFE4E5" w:rsidR="00E85341" w:rsidRDefault="00E85341" w:rsidP="00156C13">
      <w:pPr>
        <w:pStyle w:val="ListParagraph"/>
        <w:spacing w:after="0" w:line="240" w:lineRule="auto"/>
        <w:rPr>
          <w:rFonts w:ascii="Arial" w:hAnsi="Arial" w:cs="Arial"/>
          <w:color w:val="00B050"/>
        </w:rPr>
      </w:pPr>
      <w:r>
        <w:rPr>
          <w:rFonts w:ascii="Arial" w:hAnsi="Arial" w:cs="Arial"/>
          <w:color w:val="00B050"/>
        </w:rPr>
        <w:t xml:space="preserve">Cost effective CHP reduces direct and indirect costs to consumers; </w:t>
      </w:r>
      <w:r w:rsidRPr="00E85341">
        <w:rPr>
          <w:rFonts w:ascii="Arial" w:hAnsi="Arial" w:cs="Arial"/>
          <w:color w:val="00B050"/>
        </w:rPr>
        <w:t>decreas</w:t>
      </w:r>
      <w:r>
        <w:rPr>
          <w:rFonts w:ascii="Arial" w:hAnsi="Arial" w:cs="Arial"/>
          <w:color w:val="00B050"/>
        </w:rPr>
        <w:t>e</w:t>
      </w:r>
      <w:r w:rsidR="0021776B">
        <w:rPr>
          <w:rFonts w:ascii="Arial" w:hAnsi="Arial" w:cs="Arial"/>
          <w:color w:val="00B050"/>
        </w:rPr>
        <w:t>s</w:t>
      </w:r>
      <w:r w:rsidRPr="00E85341">
        <w:rPr>
          <w:rFonts w:ascii="Arial" w:hAnsi="Arial" w:cs="Arial"/>
          <w:color w:val="00B050"/>
        </w:rPr>
        <w:t xml:space="preserve"> environmental impacts</w:t>
      </w:r>
      <w:r>
        <w:rPr>
          <w:rFonts w:ascii="Arial" w:hAnsi="Arial" w:cs="Arial"/>
          <w:color w:val="00B050"/>
        </w:rPr>
        <w:t>;</w:t>
      </w:r>
      <w:r w:rsidRPr="00E85341">
        <w:rPr>
          <w:rFonts w:ascii="Arial" w:hAnsi="Arial" w:cs="Arial"/>
          <w:color w:val="00B050"/>
        </w:rPr>
        <w:t xml:space="preserve"> </w:t>
      </w:r>
      <w:r w:rsidR="006C754C">
        <w:rPr>
          <w:rFonts w:ascii="Arial" w:hAnsi="Arial" w:cs="Arial"/>
          <w:color w:val="00B050"/>
        </w:rPr>
        <w:t xml:space="preserve">reduces electric delivery load; and </w:t>
      </w:r>
      <w:r w:rsidRPr="00E85341">
        <w:rPr>
          <w:rFonts w:ascii="Arial" w:hAnsi="Arial" w:cs="Arial"/>
          <w:color w:val="00B050"/>
        </w:rPr>
        <w:t>avoid</w:t>
      </w:r>
      <w:r w:rsidR="006C754C">
        <w:rPr>
          <w:rFonts w:ascii="Arial" w:hAnsi="Arial" w:cs="Arial"/>
          <w:color w:val="00B050"/>
        </w:rPr>
        <w:t>s</w:t>
      </w:r>
      <w:r w:rsidRPr="00E85341">
        <w:rPr>
          <w:rFonts w:ascii="Arial" w:hAnsi="Arial" w:cs="Arial"/>
          <w:color w:val="00B050"/>
        </w:rPr>
        <w:t xml:space="preserve"> or delay the need for new </w:t>
      </w:r>
      <w:r>
        <w:rPr>
          <w:rFonts w:ascii="Arial" w:hAnsi="Arial" w:cs="Arial"/>
          <w:color w:val="00B050"/>
        </w:rPr>
        <w:t xml:space="preserve">electric </w:t>
      </w:r>
      <w:r w:rsidRPr="00E85341">
        <w:rPr>
          <w:rFonts w:ascii="Arial" w:hAnsi="Arial" w:cs="Arial"/>
          <w:color w:val="00B050"/>
        </w:rPr>
        <w:t>generation, transmission, and distribution infrastructure</w:t>
      </w:r>
      <w:r>
        <w:rPr>
          <w:rFonts w:ascii="Arial" w:hAnsi="Arial" w:cs="Arial"/>
          <w:color w:val="00B050"/>
        </w:rPr>
        <w:t>; all policies clearly stated by the legislature in enacting Sections 8-103B and 8-104 of the Public Utilities Act. Relying on site Btu conversions to qualify or quantify CHP measures and savings would impose restriction</w:t>
      </w:r>
      <w:r w:rsidR="006C754C">
        <w:rPr>
          <w:rFonts w:ascii="Arial" w:hAnsi="Arial" w:cs="Arial"/>
          <w:color w:val="00B050"/>
        </w:rPr>
        <w:t>s that are</w:t>
      </w:r>
      <w:r>
        <w:rPr>
          <w:rFonts w:ascii="Arial" w:hAnsi="Arial" w:cs="Arial"/>
          <w:color w:val="00B050"/>
        </w:rPr>
        <w:t xml:space="preserve"> inconsistent with these policy goals.  </w:t>
      </w:r>
    </w:p>
    <w:p w14:paraId="6D63C217" w14:textId="77777777" w:rsidR="00156C13" w:rsidRPr="00156C13" w:rsidRDefault="00156C13" w:rsidP="00655EA0">
      <w:pPr>
        <w:spacing w:after="0" w:line="240" w:lineRule="auto"/>
        <w:rPr>
          <w:rFonts w:ascii="Arial" w:hAnsi="Arial" w:cs="Arial"/>
        </w:rPr>
      </w:pPr>
    </w:p>
    <w:bookmarkEnd w:id="0"/>
    <w:p w14:paraId="6733B974" w14:textId="77777777" w:rsidR="00164E62" w:rsidRPr="00545FAC" w:rsidRDefault="00164E62" w:rsidP="00545FAC">
      <w:pPr>
        <w:spacing w:after="0" w:line="240" w:lineRule="auto"/>
        <w:rPr>
          <w:rFonts w:ascii="Times New Roman" w:hAnsi="Times New Roman" w:cs="Times New Roman"/>
          <w:sz w:val="24"/>
          <w:szCs w:val="24"/>
        </w:rPr>
      </w:pPr>
    </w:p>
    <w:sectPr w:rsidR="00164E62" w:rsidRPr="00545F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74FB" w14:textId="77777777" w:rsidR="007368BE" w:rsidRDefault="007368BE" w:rsidP="00B212E9">
      <w:pPr>
        <w:spacing w:after="0" w:line="240" w:lineRule="auto"/>
      </w:pPr>
      <w:r>
        <w:separator/>
      </w:r>
    </w:p>
  </w:endnote>
  <w:endnote w:type="continuationSeparator" w:id="0">
    <w:p w14:paraId="358FBD48" w14:textId="77777777" w:rsidR="007368BE" w:rsidRDefault="007368BE"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E5D3" w14:textId="77777777" w:rsidR="007368BE" w:rsidRDefault="007368BE" w:rsidP="00B212E9">
      <w:pPr>
        <w:spacing w:after="0" w:line="240" w:lineRule="auto"/>
      </w:pPr>
      <w:r>
        <w:separator/>
      </w:r>
    </w:p>
  </w:footnote>
  <w:footnote w:type="continuationSeparator" w:id="0">
    <w:p w14:paraId="09A09612" w14:textId="77777777" w:rsidR="007368BE" w:rsidRDefault="007368BE"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E294E5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3456E"/>
    <w:rsid w:val="0004761A"/>
    <w:rsid w:val="00073CE7"/>
    <w:rsid w:val="00083C95"/>
    <w:rsid w:val="00097FF4"/>
    <w:rsid w:val="000D41C1"/>
    <w:rsid w:val="000F53AB"/>
    <w:rsid w:val="000F6B95"/>
    <w:rsid w:val="00130DB8"/>
    <w:rsid w:val="00156C13"/>
    <w:rsid w:val="00164E62"/>
    <w:rsid w:val="002144CD"/>
    <w:rsid w:val="0021776B"/>
    <w:rsid w:val="002334DA"/>
    <w:rsid w:val="0024342C"/>
    <w:rsid w:val="00246652"/>
    <w:rsid w:val="00251B1B"/>
    <w:rsid w:val="00252909"/>
    <w:rsid w:val="00274DC6"/>
    <w:rsid w:val="002965C6"/>
    <w:rsid w:val="002C155E"/>
    <w:rsid w:val="002D0F89"/>
    <w:rsid w:val="002D271D"/>
    <w:rsid w:val="002E6D88"/>
    <w:rsid w:val="002F22CD"/>
    <w:rsid w:val="00300A5C"/>
    <w:rsid w:val="003230AC"/>
    <w:rsid w:val="0034796A"/>
    <w:rsid w:val="003E01AE"/>
    <w:rsid w:val="003E393E"/>
    <w:rsid w:val="003F13BE"/>
    <w:rsid w:val="004125DA"/>
    <w:rsid w:val="00430B34"/>
    <w:rsid w:val="00494675"/>
    <w:rsid w:val="00495EB9"/>
    <w:rsid w:val="004D0F2F"/>
    <w:rsid w:val="004D4ECB"/>
    <w:rsid w:val="004E2804"/>
    <w:rsid w:val="00510473"/>
    <w:rsid w:val="00510A7B"/>
    <w:rsid w:val="00545FAC"/>
    <w:rsid w:val="00586889"/>
    <w:rsid w:val="00586DC2"/>
    <w:rsid w:val="00603927"/>
    <w:rsid w:val="00605DEF"/>
    <w:rsid w:val="00606861"/>
    <w:rsid w:val="00655EA0"/>
    <w:rsid w:val="00673223"/>
    <w:rsid w:val="006913B9"/>
    <w:rsid w:val="006A22E0"/>
    <w:rsid w:val="006C754C"/>
    <w:rsid w:val="006E3416"/>
    <w:rsid w:val="006E5EA3"/>
    <w:rsid w:val="007368BE"/>
    <w:rsid w:val="00742244"/>
    <w:rsid w:val="007B0244"/>
    <w:rsid w:val="007C24F9"/>
    <w:rsid w:val="007E50BB"/>
    <w:rsid w:val="007E5889"/>
    <w:rsid w:val="00844050"/>
    <w:rsid w:val="008554FB"/>
    <w:rsid w:val="00875C33"/>
    <w:rsid w:val="00890168"/>
    <w:rsid w:val="00894A47"/>
    <w:rsid w:val="008B2FE3"/>
    <w:rsid w:val="008C2D0A"/>
    <w:rsid w:val="008C34A8"/>
    <w:rsid w:val="008D7BEA"/>
    <w:rsid w:val="009419CA"/>
    <w:rsid w:val="00967540"/>
    <w:rsid w:val="009718B3"/>
    <w:rsid w:val="0099261B"/>
    <w:rsid w:val="009A59AD"/>
    <w:rsid w:val="009B08BF"/>
    <w:rsid w:val="009C1BC9"/>
    <w:rsid w:val="009D21D3"/>
    <w:rsid w:val="009D572E"/>
    <w:rsid w:val="00A01865"/>
    <w:rsid w:val="00A82933"/>
    <w:rsid w:val="00AD474B"/>
    <w:rsid w:val="00AF0D5F"/>
    <w:rsid w:val="00AF49F7"/>
    <w:rsid w:val="00B04474"/>
    <w:rsid w:val="00B06525"/>
    <w:rsid w:val="00B212E9"/>
    <w:rsid w:val="00B438CA"/>
    <w:rsid w:val="00B755C5"/>
    <w:rsid w:val="00BA0611"/>
    <w:rsid w:val="00BD2C9C"/>
    <w:rsid w:val="00BE5F61"/>
    <w:rsid w:val="00BF1B7E"/>
    <w:rsid w:val="00BF4AA9"/>
    <w:rsid w:val="00C3693B"/>
    <w:rsid w:val="00C63E0B"/>
    <w:rsid w:val="00C8009A"/>
    <w:rsid w:val="00C8125B"/>
    <w:rsid w:val="00C909EB"/>
    <w:rsid w:val="00CB2E6E"/>
    <w:rsid w:val="00CF650C"/>
    <w:rsid w:val="00D02196"/>
    <w:rsid w:val="00D03FBB"/>
    <w:rsid w:val="00D455C9"/>
    <w:rsid w:val="00D572A6"/>
    <w:rsid w:val="00D66F07"/>
    <w:rsid w:val="00D72492"/>
    <w:rsid w:val="00DB5B8F"/>
    <w:rsid w:val="00DB6330"/>
    <w:rsid w:val="00DC7A71"/>
    <w:rsid w:val="00DE4974"/>
    <w:rsid w:val="00E154D1"/>
    <w:rsid w:val="00E25FFE"/>
    <w:rsid w:val="00E27657"/>
    <w:rsid w:val="00E41A22"/>
    <w:rsid w:val="00E730B1"/>
    <w:rsid w:val="00E812D4"/>
    <w:rsid w:val="00E85341"/>
    <w:rsid w:val="00E970EF"/>
    <w:rsid w:val="00E97D5C"/>
    <w:rsid w:val="00EA2AE3"/>
    <w:rsid w:val="00EE3B9B"/>
    <w:rsid w:val="00EF3A21"/>
    <w:rsid w:val="00F00400"/>
    <w:rsid w:val="00F0488A"/>
    <w:rsid w:val="00F04EA2"/>
    <w:rsid w:val="00F07AEF"/>
    <w:rsid w:val="00F33F39"/>
    <w:rsid w:val="00F458DD"/>
    <w:rsid w:val="00F52B18"/>
    <w:rsid w:val="00FA42D4"/>
    <w:rsid w:val="00FA492E"/>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B219-794F-4F81-B881-EE23179C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2021-07-12T13:31:00Z</dcterms:created>
  <dcterms:modified xsi:type="dcterms:W3CDTF">2021-07-12T13:31:00Z</dcterms:modified>
</cp:coreProperties>
</file>