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38D7AF12" w:rsidR="00C3693B" w:rsidRPr="003E01AE" w:rsidRDefault="00C3693B" w:rsidP="00D66F07">
      <w:pPr>
        <w:spacing w:after="0" w:line="240" w:lineRule="auto"/>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11"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4BEAFA59" w:rsidR="008C2D0A"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1092F703" w14:textId="7197F83F" w:rsidR="00CF4059" w:rsidRDefault="00CF4059" w:rsidP="00D66F07">
      <w:pPr>
        <w:spacing w:after="0" w:line="240" w:lineRule="auto"/>
        <w:rPr>
          <w:rFonts w:ascii="Arial" w:hAnsi="Arial" w:cs="Arial"/>
          <w:b/>
          <w:bCs/>
          <w:u w:val="single"/>
        </w:rPr>
      </w:pPr>
    </w:p>
    <w:p w14:paraId="6E1B6EA3" w14:textId="67699180" w:rsidR="00CF4059" w:rsidRPr="00372D36" w:rsidRDefault="00CF4059" w:rsidP="00D66F07">
      <w:pPr>
        <w:spacing w:after="0" w:line="240" w:lineRule="auto"/>
        <w:rPr>
          <w:rFonts w:ascii="Arial" w:hAnsi="Arial" w:cs="Arial"/>
          <w:b/>
          <w:bCs/>
          <w:color w:val="FF0000"/>
          <w:u w:val="single"/>
        </w:rPr>
      </w:pPr>
      <w:r w:rsidRPr="00372D36">
        <w:rPr>
          <w:rFonts w:ascii="Arial" w:hAnsi="Arial" w:cs="Arial"/>
          <w:b/>
          <w:bCs/>
          <w:color w:val="FF0000"/>
          <w:u w:val="single"/>
        </w:rPr>
        <w:t>NCLC Responses:</w:t>
      </w:r>
    </w:p>
    <w:p w14:paraId="39E0CA25" w14:textId="77777777" w:rsidR="008B2FE3" w:rsidRPr="003E01AE" w:rsidRDefault="008B2FE3" w:rsidP="00D66F07">
      <w:pPr>
        <w:spacing w:after="0" w:line="240" w:lineRule="auto"/>
        <w:rPr>
          <w:rFonts w:ascii="Arial" w:hAnsi="Arial" w:cs="Arial"/>
          <w:b/>
          <w:bCs/>
          <w:u w:val="single"/>
        </w:rPr>
      </w:pPr>
    </w:p>
    <w:p w14:paraId="2D0DCB94" w14:textId="077B6598" w:rsidR="00EF3A21" w:rsidRPr="003E01AE" w:rsidRDefault="008554FB" w:rsidP="002D271D">
      <w:pPr>
        <w:pStyle w:val="ListParagraph"/>
        <w:numPr>
          <w:ilvl w:val="1"/>
          <w:numId w:val="5"/>
        </w:numPr>
        <w:spacing w:after="0" w:line="240" w:lineRule="auto"/>
        <w:ind w:left="720"/>
        <w:rPr>
          <w:rFonts w:ascii="Arial" w:hAnsi="Arial" w:cs="Arial"/>
        </w:rPr>
      </w:pPr>
      <w:r w:rsidRPr="003E01AE">
        <w:rPr>
          <w:rFonts w:ascii="Arial" w:hAnsi="Arial" w:cs="Arial"/>
        </w:rPr>
        <w:t xml:space="preserve">Are savings constrained by the 10% limit in (b)25? </w:t>
      </w:r>
      <w:r w:rsidR="00EF07DB" w:rsidRPr="00467B29">
        <w:rPr>
          <w:rFonts w:ascii="Arial" w:hAnsi="Arial" w:cs="Arial"/>
          <w:color w:val="FF0000"/>
        </w:rPr>
        <w:t>First, any constraints would only apply to the electric utilities ability to count non-electric savings, and would not impact gas utilities. For electric utilities, this depends on what savings/measure is at issue. For savings from measures that clearly are addressed by (b)25, any conversions are limited to 10% of the utilit</w:t>
      </w:r>
      <w:r w:rsidR="00CF4059" w:rsidRPr="00467B29">
        <w:rPr>
          <w:rFonts w:ascii="Arial" w:hAnsi="Arial" w:cs="Arial"/>
          <w:color w:val="FF0000"/>
        </w:rPr>
        <w:t>y’</w:t>
      </w:r>
      <w:r w:rsidR="00EF07DB" w:rsidRPr="00467B29">
        <w:rPr>
          <w:rFonts w:ascii="Arial" w:hAnsi="Arial" w:cs="Arial"/>
          <w:color w:val="FF0000"/>
        </w:rPr>
        <w:t xml:space="preserve">s total portfolio goals. For measures not specifically addressed (which </w:t>
      </w:r>
      <w:r w:rsidR="00467B29">
        <w:rPr>
          <w:rFonts w:ascii="Arial" w:hAnsi="Arial" w:cs="Arial"/>
          <w:color w:val="FF0000"/>
        </w:rPr>
        <w:t xml:space="preserve">would most likely </w:t>
      </w:r>
      <w:r w:rsidR="00EF07DB" w:rsidRPr="00467B29">
        <w:rPr>
          <w:rFonts w:ascii="Arial" w:hAnsi="Arial" w:cs="Arial"/>
          <w:color w:val="FF0000"/>
        </w:rPr>
        <w:t>include</w:t>
      </w:r>
      <w:r w:rsidR="00467B29">
        <w:rPr>
          <w:rFonts w:ascii="Arial" w:hAnsi="Arial" w:cs="Arial"/>
          <w:color w:val="FF0000"/>
        </w:rPr>
        <w:t xml:space="preserve"> </w:t>
      </w:r>
      <w:r w:rsidR="00EF07DB" w:rsidRPr="00467B29">
        <w:rPr>
          <w:rFonts w:ascii="Arial" w:hAnsi="Arial" w:cs="Arial"/>
          <w:color w:val="FF0000"/>
        </w:rPr>
        <w:t>fuel switching measures</w:t>
      </w:r>
      <w:r w:rsidR="00467B29">
        <w:rPr>
          <w:rFonts w:ascii="Arial" w:hAnsi="Arial" w:cs="Arial"/>
          <w:color w:val="FF0000"/>
        </w:rPr>
        <w:t xml:space="preserve"> </w:t>
      </w:r>
      <w:r w:rsidR="00EF07DB" w:rsidRPr="00467B29">
        <w:rPr>
          <w:rFonts w:ascii="Arial" w:hAnsi="Arial" w:cs="Arial"/>
          <w:color w:val="FF0000"/>
        </w:rPr>
        <w:t>from fossil to electric), (b)25 does not constrain them.</w:t>
      </w:r>
      <w:r w:rsidR="00F07911">
        <w:rPr>
          <w:rFonts w:ascii="Arial" w:hAnsi="Arial" w:cs="Arial"/>
          <w:color w:val="FF0000"/>
        </w:rPr>
        <w:t xml:space="preserve">   </w:t>
      </w:r>
    </w:p>
    <w:p w14:paraId="75FFE4FF" w14:textId="3F1A311D" w:rsidR="008554FB" w:rsidRPr="00467B29" w:rsidRDefault="008554FB" w:rsidP="00EF3A21">
      <w:pPr>
        <w:pStyle w:val="ListParagraph"/>
        <w:numPr>
          <w:ilvl w:val="2"/>
          <w:numId w:val="8"/>
        </w:numPr>
        <w:spacing w:after="0" w:line="240" w:lineRule="auto"/>
        <w:ind w:left="1224"/>
        <w:rPr>
          <w:rFonts w:ascii="Arial" w:hAnsi="Arial" w:cs="Arial"/>
          <w:color w:val="FF0000"/>
        </w:rPr>
      </w:pPr>
      <w:r w:rsidRPr="003E01AE">
        <w:rPr>
          <w:rFonts w:ascii="Arial" w:hAnsi="Arial" w:cs="Arial"/>
        </w:rPr>
        <w:t>Should discussion of this issue be paused due to pending energy bill?</w:t>
      </w:r>
      <w:r w:rsidR="003E01AE" w:rsidRPr="003E01AE">
        <w:rPr>
          <w:rFonts w:ascii="Arial" w:hAnsi="Arial" w:cs="Arial"/>
        </w:rPr>
        <w:t xml:space="preserve"> </w:t>
      </w:r>
      <w:r w:rsidR="003E01AE" w:rsidRPr="003E01AE">
        <w:rPr>
          <w:rFonts w:ascii="Arial" w:hAnsi="Arial" w:cs="Arial"/>
          <w:i/>
          <w:iCs/>
        </w:rPr>
        <w:t>Note: “Pausing” means keeping as a source calculation (current IL-TRM).</w:t>
      </w:r>
      <w:r w:rsidR="00F07911">
        <w:rPr>
          <w:rFonts w:ascii="Arial" w:hAnsi="Arial" w:cs="Arial"/>
          <w:i/>
          <w:iCs/>
        </w:rPr>
        <w:t xml:space="preserve">  </w:t>
      </w:r>
      <w:r w:rsidR="00EF07DB" w:rsidRPr="00467B29">
        <w:rPr>
          <w:rFonts w:ascii="Arial" w:hAnsi="Arial" w:cs="Arial"/>
          <w:color w:val="FF0000"/>
        </w:rPr>
        <w:t>Yes, provided that there is agreement that any changes to the TRM regarding fuel conversions can be treated in the same fashion as an “errata,” and can go into effect as soon as practicable, depending on the outcome of any legislative action.</w:t>
      </w:r>
    </w:p>
    <w:p w14:paraId="75010478" w14:textId="44CCFBB1" w:rsidR="008554FB" w:rsidRPr="00467B29" w:rsidRDefault="008554FB" w:rsidP="002D271D">
      <w:pPr>
        <w:pStyle w:val="ListParagraph"/>
        <w:numPr>
          <w:ilvl w:val="1"/>
          <w:numId w:val="5"/>
        </w:numPr>
        <w:spacing w:after="0" w:line="240" w:lineRule="auto"/>
        <w:ind w:left="720"/>
        <w:rPr>
          <w:rFonts w:ascii="Arial" w:hAnsi="Arial" w:cs="Arial"/>
          <w:color w:val="FF0000"/>
        </w:rPr>
      </w:pPr>
      <w:r w:rsidRPr="003E01AE">
        <w:rPr>
          <w:rFonts w:ascii="Arial" w:hAnsi="Arial" w:cs="Arial"/>
        </w:rPr>
        <w:t>Should eligibility be constrained to measures that provide customers monetary savings (either bill savings or total lifecycle cost savings)?</w:t>
      </w:r>
      <w:r w:rsidR="00F07911">
        <w:rPr>
          <w:rFonts w:ascii="Arial" w:hAnsi="Arial" w:cs="Arial"/>
        </w:rPr>
        <w:t xml:space="preserve">  </w:t>
      </w:r>
      <w:r w:rsidR="00F67A02" w:rsidRPr="00467B29">
        <w:rPr>
          <w:rFonts w:ascii="Arial" w:hAnsi="Arial" w:cs="Arial"/>
          <w:color w:val="FF0000"/>
        </w:rPr>
        <w:t>In aggregate</w:t>
      </w:r>
      <w:r w:rsidR="003F31C8" w:rsidRPr="00467B29">
        <w:rPr>
          <w:rFonts w:ascii="Arial" w:hAnsi="Arial" w:cs="Arial"/>
          <w:color w:val="FF0000"/>
        </w:rPr>
        <w:t xml:space="preserve"> for planning purposes </w:t>
      </w:r>
      <w:r w:rsidR="00F67A02" w:rsidRPr="00467B29">
        <w:rPr>
          <w:rFonts w:ascii="Arial" w:hAnsi="Arial" w:cs="Arial"/>
          <w:color w:val="FF0000"/>
        </w:rPr>
        <w:t xml:space="preserve">yes. Certainly, any customer should be eligible to participate in any offering available for that class of customer, and to do any cost-effective custom measure when custom measures are available in a program. However, as a matter of planning and program design, NCLC does not support a concerted utility effort to systematically pursue and promote measures for discretionary early retirement with fuel switching when they are not, on average, expected to provide some customer life cycle cost savings, as well as pass a </w:t>
      </w:r>
      <w:r w:rsidR="003F31C8" w:rsidRPr="00467B29">
        <w:rPr>
          <w:rFonts w:ascii="Arial" w:hAnsi="Arial" w:cs="Arial"/>
          <w:color w:val="FF0000"/>
        </w:rPr>
        <w:t xml:space="preserve">TRC </w:t>
      </w:r>
      <w:r w:rsidR="00F67A02" w:rsidRPr="00467B29">
        <w:rPr>
          <w:rFonts w:ascii="Arial" w:hAnsi="Arial" w:cs="Arial"/>
          <w:color w:val="FF0000"/>
        </w:rPr>
        <w:t>cost-effectiveness screen.</w:t>
      </w:r>
    </w:p>
    <w:p w14:paraId="17DA28A3" w14:textId="2CC1C60E" w:rsidR="000F6B95" w:rsidRPr="003E01AE" w:rsidRDefault="008554FB" w:rsidP="000F6B95">
      <w:pPr>
        <w:pStyle w:val="ListParagraph"/>
        <w:numPr>
          <w:ilvl w:val="1"/>
          <w:numId w:val="5"/>
        </w:numPr>
        <w:spacing w:after="0" w:line="240" w:lineRule="auto"/>
        <w:ind w:left="720"/>
        <w:rPr>
          <w:rFonts w:ascii="Arial" w:hAnsi="Arial" w:cs="Arial"/>
        </w:rPr>
      </w:pPr>
      <w:bookmarkStart w:id="0" w:name="_Hlk76653535"/>
      <w:r w:rsidRPr="003E01AE">
        <w:rPr>
          <w:rFonts w:ascii="Arial" w:hAnsi="Arial" w:cs="Arial"/>
        </w:rPr>
        <w:t>Can the gas utilities claim kWh equivalent savings?</w:t>
      </w:r>
      <w:r w:rsidR="00F07911">
        <w:rPr>
          <w:rFonts w:ascii="Arial" w:hAnsi="Arial" w:cs="Arial"/>
        </w:rPr>
        <w:t xml:space="preserve">  </w:t>
      </w:r>
      <w:r w:rsidR="00F07911">
        <w:rPr>
          <w:rFonts w:ascii="Arial" w:hAnsi="Arial" w:cs="Arial"/>
          <w:color w:val="FF0000"/>
        </w:rPr>
        <w:t>No.  There is no statutory basis for claim</w:t>
      </w:r>
      <w:r w:rsidR="000037B7">
        <w:rPr>
          <w:rFonts w:ascii="Arial" w:hAnsi="Arial" w:cs="Arial"/>
          <w:color w:val="FF0000"/>
        </w:rPr>
        <w:t>ing kWh savings as equivalent to gas savings</w:t>
      </w:r>
      <w:r w:rsidR="00467B29">
        <w:rPr>
          <w:rFonts w:ascii="Arial" w:hAnsi="Arial" w:cs="Arial"/>
          <w:color w:val="FF0000"/>
        </w:rPr>
        <w:t xml:space="preserve"> and counting toward gas savings goals</w:t>
      </w:r>
      <w:r w:rsidR="00F07911">
        <w:rPr>
          <w:rFonts w:ascii="Arial" w:hAnsi="Arial" w:cs="Arial"/>
          <w:color w:val="FF0000"/>
        </w:rPr>
        <w:t xml:space="preserve">. </w:t>
      </w:r>
      <w:r w:rsidR="00345F8D">
        <w:rPr>
          <w:rFonts w:ascii="Arial" w:hAnsi="Arial" w:cs="Arial"/>
          <w:color w:val="FF0000"/>
        </w:rPr>
        <w:t xml:space="preserve">However, because Section 8-104(b) specifically defines eligible efficiency to include measures that reduce total Btus of all fuels even if one goes up, to the extent gas utilities pursue gas savings measures that result in significantly increased electric savings, it is appropriate to only </w:t>
      </w:r>
      <w:r w:rsidR="000037B7">
        <w:rPr>
          <w:rFonts w:ascii="Arial" w:hAnsi="Arial" w:cs="Arial"/>
          <w:color w:val="FF0000"/>
        </w:rPr>
        <w:t xml:space="preserve">claim </w:t>
      </w:r>
      <w:r w:rsidR="00345F8D">
        <w:rPr>
          <w:rFonts w:ascii="Arial" w:hAnsi="Arial" w:cs="Arial"/>
          <w:color w:val="FF0000"/>
        </w:rPr>
        <w:t xml:space="preserve">the overall net total Btus saved, which would </w:t>
      </w:r>
      <w:r w:rsidR="00467B29">
        <w:rPr>
          <w:rFonts w:ascii="Arial" w:hAnsi="Arial" w:cs="Arial"/>
          <w:color w:val="FF0000"/>
        </w:rPr>
        <w:t xml:space="preserve">implicitly </w:t>
      </w:r>
      <w:r w:rsidR="00345F8D">
        <w:rPr>
          <w:rFonts w:ascii="Arial" w:hAnsi="Arial" w:cs="Arial"/>
          <w:color w:val="FF0000"/>
        </w:rPr>
        <w:t>require a mathematical conversion</w:t>
      </w:r>
      <w:r w:rsidR="00467B29">
        <w:rPr>
          <w:rFonts w:ascii="Arial" w:hAnsi="Arial" w:cs="Arial"/>
          <w:color w:val="FF0000"/>
        </w:rPr>
        <w:t xml:space="preserve"> </w:t>
      </w:r>
      <w:r w:rsidR="00345F8D">
        <w:rPr>
          <w:rFonts w:ascii="Arial" w:hAnsi="Arial" w:cs="Arial"/>
          <w:color w:val="FF0000"/>
        </w:rPr>
        <w:t xml:space="preserve">but not kWh equivalent savings counted as gas savings. </w:t>
      </w:r>
      <w:bookmarkEnd w:id="0"/>
    </w:p>
    <w:p w14:paraId="24B461CB" w14:textId="3B02A399" w:rsidR="008554FB" w:rsidRPr="003E01AE" w:rsidRDefault="008554FB" w:rsidP="00EF3A21">
      <w:pPr>
        <w:pStyle w:val="ListParagraph"/>
        <w:numPr>
          <w:ilvl w:val="1"/>
          <w:numId w:val="6"/>
        </w:numPr>
        <w:spacing w:after="0" w:line="240" w:lineRule="auto"/>
        <w:ind w:left="1224"/>
        <w:rPr>
          <w:rFonts w:ascii="Arial" w:hAnsi="Arial" w:cs="Arial"/>
        </w:rPr>
      </w:pPr>
      <w:bookmarkStart w:id="1" w:name="_Hlk76654038"/>
      <w:r w:rsidRPr="003E01AE">
        <w:rPr>
          <w:rFonts w:ascii="Arial" w:hAnsi="Arial" w:cs="Arial"/>
        </w:rPr>
        <w:t>Evaluation consideration: If SAG decides that gas conversion is allowed for fuel switching measures, can the same be allowed for other measures that have both fuel components?</w:t>
      </w:r>
      <w:r w:rsidR="00F07911">
        <w:rPr>
          <w:rFonts w:ascii="Arial" w:hAnsi="Arial" w:cs="Arial"/>
        </w:rPr>
        <w:t xml:space="preserve"> </w:t>
      </w:r>
      <w:r w:rsidR="00345F8D" w:rsidRPr="004A28F2">
        <w:rPr>
          <w:rFonts w:ascii="Arial" w:hAnsi="Arial" w:cs="Arial"/>
          <w:color w:val="FF0000"/>
        </w:rPr>
        <w:t xml:space="preserve">Assuming the term “gas conversion” refers to </w:t>
      </w:r>
      <w:r w:rsidR="00345F8D" w:rsidRPr="004A28F2">
        <w:rPr>
          <w:rFonts w:ascii="Arial" w:hAnsi="Arial" w:cs="Arial"/>
          <w:i/>
          <w:iCs/>
          <w:color w:val="FF0000"/>
        </w:rPr>
        <w:t>electric conversions to gas</w:t>
      </w:r>
      <w:r w:rsidR="000037B7" w:rsidRPr="004A28F2">
        <w:rPr>
          <w:rFonts w:ascii="Arial" w:hAnsi="Arial" w:cs="Arial"/>
          <w:i/>
          <w:iCs/>
          <w:color w:val="FF0000"/>
        </w:rPr>
        <w:t xml:space="preserve"> savings</w:t>
      </w:r>
      <w:r w:rsidR="00345F8D" w:rsidRPr="004A28F2">
        <w:rPr>
          <w:rFonts w:ascii="Arial" w:hAnsi="Arial" w:cs="Arial"/>
          <w:color w:val="FF0000"/>
        </w:rPr>
        <w:t>, no, consistent with above.</w:t>
      </w:r>
      <w:r w:rsidR="00345F8D" w:rsidRPr="001F0742">
        <w:rPr>
          <w:rFonts w:ascii="Arial" w:hAnsi="Arial" w:cs="Arial"/>
        </w:rPr>
        <w:t xml:space="preserve"> </w:t>
      </w:r>
    </w:p>
    <w:p w14:paraId="6733B974" w14:textId="68006C79" w:rsidR="00164E62" w:rsidRPr="00467B29" w:rsidRDefault="008554FB" w:rsidP="00C92C94">
      <w:pPr>
        <w:pStyle w:val="ListParagraph"/>
        <w:numPr>
          <w:ilvl w:val="1"/>
          <w:numId w:val="5"/>
        </w:numPr>
        <w:spacing w:after="0" w:line="240" w:lineRule="auto"/>
        <w:ind w:left="720"/>
        <w:rPr>
          <w:rFonts w:ascii="Times New Roman" w:hAnsi="Times New Roman" w:cs="Times New Roman"/>
          <w:color w:val="FF0000"/>
          <w:sz w:val="24"/>
          <w:szCs w:val="24"/>
        </w:rPr>
      </w:pPr>
      <w:bookmarkStart w:id="2" w:name="_Hlk75518708"/>
      <w:bookmarkEnd w:id="1"/>
      <w:r w:rsidRPr="00C92C94">
        <w:rPr>
          <w:rFonts w:ascii="Arial" w:hAnsi="Arial" w:cs="Arial"/>
        </w:rPr>
        <w:t xml:space="preserve">If proposed legislation </w:t>
      </w:r>
      <w:r w:rsidR="0003456E" w:rsidRPr="00C92C94">
        <w:rPr>
          <w:rFonts w:ascii="Arial" w:hAnsi="Arial" w:cs="Arial"/>
        </w:rPr>
        <w:t>that adopts a site conversion for fuel switching in the electric EE statute is passed</w:t>
      </w:r>
      <w:r w:rsidRPr="00C92C94">
        <w:rPr>
          <w:rFonts w:ascii="Arial" w:hAnsi="Arial" w:cs="Arial"/>
        </w:rPr>
        <w:t>, should CHP also be calculated at site</w:t>
      </w:r>
      <w:r w:rsidR="0003456E" w:rsidRPr="003B2002">
        <w:rPr>
          <w:rFonts w:ascii="Arial" w:hAnsi="Arial" w:cs="Arial"/>
        </w:rPr>
        <w:t xml:space="preserve"> for consistency</w:t>
      </w:r>
      <w:r w:rsidRPr="003B2002">
        <w:rPr>
          <w:rFonts w:ascii="Arial" w:hAnsi="Arial" w:cs="Arial"/>
        </w:rPr>
        <w:t xml:space="preserve">? </w:t>
      </w:r>
      <w:r w:rsidR="004E2804" w:rsidRPr="003B2002">
        <w:rPr>
          <w:rFonts w:ascii="Arial" w:hAnsi="Arial" w:cs="Arial"/>
          <w:i/>
          <w:iCs/>
        </w:rPr>
        <w:t xml:space="preserve">Note: </w:t>
      </w:r>
      <w:r w:rsidRPr="003B2002">
        <w:rPr>
          <w:rFonts w:ascii="Arial" w:hAnsi="Arial" w:cs="Arial"/>
          <w:i/>
          <w:iCs/>
        </w:rPr>
        <w:t xml:space="preserve">Question </w:t>
      </w:r>
      <w:r w:rsidRPr="003B2002">
        <w:rPr>
          <w:rFonts w:ascii="Arial" w:hAnsi="Arial" w:cs="Arial"/>
          <w:i/>
          <w:iCs/>
        </w:rPr>
        <w:lastRenderedPageBreak/>
        <w:t>raised by ICC Staff</w:t>
      </w:r>
      <w:r w:rsidR="00586889" w:rsidRPr="00C92C94">
        <w:rPr>
          <w:rFonts w:ascii="Arial" w:hAnsi="Arial" w:cs="Arial"/>
          <w:i/>
          <w:iCs/>
        </w:rPr>
        <w:t xml:space="preserve"> after 6/21 meeting</w:t>
      </w:r>
      <w:r w:rsidR="004E2804" w:rsidRPr="00C92C94">
        <w:rPr>
          <w:rFonts w:ascii="Arial" w:hAnsi="Arial" w:cs="Arial"/>
          <w:i/>
          <w:iCs/>
        </w:rPr>
        <w:t>.</w:t>
      </w:r>
      <w:r w:rsidR="00ED6734" w:rsidRPr="00C92C94">
        <w:rPr>
          <w:rFonts w:ascii="Arial" w:hAnsi="Arial" w:cs="Arial"/>
          <w:i/>
          <w:iCs/>
        </w:rPr>
        <w:t xml:space="preserve">  </w:t>
      </w:r>
      <w:r w:rsidR="00F67A02" w:rsidRPr="00467B29">
        <w:rPr>
          <w:rFonts w:ascii="Arial" w:hAnsi="Arial" w:cs="Arial"/>
          <w:color w:val="FF0000"/>
        </w:rPr>
        <w:t>Yes</w:t>
      </w:r>
      <w:r w:rsidR="00C92C94" w:rsidRPr="00467B29">
        <w:rPr>
          <w:rFonts w:ascii="Arial" w:hAnsi="Arial" w:cs="Arial"/>
          <w:color w:val="FF0000"/>
        </w:rPr>
        <w:t>, to the extent it is pursued</w:t>
      </w:r>
      <w:r w:rsidR="00F67A02" w:rsidRPr="00467B29">
        <w:rPr>
          <w:rFonts w:ascii="Arial" w:hAnsi="Arial" w:cs="Arial"/>
          <w:color w:val="FF0000"/>
        </w:rPr>
        <w:t>. NCLC supports further exploration</w:t>
      </w:r>
      <w:r w:rsidR="00C92C94" w:rsidRPr="00467B29">
        <w:rPr>
          <w:rFonts w:ascii="Arial" w:hAnsi="Arial" w:cs="Arial"/>
          <w:color w:val="FF0000"/>
        </w:rPr>
        <w:t xml:space="preserve"> in the Policy Manual Subcommittee</w:t>
      </w:r>
      <w:r w:rsidR="00F67A02" w:rsidRPr="00467B29">
        <w:rPr>
          <w:rFonts w:ascii="Arial" w:hAnsi="Arial" w:cs="Arial"/>
          <w:color w:val="FF0000"/>
        </w:rPr>
        <w:t xml:space="preserve"> of whether CHP, or other fuel switching from electric to </w:t>
      </w:r>
      <w:r w:rsidR="00BB37C7" w:rsidRPr="00467B29">
        <w:rPr>
          <w:rFonts w:ascii="Arial" w:hAnsi="Arial" w:cs="Arial"/>
          <w:color w:val="FF0000"/>
        </w:rPr>
        <w:t xml:space="preserve">fossil </w:t>
      </w:r>
      <w:r w:rsidR="00F67A02" w:rsidRPr="00467B29">
        <w:rPr>
          <w:rFonts w:ascii="Arial" w:hAnsi="Arial" w:cs="Arial"/>
          <w:color w:val="FF0000"/>
        </w:rPr>
        <w:t>gas, should continue to be promoted in the efficiency programs</w:t>
      </w:r>
      <w:r w:rsidR="00BB37C7" w:rsidRPr="00467B29">
        <w:rPr>
          <w:rFonts w:ascii="Arial" w:hAnsi="Arial" w:cs="Arial"/>
          <w:color w:val="FF0000"/>
        </w:rPr>
        <w:t>,</w:t>
      </w:r>
      <w:r w:rsidR="00F67A02" w:rsidRPr="00467B29">
        <w:rPr>
          <w:rFonts w:ascii="Arial" w:hAnsi="Arial" w:cs="Arial"/>
          <w:color w:val="FF0000"/>
        </w:rPr>
        <w:t xml:space="preserve"> </w:t>
      </w:r>
      <w:r w:rsidR="00BB37C7" w:rsidRPr="00467B29">
        <w:rPr>
          <w:rFonts w:ascii="Arial" w:hAnsi="Arial" w:cs="Arial"/>
          <w:color w:val="FF0000"/>
        </w:rPr>
        <w:t>g</w:t>
      </w:r>
      <w:r w:rsidR="00F67A02" w:rsidRPr="00467B29">
        <w:rPr>
          <w:rFonts w:ascii="Arial" w:hAnsi="Arial" w:cs="Arial"/>
          <w:color w:val="FF0000"/>
        </w:rPr>
        <w:t xml:space="preserve">iven State and National climate mitigation policy and </w:t>
      </w:r>
      <w:r w:rsidR="00C92C94" w:rsidRPr="00467B29">
        <w:rPr>
          <w:rFonts w:ascii="Arial" w:hAnsi="Arial" w:cs="Arial"/>
          <w:color w:val="FF0000"/>
        </w:rPr>
        <w:t xml:space="preserve">decarbonization </w:t>
      </w:r>
      <w:r w:rsidR="00F67A02" w:rsidRPr="00467B29">
        <w:rPr>
          <w:rFonts w:ascii="Arial" w:hAnsi="Arial" w:cs="Arial"/>
          <w:color w:val="FF0000"/>
        </w:rPr>
        <w:t>plans</w:t>
      </w:r>
      <w:r w:rsidR="00BB37C7" w:rsidRPr="00467B29">
        <w:rPr>
          <w:rFonts w:ascii="Arial" w:hAnsi="Arial" w:cs="Arial"/>
          <w:color w:val="FF0000"/>
        </w:rPr>
        <w:t>.</w:t>
      </w:r>
      <w:bookmarkEnd w:id="2"/>
    </w:p>
    <w:sectPr w:rsidR="00164E62" w:rsidRPr="00467B2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724D" w14:textId="77777777" w:rsidR="00623594" w:rsidRDefault="00623594" w:rsidP="00B212E9">
      <w:pPr>
        <w:spacing w:after="0" w:line="240" w:lineRule="auto"/>
      </w:pPr>
      <w:r>
        <w:separator/>
      </w:r>
    </w:p>
  </w:endnote>
  <w:endnote w:type="continuationSeparator" w:id="0">
    <w:p w14:paraId="3A0DF4AF" w14:textId="77777777" w:rsidR="00623594" w:rsidRDefault="00623594"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65138" w14:textId="77777777" w:rsidR="00623594" w:rsidRDefault="00623594" w:rsidP="00B212E9">
      <w:pPr>
        <w:spacing w:after="0" w:line="240" w:lineRule="auto"/>
      </w:pPr>
      <w:r>
        <w:separator/>
      </w:r>
    </w:p>
  </w:footnote>
  <w:footnote w:type="continuationSeparator" w:id="0">
    <w:p w14:paraId="3B9134A6" w14:textId="77777777" w:rsidR="00623594" w:rsidRDefault="00623594"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E294E52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037B7"/>
    <w:rsid w:val="0000657F"/>
    <w:rsid w:val="0003456E"/>
    <w:rsid w:val="0004761A"/>
    <w:rsid w:val="00073CE7"/>
    <w:rsid w:val="00083C95"/>
    <w:rsid w:val="00097FF4"/>
    <w:rsid w:val="000B0F82"/>
    <w:rsid w:val="000D41C1"/>
    <w:rsid w:val="000F53AB"/>
    <w:rsid w:val="000F6B95"/>
    <w:rsid w:val="00130DB8"/>
    <w:rsid w:val="00140654"/>
    <w:rsid w:val="00151625"/>
    <w:rsid w:val="00164E62"/>
    <w:rsid w:val="001F0742"/>
    <w:rsid w:val="002144CD"/>
    <w:rsid w:val="0024342C"/>
    <w:rsid w:val="00246652"/>
    <w:rsid w:val="00252909"/>
    <w:rsid w:val="00274DC6"/>
    <w:rsid w:val="002C155E"/>
    <w:rsid w:val="002D271D"/>
    <w:rsid w:val="002E6D88"/>
    <w:rsid w:val="002F22CD"/>
    <w:rsid w:val="00300A5C"/>
    <w:rsid w:val="003230AC"/>
    <w:rsid w:val="00345F8D"/>
    <w:rsid w:val="0034796A"/>
    <w:rsid w:val="00372C53"/>
    <w:rsid w:val="00372D36"/>
    <w:rsid w:val="003B2002"/>
    <w:rsid w:val="003E01AE"/>
    <w:rsid w:val="003F13BE"/>
    <w:rsid w:val="003F31C8"/>
    <w:rsid w:val="004125DA"/>
    <w:rsid w:val="00430B34"/>
    <w:rsid w:val="00467B29"/>
    <w:rsid w:val="00486DDF"/>
    <w:rsid w:val="0048748D"/>
    <w:rsid w:val="00494675"/>
    <w:rsid w:val="004956C4"/>
    <w:rsid w:val="00495EB9"/>
    <w:rsid w:val="004A28F2"/>
    <w:rsid w:val="004D0F2F"/>
    <w:rsid w:val="004D4ECB"/>
    <w:rsid w:val="004E2804"/>
    <w:rsid w:val="00510473"/>
    <w:rsid w:val="00510A7B"/>
    <w:rsid w:val="00522EC5"/>
    <w:rsid w:val="00545FAC"/>
    <w:rsid w:val="00586889"/>
    <w:rsid w:val="00586DC2"/>
    <w:rsid w:val="00603927"/>
    <w:rsid w:val="00605DEF"/>
    <w:rsid w:val="00606861"/>
    <w:rsid w:val="00623594"/>
    <w:rsid w:val="00673223"/>
    <w:rsid w:val="006913B9"/>
    <w:rsid w:val="00697B52"/>
    <w:rsid w:val="006A22E0"/>
    <w:rsid w:val="006E3416"/>
    <w:rsid w:val="006E5EA3"/>
    <w:rsid w:val="00713C47"/>
    <w:rsid w:val="00742244"/>
    <w:rsid w:val="007E50BB"/>
    <w:rsid w:val="007E5889"/>
    <w:rsid w:val="00844050"/>
    <w:rsid w:val="008554FB"/>
    <w:rsid w:val="00875C33"/>
    <w:rsid w:val="00890168"/>
    <w:rsid w:val="00894A47"/>
    <w:rsid w:val="008B2FE3"/>
    <w:rsid w:val="008C2D0A"/>
    <w:rsid w:val="008C34A8"/>
    <w:rsid w:val="008C3531"/>
    <w:rsid w:val="008D7BEA"/>
    <w:rsid w:val="009419CA"/>
    <w:rsid w:val="00967540"/>
    <w:rsid w:val="009718B3"/>
    <w:rsid w:val="0099261B"/>
    <w:rsid w:val="009943C6"/>
    <w:rsid w:val="009A59AD"/>
    <w:rsid w:val="009C1BC9"/>
    <w:rsid w:val="009D21D3"/>
    <w:rsid w:val="009D572E"/>
    <w:rsid w:val="009E245C"/>
    <w:rsid w:val="00A01865"/>
    <w:rsid w:val="00A4327D"/>
    <w:rsid w:val="00A82933"/>
    <w:rsid w:val="00AD474B"/>
    <w:rsid w:val="00AF0D5F"/>
    <w:rsid w:val="00AF49F7"/>
    <w:rsid w:val="00B04474"/>
    <w:rsid w:val="00B06525"/>
    <w:rsid w:val="00B212E9"/>
    <w:rsid w:val="00B438CA"/>
    <w:rsid w:val="00B755C5"/>
    <w:rsid w:val="00BA2D2B"/>
    <w:rsid w:val="00BB37C7"/>
    <w:rsid w:val="00BD2C9C"/>
    <w:rsid w:val="00BE5F61"/>
    <w:rsid w:val="00BF1B7E"/>
    <w:rsid w:val="00BF2CF7"/>
    <w:rsid w:val="00BF4AA9"/>
    <w:rsid w:val="00C3693B"/>
    <w:rsid w:val="00C63E0B"/>
    <w:rsid w:val="00C8009A"/>
    <w:rsid w:val="00C8125B"/>
    <w:rsid w:val="00C909EB"/>
    <w:rsid w:val="00C92C94"/>
    <w:rsid w:val="00CB2E6E"/>
    <w:rsid w:val="00CF4059"/>
    <w:rsid w:val="00CF650C"/>
    <w:rsid w:val="00D02196"/>
    <w:rsid w:val="00D03FBB"/>
    <w:rsid w:val="00D35EC9"/>
    <w:rsid w:val="00D455C9"/>
    <w:rsid w:val="00D572A6"/>
    <w:rsid w:val="00D66F07"/>
    <w:rsid w:val="00D72492"/>
    <w:rsid w:val="00DB5B8F"/>
    <w:rsid w:val="00DB6330"/>
    <w:rsid w:val="00DC7A71"/>
    <w:rsid w:val="00E154D1"/>
    <w:rsid w:val="00E25FFE"/>
    <w:rsid w:val="00E27657"/>
    <w:rsid w:val="00E41A22"/>
    <w:rsid w:val="00E730B1"/>
    <w:rsid w:val="00E970EF"/>
    <w:rsid w:val="00E97D5C"/>
    <w:rsid w:val="00EA2AE3"/>
    <w:rsid w:val="00ED6734"/>
    <w:rsid w:val="00EE3B9B"/>
    <w:rsid w:val="00EF07DB"/>
    <w:rsid w:val="00EF3A21"/>
    <w:rsid w:val="00F00400"/>
    <w:rsid w:val="00F04EA2"/>
    <w:rsid w:val="00F07911"/>
    <w:rsid w:val="00F07AEF"/>
    <w:rsid w:val="00F458DD"/>
    <w:rsid w:val="00F52B18"/>
    <w:rsid w:val="00F67A02"/>
    <w:rsid w:val="00FA42D4"/>
    <w:rsid w:val="00FA492E"/>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81350"/>
  <w15:chartTrackingRefBased/>
  <w15:docId w15:val="{338BD8DB-ED0A-434A-BD85-676CA341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lia@CeliaJohnsonConsulting.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3" ma:contentTypeDescription="Create a new document." ma:contentTypeScope="" ma:versionID="4ab785188ee20def7303332e8c7fd2a0">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8eda87d1bccf0c863aad46c73ed8b7c0"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F4D12-5796-4370-AB6B-46D0F00DFE8B}">
  <ds:schemaRefs>
    <ds:schemaRef ds:uri="http://schemas.microsoft.com/sharepoint/v3/contenttype/forms"/>
  </ds:schemaRefs>
</ds:datastoreItem>
</file>

<file path=customXml/itemProps2.xml><?xml version="1.0" encoding="utf-8"?>
<ds:datastoreItem xmlns:ds="http://schemas.openxmlformats.org/officeDocument/2006/customXml" ds:itemID="{11D468CF-6024-499C-8D16-544B3A029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C4B219-794F-4F81-B881-EE23179C79D3}">
  <ds:schemaRefs>
    <ds:schemaRef ds:uri="http://schemas.openxmlformats.org/officeDocument/2006/bibliography"/>
  </ds:schemaRefs>
</ds:datastoreItem>
</file>

<file path=customXml/itemProps4.xml><?xml version="1.0" encoding="utf-8"?>
<ds:datastoreItem xmlns:ds="http://schemas.openxmlformats.org/officeDocument/2006/customXml" ds:itemID="{FC8FB28A-26A2-4473-B4C5-59DEF76FCA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cp:revision>
  <dcterms:created xsi:type="dcterms:W3CDTF">2021-07-12T13:29:00Z</dcterms:created>
  <dcterms:modified xsi:type="dcterms:W3CDTF">2021-07-12T13:29:00Z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ies>
</file>