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48FC" w14:textId="77777777"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Illinois EE Stakeholder Advisory Group</w:t>
      </w:r>
    </w:p>
    <w:p w14:paraId="4023C563" w14:textId="1BF2C5BA"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Fuel Conversion Working Group</w:t>
      </w:r>
    </w:p>
    <w:p w14:paraId="4B983EDF" w14:textId="29095B68" w:rsidR="00D572A6" w:rsidRPr="003E01AE" w:rsidRDefault="00D572A6" w:rsidP="00C3693B">
      <w:pPr>
        <w:spacing w:after="0" w:line="240" w:lineRule="auto"/>
        <w:jc w:val="center"/>
        <w:rPr>
          <w:rFonts w:ascii="Arial" w:hAnsi="Arial" w:cs="Arial"/>
          <w:b/>
          <w:sz w:val="24"/>
          <w:szCs w:val="24"/>
        </w:rPr>
      </w:pPr>
      <w:r w:rsidRPr="003E01AE">
        <w:rPr>
          <w:rFonts w:ascii="Arial" w:hAnsi="Arial" w:cs="Arial"/>
          <w:b/>
          <w:sz w:val="24"/>
          <w:szCs w:val="24"/>
        </w:rPr>
        <w:t xml:space="preserve">Policy Questions </w:t>
      </w:r>
      <w:r w:rsidR="00B04474" w:rsidRPr="003E01AE">
        <w:rPr>
          <w:rFonts w:ascii="Arial" w:hAnsi="Arial" w:cs="Arial"/>
          <w:b/>
          <w:sz w:val="24"/>
          <w:szCs w:val="24"/>
        </w:rPr>
        <w:t>– Request for Responses</w:t>
      </w:r>
      <w:r w:rsidRPr="003E01AE">
        <w:rPr>
          <w:rFonts w:ascii="Arial" w:hAnsi="Arial" w:cs="Arial"/>
          <w:b/>
          <w:sz w:val="24"/>
          <w:szCs w:val="24"/>
        </w:rPr>
        <w:t xml:space="preserve"> (</w:t>
      </w:r>
      <w:r w:rsidR="00844050" w:rsidRPr="003E01AE">
        <w:rPr>
          <w:rFonts w:ascii="Arial" w:hAnsi="Arial" w:cs="Arial"/>
          <w:b/>
          <w:sz w:val="24"/>
          <w:szCs w:val="24"/>
        </w:rPr>
        <w:t>6</w:t>
      </w:r>
      <w:r w:rsidR="00B04474" w:rsidRPr="003E01AE">
        <w:rPr>
          <w:rFonts w:ascii="Arial" w:hAnsi="Arial" w:cs="Arial"/>
          <w:b/>
          <w:sz w:val="24"/>
          <w:szCs w:val="24"/>
        </w:rPr>
        <w:t>/2</w:t>
      </w:r>
      <w:r w:rsidR="00844050" w:rsidRPr="003E01AE">
        <w:rPr>
          <w:rFonts w:ascii="Arial" w:hAnsi="Arial" w:cs="Arial"/>
          <w:b/>
          <w:sz w:val="24"/>
          <w:szCs w:val="24"/>
        </w:rPr>
        <w:t>5</w:t>
      </w:r>
      <w:r w:rsidR="00B04474" w:rsidRPr="003E01AE">
        <w:rPr>
          <w:rFonts w:ascii="Arial" w:hAnsi="Arial" w:cs="Arial"/>
          <w:b/>
          <w:sz w:val="24"/>
          <w:szCs w:val="24"/>
        </w:rPr>
        <w:t>/2021</w:t>
      </w:r>
      <w:r w:rsidRPr="003E01AE">
        <w:rPr>
          <w:rFonts w:ascii="Arial" w:hAnsi="Arial" w:cs="Arial"/>
          <w:b/>
          <w:sz w:val="24"/>
          <w:szCs w:val="24"/>
        </w:rPr>
        <w:t>)</w:t>
      </w:r>
    </w:p>
    <w:p w14:paraId="3BBBE52A" w14:textId="38D7AF12" w:rsidR="00C3693B" w:rsidRPr="003E01AE" w:rsidRDefault="00C3693B" w:rsidP="00D66F07">
      <w:pPr>
        <w:spacing w:after="0" w:line="240" w:lineRule="auto"/>
        <w:rPr>
          <w:rFonts w:ascii="Arial" w:hAnsi="Arial" w:cs="Arial"/>
          <w:b/>
          <w:bCs/>
        </w:rPr>
      </w:pPr>
    </w:p>
    <w:p w14:paraId="01F90528" w14:textId="77777777" w:rsidR="006E3416" w:rsidRPr="003E01AE" w:rsidRDefault="006E3416" w:rsidP="006E3416">
      <w:pPr>
        <w:spacing w:after="0" w:line="240" w:lineRule="auto"/>
        <w:rPr>
          <w:rFonts w:ascii="Arial" w:hAnsi="Arial" w:cs="Arial"/>
          <w:b/>
          <w:bCs/>
        </w:rPr>
      </w:pPr>
      <w:r w:rsidRPr="003E01AE">
        <w:rPr>
          <w:rFonts w:ascii="Arial" w:hAnsi="Arial" w:cs="Arial"/>
          <w:b/>
          <w:bCs/>
        </w:rPr>
        <w:t>Instructions for Responding</w:t>
      </w:r>
      <w:r w:rsidR="00073CE7" w:rsidRPr="003E01AE">
        <w:rPr>
          <w:rFonts w:ascii="Arial" w:hAnsi="Arial" w:cs="Arial"/>
          <w:b/>
          <w:bCs/>
        </w:rPr>
        <w:t xml:space="preserve"> to Policy Questions</w:t>
      </w:r>
      <w:r w:rsidR="004D0F2F" w:rsidRPr="003E01AE">
        <w:rPr>
          <w:rFonts w:ascii="Arial" w:hAnsi="Arial" w:cs="Arial"/>
          <w:b/>
          <w:bCs/>
        </w:rPr>
        <w:t>:</w:t>
      </w:r>
    </w:p>
    <w:p w14:paraId="0050357B" w14:textId="7C7601CB" w:rsidR="00D455C9" w:rsidRPr="003E01AE" w:rsidRDefault="00510A7B" w:rsidP="006E3416">
      <w:pPr>
        <w:pStyle w:val="ListParagraph"/>
        <w:numPr>
          <w:ilvl w:val="0"/>
          <w:numId w:val="3"/>
        </w:numPr>
        <w:spacing w:after="0" w:line="240" w:lineRule="auto"/>
        <w:rPr>
          <w:rFonts w:ascii="Arial" w:hAnsi="Arial" w:cs="Arial"/>
          <w:b/>
          <w:bCs/>
        </w:rPr>
      </w:pPr>
      <w:r w:rsidRPr="003E01AE">
        <w:rPr>
          <w:rFonts w:ascii="Arial" w:eastAsia="Times New Roman" w:hAnsi="Arial" w:cs="Arial"/>
        </w:rPr>
        <w:t>I</w:t>
      </w:r>
      <w:r w:rsidR="00D455C9" w:rsidRPr="003E01AE">
        <w:rPr>
          <w:rFonts w:ascii="Arial" w:eastAsia="Times New Roman" w:hAnsi="Arial" w:cs="Arial"/>
        </w:rPr>
        <w:t xml:space="preserve">nterested parties are requested to respond to </w:t>
      </w:r>
      <w:r w:rsidRPr="003E01AE">
        <w:rPr>
          <w:rFonts w:ascii="Arial" w:eastAsia="Times New Roman" w:hAnsi="Arial" w:cs="Arial"/>
        </w:rPr>
        <w:t xml:space="preserve">policy </w:t>
      </w:r>
      <w:r w:rsidR="00D455C9" w:rsidRPr="003E01AE">
        <w:rPr>
          <w:rFonts w:ascii="Arial" w:eastAsia="Times New Roman" w:hAnsi="Arial" w:cs="Arial"/>
        </w:rPr>
        <w:t xml:space="preserve">questions </w:t>
      </w:r>
      <w:r w:rsidR="00DC7A71" w:rsidRPr="003E01AE">
        <w:rPr>
          <w:rFonts w:ascii="Arial" w:eastAsia="Times New Roman" w:hAnsi="Arial" w:cs="Arial"/>
        </w:rPr>
        <w:t>no later than</w:t>
      </w:r>
      <w:r w:rsidR="00D455C9" w:rsidRPr="003E01AE">
        <w:rPr>
          <w:rFonts w:ascii="Arial" w:eastAsia="Times New Roman" w:hAnsi="Arial" w:cs="Arial"/>
        </w:rPr>
        <w:t xml:space="preserve"> </w:t>
      </w:r>
      <w:r w:rsidR="00BD2C9C" w:rsidRPr="003E01AE">
        <w:rPr>
          <w:rFonts w:ascii="Arial" w:eastAsia="Times New Roman" w:hAnsi="Arial" w:cs="Arial"/>
          <w:b/>
          <w:bCs/>
          <w:u w:val="single"/>
        </w:rPr>
        <w:t>Friday, July 9</w:t>
      </w:r>
      <w:r w:rsidRPr="003E01AE">
        <w:rPr>
          <w:rFonts w:ascii="Arial" w:eastAsia="Times New Roman" w:hAnsi="Arial" w:cs="Arial"/>
          <w:b/>
          <w:bCs/>
        </w:rPr>
        <w:t xml:space="preserve"> – </w:t>
      </w:r>
      <w:r w:rsidRPr="003E01AE">
        <w:rPr>
          <w:rFonts w:ascii="Arial" w:eastAsia="Times New Roman" w:hAnsi="Arial" w:cs="Arial"/>
        </w:rPr>
        <w:t xml:space="preserve">send responses to </w:t>
      </w:r>
      <w:hyperlink r:id="rId8" w:history="1">
        <w:r w:rsidRPr="003E01AE">
          <w:rPr>
            <w:rStyle w:val="Hyperlink"/>
            <w:rFonts w:ascii="Arial" w:eastAsia="Times New Roman" w:hAnsi="Arial" w:cs="Arial"/>
            <w:u w:val="none"/>
          </w:rPr>
          <w:t>Celia@CeliaJohnsonConsulting.com</w:t>
        </w:r>
      </w:hyperlink>
      <w:r w:rsidR="00F00400" w:rsidRPr="003E01AE">
        <w:rPr>
          <w:rFonts w:ascii="Arial" w:eastAsia="Times New Roman" w:hAnsi="Arial" w:cs="Arial"/>
        </w:rPr>
        <w:t>.</w:t>
      </w:r>
      <w:r w:rsidRPr="003E01AE">
        <w:rPr>
          <w:rFonts w:ascii="Arial" w:eastAsia="Times New Roman" w:hAnsi="Arial" w:cs="Arial"/>
        </w:rPr>
        <w:t xml:space="preserve"> </w:t>
      </w:r>
      <w:r w:rsidR="006E3416" w:rsidRPr="003E01AE">
        <w:rPr>
          <w:rFonts w:ascii="Arial" w:eastAsia="Times New Roman" w:hAnsi="Arial" w:cs="Arial"/>
        </w:rPr>
        <w:t xml:space="preserve"> </w:t>
      </w:r>
    </w:p>
    <w:p w14:paraId="16AF7604" w14:textId="399C6F47" w:rsidR="00F00400" w:rsidRPr="003E01AE" w:rsidRDefault="006E3416"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Please provide responses </w:t>
      </w:r>
      <w:r w:rsidRPr="003E01AE">
        <w:rPr>
          <w:rFonts w:ascii="Arial" w:eastAsia="Times New Roman" w:hAnsi="Arial" w:cs="Arial"/>
          <w:b/>
          <w:bCs/>
          <w:u w:val="single"/>
        </w:rPr>
        <w:t>within this Word document</w:t>
      </w:r>
      <w:r w:rsidRPr="003E01AE">
        <w:rPr>
          <w:rFonts w:ascii="Arial" w:eastAsia="Times New Roman" w:hAnsi="Arial" w:cs="Arial"/>
          <w:b/>
          <w:bCs/>
        </w:rPr>
        <w:t>.</w:t>
      </w:r>
    </w:p>
    <w:p w14:paraId="4505604F" w14:textId="7E14388E" w:rsidR="0099261B" w:rsidRPr="003E01AE" w:rsidRDefault="00252909"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The </w:t>
      </w:r>
      <w:r w:rsidR="0099261B" w:rsidRPr="003E01AE">
        <w:rPr>
          <w:rFonts w:ascii="Arial" w:eastAsia="Times New Roman" w:hAnsi="Arial" w:cs="Arial"/>
        </w:rPr>
        <w:t>SAG Facilitator will organize</w:t>
      </w:r>
      <w:r w:rsidR="00B06525" w:rsidRPr="003E01AE">
        <w:rPr>
          <w:rFonts w:ascii="Arial" w:eastAsia="Times New Roman" w:hAnsi="Arial" w:cs="Arial"/>
        </w:rPr>
        <w:t xml:space="preserve"> responses to questions </w:t>
      </w:r>
      <w:r w:rsidR="00A82933" w:rsidRPr="003E01AE">
        <w:rPr>
          <w:rFonts w:ascii="Arial" w:eastAsia="Times New Roman" w:hAnsi="Arial" w:cs="Arial"/>
        </w:rPr>
        <w:t xml:space="preserve">and circulate </w:t>
      </w:r>
      <w:r w:rsidR="00603927" w:rsidRPr="003E01AE">
        <w:rPr>
          <w:rFonts w:ascii="Arial" w:eastAsia="Times New Roman" w:hAnsi="Arial" w:cs="Arial"/>
        </w:rPr>
        <w:t>in advance of</w:t>
      </w:r>
      <w:r w:rsidR="00B06525" w:rsidRPr="003E01AE">
        <w:rPr>
          <w:rFonts w:ascii="Arial" w:eastAsia="Times New Roman" w:hAnsi="Arial" w:cs="Arial"/>
        </w:rPr>
        <w:t xml:space="preserve"> Meeting #</w:t>
      </w:r>
      <w:r w:rsidR="00894A47" w:rsidRPr="003E01AE">
        <w:rPr>
          <w:rFonts w:ascii="Arial" w:eastAsia="Times New Roman" w:hAnsi="Arial" w:cs="Arial"/>
        </w:rPr>
        <w:t>6</w:t>
      </w:r>
      <w:r w:rsidR="00510A7B" w:rsidRPr="003E01AE">
        <w:rPr>
          <w:rFonts w:ascii="Arial" w:eastAsia="Times New Roman" w:hAnsi="Arial" w:cs="Arial"/>
        </w:rPr>
        <w:t xml:space="preserve">, scheduled on </w:t>
      </w:r>
      <w:r w:rsidR="00894A47" w:rsidRPr="003E01AE">
        <w:rPr>
          <w:rFonts w:ascii="Arial" w:eastAsia="Times New Roman" w:hAnsi="Arial" w:cs="Arial"/>
        </w:rPr>
        <w:t>Thursday, July 15</w:t>
      </w:r>
      <w:r w:rsidR="006E3416" w:rsidRPr="003E01AE">
        <w:rPr>
          <w:rFonts w:ascii="Arial" w:eastAsia="Times New Roman" w:hAnsi="Arial" w:cs="Arial"/>
        </w:rPr>
        <w:t>.</w:t>
      </w:r>
    </w:p>
    <w:p w14:paraId="69CBDC33" w14:textId="17AD22D1" w:rsidR="004D0F2F" w:rsidRPr="003E01AE" w:rsidRDefault="004D0F2F" w:rsidP="00D66F07">
      <w:pPr>
        <w:spacing w:after="0" w:line="240" w:lineRule="auto"/>
        <w:rPr>
          <w:rFonts w:ascii="Arial" w:hAnsi="Arial" w:cs="Arial"/>
        </w:rPr>
      </w:pPr>
    </w:p>
    <w:p w14:paraId="681D5EB0" w14:textId="732E00EA" w:rsidR="008C2D0A" w:rsidRPr="003E01AE" w:rsidRDefault="008C2D0A" w:rsidP="00D66F07">
      <w:pPr>
        <w:spacing w:after="0" w:line="240" w:lineRule="auto"/>
        <w:rPr>
          <w:rFonts w:ascii="Arial" w:hAnsi="Arial" w:cs="Arial"/>
          <w:b/>
          <w:bCs/>
          <w:u w:val="single"/>
        </w:rPr>
      </w:pPr>
      <w:r w:rsidRPr="003E01AE">
        <w:rPr>
          <w:rFonts w:ascii="Arial" w:hAnsi="Arial" w:cs="Arial"/>
          <w:b/>
          <w:bCs/>
          <w:u w:val="single"/>
        </w:rPr>
        <w:t>Policy Questions</w:t>
      </w:r>
      <w:r w:rsidR="00FA42D4">
        <w:rPr>
          <w:rFonts w:ascii="Arial" w:hAnsi="Arial" w:cs="Arial"/>
          <w:b/>
          <w:bCs/>
          <w:u w:val="single"/>
        </w:rPr>
        <w:t xml:space="preserve"> for Discussion During July 15 Meeting</w:t>
      </w:r>
    </w:p>
    <w:p w14:paraId="39E0CA25" w14:textId="77777777" w:rsidR="008B2FE3" w:rsidRPr="003E01AE" w:rsidRDefault="008B2FE3" w:rsidP="00D66F07">
      <w:pPr>
        <w:spacing w:after="0" w:line="240" w:lineRule="auto"/>
        <w:rPr>
          <w:rFonts w:ascii="Arial" w:hAnsi="Arial" w:cs="Arial"/>
          <w:b/>
          <w:bCs/>
          <w:u w:val="single"/>
        </w:rPr>
      </w:pPr>
    </w:p>
    <w:p w14:paraId="4D0988F2" w14:textId="5A9F0C93" w:rsidR="001F155D" w:rsidRPr="00A70639" w:rsidRDefault="008554FB" w:rsidP="003D1101">
      <w:pPr>
        <w:pStyle w:val="ListParagraph"/>
        <w:numPr>
          <w:ilvl w:val="0"/>
          <w:numId w:val="5"/>
        </w:numPr>
        <w:spacing w:after="0" w:line="240" w:lineRule="auto"/>
        <w:rPr>
          <w:b/>
          <w:bCs/>
          <w:color w:val="4472C4" w:themeColor="accent1"/>
        </w:rPr>
      </w:pPr>
      <w:r w:rsidRPr="003E01AE">
        <w:rPr>
          <w:rFonts w:ascii="Arial" w:hAnsi="Arial" w:cs="Arial"/>
        </w:rPr>
        <w:t>Are savings constrained by the 10% limit in (b)25?</w:t>
      </w:r>
      <w:r w:rsidR="004524EA">
        <w:rPr>
          <w:rFonts w:ascii="Arial" w:hAnsi="Arial" w:cs="Arial"/>
        </w:rPr>
        <w:t xml:space="preserve"> </w:t>
      </w:r>
      <w:r w:rsidR="001F155D" w:rsidRPr="00A70639">
        <w:rPr>
          <w:b/>
          <w:bCs/>
          <w:color w:val="4472C4" w:themeColor="accent1"/>
        </w:rPr>
        <w:t>ComEd</w:t>
      </w:r>
      <w:r w:rsidR="003D1101" w:rsidRPr="00A70639">
        <w:rPr>
          <w:b/>
          <w:bCs/>
          <w:color w:val="4472C4" w:themeColor="accent1"/>
        </w:rPr>
        <w:t xml:space="preserve"> responded to this question in a </w:t>
      </w:r>
      <w:r w:rsidR="001F155D" w:rsidRPr="00A70639">
        <w:rPr>
          <w:b/>
          <w:bCs/>
          <w:color w:val="4472C4" w:themeColor="accent1"/>
        </w:rPr>
        <w:t>6/18</w:t>
      </w:r>
      <w:r w:rsidR="003D1101" w:rsidRPr="00A70639">
        <w:rPr>
          <w:b/>
          <w:bCs/>
          <w:color w:val="4472C4" w:themeColor="accent1"/>
        </w:rPr>
        <w:t>/21</w:t>
      </w:r>
      <w:r w:rsidR="001F155D" w:rsidRPr="00A70639">
        <w:rPr>
          <w:b/>
          <w:bCs/>
          <w:color w:val="4472C4" w:themeColor="accent1"/>
        </w:rPr>
        <w:t xml:space="preserve"> e-mail to Celia: </w:t>
      </w:r>
    </w:p>
    <w:p w14:paraId="1B3FE2D3" w14:textId="77777777" w:rsidR="002F435E" w:rsidRDefault="002F435E" w:rsidP="001F155D">
      <w:pPr>
        <w:ind w:left="360"/>
        <w:rPr>
          <w:color w:val="4472C4" w:themeColor="accent1"/>
        </w:rPr>
      </w:pPr>
    </w:p>
    <w:p w14:paraId="02BA47EC" w14:textId="27FFCBF3" w:rsidR="00AD330F" w:rsidRPr="00A70639" w:rsidRDefault="00AD330F" w:rsidP="00A70639">
      <w:pPr>
        <w:ind w:left="720"/>
        <w:rPr>
          <w:b/>
          <w:bCs/>
          <w:color w:val="4472C4" w:themeColor="accent1"/>
        </w:rPr>
      </w:pPr>
      <w:r w:rsidRPr="00A70639">
        <w:rPr>
          <w:b/>
          <w:bCs/>
          <w:color w:val="4472C4" w:themeColor="accent1"/>
        </w:rPr>
        <w:t>The only comment we would add is not based on language in the legislation, but more an observation based on logic and consistency.  Although the FEJA legislation does not explicitly specify a rule for savings in the fuel conversion situation as it does for joint programs and utility-only programs, it would be logical to view the 3 Paragraphs in section b-25 together as a group. If the SAG group decides that savings are determined “at the premises” (i.e., 3412 Btu/kWh) to be consistent with the other alternate fuel situations, the 10 % cap would also apply. However, if the group decides the guidance for fuel conversions lies elsewhere in the legislation, it would be fair and consistent to also question if fuel conversion savings should fall under the 10% cap.      </w:t>
      </w:r>
    </w:p>
    <w:p w14:paraId="2D0DCB94" w14:textId="09F6E5CB" w:rsidR="00EF3A21" w:rsidRPr="00AD330F" w:rsidRDefault="008554FB" w:rsidP="00AD330F">
      <w:pPr>
        <w:spacing w:after="0" w:line="240" w:lineRule="auto"/>
        <w:rPr>
          <w:rFonts w:ascii="Arial" w:hAnsi="Arial" w:cs="Arial"/>
        </w:rPr>
      </w:pPr>
      <w:r w:rsidRPr="00AD330F">
        <w:rPr>
          <w:rFonts w:ascii="Arial" w:hAnsi="Arial" w:cs="Arial"/>
        </w:rPr>
        <w:t xml:space="preserve"> </w:t>
      </w:r>
    </w:p>
    <w:p w14:paraId="37DF9E3B" w14:textId="77777777" w:rsidR="00E3016D" w:rsidRPr="00E3016D" w:rsidRDefault="008554FB" w:rsidP="009A4A27">
      <w:pPr>
        <w:pStyle w:val="ListParagraph"/>
        <w:numPr>
          <w:ilvl w:val="1"/>
          <w:numId w:val="5"/>
        </w:numPr>
        <w:spacing w:after="0" w:line="240" w:lineRule="auto"/>
        <w:rPr>
          <w:b/>
          <w:bCs/>
          <w:color w:val="4472C4" w:themeColor="accent1"/>
        </w:rPr>
      </w:pPr>
      <w:r w:rsidRPr="00477C7E">
        <w:rPr>
          <w:rFonts w:ascii="Arial" w:hAnsi="Arial" w:cs="Arial"/>
        </w:rPr>
        <w:t>Should discussion of this issue be paused due to pending energy bill?</w:t>
      </w:r>
      <w:r w:rsidR="003E01AE" w:rsidRPr="00477C7E">
        <w:rPr>
          <w:rFonts w:ascii="Arial" w:hAnsi="Arial" w:cs="Arial"/>
        </w:rPr>
        <w:t xml:space="preserve"> </w:t>
      </w:r>
      <w:r w:rsidR="003E01AE" w:rsidRPr="00477C7E">
        <w:rPr>
          <w:rFonts w:ascii="Arial" w:hAnsi="Arial" w:cs="Arial"/>
          <w:i/>
          <w:iCs/>
        </w:rPr>
        <w:t>Note: “Pausing” means keeping as a source calculation (current IL-TRM</w:t>
      </w:r>
      <w:r w:rsidR="003E01AE" w:rsidRPr="00477C7E">
        <w:rPr>
          <w:rFonts w:ascii="Arial" w:hAnsi="Arial" w:cs="Arial"/>
          <w:b/>
          <w:bCs/>
          <w:color w:val="4472C4" w:themeColor="accent1"/>
        </w:rPr>
        <w:t>).</w:t>
      </w:r>
    </w:p>
    <w:p w14:paraId="0038C3F9" w14:textId="77777777" w:rsidR="00E3016D" w:rsidRPr="00E3016D" w:rsidRDefault="00E3016D" w:rsidP="00E3016D">
      <w:pPr>
        <w:pStyle w:val="ListParagraph"/>
        <w:spacing w:after="0" w:line="240" w:lineRule="auto"/>
        <w:rPr>
          <w:b/>
          <w:bCs/>
          <w:color w:val="4472C4" w:themeColor="accent1"/>
        </w:rPr>
      </w:pPr>
    </w:p>
    <w:p w14:paraId="5745674B" w14:textId="493C75B2" w:rsidR="00D0671E" w:rsidRPr="00E3016D" w:rsidRDefault="00D0671E" w:rsidP="00D0671E">
      <w:pPr>
        <w:ind w:left="720"/>
        <w:rPr>
          <w:b/>
          <w:bCs/>
          <w:color w:val="4472C4" w:themeColor="accent1"/>
        </w:rPr>
      </w:pPr>
      <w:r>
        <w:rPr>
          <w:b/>
          <w:bCs/>
          <w:color w:val="4472C4" w:themeColor="accent1"/>
        </w:rPr>
        <w:t xml:space="preserve">While </w:t>
      </w:r>
      <w:r w:rsidRPr="00E3016D">
        <w:rPr>
          <w:b/>
          <w:bCs/>
          <w:color w:val="4472C4" w:themeColor="accent1"/>
        </w:rPr>
        <w:t xml:space="preserve">ComEd could support a pause </w:t>
      </w:r>
      <w:r>
        <w:rPr>
          <w:b/>
          <w:bCs/>
          <w:color w:val="4472C4" w:themeColor="accent1"/>
        </w:rPr>
        <w:t>of</w:t>
      </w:r>
      <w:r w:rsidRPr="00E3016D">
        <w:rPr>
          <w:b/>
          <w:bCs/>
          <w:color w:val="4472C4" w:themeColor="accent1"/>
        </w:rPr>
        <w:t xml:space="preserve"> the discussions </w:t>
      </w:r>
      <w:r>
        <w:rPr>
          <w:b/>
          <w:bCs/>
          <w:color w:val="4472C4" w:themeColor="accent1"/>
        </w:rPr>
        <w:t>related to the question posed above (</w:t>
      </w:r>
      <w:r w:rsidRPr="00E3016D">
        <w:rPr>
          <w:b/>
          <w:bCs/>
          <w:color w:val="4472C4" w:themeColor="accent1"/>
        </w:rPr>
        <w:t>and rolling over these issues to the next TRM on one condition</w:t>
      </w:r>
      <w:r w:rsidR="003E1B75">
        <w:rPr>
          <w:b/>
          <w:bCs/>
          <w:color w:val="4472C4" w:themeColor="accent1"/>
        </w:rPr>
        <w:t>)</w:t>
      </w:r>
      <w:r>
        <w:rPr>
          <w:b/>
          <w:bCs/>
          <w:color w:val="4472C4" w:themeColor="accent1"/>
        </w:rPr>
        <w:t>, ComEd believes that</w:t>
      </w:r>
      <w:r w:rsidRPr="00E3016D">
        <w:rPr>
          <w:b/>
          <w:bCs/>
          <w:color w:val="4472C4" w:themeColor="accent1"/>
        </w:rPr>
        <w:t xml:space="preserve"> the heat rate </w:t>
      </w:r>
      <w:r>
        <w:rPr>
          <w:b/>
          <w:bCs/>
          <w:color w:val="4472C4" w:themeColor="accent1"/>
        </w:rPr>
        <w:t xml:space="preserve">component </w:t>
      </w:r>
      <w:r w:rsidRPr="00E3016D">
        <w:rPr>
          <w:b/>
          <w:bCs/>
          <w:color w:val="4472C4" w:themeColor="accent1"/>
        </w:rPr>
        <w:t>needs to be updated in V 10.0 of the TRM. The reason ComEd supports the pause is because it is clear the TAC does not agree. The stakeholder positions captured in Celia’s Summary Table of May 10 have not changed in the subsequent 2 months of discussion.</w:t>
      </w:r>
    </w:p>
    <w:p w14:paraId="1C98866F" w14:textId="74F14D8E" w:rsidR="00D0671E" w:rsidRPr="00E3016D" w:rsidRDefault="00D0671E" w:rsidP="00D0671E">
      <w:pPr>
        <w:ind w:left="720"/>
        <w:rPr>
          <w:b/>
          <w:bCs/>
          <w:color w:val="4472C4" w:themeColor="accent1"/>
        </w:rPr>
      </w:pPr>
      <w:r>
        <w:rPr>
          <w:b/>
          <w:bCs/>
          <w:color w:val="4472C4" w:themeColor="accent1"/>
        </w:rPr>
        <w:t>However, t</w:t>
      </w:r>
      <w:r w:rsidRPr="00E3016D">
        <w:rPr>
          <w:b/>
          <w:bCs/>
          <w:color w:val="4472C4" w:themeColor="accent1"/>
        </w:rPr>
        <w:t xml:space="preserve">o defer making </w:t>
      </w:r>
      <w:r>
        <w:rPr>
          <w:b/>
          <w:bCs/>
          <w:color w:val="4472C4" w:themeColor="accent1"/>
        </w:rPr>
        <w:t>the</w:t>
      </w:r>
      <w:r w:rsidRPr="00E3016D">
        <w:rPr>
          <w:b/>
          <w:bCs/>
          <w:color w:val="4472C4" w:themeColor="accent1"/>
        </w:rPr>
        <w:t xml:space="preserve"> needed </w:t>
      </w:r>
      <w:r>
        <w:rPr>
          <w:b/>
          <w:bCs/>
          <w:color w:val="4472C4" w:themeColor="accent1"/>
        </w:rPr>
        <w:t xml:space="preserve">and well-founded heat rate </w:t>
      </w:r>
      <w:r w:rsidRPr="00E3016D">
        <w:rPr>
          <w:b/>
          <w:bCs/>
          <w:color w:val="4472C4" w:themeColor="accent1"/>
        </w:rPr>
        <w:t xml:space="preserve">revision based on potential future legislation is not good TRM policy or precedent. </w:t>
      </w:r>
      <w:r>
        <w:rPr>
          <w:b/>
          <w:bCs/>
          <w:color w:val="4472C4" w:themeColor="accent1"/>
        </w:rPr>
        <w:t>Given the uncertainty of whether legislation will be enacted, what will be included in any such legislation, and the effective date of the legislation, t</w:t>
      </w:r>
      <w:r w:rsidRPr="00E3016D">
        <w:rPr>
          <w:b/>
          <w:bCs/>
          <w:color w:val="4472C4" w:themeColor="accent1"/>
        </w:rPr>
        <w:t xml:space="preserve">he TRM assumptions </w:t>
      </w:r>
      <w:r>
        <w:rPr>
          <w:b/>
          <w:bCs/>
          <w:color w:val="4472C4" w:themeColor="accent1"/>
        </w:rPr>
        <w:t xml:space="preserve">should </w:t>
      </w:r>
      <w:r w:rsidRPr="00E3016D">
        <w:rPr>
          <w:b/>
          <w:bCs/>
          <w:color w:val="4472C4" w:themeColor="accent1"/>
        </w:rPr>
        <w:t xml:space="preserve">be based on the legal and regulatory requirements </w:t>
      </w:r>
      <w:r>
        <w:rPr>
          <w:b/>
          <w:bCs/>
          <w:color w:val="4472C4" w:themeColor="accent1"/>
        </w:rPr>
        <w:t xml:space="preserve">currently in effect to </w:t>
      </w:r>
      <w:r w:rsidRPr="00E3016D">
        <w:rPr>
          <w:b/>
          <w:bCs/>
          <w:color w:val="4472C4" w:themeColor="accent1"/>
        </w:rPr>
        <w:t>govern current market decisions</w:t>
      </w:r>
      <w:r>
        <w:rPr>
          <w:b/>
          <w:bCs/>
          <w:color w:val="4472C4" w:themeColor="accent1"/>
        </w:rPr>
        <w:t>.</w:t>
      </w:r>
      <w:r w:rsidRPr="00E3016D">
        <w:rPr>
          <w:b/>
          <w:bCs/>
          <w:color w:val="4472C4" w:themeColor="accent1"/>
        </w:rPr>
        <w:t xml:space="preserve"> </w:t>
      </w:r>
    </w:p>
    <w:p w14:paraId="226A102A" w14:textId="5A7CA6C3" w:rsidR="00D0671E" w:rsidRPr="00E3016D" w:rsidRDefault="00D0671E" w:rsidP="00D0671E">
      <w:pPr>
        <w:ind w:left="720"/>
        <w:rPr>
          <w:b/>
          <w:bCs/>
          <w:color w:val="4472C4" w:themeColor="accent1"/>
        </w:rPr>
      </w:pPr>
      <w:r w:rsidRPr="00E3016D">
        <w:rPr>
          <w:b/>
          <w:bCs/>
          <w:color w:val="4472C4" w:themeColor="accent1"/>
        </w:rPr>
        <w:t>ComEd disagrees with the Peoples</w:t>
      </w:r>
      <w:r w:rsidR="004359CB">
        <w:rPr>
          <w:b/>
          <w:bCs/>
          <w:color w:val="4472C4" w:themeColor="accent1"/>
        </w:rPr>
        <w:t xml:space="preserve"> Energy </w:t>
      </w:r>
      <w:r w:rsidRPr="00E3016D">
        <w:rPr>
          <w:b/>
          <w:bCs/>
          <w:color w:val="4472C4" w:themeColor="accent1"/>
        </w:rPr>
        <w:t xml:space="preserve">proposal on </w:t>
      </w:r>
      <w:r>
        <w:rPr>
          <w:b/>
          <w:bCs/>
          <w:color w:val="4472C4" w:themeColor="accent1"/>
        </w:rPr>
        <w:t>h</w:t>
      </w:r>
      <w:r w:rsidRPr="00E3016D">
        <w:rPr>
          <w:b/>
          <w:bCs/>
          <w:color w:val="4472C4" w:themeColor="accent1"/>
        </w:rPr>
        <w:t xml:space="preserve">eat </w:t>
      </w:r>
      <w:r>
        <w:rPr>
          <w:b/>
          <w:bCs/>
          <w:color w:val="4472C4" w:themeColor="accent1"/>
        </w:rPr>
        <w:t>r</w:t>
      </w:r>
      <w:r w:rsidRPr="00E3016D">
        <w:rPr>
          <w:b/>
          <w:bCs/>
          <w:color w:val="4472C4" w:themeColor="accent1"/>
        </w:rPr>
        <w:t>ate. ComEd recommends that VEIC develop a specific proposal before engaging with stakeholders again. It would be best if VEIC can solve the problem as they see it and then make a recommendation to the group.</w:t>
      </w:r>
    </w:p>
    <w:p w14:paraId="4FAE8AC4" w14:textId="26AAA973" w:rsidR="00E3016D" w:rsidRPr="00E3016D" w:rsidRDefault="00E3016D" w:rsidP="00E3016D">
      <w:pPr>
        <w:ind w:left="720"/>
        <w:rPr>
          <w:b/>
          <w:bCs/>
          <w:color w:val="4472C4" w:themeColor="accent1"/>
        </w:rPr>
      </w:pPr>
      <w:r w:rsidRPr="00E3016D">
        <w:rPr>
          <w:b/>
          <w:bCs/>
          <w:color w:val="4472C4" w:themeColor="accent1"/>
        </w:rPr>
        <w:lastRenderedPageBreak/>
        <w:t xml:space="preserve">On the ICC Staff’s recommendation of including a footnote in the TRM, the footnote should also include the 10% conversion cap exemption </w:t>
      </w:r>
      <w:r w:rsidR="001E4992">
        <w:rPr>
          <w:b/>
          <w:bCs/>
          <w:color w:val="4472C4" w:themeColor="accent1"/>
        </w:rPr>
        <w:t xml:space="preserve">that has appeared </w:t>
      </w:r>
      <w:r w:rsidR="00AF211D">
        <w:rPr>
          <w:b/>
          <w:bCs/>
          <w:color w:val="4472C4" w:themeColor="accent1"/>
        </w:rPr>
        <w:t>in</w:t>
      </w:r>
      <w:r w:rsidRPr="00E3016D">
        <w:rPr>
          <w:b/>
          <w:bCs/>
          <w:color w:val="4472C4" w:themeColor="accent1"/>
        </w:rPr>
        <w:t xml:space="preserve"> draft legislation.</w:t>
      </w:r>
    </w:p>
    <w:p w14:paraId="5B474800" w14:textId="77777777" w:rsidR="00DC7E6B" w:rsidRPr="00DC7E6B" w:rsidRDefault="008554FB" w:rsidP="00DC7E6B">
      <w:pPr>
        <w:pStyle w:val="ListParagraph"/>
        <w:numPr>
          <w:ilvl w:val="0"/>
          <w:numId w:val="5"/>
        </w:numPr>
        <w:spacing w:after="0" w:line="240" w:lineRule="auto"/>
        <w:rPr>
          <w:b/>
          <w:bCs/>
          <w:color w:val="4472C4" w:themeColor="accent1"/>
        </w:rPr>
      </w:pPr>
      <w:r w:rsidRPr="00477C7E">
        <w:rPr>
          <w:rFonts w:ascii="Arial" w:hAnsi="Arial" w:cs="Arial"/>
        </w:rPr>
        <w:t>Should eligibility be constrained to measures that provide customers monetary savings (either bill savings or total lifecycle cost savings)?</w:t>
      </w:r>
    </w:p>
    <w:p w14:paraId="5BD3F3C4" w14:textId="77777777" w:rsidR="00DC7E6B" w:rsidRPr="00DC7E6B" w:rsidRDefault="00DC7E6B" w:rsidP="00DC7E6B">
      <w:pPr>
        <w:pStyle w:val="ListParagraph"/>
        <w:spacing w:after="0" w:line="240" w:lineRule="auto"/>
        <w:rPr>
          <w:b/>
          <w:bCs/>
          <w:color w:val="4472C4" w:themeColor="accent1"/>
        </w:rPr>
      </w:pPr>
    </w:p>
    <w:p w14:paraId="75010478" w14:textId="6D3B879C" w:rsidR="008554FB" w:rsidRPr="00DC7E6B" w:rsidRDefault="00165F6B" w:rsidP="00DC7E6B">
      <w:pPr>
        <w:ind w:left="720"/>
        <w:rPr>
          <w:b/>
          <w:bCs/>
          <w:color w:val="4472C4" w:themeColor="accent1"/>
        </w:rPr>
      </w:pPr>
      <w:r w:rsidRPr="00DC7E6B">
        <w:rPr>
          <w:b/>
          <w:bCs/>
          <w:color w:val="4472C4" w:themeColor="accent1"/>
        </w:rPr>
        <w:t>As ComEd noted in comments submitted in April</w:t>
      </w:r>
      <w:r w:rsidR="00C35123" w:rsidRPr="00DC7E6B">
        <w:rPr>
          <w:b/>
          <w:bCs/>
          <w:color w:val="4472C4" w:themeColor="accent1"/>
        </w:rPr>
        <w:t xml:space="preserve">, the legislation says that cost-effectiveness is determined by the TRC test. The TRM should not adopt additional or alternative cost-effectiveness criteria. There is no basis for proposing that new criteria be adopted. </w:t>
      </w:r>
    </w:p>
    <w:p w14:paraId="28CCA7E4" w14:textId="77777777" w:rsidR="00DC7E6B" w:rsidRDefault="00DC7E6B" w:rsidP="00DC7E6B">
      <w:pPr>
        <w:pStyle w:val="ListParagraph"/>
        <w:spacing w:after="0" w:line="240" w:lineRule="auto"/>
        <w:rPr>
          <w:rFonts w:ascii="Arial" w:hAnsi="Arial" w:cs="Arial"/>
        </w:rPr>
      </w:pPr>
    </w:p>
    <w:p w14:paraId="17DA28A3" w14:textId="058DB7B1" w:rsidR="000F6B95" w:rsidRPr="003E01AE" w:rsidRDefault="008554FB" w:rsidP="00DC7E6B">
      <w:pPr>
        <w:pStyle w:val="ListParagraph"/>
        <w:numPr>
          <w:ilvl w:val="0"/>
          <w:numId w:val="5"/>
        </w:numPr>
        <w:spacing w:after="0" w:line="240" w:lineRule="auto"/>
        <w:rPr>
          <w:rFonts w:ascii="Arial" w:hAnsi="Arial" w:cs="Arial"/>
        </w:rPr>
      </w:pPr>
      <w:r w:rsidRPr="003E01AE">
        <w:rPr>
          <w:rFonts w:ascii="Arial" w:hAnsi="Arial" w:cs="Arial"/>
        </w:rPr>
        <w:t>Can the gas utilities claim kWh equivalent savings?</w:t>
      </w:r>
    </w:p>
    <w:p w14:paraId="10992070" w14:textId="77777777" w:rsidR="00DC7E6B" w:rsidRDefault="008554FB" w:rsidP="00EF3A21">
      <w:pPr>
        <w:pStyle w:val="ListParagraph"/>
        <w:numPr>
          <w:ilvl w:val="1"/>
          <w:numId w:val="6"/>
        </w:numPr>
        <w:spacing w:after="0" w:line="240" w:lineRule="auto"/>
        <w:ind w:left="1224"/>
        <w:rPr>
          <w:rFonts w:ascii="Arial" w:hAnsi="Arial" w:cs="Arial"/>
        </w:rPr>
      </w:pPr>
      <w:r w:rsidRPr="003E01AE">
        <w:rPr>
          <w:rFonts w:ascii="Arial" w:hAnsi="Arial" w:cs="Arial"/>
        </w:rPr>
        <w:t>Evaluation consideration: If SAG decides that gas conversion is allowed for fuel switching measures, can the same be allowed for other measures that have both fuel components?</w:t>
      </w:r>
      <w:r w:rsidR="00CF2E37">
        <w:rPr>
          <w:rFonts w:ascii="Arial" w:hAnsi="Arial" w:cs="Arial"/>
        </w:rPr>
        <w:t xml:space="preserve"> </w:t>
      </w:r>
    </w:p>
    <w:p w14:paraId="4BE59397" w14:textId="77777777" w:rsidR="00DC7E6B" w:rsidRDefault="00DC7E6B" w:rsidP="00DC7E6B">
      <w:pPr>
        <w:pStyle w:val="ListParagraph"/>
        <w:spacing w:after="0" w:line="240" w:lineRule="auto"/>
        <w:ind w:left="1224"/>
        <w:rPr>
          <w:rFonts w:ascii="Arial" w:hAnsi="Arial" w:cs="Arial"/>
        </w:rPr>
      </w:pPr>
    </w:p>
    <w:p w14:paraId="5D009CAC" w14:textId="0AABA921" w:rsidR="00846AF8" w:rsidRDefault="00846AF8" w:rsidP="00846AF8">
      <w:pPr>
        <w:spacing w:after="0" w:line="240" w:lineRule="auto"/>
        <w:ind w:left="720"/>
        <w:rPr>
          <w:b/>
          <w:bCs/>
          <w:color w:val="4472C4" w:themeColor="accent1"/>
        </w:rPr>
      </w:pPr>
      <w:r>
        <w:rPr>
          <w:b/>
          <w:bCs/>
          <w:color w:val="4472C4" w:themeColor="accent1"/>
        </w:rPr>
        <w:t>Unlike Section 8-103B, t</w:t>
      </w:r>
      <w:r w:rsidRPr="00DC7E6B">
        <w:rPr>
          <w:b/>
          <w:bCs/>
          <w:color w:val="4472C4" w:themeColor="accent1"/>
        </w:rPr>
        <w:t xml:space="preserve">his </w:t>
      </w:r>
      <w:r>
        <w:rPr>
          <w:b/>
          <w:bCs/>
          <w:color w:val="4472C4" w:themeColor="accent1"/>
        </w:rPr>
        <w:t>issue – and the framework and caps applicable to calculating and claiming savings – is not addressed in Section 8-104 of the PUA.</w:t>
      </w:r>
    </w:p>
    <w:p w14:paraId="7E891B8E" w14:textId="77777777" w:rsidR="00DC7E6B" w:rsidRPr="00DC7E6B" w:rsidRDefault="00DC7E6B" w:rsidP="00DC7E6B">
      <w:pPr>
        <w:spacing w:after="0" w:line="240" w:lineRule="auto"/>
        <w:ind w:left="864"/>
        <w:rPr>
          <w:rFonts w:ascii="Arial" w:hAnsi="Arial" w:cs="Arial"/>
        </w:rPr>
      </w:pPr>
    </w:p>
    <w:p w14:paraId="6AA6F27B" w14:textId="77777777" w:rsidR="00A30067" w:rsidRPr="00A30067" w:rsidRDefault="008554FB" w:rsidP="003E5B1A">
      <w:pPr>
        <w:pStyle w:val="ListParagraph"/>
        <w:numPr>
          <w:ilvl w:val="0"/>
          <w:numId w:val="5"/>
        </w:numPr>
        <w:spacing w:after="0" w:line="240" w:lineRule="auto"/>
        <w:rPr>
          <w:b/>
          <w:bCs/>
          <w:color w:val="4472C4" w:themeColor="accent1"/>
        </w:rPr>
      </w:pPr>
      <w:bookmarkStart w:id="0" w:name="_Hlk75518708"/>
      <w:r w:rsidRPr="003E01AE">
        <w:rPr>
          <w:rFonts w:ascii="Arial" w:hAnsi="Arial" w:cs="Arial"/>
        </w:rPr>
        <w:t xml:space="preserve">If proposed legislation </w:t>
      </w:r>
      <w:r w:rsidR="0003456E" w:rsidRPr="003E01AE">
        <w:rPr>
          <w:rFonts w:ascii="Arial" w:hAnsi="Arial" w:cs="Arial"/>
        </w:rPr>
        <w:t>that adopts a site conversion for fuel switching in the electric EE statute is passed</w:t>
      </w:r>
      <w:r w:rsidRPr="003E01AE">
        <w:rPr>
          <w:rFonts w:ascii="Arial" w:hAnsi="Arial" w:cs="Arial"/>
        </w:rPr>
        <w:t>, should CHP also be calculated at site</w:t>
      </w:r>
      <w:r w:rsidR="0003456E" w:rsidRPr="003E01AE">
        <w:rPr>
          <w:rFonts w:ascii="Arial" w:hAnsi="Arial" w:cs="Arial"/>
        </w:rPr>
        <w:t xml:space="preserve"> for consistency</w:t>
      </w:r>
      <w:r w:rsidRPr="003E01AE">
        <w:rPr>
          <w:rFonts w:ascii="Arial" w:hAnsi="Arial" w:cs="Arial"/>
        </w:rPr>
        <w:t xml:space="preserve">? </w:t>
      </w:r>
      <w:r w:rsidR="004E2804" w:rsidRPr="004E2804">
        <w:rPr>
          <w:rFonts w:ascii="Arial" w:hAnsi="Arial" w:cs="Arial"/>
          <w:i/>
          <w:iCs/>
        </w:rPr>
        <w:t xml:space="preserve">Note: </w:t>
      </w:r>
      <w:r w:rsidRPr="004E2804">
        <w:rPr>
          <w:rFonts w:ascii="Arial" w:hAnsi="Arial" w:cs="Arial"/>
          <w:i/>
          <w:iCs/>
        </w:rPr>
        <w:t>Question raised by ICC Staff</w:t>
      </w:r>
      <w:r w:rsidR="00586889" w:rsidRPr="004E2804">
        <w:rPr>
          <w:rFonts w:ascii="Arial" w:hAnsi="Arial" w:cs="Arial"/>
          <w:i/>
          <w:iCs/>
        </w:rPr>
        <w:t xml:space="preserve"> after 6/21 meeting</w:t>
      </w:r>
      <w:r w:rsidR="004E2804" w:rsidRPr="004E2804">
        <w:rPr>
          <w:rFonts w:ascii="Arial" w:hAnsi="Arial" w:cs="Arial"/>
          <w:i/>
          <w:iCs/>
        </w:rPr>
        <w:t>.</w:t>
      </w:r>
    </w:p>
    <w:p w14:paraId="2AA07A2A" w14:textId="77777777" w:rsidR="00A30067" w:rsidRPr="00A30067" w:rsidRDefault="00A30067" w:rsidP="00A30067">
      <w:pPr>
        <w:pStyle w:val="ListParagraph"/>
        <w:spacing w:after="0" w:line="240" w:lineRule="auto"/>
        <w:rPr>
          <w:b/>
          <w:bCs/>
          <w:color w:val="4472C4" w:themeColor="accent1"/>
        </w:rPr>
      </w:pPr>
    </w:p>
    <w:p w14:paraId="5E384537" w14:textId="5FB8B32D" w:rsidR="00E50E25" w:rsidRPr="00A30067" w:rsidRDefault="00C35123" w:rsidP="00F447E9">
      <w:pPr>
        <w:spacing w:after="0" w:line="240" w:lineRule="auto"/>
        <w:ind w:left="720"/>
        <w:rPr>
          <w:b/>
          <w:bCs/>
          <w:color w:val="4472C4" w:themeColor="accent1"/>
        </w:rPr>
      </w:pPr>
      <w:r w:rsidRPr="00A30067">
        <w:rPr>
          <w:b/>
          <w:bCs/>
          <w:color w:val="4472C4" w:themeColor="accent1"/>
        </w:rPr>
        <w:t xml:space="preserve">ComEd believes all measures </w:t>
      </w:r>
      <w:r w:rsidR="00306291" w:rsidRPr="00A30067">
        <w:rPr>
          <w:b/>
          <w:bCs/>
          <w:color w:val="4472C4" w:themeColor="accent1"/>
        </w:rPr>
        <w:t xml:space="preserve">(including fuel conversion) </w:t>
      </w:r>
      <w:r w:rsidRPr="00A30067">
        <w:rPr>
          <w:b/>
          <w:bCs/>
          <w:color w:val="4472C4" w:themeColor="accent1"/>
        </w:rPr>
        <w:t>should be treated in a</w:t>
      </w:r>
      <w:r w:rsidR="00306291" w:rsidRPr="00A30067">
        <w:rPr>
          <w:b/>
          <w:bCs/>
          <w:color w:val="4472C4" w:themeColor="accent1"/>
        </w:rPr>
        <w:t>s</w:t>
      </w:r>
      <w:r w:rsidRPr="00A30067">
        <w:rPr>
          <w:b/>
          <w:bCs/>
          <w:color w:val="4472C4" w:themeColor="accent1"/>
        </w:rPr>
        <w:t xml:space="preserve"> consistent </w:t>
      </w:r>
      <w:r w:rsidR="00306291" w:rsidRPr="00A30067">
        <w:rPr>
          <w:b/>
          <w:bCs/>
          <w:color w:val="4472C4" w:themeColor="accent1"/>
        </w:rPr>
        <w:t xml:space="preserve">a </w:t>
      </w:r>
      <w:r w:rsidRPr="00A30067">
        <w:rPr>
          <w:b/>
          <w:bCs/>
          <w:color w:val="4472C4" w:themeColor="accent1"/>
        </w:rPr>
        <w:t>manner</w:t>
      </w:r>
      <w:r w:rsidR="00306291" w:rsidRPr="00A30067">
        <w:rPr>
          <w:b/>
          <w:bCs/>
          <w:color w:val="4472C4" w:themeColor="accent1"/>
        </w:rPr>
        <w:t xml:space="preserve"> as is possible</w:t>
      </w:r>
      <w:r w:rsidRPr="00A30067">
        <w:rPr>
          <w:b/>
          <w:bCs/>
          <w:color w:val="4472C4" w:themeColor="accent1"/>
        </w:rPr>
        <w:t>.</w:t>
      </w:r>
    </w:p>
    <w:p w14:paraId="22B85929" w14:textId="550980C7" w:rsidR="000C1DE6" w:rsidRDefault="000C1DE6" w:rsidP="00F17EDE">
      <w:pPr>
        <w:pStyle w:val="ListParagraph"/>
        <w:spacing w:after="0" w:line="240" w:lineRule="auto"/>
        <w:rPr>
          <w:rFonts w:ascii="Arial" w:hAnsi="Arial" w:cs="Arial"/>
        </w:rPr>
      </w:pPr>
    </w:p>
    <w:bookmarkEnd w:id="0"/>
    <w:sectPr w:rsidR="000C1DE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009E" w14:textId="77777777" w:rsidR="00B212E9" w:rsidRDefault="00B212E9" w:rsidP="00B212E9">
      <w:pPr>
        <w:spacing w:after="0" w:line="240" w:lineRule="auto"/>
      </w:pPr>
      <w:r>
        <w:separator/>
      </w:r>
    </w:p>
  </w:endnote>
  <w:endnote w:type="continuationSeparator" w:id="0">
    <w:p w14:paraId="32E751C8" w14:textId="77777777" w:rsidR="00B212E9" w:rsidRDefault="00B212E9"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5D431B60"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Pr="00B212E9">
          <w:rPr>
            <w:rFonts w:ascii="Times New Roman" w:hAnsi="Times New Roman" w:cs="Times New Roman"/>
            <w:noProof/>
            <w:sz w:val="20"/>
            <w:szCs w:val="20"/>
          </w:rPr>
          <w:t>2</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3693" w14:textId="77777777" w:rsidR="00B212E9" w:rsidRDefault="00B212E9" w:rsidP="00B212E9">
      <w:pPr>
        <w:spacing w:after="0" w:line="240" w:lineRule="auto"/>
      </w:pPr>
      <w:r>
        <w:separator/>
      </w:r>
    </w:p>
  </w:footnote>
  <w:footnote w:type="continuationSeparator" w:id="0">
    <w:p w14:paraId="5DA14AD5" w14:textId="77777777" w:rsidR="00B212E9" w:rsidRDefault="00B212E9"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928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920"/>
    <w:multiLevelType w:val="hybridMultilevel"/>
    <w:tmpl w:val="B7F8179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0516"/>
    <w:multiLevelType w:val="hybridMultilevel"/>
    <w:tmpl w:val="741496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26303"/>
    <w:multiLevelType w:val="hybridMultilevel"/>
    <w:tmpl w:val="6234C77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22CA7"/>
    <w:multiLevelType w:val="hybridMultilevel"/>
    <w:tmpl w:val="04FEDC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DA39D8"/>
    <w:multiLevelType w:val="hybridMultilevel"/>
    <w:tmpl w:val="C9787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7"/>
    <w:rsid w:val="00005AED"/>
    <w:rsid w:val="000157E1"/>
    <w:rsid w:val="0002597E"/>
    <w:rsid w:val="0003456E"/>
    <w:rsid w:val="00034D9A"/>
    <w:rsid w:val="00042B0A"/>
    <w:rsid w:val="0004761A"/>
    <w:rsid w:val="00073CE7"/>
    <w:rsid w:val="00083C95"/>
    <w:rsid w:val="00097FF4"/>
    <w:rsid w:val="000A73D5"/>
    <w:rsid w:val="000B3121"/>
    <w:rsid w:val="000C1DE6"/>
    <w:rsid w:val="000D41C1"/>
    <w:rsid w:val="000F53AB"/>
    <w:rsid w:val="000F6B95"/>
    <w:rsid w:val="00130DB8"/>
    <w:rsid w:val="00164E62"/>
    <w:rsid w:val="00165F6B"/>
    <w:rsid w:val="001E4992"/>
    <w:rsid w:val="001F155D"/>
    <w:rsid w:val="002144CD"/>
    <w:rsid w:val="00230300"/>
    <w:rsid w:val="002308EA"/>
    <w:rsid w:val="0024342C"/>
    <w:rsid w:val="00246652"/>
    <w:rsid w:val="00246C3A"/>
    <w:rsid w:val="00250449"/>
    <w:rsid w:val="00252909"/>
    <w:rsid w:val="00274DC6"/>
    <w:rsid w:val="002C155E"/>
    <w:rsid w:val="002D271D"/>
    <w:rsid w:val="002E6D88"/>
    <w:rsid w:val="002F22CD"/>
    <w:rsid w:val="002F435E"/>
    <w:rsid w:val="00300A5C"/>
    <w:rsid w:val="00306291"/>
    <w:rsid w:val="003230AC"/>
    <w:rsid w:val="0034796A"/>
    <w:rsid w:val="003A724D"/>
    <w:rsid w:val="003D1101"/>
    <w:rsid w:val="003E01AE"/>
    <w:rsid w:val="003E1B75"/>
    <w:rsid w:val="003E5B1A"/>
    <w:rsid w:val="003F13BE"/>
    <w:rsid w:val="00400146"/>
    <w:rsid w:val="00400CD8"/>
    <w:rsid w:val="00402739"/>
    <w:rsid w:val="004125DA"/>
    <w:rsid w:val="00430B34"/>
    <w:rsid w:val="004359CB"/>
    <w:rsid w:val="004524EA"/>
    <w:rsid w:val="00477C7E"/>
    <w:rsid w:val="00494675"/>
    <w:rsid w:val="00495EB9"/>
    <w:rsid w:val="004D0F2F"/>
    <w:rsid w:val="004D4ECB"/>
    <w:rsid w:val="004E2804"/>
    <w:rsid w:val="004F1CE5"/>
    <w:rsid w:val="00510473"/>
    <w:rsid w:val="00510A7B"/>
    <w:rsid w:val="0054069B"/>
    <w:rsid w:val="0054245B"/>
    <w:rsid w:val="00545FAC"/>
    <w:rsid w:val="005771A6"/>
    <w:rsid w:val="00585886"/>
    <w:rsid w:val="00586889"/>
    <w:rsid w:val="00586DC2"/>
    <w:rsid w:val="005B0464"/>
    <w:rsid w:val="00603927"/>
    <w:rsid w:val="00605DEF"/>
    <w:rsid w:val="00606861"/>
    <w:rsid w:val="00673223"/>
    <w:rsid w:val="006913B9"/>
    <w:rsid w:val="006A22E0"/>
    <w:rsid w:val="006D2CB7"/>
    <w:rsid w:val="006E3416"/>
    <w:rsid w:val="006E5EA3"/>
    <w:rsid w:val="00727401"/>
    <w:rsid w:val="00742244"/>
    <w:rsid w:val="007A2ED4"/>
    <w:rsid w:val="007E50BB"/>
    <w:rsid w:val="007E5889"/>
    <w:rsid w:val="00835616"/>
    <w:rsid w:val="00844050"/>
    <w:rsid w:val="00846AF8"/>
    <w:rsid w:val="008554FB"/>
    <w:rsid w:val="008743B2"/>
    <w:rsid w:val="00875C33"/>
    <w:rsid w:val="00890168"/>
    <w:rsid w:val="00894A47"/>
    <w:rsid w:val="008B2FE3"/>
    <w:rsid w:val="008C2D0A"/>
    <w:rsid w:val="008C34A8"/>
    <w:rsid w:val="008D7BEA"/>
    <w:rsid w:val="009058C2"/>
    <w:rsid w:val="009419CA"/>
    <w:rsid w:val="00967540"/>
    <w:rsid w:val="009718B3"/>
    <w:rsid w:val="0099261B"/>
    <w:rsid w:val="009A4A27"/>
    <w:rsid w:val="009A59AD"/>
    <w:rsid w:val="009B5D26"/>
    <w:rsid w:val="009C1BC9"/>
    <w:rsid w:val="009D093D"/>
    <w:rsid w:val="009D21D3"/>
    <w:rsid w:val="009D572E"/>
    <w:rsid w:val="009E79E2"/>
    <w:rsid w:val="009F0091"/>
    <w:rsid w:val="009F3E02"/>
    <w:rsid w:val="009F59F2"/>
    <w:rsid w:val="00A01865"/>
    <w:rsid w:val="00A06C1A"/>
    <w:rsid w:val="00A247DE"/>
    <w:rsid w:val="00A30067"/>
    <w:rsid w:val="00A30886"/>
    <w:rsid w:val="00A43536"/>
    <w:rsid w:val="00A55037"/>
    <w:rsid w:val="00A57668"/>
    <w:rsid w:val="00A70639"/>
    <w:rsid w:val="00A82933"/>
    <w:rsid w:val="00A83A1D"/>
    <w:rsid w:val="00AD330F"/>
    <w:rsid w:val="00AD474B"/>
    <w:rsid w:val="00AE4128"/>
    <w:rsid w:val="00AF0D5F"/>
    <w:rsid w:val="00AF211D"/>
    <w:rsid w:val="00AF49F7"/>
    <w:rsid w:val="00B04474"/>
    <w:rsid w:val="00B06525"/>
    <w:rsid w:val="00B076E6"/>
    <w:rsid w:val="00B212E9"/>
    <w:rsid w:val="00B30222"/>
    <w:rsid w:val="00B3094B"/>
    <w:rsid w:val="00B37BF6"/>
    <w:rsid w:val="00B438CA"/>
    <w:rsid w:val="00B755C5"/>
    <w:rsid w:val="00B97A8D"/>
    <w:rsid w:val="00BB02E5"/>
    <w:rsid w:val="00BD2C9C"/>
    <w:rsid w:val="00BD4E11"/>
    <w:rsid w:val="00BD517D"/>
    <w:rsid w:val="00BE5F61"/>
    <w:rsid w:val="00BF1B7E"/>
    <w:rsid w:val="00BF4AA9"/>
    <w:rsid w:val="00C166C5"/>
    <w:rsid w:val="00C35123"/>
    <w:rsid w:val="00C3693B"/>
    <w:rsid w:val="00C63E0B"/>
    <w:rsid w:val="00C8009A"/>
    <w:rsid w:val="00C8125B"/>
    <w:rsid w:val="00C909EB"/>
    <w:rsid w:val="00CB066C"/>
    <w:rsid w:val="00CB2E6E"/>
    <w:rsid w:val="00CD2568"/>
    <w:rsid w:val="00CF2E37"/>
    <w:rsid w:val="00CF650C"/>
    <w:rsid w:val="00D02196"/>
    <w:rsid w:val="00D03FBB"/>
    <w:rsid w:val="00D0671E"/>
    <w:rsid w:val="00D145BC"/>
    <w:rsid w:val="00D20B2B"/>
    <w:rsid w:val="00D40BCE"/>
    <w:rsid w:val="00D455C9"/>
    <w:rsid w:val="00D54805"/>
    <w:rsid w:val="00D54D9F"/>
    <w:rsid w:val="00D572A6"/>
    <w:rsid w:val="00D66F07"/>
    <w:rsid w:val="00D67B44"/>
    <w:rsid w:val="00D72492"/>
    <w:rsid w:val="00DB5B8F"/>
    <w:rsid w:val="00DB6330"/>
    <w:rsid w:val="00DC7A71"/>
    <w:rsid w:val="00DC7E6B"/>
    <w:rsid w:val="00DD1E61"/>
    <w:rsid w:val="00DF3C5B"/>
    <w:rsid w:val="00E154D1"/>
    <w:rsid w:val="00E25FFE"/>
    <w:rsid w:val="00E27657"/>
    <w:rsid w:val="00E3016D"/>
    <w:rsid w:val="00E41A22"/>
    <w:rsid w:val="00E730B1"/>
    <w:rsid w:val="00E970EF"/>
    <w:rsid w:val="00E97D5C"/>
    <w:rsid w:val="00EA2AE3"/>
    <w:rsid w:val="00ED53C2"/>
    <w:rsid w:val="00ED675E"/>
    <w:rsid w:val="00EE3B9B"/>
    <w:rsid w:val="00EF3545"/>
    <w:rsid w:val="00EF3A21"/>
    <w:rsid w:val="00F00400"/>
    <w:rsid w:val="00F04EA2"/>
    <w:rsid w:val="00F07AEF"/>
    <w:rsid w:val="00F17EDE"/>
    <w:rsid w:val="00F447E9"/>
    <w:rsid w:val="00F458DD"/>
    <w:rsid w:val="00F52B18"/>
    <w:rsid w:val="00FA2F79"/>
    <w:rsid w:val="00FA42D4"/>
    <w:rsid w:val="00FA492E"/>
    <w:rsid w:val="00FB1FE6"/>
    <w:rsid w:val="00FC674C"/>
    <w:rsid w:val="00FD4C28"/>
    <w:rsid w:val="00FE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1350"/>
  <w15:chartTrackingRefBased/>
  <w15:docId w15:val="{338BD8DB-ED0A-434A-BD85-676CA3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styleId="UnresolvedMention">
    <w:name w:val="Unresolved Mention"/>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E970EF"/>
    <w:rPr>
      <w:sz w:val="16"/>
      <w:szCs w:val="16"/>
    </w:rPr>
  </w:style>
  <w:style w:type="paragraph" w:styleId="CommentText">
    <w:name w:val="annotation text"/>
    <w:basedOn w:val="Normal"/>
    <w:link w:val="CommentTextChar"/>
    <w:uiPriority w:val="99"/>
    <w:semiHidden/>
    <w:unhideWhenUsed/>
    <w:rsid w:val="00E970EF"/>
    <w:pPr>
      <w:spacing w:line="240" w:lineRule="auto"/>
    </w:pPr>
    <w:rPr>
      <w:sz w:val="20"/>
      <w:szCs w:val="20"/>
    </w:rPr>
  </w:style>
  <w:style w:type="character" w:customStyle="1" w:styleId="CommentTextChar">
    <w:name w:val="Comment Text Char"/>
    <w:basedOn w:val="DefaultParagraphFont"/>
    <w:link w:val="CommentText"/>
    <w:uiPriority w:val="99"/>
    <w:semiHidden/>
    <w:rsid w:val="00E970EF"/>
    <w:rPr>
      <w:sz w:val="20"/>
      <w:szCs w:val="20"/>
    </w:rPr>
  </w:style>
  <w:style w:type="paragraph" w:styleId="CommentSubject">
    <w:name w:val="annotation subject"/>
    <w:basedOn w:val="CommentText"/>
    <w:next w:val="CommentText"/>
    <w:link w:val="CommentSubjectChar"/>
    <w:uiPriority w:val="99"/>
    <w:semiHidden/>
    <w:unhideWhenUsed/>
    <w:rsid w:val="00E970EF"/>
    <w:rPr>
      <w:b/>
      <w:bCs/>
    </w:rPr>
  </w:style>
  <w:style w:type="character" w:customStyle="1" w:styleId="CommentSubjectChar">
    <w:name w:val="Comment Subject Char"/>
    <w:basedOn w:val="CommentTextChar"/>
    <w:link w:val="CommentSubject"/>
    <w:uiPriority w:val="99"/>
    <w:semiHidden/>
    <w:rsid w:val="00E97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937481">
      <w:bodyDiv w:val="1"/>
      <w:marLeft w:val="0"/>
      <w:marRight w:val="0"/>
      <w:marTop w:val="0"/>
      <w:marBottom w:val="0"/>
      <w:divBdr>
        <w:top w:val="none" w:sz="0" w:space="0" w:color="auto"/>
        <w:left w:val="none" w:sz="0" w:space="0" w:color="auto"/>
        <w:bottom w:val="none" w:sz="0" w:space="0" w:color="auto"/>
        <w:right w:val="none" w:sz="0" w:space="0" w:color="auto"/>
      </w:divBdr>
    </w:div>
    <w:div w:id="12253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B219-794F-4F81-B881-EE23179C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2021-07-12T13:29:00Z</dcterms:created>
  <dcterms:modified xsi:type="dcterms:W3CDTF">2021-07-12T13:29:00Z</dcterms:modified>
</cp:coreProperties>
</file>