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30C3" w14:textId="77777777" w:rsidR="00C3693B" w:rsidRPr="003E01AE" w:rsidRDefault="00C3693B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>Illinois EE Stakeholder Advisory Group</w:t>
      </w:r>
    </w:p>
    <w:p w14:paraId="32B19BA2" w14:textId="77777777" w:rsidR="00C3693B" w:rsidRPr="003E01AE" w:rsidRDefault="00C3693B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>Fuel Conversion Working Group</w:t>
      </w:r>
    </w:p>
    <w:p w14:paraId="62AC53D1" w14:textId="77777777" w:rsidR="00D572A6" w:rsidRPr="003E01AE" w:rsidRDefault="00D572A6" w:rsidP="00C36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01AE">
        <w:rPr>
          <w:rFonts w:ascii="Arial" w:hAnsi="Arial" w:cs="Arial"/>
          <w:b/>
          <w:sz w:val="24"/>
          <w:szCs w:val="24"/>
        </w:rPr>
        <w:t xml:space="preserve">Policy Questions </w:t>
      </w:r>
      <w:r w:rsidR="00B04474" w:rsidRPr="003E01AE">
        <w:rPr>
          <w:rFonts w:ascii="Arial" w:hAnsi="Arial" w:cs="Arial"/>
          <w:b/>
          <w:sz w:val="24"/>
          <w:szCs w:val="24"/>
        </w:rPr>
        <w:t>– Request for Responses</w:t>
      </w:r>
      <w:r w:rsidRPr="003E01AE">
        <w:rPr>
          <w:rFonts w:ascii="Arial" w:hAnsi="Arial" w:cs="Arial"/>
          <w:b/>
          <w:sz w:val="24"/>
          <w:szCs w:val="24"/>
        </w:rPr>
        <w:t xml:space="preserve"> (</w:t>
      </w:r>
      <w:r w:rsidR="00844050" w:rsidRPr="003E01AE">
        <w:rPr>
          <w:rFonts w:ascii="Arial" w:hAnsi="Arial" w:cs="Arial"/>
          <w:b/>
          <w:sz w:val="24"/>
          <w:szCs w:val="24"/>
        </w:rPr>
        <w:t>6</w:t>
      </w:r>
      <w:r w:rsidR="00B04474" w:rsidRPr="003E01AE">
        <w:rPr>
          <w:rFonts w:ascii="Arial" w:hAnsi="Arial" w:cs="Arial"/>
          <w:b/>
          <w:sz w:val="24"/>
          <w:szCs w:val="24"/>
        </w:rPr>
        <w:t>/2</w:t>
      </w:r>
      <w:r w:rsidR="00844050" w:rsidRPr="003E01AE">
        <w:rPr>
          <w:rFonts w:ascii="Arial" w:hAnsi="Arial" w:cs="Arial"/>
          <w:b/>
          <w:sz w:val="24"/>
          <w:szCs w:val="24"/>
        </w:rPr>
        <w:t>5</w:t>
      </w:r>
      <w:r w:rsidR="00B04474" w:rsidRPr="003E01AE">
        <w:rPr>
          <w:rFonts w:ascii="Arial" w:hAnsi="Arial" w:cs="Arial"/>
          <w:b/>
          <w:sz w:val="24"/>
          <w:szCs w:val="24"/>
        </w:rPr>
        <w:t>/2021</w:t>
      </w:r>
      <w:r w:rsidRPr="003E01AE">
        <w:rPr>
          <w:rFonts w:ascii="Arial" w:hAnsi="Arial" w:cs="Arial"/>
          <w:b/>
          <w:sz w:val="24"/>
          <w:szCs w:val="24"/>
        </w:rPr>
        <w:t>)</w:t>
      </w:r>
    </w:p>
    <w:p w14:paraId="08185B16" w14:textId="77777777" w:rsidR="00C3693B" w:rsidRPr="003E01AE" w:rsidRDefault="00C3693B" w:rsidP="00D66F07">
      <w:pPr>
        <w:spacing w:after="0" w:line="240" w:lineRule="auto"/>
        <w:rPr>
          <w:rFonts w:ascii="Arial" w:hAnsi="Arial" w:cs="Arial"/>
          <w:b/>
          <w:bCs/>
        </w:rPr>
      </w:pPr>
    </w:p>
    <w:p w14:paraId="296B0C86" w14:textId="77777777" w:rsidR="006E3416" w:rsidRPr="003E01AE" w:rsidRDefault="006E3416" w:rsidP="006E3416">
      <w:pPr>
        <w:spacing w:after="0" w:line="240" w:lineRule="auto"/>
        <w:rPr>
          <w:rFonts w:ascii="Arial" w:hAnsi="Arial" w:cs="Arial"/>
          <w:b/>
          <w:bCs/>
        </w:rPr>
      </w:pPr>
      <w:r w:rsidRPr="003E01AE">
        <w:rPr>
          <w:rFonts w:ascii="Arial" w:hAnsi="Arial" w:cs="Arial"/>
          <w:b/>
          <w:bCs/>
        </w:rPr>
        <w:t>Instructions for Responding</w:t>
      </w:r>
      <w:r w:rsidR="00073CE7" w:rsidRPr="003E01AE">
        <w:rPr>
          <w:rFonts w:ascii="Arial" w:hAnsi="Arial" w:cs="Arial"/>
          <w:b/>
          <w:bCs/>
        </w:rPr>
        <w:t xml:space="preserve"> to Policy Questions</w:t>
      </w:r>
      <w:r w:rsidR="004D0F2F" w:rsidRPr="003E01AE">
        <w:rPr>
          <w:rFonts w:ascii="Arial" w:hAnsi="Arial" w:cs="Arial"/>
          <w:b/>
          <w:bCs/>
        </w:rPr>
        <w:t>:</w:t>
      </w:r>
    </w:p>
    <w:p w14:paraId="0ACC26A2" w14:textId="77777777" w:rsidR="00D455C9" w:rsidRPr="003E01AE" w:rsidRDefault="00510A7B" w:rsidP="006E34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3E01AE">
        <w:rPr>
          <w:rFonts w:ascii="Arial" w:eastAsia="Times New Roman" w:hAnsi="Arial" w:cs="Arial"/>
        </w:rPr>
        <w:t>I</w:t>
      </w:r>
      <w:r w:rsidR="00D455C9" w:rsidRPr="003E01AE">
        <w:rPr>
          <w:rFonts w:ascii="Arial" w:eastAsia="Times New Roman" w:hAnsi="Arial" w:cs="Arial"/>
        </w:rPr>
        <w:t xml:space="preserve">nterested parties are requested to respond to </w:t>
      </w:r>
      <w:r w:rsidRPr="003E01AE">
        <w:rPr>
          <w:rFonts w:ascii="Arial" w:eastAsia="Times New Roman" w:hAnsi="Arial" w:cs="Arial"/>
        </w:rPr>
        <w:t xml:space="preserve">policy </w:t>
      </w:r>
      <w:r w:rsidR="00D455C9" w:rsidRPr="003E01AE">
        <w:rPr>
          <w:rFonts w:ascii="Arial" w:eastAsia="Times New Roman" w:hAnsi="Arial" w:cs="Arial"/>
        </w:rPr>
        <w:t xml:space="preserve">questions </w:t>
      </w:r>
      <w:r w:rsidR="00DC7A71" w:rsidRPr="003E01AE">
        <w:rPr>
          <w:rFonts w:ascii="Arial" w:eastAsia="Times New Roman" w:hAnsi="Arial" w:cs="Arial"/>
        </w:rPr>
        <w:t>no later than</w:t>
      </w:r>
      <w:r w:rsidR="00D455C9" w:rsidRPr="003E01AE">
        <w:rPr>
          <w:rFonts w:ascii="Arial" w:eastAsia="Times New Roman" w:hAnsi="Arial" w:cs="Arial"/>
        </w:rPr>
        <w:t xml:space="preserve"> </w:t>
      </w:r>
      <w:r w:rsidR="00BD2C9C" w:rsidRPr="003E01AE">
        <w:rPr>
          <w:rFonts w:ascii="Arial" w:eastAsia="Times New Roman" w:hAnsi="Arial" w:cs="Arial"/>
          <w:b/>
          <w:bCs/>
          <w:u w:val="single"/>
        </w:rPr>
        <w:t>Friday, July 9</w:t>
      </w:r>
      <w:r w:rsidRPr="003E01AE">
        <w:rPr>
          <w:rFonts w:ascii="Arial" w:eastAsia="Times New Roman" w:hAnsi="Arial" w:cs="Arial"/>
          <w:b/>
          <w:bCs/>
        </w:rPr>
        <w:t xml:space="preserve"> – </w:t>
      </w:r>
      <w:r w:rsidRPr="003E01AE">
        <w:rPr>
          <w:rFonts w:ascii="Arial" w:eastAsia="Times New Roman" w:hAnsi="Arial" w:cs="Arial"/>
        </w:rPr>
        <w:t xml:space="preserve">send responses to </w:t>
      </w:r>
      <w:hyperlink r:id="rId8" w:history="1">
        <w:r w:rsidRPr="003E01AE">
          <w:rPr>
            <w:rStyle w:val="Hyperlink"/>
            <w:rFonts w:ascii="Arial" w:eastAsia="Times New Roman" w:hAnsi="Arial" w:cs="Arial"/>
            <w:u w:val="none"/>
          </w:rPr>
          <w:t>Celia@CeliaJohnsonConsulting.com</w:t>
        </w:r>
      </w:hyperlink>
      <w:r w:rsidR="00F00400" w:rsidRPr="003E01AE">
        <w:rPr>
          <w:rFonts w:ascii="Arial" w:eastAsia="Times New Roman" w:hAnsi="Arial" w:cs="Arial"/>
        </w:rPr>
        <w:t>.</w:t>
      </w:r>
      <w:r w:rsidRPr="003E01AE">
        <w:rPr>
          <w:rFonts w:ascii="Arial" w:eastAsia="Times New Roman" w:hAnsi="Arial" w:cs="Arial"/>
        </w:rPr>
        <w:t xml:space="preserve"> </w:t>
      </w:r>
      <w:r w:rsidR="006E3416" w:rsidRPr="003E01AE">
        <w:rPr>
          <w:rFonts w:ascii="Arial" w:eastAsia="Times New Roman" w:hAnsi="Arial" w:cs="Arial"/>
        </w:rPr>
        <w:t xml:space="preserve"> </w:t>
      </w:r>
    </w:p>
    <w:p w14:paraId="54F2BFEF" w14:textId="77777777" w:rsidR="00F00400" w:rsidRPr="003E01AE" w:rsidRDefault="006E3416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E01AE">
        <w:rPr>
          <w:rFonts w:ascii="Arial" w:eastAsia="Times New Roman" w:hAnsi="Arial" w:cs="Arial"/>
        </w:rPr>
        <w:t xml:space="preserve">Please provide responses </w:t>
      </w:r>
      <w:r w:rsidRPr="003E01AE">
        <w:rPr>
          <w:rFonts w:ascii="Arial" w:eastAsia="Times New Roman" w:hAnsi="Arial" w:cs="Arial"/>
          <w:b/>
          <w:bCs/>
          <w:u w:val="single"/>
        </w:rPr>
        <w:t>within this Word document</w:t>
      </w:r>
      <w:r w:rsidRPr="003E01AE">
        <w:rPr>
          <w:rFonts w:ascii="Arial" w:eastAsia="Times New Roman" w:hAnsi="Arial" w:cs="Arial"/>
          <w:b/>
          <w:bCs/>
        </w:rPr>
        <w:t>.</w:t>
      </w:r>
    </w:p>
    <w:p w14:paraId="7FBA1EAB" w14:textId="77777777" w:rsidR="0099261B" w:rsidRPr="003E01AE" w:rsidRDefault="00252909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3E01AE">
        <w:rPr>
          <w:rFonts w:ascii="Arial" w:eastAsia="Times New Roman" w:hAnsi="Arial" w:cs="Arial"/>
        </w:rPr>
        <w:t xml:space="preserve">The </w:t>
      </w:r>
      <w:r w:rsidR="0099261B" w:rsidRPr="003E01AE">
        <w:rPr>
          <w:rFonts w:ascii="Arial" w:eastAsia="Times New Roman" w:hAnsi="Arial" w:cs="Arial"/>
        </w:rPr>
        <w:t>SAG Facilitator will organize</w:t>
      </w:r>
      <w:r w:rsidR="00B06525" w:rsidRPr="003E01AE">
        <w:rPr>
          <w:rFonts w:ascii="Arial" w:eastAsia="Times New Roman" w:hAnsi="Arial" w:cs="Arial"/>
        </w:rPr>
        <w:t xml:space="preserve"> responses to questions </w:t>
      </w:r>
      <w:r w:rsidR="00A82933" w:rsidRPr="003E01AE">
        <w:rPr>
          <w:rFonts w:ascii="Arial" w:eastAsia="Times New Roman" w:hAnsi="Arial" w:cs="Arial"/>
        </w:rPr>
        <w:t xml:space="preserve">and circulate </w:t>
      </w:r>
      <w:r w:rsidR="00603927" w:rsidRPr="003E01AE">
        <w:rPr>
          <w:rFonts w:ascii="Arial" w:eastAsia="Times New Roman" w:hAnsi="Arial" w:cs="Arial"/>
        </w:rPr>
        <w:t>in advance of</w:t>
      </w:r>
      <w:r w:rsidR="00B06525" w:rsidRPr="003E01AE">
        <w:rPr>
          <w:rFonts w:ascii="Arial" w:eastAsia="Times New Roman" w:hAnsi="Arial" w:cs="Arial"/>
        </w:rPr>
        <w:t xml:space="preserve"> Meeting #</w:t>
      </w:r>
      <w:r w:rsidR="00894A47" w:rsidRPr="003E01AE">
        <w:rPr>
          <w:rFonts w:ascii="Arial" w:eastAsia="Times New Roman" w:hAnsi="Arial" w:cs="Arial"/>
        </w:rPr>
        <w:t>6</w:t>
      </w:r>
      <w:r w:rsidR="00510A7B" w:rsidRPr="003E01AE">
        <w:rPr>
          <w:rFonts w:ascii="Arial" w:eastAsia="Times New Roman" w:hAnsi="Arial" w:cs="Arial"/>
        </w:rPr>
        <w:t xml:space="preserve">, scheduled on </w:t>
      </w:r>
      <w:r w:rsidR="00894A47" w:rsidRPr="003E01AE">
        <w:rPr>
          <w:rFonts w:ascii="Arial" w:eastAsia="Times New Roman" w:hAnsi="Arial" w:cs="Arial"/>
        </w:rPr>
        <w:t>Thursday, July 15</w:t>
      </w:r>
      <w:r w:rsidR="006E3416" w:rsidRPr="003E01AE">
        <w:rPr>
          <w:rFonts w:ascii="Arial" w:eastAsia="Times New Roman" w:hAnsi="Arial" w:cs="Arial"/>
        </w:rPr>
        <w:t>.</w:t>
      </w:r>
    </w:p>
    <w:p w14:paraId="22378713" w14:textId="77777777" w:rsidR="004D0F2F" w:rsidRPr="003E01AE" w:rsidRDefault="004D0F2F" w:rsidP="00D66F07">
      <w:pPr>
        <w:spacing w:after="0" w:line="240" w:lineRule="auto"/>
        <w:rPr>
          <w:rFonts w:ascii="Arial" w:hAnsi="Arial" w:cs="Arial"/>
        </w:rPr>
      </w:pPr>
    </w:p>
    <w:p w14:paraId="4745AE9B" w14:textId="77777777" w:rsidR="008C2D0A" w:rsidRPr="003E01AE" w:rsidRDefault="008C2D0A" w:rsidP="00D66F0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3E01AE">
        <w:rPr>
          <w:rFonts w:ascii="Arial" w:hAnsi="Arial" w:cs="Arial"/>
          <w:b/>
          <w:bCs/>
          <w:u w:val="single"/>
        </w:rPr>
        <w:t>Policy Questions</w:t>
      </w:r>
      <w:r w:rsidR="00FA42D4">
        <w:rPr>
          <w:rFonts w:ascii="Arial" w:hAnsi="Arial" w:cs="Arial"/>
          <w:b/>
          <w:bCs/>
          <w:u w:val="single"/>
        </w:rPr>
        <w:t xml:space="preserve"> for Discussion During July 15 Meeting</w:t>
      </w:r>
    </w:p>
    <w:p w14:paraId="57484DD1" w14:textId="77777777" w:rsidR="008B2FE3" w:rsidRPr="003E01AE" w:rsidRDefault="008B2FE3" w:rsidP="00D66F07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BDE3F25" w14:textId="77777777" w:rsidR="00EF3A21" w:rsidRPr="003E01AE" w:rsidRDefault="008554FB" w:rsidP="002D271D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 xml:space="preserve">Are savings constrained by the 10% limit in (b)25? </w:t>
      </w:r>
    </w:p>
    <w:p w14:paraId="6829175A" w14:textId="77777777" w:rsidR="008554FB" w:rsidRPr="003E01AE" w:rsidRDefault="008554FB" w:rsidP="00EF3A21">
      <w:pPr>
        <w:pStyle w:val="ListParagraph"/>
        <w:numPr>
          <w:ilvl w:val="2"/>
          <w:numId w:val="8"/>
        </w:numPr>
        <w:spacing w:after="0" w:line="240" w:lineRule="auto"/>
        <w:ind w:left="1224"/>
        <w:rPr>
          <w:rFonts w:ascii="Arial" w:hAnsi="Arial" w:cs="Arial"/>
        </w:rPr>
      </w:pPr>
      <w:r w:rsidRPr="003E01AE">
        <w:rPr>
          <w:rFonts w:ascii="Arial" w:hAnsi="Arial" w:cs="Arial"/>
        </w:rPr>
        <w:t>Should discussion of this issue be paused due to pending energy bill?</w:t>
      </w:r>
      <w:r w:rsidR="003E01AE" w:rsidRPr="003E01AE">
        <w:rPr>
          <w:rFonts w:ascii="Arial" w:hAnsi="Arial" w:cs="Arial"/>
        </w:rPr>
        <w:t xml:space="preserve"> </w:t>
      </w:r>
      <w:r w:rsidR="003E01AE" w:rsidRPr="003E01AE">
        <w:rPr>
          <w:rFonts w:ascii="Arial" w:hAnsi="Arial" w:cs="Arial"/>
          <w:i/>
          <w:iCs/>
        </w:rPr>
        <w:t>Note: “Pausing” means keeping as a source calculation (current IL-TRM).</w:t>
      </w:r>
    </w:p>
    <w:p w14:paraId="0B71B848" w14:textId="77777777" w:rsidR="00F531CA" w:rsidRPr="005A3FF1" w:rsidRDefault="005A3FF1" w:rsidP="00F531CA">
      <w:pPr>
        <w:pStyle w:val="ListParagraph"/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Discussion of this issue should be paused due to pending legislation.</w:t>
      </w:r>
    </w:p>
    <w:p w14:paraId="24B75ACE" w14:textId="77777777" w:rsidR="00F531CA" w:rsidRDefault="00F531CA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2923509A" w14:textId="77777777" w:rsidR="008554FB" w:rsidRPr="003E01AE" w:rsidRDefault="008554FB" w:rsidP="002D271D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>Should eligibility be constrained to measures that provide customers monetary savings (either bill savings or total lifecycle cost savings)?</w:t>
      </w:r>
    </w:p>
    <w:p w14:paraId="4AD7ED86" w14:textId="77777777" w:rsidR="00F531CA" w:rsidRPr="00141E89" w:rsidRDefault="00141E89" w:rsidP="00F531CA">
      <w:pPr>
        <w:pStyle w:val="ListParagraph"/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Yes. </w:t>
      </w:r>
    </w:p>
    <w:p w14:paraId="58C015C1" w14:textId="77777777" w:rsidR="00F531CA" w:rsidRDefault="00F531CA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5C0F726A" w14:textId="77777777" w:rsidR="000F6B95" w:rsidRDefault="008554FB" w:rsidP="000F6B95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>Can the gas utilities claim kWh equivalent savings?</w:t>
      </w:r>
    </w:p>
    <w:p w14:paraId="57A53C86" w14:textId="77777777" w:rsidR="001C25A2" w:rsidRDefault="00F309D3" w:rsidP="00141E89">
      <w:pPr>
        <w:pStyle w:val="ListParagraph"/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Yes, but only from measures that pass the source energy savings test.</w:t>
      </w:r>
      <w:r w:rsidR="00BA567C">
        <w:rPr>
          <w:rFonts w:ascii="Arial" w:hAnsi="Arial" w:cs="Arial"/>
          <w:color w:val="4472C4" w:themeColor="accent1"/>
        </w:rPr>
        <w:t xml:space="preserve">  </w:t>
      </w:r>
    </w:p>
    <w:p w14:paraId="790FCFB8" w14:textId="77777777" w:rsidR="001C25A2" w:rsidRDefault="001C25A2" w:rsidP="00141E89">
      <w:pPr>
        <w:pStyle w:val="ListParagraph"/>
        <w:spacing w:after="0" w:line="240" w:lineRule="auto"/>
        <w:rPr>
          <w:rFonts w:ascii="Arial" w:hAnsi="Arial" w:cs="Arial"/>
          <w:color w:val="4472C4" w:themeColor="accent1"/>
        </w:rPr>
      </w:pPr>
    </w:p>
    <w:p w14:paraId="6EA0CD63" w14:textId="77777777" w:rsidR="00141E89" w:rsidRDefault="00FC62A8" w:rsidP="00141E89">
      <w:pPr>
        <w:pStyle w:val="ListParagraph"/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A</w:t>
      </w:r>
      <w:r w:rsidR="001C25A2">
        <w:rPr>
          <w:rFonts w:ascii="Arial" w:hAnsi="Arial" w:cs="Arial"/>
          <w:color w:val="4472C4" w:themeColor="accent1"/>
        </w:rPr>
        <w:t xml:space="preserve"> qualifying gas measure needs to reduce the amount of energy required to achieve a given end use</w:t>
      </w:r>
      <w:r>
        <w:rPr>
          <w:rFonts w:ascii="Arial" w:hAnsi="Arial" w:cs="Arial"/>
          <w:color w:val="4472C4" w:themeColor="accent1"/>
        </w:rPr>
        <w:t xml:space="preserve"> (IL Attorney General’s Office’s June 17, 2021 memo; final paragraph, page 4)</w:t>
      </w:r>
      <w:r w:rsidR="001C25A2">
        <w:rPr>
          <w:rFonts w:ascii="Arial" w:hAnsi="Arial" w:cs="Arial"/>
          <w:color w:val="4472C4" w:themeColor="accent1"/>
        </w:rPr>
        <w:t xml:space="preserve">.  </w:t>
      </w:r>
      <w:r>
        <w:rPr>
          <w:rFonts w:ascii="Arial" w:hAnsi="Arial" w:cs="Arial"/>
          <w:color w:val="4472C4" w:themeColor="accent1"/>
        </w:rPr>
        <w:t>Determining</w:t>
      </w:r>
      <w:r w:rsidR="001C25A2">
        <w:rPr>
          <w:rFonts w:ascii="Arial" w:hAnsi="Arial" w:cs="Arial"/>
          <w:color w:val="4472C4" w:themeColor="accent1"/>
        </w:rPr>
        <w:t xml:space="preserve"> </w:t>
      </w:r>
      <w:r>
        <w:rPr>
          <w:rFonts w:ascii="Arial" w:hAnsi="Arial" w:cs="Arial"/>
          <w:color w:val="4472C4" w:themeColor="accent1"/>
        </w:rPr>
        <w:t>whether</w:t>
      </w:r>
      <w:r w:rsidR="00134EDD">
        <w:rPr>
          <w:rFonts w:ascii="Arial" w:hAnsi="Arial" w:cs="Arial"/>
          <w:color w:val="4472C4" w:themeColor="accent1"/>
        </w:rPr>
        <w:t xml:space="preserve"> a measure “reduces</w:t>
      </w:r>
      <w:r w:rsidR="001C25A2">
        <w:rPr>
          <w:rFonts w:ascii="Arial" w:hAnsi="Arial" w:cs="Arial"/>
          <w:color w:val="4472C4" w:themeColor="accent1"/>
        </w:rPr>
        <w:t xml:space="preserve"> the energy required to achieve an end use</w:t>
      </w:r>
      <w:r w:rsidR="00134EDD">
        <w:rPr>
          <w:rFonts w:ascii="Arial" w:hAnsi="Arial" w:cs="Arial"/>
          <w:color w:val="4472C4" w:themeColor="accent1"/>
        </w:rPr>
        <w:t>” should be determined using the source energy savings test.</w:t>
      </w:r>
    </w:p>
    <w:p w14:paraId="29F43F6F" w14:textId="77777777" w:rsidR="00141E89" w:rsidRPr="00141E89" w:rsidRDefault="00141E89" w:rsidP="00141E89">
      <w:pPr>
        <w:pStyle w:val="ListParagraph"/>
        <w:spacing w:after="0" w:line="240" w:lineRule="auto"/>
        <w:rPr>
          <w:rFonts w:ascii="Arial" w:hAnsi="Arial" w:cs="Arial"/>
          <w:color w:val="4472C4" w:themeColor="accent1"/>
        </w:rPr>
      </w:pPr>
    </w:p>
    <w:p w14:paraId="1A325187" w14:textId="77777777" w:rsidR="008554FB" w:rsidRPr="003E01AE" w:rsidRDefault="008554FB" w:rsidP="00EF3A21">
      <w:pPr>
        <w:pStyle w:val="ListParagraph"/>
        <w:numPr>
          <w:ilvl w:val="1"/>
          <w:numId w:val="6"/>
        </w:numPr>
        <w:spacing w:after="0" w:line="240" w:lineRule="auto"/>
        <w:ind w:left="1224"/>
        <w:rPr>
          <w:rFonts w:ascii="Arial" w:hAnsi="Arial" w:cs="Arial"/>
        </w:rPr>
      </w:pPr>
      <w:r w:rsidRPr="003E01AE">
        <w:rPr>
          <w:rFonts w:ascii="Arial" w:hAnsi="Arial" w:cs="Arial"/>
        </w:rPr>
        <w:t>Evaluation consideration: If SAG decides that gas conversion is allowed for fuel switching measures, can the same be allowed for other measures that have both fuel components?</w:t>
      </w:r>
    </w:p>
    <w:p w14:paraId="176E7778" w14:textId="77777777" w:rsidR="00F531CA" w:rsidRPr="00141E89" w:rsidRDefault="00B43790" w:rsidP="00F531CA">
      <w:pPr>
        <w:pStyle w:val="ListParagraph"/>
        <w:spacing w:after="0" w:line="240" w:lineRule="auto"/>
        <w:rPr>
          <w:rFonts w:ascii="Arial" w:hAnsi="Arial" w:cs="Arial"/>
          <w:color w:val="4472C4" w:themeColor="accent1"/>
        </w:rPr>
      </w:pPr>
      <w:bookmarkStart w:id="0" w:name="_Hlk75518708"/>
      <w:r>
        <w:rPr>
          <w:rFonts w:ascii="Arial" w:hAnsi="Arial" w:cs="Arial"/>
          <w:color w:val="4472C4" w:themeColor="accent1"/>
        </w:rPr>
        <w:t>Yes, because mea</w:t>
      </w:r>
      <w:r w:rsidR="00F309D3">
        <w:rPr>
          <w:rFonts w:ascii="Arial" w:hAnsi="Arial" w:cs="Arial"/>
          <w:color w:val="4472C4" w:themeColor="accent1"/>
        </w:rPr>
        <w:t>sure</w:t>
      </w:r>
      <w:r w:rsidR="00BA567C">
        <w:rPr>
          <w:rFonts w:ascii="Arial" w:hAnsi="Arial" w:cs="Arial"/>
          <w:color w:val="4472C4" w:themeColor="accent1"/>
        </w:rPr>
        <w:t>s</w:t>
      </w:r>
      <w:r w:rsidR="00F309D3">
        <w:rPr>
          <w:rFonts w:ascii="Arial" w:hAnsi="Arial" w:cs="Arial"/>
          <w:color w:val="4472C4" w:themeColor="accent1"/>
        </w:rPr>
        <w:t xml:space="preserve"> </w:t>
      </w:r>
      <w:r w:rsidR="00BA567C">
        <w:rPr>
          <w:rFonts w:ascii="Arial" w:hAnsi="Arial" w:cs="Arial"/>
          <w:color w:val="4472C4" w:themeColor="accent1"/>
        </w:rPr>
        <w:t>that save both electricity and natural gas and do not increase consumption of other fuel</w:t>
      </w:r>
      <w:r>
        <w:rPr>
          <w:rFonts w:ascii="Arial" w:hAnsi="Arial" w:cs="Arial"/>
          <w:color w:val="4472C4" w:themeColor="accent1"/>
        </w:rPr>
        <w:t>s</w:t>
      </w:r>
      <w:r w:rsidR="00BA567C">
        <w:rPr>
          <w:rFonts w:ascii="Arial" w:hAnsi="Arial" w:cs="Arial"/>
          <w:color w:val="4472C4" w:themeColor="accent1"/>
        </w:rPr>
        <w:t xml:space="preserve"> </w:t>
      </w:r>
      <w:r>
        <w:rPr>
          <w:rFonts w:ascii="Arial" w:hAnsi="Arial" w:cs="Arial"/>
          <w:color w:val="4472C4" w:themeColor="accent1"/>
        </w:rPr>
        <w:t xml:space="preserve">will always </w:t>
      </w:r>
      <w:r w:rsidR="00BA567C">
        <w:rPr>
          <w:rFonts w:ascii="Arial" w:hAnsi="Arial" w:cs="Arial"/>
          <w:color w:val="4472C4" w:themeColor="accent1"/>
        </w:rPr>
        <w:t>pass the source energy savings test</w:t>
      </w:r>
      <w:r>
        <w:rPr>
          <w:rFonts w:ascii="Arial" w:hAnsi="Arial" w:cs="Arial"/>
          <w:color w:val="4472C4" w:themeColor="accent1"/>
        </w:rPr>
        <w:t xml:space="preserve"> and are therefore eligible.</w:t>
      </w:r>
      <w:r w:rsidR="00134EDD">
        <w:rPr>
          <w:rFonts w:ascii="Arial" w:hAnsi="Arial" w:cs="Arial"/>
          <w:color w:val="4472C4" w:themeColor="accent1"/>
        </w:rPr>
        <w:t xml:space="preserve"> (i.e. insulation, air sealing, advanced </w:t>
      </w:r>
      <w:proofErr w:type="gramStart"/>
      <w:r w:rsidR="00134EDD">
        <w:rPr>
          <w:rFonts w:ascii="Arial" w:hAnsi="Arial" w:cs="Arial"/>
          <w:color w:val="4472C4" w:themeColor="accent1"/>
        </w:rPr>
        <w:t>thermostats,…</w:t>
      </w:r>
      <w:proofErr w:type="gramEnd"/>
      <w:r w:rsidR="00134EDD">
        <w:rPr>
          <w:rFonts w:ascii="Arial" w:hAnsi="Arial" w:cs="Arial"/>
          <w:color w:val="4472C4" w:themeColor="accent1"/>
        </w:rPr>
        <w:t>)</w:t>
      </w:r>
      <w:r w:rsidR="00BA567C">
        <w:rPr>
          <w:rFonts w:ascii="Arial" w:hAnsi="Arial" w:cs="Arial"/>
          <w:color w:val="4472C4" w:themeColor="accent1"/>
        </w:rPr>
        <w:t>.</w:t>
      </w:r>
    </w:p>
    <w:p w14:paraId="03E9FEC1" w14:textId="77777777" w:rsidR="00F531CA" w:rsidRDefault="00F531CA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42DEE284" w14:textId="77777777" w:rsidR="00B655D6" w:rsidRDefault="00B655D6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7BA4C8D4" w14:textId="77777777" w:rsidR="00B655D6" w:rsidRDefault="00B655D6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7BB955E9" w14:textId="77777777" w:rsidR="00B655D6" w:rsidRDefault="00B655D6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1021D73D" w14:textId="77777777" w:rsidR="00B655D6" w:rsidRDefault="00B655D6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7D4B01EB" w14:textId="77777777" w:rsidR="00B655D6" w:rsidRDefault="00B655D6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41958E81" w14:textId="77777777" w:rsidR="00B655D6" w:rsidRDefault="00B655D6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2188C7B4" w14:textId="77777777" w:rsidR="00B655D6" w:rsidRDefault="00B655D6" w:rsidP="00F531CA">
      <w:pPr>
        <w:pStyle w:val="ListParagraph"/>
        <w:spacing w:after="0" w:line="240" w:lineRule="auto"/>
        <w:rPr>
          <w:rFonts w:ascii="Arial" w:hAnsi="Arial" w:cs="Arial"/>
        </w:rPr>
      </w:pPr>
    </w:p>
    <w:p w14:paraId="1761F9E4" w14:textId="77777777" w:rsidR="00E50E25" w:rsidRPr="00141E89" w:rsidRDefault="008554FB" w:rsidP="00164E62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</w:rPr>
      </w:pPr>
      <w:r w:rsidRPr="003E01AE">
        <w:rPr>
          <w:rFonts w:ascii="Arial" w:hAnsi="Arial" w:cs="Arial"/>
        </w:rPr>
        <w:t xml:space="preserve">If proposed legislation </w:t>
      </w:r>
      <w:r w:rsidR="0003456E" w:rsidRPr="003E01AE">
        <w:rPr>
          <w:rFonts w:ascii="Arial" w:hAnsi="Arial" w:cs="Arial"/>
        </w:rPr>
        <w:t>that adopts a site conversion for fuel switching in the electric EE statute is passed</w:t>
      </w:r>
      <w:r w:rsidRPr="003E01AE">
        <w:rPr>
          <w:rFonts w:ascii="Arial" w:hAnsi="Arial" w:cs="Arial"/>
        </w:rPr>
        <w:t>, should CHP also be calculated at site</w:t>
      </w:r>
      <w:r w:rsidR="0003456E" w:rsidRPr="003E01AE">
        <w:rPr>
          <w:rFonts w:ascii="Arial" w:hAnsi="Arial" w:cs="Arial"/>
        </w:rPr>
        <w:t xml:space="preserve"> for consistency</w:t>
      </w:r>
      <w:r w:rsidRPr="003E01AE">
        <w:rPr>
          <w:rFonts w:ascii="Arial" w:hAnsi="Arial" w:cs="Arial"/>
        </w:rPr>
        <w:t xml:space="preserve">? </w:t>
      </w:r>
      <w:r w:rsidR="004E2804" w:rsidRPr="004E2804">
        <w:rPr>
          <w:rFonts w:ascii="Arial" w:hAnsi="Arial" w:cs="Arial"/>
          <w:i/>
          <w:iCs/>
        </w:rPr>
        <w:t xml:space="preserve">Note: </w:t>
      </w:r>
      <w:r w:rsidRPr="004E2804">
        <w:rPr>
          <w:rFonts w:ascii="Arial" w:hAnsi="Arial" w:cs="Arial"/>
          <w:i/>
          <w:iCs/>
        </w:rPr>
        <w:t>Question raised by ICC Staff</w:t>
      </w:r>
      <w:r w:rsidR="00586889" w:rsidRPr="004E2804">
        <w:rPr>
          <w:rFonts w:ascii="Arial" w:hAnsi="Arial" w:cs="Arial"/>
          <w:i/>
          <w:iCs/>
        </w:rPr>
        <w:t xml:space="preserve"> after 6/21 meeting</w:t>
      </w:r>
      <w:r w:rsidR="004E2804" w:rsidRPr="004E2804">
        <w:rPr>
          <w:rFonts w:ascii="Arial" w:hAnsi="Arial" w:cs="Arial"/>
          <w:i/>
          <w:iCs/>
        </w:rPr>
        <w:t>.</w:t>
      </w:r>
    </w:p>
    <w:p w14:paraId="24BC6DD5" w14:textId="77777777" w:rsidR="005A3FF1" w:rsidRDefault="00293566" w:rsidP="00141E89">
      <w:pPr>
        <w:pStyle w:val="ListParagraph"/>
        <w:spacing w:after="0" w:line="240" w:lineRule="auto"/>
        <w:rPr>
          <w:rFonts w:ascii="Arial" w:hAnsi="Arial" w:cs="Arial"/>
          <w:iCs/>
          <w:color w:val="4472C4" w:themeColor="accent1"/>
        </w:rPr>
      </w:pPr>
      <w:r>
        <w:rPr>
          <w:rFonts w:ascii="Arial" w:hAnsi="Arial" w:cs="Arial"/>
          <w:iCs/>
          <w:color w:val="4472C4" w:themeColor="accent1"/>
        </w:rPr>
        <w:t xml:space="preserve">No. </w:t>
      </w:r>
      <w:r w:rsidR="005A3FF1">
        <w:rPr>
          <w:rFonts w:ascii="Arial" w:hAnsi="Arial" w:cs="Arial"/>
          <w:iCs/>
          <w:color w:val="4472C4" w:themeColor="accent1"/>
        </w:rPr>
        <w:t>It would be inconsistent to treat CHP the same way</w:t>
      </w:r>
      <w:r w:rsidR="00B27F7E">
        <w:rPr>
          <w:rFonts w:ascii="Arial" w:hAnsi="Arial" w:cs="Arial"/>
          <w:iCs/>
          <w:color w:val="4472C4" w:themeColor="accent1"/>
        </w:rPr>
        <w:t xml:space="preserve"> as a space heating fuel switch because </w:t>
      </w:r>
      <w:r w:rsidR="000374A1">
        <w:rPr>
          <w:rFonts w:ascii="Arial" w:hAnsi="Arial" w:cs="Arial"/>
          <w:iCs/>
          <w:color w:val="4472C4" w:themeColor="accent1"/>
        </w:rPr>
        <w:t xml:space="preserve">CHP is </w:t>
      </w:r>
      <w:r w:rsidR="00B27F7E">
        <w:rPr>
          <w:rFonts w:ascii="Arial" w:hAnsi="Arial" w:cs="Arial"/>
          <w:iCs/>
          <w:color w:val="4472C4" w:themeColor="accent1"/>
        </w:rPr>
        <w:t>not a fuel switch fr</w:t>
      </w:r>
      <w:r>
        <w:rPr>
          <w:rFonts w:ascii="Arial" w:hAnsi="Arial" w:cs="Arial"/>
          <w:iCs/>
          <w:color w:val="4472C4" w:themeColor="accent1"/>
        </w:rPr>
        <w:t xml:space="preserve">om electricity to natural gas. CHP systems are </w:t>
      </w:r>
      <w:r w:rsidR="000374A1">
        <w:rPr>
          <w:rFonts w:ascii="Arial" w:hAnsi="Arial" w:cs="Arial"/>
          <w:iCs/>
          <w:color w:val="4472C4" w:themeColor="accent1"/>
        </w:rPr>
        <w:t xml:space="preserve">a form of distributed generation that </w:t>
      </w:r>
      <w:r w:rsidR="001272C2">
        <w:rPr>
          <w:rFonts w:ascii="Arial" w:hAnsi="Arial" w:cs="Arial"/>
          <w:iCs/>
          <w:color w:val="4472C4" w:themeColor="accent1"/>
        </w:rPr>
        <w:t>i</w:t>
      </w:r>
      <w:r>
        <w:rPr>
          <w:rFonts w:ascii="Arial" w:hAnsi="Arial" w:cs="Arial"/>
          <w:iCs/>
          <w:color w:val="4472C4" w:themeColor="accent1"/>
        </w:rPr>
        <w:t>mprove</w:t>
      </w:r>
      <w:r w:rsidR="000374A1">
        <w:rPr>
          <w:rFonts w:ascii="Arial" w:hAnsi="Arial" w:cs="Arial"/>
          <w:iCs/>
          <w:color w:val="4472C4" w:themeColor="accent1"/>
        </w:rPr>
        <w:t xml:space="preserve"> energy efficiency in two ways:</w:t>
      </w:r>
    </w:p>
    <w:p w14:paraId="6BCE3B39" w14:textId="77777777" w:rsidR="00293566" w:rsidRDefault="00293566" w:rsidP="000374A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color w:val="4472C4" w:themeColor="accent1"/>
        </w:rPr>
      </w:pPr>
      <w:r>
        <w:rPr>
          <w:rFonts w:ascii="Arial" w:hAnsi="Arial" w:cs="Arial"/>
          <w:iCs/>
          <w:color w:val="4472C4" w:themeColor="accent1"/>
        </w:rPr>
        <w:t xml:space="preserve">CHP systems eliminate the transmission and distribution losses of the electric grid by locating </w:t>
      </w:r>
      <w:r w:rsidR="00B43790">
        <w:rPr>
          <w:rFonts w:ascii="Arial" w:hAnsi="Arial" w:cs="Arial"/>
          <w:iCs/>
          <w:color w:val="4472C4" w:themeColor="accent1"/>
        </w:rPr>
        <w:t>electricity</w:t>
      </w:r>
      <w:r>
        <w:rPr>
          <w:rFonts w:ascii="Arial" w:hAnsi="Arial" w:cs="Arial"/>
          <w:iCs/>
          <w:color w:val="4472C4" w:themeColor="accent1"/>
        </w:rPr>
        <w:t xml:space="preserve"> generation on-site.</w:t>
      </w:r>
    </w:p>
    <w:p w14:paraId="61C2F869" w14:textId="77777777" w:rsidR="00164E62" w:rsidRDefault="00293566" w:rsidP="00545FA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iCs/>
          <w:color w:val="4472C4" w:themeColor="accent1"/>
        </w:rPr>
      </w:pPr>
      <w:r>
        <w:rPr>
          <w:rFonts w:ascii="Arial" w:hAnsi="Arial" w:cs="Arial"/>
          <w:iCs/>
          <w:color w:val="4472C4" w:themeColor="accent1"/>
        </w:rPr>
        <w:lastRenderedPageBreak/>
        <w:t xml:space="preserve">CHP systems recover heat that is normally lost in the </w:t>
      </w:r>
      <w:r w:rsidR="00B43790">
        <w:rPr>
          <w:rFonts w:ascii="Arial" w:hAnsi="Arial" w:cs="Arial"/>
          <w:iCs/>
          <w:color w:val="4472C4" w:themeColor="accent1"/>
        </w:rPr>
        <w:t xml:space="preserve">electricity </w:t>
      </w:r>
      <w:r>
        <w:rPr>
          <w:rFonts w:ascii="Arial" w:hAnsi="Arial" w:cs="Arial"/>
          <w:iCs/>
          <w:color w:val="4472C4" w:themeColor="accent1"/>
        </w:rPr>
        <w:t>generation process and use it to offset heating demands</w:t>
      </w:r>
      <w:bookmarkEnd w:id="0"/>
      <w:r w:rsidR="00FF6E75">
        <w:rPr>
          <w:rFonts w:ascii="Arial" w:hAnsi="Arial" w:cs="Arial"/>
          <w:iCs/>
          <w:color w:val="4472C4" w:themeColor="accent1"/>
        </w:rPr>
        <w:t>, thereby reducing the amount of gas consumed for heating.</w:t>
      </w:r>
    </w:p>
    <w:p w14:paraId="0FC0B3FB" w14:textId="77777777" w:rsidR="00FF6E75" w:rsidRDefault="00FF6E75" w:rsidP="00FF6E75">
      <w:pPr>
        <w:spacing w:after="0" w:line="240" w:lineRule="auto"/>
        <w:ind w:left="720"/>
        <w:rPr>
          <w:rFonts w:ascii="Arial" w:hAnsi="Arial" w:cs="Arial"/>
          <w:iCs/>
          <w:color w:val="4472C4" w:themeColor="accent1"/>
        </w:rPr>
      </w:pPr>
    </w:p>
    <w:p w14:paraId="6EC563DF" w14:textId="77777777" w:rsidR="000374A1" w:rsidRPr="00545FAC" w:rsidRDefault="00627DA7" w:rsidP="005074D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Cs/>
          <w:color w:val="4472C4" w:themeColor="accent1"/>
        </w:rPr>
        <w:t>A CHP system must deliver total net energy savings to qualify as an energy efficiency measure.  The IL TRM has been using pre</w:t>
      </w:r>
      <w:r w:rsidR="00FC62A8">
        <w:rPr>
          <w:rFonts w:ascii="Arial" w:hAnsi="Arial" w:cs="Arial"/>
          <w:iCs/>
          <w:color w:val="4472C4" w:themeColor="accent1"/>
        </w:rPr>
        <w:t>-</w:t>
      </w:r>
      <w:r>
        <w:rPr>
          <w:rFonts w:ascii="Arial" w:hAnsi="Arial" w:cs="Arial"/>
          <w:iCs/>
          <w:color w:val="4472C4" w:themeColor="accent1"/>
        </w:rPr>
        <w:t xml:space="preserve"> and post</w:t>
      </w:r>
      <w:r w:rsidR="00FC62A8">
        <w:rPr>
          <w:rFonts w:ascii="Arial" w:hAnsi="Arial" w:cs="Arial"/>
          <w:iCs/>
          <w:color w:val="4472C4" w:themeColor="accent1"/>
        </w:rPr>
        <w:t>-</w:t>
      </w:r>
      <w:r>
        <w:rPr>
          <w:rFonts w:ascii="Arial" w:hAnsi="Arial" w:cs="Arial"/>
          <w:iCs/>
          <w:color w:val="4472C4" w:themeColor="accent1"/>
        </w:rPr>
        <w:t>installation source energy consumption estimates to qualify CHP systems since the measure was first added to the IL TRM.  We support continuing this practice.</w:t>
      </w:r>
    </w:p>
    <w:sectPr w:rsidR="000374A1" w:rsidRPr="00545FAC" w:rsidSect="005074DB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227D" w14:textId="77777777" w:rsidR="00135B29" w:rsidRDefault="00135B29" w:rsidP="00B212E9">
      <w:pPr>
        <w:spacing w:after="0" w:line="240" w:lineRule="auto"/>
      </w:pPr>
      <w:r>
        <w:separator/>
      </w:r>
    </w:p>
  </w:endnote>
  <w:endnote w:type="continuationSeparator" w:id="0">
    <w:p w14:paraId="3D554CAF" w14:textId="77777777" w:rsidR="00135B29" w:rsidRDefault="00135B29" w:rsidP="00B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00981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CE3A2" w14:textId="77777777" w:rsidR="00B212E9" w:rsidRPr="00B212E9" w:rsidRDefault="00B212E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12E9">
          <w:rPr>
            <w:rFonts w:ascii="Times New Roman" w:hAnsi="Times New Roman" w:cs="Times New Roman"/>
            <w:sz w:val="20"/>
            <w:szCs w:val="20"/>
          </w:rPr>
          <w:t xml:space="preserve">SAG Fuel Conversion Policy Questions, Page </w: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12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0B5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4758928" w14:textId="77777777" w:rsidR="00B212E9" w:rsidRDefault="00B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4AFD" w14:textId="77777777" w:rsidR="00135B29" w:rsidRDefault="00135B29" w:rsidP="00B212E9">
      <w:pPr>
        <w:spacing w:after="0" w:line="240" w:lineRule="auto"/>
      </w:pPr>
      <w:r>
        <w:separator/>
      </w:r>
    </w:p>
  </w:footnote>
  <w:footnote w:type="continuationSeparator" w:id="0">
    <w:p w14:paraId="7268EAD2" w14:textId="77777777" w:rsidR="00135B29" w:rsidRDefault="00135B29" w:rsidP="00B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AE"/>
    <w:multiLevelType w:val="hybridMultilevel"/>
    <w:tmpl w:val="928C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5920"/>
    <w:multiLevelType w:val="hybridMultilevel"/>
    <w:tmpl w:val="B7F8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0516"/>
    <w:multiLevelType w:val="hybridMultilevel"/>
    <w:tmpl w:val="741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303"/>
    <w:multiLevelType w:val="hybridMultilevel"/>
    <w:tmpl w:val="6234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26D58"/>
    <w:multiLevelType w:val="hybridMultilevel"/>
    <w:tmpl w:val="44BC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003A0"/>
    <w:multiLevelType w:val="hybridMultilevel"/>
    <w:tmpl w:val="7CD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22CA7"/>
    <w:multiLevelType w:val="hybridMultilevel"/>
    <w:tmpl w:val="6A6AD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39D8"/>
    <w:multiLevelType w:val="hybridMultilevel"/>
    <w:tmpl w:val="C978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771B4"/>
    <w:multiLevelType w:val="hybridMultilevel"/>
    <w:tmpl w:val="87FE9C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07"/>
    <w:rsid w:val="0003456E"/>
    <w:rsid w:val="000374A1"/>
    <w:rsid w:val="0004761A"/>
    <w:rsid w:val="00073CE7"/>
    <w:rsid w:val="00083C95"/>
    <w:rsid w:val="00097FF4"/>
    <w:rsid w:val="000D41C1"/>
    <w:rsid w:val="000F53AB"/>
    <w:rsid w:val="000F6B95"/>
    <w:rsid w:val="00110B56"/>
    <w:rsid w:val="001272C2"/>
    <w:rsid w:val="00130DB8"/>
    <w:rsid w:val="00134EDD"/>
    <w:rsid w:val="00135B29"/>
    <w:rsid w:val="00141E89"/>
    <w:rsid w:val="00164E62"/>
    <w:rsid w:val="001907D9"/>
    <w:rsid w:val="001C25A2"/>
    <w:rsid w:val="002144CD"/>
    <w:rsid w:val="0024342C"/>
    <w:rsid w:val="00246652"/>
    <w:rsid w:val="00252909"/>
    <w:rsid w:val="00274DC6"/>
    <w:rsid w:val="00293566"/>
    <w:rsid w:val="002C155E"/>
    <w:rsid w:val="002D271D"/>
    <w:rsid w:val="002E6D88"/>
    <w:rsid w:val="002F22CD"/>
    <w:rsid w:val="00300A5C"/>
    <w:rsid w:val="003230AC"/>
    <w:rsid w:val="003453FF"/>
    <w:rsid w:val="0034796A"/>
    <w:rsid w:val="003D0960"/>
    <w:rsid w:val="003E01AE"/>
    <w:rsid w:val="003F13BE"/>
    <w:rsid w:val="004069E8"/>
    <w:rsid w:val="004125DA"/>
    <w:rsid w:val="00430B34"/>
    <w:rsid w:val="00494675"/>
    <w:rsid w:val="00495EB9"/>
    <w:rsid w:val="004D0F2F"/>
    <w:rsid w:val="004D4ECB"/>
    <w:rsid w:val="004E2804"/>
    <w:rsid w:val="005074DB"/>
    <w:rsid w:val="00510473"/>
    <w:rsid w:val="00510A7B"/>
    <w:rsid w:val="00545FAC"/>
    <w:rsid w:val="00586889"/>
    <w:rsid w:val="00586DC2"/>
    <w:rsid w:val="005A3FF1"/>
    <w:rsid w:val="00603927"/>
    <w:rsid w:val="00605DEF"/>
    <w:rsid w:val="00606861"/>
    <w:rsid w:val="00627DA7"/>
    <w:rsid w:val="00673223"/>
    <w:rsid w:val="006913B9"/>
    <w:rsid w:val="006A22E0"/>
    <w:rsid w:val="006E3416"/>
    <w:rsid w:val="006E5EA3"/>
    <w:rsid w:val="00742244"/>
    <w:rsid w:val="00796793"/>
    <w:rsid w:val="007E50BB"/>
    <w:rsid w:val="007E5889"/>
    <w:rsid w:val="00844050"/>
    <w:rsid w:val="008554FB"/>
    <w:rsid w:val="00875C33"/>
    <w:rsid w:val="00890168"/>
    <w:rsid w:val="00894A47"/>
    <w:rsid w:val="008B2FE3"/>
    <w:rsid w:val="008C2D0A"/>
    <w:rsid w:val="008C34A8"/>
    <w:rsid w:val="008D7BEA"/>
    <w:rsid w:val="00903111"/>
    <w:rsid w:val="009419CA"/>
    <w:rsid w:val="00967540"/>
    <w:rsid w:val="009718B3"/>
    <w:rsid w:val="0099261B"/>
    <w:rsid w:val="009A59AD"/>
    <w:rsid w:val="009C1BC9"/>
    <w:rsid w:val="009D21D3"/>
    <w:rsid w:val="009D572E"/>
    <w:rsid w:val="00A01865"/>
    <w:rsid w:val="00A82933"/>
    <w:rsid w:val="00AD474B"/>
    <w:rsid w:val="00AF0D5F"/>
    <w:rsid w:val="00AF49F7"/>
    <w:rsid w:val="00B04474"/>
    <w:rsid w:val="00B06525"/>
    <w:rsid w:val="00B212E9"/>
    <w:rsid w:val="00B27F7E"/>
    <w:rsid w:val="00B43790"/>
    <w:rsid w:val="00B438CA"/>
    <w:rsid w:val="00B655D6"/>
    <w:rsid w:val="00B755C5"/>
    <w:rsid w:val="00BA567C"/>
    <w:rsid w:val="00BD2C9C"/>
    <w:rsid w:val="00BE5F61"/>
    <w:rsid w:val="00BF1B7E"/>
    <w:rsid w:val="00BF4AA9"/>
    <w:rsid w:val="00C226B0"/>
    <w:rsid w:val="00C3693B"/>
    <w:rsid w:val="00C63E0B"/>
    <w:rsid w:val="00C8009A"/>
    <w:rsid w:val="00C8125B"/>
    <w:rsid w:val="00C909EB"/>
    <w:rsid w:val="00CB2E6E"/>
    <w:rsid w:val="00CF650C"/>
    <w:rsid w:val="00D02196"/>
    <w:rsid w:val="00D03FBB"/>
    <w:rsid w:val="00D455C9"/>
    <w:rsid w:val="00D572A6"/>
    <w:rsid w:val="00D66F07"/>
    <w:rsid w:val="00D72492"/>
    <w:rsid w:val="00DB5B8F"/>
    <w:rsid w:val="00DB6330"/>
    <w:rsid w:val="00DC7A71"/>
    <w:rsid w:val="00E154D1"/>
    <w:rsid w:val="00E15AFF"/>
    <w:rsid w:val="00E25FFE"/>
    <w:rsid w:val="00E27657"/>
    <w:rsid w:val="00E41A22"/>
    <w:rsid w:val="00E730B1"/>
    <w:rsid w:val="00E970EF"/>
    <w:rsid w:val="00E97D5C"/>
    <w:rsid w:val="00EA2AE3"/>
    <w:rsid w:val="00EE3B9B"/>
    <w:rsid w:val="00EF3A21"/>
    <w:rsid w:val="00F00400"/>
    <w:rsid w:val="00F04EA2"/>
    <w:rsid w:val="00F07AEF"/>
    <w:rsid w:val="00F309D3"/>
    <w:rsid w:val="00F458DD"/>
    <w:rsid w:val="00F52B18"/>
    <w:rsid w:val="00F531CA"/>
    <w:rsid w:val="00FA42D4"/>
    <w:rsid w:val="00FA492E"/>
    <w:rsid w:val="00FC62A8"/>
    <w:rsid w:val="00FC674C"/>
    <w:rsid w:val="00FD4C28"/>
    <w:rsid w:val="00FE2155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0790"/>
  <w15:chartTrackingRefBased/>
  <w15:docId w15:val="{338BD8DB-ED0A-434A-BD85-676CA34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E9"/>
  </w:style>
  <w:style w:type="paragraph" w:styleId="Footer">
    <w:name w:val="footer"/>
    <w:basedOn w:val="Normal"/>
    <w:link w:val="Foot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E9"/>
  </w:style>
  <w:style w:type="paragraph" w:styleId="BalloonText">
    <w:name w:val="Balloon Text"/>
    <w:basedOn w:val="Normal"/>
    <w:link w:val="BalloonTextChar"/>
    <w:uiPriority w:val="99"/>
    <w:semiHidden/>
    <w:unhideWhenUsed/>
    <w:rsid w:val="009D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@CeliaJohnsonConsult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E8F4-9392-4702-84F8-2B3F7BE2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</cp:revision>
  <dcterms:created xsi:type="dcterms:W3CDTF">2021-07-12T13:31:00Z</dcterms:created>
  <dcterms:modified xsi:type="dcterms:W3CDTF">2021-07-12T13:31:00Z</dcterms:modified>
</cp:coreProperties>
</file>