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E987" w14:textId="77777777" w:rsidR="00317C1F" w:rsidRDefault="00317C1F" w:rsidP="00317C1F">
      <w:pPr>
        <w:jc w:val="center"/>
        <w:rPr>
          <w:b/>
          <w:bCs/>
          <w:sz w:val="32"/>
          <w:szCs w:val="32"/>
        </w:rPr>
      </w:pPr>
      <w:r w:rsidRPr="00344A28">
        <w:rPr>
          <w:b/>
          <w:bCs/>
          <w:sz w:val="32"/>
          <w:szCs w:val="32"/>
        </w:rPr>
        <w:t xml:space="preserve">Illinois Energy Efficiency Stakeholder Advisory Group Policy Manual </w:t>
      </w:r>
    </w:p>
    <w:p w14:paraId="6E5AC44B" w14:textId="77777777" w:rsidR="00317C1F" w:rsidRPr="001D1613" w:rsidRDefault="00317C1F" w:rsidP="00317C1F">
      <w:pPr>
        <w:jc w:val="center"/>
        <w:rPr>
          <w:b/>
          <w:bCs/>
          <w:i/>
          <w:iCs/>
          <w:sz w:val="32"/>
          <w:szCs w:val="32"/>
        </w:rPr>
      </w:pPr>
      <w:r w:rsidRPr="001D1613">
        <w:rPr>
          <w:b/>
          <w:bCs/>
          <w:i/>
          <w:iCs/>
          <w:sz w:val="32"/>
          <w:szCs w:val="32"/>
        </w:rPr>
        <w:t>Proposed Policy of Allowing RE Measures Under EE Programs</w:t>
      </w:r>
    </w:p>
    <w:p w14:paraId="2B2972F3" w14:textId="77777777" w:rsidR="00317C1F" w:rsidRDefault="00317C1F" w:rsidP="00317C1F">
      <w:pPr>
        <w:jc w:val="center"/>
        <w:rPr>
          <w:sz w:val="24"/>
          <w:szCs w:val="24"/>
        </w:rPr>
      </w:pPr>
      <w:r>
        <w:rPr>
          <w:sz w:val="24"/>
          <w:szCs w:val="24"/>
        </w:rPr>
        <w:t>2023-07-12</w:t>
      </w:r>
    </w:p>
    <w:p w14:paraId="702B97EF" w14:textId="77777777" w:rsidR="00317C1F" w:rsidRDefault="00317C1F" w:rsidP="00317C1F"/>
    <w:p w14:paraId="5370ACDA" w14:textId="77777777" w:rsidR="00317C1F" w:rsidRPr="000346FB" w:rsidRDefault="00317C1F" w:rsidP="00317C1F">
      <w:pPr>
        <w:rPr>
          <w:b/>
          <w:bCs/>
        </w:rPr>
      </w:pPr>
      <w:r w:rsidRPr="000346FB">
        <w:rPr>
          <w:b/>
          <w:bCs/>
        </w:rPr>
        <w:t xml:space="preserve">Draft </w:t>
      </w:r>
      <w:commentRangeStart w:id="0"/>
      <w:r w:rsidRPr="000346FB">
        <w:rPr>
          <w:b/>
          <w:bCs/>
        </w:rPr>
        <w:t>Policy</w:t>
      </w:r>
      <w:commentRangeEnd w:id="0"/>
      <w:r w:rsidR="00EC4FDE">
        <w:rPr>
          <w:rStyle w:val="CommentReference"/>
        </w:rPr>
        <w:commentReference w:id="0"/>
      </w:r>
      <w:r w:rsidRPr="000346FB">
        <w:rPr>
          <w:b/>
          <w:bCs/>
        </w:rPr>
        <w:t>:</w:t>
      </w:r>
    </w:p>
    <w:p w14:paraId="24A3F8F2" w14:textId="77777777" w:rsidR="00317C1F" w:rsidRDefault="00317C1F" w:rsidP="00317C1F"/>
    <w:p w14:paraId="419215E9" w14:textId="77777777" w:rsidR="00317C1F" w:rsidRDefault="00317C1F" w:rsidP="00317C1F">
      <w:r>
        <w:t>The savings from measures that meet all of the following conditions</w:t>
      </w:r>
      <w:r w:rsidRPr="00A55F76">
        <w:t xml:space="preserve"> </w:t>
      </w:r>
      <w:r>
        <w:t>can be counted under the utility’s energy efficiency umbrella:</w:t>
      </w:r>
    </w:p>
    <w:p w14:paraId="1C5F55C0" w14:textId="77777777" w:rsidR="00317C1F" w:rsidRDefault="00317C1F" w:rsidP="00317C1F"/>
    <w:p w14:paraId="106972E1" w14:textId="77777777" w:rsidR="00317C1F" w:rsidRDefault="00317C1F" w:rsidP="00317C1F">
      <w:pPr>
        <w:ind w:left="720" w:hanging="720"/>
      </w:pPr>
      <w:r>
        <w:t>1.</w:t>
      </w:r>
      <w:r>
        <w:tab/>
        <w:t>The measure is not connected to the electric or natural gas grid and cannot be reasonably configured to sell power back to the electricity grid or supply natural gas to the gas grid.</w:t>
      </w:r>
    </w:p>
    <w:p w14:paraId="3868EA32" w14:textId="77777777" w:rsidR="00317C1F" w:rsidRPr="0001396B" w:rsidRDefault="00317C1F" w:rsidP="00317C1F"/>
    <w:p w14:paraId="2BED4C71" w14:textId="77777777" w:rsidR="00317C1F" w:rsidRPr="0001396B" w:rsidRDefault="00317C1F" w:rsidP="00317C1F">
      <w:pPr>
        <w:ind w:left="720" w:hanging="720"/>
      </w:pPr>
      <w:r>
        <w:t>2.</w:t>
      </w:r>
      <w:r>
        <w:tab/>
        <w:t>T</w:t>
      </w:r>
      <w:r w:rsidRPr="0001396B">
        <w:t>he system must use energy produced on site (including solar, wind, waste products), not imported outside the facility boundaries.</w:t>
      </w:r>
    </w:p>
    <w:p w14:paraId="499A6171" w14:textId="77777777" w:rsidR="00317C1F" w:rsidRDefault="00317C1F" w:rsidP="00317C1F"/>
    <w:p w14:paraId="42991673" w14:textId="77777777" w:rsidR="00317C1F" w:rsidRDefault="00317C1F" w:rsidP="00317C1F">
      <w:r>
        <w:t xml:space="preserve">Possible </w:t>
      </w:r>
      <w:commentRangeStart w:id="1"/>
      <w:r>
        <w:t xml:space="preserve">additional conditions </w:t>
      </w:r>
      <w:commentRangeEnd w:id="1"/>
      <w:r>
        <w:rPr>
          <w:rStyle w:val="CommentReference"/>
        </w:rPr>
        <w:commentReference w:id="1"/>
      </w:r>
      <w:r>
        <w:t>based on Phil Mosenthal comments from June 13, 2023:</w:t>
      </w:r>
    </w:p>
    <w:p w14:paraId="05FF10EC" w14:textId="77777777" w:rsidR="00317C1F" w:rsidRDefault="00317C1F" w:rsidP="00317C1F"/>
    <w:p w14:paraId="2538EABA" w14:textId="77777777" w:rsidR="00317C1F" w:rsidRDefault="00317C1F" w:rsidP="00317C1F">
      <w:pPr>
        <w:ind w:left="720" w:hanging="720"/>
      </w:pPr>
      <w:r>
        <w:t xml:space="preserve">3. </w:t>
      </w:r>
      <w:r>
        <w:tab/>
        <w:t xml:space="preserve">For </w:t>
      </w:r>
      <w:r w:rsidRPr="0091586A">
        <w:t>electric generation, the device should be dedicated to producing only reductions in purchased electricity</w:t>
      </w:r>
      <w:r>
        <w:t xml:space="preserve">. </w:t>
      </w:r>
    </w:p>
    <w:p w14:paraId="1391B5DE" w14:textId="77777777" w:rsidR="00317C1F" w:rsidRDefault="00317C1F" w:rsidP="00317C1F">
      <w:pPr>
        <w:ind w:left="720" w:hanging="720"/>
      </w:pPr>
      <w:r>
        <w:t>4.</w:t>
      </w:r>
      <w:r>
        <w:tab/>
      </w:r>
      <w:r w:rsidRPr="00DC6070">
        <w:t>For gas, it must also be using a waste product produced on-site that results in a reduction in purchased pipeline gas.</w:t>
      </w:r>
    </w:p>
    <w:p w14:paraId="57FAC663" w14:textId="77777777" w:rsidR="00317C1F" w:rsidRDefault="00317C1F" w:rsidP="00317C1F">
      <w:pPr>
        <w:ind w:left="720" w:hanging="720"/>
      </w:pPr>
    </w:p>
    <w:p w14:paraId="4A999B68" w14:textId="77777777" w:rsidR="00317C1F" w:rsidRDefault="00317C1F" w:rsidP="00317C1F">
      <w:commentRangeStart w:id="2"/>
      <w:r>
        <w:t xml:space="preserve">The </w:t>
      </w:r>
      <w:commentRangeEnd w:id="2"/>
      <w:r>
        <w:rPr>
          <w:rStyle w:val="CommentReference"/>
        </w:rPr>
        <w:commentReference w:id="2"/>
      </w:r>
      <w:r>
        <w:t xml:space="preserve">reductions in conditions 3 and 4 represent reduced energy use compared to the equipment formerly serving the same purpose (i.g., meeting the customer’s need) or from a customer need that </w:t>
      </w:r>
      <w:commentRangeStart w:id="3"/>
      <w:r>
        <w:t xml:space="preserve">could </w:t>
      </w:r>
      <w:commentRangeEnd w:id="3"/>
      <w:r>
        <w:rPr>
          <w:rStyle w:val="CommentReference"/>
        </w:rPr>
        <w:commentReference w:id="3"/>
      </w:r>
      <w:r>
        <w:t>have been met (but was not yet) from equipment using power from the grid or pipeline.</w:t>
      </w:r>
    </w:p>
    <w:p w14:paraId="01EBBDA6" w14:textId="77777777" w:rsidR="00317C1F" w:rsidRPr="00FC0142" w:rsidRDefault="00317C1F" w:rsidP="00317C1F"/>
    <w:p w14:paraId="7B981762" w14:textId="77777777" w:rsidR="00CC6E67" w:rsidRPr="002248EE" w:rsidRDefault="00CC6E67" w:rsidP="002248EE"/>
    <w:sectPr w:rsidR="00CC6E67" w:rsidRPr="002248E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07-13T13:55:00Z" w:initials="CJ">
    <w:p w14:paraId="1E0ADDE5" w14:textId="3586ED3D" w:rsidR="006C282E" w:rsidRDefault="00EC4FDE">
      <w:pPr>
        <w:pStyle w:val="CommentText"/>
      </w:pPr>
      <w:r>
        <w:rPr>
          <w:rStyle w:val="CommentReference"/>
        </w:rPr>
        <w:annotationRef/>
      </w:r>
      <w:r w:rsidR="006C282E">
        <w:t>Phil will review</w:t>
      </w:r>
      <w:r w:rsidR="0056576D">
        <w:t xml:space="preserve"> statutory language, and this policy</w:t>
      </w:r>
      <w:r w:rsidR="006C282E">
        <w:t xml:space="preserve"> for minor edits, including:</w:t>
      </w:r>
    </w:p>
    <w:p w14:paraId="6712A742" w14:textId="22ED97BD" w:rsidR="004261B2" w:rsidRDefault="004261B2" w:rsidP="006C282E">
      <w:pPr>
        <w:pStyle w:val="CommentText"/>
        <w:numPr>
          <w:ilvl w:val="0"/>
          <w:numId w:val="1"/>
        </w:numPr>
      </w:pPr>
      <w:r>
        <w:t xml:space="preserve"> </w:t>
      </w:r>
      <w:r>
        <w:t>Draft this as “what IS allowable”, instead of focusing on what is NOT allowed</w:t>
      </w:r>
      <w:r w:rsidR="006C282E">
        <w:t xml:space="preserve"> </w:t>
      </w:r>
    </w:p>
    <w:p w14:paraId="7B941AB3" w14:textId="334CBE68" w:rsidR="006C282E" w:rsidRDefault="0056576D" w:rsidP="006C282E">
      <w:pPr>
        <w:pStyle w:val="CommentText"/>
        <w:numPr>
          <w:ilvl w:val="0"/>
          <w:numId w:val="1"/>
        </w:numPr>
      </w:pPr>
      <w:r>
        <w:t xml:space="preserve"> </w:t>
      </w:r>
      <w:r w:rsidR="00071A78">
        <w:t xml:space="preserve">Add </w:t>
      </w:r>
      <w:r w:rsidR="00A852D3">
        <w:t>“</w:t>
      </w:r>
      <w:r w:rsidR="00071A78">
        <w:t>n</w:t>
      </w:r>
      <w:r w:rsidR="00A852D3">
        <w:t>ot receiving funding outside of 8-103”</w:t>
      </w:r>
    </w:p>
    <w:p w14:paraId="3F860051" w14:textId="21838686" w:rsidR="005921BB" w:rsidRDefault="006C282E" w:rsidP="004261B2">
      <w:pPr>
        <w:pStyle w:val="CommentText"/>
        <w:numPr>
          <w:ilvl w:val="0"/>
          <w:numId w:val="1"/>
        </w:numPr>
      </w:pPr>
      <w:r>
        <w:t xml:space="preserve"> </w:t>
      </w:r>
      <w:r w:rsidR="00A852D3">
        <w:t xml:space="preserve">Concern raised </w:t>
      </w:r>
      <w:r w:rsidR="00071A78">
        <w:t xml:space="preserve">by Allen </w:t>
      </w:r>
      <w:r w:rsidR="00A852D3">
        <w:t xml:space="preserve">about “connection” </w:t>
      </w:r>
    </w:p>
    <w:p w14:paraId="5509D18A" w14:textId="77777777" w:rsidR="0002254D" w:rsidRDefault="0002254D" w:rsidP="0002254D">
      <w:pPr>
        <w:pStyle w:val="CommentText"/>
        <w:numPr>
          <w:ilvl w:val="0"/>
          <w:numId w:val="1"/>
        </w:numPr>
      </w:pPr>
      <w:r>
        <w:t xml:space="preserve"> </w:t>
      </w:r>
      <w:r w:rsidR="00071A78">
        <w:t xml:space="preserve">Concern raised by Allen about </w:t>
      </w:r>
      <w:r>
        <w:t>“</w:t>
      </w:r>
      <w:r w:rsidR="00071A78">
        <w:t>o</w:t>
      </w:r>
      <w:r>
        <w:t xml:space="preserve">n site” </w:t>
      </w:r>
      <w:r w:rsidR="00071A78">
        <w:t>reference</w:t>
      </w:r>
    </w:p>
    <w:p w14:paraId="62AE8EAA" w14:textId="77777777" w:rsidR="00DA5559" w:rsidRDefault="00DA5559" w:rsidP="00DA5559">
      <w:pPr>
        <w:pStyle w:val="CommentText"/>
      </w:pPr>
    </w:p>
    <w:p w14:paraId="407473D2" w14:textId="708D07D8" w:rsidR="00DA5559" w:rsidRDefault="00DA5559" w:rsidP="00DA5559">
      <w:pPr>
        <w:pStyle w:val="CommentText"/>
      </w:pPr>
      <w:r>
        <w:t xml:space="preserve">Phil will review edited version with Chris Neme, Allen Dusault, and Jeff Erickson – if possible </w:t>
      </w:r>
      <w:r w:rsidR="00EE129B">
        <w:t>to reach agreement, will be circulated to the larger group for final review. If not, this policy will not be included in the Policy Manual.</w:t>
      </w:r>
    </w:p>
  </w:comment>
  <w:comment w:id="1" w:author="Jeff Erickson" w:date="2023-07-12T21:56:00Z" w:initials="JE">
    <w:p w14:paraId="4BD74D1D" w14:textId="77777777" w:rsidR="00317C1F" w:rsidRDefault="00317C1F" w:rsidP="00317C1F">
      <w:pPr>
        <w:pStyle w:val="CommentText"/>
      </w:pPr>
      <w:r>
        <w:t xml:space="preserve">Conditions 3 and 4 </w:t>
      </w:r>
      <w:r>
        <w:rPr>
          <w:rStyle w:val="CommentReference"/>
        </w:rPr>
        <w:annotationRef/>
      </w:r>
      <w:r>
        <w:t xml:space="preserve">may not be necessary if conditions 1 and 2 are met. </w:t>
      </w:r>
    </w:p>
  </w:comment>
  <w:comment w:id="2" w:author="Jeff Erickson" w:date="2023-07-12T22:07:00Z" w:initials="JE">
    <w:p w14:paraId="1DB63A24" w14:textId="77777777" w:rsidR="00317C1F" w:rsidRDefault="00317C1F" w:rsidP="00317C1F">
      <w:pPr>
        <w:pStyle w:val="CommentText"/>
      </w:pPr>
      <w:r>
        <w:rPr>
          <w:rStyle w:val="CommentReference"/>
        </w:rPr>
        <w:annotationRef/>
      </w:r>
      <w:r>
        <w:t>If the decision is made to keep 3 and 4, do they need modification to allow for measures that are not reducing energy used in the past but rather eliminating the need for a grid-connected devise being installed? E.g., a PV-powered exterior lighting fixture that is NOT replacing a pre-existing grid-connected light.</w:t>
      </w:r>
    </w:p>
    <w:p w14:paraId="72E13112" w14:textId="77777777" w:rsidR="00317C1F" w:rsidRDefault="00317C1F" w:rsidP="00317C1F">
      <w:pPr>
        <w:pStyle w:val="CommentText"/>
      </w:pPr>
    </w:p>
    <w:p w14:paraId="44247002" w14:textId="77777777" w:rsidR="00317C1F" w:rsidRDefault="00317C1F" w:rsidP="00317C1F">
      <w:pPr>
        <w:pStyle w:val="CommentText"/>
      </w:pPr>
      <w:r>
        <w:t>I have suggested language that could serve that purpose.</w:t>
      </w:r>
    </w:p>
  </w:comment>
  <w:comment w:id="3" w:author="Jeff Erickson" w:date="2023-07-12T22:09:00Z" w:initials="JE">
    <w:p w14:paraId="44E9C8EE" w14:textId="77777777" w:rsidR="00317C1F" w:rsidRDefault="00317C1F" w:rsidP="00317C1F">
      <w:pPr>
        <w:pStyle w:val="CommentText"/>
      </w:pPr>
      <w:r>
        <w:rPr>
          <w:rStyle w:val="CommentReference"/>
        </w:rPr>
        <w:annotationRef/>
      </w:r>
      <w:r>
        <w:t>I chose “could” rather than “would” to reflect that the utilities will not have to prove (and the evaluators verify) that had the installation not occurred the customer would have met the need with another system using utility-purchased energy.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7473D2" w15:done="0"/>
  <w15:commentEx w15:paraId="4BD74D1D" w15:done="0"/>
  <w15:commentEx w15:paraId="44247002" w15:done="0"/>
  <w15:commentEx w15:paraId="44E9C8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80B7" w16cex:dateUtc="2023-07-13T18:55:00Z"/>
  <w16cex:commentExtensible w16cex:durableId="2859A005" w16cex:dateUtc="2023-07-13T02:56:00Z"/>
  <w16cex:commentExtensible w16cex:durableId="2859A2A7" w16cex:dateUtc="2023-07-13T03:07:00Z"/>
  <w16cex:commentExtensible w16cex:durableId="2859A30A" w16cex:dateUtc="2023-07-13T0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473D2" w16cid:durableId="285A80B7"/>
  <w16cid:commentId w16cid:paraId="4BD74D1D" w16cid:durableId="2859A005"/>
  <w16cid:commentId w16cid:paraId="44247002" w16cid:durableId="2859A2A7"/>
  <w16cid:commentId w16cid:paraId="44E9C8EE" w16cid:durableId="2859A3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78C0" w14:textId="77777777" w:rsidR="00AF6781" w:rsidRDefault="00AF6781" w:rsidP="005F5FBF">
      <w:r>
        <w:separator/>
      </w:r>
    </w:p>
  </w:endnote>
  <w:endnote w:type="continuationSeparator" w:id="0">
    <w:p w14:paraId="4F5A8238" w14:textId="77777777" w:rsidR="00AF6781" w:rsidRDefault="00AF6781" w:rsidP="005F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altName w:val="Arial"/>
    <w:charset w:val="00"/>
    <w:family w:val="swiss"/>
    <w:pitch w:val="variable"/>
    <w:sig w:usb0="00000287" w:usb1="000008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D2F4" w14:textId="77777777" w:rsidR="00AF6781" w:rsidRDefault="00AF6781" w:rsidP="005F5FBF">
      <w:r>
        <w:separator/>
      </w:r>
    </w:p>
  </w:footnote>
  <w:footnote w:type="continuationSeparator" w:id="0">
    <w:p w14:paraId="24173991" w14:textId="77777777" w:rsidR="00AF6781" w:rsidRDefault="00AF6781" w:rsidP="005F5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538"/>
    <w:multiLevelType w:val="hybridMultilevel"/>
    <w:tmpl w:val="DE0E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7329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Jeff Erickson">
    <w15:presenceInfo w15:providerId="AD" w15:userId="S::jeff.erickson@guidehouse.com::a701f0ef-e594-4de3-9dc7-35d49dc3f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1F"/>
    <w:rsid w:val="0002254D"/>
    <w:rsid w:val="000346FB"/>
    <w:rsid w:val="00034DAF"/>
    <w:rsid w:val="00067D6D"/>
    <w:rsid w:val="00071A78"/>
    <w:rsid w:val="000B5EE8"/>
    <w:rsid w:val="000E3105"/>
    <w:rsid w:val="001A2332"/>
    <w:rsid w:val="001C1715"/>
    <w:rsid w:val="001C2FA6"/>
    <w:rsid w:val="002248EE"/>
    <w:rsid w:val="00241ADF"/>
    <w:rsid w:val="00315B28"/>
    <w:rsid w:val="00317C1F"/>
    <w:rsid w:val="00353E29"/>
    <w:rsid w:val="003E6254"/>
    <w:rsid w:val="004261B2"/>
    <w:rsid w:val="00476C89"/>
    <w:rsid w:val="00485108"/>
    <w:rsid w:val="00487462"/>
    <w:rsid w:val="004A23CB"/>
    <w:rsid w:val="004F769E"/>
    <w:rsid w:val="0056576D"/>
    <w:rsid w:val="005921BB"/>
    <w:rsid w:val="005D7242"/>
    <w:rsid w:val="005E7ED5"/>
    <w:rsid w:val="005F0498"/>
    <w:rsid w:val="005F5FBF"/>
    <w:rsid w:val="006975FE"/>
    <w:rsid w:val="006C282E"/>
    <w:rsid w:val="006D4FC8"/>
    <w:rsid w:val="006E12A6"/>
    <w:rsid w:val="00763D5B"/>
    <w:rsid w:val="008F1409"/>
    <w:rsid w:val="0091590C"/>
    <w:rsid w:val="00925DA1"/>
    <w:rsid w:val="00941293"/>
    <w:rsid w:val="00982634"/>
    <w:rsid w:val="009861B3"/>
    <w:rsid w:val="009B32E0"/>
    <w:rsid w:val="00A37D15"/>
    <w:rsid w:val="00A852D3"/>
    <w:rsid w:val="00AA3028"/>
    <w:rsid w:val="00AF6781"/>
    <w:rsid w:val="00B44001"/>
    <w:rsid w:val="00BB60C2"/>
    <w:rsid w:val="00C95CBE"/>
    <w:rsid w:val="00CC6E67"/>
    <w:rsid w:val="00CD1CE4"/>
    <w:rsid w:val="00CF291B"/>
    <w:rsid w:val="00CF7E14"/>
    <w:rsid w:val="00D03CAE"/>
    <w:rsid w:val="00D103D5"/>
    <w:rsid w:val="00D16B4D"/>
    <w:rsid w:val="00D32434"/>
    <w:rsid w:val="00D40B01"/>
    <w:rsid w:val="00DA5559"/>
    <w:rsid w:val="00DE4AFB"/>
    <w:rsid w:val="00E0424E"/>
    <w:rsid w:val="00E062F6"/>
    <w:rsid w:val="00E31E06"/>
    <w:rsid w:val="00E47212"/>
    <w:rsid w:val="00E730A1"/>
    <w:rsid w:val="00E95C48"/>
    <w:rsid w:val="00EC3AAF"/>
    <w:rsid w:val="00EC4FDE"/>
    <w:rsid w:val="00EE129B"/>
    <w:rsid w:val="00F11772"/>
    <w:rsid w:val="00F37B07"/>
    <w:rsid w:val="00FE40A6"/>
    <w:rsid w:val="00FE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77DE5"/>
  <w15:chartTrackingRefBased/>
  <w15:docId w15:val="{41DDD969-9C44-420A-BE42-264C3D11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C1F"/>
    <w:pPr>
      <w:spacing w:after="0" w:line="240" w:lineRule="auto"/>
    </w:pPr>
    <w:rPr>
      <w:rFonts w:ascii="Arial" w:hAnsi="Arial" w:cs="Times New Roman"/>
      <w:sz w:val="20"/>
    </w:rPr>
  </w:style>
  <w:style w:type="paragraph" w:styleId="Heading1">
    <w:name w:val="heading 1"/>
    <w:basedOn w:val="Normal"/>
    <w:next w:val="Normal"/>
    <w:link w:val="Heading1Char"/>
    <w:uiPriority w:val="9"/>
    <w:qFormat/>
    <w:rsid w:val="00E062F6"/>
    <w:pPr>
      <w:keepNext/>
      <w:keepLines/>
      <w:spacing w:before="240"/>
      <w:outlineLvl w:val="0"/>
    </w:pPr>
    <w:rPr>
      <w:rFonts w:eastAsiaTheme="majorEastAsia" w:cstheme="majorBidi"/>
      <w:color w:val="0070C0"/>
      <w:sz w:val="36"/>
      <w:szCs w:val="32"/>
    </w:rPr>
  </w:style>
  <w:style w:type="paragraph" w:styleId="Heading2">
    <w:name w:val="heading 2"/>
    <w:basedOn w:val="Normal"/>
    <w:next w:val="Normal"/>
    <w:link w:val="Heading2Char"/>
    <w:uiPriority w:val="9"/>
    <w:unhideWhenUsed/>
    <w:qFormat/>
    <w:rsid w:val="00E062F6"/>
    <w:pPr>
      <w:keepNext/>
      <w:keepLines/>
      <w:spacing w:before="40"/>
      <w:outlineLvl w:val="1"/>
    </w:pPr>
    <w:rPr>
      <w:rFonts w:eastAsiaTheme="majorEastAsia" w:cstheme="majorBidi"/>
      <w:b/>
      <w:color w:val="538135" w:themeColor="accent6" w:themeShade="BF"/>
      <w:sz w:val="28"/>
      <w:szCs w:val="26"/>
    </w:rPr>
  </w:style>
  <w:style w:type="paragraph" w:styleId="Heading3">
    <w:name w:val="heading 3"/>
    <w:basedOn w:val="Normal"/>
    <w:next w:val="Normal"/>
    <w:link w:val="Heading3Char"/>
    <w:uiPriority w:val="9"/>
    <w:unhideWhenUsed/>
    <w:qFormat/>
    <w:rsid w:val="00E062F6"/>
    <w:pPr>
      <w:keepNext/>
      <w:keepLines/>
      <w:spacing w:before="40"/>
      <w:outlineLvl w:val="2"/>
    </w:pPr>
    <w:rPr>
      <w:rFonts w:eastAsiaTheme="majorEastAsia" w:cstheme="majorBidi"/>
      <w:b/>
      <w:color w:val="7030A0"/>
      <w:sz w:val="24"/>
      <w:szCs w:val="24"/>
    </w:rPr>
  </w:style>
  <w:style w:type="paragraph" w:styleId="Heading4">
    <w:name w:val="heading 4"/>
    <w:basedOn w:val="Normal"/>
    <w:next w:val="Normal"/>
    <w:link w:val="Heading4Char"/>
    <w:uiPriority w:val="9"/>
    <w:unhideWhenUsed/>
    <w:qFormat/>
    <w:rsid w:val="005E7ED5"/>
    <w:pPr>
      <w:keepNext/>
      <w:keepLines/>
      <w:spacing w:before="40"/>
      <w:outlineLvl w:val="3"/>
    </w:pPr>
    <w:rPr>
      <w:rFonts w:asciiTheme="majorHAnsi" w:eastAsiaTheme="majorEastAsia" w:hAnsiTheme="majorHAnsi" w:cstheme="majorBidi"/>
      <w:b/>
      <w:i/>
      <w:iCs/>
      <w:color w:val="ED7D31" w:themeColor="accent2"/>
    </w:rPr>
  </w:style>
  <w:style w:type="paragraph" w:styleId="Heading5">
    <w:name w:val="heading 5"/>
    <w:basedOn w:val="Normal"/>
    <w:next w:val="Normal"/>
    <w:link w:val="Heading5Char"/>
    <w:uiPriority w:val="9"/>
    <w:unhideWhenUsed/>
    <w:qFormat/>
    <w:rsid w:val="002248E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2248E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2F6"/>
    <w:rPr>
      <w:rFonts w:ascii="Arial" w:eastAsiaTheme="majorEastAsia" w:hAnsi="Arial" w:cstheme="majorBidi"/>
      <w:color w:val="0070C0"/>
      <w:sz w:val="36"/>
      <w:szCs w:val="32"/>
    </w:rPr>
  </w:style>
  <w:style w:type="character" w:customStyle="1" w:styleId="Heading3Char">
    <w:name w:val="Heading 3 Char"/>
    <w:basedOn w:val="DefaultParagraphFont"/>
    <w:link w:val="Heading3"/>
    <w:uiPriority w:val="9"/>
    <w:rsid w:val="00E062F6"/>
    <w:rPr>
      <w:rFonts w:ascii="Arial" w:eastAsiaTheme="majorEastAsia" w:hAnsi="Arial" w:cstheme="majorBidi"/>
      <w:b/>
      <w:color w:val="7030A0"/>
      <w:sz w:val="24"/>
      <w:szCs w:val="24"/>
    </w:rPr>
  </w:style>
  <w:style w:type="character" w:customStyle="1" w:styleId="Heading2Char">
    <w:name w:val="Heading 2 Char"/>
    <w:basedOn w:val="DefaultParagraphFont"/>
    <w:link w:val="Heading2"/>
    <w:uiPriority w:val="9"/>
    <w:rsid w:val="00E062F6"/>
    <w:rPr>
      <w:rFonts w:ascii="Arial" w:eastAsiaTheme="majorEastAsia" w:hAnsi="Arial" w:cstheme="majorBidi"/>
      <w:b/>
      <w:color w:val="538135" w:themeColor="accent6" w:themeShade="BF"/>
      <w:sz w:val="28"/>
      <w:szCs w:val="26"/>
    </w:rPr>
  </w:style>
  <w:style w:type="character" w:customStyle="1" w:styleId="Heading4Char">
    <w:name w:val="Heading 4 Char"/>
    <w:basedOn w:val="DefaultParagraphFont"/>
    <w:link w:val="Heading4"/>
    <w:uiPriority w:val="9"/>
    <w:rsid w:val="005E7ED5"/>
    <w:rPr>
      <w:rFonts w:asciiTheme="majorHAnsi" w:eastAsiaTheme="majorEastAsia" w:hAnsiTheme="majorHAnsi" w:cstheme="majorBidi"/>
      <w:b/>
      <w:i/>
      <w:iCs/>
      <w:color w:val="ED7D31" w:themeColor="accent2"/>
      <w:sz w:val="20"/>
    </w:rPr>
  </w:style>
  <w:style w:type="character" w:customStyle="1" w:styleId="Heading5Char">
    <w:name w:val="Heading 5 Char"/>
    <w:basedOn w:val="DefaultParagraphFont"/>
    <w:link w:val="Heading5"/>
    <w:uiPriority w:val="9"/>
    <w:rsid w:val="002248E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2248EE"/>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E062F6"/>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062F6"/>
    <w:rPr>
      <w:rFonts w:ascii="Arial" w:eastAsiaTheme="majorEastAsia" w:hAnsi="Arial" w:cstheme="majorBidi"/>
      <w:spacing w:val="-10"/>
      <w:kern w:val="28"/>
      <w:sz w:val="56"/>
      <w:szCs w:val="56"/>
    </w:rPr>
  </w:style>
  <w:style w:type="table" w:customStyle="1" w:styleId="EnergyTable1">
    <w:name w:val="Energy Table1"/>
    <w:basedOn w:val="TableNormal"/>
    <w:uiPriority w:val="99"/>
    <w:qFormat/>
    <w:rsid w:val="00E95C48"/>
    <w:pPr>
      <w:spacing w:before="40" w:after="40" w:line="240" w:lineRule="auto"/>
    </w:pPr>
    <w:rPr>
      <w:rFonts w:ascii="Arial Narrow" w:eastAsia="Times New Roman" w:hAnsi="Arial Narrow" w:cs="Times New Roman"/>
      <w:sz w:val="18"/>
      <w:szCs w:val="20"/>
    </w:rPr>
    <w:tblPr>
      <w:tblStyleRowBandSize w:val="1"/>
      <w:jc w:val="center"/>
      <w:tblBorders>
        <w:bottom w:val="single" w:sz="8" w:space="0" w:color="44546A" w:themeColor="text2"/>
        <w:insideH w:val="single" w:sz="4" w:space="0" w:color="D5DCE4"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4472C4" w:themeColor="accent1"/>
          <w:right w:val="nil"/>
          <w:insideH w:val="nil"/>
          <w:insideV w:val="nil"/>
          <w:tl2br w:val="nil"/>
          <w:tr2bl w:val="nil"/>
        </w:tcBorders>
        <w:shd w:val="clear" w:color="auto" w:fill="44546A" w:themeFill="text2"/>
      </w:tcPr>
    </w:tblStylePr>
    <w:tblStylePr w:type="lastRow">
      <w:pPr>
        <w:jc w:val="center"/>
      </w:pPr>
      <w:rPr>
        <w:rFonts w:ascii="MinionPro-Regular" w:hAnsi="MinionPro-Regular"/>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styleId="Header">
    <w:name w:val="header"/>
    <w:basedOn w:val="Normal"/>
    <w:link w:val="HeaderChar"/>
    <w:uiPriority w:val="99"/>
    <w:unhideWhenUsed/>
    <w:rsid w:val="005F5FBF"/>
    <w:pPr>
      <w:tabs>
        <w:tab w:val="center" w:pos="4680"/>
        <w:tab w:val="right" w:pos="9360"/>
      </w:tabs>
    </w:pPr>
  </w:style>
  <w:style w:type="character" w:customStyle="1" w:styleId="HeaderChar">
    <w:name w:val="Header Char"/>
    <w:basedOn w:val="DefaultParagraphFont"/>
    <w:link w:val="Header"/>
    <w:uiPriority w:val="99"/>
    <w:rsid w:val="005F5FBF"/>
    <w:rPr>
      <w:rFonts w:ascii="Arial" w:hAnsi="Arial" w:cs="Times New Roman"/>
      <w:sz w:val="20"/>
    </w:rPr>
  </w:style>
  <w:style w:type="paragraph" w:styleId="Footer">
    <w:name w:val="footer"/>
    <w:basedOn w:val="Normal"/>
    <w:link w:val="FooterChar"/>
    <w:uiPriority w:val="99"/>
    <w:unhideWhenUsed/>
    <w:rsid w:val="005F5FBF"/>
    <w:pPr>
      <w:tabs>
        <w:tab w:val="center" w:pos="4680"/>
        <w:tab w:val="right" w:pos="9360"/>
      </w:tabs>
    </w:pPr>
  </w:style>
  <w:style w:type="character" w:customStyle="1" w:styleId="FooterChar">
    <w:name w:val="Footer Char"/>
    <w:basedOn w:val="DefaultParagraphFont"/>
    <w:link w:val="Footer"/>
    <w:uiPriority w:val="99"/>
    <w:rsid w:val="005F5FBF"/>
    <w:rPr>
      <w:rFonts w:ascii="Arial" w:hAnsi="Arial" w:cs="Times New Roman"/>
      <w:sz w:val="20"/>
    </w:rPr>
  </w:style>
  <w:style w:type="character" w:styleId="CommentReference">
    <w:name w:val="annotation reference"/>
    <w:basedOn w:val="DefaultParagraphFont"/>
    <w:uiPriority w:val="99"/>
    <w:semiHidden/>
    <w:unhideWhenUsed/>
    <w:rsid w:val="00317C1F"/>
    <w:rPr>
      <w:sz w:val="16"/>
      <w:szCs w:val="16"/>
    </w:rPr>
  </w:style>
  <w:style w:type="paragraph" w:styleId="CommentText">
    <w:name w:val="annotation text"/>
    <w:basedOn w:val="Normal"/>
    <w:link w:val="CommentTextChar"/>
    <w:uiPriority w:val="99"/>
    <w:unhideWhenUsed/>
    <w:rsid w:val="00317C1F"/>
    <w:rPr>
      <w:szCs w:val="20"/>
    </w:rPr>
  </w:style>
  <w:style w:type="character" w:customStyle="1" w:styleId="CommentTextChar">
    <w:name w:val="Comment Text Char"/>
    <w:basedOn w:val="DefaultParagraphFont"/>
    <w:link w:val="CommentText"/>
    <w:uiPriority w:val="99"/>
    <w:rsid w:val="00317C1F"/>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C4FDE"/>
    <w:rPr>
      <w:b/>
      <w:bCs/>
    </w:rPr>
  </w:style>
  <w:style w:type="character" w:customStyle="1" w:styleId="CommentSubjectChar">
    <w:name w:val="Comment Subject Char"/>
    <w:basedOn w:val="CommentTextChar"/>
    <w:link w:val="CommentSubject"/>
    <w:uiPriority w:val="99"/>
    <w:semiHidden/>
    <w:rsid w:val="00EC4FDE"/>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40DFA-1E41-4FEA-8D48-94E8C0E2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Erickson</dc:creator>
  <cp:keywords/>
  <dc:description/>
  <cp:lastModifiedBy>Celia Johnson</cp:lastModifiedBy>
  <cp:revision>15</cp:revision>
  <dcterms:created xsi:type="dcterms:W3CDTF">2023-07-13T17:47:00Z</dcterms:created>
  <dcterms:modified xsi:type="dcterms:W3CDTF">2023-07-13T19:04:00Z</dcterms:modified>
</cp:coreProperties>
</file>