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ADFF" w14:textId="77777777" w:rsidR="00103A04" w:rsidRDefault="00103A04"/>
    <w:tbl>
      <w:tblPr>
        <w:tblW w:w="5000" w:type="pct"/>
        <w:jc w:val="center"/>
        <w:tblLayout w:type="fixed"/>
        <w:tblLook w:val="01E0" w:firstRow="1" w:lastRow="1" w:firstColumn="1" w:lastColumn="1" w:noHBand="0" w:noVBand="0"/>
      </w:tblPr>
      <w:tblGrid>
        <w:gridCol w:w="2970"/>
        <w:gridCol w:w="4192"/>
        <w:gridCol w:w="2198"/>
      </w:tblGrid>
      <w:tr w:rsidR="000B29BC" w:rsidRPr="00FD0661" w14:paraId="6E6BAE01" w14:textId="77777777" w:rsidTr="008D19E8">
        <w:trPr>
          <w:trHeight w:val="1152"/>
          <w:jc w:val="center"/>
        </w:trPr>
        <w:tc>
          <w:tcPr>
            <w:tcW w:w="9360" w:type="dxa"/>
            <w:gridSpan w:val="3"/>
            <w:vAlign w:val="center"/>
          </w:tcPr>
          <w:p w14:paraId="6E6BAE00" w14:textId="77777777" w:rsidR="00103A04" w:rsidRPr="00FD0661" w:rsidRDefault="00103A04">
            <w:pPr>
              <w:pStyle w:val="Title"/>
              <w:rPr>
                <w:rFonts w:cs="Arial"/>
                <w:bCs/>
              </w:rPr>
            </w:pPr>
          </w:p>
        </w:tc>
      </w:tr>
      <w:tr w:rsidR="00601C9E" w:rsidRPr="00FD0661" w14:paraId="6E6BAE04" w14:textId="77777777" w:rsidTr="008D19E8">
        <w:trPr>
          <w:trHeight w:val="2114"/>
          <w:jc w:val="center"/>
        </w:trPr>
        <w:tc>
          <w:tcPr>
            <w:tcW w:w="9360" w:type="dxa"/>
            <w:gridSpan w:val="3"/>
            <w:vAlign w:val="center"/>
          </w:tcPr>
          <w:p w14:paraId="6E6BAE02" w14:textId="77777777" w:rsidR="00103A04" w:rsidRPr="00FD0661" w:rsidRDefault="00000000">
            <w:pPr>
              <w:pStyle w:val="Title"/>
              <w:rPr>
                <w:rFonts w:cs="Arial"/>
                <w:b w:val="0"/>
                <w:bCs/>
              </w:rPr>
            </w:pPr>
            <w:r w:rsidRPr="00FD0661">
              <w:rPr>
                <w:rFonts w:cs="Arial"/>
                <w:bCs/>
              </w:rPr>
              <w:t xml:space="preserve">ComEd </w:t>
            </w:r>
            <w:bookmarkStart w:id="0" w:name="Title_Program_Name"/>
            <w:r w:rsidRPr="003B3336">
              <w:rPr>
                <w:rFonts w:cs="Arial"/>
                <w:bCs/>
              </w:rPr>
              <w:t>Targeted Systems</w:t>
            </w:r>
            <w:bookmarkEnd w:id="0"/>
            <w:r w:rsidRPr="00FD0661">
              <w:rPr>
                <w:rFonts w:cs="Arial"/>
                <w:bCs/>
              </w:rPr>
              <w:t xml:space="preserve"> Program Impact Evaluation Report</w:t>
            </w:r>
          </w:p>
          <w:p w14:paraId="6E6BAE03" w14:textId="77777777" w:rsidR="00103A04" w:rsidRPr="00FD0661" w:rsidRDefault="00000000">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601C9E" w:rsidRPr="00FD0661" w14:paraId="6E6BAE0A" w14:textId="77777777" w:rsidTr="008D19E8">
        <w:trPr>
          <w:trHeight w:val="2263"/>
          <w:jc w:val="center"/>
        </w:trPr>
        <w:tc>
          <w:tcPr>
            <w:tcW w:w="9360" w:type="dxa"/>
            <w:gridSpan w:val="3"/>
          </w:tcPr>
          <w:p w14:paraId="6E6BAE05" w14:textId="77777777" w:rsidR="00103A04" w:rsidRPr="00FD0661" w:rsidRDefault="00000000">
            <w:pPr>
              <w:pStyle w:val="Preparedfor"/>
              <w:spacing w:before="0" w:after="240"/>
              <w:rPr>
                <w:rFonts w:cs="Arial"/>
              </w:rPr>
            </w:pPr>
            <w:r w:rsidRPr="00FD0661">
              <w:rPr>
                <w:rFonts w:cs="Arial"/>
              </w:rPr>
              <w:t>Prepared for:</w:t>
            </w:r>
          </w:p>
          <w:p w14:paraId="6E6BAE06" w14:textId="77777777" w:rsidR="00103A04" w:rsidRPr="00FD0661" w:rsidRDefault="00000000">
            <w:pPr>
              <w:pStyle w:val="Preparedfor"/>
              <w:rPr>
                <w:rFonts w:cs="Arial"/>
              </w:rPr>
            </w:pPr>
            <w:r w:rsidRPr="00FD0661">
              <w:rPr>
                <w:rFonts w:cs="Arial"/>
              </w:rPr>
              <w:t>ComEd</w:t>
            </w:r>
          </w:p>
          <w:p w14:paraId="6E6BAE07" w14:textId="77777777" w:rsidR="00103A04" w:rsidRPr="00FD0661" w:rsidRDefault="00000000">
            <w:pPr>
              <w:pStyle w:val="CoverClientName"/>
              <w:spacing w:after="0"/>
              <w:rPr>
                <w:rFonts w:cs="Arial"/>
                <w:sz w:val="48"/>
                <w:szCs w:val="48"/>
              </w:rPr>
            </w:pPr>
            <w:r w:rsidRPr="00FD0661">
              <w:rPr>
                <w:rFonts w:cs="Arial"/>
                <w:sz w:val="48"/>
                <w:szCs w:val="48"/>
              </w:rPr>
              <w:t>DRAFT</w:t>
            </w:r>
          </w:p>
          <w:p w14:paraId="6E6BAE08" w14:textId="77777777" w:rsidR="00103A04" w:rsidRPr="00FD0661" w:rsidRDefault="00103A04">
            <w:pPr>
              <w:pStyle w:val="CoverClientName"/>
              <w:spacing w:after="0"/>
              <w:rPr>
                <w:rFonts w:cs="Arial"/>
              </w:rPr>
            </w:pPr>
          </w:p>
          <w:p w14:paraId="6E6BAE09" w14:textId="5A8571B3" w:rsidR="00103A04" w:rsidRPr="00FD0661" w:rsidRDefault="00000000">
            <w:pPr>
              <w:pStyle w:val="CoverClientName"/>
              <w:spacing w:after="0"/>
              <w:rPr>
                <w:rFonts w:cs="Arial"/>
              </w:rPr>
            </w:pPr>
            <w:r w:rsidRPr="00FD0661">
              <w:rPr>
                <w:rFonts w:cs="Arial"/>
              </w:rPr>
              <w:t>M</w:t>
            </w:r>
            <w:r w:rsidR="00532505">
              <w:rPr>
                <w:rFonts w:cs="Arial"/>
              </w:rPr>
              <w:t>arch</w:t>
            </w:r>
            <w:r w:rsidRPr="00FD0661">
              <w:rPr>
                <w:rFonts w:cs="Arial"/>
              </w:rPr>
              <w:t xml:space="preserve"> </w:t>
            </w:r>
            <w:r w:rsidR="00532505">
              <w:rPr>
                <w:rFonts w:cs="Arial"/>
              </w:rPr>
              <w:t>1</w:t>
            </w:r>
            <w:r w:rsidR="003D2BD3">
              <w:rPr>
                <w:rFonts w:cs="Arial"/>
              </w:rPr>
              <w:t>2</w:t>
            </w:r>
            <w:r w:rsidRPr="00FD0661">
              <w:rPr>
                <w:rFonts w:cs="Arial"/>
              </w:rPr>
              <w:t xml:space="preserve">, </w:t>
            </w:r>
            <w:r w:rsidR="00532505">
              <w:rPr>
                <w:rFonts w:cs="Arial"/>
              </w:rPr>
              <w:t>2025</w:t>
            </w:r>
          </w:p>
        </w:tc>
      </w:tr>
      <w:tr w:rsidR="00601C9E" w:rsidRPr="00FD0661" w14:paraId="6E6BAE0E" w14:textId="77777777" w:rsidTr="008D19E8">
        <w:trPr>
          <w:trHeight w:val="419"/>
          <w:jc w:val="center"/>
        </w:trPr>
        <w:tc>
          <w:tcPr>
            <w:tcW w:w="7162" w:type="dxa"/>
            <w:gridSpan w:val="2"/>
          </w:tcPr>
          <w:p w14:paraId="6E6BAE0B" w14:textId="77777777" w:rsidR="00103A04" w:rsidRPr="00FD0661" w:rsidRDefault="00103A04">
            <w:pPr>
              <w:rPr>
                <w:rStyle w:val="CoverText"/>
                <w:rFonts w:cs="Arial"/>
              </w:rPr>
            </w:pPr>
          </w:p>
          <w:p w14:paraId="6E6BAE0C" w14:textId="09ADD86A" w:rsidR="00103A04" w:rsidRPr="00FD0661" w:rsidRDefault="00000000">
            <w:pPr>
              <w:rPr>
                <w:rStyle w:val="CoverText"/>
                <w:rFonts w:cs="Arial"/>
              </w:rPr>
            </w:pPr>
            <w:r w:rsidRPr="00FD0661">
              <w:rPr>
                <w:rStyle w:val="CoverText"/>
                <w:rFonts w:cs="Arial"/>
              </w:rPr>
              <w:t xml:space="preserve">Prepared by: </w:t>
            </w:r>
          </w:p>
        </w:tc>
        <w:tc>
          <w:tcPr>
            <w:tcW w:w="2198" w:type="dxa"/>
          </w:tcPr>
          <w:p w14:paraId="6E6BAE0D" w14:textId="77777777" w:rsidR="00103A04" w:rsidRPr="00FD0661" w:rsidRDefault="00103A04">
            <w:pPr>
              <w:rPr>
                <w:rStyle w:val="CoverText"/>
                <w:rFonts w:cs="Arial"/>
              </w:rPr>
            </w:pPr>
          </w:p>
        </w:tc>
      </w:tr>
      <w:tr w:rsidR="00601C9E" w:rsidRPr="00FD0661" w14:paraId="6E6BAE14" w14:textId="77777777" w:rsidTr="008D19E8">
        <w:trPr>
          <w:trHeight w:val="1296"/>
          <w:jc w:val="center"/>
        </w:trPr>
        <w:tc>
          <w:tcPr>
            <w:tcW w:w="2970" w:type="dxa"/>
            <w:vAlign w:val="center"/>
          </w:tcPr>
          <w:p w14:paraId="6E6BAE0F" w14:textId="216AC04C" w:rsidR="00103A04" w:rsidRPr="00C84E9D" w:rsidRDefault="008D19E8" w:rsidP="00C84E9D">
            <w:pPr>
              <w:rPr>
                <w:rFonts w:ascii="Arial" w:hAnsi="Arial" w:cs="Arial"/>
                <w:noProof/>
              </w:rPr>
            </w:pPr>
            <w:r>
              <w:rPr>
                <w:rFonts w:ascii="Arial" w:hAnsi="Arial" w:cs="Arial"/>
                <w:noProof/>
              </w:rPr>
              <w:t>Sagar Phalke</w:t>
            </w:r>
          </w:p>
          <w:p w14:paraId="6E6BAE10" w14:textId="22A9B6C3" w:rsidR="00103A04" w:rsidRPr="00FD0661" w:rsidRDefault="008D19E8" w:rsidP="00C84E9D">
            <w:pPr>
              <w:rPr>
                <w:rFonts w:ascii="Arial" w:hAnsi="Arial" w:cs="Arial"/>
                <w:bCs/>
              </w:rPr>
            </w:pPr>
            <w:r>
              <w:rPr>
                <w:rFonts w:ascii="Arial" w:hAnsi="Arial" w:cs="Arial"/>
                <w:noProof/>
              </w:rPr>
              <w:t>Guidehouse</w:t>
            </w:r>
          </w:p>
        </w:tc>
        <w:tc>
          <w:tcPr>
            <w:tcW w:w="4192" w:type="dxa"/>
            <w:vAlign w:val="center"/>
          </w:tcPr>
          <w:p w14:paraId="6E6BAE11" w14:textId="2DED0925" w:rsidR="00103A04" w:rsidRPr="00C84E9D" w:rsidRDefault="008D19E8" w:rsidP="00857675">
            <w:pPr>
              <w:rPr>
                <w:rFonts w:ascii="Arial" w:hAnsi="Arial" w:cs="Arial"/>
                <w:noProof/>
              </w:rPr>
            </w:pPr>
            <w:r>
              <w:rPr>
                <w:rFonts w:ascii="Arial" w:hAnsi="Arial" w:cs="Arial"/>
                <w:noProof/>
              </w:rPr>
              <w:t>Drew Blumenthal</w:t>
            </w:r>
          </w:p>
          <w:p w14:paraId="6E6BAE12" w14:textId="46131EF1" w:rsidR="00103A04" w:rsidRPr="008D19E8" w:rsidRDefault="008D19E8" w:rsidP="00857675">
            <w:pPr>
              <w:rPr>
                <w:noProof/>
              </w:rPr>
            </w:pPr>
            <w:r w:rsidRPr="008D19E8">
              <w:rPr>
                <w:rFonts w:ascii="Arial" w:hAnsi="Arial" w:cs="Arial"/>
                <w:noProof/>
              </w:rPr>
              <w:t>Guidehouse</w:t>
            </w:r>
          </w:p>
        </w:tc>
        <w:tc>
          <w:tcPr>
            <w:tcW w:w="2198" w:type="dxa"/>
          </w:tcPr>
          <w:p w14:paraId="6E6BAE13" w14:textId="77777777" w:rsidR="00103A04" w:rsidRPr="00FD0661" w:rsidRDefault="00103A04" w:rsidP="00857675">
            <w:pPr>
              <w:pStyle w:val="PresentedBy"/>
              <w:spacing w:after="120"/>
              <w:rPr>
                <w:rStyle w:val="CoverText"/>
                <w:rFonts w:cs="Arial"/>
                <w:bCs/>
                <w:iCs/>
              </w:rPr>
            </w:pPr>
          </w:p>
        </w:tc>
      </w:tr>
      <w:tr w:rsidR="008E3D52" w:rsidRPr="00FD0661" w14:paraId="6E6BAE18" w14:textId="77777777" w:rsidTr="008D19E8">
        <w:trPr>
          <w:trHeight w:val="900"/>
          <w:jc w:val="center"/>
        </w:trPr>
        <w:tc>
          <w:tcPr>
            <w:tcW w:w="2970" w:type="dxa"/>
            <w:vAlign w:val="center"/>
          </w:tcPr>
          <w:p w14:paraId="0509A003" w14:textId="615044E3" w:rsidR="008D19E8" w:rsidRPr="00C84E9D" w:rsidRDefault="008D19E8" w:rsidP="008D19E8">
            <w:pPr>
              <w:rPr>
                <w:rFonts w:ascii="Arial" w:hAnsi="Arial" w:cs="Arial"/>
                <w:noProof/>
              </w:rPr>
            </w:pPr>
            <w:r>
              <w:rPr>
                <w:rFonts w:ascii="Arial" w:hAnsi="Arial" w:cs="Arial"/>
                <w:noProof/>
              </w:rPr>
              <w:t>Roger Hill</w:t>
            </w:r>
          </w:p>
          <w:p w14:paraId="6E6BAE15" w14:textId="7568511A" w:rsidR="00103A04" w:rsidRPr="00FD0661" w:rsidRDefault="008D19E8" w:rsidP="008D19E8">
            <w:pPr>
              <w:rPr>
                <w:rFonts w:cs="Arial"/>
                <w:bCs/>
              </w:rPr>
            </w:pPr>
            <w:r>
              <w:rPr>
                <w:rFonts w:ascii="Arial" w:hAnsi="Arial" w:cs="Arial"/>
                <w:noProof/>
              </w:rPr>
              <w:t>INCA Energy Efficiency</w:t>
            </w:r>
          </w:p>
        </w:tc>
        <w:tc>
          <w:tcPr>
            <w:tcW w:w="4192" w:type="dxa"/>
            <w:vAlign w:val="center"/>
          </w:tcPr>
          <w:p w14:paraId="10338904" w14:textId="38FD8346" w:rsidR="008D19E8" w:rsidRPr="00C84E9D" w:rsidRDefault="008D19E8" w:rsidP="008D19E8">
            <w:pPr>
              <w:rPr>
                <w:rFonts w:ascii="Arial" w:hAnsi="Arial" w:cs="Arial"/>
                <w:noProof/>
              </w:rPr>
            </w:pPr>
            <w:r>
              <w:rPr>
                <w:rFonts w:ascii="Arial" w:hAnsi="Arial" w:cs="Arial"/>
                <w:noProof/>
              </w:rPr>
              <w:t>Kumar Chittory</w:t>
            </w:r>
          </w:p>
          <w:p w14:paraId="6E6BAE16" w14:textId="0CAA4B8D" w:rsidR="00103A04" w:rsidRPr="00FD0661" w:rsidRDefault="008D19E8" w:rsidP="008D19E8">
            <w:pPr>
              <w:rPr>
                <w:rStyle w:val="CoverText"/>
                <w:rFonts w:cs="Arial"/>
                <w:bCs/>
              </w:rPr>
            </w:pPr>
            <w:r>
              <w:rPr>
                <w:rFonts w:ascii="Arial" w:hAnsi="Arial" w:cs="Arial"/>
                <w:noProof/>
              </w:rPr>
              <w:t>Verdant Associates</w:t>
            </w:r>
          </w:p>
        </w:tc>
        <w:tc>
          <w:tcPr>
            <w:tcW w:w="2198" w:type="dxa"/>
            <w:vAlign w:val="center"/>
          </w:tcPr>
          <w:p w14:paraId="6E6BAE17" w14:textId="039C733A" w:rsidR="00103A04" w:rsidRPr="00FD0661" w:rsidRDefault="00103A04" w:rsidP="00633225">
            <w:pPr>
              <w:pStyle w:val="PresentedBy"/>
              <w:jc w:val="center"/>
              <w:rPr>
                <w:rStyle w:val="CoverText"/>
                <w:rFonts w:cs="Arial"/>
                <w:bCs/>
                <w:iCs/>
              </w:rPr>
            </w:pPr>
          </w:p>
        </w:tc>
      </w:tr>
      <w:tr w:rsidR="005A3B39" w:rsidRPr="00FD0661" w14:paraId="6E6BAE1C" w14:textId="77777777" w:rsidTr="008D19E8">
        <w:trPr>
          <w:trHeight w:val="900"/>
          <w:jc w:val="center"/>
        </w:trPr>
        <w:tc>
          <w:tcPr>
            <w:tcW w:w="2970" w:type="dxa"/>
            <w:vAlign w:val="center"/>
          </w:tcPr>
          <w:p w14:paraId="6E6BAE19" w14:textId="2DB5FC6B" w:rsidR="00103A04" w:rsidRPr="00FD0661" w:rsidRDefault="008D19E8" w:rsidP="00633225">
            <w:pPr>
              <w:pStyle w:val="PresentedBy"/>
              <w:jc w:val="center"/>
              <w:rPr>
                <w:rFonts w:cs="Arial"/>
                <w:bCs/>
                <w:color w:val="auto"/>
              </w:rPr>
            </w:pPr>
            <w:r w:rsidRPr="00FD0661">
              <w:rPr>
                <w:rFonts w:cs="Arial"/>
                <w:noProof/>
              </w:rPr>
              <w:drawing>
                <wp:inline distT="0" distB="0" distL="0" distR="0" wp14:anchorId="39A159BB" wp14:editId="7DFC31FF">
                  <wp:extent cx="914400" cy="914400"/>
                  <wp:effectExtent l="0" t="0" r="0" b="0"/>
                  <wp:docPr id="1" name="Picture 1693534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192" w:type="dxa"/>
            <w:vAlign w:val="center"/>
          </w:tcPr>
          <w:p w14:paraId="6E6BAE1A" w14:textId="7A3C523C" w:rsidR="00103A04" w:rsidRPr="00FD0661" w:rsidRDefault="008D19E8" w:rsidP="00633225">
            <w:pPr>
              <w:jc w:val="center"/>
              <w:rPr>
                <w:rStyle w:val="CoverText"/>
                <w:rFonts w:cs="Arial"/>
                <w:bCs/>
              </w:rPr>
            </w:pPr>
            <w:r w:rsidRPr="00FD0661">
              <w:rPr>
                <w:rFonts w:ascii="Arial" w:hAnsi="Arial" w:cs="Arial"/>
                <w:noProof/>
              </w:rPr>
              <w:drawing>
                <wp:inline distT="0" distB="0" distL="0" distR="0" wp14:anchorId="772BB111" wp14:editId="6234E152">
                  <wp:extent cx="1252479" cy="241885"/>
                  <wp:effectExtent l="0" t="0" r="5080" b="63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2479" cy="241885"/>
                          </a:xfrm>
                          <a:prstGeom prst="rect">
                            <a:avLst/>
                          </a:prstGeom>
                        </pic:spPr>
                      </pic:pic>
                    </a:graphicData>
                  </a:graphic>
                </wp:inline>
              </w:drawing>
            </w:r>
          </w:p>
        </w:tc>
        <w:tc>
          <w:tcPr>
            <w:tcW w:w="2198" w:type="dxa"/>
            <w:vAlign w:val="center"/>
          </w:tcPr>
          <w:p w14:paraId="6E6BAE1B" w14:textId="23FD3969" w:rsidR="00103A04" w:rsidRPr="00FD0661" w:rsidRDefault="00103A04" w:rsidP="00633225">
            <w:pPr>
              <w:pStyle w:val="PresentedBy"/>
              <w:jc w:val="center"/>
              <w:rPr>
                <w:rStyle w:val="CoverText"/>
                <w:rFonts w:cs="Arial"/>
                <w:bCs/>
                <w:iCs/>
              </w:rPr>
            </w:pPr>
          </w:p>
        </w:tc>
      </w:tr>
    </w:tbl>
    <w:p w14:paraId="6E6BAE1D" w14:textId="77777777" w:rsidR="00103A04" w:rsidRDefault="00103A04"/>
    <w:p w14:paraId="6E6BAE1E" w14:textId="77777777" w:rsidR="00103A04" w:rsidRDefault="00000000">
      <w:pPr>
        <w:suppressAutoHyphens w:val="0"/>
        <w:spacing w:before="0" w:after="0"/>
      </w:pPr>
      <w:r>
        <w:br w:type="page"/>
      </w:r>
    </w:p>
    <w:p w14:paraId="6E6BAE1F" w14:textId="77777777" w:rsidR="00103A04" w:rsidRPr="00CE32C9" w:rsidRDefault="00103A04">
      <w:pPr>
        <w:rPr>
          <w:rFonts w:ascii="Arial" w:hAnsi="Arial" w:cs="Arial"/>
          <w:sz w:val="20"/>
          <w:szCs w:val="20"/>
        </w:rPr>
      </w:pPr>
    </w:p>
    <w:p w14:paraId="6E6BAE20" w14:textId="77777777" w:rsidR="00103A04" w:rsidRPr="006C7A52" w:rsidRDefault="00000000" w:rsidP="006C7A52">
      <w:pPr>
        <w:spacing w:before="0" w:after="0"/>
        <w:rPr>
          <w:rFonts w:ascii="Arial" w:hAnsi="Arial" w:cs="Arial"/>
          <w:b/>
          <w:bCs/>
        </w:rPr>
      </w:pPr>
      <w:r w:rsidRPr="006C7A52">
        <w:rPr>
          <w:rFonts w:ascii="Arial" w:hAnsi="Arial" w:cs="Arial"/>
          <w:b/>
          <w:bCs/>
        </w:rPr>
        <w:t>Submitted to:</w:t>
      </w:r>
    </w:p>
    <w:p w14:paraId="6E6BAE21" w14:textId="77777777" w:rsidR="00103A04" w:rsidRPr="006C7A52" w:rsidRDefault="00000000" w:rsidP="006C7A52">
      <w:pPr>
        <w:spacing w:before="0" w:after="0"/>
        <w:rPr>
          <w:rFonts w:ascii="Arial" w:hAnsi="Arial" w:cs="Arial"/>
        </w:rPr>
      </w:pPr>
      <w:r w:rsidRPr="006C7A52">
        <w:rPr>
          <w:rFonts w:ascii="Arial" w:hAnsi="Arial" w:cs="Arial"/>
        </w:rPr>
        <w:t>ComEd</w:t>
      </w:r>
    </w:p>
    <w:p w14:paraId="6E6BAE22" w14:textId="77777777" w:rsidR="00103A04" w:rsidRPr="006C7A52" w:rsidRDefault="00000000" w:rsidP="006C7A52">
      <w:pPr>
        <w:spacing w:before="0" w:after="0"/>
        <w:rPr>
          <w:rFonts w:ascii="Arial" w:hAnsi="Arial" w:cs="Arial"/>
        </w:rPr>
      </w:pPr>
      <w:r w:rsidRPr="006C7A52">
        <w:rPr>
          <w:rFonts w:ascii="Arial" w:hAnsi="Arial" w:cs="Arial"/>
        </w:rPr>
        <w:t>2011 Swift Drive</w:t>
      </w:r>
    </w:p>
    <w:p w14:paraId="6E6BAE23" w14:textId="77777777" w:rsidR="00103A04" w:rsidRPr="006C7A52" w:rsidRDefault="00000000" w:rsidP="006C7A52">
      <w:pPr>
        <w:spacing w:before="0" w:after="0"/>
        <w:rPr>
          <w:rFonts w:ascii="Arial" w:hAnsi="Arial" w:cs="Arial"/>
        </w:rPr>
      </w:pPr>
      <w:r w:rsidRPr="006C7A52">
        <w:rPr>
          <w:rFonts w:ascii="Arial" w:hAnsi="Arial" w:cs="Arial"/>
        </w:rPr>
        <w:t>Oak Brook, IL 60523</w:t>
      </w:r>
    </w:p>
    <w:p w14:paraId="6E6BAE24" w14:textId="77777777" w:rsidR="00103A04" w:rsidRPr="006C7A52" w:rsidRDefault="00103A04" w:rsidP="006C7A52">
      <w:pPr>
        <w:spacing w:before="0" w:after="0"/>
        <w:rPr>
          <w:rFonts w:ascii="Arial" w:hAnsi="Arial" w:cs="Arial"/>
        </w:rPr>
      </w:pPr>
    </w:p>
    <w:p w14:paraId="6E6BAE25" w14:textId="77777777" w:rsidR="00103A04" w:rsidRPr="006C7A52" w:rsidRDefault="00000000" w:rsidP="006C7A52">
      <w:pPr>
        <w:spacing w:before="0" w:after="0"/>
        <w:rPr>
          <w:rFonts w:ascii="Arial" w:hAnsi="Arial" w:cs="Arial"/>
          <w:b/>
          <w:bCs/>
        </w:rPr>
      </w:pPr>
      <w:r w:rsidRPr="006C7A52">
        <w:rPr>
          <w:rFonts w:ascii="Arial" w:hAnsi="Arial" w:cs="Arial"/>
          <w:b/>
          <w:bCs/>
        </w:rPr>
        <w:t>Submitted by:</w:t>
      </w:r>
    </w:p>
    <w:p w14:paraId="6E6BAE26" w14:textId="77777777" w:rsidR="00103A04" w:rsidRPr="006C7A52" w:rsidRDefault="00000000" w:rsidP="006C7A52">
      <w:pPr>
        <w:spacing w:before="0" w:after="0"/>
        <w:rPr>
          <w:rFonts w:ascii="Arial" w:hAnsi="Arial" w:cs="Arial"/>
        </w:rPr>
      </w:pPr>
      <w:r w:rsidRPr="006C7A52">
        <w:rPr>
          <w:rFonts w:ascii="Arial" w:hAnsi="Arial" w:cs="Arial"/>
        </w:rPr>
        <w:t>Guidehouse Inc.</w:t>
      </w:r>
    </w:p>
    <w:p w14:paraId="6E6BAE27" w14:textId="77777777" w:rsidR="00103A04" w:rsidRPr="006C7A52" w:rsidRDefault="00000000" w:rsidP="006C7A52">
      <w:pPr>
        <w:spacing w:before="0" w:after="0"/>
        <w:rPr>
          <w:rFonts w:ascii="Arial" w:hAnsi="Arial" w:cs="Arial"/>
        </w:rPr>
      </w:pPr>
      <w:r w:rsidRPr="006C7A52">
        <w:rPr>
          <w:rFonts w:ascii="Arial" w:hAnsi="Arial" w:cs="Arial"/>
        </w:rPr>
        <w:t>150 N. Riverside Plaza, Suite 2100</w:t>
      </w:r>
    </w:p>
    <w:p w14:paraId="6E6BAE28" w14:textId="77777777" w:rsidR="00103A04" w:rsidRPr="006C7A52" w:rsidRDefault="00000000" w:rsidP="006C7A52">
      <w:pPr>
        <w:spacing w:before="0" w:after="0"/>
        <w:rPr>
          <w:rFonts w:ascii="Arial" w:hAnsi="Arial" w:cs="Arial"/>
        </w:rPr>
      </w:pPr>
      <w:r w:rsidRPr="006C7A52">
        <w:rPr>
          <w:rFonts w:ascii="Arial" w:hAnsi="Arial" w:cs="Arial"/>
        </w:rPr>
        <w:t>Chicago, IL 60606</w:t>
      </w:r>
    </w:p>
    <w:p w14:paraId="6E6BAE29" w14:textId="77777777" w:rsidR="00103A04" w:rsidRPr="006C7A52" w:rsidRDefault="00103A04" w:rsidP="006C7A52">
      <w:pPr>
        <w:spacing w:before="0" w:after="0"/>
        <w:rPr>
          <w:rFonts w:ascii="Arial" w:hAnsi="Arial" w:cs="Arial"/>
        </w:rPr>
      </w:pPr>
    </w:p>
    <w:p w14:paraId="6E6BAE2A" w14:textId="77777777" w:rsidR="00103A04" w:rsidRPr="006C7A52" w:rsidRDefault="00103A04" w:rsidP="006C7A52">
      <w:pPr>
        <w:spacing w:before="0" w:after="0"/>
        <w:rPr>
          <w:rFonts w:ascii="Arial" w:hAnsi="Arial" w:cs="Arial"/>
        </w:rPr>
      </w:pPr>
    </w:p>
    <w:p w14:paraId="6E6BAE2B" w14:textId="77777777" w:rsidR="00103A04" w:rsidRPr="006C7A52" w:rsidRDefault="00000000" w:rsidP="006C7A52">
      <w:pPr>
        <w:spacing w:before="0" w:after="0"/>
        <w:rPr>
          <w:rFonts w:ascii="Arial" w:hAnsi="Arial" w:cs="Arial"/>
        </w:rPr>
      </w:pPr>
      <w:r w:rsidRPr="006C7A52">
        <w:rPr>
          <w:rFonts w:ascii="Arial" w:hAnsi="Arial" w:cs="Arial"/>
          <w:b/>
        </w:rPr>
        <w:t>Contact:</w:t>
      </w:r>
    </w:p>
    <w:p w14:paraId="6E6BAE2C" w14:textId="77777777" w:rsidR="00103A04" w:rsidRPr="006C7A52" w:rsidRDefault="00103A04" w:rsidP="006C7A5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330"/>
        <w:gridCol w:w="3600"/>
      </w:tblGrid>
      <w:tr w:rsidR="00AC1EC6" w:rsidRPr="00601FE0" w14:paraId="6E6BAE35" w14:textId="77777777" w:rsidTr="00067EAD">
        <w:tc>
          <w:tcPr>
            <w:tcW w:w="3330" w:type="dxa"/>
          </w:tcPr>
          <w:p w14:paraId="6E6BAE2D" w14:textId="77777777" w:rsidR="00103A04" w:rsidRPr="00601FE0" w:rsidRDefault="00000000" w:rsidP="006C7A52">
            <w:pPr>
              <w:spacing w:before="0" w:after="0"/>
              <w:rPr>
                <w:rFonts w:ascii="Arial" w:hAnsi="Arial" w:cs="Arial"/>
                <w:sz w:val="21"/>
                <w:szCs w:val="21"/>
              </w:rPr>
            </w:pPr>
            <w:r w:rsidRPr="00601FE0">
              <w:rPr>
                <w:rFonts w:ascii="Arial" w:eastAsia="Arial" w:hAnsi="Arial" w:cs="Arial"/>
                <w:sz w:val="21"/>
                <w:szCs w:val="21"/>
              </w:rPr>
              <w:t>Charles Maglione, Partner</w:t>
            </w:r>
          </w:p>
          <w:p w14:paraId="6E6BAE2E" w14:textId="77777777" w:rsidR="00103A04" w:rsidRPr="00601FE0" w:rsidRDefault="00000000" w:rsidP="006C7A52">
            <w:pPr>
              <w:spacing w:before="0" w:after="0"/>
              <w:rPr>
                <w:rFonts w:ascii="Arial" w:hAnsi="Arial" w:cs="Arial"/>
                <w:sz w:val="21"/>
                <w:szCs w:val="21"/>
              </w:rPr>
            </w:pPr>
            <w:r w:rsidRPr="00601FE0">
              <w:rPr>
                <w:rFonts w:ascii="Arial" w:eastAsia="Arial" w:hAnsi="Arial" w:cs="Arial"/>
                <w:sz w:val="21"/>
                <w:szCs w:val="21"/>
              </w:rPr>
              <w:t>703.431.1983</w:t>
            </w:r>
          </w:p>
          <w:p w14:paraId="6E6BAE2F" w14:textId="77777777" w:rsidR="00103A04" w:rsidRPr="00601FE0" w:rsidRDefault="00000000" w:rsidP="00070D86">
            <w:pPr>
              <w:spacing w:before="0" w:after="0"/>
              <w:rPr>
                <w:rFonts w:cs="Arial"/>
                <w:sz w:val="21"/>
                <w:szCs w:val="21"/>
              </w:rPr>
            </w:pPr>
            <w:hyperlink r:id="rId13">
              <w:r w:rsidRPr="00601FE0">
                <w:rPr>
                  <w:rFonts w:ascii="Arial" w:hAnsi="Arial" w:cs="Arial"/>
                  <w:b/>
                  <w:sz w:val="21"/>
                  <w:szCs w:val="21"/>
                  <w:u w:val="single" w:color="93D500" w:themeColor="accent1"/>
                </w:rPr>
                <w:t>cmaglione@guidehouse.com</w:t>
              </w:r>
            </w:hyperlink>
          </w:p>
        </w:tc>
        <w:tc>
          <w:tcPr>
            <w:tcW w:w="3330" w:type="dxa"/>
          </w:tcPr>
          <w:p w14:paraId="6E6BAE30" w14:textId="77777777" w:rsidR="00103A04" w:rsidRPr="00601FE0" w:rsidRDefault="00000000" w:rsidP="006C7A52">
            <w:pPr>
              <w:spacing w:before="0" w:after="0"/>
              <w:rPr>
                <w:rFonts w:ascii="Arial" w:hAnsi="Arial" w:cs="Arial"/>
                <w:sz w:val="21"/>
                <w:szCs w:val="21"/>
              </w:rPr>
            </w:pPr>
            <w:r w:rsidRPr="00601FE0">
              <w:rPr>
                <w:rFonts w:ascii="Arial" w:hAnsi="Arial" w:cs="Arial"/>
                <w:sz w:val="21"/>
                <w:szCs w:val="21"/>
              </w:rPr>
              <w:t>Jeff Erickson, Director</w:t>
            </w:r>
          </w:p>
          <w:p w14:paraId="6E6BAE31" w14:textId="77777777" w:rsidR="00103A04" w:rsidRPr="00601FE0" w:rsidRDefault="00000000" w:rsidP="006C7A52">
            <w:pPr>
              <w:spacing w:before="0" w:after="0"/>
              <w:rPr>
                <w:rFonts w:ascii="Arial" w:hAnsi="Arial" w:cs="Arial"/>
                <w:sz w:val="21"/>
                <w:szCs w:val="21"/>
              </w:rPr>
            </w:pPr>
            <w:r w:rsidRPr="00601FE0">
              <w:rPr>
                <w:rFonts w:ascii="Arial" w:hAnsi="Arial" w:cs="Arial"/>
                <w:sz w:val="21"/>
                <w:szCs w:val="21"/>
              </w:rPr>
              <w:t>608.616.4962</w:t>
            </w:r>
          </w:p>
          <w:p w14:paraId="6E6BAE32" w14:textId="77777777" w:rsidR="00103A04" w:rsidRPr="00601FE0" w:rsidRDefault="00000000" w:rsidP="006C7A52">
            <w:pPr>
              <w:spacing w:before="0" w:after="0"/>
              <w:rPr>
                <w:rFonts w:ascii="Arial" w:hAnsi="Arial" w:cs="Arial"/>
                <w:sz w:val="21"/>
                <w:szCs w:val="21"/>
                <w:u w:color="93D500" w:themeColor="accent1"/>
              </w:rPr>
            </w:pPr>
            <w:hyperlink r:id="rId14" w:history="1">
              <w:r w:rsidRPr="00601FE0">
                <w:rPr>
                  <w:rFonts w:ascii="Arial" w:hAnsi="Arial" w:cs="Arial"/>
                  <w:b/>
                  <w:sz w:val="21"/>
                  <w:szCs w:val="21"/>
                  <w:u w:val="single" w:color="93D500" w:themeColor="accent1"/>
                </w:rPr>
                <w:t>jeff.erickson@guidehouse.com</w:t>
              </w:r>
            </w:hyperlink>
          </w:p>
        </w:tc>
        <w:tc>
          <w:tcPr>
            <w:tcW w:w="3600" w:type="dxa"/>
          </w:tcPr>
          <w:p w14:paraId="35B8CDCB" w14:textId="431F9A81" w:rsidR="006A2B4E" w:rsidRPr="00601FE0" w:rsidRDefault="006A2B4E" w:rsidP="006A2B4E">
            <w:pPr>
              <w:spacing w:before="0" w:after="0"/>
              <w:rPr>
                <w:rFonts w:ascii="Arial" w:hAnsi="Arial" w:cs="Arial"/>
                <w:sz w:val="21"/>
                <w:szCs w:val="21"/>
              </w:rPr>
            </w:pPr>
            <w:r>
              <w:rPr>
                <w:rFonts w:ascii="Arial" w:hAnsi="Arial" w:cs="Arial"/>
                <w:sz w:val="21"/>
                <w:szCs w:val="21"/>
              </w:rPr>
              <w:t>Nishant Mehta</w:t>
            </w:r>
            <w:r w:rsidRPr="00601FE0">
              <w:rPr>
                <w:rFonts w:ascii="Arial" w:hAnsi="Arial" w:cs="Arial"/>
                <w:sz w:val="21"/>
                <w:szCs w:val="21"/>
              </w:rPr>
              <w:t xml:space="preserve">, </w:t>
            </w:r>
            <w:r>
              <w:rPr>
                <w:rFonts w:ascii="Arial" w:hAnsi="Arial" w:cs="Arial"/>
                <w:sz w:val="21"/>
                <w:szCs w:val="21"/>
              </w:rPr>
              <w:t xml:space="preserve">Associate </w:t>
            </w:r>
            <w:r w:rsidRPr="00601FE0">
              <w:rPr>
                <w:rFonts w:ascii="Arial" w:hAnsi="Arial" w:cs="Arial"/>
                <w:sz w:val="21"/>
                <w:szCs w:val="21"/>
              </w:rPr>
              <w:t>Director</w:t>
            </w:r>
          </w:p>
          <w:p w14:paraId="0DBBA710" w14:textId="758A9C7F" w:rsidR="006A2B4E" w:rsidRPr="00601FE0" w:rsidRDefault="006A2B4E" w:rsidP="006A2B4E">
            <w:pPr>
              <w:spacing w:before="0" w:after="0"/>
              <w:rPr>
                <w:rFonts w:ascii="Arial" w:hAnsi="Arial" w:cs="Arial"/>
                <w:sz w:val="21"/>
                <w:szCs w:val="21"/>
              </w:rPr>
            </w:pPr>
            <w:r w:rsidRPr="00601FE0">
              <w:rPr>
                <w:rFonts w:ascii="Arial" w:hAnsi="Arial" w:cs="Arial"/>
                <w:sz w:val="21"/>
                <w:szCs w:val="21"/>
              </w:rPr>
              <w:t>608.616.</w:t>
            </w:r>
            <w:r w:rsidR="00067EAD">
              <w:rPr>
                <w:rFonts w:ascii="Arial" w:hAnsi="Arial" w:cs="Arial"/>
                <w:sz w:val="21"/>
                <w:szCs w:val="21"/>
              </w:rPr>
              <w:t>5823</w:t>
            </w:r>
          </w:p>
          <w:p w14:paraId="6E6BAE34" w14:textId="63B62BA9" w:rsidR="00103A04" w:rsidRPr="00601FE0" w:rsidRDefault="00000000" w:rsidP="006A2B4E">
            <w:pPr>
              <w:spacing w:before="0" w:after="0"/>
              <w:rPr>
                <w:rFonts w:ascii="Arial" w:hAnsi="Arial" w:cs="Arial"/>
                <w:sz w:val="21"/>
                <w:szCs w:val="21"/>
              </w:rPr>
            </w:pPr>
            <w:hyperlink r:id="rId15" w:history="1">
              <w:r w:rsidR="00067EAD">
                <w:rPr>
                  <w:rFonts w:ascii="Arial" w:hAnsi="Arial" w:cs="Arial"/>
                  <w:b/>
                  <w:sz w:val="21"/>
                  <w:szCs w:val="21"/>
                  <w:u w:val="single" w:color="93D500" w:themeColor="accent1"/>
                </w:rPr>
                <w:t>nishant.mehta@guidehouse.com</w:t>
              </w:r>
            </w:hyperlink>
          </w:p>
        </w:tc>
      </w:tr>
    </w:tbl>
    <w:p w14:paraId="6E6BAE36" w14:textId="77777777" w:rsidR="00103A04" w:rsidRPr="00CE32C9" w:rsidRDefault="00103A04" w:rsidP="00AC1EC6">
      <w:pPr>
        <w:pStyle w:val="Contactinfo"/>
        <w:rPr>
          <w:rFonts w:cs="Arial"/>
          <w:sz w:val="20"/>
        </w:rPr>
      </w:pPr>
    </w:p>
    <w:p w14:paraId="6E6BAE37" w14:textId="77777777" w:rsidR="00103A04" w:rsidRPr="00CE32C9" w:rsidRDefault="00000000" w:rsidP="00AC1EC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6E6BAE38" w14:textId="77777777" w:rsidR="00103A04" w:rsidRPr="00CE32C9" w:rsidRDefault="00103A04">
      <w:pPr>
        <w:rPr>
          <w:rFonts w:ascii="Arial" w:hAnsi="Arial" w:cs="Arial"/>
          <w:sz w:val="20"/>
          <w:szCs w:val="20"/>
        </w:rPr>
      </w:pPr>
    </w:p>
    <w:p w14:paraId="6E6BAE39" w14:textId="77777777" w:rsidR="00103A04" w:rsidRDefault="00103A04">
      <w:pPr>
        <w:suppressAutoHyphens w:val="0"/>
        <w:spacing w:before="0" w:after="0"/>
      </w:pPr>
    </w:p>
    <w:p w14:paraId="6E6BAE3A" w14:textId="77777777" w:rsidR="00103A04" w:rsidRDefault="00103A04">
      <w:pPr>
        <w:suppressAutoHyphens w:val="0"/>
        <w:spacing w:before="0" w:after="0"/>
        <w:rPr>
          <w:rFonts w:ascii="Arial" w:eastAsia="Calibri" w:hAnsi="Arial"/>
          <w:b/>
          <w:i/>
          <w:sz w:val="44"/>
          <w:szCs w:val="22"/>
        </w:rPr>
        <w:sectPr w:rsidR="00103A04" w:rsidSect="00505176">
          <w:headerReference w:type="default" r:id="rId16"/>
          <w:footerReference w:type="default" r:id="rId17"/>
          <w:headerReference w:type="first" r:id="rId18"/>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6E6BAE3B" w14:textId="77777777" w:rsidR="00103A04" w:rsidRDefault="00000000" w:rsidP="00950992">
      <w:pPr>
        <w:pStyle w:val="TOCHeading"/>
      </w:pPr>
      <w:r>
        <w:lastRenderedPageBreak/>
        <w:t>Table of Contents</w:t>
      </w:r>
      <w:bookmarkEnd w:id="1"/>
      <w:bookmarkEnd w:id="2"/>
    </w:p>
    <w:p w14:paraId="7CDC6041" w14:textId="42D8F961" w:rsidR="003D2BD3" w:rsidRDefault="00000000">
      <w:pPr>
        <w:pStyle w:val="TOC1"/>
        <w:rPr>
          <w:rFonts w:asciiTheme="minorHAnsi" w:eastAsiaTheme="minorEastAsia" w:hAnsiTheme="minorHAnsi" w:cstheme="minorBidi"/>
          <w:b w:val="0"/>
          <w:noProof/>
          <w:kern w:val="2"/>
          <w:sz w:val="22"/>
          <w:szCs w:val="22"/>
          <w14:ligatures w14:val="standardContextual"/>
        </w:rPr>
      </w:pPr>
      <w:r>
        <w:fldChar w:fldCharType="begin"/>
      </w:r>
      <w:r>
        <w:instrText xml:space="preserve"> TOC \o "2-3" \h \z \t "Heading 1,1" </w:instrText>
      </w:r>
      <w:r>
        <w:fldChar w:fldCharType="separate"/>
      </w:r>
      <w:hyperlink w:anchor="_Toc192669247" w:history="1">
        <w:r w:rsidR="003D2BD3" w:rsidRPr="002552B4">
          <w:rPr>
            <w:rStyle w:val="Hyperlink"/>
            <w:noProof/>
          </w:rPr>
          <w:t>Introduction</w:t>
        </w:r>
        <w:r w:rsidR="003D2BD3">
          <w:rPr>
            <w:noProof/>
            <w:webHidden/>
          </w:rPr>
          <w:tab/>
        </w:r>
        <w:r w:rsidR="003D2BD3">
          <w:rPr>
            <w:noProof/>
            <w:webHidden/>
          </w:rPr>
          <w:fldChar w:fldCharType="begin"/>
        </w:r>
        <w:r w:rsidR="003D2BD3">
          <w:rPr>
            <w:noProof/>
            <w:webHidden/>
          </w:rPr>
          <w:instrText xml:space="preserve"> PAGEREF _Toc192669247 \h </w:instrText>
        </w:r>
        <w:r w:rsidR="003D2BD3">
          <w:rPr>
            <w:noProof/>
            <w:webHidden/>
          </w:rPr>
        </w:r>
        <w:r w:rsidR="003D2BD3">
          <w:rPr>
            <w:noProof/>
            <w:webHidden/>
          </w:rPr>
          <w:fldChar w:fldCharType="separate"/>
        </w:r>
        <w:r w:rsidR="003D2BD3">
          <w:rPr>
            <w:noProof/>
            <w:webHidden/>
          </w:rPr>
          <w:t>1</w:t>
        </w:r>
        <w:r w:rsidR="003D2BD3">
          <w:rPr>
            <w:noProof/>
            <w:webHidden/>
          </w:rPr>
          <w:fldChar w:fldCharType="end"/>
        </w:r>
      </w:hyperlink>
    </w:p>
    <w:p w14:paraId="2D65A426" w14:textId="12485A46" w:rsidR="003D2BD3" w:rsidRDefault="003D2BD3">
      <w:pPr>
        <w:pStyle w:val="TOC1"/>
        <w:rPr>
          <w:rFonts w:asciiTheme="minorHAnsi" w:eastAsiaTheme="minorEastAsia" w:hAnsiTheme="minorHAnsi" w:cstheme="minorBidi"/>
          <w:b w:val="0"/>
          <w:noProof/>
          <w:kern w:val="2"/>
          <w:sz w:val="22"/>
          <w:szCs w:val="22"/>
          <w14:ligatures w14:val="standardContextual"/>
        </w:rPr>
      </w:pPr>
      <w:hyperlink w:anchor="_Toc192669248" w:history="1">
        <w:r w:rsidRPr="002552B4">
          <w:rPr>
            <w:rStyle w:val="Hyperlink"/>
            <w:noProof/>
          </w:rPr>
          <w:t>Program Savings Detail</w:t>
        </w:r>
        <w:r>
          <w:rPr>
            <w:noProof/>
            <w:webHidden/>
          </w:rPr>
          <w:tab/>
        </w:r>
        <w:r>
          <w:rPr>
            <w:noProof/>
            <w:webHidden/>
          </w:rPr>
          <w:fldChar w:fldCharType="begin"/>
        </w:r>
        <w:r>
          <w:rPr>
            <w:noProof/>
            <w:webHidden/>
          </w:rPr>
          <w:instrText xml:space="preserve"> PAGEREF _Toc192669248 \h </w:instrText>
        </w:r>
        <w:r>
          <w:rPr>
            <w:noProof/>
            <w:webHidden/>
          </w:rPr>
        </w:r>
        <w:r>
          <w:rPr>
            <w:noProof/>
            <w:webHidden/>
          </w:rPr>
          <w:fldChar w:fldCharType="separate"/>
        </w:r>
        <w:r>
          <w:rPr>
            <w:noProof/>
            <w:webHidden/>
          </w:rPr>
          <w:t>2</w:t>
        </w:r>
        <w:r>
          <w:rPr>
            <w:noProof/>
            <w:webHidden/>
          </w:rPr>
          <w:fldChar w:fldCharType="end"/>
        </w:r>
      </w:hyperlink>
    </w:p>
    <w:p w14:paraId="2F5711B5" w14:textId="4C556A53" w:rsidR="003D2BD3" w:rsidRDefault="003D2BD3">
      <w:pPr>
        <w:pStyle w:val="TOC1"/>
        <w:rPr>
          <w:rFonts w:asciiTheme="minorHAnsi" w:eastAsiaTheme="minorEastAsia" w:hAnsiTheme="minorHAnsi" w:cstheme="minorBidi"/>
          <w:b w:val="0"/>
          <w:noProof/>
          <w:kern w:val="2"/>
          <w:sz w:val="22"/>
          <w:szCs w:val="22"/>
          <w14:ligatures w14:val="standardContextual"/>
        </w:rPr>
      </w:pPr>
      <w:hyperlink w:anchor="_Toc192669249" w:history="1">
        <w:r w:rsidRPr="002552B4">
          <w:rPr>
            <w:rStyle w:val="Hyperlink"/>
            <w:noProof/>
          </w:rPr>
          <w:t>Cumulative Persisting Annual Savings</w:t>
        </w:r>
        <w:r>
          <w:rPr>
            <w:noProof/>
            <w:webHidden/>
          </w:rPr>
          <w:tab/>
        </w:r>
        <w:r>
          <w:rPr>
            <w:noProof/>
            <w:webHidden/>
          </w:rPr>
          <w:fldChar w:fldCharType="begin"/>
        </w:r>
        <w:r>
          <w:rPr>
            <w:noProof/>
            <w:webHidden/>
          </w:rPr>
          <w:instrText xml:space="preserve"> PAGEREF _Toc192669249 \h </w:instrText>
        </w:r>
        <w:r>
          <w:rPr>
            <w:noProof/>
            <w:webHidden/>
          </w:rPr>
        </w:r>
        <w:r>
          <w:rPr>
            <w:noProof/>
            <w:webHidden/>
          </w:rPr>
          <w:fldChar w:fldCharType="separate"/>
        </w:r>
        <w:r>
          <w:rPr>
            <w:noProof/>
            <w:webHidden/>
          </w:rPr>
          <w:t>4</w:t>
        </w:r>
        <w:r>
          <w:rPr>
            <w:noProof/>
            <w:webHidden/>
          </w:rPr>
          <w:fldChar w:fldCharType="end"/>
        </w:r>
      </w:hyperlink>
    </w:p>
    <w:p w14:paraId="6E6BAE3F" w14:textId="3A4F26AB" w:rsidR="00103A04" w:rsidRDefault="00000000">
      <w:pPr>
        <w:pStyle w:val="GHBodytext"/>
      </w:pPr>
      <w:r>
        <w:fldChar w:fldCharType="end"/>
      </w:r>
    </w:p>
    <w:p w14:paraId="6E6BAE40" w14:textId="77777777" w:rsidR="00103A04" w:rsidRPr="00FA4A7C" w:rsidRDefault="00000000" w:rsidP="00FA4A7C">
      <w:pPr>
        <w:pStyle w:val="GHTOC"/>
      </w:pPr>
      <w:bookmarkStart w:id="3" w:name="_Toc181693456"/>
      <w:bookmarkStart w:id="4" w:name="_Toc181693477"/>
      <w:bookmarkStart w:id="5" w:name="_Toc186529826"/>
      <w:r>
        <w:t>List of Figures</w:t>
      </w:r>
      <w:bookmarkEnd w:id="3"/>
      <w:bookmarkEnd w:id="4"/>
      <w:bookmarkEnd w:id="5"/>
    </w:p>
    <w:p w14:paraId="45FF76AB" w14:textId="20BC26B8" w:rsidR="003D2BD3" w:rsidRDefault="00000000">
      <w:pPr>
        <w:pStyle w:val="TableofFigures"/>
        <w:rPr>
          <w:rFonts w:asciiTheme="minorHAnsi" w:eastAsiaTheme="minorEastAsia" w:hAnsiTheme="minorHAnsi" w:cstheme="minorBidi"/>
          <w:noProof/>
          <w:kern w:val="2"/>
          <w:sz w:val="22"/>
          <w:szCs w:val="22"/>
          <w14:ligatures w14:val="standardContextual"/>
        </w:rPr>
      </w:pPr>
      <w:r>
        <w:rPr>
          <w:b/>
        </w:rPr>
        <w:fldChar w:fldCharType="begin"/>
      </w:r>
      <w:r>
        <w:rPr>
          <w:b/>
        </w:rPr>
        <w:instrText xml:space="preserve"> TOC \h \z \c "Figure" </w:instrText>
      </w:r>
      <w:r>
        <w:rPr>
          <w:b/>
        </w:rPr>
        <w:fldChar w:fldCharType="separate"/>
      </w:r>
      <w:hyperlink w:anchor="_Toc192669244" w:history="1">
        <w:r w:rsidR="003D2BD3" w:rsidRPr="002C1C96">
          <w:rPr>
            <w:rStyle w:val="Hyperlink"/>
            <w:noProof/>
          </w:rPr>
          <w:t>Figure 1. Verified Net Savings by Measure – Electric</w:t>
        </w:r>
        <w:r w:rsidR="003D2BD3">
          <w:rPr>
            <w:noProof/>
            <w:webHidden/>
          </w:rPr>
          <w:tab/>
        </w:r>
        <w:r w:rsidR="003D2BD3">
          <w:rPr>
            <w:noProof/>
            <w:webHidden/>
          </w:rPr>
          <w:fldChar w:fldCharType="begin"/>
        </w:r>
        <w:r w:rsidR="003D2BD3">
          <w:rPr>
            <w:noProof/>
            <w:webHidden/>
          </w:rPr>
          <w:instrText xml:space="preserve"> PAGEREF _Toc192669244 \h </w:instrText>
        </w:r>
        <w:r w:rsidR="003D2BD3">
          <w:rPr>
            <w:noProof/>
            <w:webHidden/>
          </w:rPr>
        </w:r>
        <w:r w:rsidR="003D2BD3">
          <w:rPr>
            <w:noProof/>
            <w:webHidden/>
          </w:rPr>
          <w:fldChar w:fldCharType="separate"/>
        </w:r>
        <w:r w:rsidR="003D2BD3">
          <w:rPr>
            <w:noProof/>
            <w:webHidden/>
          </w:rPr>
          <w:t>3</w:t>
        </w:r>
        <w:r w:rsidR="003D2BD3">
          <w:rPr>
            <w:noProof/>
            <w:webHidden/>
          </w:rPr>
          <w:fldChar w:fldCharType="end"/>
        </w:r>
      </w:hyperlink>
    </w:p>
    <w:p w14:paraId="6E6BAE42" w14:textId="74784886" w:rsidR="00103A04" w:rsidRDefault="00000000" w:rsidP="00FA4A7C">
      <w:pPr>
        <w:pStyle w:val="GHBodytext"/>
        <w:tabs>
          <w:tab w:val="right" w:pos="9360"/>
        </w:tabs>
      </w:pPr>
      <w:r>
        <w:rPr>
          <w:b/>
        </w:rPr>
        <w:fldChar w:fldCharType="end"/>
      </w:r>
    </w:p>
    <w:p w14:paraId="6E6BAE43" w14:textId="79D8335E" w:rsidR="00103A04" w:rsidRDefault="00000000">
      <w:pPr>
        <w:pStyle w:val="GHTOC"/>
      </w:pPr>
      <w:bookmarkStart w:id="6" w:name="_Toc181693457"/>
      <w:bookmarkStart w:id="7" w:name="_Toc181693478"/>
      <w:bookmarkStart w:id="8" w:name="_Toc186529827"/>
      <w:r>
        <w:t>List of Tables</w:t>
      </w:r>
      <w:bookmarkEnd w:id="6"/>
      <w:bookmarkEnd w:id="7"/>
      <w:bookmarkEnd w:id="8"/>
    </w:p>
    <w:p w14:paraId="6D0BF0DB" w14:textId="27F421E6" w:rsidR="003D2BD3" w:rsidRDefault="00000000">
      <w:pPr>
        <w:pStyle w:val="TableofFigures"/>
        <w:rPr>
          <w:rFonts w:asciiTheme="minorHAnsi" w:eastAsiaTheme="minorEastAsia" w:hAnsiTheme="minorHAnsi" w:cstheme="minorBidi"/>
          <w:noProof/>
          <w:kern w:val="2"/>
          <w:sz w:val="22"/>
          <w:szCs w:val="22"/>
          <w14:ligatures w14:val="standardContextual"/>
        </w:rPr>
      </w:pPr>
      <w:r>
        <w:fldChar w:fldCharType="begin"/>
      </w:r>
      <w:r>
        <w:instrText xml:space="preserve"> TOC \h \z \c "Table" </w:instrText>
      </w:r>
      <w:r>
        <w:fldChar w:fldCharType="separate"/>
      </w:r>
      <w:hyperlink w:anchor="_Toc192669238" w:history="1">
        <w:r w:rsidR="003D2BD3" w:rsidRPr="00FD04C8">
          <w:rPr>
            <w:rStyle w:val="Hyperlink"/>
            <w:noProof/>
          </w:rPr>
          <w:t>Table 1. Total Annual Incremental Electric Savings - Total</w:t>
        </w:r>
        <w:r w:rsidR="003D2BD3">
          <w:rPr>
            <w:noProof/>
            <w:webHidden/>
          </w:rPr>
          <w:tab/>
        </w:r>
        <w:r w:rsidR="003D2BD3">
          <w:rPr>
            <w:noProof/>
            <w:webHidden/>
          </w:rPr>
          <w:fldChar w:fldCharType="begin"/>
        </w:r>
        <w:r w:rsidR="003D2BD3">
          <w:rPr>
            <w:noProof/>
            <w:webHidden/>
          </w:rPr>
          <w:instrText xml:space="preserve"> PAGEREF _Toc192669238 \h </w:instrText>
        </w:r>
        <w:r w:rsidR="003D2BD3">
          <w:rPr>
            <w:noProof/>
            <w:webHidden/>
          </w:rPr>
        </w:r>
        <w:r w:rsidR="003D2BD3">
          <w:rPr>
            <w:noProof/>
            <w:webHidden/>
          </w:rPr>
          <w:fldChar w:fldCharType="separate"/>
        </w:r>
        <w:r w:rsidR="003D2BD3">
          <w:rPr>
            <w:noProof/>
            <w:webHidden/>
          </w:rPr>
          <w:t>2</w:t>
        </w:r>
        <w:r w:rsidR="003D2BD3">
          <w:rPr>
            <w:noProof/>
            <w:webHidden/>
          </w:rPr>
          <w:fldChar w:fldCharType="end"/>
        </w:r>
      </w:hyperlink>
    </w:p>
    <w:p w14:paraId="7E2405F4" w14:textId="1CE561E8" w:rsidR="003D2BD3" w:rsidRDefault="003D2BD3">
      <w:pPr>
        <w:pStyle w:val="TableofFigures"/>
        <w:rPr>
          <w:rFonts w:asciiTheme="minorHAnsi" w:eastAsiaTheme="minorEastAsia" w:hAnsiTheme="minorHAnsi" w:cstheme="minorBidi"/>
          <w:noProof/>
          <w:kern w:val="2"/>
          <w:sz w:val="22"/>
          <w:szCs w:val="22"/>
          <w14:ligatures w14:val="standardContextual"/>
        </w:rPr>
      </w:pPr>
      <w:hyperlink w:anchor="_Toc192669239" w:history="1">
        <w:r w:rsidRPr="00FD04C8">
          <w:rPr>
            <w:rStyle w:val="Hyperlink"/>
            <w:noProof/>
          </w:rPr>
          <w:t>Table 2. CPAS – Electric</w:t>
        </w:r>
        <w:r>
          <w:rPr>
            <w:noProof/>
            <w:webHidden/>
          </w:rPr>
          <w:tab/>
        </w:r>
        <w:r>
          <w:rPr>
            <w:noProof/>
            <w:webHidden/>
          </w:rPr>
          <w:fldChar w:fldCharType="begin"/>
        </w:r>
        <w:r>
          <w:rPr>
            <w:noProof/>
            <w:webHidden/>
          </w:rPr>
          <w:instrText xml:space="preserve"> PAGEREF _Toc192669239 \h </w:instrText>
        </w:r>
        <w:r>
          <w:rPr>
            <w:noProof/>
            <w:webHidden/>
          </w:rPr>
        </w:r>
        <w:r>
          <w:rPr>
            <w:noProof/>
            <w:webHidden/>
          </w:rPr>
          <w:fldChar w:fldCharType="separate"/>
        </w:r>
        <w:r>
          <w:rPr>
            <w:noProof/>
            <w:webHidden/>
          </w:rPr>
          <w:t>4</w:t>
        </w:r>
        <w:r>
          <w:rPr>
            <w:noProof/>
            <w:webHidden/>
          </w:rPr>
          <w:fldChar w:fldCharType="end"/>
        </w:r>
      </w:hyperlink>
    </w:p>
    <w:p w14:paraId="47056058" w14:textId="611FB7D2" w:rsidR="003D2BD3" w:rsidRDefault="003D2BD3">
      <w:pPr>
        <w:pStyle w:val="TableofFigures"/>
        <w:rPr>
          <w:rFonts w:asciiTheme="minorHAnsi" w:eastAsiaTheme="minorEastAsia" w:hAnsiTheme="minorHAnsi" w:cstheme="minorBidi"/>
          <w:noProof/>
          <w:kern w:val="2"/>
          <w:sz w:val="22"/>
          <w:szCs w:val="22"/>
          <w14:ligatures w14:val="standardContextual"/>
        </w:rPr>
      </w:pPr>
      <w:hyperlink w:anchor="_Toc192669240" w:history="1">
        <w:r w:rsidRPr="00FD04C8">
          <w:rPr>
            <w:rStyle w:val="Hyperlink"/>
            <w:noProof/>
          </w:rPr>
          <w:t>Table 3. CPAS – Other Fuel (Gas + Propane)</w:t>
        </w:r>
        <w:r>
          <w:rPr>
            <w:noProof/>
            <w:webHidden/>
          </w:rPr>
          <w:tab/>
        </w:r>
        <w:r>
          <w:rPr>
            <w:noProof/>
            <w:webHidden/>
          </w:rPr>
          <w:fldChar w:fldCharType="begin"/>
        </w:r>
        <w:r>
          <w:rPr>
            <w:noProof/>
            <w:webHidden/>
          </w:rPr>
          <w:instrText xml:space="preserve"> PAGEREF _Toc192669240 \h </w:instrText>
        </w:r>
        <w:r>
          <w:rPr>
            <w:noProof/>
            <w:webHidden/>
          </w:rPr>
        </w:r>
        <w:r>
          <w:rPr>
            <w:noProof/>
            <w:webHidden/>
          </w:rPr>
          <w:fldChar w:fldCharType="separate"/>
        </w:r>
        <w:r>
          <w:rPr>
            <w:noProof/>
            <w:webHidden/>
          </w:rPr>
          <w:t>4</w:t>
        </w:r>
        <w:r>
          <w:rPr>
            <w:noProof/>
            <w:webHidden/>
          </w:rPr>
          <w:fldChar w:fldCharType="end"/>
        </w:r>
      </w:hyperlink>
    </w:p>
    <w:p w14:paraId="344DEFCE" w14:textId="7A245CC3" w:rsidR="003D2BD3" w:rsidRDefault="003D2BD3">
      <w:pPr>
        <w:pStyle w:val="TableofFigures"/>
        <w:rPr>
          <w:rFonts w:asciiTheme="minorHAnsi" w:eastAsiaTheme="minorEastAsia" w:hAnsiTheme="minorHAnsi" w:cstheme="minorBidi"/>
          <w:noProof/>
          <w:kern w:val="2"/>
          <w:sz w:val="22"/>
          <w:szCs w:val="22"/>
          <w14:ligatures w14:val="standardContextual"/>
        </w:rPr>
      </w:pPr>
      <w:hyperlink w:anchor="_Toc192669241" w:history="1">
        <w:r w:rsidRPr="00FD04C8">
          <w:rPr>
            <w:rStyle w:val="Hyperlink"/>
            <w:noProof/>
          </w:rPr>
          <w:t>Table 4. CPAS – Total</w:t>
        </w:r>
        <w:r>
          <w:rPr>
            <w:noProof/>
            <w:webHidden/>
          </w:rPr>
          <w:tab/>
        </w:r>
        <w:r>
          <w:rPr>
            <w:noProof/>
            <w:webHidden/>
          </w:rPr>
          <w:fldChar w:fldCharType="begin"/>
        </w:r>
        <w:r>
          <w:rPr>
            <w:noProof/>
            <w:webHidden/>
          </w:rPr>
          <w:instrText xml:space="preserve"> PAGEREF _Toc192669241 \h </w:instrText>
        </w:r>
        <w:r>
          <w:rPr>
            <w:noProof/>
            <w:webHidden/>
          </w:rPr>
        </w:r>
        <w:r>
          <w:rPr>
            <w:noProof/>
            <w:webHidden/>
          </w:rPr>
          <w:fldChar w:fldCharType="separate"/>
        </w:r>
        <w:r>
          <w:rPr>
            <w:noProof/>
            <w:webHidden/>
          </w:rPr>
          <w:t>5</w:t>
        </w:r>
        <w:r>
          <w:rPr>
            <w:noProof/>
            <w:webHidden/>
          </w:rPr>
          <w:fldChar w:fldCharType="end"/>
        </w:r>
      </w:hyperlink>
    </w:p>
    <w:p w14:paraId="6E6BAE4A" w14:textId="2CF57187" w:rsidR="00103A04" w:rsidRPr="00FA4A7C" w:rsidRDefault="00000000" w:rsidP="00FA4A7C">
      <w:r>
        <w:fldChar w:fldCharType="end"/>
      </w:r>
      <w:bookmarkStart w:id="9" w:name="_Toc151371877"/>
      <w:bookmarkStart w:id="10" w:name="_Toc181693463"/>
      <w:bookmarkStart w:id="11" w:name="_Toc181693484"/>
    </w:p>
    <w:p w14:paraId="6E6BAE4B" w14:textId="77777777" w:rsidR="00103A04" w:rsidRDefault="00103A04">
      <w:pPr>
        <w:suppressAutoHyphens w:val="0"/>
        <w:spacing w:before="0" w:after="0"/>
        <w:rPr>
          <w:rFonts w:ascii="Arial" w:eastAsia="Calibri" w:hAnsi="Arial"/>
          <w:b/>
          <w:sz w:val="32"/>
          <w:szCs w:val="22"/>
        </w:rPr>
        <w:sectPr w:rsidR="00103A04" w:rsidSect="00C93763">
          <w:pgSz w:w="12240" w:h="15840" w:code="1"/>
          <w:pgMar w:top="1440" w:right="1440" w:bottom="1440" w:left="1440" w:header="720" w:footer="720" w:gutter="0"/>
          <w:pgNumType w:start="1"/>
          <w:cols w:space="720"/>
          <w:docGrid w:linePitch="360"/>
        </w:sectPr>
      </w:pPr>
    </w:p>
    <w:p w14:paraId="6E6BAE4C" w14:textId="77777777" w:rsidR="00103A04" w:rsidRDefault="00000000" w:rsidP="00C93763">
      <w:pPr>
        <w:pStyle w:val="Heading10"/>
      </w:pPr>
      <w:bookmarkStart w:id="12" w:name="_Toc151976667"/>
      <w:bookmarkStart w:id="13" w:name="_Toc192669247"/>
      <w:bookmarkEnd w:id="9"/>
      <w:bookmarkEnd w:id="10"/>
      <w:bookmarkEnd w:id="11"/>
      <w:r>
        <w:lastRenderedPageBreak/>
        <w:t>Introduction</w:t>
      </w:r>
      <w:bookmarkEnd w:id="12"/>
      <w:bookmarkEnd w:id="13"/>
    </w:p>
    <w:p w14:paraId="6E6BAE4D" w14:textId="1F4545CF" w:rsidR="00103A04" w:rsidRPr="00D937E4" w:rsidRDefault="00000000" w:rsidP="00FB6842">
      <w:pPr>
        <w:pStyle w:val="BodyText"/>
      </w:pPr>
      <w:r w:rsidRPr="00F64B8B">
        <w:t xml:space="preserve">This report presents </w:t>
      </w:r>
      <w:r>
        <w:t xml:space="preserve">the results of the impact evaluation of the </w:t>
      </w:r>
      <w:r w:rsidR="00975BF6">
        <w:t xml:space="preserve">Targeted Systems </w:t>
      </w:r>
      <w:r>
        <w:t>program from the program year from January 1 to December 31, 2024 (CY2024)</w:t>
      </w:r>
      <w:r w:rsidRPr="00B52A58">
        <w:t>.</w:t>
      </w:r>
    </w:p>
    <w:p w14:paraId="58EAAAA5" w14:textId="77777777" w:rsidR="00C82877" w:rsidRPr="00C82877" w:rsidRDefault="00C82877" w:rsidP="00FB6842">
      <w:pPr>
        <w:pStyle w:val="BodyText"/>
      </w:pPr>
      <w:r w:rsidRPr="00C82877">
        <w:t xml:space="preserve">The Targeted Systems program provides a fully funded engineering study to help optimize operations of existing building and industrial systems and identifies low-cost and no-cost measures for systems and processes. The program is also available to smaller customers, through measures in which smart meter interval usage data is used to remotely identify operational savings opportunities. The program also offers tuition-reimbursement for customers who complete the training and certification for commercial building operators. Eligible measures include low-cost energy conservation measures that have an average simple payback of 18 months, capital investments, and operational adjustments, such as optimizing operating parameters, properly matching equipment to load, and installing controls that improve system efficiency. Applicable systems include compressed air, process cooling, industrial refrigeration, building HVAC systems, water and wastewater treatment, and process efficiency for heating and cooling in production. This program targets public and private commercial and industrial customers in </w:t>
      </w:r>
      <w:proofErr w:type="spellStart"/>
      <w:r w:rsidRPr="00C82877">
        <w:t>ComEd’s</w:t>
      </w:r>
      <w:proofErr w:type="spellEnd"/>
      <w:r w:rsidRPr="00C82877">
        <w:t xml:space="preserve"> service territory. Typical participants include commercial office buildings, hospitals/health care facilities, higher education buildings, and industrial customers.</w:t>
      </w:r>
    </w:p>
    <w:p w14:paraId="6E6BAE50" w14:textId="71AEC5E4" w:rsidR="00103A04" w:rsidRPr="00D937E4" w:rsidRDefault="00000000" w:rsidP="00FB6842">
      <w:pPr>
        <w:pStyle w:val="BodyText"/>
      </w:pPr>
      <w:r>
        <w:t xml:space="preserve">The program is offered jointly to customers served by ComEd, </w:t>
      </w:r>
      <w:r w:rsidRPr="00975BF6">
        <w:t>Nicor Gas, Peoples Gas, and North Shore Gas.</w:t>
      </w:r>
      <w:r>
        <w:t xml:space="preserve"> This report presents the results just for ComEd. The results for the gas utilities will be in a separate report.</w:t>
      </w:r>
    </w:p>
    <w:p w14:paraId="6E6BAE51" w14:textId="36C0EB98" w:rsidR="00103A04" w:rsidRDefault="00000000" w:rsidP="00C93763">
      <w:pPr>
        <w:pStyle w:val="Heading10"/>
      </w:pPr>
      <w:bookmarkStart w:id="14" w:name="_Toc151976668"/>
      <w:bookmarkStart w:id="15" w:name="_Toc192669248"/>
      <w:r>
        <w:lastRenderedPageBreak/>
        <w:t>Program Savings Detail</w:t>
      </w:r>
      <w:bookmarkEnd w:id="14"/>
      <w:bookmarkEnd w:id="15"/>
    </w:p>
    <w:bookmarkStart w:id="16" w:name="_Hlk117035428"/>
    <w:p w14:paraId="6E6BAE54" w14:textId="30C0BA7B" w:rsidR="00103A04" w:rsidRDefault="00000000" w:rsidP="00BA15E4">
      <w:pPr>
        <w:pStyle w:val="BodyText"/>
        <w:keepNext/>
        <w:keepLines/>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6"/>
      <w:r w:rsidRPr="008E2DD7">
        <w:t xml:space="preserve"> summarizes the incremental energy and demand savings the </w:t>
      </w:r>
      <w:r w:rsidR="008927A2">
        <w:t>Targeted Systems p</w:t>
      </w:r>
      <w:r w:rsidRPr="008E2DD7">
        <w:t>rogram achieved in CY202</w:t>
      </w:r>
      <w:r>
        <w:t>4</w:t>
      </w:r>
      <w:r w:rsidRPr="008E2DD7">
        <w:t>. The gas or other fuel savings are only those that ComEd may be able to claim, which excludes savings the gas utilities claim, either via joint or non-joint programs.</w:t>
      </w:r>
      <w:r w:rsidRPr="008E2DD7">
        <w:rPr>
          <w:rStyle w:val="FootnoteReference"/>
        </w:rPr>
        <w:footnoteReference w:id="2"/>
      </w:r>
    </w:p>
    <w:p w14:paraId="6E6BAE55" w14:textId="77777777" w:rsidR="00103A04" w:rsidRDefault="00000000" w:rsidP="008E6C5F">
      <w:pPr>
        <w:pStyle w:val="Caption"/>
      </w:pPr>
      <w:bookmarkStart w:id="17" w:name="_Ref482008337"/>
      <w:bookmarkStart w:id="18" w:name="_Toc398546653"/>
      <w:bookmarkStart w:id="19" w:name="_Toc423009515"/>
      <w:bookmarkStart w:id="20" w:name="_Toc426278633"/>
      <w:bookmarkStart w:id="21" w:name="_Toc88241752"/>
      <w:bookmarkStart w:id="22" w:name="_Toc159919732"/>
      <w:bookmarkStart w:id="23" w:name="_Toc192669238"/>
      <w:r>
        <w:t xml:space="preserve">Table </w:t>
      </w:r>
      <w:r>
        <w:fldChar w:fldCharType="begin"/>
      </w:r>
      <w:r>
        <w:instrText>SEQ Table \* ARABIC</w:instrText>
      </w:r>
      <w:r>
        <w:fldChar w:fldCharType="separate"/>
      </w:r>
      <w:r>
        <w:rPr>
          <w:noProof/>
        </w:rPr>
        <w:t>1</w:t>
      </w:r>
      <w:r>
        <w:fldChar w:fldCharType="end"/>
      </w:r>
      <w:bookmarkEnd w:id="17"/>
      <w:r w:rsidRPr="00F7087A">
        <w:t>. Total Annual Incremen</w:t>
      </w:r>
      <w:r>
        <w:t>t</w:t>
      </w:r>
      <w:r w:rsidRPr="00F7087A">
        <w:t>al Electric Savings</w:t>
      </w:r>
      <w:bookmarkEnd w:id="18"/>
      <w:bookmarkEnd w:id="19"/>
      <w:bookmarkEnd w:id="20"/>
      <w:bookmarkEnd w:id="21"/>
      <w:r>
        <w:t xml:space="preserve"> - Total</w:t>
      </w:r>
      <w:bookmarkStart w:id="24" w:name="Table_1"/>
      <w:bookmarkEnd w:id="22"/>
      <w:bookmarkEnd w:id="23"/>
      <w:bookmarkEnd w:id="24"/>
    </w:p>
    <w:tbl>
      <w:tblPr>
        <w:tblW w:w="0" w:type="pct"/>
        <w:jc w:val="center"/>
        <w:tblLook w:val="0420" w:firstRow="1" w:lastRow="0" w:firstColumn="0" w:lastColumn="0" w:noHBand="0" w:noVBand="1"/>
      </w:tblPr>
      <w:tblGrid>
        <w:gridCol w:w="2028"/>
        <w:gridCol w:w="325"/>
        <w:gridCol w:w="993"/>
        <w:gridCol w:w="1085"/>
        <w:gridCol w:w="989"/>
        <w:gridCol w:w="1019"/>
        <w:gridCol w:w="1011"/>
        <w:gridCol w:w="1011"/>
        <w:gridCol w:w="899"/>
      </w:tblGrid>
      <w:tr w:rsidR="00CA500D" w14:paraId="6E6BAE5F"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6"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7"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8"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9"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A"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B"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C"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D"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6BAE5E"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CA500D" w14:paraId="6E6BAE69"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0"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1"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2"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109,559,316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3"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4"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109,254,386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5"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0.84</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6" w14:textId="05DA1B12"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7" w14:textId="67DF8C33"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8"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91,728,964</w:t>
            </w:r>
          </w:p>
        </w:tc>
      </w:tr>
      <w:tr w:rsidR="00CA500D" w14:paraId="6E6BAE73"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A"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B"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C"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180,139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D"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E"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1,827,083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6F"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0" w14:textId="6937EF0F"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1" w14:textId="59B28E68"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2"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1,816,537</w:t>
            </w:r>
          </w:p>
        </w:tc>
      </w:tr>
      <w:tr w:rsidR="00CA500D" w14:paraId="6E6BAE7D"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4" w14:textId="3566AD98"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(electrification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5"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6"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7" w14:textId="187A0C49"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8"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9" w14:textId="73B18AA4"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A" w14:textId="69213A79"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B" w14:textId="6AD3FD58"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C"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AE87"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E"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w:t>
            </w:r>
            <w:proofErr w:type="gramStart"/>
            <w:r>
              <w:rPr>
                <w:rFonts w:ascii="Arial" w:eastAsia="DejaVu Sans" w:hAnsi="DejaVu Sans" w:cs="DejaVu Sans"/>
                <w:color w:val="000000"/>
                <w:sz w:val="14"/>
                <w:szCs w:val="14"/>
              </w:rPr>
              <w:t>from  Electrification</w:t>
            </w:r>
            <w:proofErr w:type="gramEnd"/>
            <w:r>
              <w:rPr>
                <w:rFonts w:ascii="Arial" w:eastAsia="DejaVu Sans" w:hAnsi="DejaVu Sans" w:cs="DejaVu Sans"/>
                <w:color w:val="000000"/>
                <w:sz w:val="14"/>
                <w:szCs w:val="14"/>
              </w:rPr>
              <w:t xml:space="preserve">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7F"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0" w14:textId="0F74D18E"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1"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2" w14:textId="77A1A646"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3"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4"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5"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6" w14:textId="602146B0"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CA500D" w14:paraId="6E6BAE91"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8"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9"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A"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109,739,455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B"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C"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111,081,469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D"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E" w14:textId="4157F7F0"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8F" w14:textId="1545C9C1"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0"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93,545,501</w:t>
            </w:r>
          </w:p>
        </w:tc>
      </w:tr>
      <w:tr w:rsidR="00CA500D" w14:paraId="6E6BAE9B"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2"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3"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4"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5"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6"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7"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8"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9"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A" w14:textId="77777777" w:rsidR="00CA500D" w:rsidRDefault="00CA500D"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CA500D" w14:paraId="6E6BAEA5"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C"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D"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E"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11,534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9F"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A0"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12,886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A1"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A2" w14:textId="4D4E44AD"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A3" w14:textId="15A001CB" w:rsidR="00CA500D" w:rsidRDefault="00BC47CB"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EA4" w14:textId="77777777" w:rsidR="00CA500D" w:rsidRDefault="00000000" w:rsidP="00BA15E4">
            <w:pPr>
              <w:keepNext/>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10,443</w:t>
            </w:r>
          </w:p>
        </w:tc>
      </w:tr>
      <w:tr w:rsidR="00CA500D" w14:paraId="6E6BAEAF"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6" w14:textId="130BF8D3"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8"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EA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bl>
    <w:p w14:paraId="6E6BAEB0" w14:textId="77777777" w:rsidR="00103A04" w:rsidRPr="0085537E" w:rsidRDefault="00000000" w:rsidP="00C25FD6">
      <w:pPr>
        <w:pStyle w:val="TableFigureNote"/>
      </w:pPr>
      <w:r w:rsidRPr="0085537E">
        <w:t>N/A = not applicable (refers to a piece of data that cannot be produced or does not apply).</w:t>
      </w:r>
    </w:p>
    <w:p w14:paraId="6E6BAEB1" w14:textId="77777777" w:rsidR="00103A04" w:rsidRDefault="00000000" w:rsidP="00C25FD6">
      <w:pPr>
        <w:pStyle w:val="TableFigureNote"/>
      </w:pPr>
      <w:r>
        <w:t xml:space="preserve">* The “Ex Ante Gross Savings" and “Verified Gross Savings" in row one (Electric Energy Savings - Direct) and row seven (Summer Peak Demand Savings) exclude gross carryover savings from CY2022 and CY2023. </w:t>
      </w:r>
    </w:p>
    <w:p w14:paraId="6E6BAEB2" w14:textId="77777777" w:rsidR="00103A04" w:rsidRDefault="00000000"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6E6BAEB3" w14:textId="77777777" w:rsidR="00103A04" w:rsidRDefault="00000000" w:rsidP="00C25FD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6E6BAEB4" w14:textId="77777777" w:rsidR="00103A04" w:rsidRDefault="00000000" w:rsidP="00C25FD6">
      <w:pPr>
        <w:pStyle w:val="TableFigureNote"/>
      </w:pPr>
      <w:r>
        <w:t xml:space="preserve">§ Gas savings converted to kWh by multiplying </w:t>
      </w:r>
      <w:proofErr w:type="spellStart"/>
      <w:r>
        <w:t>Therms</w:t>
      </w:r>
      <w:proofErr w:type="spellEnd"/>
      <w:r>
        <w:t xml:space="preserve"> * 29.31 (which is based on 100,000 Btu/</w:t>
      </w:r>
      <w:proofErr w:type="spellStart"/>
      <w:r>
        <w:t>Therm</w:t>
      </w:r>
      <w:proofErr w:type="spellEnd"/>
      <w:r>
        <w:t xml:space="preserve"> and 3,412 Btu/kWh). The evaluation team will determine which gas savings will be converted to kWh and counted toward </w:t>
      </w:r>
      <w:proofErr w:type="spellStart"/>
      <w:r>
        <w:t>ComEd's</w:t>
      </w:r>
      <w:proofErr w:type="spellEnd"/>
      <w:r>
        <w:t xml:space="preserve"> electric savings goal while producing the portfolio-wide Summary Report. </w:t>
      </w:r>
    </w:p>
    <w:p w14:paraId="6E6BAEB5" w14:textId="77777777" w:rsidR="00103A04" w:rsidRDefault="00000000" w:rsidP="00C25FD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w:t>
      </w:r>
      <w:proofErr w:type="spellStart"/>
      <w:r>
        <w:t>ComEd’s</w:t>
      </w:r>
      <w:proofErr w:type="spellEnd"/>
      <w:r>
        <w:t xml:space="preserve"> electric savings goal (applied to only midstream programs).</w:t>
      </w:r>
      <w:r>
        <w:rPr>
          <w:rStyle w:val="FootnoteReference"/>
        </w:rPr>
        <w:footnoteReference w:id="3"/>
      </w:r>
      <w:r>
        <w:t xml:space="preserve"> The evaluation team determined which electrification savings are allocated toward </w:t>
      </w:r>
      <w:proofErr w:type="spellStart"/>
      <w:r>
        <w:t>ComEd's</w:t>
      </w:r>
      <w:proofErr w:type="spellEnd"/>
      <w:r>
        <w:t xml:space="preserve"> electrification savings goal, and which portion of electrification are converted to traditional efficiency electric savings based on analysis of portfolio-wide verified savings.</w:t>
      </w:r>
    </w:p>
    <w:p w14:paraId="6E6BAEB6" w14:textId="77777777" w:rsidR="00103A04" w:rsidRDefault="00000000"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w:t>
      </w:r>
      <w:r>
        <w:lastRenderedPageBreak/>
        <w:t xml:space="preserve">but the next row (Total Electric Savings Including Carryover) includes carryover in the gross savings, for the purpose of recalculating the gross realization rate, including carryover savings (same for the peak demand savings).  </w:t>
      </w:r>
    </w:p>
    <w:p w14:paraId="6E6BAEB7" w14:textId="77777777" w:rsidR="00103A04" w:rsidRDefault="00000000" w:rsidP="00C25FD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6E6BAEB8" w14:textId="77777777" w:rsidR="00103A04" w:rsidRDefault="00000000" w:rsidP="00C25FD6">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4"/>
      </w:r>
    </w:p>
    <w:p w14:paraId="6E6BAEB9" w14:textId="77777777" w:rsidR="00103A04" w:rsidRPr="008812EE" w:rsidRDefault="00000000" w:rsidP="00E003DD">
      <w:pPr>
        <w:pStyle w:val="TableFigureSource"/>
      </w:pPr>
      <w:r w:rsidRPr="008812EE">
        <w:t>Source: Evaluation team analysis</w:t>
      </w:r>
    </w:p>
    <w:p w14:paraId="6E6BAF75" w14:textId="5360EF13" w:rsidR="00103A04" w:rsidRDefault="00000000" w:rsidP="001113BE">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shows the electric energy savings by measure end use. It includes measure efficiency savings</w:t>
      </w:r>
      <w:r w:rsidRPr="004B16A6">
        <w:t>. It</w:t>
      </w:r>
      <w:r>
        <w:t xml:space="preserve"> does not </w:t>
      </w:r>
      <w:r w:rsidRPr="004B16A6">
        <w:t xml:space="preserve">include </w:t>
      </w:r>
      <w:r>
        <w:t>other fuel</w:t>
      </w:r>
      <w:r w:rsidRPr="004B16A6">
        <w:t xml:space="preserve"> savings converted to kWh.</w:t>
      </w:r>
    </w:p>
    <w:p w14:paraId="6E6BAF76" w14:textId="77777777" w:rsidR="00103A04" w:rsidRDefault="00000000" w:rsidP="001617A4">
      <w:pPr>
        <w:pStyle w:val="Caption"/>
      </w:pPr>
      <w:bookmarkStart w:id="25" w:name="_Ref117035780"/>
      <w:bookmarkStart w:id="26" w:name="_Toc151976678"/>
      <w:bookmarkStart w:id="27" w:name="_Toc192669244"/>
      <w:r>
        <w:t xml:space="preserve">Figure </w:t>
      </w:r>
      <w:r>
        <w:fldChar w:fldCharType="begin"/>
      </w:r>
      <w:r>
        <w:instrText>SEQ Figure \* ARABIC</w:instrText>
      </w:r>
      <w:r>
        <w:fldChar w:fldCharType="separate"/>
      </w:r>
      <w:r>
        <w:rPr>
          <w:noProof/>
        </w:rPr>
        <w:t>1</w:t>
      </w:r>
      <w:r>
        <w:fldChar w:fldCharType="end"/>
      </w:r>
      <w:bookmarkEnd w:id="25"/>
      <w:r>
        <w:t xml:space="preserve">. </w:t>
      </w:r>
      <w:r w:rsidRPr="2221D51B">
        <w:t>Verified Net Savings by Measure – Electric</w:t>
      </w:r>
      <w:bookmarkStart w:id="28" w:name="Figure_1"/>
      <w:bookmarkEnd w:id="26"/>
      <w:bookmarkEnd w:id="27"/>
      <w:bookmarkEnd w:id="28"/>
    </w:p>
    <w:p w14:paraId="6E6BAF77" w14:textId="77777777" w:rsidR="00CA500D" w:rsidRDefault="00000000">
      <w:r>
        <w:rPr>
          <w:noProof/>
        </w:rPr>
        <w:drawing>
          <wp:inline distT="0" distB="0" distL="0" distR="0" wp14:anchorId="6E6BB3D6" wp14:editId="6E6BB3D7">
            <wp:extent cx="59436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9" cstate="print"/>
                    <a:stretch>
                      <a:fillRect/>
                    </a:stretch>
                  </pic:blipFill>
                  <pic:spPr bwMode="auto">
                    <a:xfrm>
                      <a:off x="0" y="0"/>
                      <a:ext cx="82550" cy="38100"/>
                    </a:xfrm>
                    <a:prstGeom prst="rect">
                      <a:avLst/>
                    </a:prstGeom>
                    <a:noFill/>
                  </pic:spPr>
                </pic:pic>
              </a:graphicData>
            </a:graphic>
          </wp:inline>
        </w:drawing>
      </w:r>
    </w:p>
    <w:p w14:paraId="6E6BAF78" w14:textId="77777777" w:rsidR="00103A04" w:rsidRDefault="00000000" w:rsidP="00C25FD6">
      <w:pPr>
        <w:pStyle w:val="TableFigureSource"/>
      </w:pPr>
      <w:r w:rsidRPr="27A43C0E">
        <w:t>Source: Evaluation team analysis</w:t>
      </w:r>
    </w:p>
    <w:p w14:paraId="6E6BAF79" w14:textId="77777777" w:rsidR="00103A04" w:rsidRPr="00470CF3" w:rsidRDefault="00000000" w:rsidP="00470CF3">
      <w:pPr>
        <w:suppressAutoHyphens w:val="0"/>
        <w:spacing w:before="0" w:after="0"/>
        <w:rPr>
          <w:rFonts w:ascii="Arial" w:hAnsi="Arial"/>
          <w:sz w:val="22"/>
          <w:szCs w:val="20"/>
        </w:rPr>
      </w:pPr>
      <w:r>
        <w:br w:type="page"/>
      </w:r>
    </w:p>
    <w:p w14:paraId="6E6BAF7A" w14:textId="77777777" w:rsidR="00103A04" w:rsidRDefault="00103A04" w:rsidP="00C25FD6">
      <w:pPr>
        <w:pStyle w:val="Heading10"/>
        <w:sectPr w:rsidR="00103A04" w:rsidSect="00C93763">
          <w:pgSz w:w="12240" w:h="15840" w:code="1"/>
          <w:pgMar w:top="1440" w:right="1440" w:bottom="1440" w:left="1440" w:header="720" w:footer="720" w:gutter="0"/>
          <w:pgNumType w:start="1"/>
          <w:cols w:space="720"/>
          <w:docGrid w:linePitch="360"/>
        </w:sectPr>
      </w:pPr>
      <w:bookmarkStart w:id="29" w:name="_Toc151976669"/>
    </w:p>
    <w:p w14:paraId="6E6BAF7B" w14:textId="77777777" w:rsidR="00103A04" w:rsidRDefault="00000000" w:rsidP="00C25FD6">
      <w:pPr>
        <w:pStyle w:val="Heading10"/>
      </w:pPr>
      <w:bookmarkStart w:id="30" w:name="_Toc192669249"/>
      <w:r>
        <w:lastRenderedPageBreak/>
        <w:t>Cumulative Persisting Annual Savings</w:t>
      </w:r>
      <w:bookmarkEnd w:id="29"/>
      <w:bookmarkEnd w:id="30"/>
    </w:p>
    <w:p w14:paraId="6E6BAF7D" w14:textId="589904E3" w:rsidR="00103A04" w:rsidRDefault="00000000" w:rsidP="000C5A2F">
      <w:pPr>
        <w:pStyle w:val="BodyText"/>
      </w:pPr>
      <w:r>
        <w:fldChar w:fldCharType="begin"/>
      </w:r>
      <w:r>
        <w:instrText xml:space="preserve"> REF _Ref105417109 \h  \* MERGEFORMAT </w:instrText>
      </w:r>
      <w:r>
        <w:fldChar w:fldCharType="separate"/>
      </w:r>
      <w:r w:rsidR="004D0253">
        <w:t xml:space="preserve">Table </w:t>
      </w:r>
      <w:r w:rsidR="004D0253">
        <w:rPr>
          <w:noProof/>
        </w:rPr>
        <w:t>2</w:t>
      </w:r>
      <w:r>
        <w:fldChar w:fldCharType="end"/>
      </w:r>
      <w:r>
        <w:t xml:space="preserve"> to </w:t>
      </w:r>
      <w:r>
        <w:fldChar w:fldCharType="begin"/>
      </w:r>
      <w:r>
        <w:instrText xml:space="preserve"> REF _Ref105417145 \h  \* MERGEFORMAT </w:instrText>
      </w:r>
      <w:r>
        <w:fldChar w:fldCharType="separate"/>
      </w:r>
      <w:r w:rsidR="004D0253">
        <w:t xml:space="preserve">Table </w:t>
      </w:r>
      <w:r w:rsidR="004D0253">
        <w:rPr>
          <w:noProof/>
        </w:rPr>
        <w:t>4</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rsidR="004D0253">
        <w:t xml:space="preserve">Table </w:t>
      </w:r>
      <w:r w:rsidR="004D0253">
        <w:rPr>
          <w:noProof/>
        </w:rPr>
        <w:t>2</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rsidR="004D0253">
        <w:t xml:space="preserve">Table </w:t>
      </w:r>
      <w:r w:rsidR="004D0253">
        <w:rPr>
          <w:noProof/>
        </w:rPr>
        <w:t>3</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rsidR="004D0253">
        <w:t xml:space="preserve">Table </w:t>
      </w:r>
      <w:r w:rsidR="004D0253">
        <w:rPr>
          <w:noProof/>
        </w:rPr>
        <w:t>4</w:t>
      </w:r>
      <w:r>
        <w:fldChar w:fldCharType="end"/>
      </w:r>
      <w:r w:rsidRPr="00C752CF">
        <w:t>.</w:t>
      </w:r>
    </w:p>
    <w:p w14:paraId="6E6BAF7F" w14:textId="5EBFA5D4" w:rsidR="00103A04" w:rsidRDefault="00000000" w:rsidP="00944D07">
      <w:pPr>
        <w:pStyle w:val="Caption"/>
      </w:pPr>
      <w:bookmarkStart w:id="31" w:name="_Ref105417109"/>
      <w:bookmarkStart w:id="32" w:name="_Toc159919735"/>
      <w:bookmarkStart w:id="33" w:name="_Toc192669239"/>
      <w:r>
        <w:t xml:space="preserve">Table </w:t>
      </w:r>
      <w:r>
        <w:fldChar w:fldCharType="begin"/>
      </w:r>
      <w:r>
        <w:instrText>SEQ Table \* ARABIC</w:instrText>
      </w:r>
      <w:r>
        <w:fldChar w:fldCharType="separate"/>
      </w:r>
      <w:r w:rsidR="004D0253">
        <w:rPr>
          <w:noProof/>
        </w:rPr>
        <w:t>2</w:t>
      </w:r>
      <w:r>
        <w:fldChar w:fldCharType="end"/>
      </w:r>
      <w:bookmarkEnd w:id="31"/>
      <w:r>
        <w:t>. CPAS – Electric</w:t>
      </w:r>
      <w:bookmarkStart w:id="34" w:name="Table_4"/>
      <w:bookmarkEnd w:id="32"/>
      <w:bookmarkEnd w:id="33"/>
      <w:bookmarkEnd w:id="34"/>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CA500D" w14:paraId="6E6BAF83"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AF8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AF8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AF82"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CA500D" w14:paraId="6E6BAF91"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8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9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CA500D" w14:paraId="6E6BAF9F"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109,254,386</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748,048,215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5"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6"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7"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8"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91,728,964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91,728,964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91,728,964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9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63,528,942</w:t>
            </w:r>
          </w:p>
        </w:tc>
      </w:tr>
      <w:tr w:rsidR="00CA500D" w14:paraId="6E6BAFA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1"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2"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60,659,142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106,764,200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193,396,065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265,339,807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355,484,339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408,940,913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392,341,958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342,605,248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300,971,304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268,761,156</w:t>
            </w:r>
          </w:p>
        </w:tc>
      </w:tr>
      <w:tr w:rsidR="00CA500D" w14:paraId="6E6BAFB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A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60,659,142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106,764,200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193,396,065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265,339,807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355,484,339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408,940,913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484,070,922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434,334,212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392,700,269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332,290,098</w:t>
            </w:r>
          </w:p>
        </w:tc>
      </w:tr>
      <w:tr w:rsidR="00CA500D" w14:paraId="6E6BAFC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B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1"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2"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3"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4"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5"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28,200,022</w:t>
            </w:r>
          </w:p>
        </w:tc>
      </w:tr>
      <w:tr w:rsidR="00CA500D" w14:paraId="6E6BAFD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C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D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D1"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D2"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D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16,598,955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D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49,736,710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D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41,633,944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D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32,210,148</w:t>
            </w:r>
          </w:p>
        </w:tc>
      </w:tr>
      <w:tr w:rsidR="00CA500D" w14:paraId="6E6BAFE5"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D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D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D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D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D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D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D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D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E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E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16,598,955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E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49,736,710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E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41,633,944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AFE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60,410,170</w:t>
            </w:r>
          </w:p>
        </w:tc>
      </w:tr>
    </w:tbl>
    <w:p w14:paraId="6E6BAFE6" w14:textId="77777777" w:rsidR="00103A04" w:rsidRDefault="00103A04" w:rsidP="00E5723F">
      <w:pPr>
        <w:spacing w:before="0" w:after="0"/>
      </w:pPr>
      <w:bookmarkStart w:id="35" w:name="Table_4_2"/>
      <w:bookmarkEnd w:id="35"/>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A500D" w14:paraId="6E6BAFF6"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E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F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F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F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F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F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AFF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CA500D" w14:paraId="6E6BB006"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61,464,516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61,464,516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61,464,516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49,820,846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36,701,099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25,026,237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24,874,748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AFF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24,874,748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24,874,748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12,470,730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12,470,730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r>
      <w:tr w:rsidR="00CA500D" w14:paraId="6E6BB01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209,910,399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155,731,607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110,476,025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76,954,784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66,011,083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45,815,301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34,343,041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0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21,073,387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7,634,271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6,207,247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4,456,629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4,188,934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4,025,763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2,049,997</w:t>
            </w:r>
          </w:p>
        </w:tc>
      </w:tr>
      <w:tr w:rsidR="00CA500D" w14:paraId="6E6BB02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271,374,914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217,196,122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171,940,541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126,775,630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102,712,182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70,841,539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59,217,789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1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45,948,135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32,509,019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18,677,977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16,927,359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6,652,419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6,489,248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4,513,481</w:t>
            </w:r>
          </w:p>
        </w:tc>
      </w:tr>
      <w:tr w:rsidR="00CA500D" w14:paraId="6E6BB03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2,064,427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11,643,670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13,119,747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11,674,861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151,489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2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12,404,019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10,007,245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04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58,850,757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54,178,792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45,255,581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33,521,241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10,943,701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20,195,782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11,472,260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3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13,269,654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4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13,439,116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4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1,427,024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4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1,750,618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4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267,695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4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163,170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4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1,975,767</w:t>
            </w:r>
          </w:p>
        </w:tc>
      </w:tr>
      <w:tr w:rsidR="00CA500D" w14:paraId="6E6BB056"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60,915,184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54,178,792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45,255,581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45,164,911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24,063,448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31,870,643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11,623,750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4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13,269,654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5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13,439,116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5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13,831,043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5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1,750,618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5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10,274,940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5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163,170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5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1,975,767</w:t>
            </w:r>
          </w:p>
        </w:tc>
      </w:tr>
    </w:tbl>
    <w:p w14:paraId="6E6BB057" w14:textId="77777777" w:rsidR="00103A04" w:rsidRPr="00944D07" w:rsidRDefault="00103A04" w:rsidP="00E5723F">
      <w:pPr>
        <w:spacing w:before="0" w:after="0"/>
      </w:pPr>
      <w:bookmarkStart w:id="36" w:name="Table_4_3"/>
      <w:bookmarkEnd w:id="36"/>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A500D" w14:paraId="6E6BB067"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5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5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5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5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5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5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5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5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6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6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6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6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6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6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6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CA500D" w14:paraId="6E6BB077"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6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6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6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6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6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6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6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6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08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1,965,792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1,314,464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1,225,231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664,552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7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09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4,429,277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3,777,949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1,727,738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1,167,059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8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0A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1,960,977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9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0B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84,204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651,328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89,233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560,679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664,552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A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B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B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B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B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B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B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B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0C7"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B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B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84,204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B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651,328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B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2,050,211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B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560,679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B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664,552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B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B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C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C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C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C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C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C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0C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6E6BB0C8" w14:textId="77777777" w:rsidR="00103A04" w:rsidRPr="00C34E77" w:rsidRDefault="00000000" w:rsidP="00C25FD6">
      <w:pPr>
        <w:pStyle w:val="TableFigureNote"/>
      </w:pPr>
      <w:r w:rsidRPr="00C34E77">
        <w:rPr>
          <w:rFonts w:eastAsiaTheme="minorEastAsia"/>
        </w:rPr>
        <w:t>† Lifetime savings are the sum of CPAS savings through the EUL.</w:t>
      </w:r>
    </w:p>
    <w:p w14:paraId="6E6BB0C9" w14:textId="77777777" w:rsidR="00103A04" w:rsidRDefault="00000000" w:rsidP="00545C04">
      <w:pPr>
        <w:pStyle w:val="TableFigureNote"/>
        <w:keepNext w:val="0"/>
        <w:rPr>
          <w:rFonts w:eastAsiaTheme="minorEastAsia"/>
        </w:rPr>
      </w:pPr>
      <w:r w:rsidRPr="00C34E77">
        <w:rPr>
          <w:rFonts w:eastAsiaTheme="minorEastAsia"/>
        </w:rPr>
        <w:t xml:space="preserve">‡ Historical savings go back to CY2018. </w:t>
      </w:r>
    </w:p>
    <w:p w14:paraId="6E6BB0CA" w14:textId="77777777" w:rsidR="00103A04" w:rsidRPr="00C34E77" w:rsidRDefault="00000000" w:rsidP="00C25FD6">
      <w:pPr>
        <w:pStyle w:val="TableFigureNote"/>
      </w:pPr>
      <w:r w:rsidRPr="00C34E77">
        <w:rPr>
          <w:rFonts w:eastAsiaTheme="minorEastAsia"/>
        </w:rPr>
        <w:t>§ Incremental expiring savings are equal to CPAS Yn-1 - CPAS Yn.</w:t>
      </w:r>
    </w:p>
    <w:p w14:paraId="6E6BB0CB" w14:textId="77777777" w:rsidR="00103A04" w:rsidRPr="00C34E77" w:rsidRDefault="00000000" w:rsidP="00C25FD6">
      <w:pPr>
        <w:pStyle w:val="TableFigureNote"/>
      </w:pPr>
      <w:r w:rsidRPr="00C34E77">
        <w:rPr>
          <w:rFonts w:eastAsiaTheme="minorEastAsia"/>
        </w:rPr>
        <w:t>|| Historic incremental expiring savings are equal to Historic CPAS Yn-1 – Historic CPAS Yn.</w:t>
      </w:r>
    </w:p>
    <w:p w14:paraId="6E6BB0CC" w14:textId="77777777" w:rsidR="00103A04" w:rsidRPr="00C34E77" w:rsidRDefault="00000000"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6E6BB0CD" w14:textId="77777777" w:rsidR="00103A04" w:rsidRDefault="00000000" w:rsidP="00C25FD6">
      <w:pPr>
        <w:pStyle w:val="TableFigureSource"/>
      </w:pPr>
      <w:r w:rsidRPr="00B361A6">
        <w:t>Source: Evaluation team analysis</w:t>
      </w:r>
    </w:p>
    <w:p w14:paraId="6E6BB0CF" w14:textId="3467E640" w:rsidR="00103A04" w:rsidRDefault="00000000" w:rsidP="00944D07">
      <w:pPr>
        <w:pStyle w:val="Caption"/>
      </w:pPr>
      <w:bookmarkStart w:id="37" w:name="_Ref105417178"/>
      <w:bookmarkStart w:id="38" w:name="_Toc159919736"/>
      <w:bookmarkStart w:id="39" w:name="_Toc192669240"/>
      <w:r>
        <w:t xml:space="preserve">Table </w:t>
      </w:r>
      <w:r>
        <w:fldChar w:fldCharType="begin"/>
      </w:r>
      <w:r>
        <w:instrText>SEQ Table \* ARABIC</w:instrText>
      </w:r>
      <w:r>
        <w:fldChar w:fldCharType="separate"/>
      </w:r>
      <w:r w:rsidR="004D0253">
        <w:rPr>
          <w:noProof/>
        </w:rPr>
        <w:t>3</w:t>
      </w:r>
      <w:r>
        <w:fldChar w:fldCharType="end"/>
      </w:r>
      <w:bookmarkEnd w:id="37"/>
      <w:r w:rsidRPr="00F7087A">
        <w:t xml:space="preserve">. CPAS – </w:t>
      </w:r>
      <w:r w:rsidRPr="00016EEF">
        <w:t>Other Fuel (Gas + Propane)</w:t>
      </w:r>
      <w:bookmarkStart w:id="40" w:name="Table_5"/>
      <w:bookmarkEnd w:id="38"/>
      <w:bookmarkEnd w:id="39"/>
      <w:bookmarkEnd w:id="40"/>
    </w:p>
    <w:tbl>
      <w:tblPr>
        <w:tblW w:w="0" w:type="auto"/>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CA500D" w14:paraId="6E6BB0D3"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B0D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B0D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 xml:space="preserve">CPAS Verified Net </w:t>
            </w:r>
            <w:proofErr w:type="spellStart"/>
            <w:r>
              <w:rPr>
                <w:rFonts w:ascii="Arial" w:eastAsia="DejaVu Sans" w:hAnsi="DejaVu Sans" w:cs="DejaVu Sans"/>
                <w:color w:val="FFFFFF"/>
                <w:sz w:val="14"/>
                <w:szCs w:val="14"/>
              </w:rPr>
              <w:t>Therms</w:t>
            </w:r>
            <w:proofErr w:type="spellEnd"/>
            <w:r>
              <w:rPr>
                <w:rFonts w:ascii="Arial" w:eastAsia="DejaVu Sans" w:hAnsi="DejaVu Sans" w:cs="DejaVu Sans"/>
                <w:color w:val="FFFFFF"/>
                <w:sz w:val="14"/>
                <w:szCs w:val="14"/>
              </w:rPr>
              <w:t xml:space="preserve">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B0D2"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CA500D" w14:paraId="6E6BB0E1"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w:t>
            </w:r>
            <w:proofErr w:type="spellStart"/>
            <w:r>
              <w:rPr>
                <w:rFonts w:ascii="Arial" w:eastAsia="DejaVu Sans" w:hAnsi="DejaVu Sans" w:cs="DejaVu Sans"/>
                <w:color w:val="FFFFFF"/>
                <w:sz w:val="14"/>
                <w:szCs w:val="14"/>
              </w:rPr>
              <w:t>Therms</w:t>
            </w:r>
            <w:proofErr w:type="spellEnd"/>
            <w:r>
              <w:rPr>
                <w:rFonts w:ascii="Arial" w:eastAsia="DejaVu Sans" w:hAnsi="DejaVu Sans" w:cs="DejaVu Sans"/>
                <w:color w:val="FFFFFF"/>
                <w:sz w:val="14"/>
                <w:szCs w:val="14"/>
              </w:rPr>
              <w:t>)</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D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0E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CA500D" w14:paraId="6E6BB0EF"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62,336</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567,930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5"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6"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7"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8"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61,977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61,977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61,977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E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61,977</w:t>
            </w:r>
          </w:p>
        </w:tc>
      </w:tr>
      <w:tr w:rsidR="00CA500D" w14:paraId="6E6BB0FD"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1,827,083</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16,646,037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3"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4"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5"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6"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7"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8"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1,816,537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1,816,537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1,816,537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1,816,537</w:t>
            </w:r>
          </w:p>
        </w:tc>
      </w:tr>
      <w:tr w:rsidR="00CA500D" w14:paraId="6E6BB10B"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0F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2,907,030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3,986,674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7,278,229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9,167,511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15,247,071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17,296,452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17,296,452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15,842,937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14,189,984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13,112,559</w:t>
            </w:r>
          </w:p>
        </w:tc>
      </w:tr>
      <w:tr w:rsidR="00CA500D" w14:paraId="6E6BB119"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0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2,907,030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3,986,674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7,278,229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9,167,511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15,247,071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17,296,452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19,112,989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17,659,474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16,006,521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14,929,096</w:t>
            </w:r>
          </w:p>
        </w:tc>
      </w:tr>
      <w:tr w:rsidR="00CA500D" w14:paraId="6E6BB12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1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1"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2"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3"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135"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2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1"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14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7"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8"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3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4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1,453,515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4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1,652,952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4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1,077,425</w:t>
            </w:r>
          </w:p>
        </w:tc>
      </w:tr>
      <w:tr w:rsidR="00CA500D" w14:paraId="6E6BB151"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5"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6"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7"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8"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1,453,515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4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1,652,952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5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1,077,425</w:t>
            </w:r>
          </w:p>
        </w:tc>
      </w:tr>
    </w:tbl>
    <w:p w14:paraId="6E6BB152" w14:textId="77777777" w:rsidR="00103A04" w:rsidRDefault="00103A04" w:rsidP="00E5723F">
      <w:pPr>
        <w:spacing w:before="0" w:after="0"/>
      </w:pPr>
      <w:bookmarkStart w:id="41" w:name="Table_5_2"/>
      <w:bookmarkEnd w:id="41"/>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CA500D" w14:paraId="6E6BB162"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5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6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6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CA500D" w14:paraId="6E6BB172"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38,314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38,314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38,314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38,314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36,059</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32,677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32,677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32,677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32,677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6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18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1,122,982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1,122,982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1,122,982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1,122,982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1,056,896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957,767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957,767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957,767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957,767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7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19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11,504,708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8,715,310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5,421,479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1,494,866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570,537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570,537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570,537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295,123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8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1A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12,627,690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9,838,292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6,544,461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2,617,848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1,627,433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1,528,304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1,528,304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1,252,890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957,767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9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1B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23,663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3,382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32,677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A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1C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693,555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66,086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99,129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957,767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B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1D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1,607,851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2,789,398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3,293,831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3,926,613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924,329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275,414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295,123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C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D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6CDCF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p w14:paraId="6C179B19" w14:textId="77777777" w:rsidR="003D2BD3" w:rsidRPr="003D2BD3" w:rsidRDefault="003D2BD3" w:rsidP="003D2BD3">
            <w:pPr>
              <w:rPr>
                <w:rFonts w:ascii="Arial" w:eastAsia="DejaVu Sans" w:hAnsi="DejaVu Sans" w:cs="DejaVu Sans"/>
                <w:sz w:val="14"/>
                <w:szCs w:val="14"/>
              </w:rPr>
            </w:pPr>
          </w:p>
          <w:p w14:paraId="6E6BB1D1" w14:textId="77777777" w:rsidR="003D2BD3" w:rsidRPr="003D2BD3" w:rsidRDefault="003D2BD3" w:rsidP="003D2BD3">
            <w:pPr>
              <w:rPr>
                <w:rFonts w:ascii="Arial" w:eastAsia="DejaVu Sans" w:hAnsi="DejaVu Sans" w:cs="DejaVu Sans"/>
                <w:sz w:val="14"/>
                <w:szCs w:val="14"/>
              </w:rPr>
            </w:pPr>
          </w:p>
        </w:tc>
      </w:tr>
      <w:tr w:rsidR="00CA500D" w14:paraId="6E6BB1E2"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lastRenderedPageBreak/>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2,301,406</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2,789,398</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3,293,831</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3,926,613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990,415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99,129</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275,414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295,123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957,767</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D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E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1E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6E6BB1E3" w14:textId="77777777" w:rsidR="00103A04" w:rsidRPr="00944D07" w:rsidRDefault="00103A04" w:rsidP="00E5723F">
      <w:pPr>
        <w:spacing w:before="0" w:after="0"/>
      </w:pPr>
      <w:bookmarkStart w:id="42" w:name="Table_5_3"/>
      <w:bookmarkEnd w:id="42"/>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CA500D" w14:paraId="6E6BB1F3"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E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F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F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1F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CA500D" w14:paraId="6E6BB203"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1F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21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0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22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1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23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2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24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3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25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4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26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5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6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6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6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273"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6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7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7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7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6E6BB274" w14:textId="77777777" w:rsidR="00103A04" w:rsidRPr="00C329CB" w:rsidRDefault="00000000" w:rsidP="00C25FD6">
      <w:pPr>
        <w:pStyle w:val="TableFigureNote"/>
        <w:rPr>
          <w:rFonts w:eastAsiaTheme="minorEastAsia"/>
        </w:rPr>
      </w:pPr>
      <w:r w:rsidRPr="00C329CB">
        <w:rPr>
          <w:rFonts w:eastAsiaTheme="minorEastAsia"/>
        </w:rPr>
        <w:t>† Lifetime savings are the sum of CPAS savings through the EUL.</w:t>
      </w:r>
    </w:p>
    <w:p w14:paraId="6E6BB275" w14:textId="77777777" w:rsidR="00103A04" w:rsidRPr="00C329CB" w:rsidRDefault="00000000" w:rsidP="00C25FD6">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w:t>
      </w:r>
      <w:proofErr w:type="spellStart"/>
      <w:r>
        <w:rPr>
          <w:rFonts w:eastAsiaTheme="minorEastAsia"/>
        </w:rPr>
        <w:t>therms</w:t>
      </w:r>
      <w:proofErr w:type="spellEnd"/>
      <w:r>
        <w:rPr>
          <w:rFonts w:eastAsiaTheme="minorEastAsia"/>
        </w:rPr>
        <w:t xml:space="preserve">. </w:t>
      </w:r>
      <w:r w:rsidRPr="00C329CB">
        <w:rPr>
          <w:rFonts w:eastAsiaTheme="minorEastAsia"/>
        </w:rPr>
        <w:t xml:space="preserve">kWh equivalent savings are calculated by multiplying </w:t>
      </w:r>
      <w:proofErr w:type="spellStart"/>
      <w:r w:rsidRPr="00C329CB">
        <w:rPr>
          <w:rFonts w:eastAsiaTheme="minorEastAsia"/>
        </w:rPr>
        <w:t>therms</w:t>
      </w:r>
      <w:proofErr w:type="spellEnd"/>
      <w:r w:rsidRPr="00C329CB">
        <w:rPr>
          <w:rFonts w:eastAsiaTheme="minorEastAsia"/>
        </w:rPr>
        <w:t xml:space="preserve"> savings by 29.31.</w:t>
      </w:r>
    </w:p>
    <w:p w14:paraId="6E6BB276" w14:textId="77777777" w:rsidR="00103A04" w:rsidRDefault="00000000" w:rsidP="00C25FD6">
      <w:pPr>
        <w:pStyle w:val="TableFigureNote"/>
        <w:rPr>
          <w:rFonts w:eastAsiaTheme="minorEastAsia"/>
        </w:rPr>
      </w:pPr>
      <w:r w:rsidRPr="00C329CB">
        <w:rPr>
          <w:rFonts w:eastAsiaTheme="minorEastAsia"/>
        </w:rPr>
        <w:t>§ Historical savings go back to CY2018.</w:t>
      </w:r>
    </w:p>
    <w:p w14:paraId="6E6BB277" w14:textId="77777777" w:rsidR="00103A04" w:rsidRPr="00C329CB" w:rsidRDefault="00000000" w:rsidP="00C25FD6">
      <w:pPr>
        <w:pStyle w:val="TableFigureNote"/>
        <w:rPr>
          <w:rFonts w:eastAsiaTheme="minorEastAsia"/>
        </w:rPr>
      </w:pPr>
      <w:r w:rsidRPr="00C329CB">
        <w:rPr>
          <w:rFonts w:eastAsiaTheme="minorEastAsia"/>
        </w:rPr>
        <w:t>|| Incremental expiring savings are equal to CPAS Yn-1 - CPAS Yn.</w:t>
      </w:r>
    </w:p>
    <w:p w14:paraId="6E6BB278" w14:textId="77777777" w:rsidR="00103A04" w:rsidRPr="00C329CB" w:rsidRDefault="00000000" w:rsidP="00C25FD6">
      <w:pPr>
        <w:pStyle w:val="TableFigureNote"/>
        <w:rPr>
          <w:rFonts w:eastAsiaTheme="minorEastAsia"/>
        </w:rPr>
      </w:pPr>
      <w:r w:rsidRPr="00C329CB">
        <w:rPr>
          <w:rFonts w:eastAsiaTheme="minorEastAsia"/>
        </w:rPr>
        <w:t># Historic incremental expiring savings are equal to Historic CPAS Yn-1 – Historic CPAS Yn.</w:t>
      </w:r>
    </w:p>
    <w:p w14:paraId="6E6BB279" w14:textId="77777777" w:rsidR="00103A04" w:rsidRDefault="00000000" w:rsidP="00C25FD6">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6E6BB27A" w14:textId="77777777" w:rsidR="00103A04" w:rsidRDefault="00000000" w:rsidP="00C25FD6">
      <w:pPr>
        <w:pStyle w:val="TableFigureSource"/>
      </w:pPr>
      <w:r>
        <w:t>Source: Evaluation team analysis</w:t>
      </w:r>
    </w:p>
    <w:p w14:paraId="6E6BB27C" w14:textId="4BA20D8F" w:rsidR="00103A04" w:rsidRDefault="00000000" w:rsidP="00944D07">
      <w:pPr>
        <w:pStyle w:val="Caption"/>
      </w:pPr>
      <w:bookmarkStart w:id="43" w:name="_Ref105417145"/>
      <w:bookmarkStart w:id="44" w:name="_Toc159919737"/>
      <w:bookmarkStart w:id="45" w:name="_Toc192669241"/>
      <w:r>
        <w:t xml:space="preserve">Table </w:t>
      </w:r>
      <w:r>
        <w:fldChar w:fldCharType="begin"/>
      </w:r>
      <w:r>
        <w:instrText>SEQ Table \* ARABIC</w:instrText>
      </w:r>
      <w:r>
        <w:fldChar w:fldCharType="separate"/>
      </w:r>
      <w:r w:rsidR="004D0253">
        <w:rPr>
          <w:noProof/>
        </w:rPr>
        <w:t>4</w:t>
      </w:r>
      <w:r>
        <w:fldChar w:fldCharType="end"/>
      </w:r>
      <w:bookmarkEnd w:id="43"/>
      <w:r w:rsidRPr="00F7087A">
        <w:t xml:space="preserve">. </w:t>
      </w:r>
      <w:r>
        <w:t>CPAS – Total</w:t>
      </w:r>
      <w:bookmarkStart w:id="46" w:name="Table_6"/>
      <w:bookmarkEnd w:id="44"/>
      <w:bookmarkEnd w:id="45"/>
      <w:bookmarkEnd w:id="46"/>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CA500D" w14:paraId="6E6BB280"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B27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B27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E6BB27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CA500D" w14:paraId="6E6BB28E"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8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CA500D" w14:paraId="6E6BB29C"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8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111,081,469</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764,694,252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2"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3"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4"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5"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6"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7"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93,545,501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93,545,501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93,545,501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65,345,479</w:t>
            </w:r>
          </w:p>
        </w:tc>
      </w:tr>
      <w:tr w:rsidR="00CA500D" w14:paraId="6E6BB2A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9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63,566,172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110,750,874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200,674,295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274,507,318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370,731,410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426,237,365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409,638,410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358,448,185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315,161,289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281,873,715</w:t>
            </w:r>
          </w:p>
        </w:tc>
      </w:tr>
      <w:tr w:rsidR="00CA500D" w14:paraId="6E6BB2B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63,566,172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A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110,750,874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200,674,295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274,507,318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370,731,410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426,237,365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503,183,911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451,993,686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408,706,790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347,219,194</w:t>
            </w:r>
          </w:p>
        </w:tc>
      </w:tr>
      <w:tr w:rsidR="00CA500D" w14:paraId="6E6BB2C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B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0"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1"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2"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28,200,022</w:t>
            </w:r>
          </w:p>
        </w:tc>
      </w:tr>
      <w:tr w:rsidR="00CA500D" w14:paraId="6E6BB2D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8"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E"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CF"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D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16,598,955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D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51,190,225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D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43,286,896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D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33,287,574</w:t>
            </w:r>
          </w:p>
        </w:tc>
      </w:tr>
      <w:tr w:rsidR="00CA500D" w14:paraId="6E6BB2E2"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6"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7"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8"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9"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A"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B"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C"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D" w14:textId="77777777" w:rsidR="00CA500D" w:rsidRDefault="00CA50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16,598,955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D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51,190,225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E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43,286,896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2E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61,487,596</w:t>
            </w:r>
          </w:p>
        </w:tc>
      </w:tr>
    </w:tbl>
    <w:p w14:paraId="6E6BB2E3" w14:textId="77777777" w:rsidR="00103A04" w:rsidRDefault="00103A04" w:rsidP="00E5723F">
      <w:pPr>
        <w:spacing w:before="0" w:after="0"/>
      </w:pPr>
      <w:bookmarkStart w:id="47" w:name="Table_6_2"/>
      <w:bookmarkEnd w:id="47"/>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A500D" w14:paraId="6E6BB2F3"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E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F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F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2F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CA500D" w14:paraId="6E6BB303"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62,587,497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62,587,497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62,587,497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50,943,828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37,757,994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25,984,004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25,832,515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25,832,515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25,832,515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12,470,730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2F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12,470,730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r>
      <w:tr w:rsidR="00CA500D" w14:paraId="6E6BB31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221,415,107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164,446,916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115,897,504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78,449,650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66,581,620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46,385,838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34,913,578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21,368,510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7,634,271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6,207,247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0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4,456,629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4,188,934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4,025,763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2,049,997</w:t>
            </w:r>
          </w:p>
        </w:tc>
      </w:tr>
      <w:tr w:rsidR="00CA500D" w14:paraId="6E6BB32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284,002,605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227,034,414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178,485,001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129,393,478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104,339,615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72,369,842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60,746,093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47,201,025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33,466,786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18,677,977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1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16,927,359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6,652,419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6,489,248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4,513,481</w:t>
            </w:r>
          </w:p>
        </w:tc>
      </w:tr>
      <w:tr w:rsidR="00CA500D" w14:paraId="6E6BB33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2,757,982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11,643,670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13,185,833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11,773,990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151,489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13,361,785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2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10,007,245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34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60,458,608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56,968,191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48,549,412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37,447,854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11,868,030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20,195,782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11,472,260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13,545,068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13,734,239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1,427,024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3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1,750,618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4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267,695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4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163,170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4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1,975,767</w:t>
            </w:r>
          </w:p>
        </w:tc>
      </w:tr>
      <w:tr w:rsidR="00CA500D" w14:paraId="6E6BB353"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4"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63,216,590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56,968,191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48,549,412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49,091,524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25,053,863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31,969,772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11,623,750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13,545,068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13,734,239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14,788,809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4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1,750,618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5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10,274,940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5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163,170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5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1,975,767</w:t>
            </w:r>
          </w:p>
        </w:tc>
      </w:tr>
    </w:tbl>
    <w:p w14:paraId="6E6BB354" w14:textId="77777777" w:rsidR="00103A04" w:rsidRPr="00944D07" w:rsidRDefault="00103A04" w:rsidP="00E5723F">
      <w:pPr>
        <w:spacing w:before="0" w:after="0"/>
      </w:pPr>
      <w:bookmarkStart w:id="48" w:name="Table_6_3"/>
      <w:bookmarkEnd w:id="48"/>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A500D" w14:paraId="6E6BB364"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5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6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6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6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6BB36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CA500D" w14:paraId="6E6BB374"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2,463,485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6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38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1,965,792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1,314,464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1,225,231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664,552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7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39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4,429,277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3,777,949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1,727,738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1,167,059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8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3A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1,960,977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9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3B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84,204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651,328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89,233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560,679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664,552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A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B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B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B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BB3B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A500D" w14:paraId="6E6BB3C4"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5"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6"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84,204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7"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651,328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8"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2,050,211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9"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560,679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A"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664,552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B"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502,507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C"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D"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E"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BF"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C0"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C1"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C2"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6BB3C3" w14:textId="77777777" w:rsidR="00CA500D"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6E6BB3C5" w14:textId="77777777" w:rsidR="00103A04" w:rsidRPr="00C34E77" w:rsidRDefault="00000000" w:rsidP="00C25FD6">
      <w:pPr>
        <w:pStyle w:val="TableFigureNote"/>
      </w:pPr>
      <w:r w:rsidRPr="00C34E77">
        <w:rPr>
          <w:rFonts w:eastAsiaTheme="minorEastAsia"/>
        </w:rPr>
        <w:t>† Lifetime savings are the sum of CPAS savings through the EUL.</w:t>
      </w:r>
    </w:p>
    <w:p w14:paraId="6E6BB3C6" w14:textId="77777777" w:rsidR="00103A04" w:rsidRPr="00C34E77" w:rsidRDefault="00000000" w:rsidP="00C25FD6">
      <w:pPr>
        <w:pStyle w:val="TableFigureNote"/>
      </w:pPr>
      <w:r w:rsidRPr="00C34E77">
        <w:rPr>
          <w:rFonts w:eastAsiaTheme="minorEastAsia"/>
        </w:rPr>
        <w:t xml:space="preserve">‡ Historical savings go back to CY2018. </w:t>
      </w:r>
    </w:p>
    <w:p w14:paraId="6E6BB3C7" w14:textId="77777777" w:rsidR="00103A04" w:rsidRPr="00C34E77" w:rsidRDefault="00000000" w:rsidP="00C25FD6">
      <w:pPr>
        <w:pStyle w:val="TableFigureNote"/>
      </w:pPr>
      <w:r w:rsidRPr="00C34E77">
        <w:rPr>
          <w:rFonts w:eastAsiaTheme="minorEastAsia"/>
        </w:rPr>
        <w:t>§ Incremental expiring savings are equal to CPAS Yn-1 - CPAS Yn.</w:t>
      </w:r>
    </w:p>
    <w:p w14:paraId="6E6BB3C8" w14:textId="77777777" w:rsidR="00103A04" w:rsidRPr="00C34E77" w:rsidRDefault="00000000" w:rsidP="00C25FD6">
      <w:pPr>
        <w:pStyle w:val="TableFigureNote"/>
      </w:pPr>
      <w:r w:rsidRPr="00C34E77">
        <w:rPr>
          <w:rFonts w:eastAsiaTheme="minorEastAsia"/>
        </w:rPr>
        <w:t>|| Historic incremental expiring savings are equal to Historic CPAS Yn-1 – Historic CPAS Yn.</w:t>
      </w:r>
    </w:p>
    <w:p w14:paraId="6E6BB3C9" w14:textId="77777777" w:rsidR="00103A04" w:rsidRPr="00C34E77" w:rsidRDefault="00000000"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6E6BB3CA" w14:textId="77777777" w:rsidR="00103A04" w:rsidRDefault="00000000" w:rsidP="00C25FD6">
      <w:pPr>
        <w:pStyle w:val="TableFigureSource"/>
      </w:pPr>
      <w:r>
        <w:t>Source: Evaluation team analysis</w:t>
      </w:r>
    </w:p>
    <w:p w14:paraId="6E6BB3CB" w14:textId="77777777" w:rsidR="00103A04" w:rsidRPr="00BB1B40" w:rsidRDefault="00103A04" w:rsidP="00FB6842">
      <w:pPr>
        <w:pStyle w:val="BodyText"/>
      </w:pPr>
    </w:p>
    <w:sectPr w:rsidR="00103A04" w:rsidRPr="00BB1B40" w:rsidSect="003D2BD3">
      <w:headerReference w:type="default" r:id="rId20"/>
      <w:footerReference w:type="default" r:id="rId21"/>
      <w:type w:val="continuous"/>
      <w:pgSz w:w="20160" w:h="16560" w:orient="landscape" w:code="1"/>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1C48" w14:textId="77777777" w:rsidR="00393B22" w:rsidRDefault="00393B22">
      <w:pPr>
        <w:spacing w:before="0" w:after="0"/>
      </w:pPr>
      <w:r>
        <w:separator/>
      </w:r>
    </w:p>
  </w:endnote>
  <w:endnote w:type="continuationSeparator" w:id="0">
    <w:p w14:paraId="72B8D6C8" w14:textId="77777777" w:rsidR="00393B22" w:rsidRDefault="00393B22">
      <w:pPr>
        <w:spacing w:before="0" w:after="0"/>
      </w:pPr>
      <w:r>
        <w:continuationSeparator/>
      </w:r>
    </w:p>
  </w:endnote>
  <w:endnote w:type="continuationNotice" w:id="1">
    <w:p w14:paraId="09487AAE" w14:textId="77777777" w:rsidR="00393B22" w:rsidRDefault="00393B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6E6BB3E0" w14:textId="77777777" w:rsidTr="00553C21">
      <w:trPr>
        <w:trHeight w:val="144"/>
        <w:jc w:val="center"/>
      </w:trPr>
      <w:tc>
        <w:tcPr>
          <w:tcW w:w="7200" w:type="dxa"/>
          <w:tcBorders>
            <w:top w:val="single" w:sz="8" w:space="0" w:color="8C8C8C"/>
            <w:left w:val="nil"/>
            <w:bottom w:val="nil"/>
          </w:tcBorders>
        </w:tcPr>
        <w:p w14:paraId="6E6BB3DE" w14:textId="77777777" w:rsidR="00103A04" w:rsidRPr="00582062" w:rsidRDefault="00103A04" w:rsidP="000E2A29">
          <w:pPr>
            <w:pStyle w:val="Footer"/>
            <w:spacing w:before="120"/>
            <w:rPr>
              <w:sz w:val="2"/>
              <w:szCs w:val="2"/>
            </w:rPr>
          </w:pPr>
        </w:p>
      </w:tc>
      <w:tc>
        <w:tcPr>
          <w:tcW w:w="2880" w:type="dxa"/>
          <w:tcBorders>
            <w:top w:val="single" w:sz="8" w:space="0" w:color="8C8C8C"/>
          </w:tcBorders>
        </w:tcPr>
        <w:p w14:paraId="6E6BB3DF" w14:textId="77777777" w:rsidR="00103A04" w:rsidRPr="00582062" w:rsidRDefault="00103A04" w:rsidP="000E2A29">
          <w:pPr>
            <w:pStyle w:val="Footer"/>
            <w:spacing w:before="120"/>
            <w:jc w:val="right"/>
            <w:rPr>
              <w:sz w:val="2"/>
              <w:szCs w:val="2"/>
            </w:rPr>
          </w:pPr>
        </w:p>
      </w:tc>
    </w:tr>
    <w:tr w:rsidR="007D6383" w:rsidRPr="00EA2FA5" w14:paraId="6E6BB3E3" w14:textId="77777777" w:rsidTr="00553C21">
      <w:trPr>
        <w:trHeight w:val="195"/>
        <w:jc w:val="center"/>
      </w:trPr>
      <w:tc>
        <w:tcPr>
          <w:tcW w:w="7200" w:type="dxa"/>
          <w:tcBorders>
            <w:top w:val="nil"/>
            <w:left w:val="nil"/>
          </w:tcBorders>
          <w:vAlign w:val="center"/>
        </w:tcPr>
        <w:p w14:paraId="6E6BB3E1" w14:textId="77777777" w:rsidR="00103A04" w:rsidRPr="0075421C" w:rsidRDefault="00000000"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6E6BB3E2" w14:textId="77777777" w:rsidR="00103A04" w:rsidRPr="0075421C" w:rsidRDefault="00000000"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6E6BB3E4" w14:textId="77777777" w:rsidR="00103A04" w:rsidRPr="000C64C5" w:rsidRDefault="00103A04" w:rsidP="000E2A29">
    <w:pPr>
      <w:pStyle w:val="Footer"/>
      <w:ind w:right="360"/>
      <w:rPr>
        <w:sz w:val="2"/>
        <w:szCs w:val="2"/>
      </w:rPr>
    </w:pPr>
  </w:p>
  <w:p w14:paraId="6E6BB3E5" w14:textId="77777777" w:rsidR="00103A04" w:rsidRPr="008B6585" w:rsidRDefault="00103A04"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6E6BB3ED" w14:textId="77777777" w:rsidTr="00553C21">
      <w:trPr>
        <w:trHeight w:val="144"/>
        <w:jc w:val="center"/>
      </w:trPr>
      <w:tc>
        <w:tcPr>
          <w:tcW w:w="7200" w:type="dxa"/>
          <w:tcBorders>
            <w:top w:val="single" w:sz="8" w:space="0" w:color="8C8C8C"/>
            <w:left w:val="nil"/>
            <w:bottom w:val="nil"/>
          </w:tcBorders>
        </w:tcPr>
        <w:p w14:paraId="6E6BB3EB" w14:textId="77777777" w:rsidR="00103A04" w:rsidRPr="00582062" w:rsidRDefault="00103A04" w:rsidP="000E2A29">
          <w:pPr>
            <w:pStyle w:val="Footer"/>
            <w:spacing w:before="120"/>
            <w:rPr>
              <w:sz w:val="2"/>
              <w:szCs w:val="2"/>
            </w:rPr>
          </w:pPr>
        </w:p>
      </w:tc>
      <w:tc>
        <w:tcPr>
          <w:tcW w:w="2880" w:type="dxa"/>
          <w:tcBorders>
            <w:top w:val="single" w:sz="8" w:space="0" w:color="8C8C8C"/>
          </w:tcBorders>
        </w:tcPr>
        <w:p w14:paraId="6E6BB3EC" w14:textId="77777777" w:rsidR="00103A04" w:rsidRPr="00582062" w:rsidRDefault="00103A04" w:rsidP="000E2A29">
          <w:pPr>
            <w:pStyle w:val="Footer"/>
            <w:spacing w:before="120"/>
            <w:jc w:val="right"/>
            <w:rPr>
              <w:sz w:val="2"/>
              <w:szCs w:val="2"/>
            </w:rPr>
          </w:pPr>
        </w:p>
      </w:tc>
    </w:tr>
    <w:tr w:rsidR="00173EE6" w:rsidRPr="00EA2FA5" w14:paraId="6E6BB3F0" w14:textId="77777777" w:rsidTr="00553C21">
      <w:trPr>
        <w:trHeight w:val="195"/>
        <w:jc w:val="center"/>
      </w:trPr>
      <w:tc>
        <w:tcPr>
          <w:tcW w:w="7200" w:type="dxa"/>
          <w:tcBorders>
            <w:top w:val="nil"/>
            <w:left w:val="nil"/>
          </w:tcBorders>
          <w:vAlign w:val="center"/>
        </w:tcPr>
        <w:p w14:paraId="6E6BB3EE" w14:textId="77777777" w:rsidR="00103A04" w:rsidRPr="0075421C" w:rsidRDefault="00000000"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6E6BB3EF" w14:textId="77777777" w:rsidR="00103A04" w:rsidRPr="0075421C" w:rsidRDefault="00000000"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6E6BB3F1" w14:textId="77777777" w:rsidR="00103A04" w:rsidRPr="000C64C5" w:rsidRDefault="00103A04" w:rsidP="000E2A29">
    <w:pPr>
      <w:pStyle w:val="Footer"/>
      <w:ind w:right="360"/>
      <w:rPr>
        <w:sz w:val="2"/>
        <w:szCs w:val="2"/>
      </w:rPr>
    </w:pPr>
  </w:p>
  <w:p w14:paraId="6E6BB3F2" w14:textId="77777777" w:rsidR="00103A04" w:rsidRPr="008B6585" w:rsidRDefault="00103A04"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9D74" w14:textId="77777777" w:rsidR="00393B22" w:rsidRDefault="00393B22">
      <w:pPr>
        <w:spacing w:before="0" w:after="0"/>
      </w:pPr>
      <w:r>
        <w:separator/>
      </w:r>
    </w:p>
  </w:footnote>
  <w:footnote w:type="continuationSeparator" w:id="0">
    <w:p w14:paraId="3C6FA9A3" w14:textId="77777777" w:rsidR="00393B22" w:rsidRDefault="00393B22">
      <w:pPr>
        <w:spacing w:before="0" w:after="0"/>
      </w:pPr>
      <w:r>
        <w:continuationSeparator/>
      </w:r>
    </w:p>
  </w:footnote>
  <w:footnote w:type="continuationNotice" w:id="1">
    <w:p w14:paraId="7AD0C40A" w14:textId="77777777" w:rsidR="00393B22" w:rsidRDefault="00393B22">
      <w:pPr>
        <w:spacing w:before="0" w:after="0"/>
      </w:pPr>
    </w:p>
  </w:footnote>
  <w:footnote w:id="2">
    <w:p w14:paraId="6E6BB3F9" w14:textId="77777777" w:rsidR="00103A04" w:rsidRDefault="00000000" w:rsidP="00C93763">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3">
    <w:p w14:paraId="6E6BB3FB" w14:textId="77777777" w:rsidR="00103A04" w:rsidRDefault="00000000" w:rsidP="00C25FD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4">
    <w:p w14:paraId="6E6BB3FC" w14:textId="77777777" w:rsidR="00103A04" w:rsidRDefault="00000000" w:rsidP="00C25FD6">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6E6BB3DC" w14:textId="77777777" w:rsidTr="00553C21">
      <w:trPr>
        <w:jc w:val="center"/>
      </w:trPr>
      <w:tc>
        <w:tcPr>
          <w:tcW w:w="2880" w:type="dxa"/>
          <w:vAlign w:val="center"/>
        </w:tcPr>
        <w:p w14:paraId="6E6BB3DA" w14:textId="77777777" w:rsidR="00103A04" w:rsidRPr="006A71F6" w:rsidRDefault="00000000" w:rsidP="00D5276B">
          <w:pPr>
            <w:pStyle w:val="Header"/>
          </w:pPr>
          <w:r>
            <w:rPr>
              <w:noProof/>
            </w:rPr>
            <w:drawing>
              <wp:inline distT="0" distB="0" distL="0" distR="0" wp14:anchorId="6E6BB3F3" wp14:editId="6E6BB3F4">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6E6BB3DB" w14:textId="403958EF" w:rsidR="00103A04" w:rsidRDefault="00000000"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3D2BD3">
            <w:rPr>
              <w:bCs/>
              <w:noProof/>
            </w:rPr>
            <w:t>ComEd Targeted Systems Program Impact Evaluation Report</w:t>
          </w:r>
          <w:r>
            <w:rPr>
              <w:bCs/>
              <w:noProof/>
            </w:rPr>
            <w:fldChar w:fldCharType="end"/>
          </w:r>
        </w:p>
      </w:tc>
    </w:tr>
  </w:tbl>
  <w:p w14:paraId="6E6BB3DD" w14:textId="77777777" w:rsidR="00103A04" w:rsidRPr="00B21048" w:rsidRDefault="00103A04"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B3E6" w14:textId="77777777" w:rsidR="00103A04" w:rsidRDefault="00000000">
    <w:pPr>
      <w:pStyle w:val="Header"/>
    </w:pPr>
    <w:r>
      <w:rPr>
        <w:noProof/>
      </w:rPr>
      <w:drawing>
        <wp:anchor distT="0" distB="0" distL="114300" distR="114300" simplePos="0" relativeHeight="251658240" behindDoc="0" locked="0" layoutInCell="1" allowOverlap="1" wp14:anchorId="6E6BB3F5" wp14:editId="6E6BB3F6">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6E6BB3E9" w14:textId="77777777" w:rsidTr="00553C21">
      <w:trPr>
        <w:jc w:val="center"/>
      </w:trPr>
      <w:tc>
        <w:tcPr>
          <w:tcW w:w="2880" w:type="dxa"/>
          <w:vAlign w:val="center"/>
        </w:tcPr>
        <w:p w14:paraId="6E6BB3E7" w14:textId="77777777" w:rsidR="00103A04" w:rsidRPr="006A71F6" w:rsidRDefault="00000000" w:rsidP="00D5276B">
          <w:pPr>
            <w:pStyle w:val="Header"/>
          </w:pPr>
          <w:r>
            <w:rPr>
              <w:noProof/>
            </w:rPr>
            <w:drawing>
              <wp:inline distT="0" distB="0" distL="0" distR="0" wp14:anchorId="6E6BB3F7" wp14:editId="6E6BB3F8">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6E6BB3E8" w14:textId="72C96048" w:rsidR="00103A04" w:rsidRDefault="00000000"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3D2BD3">
            <w:rPr>
              <w:bCs/>
              <w:noProof/>
            </w:rPr>
            <w:t>ComEd Targeted Systems Program Impact Evaluation Report</w:t>
          </w:r>
          <w:r>
            <w:rPr>
              <w:bCs/>
              <w:noProof/>
            </w:rPr>
            <w:fldChar w:fldCharType="end"/>
          </w:r>
        </w:p>
      </w:tc>
    </w:tr>
  </w:tbl>
  <w:p w14:paraId="6E6BB3EA" w14:textId="77777777" w:rsidR="00103A04" w:rsidRPr="00B21048" w:rsidRDefault="00103A04"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0D"/>
    <w:rsid w:val="00067EAD"/>
    <w:rsid w:val="00103A04"/>
    <w:rsid w:val="002D5AA2"/>
    <w:rsid w:val="00393B22"/>
    <w:rsid w:val="003D2BD3"/>
    <w:rsid w:val="004D0253"/>
    <w:rsid w:val="00532505"/>
    <w:rsid w:val="00635A1F"/>
    <w:rsid w:val="006A2B4E"/>
    <w:rsid w:val="006B777A"/>
    <w:rsid w:val="007A193E"/>
    <w:rsid w:val="007E6EB4"/>
    <w:rsid w:val="008927A2"/>
    <w:rsid w:val="008D19E8"/>
    <w:rsid w:val="00975BF6"/>
    <w:rsid w:val="009B7E9D"/>
    <w:rsid w:val="009C13B6"/>
    <w:rsid w:val="00A13BF0"/>
    <w:rsid w:val="00B31607"/>
    <w:rsid w:val="00B959A5"/>
    <w:rsid w:val="00BA15E4"/>
    <w:rsid w:val="00BA1BF0"/>
    <w:rsid w:val="00BC47CB"/>
    <w:rsid w:val="00C65CDC"/>
    <w:rsid w:val="00C82877"/>
    <w:rsid w:val="00CA500D"/>
    <w:rsid w:val="00E80A2D"/>
    <w:rsid w:val="00EC3CFB"/>
    <w:rsid w:val="00FA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ADFF"/>
  <w15:docId w15:val="{93F75BD9-10ED-4F63-83E5-208D3CE1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aglione@guidehous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ishant.mehta@guidehous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erickson@guidehouse.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Props1.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2.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3.xml><?xml version="1.0" encoding="utf-8"?>
<ds:datastoreItem xmlns:ds="http://schemas.openxmlformats.org/officeDocument/2006/customXml" ds:itemID="{2A235200-3ADA-4568-BF6D-15D5062A0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19709</CharactersWithSpaces>
  <SharedDoc>false</SharedDoc>
  <HLinks>
    <vt:vector size="72" baseType="variant">
      <vt:variant>
        <vt:i4>1048634</vt:i4>
      </vt:variant>
      <vt:variant>
        <vt:i4>68</vt:i4>
      </vt:variant>
      <vt:variant>
        <vt:i4>0</vt:i4>
      </vt:variant>
      <vt:variant>
        <vt:i4>5</vt:i4>
      </vt:variant>
      <vt:variant>
        <vt:lpwstr/>
      </vt:variant>
      <vt:variant>
        <vt:lpwstr>_Toc187399550</vt:lpwstr>
      </vt:variant>
      <vt:variant>
        <vt:i4>1114170</vt:i4>
      </vt:variant>
      <vt:variant>
        <vt:i4>62</vt:i4>
      </vt:variant>
      <vt:variant>
        <vt:i4>0</vt:i4>
      </vt:variant>
      <vt:variant>
        <vt:i4>5</vt:i4>
      </vt:variant>
      <vt:variant>
        <vt:lpwstr/>
      </vt:variant>
      <vt:variant>
        <vt:lpwstr>_Toc187399549</vt:lpwstr>
      </vt:variant>
      <vt:variant>
        <vt:i4>1114170</vt:i4>
      </vt:variant>
      <vt:variant>
        <vt:i4>56</vt:i4>
      </vt:variant>
      <vt:variant>
        <vt:i4>0</vt:i4>
      </vt:variant>
      <vt:variant>
        <vt:i4>5</vt:i4>
      </vt:variant>
      <vt:variant>
        <vt:lpwstr/>
      </vt:variant>
      <vt:variant>
        <vt:lpwstr>_Toc187399548</vt:lpwstr>
      </vt:variant>
      <vt:variant>
        <vt:i4>1114170</vt:i4>
      </vt:variant>
      <vt:variant>
        <vt:i4>50</vt:i4>
      </vt:variant>
      <vt:variant>
        <vt:i4>0</vt:i4>
      </vt:variant>
      <vt:variant>
        <vt:i4>5</vt:i4>
      </vt:variant>
      <vt:variant>
        <vt:lpwstr/>
      </vt:variant>
      <vt:variant>
        <vt:lpwstr>_Toc187399547</vt:lpwstr>
      </vt:variant>
      <vt:variant>
        <vt:i4>1114170</vt:i4>
      </vt:variant>
      <vt:variant>
        <vt:i4>44</vt:i4>
      </vt:variant>
      <vt:variant>
        <vt:i4>0</vt:i4>
      </vt:variant>
      <vt:variant>
        <vt:i4>5</vt:i4>
      </vt:variant>
      <vt:variant>
        <vt:lpwstr/>
      </vt:variant>
      <vt:variant>
        <vt:lpwstr>_Toc187399546</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Sagar Phalke</cp:lastModifiedBy>
  <cp:revision>32</cp:revision>
  <dcterms:created xsi:type="dcterms:W3CDTF">2025-02-21T19:35:00Z</dcterms:created>
  <dcterms:modified xsi:type="dcterms:W3CDTF">2025-03-12T16:54:00Z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