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D14F1" w14:textId="77777777" w:rsidR="000F19C2" w:rsidRDefault="00EF79A9" w:rsidP="000F19C2">
      <w:pPr>
        <w:pStyle w:val="Heading1ALT"/>
        <w:spacing w:after="0"/>
        <w:jc w:val="center"/>
      </w:pPr>
      <w:r>
        <w:t xml:space="preserve">Illinois Stretch Codes Market Transformation Initiative </w:t>
      </w:r>
    </w:p>
    <w:p w14:paraId="2CAB11F1" w14:textId="38E9DFD7" w:rsidR="00EF79A9" w:rsidRDefault="00EF79A9" w:rsidP="000F19C2">
      <w:pPr>
        <w:pStyle w:val="Heading1ALT"/>
        <w:spacing w:after="0"/>
        <w:jc w:val="center"/>
      </w:pPr>
      <w:r>
        <w:t xml:space="preserve">Energy Savings </w:t>
      </w:r>
      <w:r w:rsidR="2FF223E5">
        <w:t>Framework</w:t>
      </w:r>
      <w:r>
        <w:t xml:space="preserve"> </w:t>
      </w:r>
    </w:p>
    <w:p w14:paraId="2F7281C4" w14:textId="077FDBE2" w:rsidR="00EF79A9" w:rsidRDefault="002D417E" w:rsidP="000F19C2">
      <w:pPr>
        <w:pStyle w:val="Heading1ALT"/>
        <w:spacing w:after="0"/>
        <w:jc w:val="center"/>
      </w:pPr>
      <w:r>
        <w:t>June 10th – DRAFT</w:t>
      </w:r>
    </w:p>
    <w:p w14:paraId="48BE709E" w14:textId="77777777" w:rsidR="00CB477D" w:rsidRPr="0088253F" w:rsidRDefault="00CB477D" w:rsidP="00CB477D">
      <w:pPr>
        <w:spacing w:after="0" w:line="240" w:lineRule="auto"/>
        <w:rPr>
          <w:rFonts w:asciiTheme="majorHAnsi" w:hAnsiTheme="majorHAnsi" w:cstheme="majorHAnsi"/>
        </w:rPr>
      </w:pPr>
      <w:r w:rsidRPr="0088253F">
        <w:rPr>
          <w:rFonts w:asciiTheme="majorHAnsi" w:hAnsiTheme="majorHAnsi" w:cstheme="majorHAnsi"/>
        </w:rPr>
        <w:t xml:space="preserve">Prepared by Slipstream and MEEA </w:t>
      </w:r>
    </w:p>
    <w:p w14:paraId="4D837F7B" w14:textId="16A9EA46" w:rsidR="00CB477D" w:rsidRPr="00CB477D" w:rsidRDefault="00CB477D" w:rsidP="00CB477D">
      <w:pPr>
        <w:spacing w:line="240" w:lineRule="auto"/>
        <w:rPr>
          <w:rFonts w:asciiTheme="majorHAnsi" w:hAnsiTheme="majorHAnsi" w:cstheme="majorHAnsi"/>
        </w:rPr>
      </w:pPr>
      <w:r w:rsidRPr="0088253F">
        <w:rPr>
          <w:rFonts w:asciiTheme="majorHAnsi" w:hAnsiTheme="majorHAnsi" w:cstheme="majorHAnsi"/>
        </w:rPr>
        <w:t xml:space="preserve">Contact information: Jeannette LeZaks, </w:t>
      </w:r>
      <w:hyperlink r:id="rId11" w:history="1">
        <w:r w:rsidRPr="0088253F">
          <w:rPr>
            <w:rStyle w:val="Hyperlink"/>
            <w:rFonts w:asciiTheme="majorHAnsi" w:hAnsiTheme="majorHAnsi" w:cstheme="majorHAnsi"/>
          </w:rPr>
          <w:t>jlezaks@slipstreaminc.org</w:t>
        </w:r>
      </w:hyperlink>
      <w:r w:rsidRPr="0088253F">
        <w:rPr>
          <w:rFonts w:asciiTheme="majorHAnsi" w:hAnsiTheme="majorHAnsi" w:cstheme="majorHAnsi"/>
        </w:rPr>
        <w:t xml:space="preserve"> </w:t>
      </w:r>
    </w:p>
    <w:p w14:paraId="2DED9778" w14:textId="77777777" w:rsidR="00B43060" w:rsidRDefault="00B43060" w:rsidP="00761969">
      <w:pPr>
        <w:pStyle w:val="Heading2ALT"/>
      </w:pPr>
      <w:bookmarkStart w:id="0" w:name="_Toc112665991"/>
      <w:r>
        <w:t>1.0 Introduction</w:t>
      </w:r>
      <w:bookmarkEnd w:id="0"/>
      <w:r>
        <w:t xml:space="preserve"> </w:t>
      </w:r>
    </w:p>
    <w:p w14:paraId="038304C7" w14:textId="127921E7" w:rsidR="000312A6" w:rsidRPr="00CA6DD0" w:rsidRDefault="000312A6" w:rsidP="00CA6DD0">
      <w:pPr>
        <w:pStyle w:val="Bodysansserif"/>
      </w:pPr>
      <w:r w:rsidRPr="00CA6DD0">
        <w:t xml:space="preserve">The Illinois Stretch Codes Market Transformation Initiative (MTI) is </w:t>
      </w:r>
      <w:r w:rsidR="00DC4745" w:rsidRPr="00CA6DD0">
        <w:t>ComEd</w:t>
      </w:r>
      <w:r w:rsidR="0085068A" w:rsidRPr="00CA6DD0">
        <w:t>-</w:t>
      </w:r>
      <w:r w:rsidR="00DC4745" w:rsidRPr="00CA6DD0">
        <w:t>supported</w:t>
      </w:r>
      <w:r w:rsidRPr="00CA6DD0">
        <w:t xml:space="preserve"> effort to promote greater energy efficiency adoption through policy advancement and improved implementation of stretch energy codes. </w:t>
      </w:r>
      <w:r w:rsidR="0085068A" w:rsidRPr="00CA6DD0">
        <w:t>This MTI ha</w:t>
      </w:r>
      <w:r w:rsidR="00B879C7" w:rsidRPr="00CA6DD0">
        <w:t>s</w:t>
      </w:r>
      <w:r w:rsidR="0085068A" w:rsidRPr="00CA6DD0">
        <w:t xml:space="preserve"> potential to </w:t>
      </w:r>
      <w:r w:rsidRPr="00CA6DD0">
        <w:t xml:space="preserve">extend across Illinois through the implementation of stretch residential and commercial energy codes that exceed the minimum requirements in the Illinois statewide energy code. </w:t>
      </w:r>
      <w:r w:rsidR="0085068A" w:rsidRPr="00CA6DD0">
        <w:t>The ComEd</w:t>
      </w:r>
      <w:r w:rsidR="00B879C7" w:rsidRPr="00CA6DD0">
        <w:t>-</w:t>
      </w:r>
      <w:r w:rsidR="0085068A" w:rsidRPr="00CA6DD0">
        <w:t xml:space="preserve">funded MTI </w:t>
      </w:r>
      <w:r w:rsidR="00B879C7" w:rsidRPr="00CA6DD0">
        <w:t>is</w:t>
      </w:r>
      <w:r w:rsidRPr="00CA6DD0">
        <w:t xml:space="preserve"> implemented through strategic partnerships</w:t>
      </w:r>
      <w:r w:rsidR="00B879C7" w:rsidRPr="00CA6DD0">
        <w:t xml:space="preserve">, </w:t>
      </w:r>
      <w:r w:rsidRPr="00CA6DD0">
        <w:t>stakeholder engageme</w:t>
      </w:r>
      <w:r w:rsidR="00B879C7" w:rsidRPr="00CA6DD0">
        <w:t>nt</w:t>
      </w:r>
      <w:r w:rsidRPr="00CA6DD0">
        <w:t>,</w:t>
      </w:r>
      <w:r w:rsidR="00B879C7" w:rsidRPr="00CA6DD0">
        <w:t xml:space="preserve"> and technical assistance,</w:t>
      </w:r>
      <w:r w:rsidRPr="00CA6DD0">
        <w:t xml:space="preserve"> including direct collaboration with participating municipalities and the Illinois Metropolitan Mayor’s Caucus.</w:t>
      </w:r>
    </w:p>
    <w:p w14:paraId="4ED2C2FB" w14:textId="4A6B3FE9" w:rsidR="00E87825" w:rsidRPr="00CA6DD0" w:rsidRDefault="00E87825" w:rsidP="00CA6DD0">
      <w:pPr>
        <w:pStyle w:val="Bodysansserif"/>
      </w:pPr>
      <w:r w:rsidRPr="00CA6DD0">
        <w:t xml:space="preserve">In Illinois, electric and gas utilities administering a building energy code program can claim savings through a </w:t>
      </w:r>
      <w:r w:rsidR="00D3548C" w:rsidRPr="00CA6DD0">
        <w:t>m</w:t>
      </w:r>
      <w:r w:rsidRPr="00CA6DD0">
        <w:t xml:space="preserve">arket </w:t>
      </w:r>
      <w:r w:rsidR="00D3548C" w:rsidRPr="00CA6DD0">
        <w:t>t</w:t>
      </w:r>
      <w:r w:rsidRPr="00CA6DD0">
        <w:t xml:space="preserve">ransformation (MT) approach to program design and evaluation. </w:t>
      </w:r>
      <w:r w:rsidR="002113CD" w:rsidRPr="00CA6DD0">
        <w:t>This document describes the energy savings framework (ESF) for stretch codes, including the natural market baseline (NMB) and the expected energy impact of the MT</w:t>
      </w:r>
      <w:r w:rsidR="00964A3B" w:rsidRPr="00CA6DD0">
        <w:t>I</w:t>
      </w:r>
      <w:r w:rsidR="00D3548C" w:rsidRPr="00CA6DD0">
        <w:t xml:space="preserve"> for the ComEd territory</w:t>
      </w:r>
      <w:r w:rsidR="002113CD" w:rsidRPr="00CA6DD0">
        <w:t xml:space="preserve">. </w:t>
      </w:r>
      <w:r w:rsidRPr="00CA6DD0">
        <w:t>The framework</w:t>
      </w:r>
      <w:r w:rsidR="00F418A2" w:rsidRPr="00CA6DD0">
        <w:t xml:space="preserve"> addresses</w:t>
      </w:r>
      <w:r w:rsidRPr="00CA6DD0">
        <w:t xml:space="preserve"> the potential savings from </w:t>
      </w:r>
      <w:r w:rsidR="00D3548C" w:rsidRPr="00CA6DD0">
        <w:t>ComEd supported MTI</w:t>
      </w:r>
      <w:r w:rsidRPr="00CA6DD0">
        <w:t xml:space="preserve"> that both impact advancement of stretch codes</w:t>
      </w:r>
      <w:r w:rsidR="00AC0EBE" w:rsidRPr="00CA6DD0">
        <w:t>,</w:t>
      </w:r>
      <w:r w:rsidRPr="00CA6DD0">
        <w:t xml:space="preserve"> and implementation and compliance with stretch codes. </w:t>
      </w:r>
      <w:r w:rsidR="00A71CE3" w:rsidRPr="00CA6DD0">
        <w:t xml:space="preserve"> </w:t>
      </w:r>
    </w:p>
    <w:p w14:paraId="1438DA8A" w14:textId="1126B948" w:rsidR="00134B74" w:rsidRPr="00CA6DD0" w:rsidRDefault="00A62ABA" w:rsidP="00CA6DD0">
      <w:pPr>
        <w:pStyle w:val="Bodysansserif"/>
      </w:pPr>
      <w:r w:rsidRPr="00CA6DD0">
        <w:t>Attachment C of the Illinois TRM v12</w:t>
      </w:r>
      <w:r w:rsidR="0055223C" w:rsidRPr="00CA6DD0">
        <w:rPr>
          <w:rStyle w:val="FootnoteReference"/>
          <w:vertAlign w:val="baseline"/>
        </w:rPr>
        <w:footnoteReference w:id="2"/>
      </w:r>
      <w:r w:rsidR="00A764E0" w:rsidRPr="00CA6DD0">
        <w:t xml:space="preserve"> </w:t>
      </w:r>
      <w:r w:rsidR="00923C9F" w:rsidRPr="00CA6DD0">
        <w:t xml:space="preserve">defines MT as the strategic process of intervening in a market to create lasting change that results in the accelerated adoption of energy efficient products, services, and practices. </w:t>
      </w:r>
      <w:r w:rsidR="00260BBA" w:rsidRPr="00CA6DD0">
        <w:t>Using an</w:t>
      </w:r>
      <w:r w:rsidR="00923C9F" w:rsidRPr="00CA6DD0">
        <w:t xml:space="preserve"> MT </w:t>
      </w:r>
      <w:r w:rsidR="00D60587" w:rsidRPr="00CA6DD0">
        <w:t>approach for stretch energy codes</w:t>
      </w:r>
      <w:r w:rsidR="00923C9F" w:rsidRPr="00CA6DD0">
        <w:t xml:space="preserve">, utilities can </w:t>
      </w:r>
      <w:r w:rsidR="00480FE8" w:rsidRPr="00CA6DD0">
        <w:t>claim savings for playing t</w:t>
      </w:r>
      <w:r w:rsidR="00923C9F" w:rsidRPr="00CA6DD0">
        <w:t xml:space="preserve">wo distinct </w:t>
      </w:r>
      <w:r w:rsidR="00480FE8" w:rsidRPr="00CA6DD0">
        <w:t>roles</w:t>
      </w:r>
      <w:r w:rsidR="00134B74" w:rsidRPr="00CA6DD0">
        <w:t xml:space="preserve">: </w:t>
      </w:r>
    </w:p>
    <w:p w14:paraId="69608874" w14:textId="77777777" w:rsidR="00F64B49" w:rsidRPr="00CA6DD0" w:rsidRDefault="00134B74" w:rsidP="00F64B49">
      <w:pPr>
        <w:pStyle w:val="ListParagraph"/>
        <w:numPr>
          <w:ilvl w:val="0"/>
          <w:numId w:val="33"/>
        </w:numPr>
        <w:rPr>
          <w:rFonts w:asciiTheme="majorHAnsi" w:hAnsiTheme="majorHAnsi" w:cstheme="majorHAnsi"/>
        </w:rPr>
      </w:pPr>
      <w:r w:rsidRPr="00CA6DD0">
        <w:rPr>
          <w:rFonts w:asciiTheme="majorHAnsi" w:hAnsiTheme="majorHAnsi" w:cstheme="majorHAnsi"/>
          <w:b/>
          <w:bCs/>
        </w:rPr>
        <w:t>Policy advancement:</w:t>
      </w:r>
      <w:r w:rsidRPr="00CA6DD0">
        <w:rPr>
          <w:rFonts w:asciiTheme="majorHAnsi" w:hAnsiTheme="majorHAnsi" w:cstheme="majorHAnsi"/>
        </w:rPr>
        <w:t xml:space="preserve"> utilities can</w:t>
      </w:r>
      <w:r w:rsidR="00923C9F" w:rsidRPr="00CA6DD0">
        <w:rPr>
          <w:rFonts w:asciiTheme="majorHAnsi" w:hAnsiTheme="majorHAnsi" w:cstheme="majorHAnsi"/>
        </w:rPr>
        <w:t xml:space="preserve"> support state and municipal efforts to advance and adopt stretch codes through technical guidance and policy development</w:t>
      </w:r>
      <w:r w:rsidR="006F3077" w:rsidRPr="00CA6DD0">
        <w:rPr>
          <w:rFonts w:asciiTheme="majorHAnsi" w:hAnsiTheme="majorHAnsi" w:cstheme="majorHAnsi"/>
        </w:rPr>
        <w:t>.</w:t>
      </w:r>
    </w:p>
    <w:p w14:paraId="1CA264DD" w14:textId="5B0AA394" w:rsidR="00711E6F" w:rsidRPr="00CA6DD0" w:rsidRDefault="00134B74" w:rsidP="00B26839">
      <w:pPr>
        <w:pStyle w:val="ListParagraph"/>
        <w:numPr>
          <w:ilvl w:val="0"/>
          <w:numId w:val="33"/>
        </w:numPr>
        <w:rPr>
          <w:rFonts w:asciiTheme="majorHAnsi" w:hAnsiTheme="majorHAnsi" w:cstheme="majorHAnsi"/>
        </w:rPr>
      </w:pPr>
      <w:r w:rsidRPr="00CA6DD0">
        <w:rPr>
          <w:rFonts w:asciiTheme="majorHAnsi" w:hAnsiTheme="majorHAnsi" w:cstheme="majorHAnsi"/>
          <w:b/>
          <w:bCs/>
        </w:rPr>
        <w:t>Compliance support</w:t>
      </w:r>
      <w:r w:rsidR="00D353FF" w:rsidRPr="00CA6DD0">
        <w:rPr>
          <w:rFonts w:asciiTheme="majorHAnsi" w:hAnsiTheme="majorHAnsi" w:cstheme="majorHAnsi"/>
          <w:b/>
          <w:bCs/>
        </w:rPr>
        <w:t>:</w:t>
      </w:r>
      <w:r w:rsidRPr="00CA6DD0">
        <w:rPr>
          <w:rFonts w:asciiTheme="majorHAnsi" w:hAnsiTheme="majorHAnsi" w:cstheme="majorHAnsi"/>
        </w:rPr>
        <w:t xml:space="preserve"> utilities can </w:t>
      </w:r>
      <w:r w:rsidR="00923C9F" w:rsidRPr="00CA6DD0">
        <w:rPr>
          <w:rFonts w:asciiTheme="majorHAnsi" w:hAnsiTheme="majorHAnsi" w:cstheme="majorHAnsi"/>
        </w:rPr>
        <w:t>provid</w:t>
      </w:r>
      <w:r w:rsidRPr="00CA6DD0">
        <w:rPr>
          <w:rFonts w:asciiTheme="majorHAnsi" w:hAnsiTheme="majorHAnsi" w:cstheme="majorHAnsi"/>
        </w:rPr>
        <w:t>e</w:t>
      </w:r>
      <w:r w:rsidR="00923C9F" w:rsidRPr="00CA6DD0">
        <w:rPr>
          <w:rFonts w:asciiTheme="majorHAnsi" w:hAnsiTheme="majorHAnsi" w:cstheme="majorHAnsi"/>
        </w:rPr>
        <w:t xml:space="preserve"> stretch code compliance support through programs that provide technical assistance, enforcement assistance, and training for municipalities, contractors, </w:t>
      </w:r>
      <w:r w:rsidR="00F21941" w:rsidRPr="00CA6DD0">
        <w:rPr>
          <w:rFonts w:asciiTheme="majorHAnsi" w:hAnsiTheme="majorHAnsi" w:cstheme="majorHAnsi"/>
        </w:rPr>
        <w:t xml:space="preserve">design professionals </w:t>
      </w:r>
      <w:r w:rsidR="00923C9F" w:rsidRPr="00CA6DD0">
        <w:rPr>
          <w:rFonts w:asciiTheme="majorHAnsi" w:hAnsiTheme="majorHAnsi" w:cstheme="majorHAnsi"/>
        </w:rPr>
        <w:t xml:space="preserve">and building owners.  </w:t>
      </w:r>
      <w:bookmarkStart w:id="1" w:name="_Toc135641459"/>
      <w:bookmarkStart w:id="2" w:name="_Toc112665992"/>
    </w:p>
    <w:p w14:paraId="62419481" w14:textId="0FBB9F2E" w:rsidR="00711E6F" w:rsidRDefault="00711E6F" w:rsidP="00CA6DD0">
      <w:pPr>
        <w:pStyle w:val="Bodysansserif"/>
      </w:pPr>
      <w:r w:rsidRPr="7DDA5DB8">
        <w:t xml:space="preserve">In 2021, the utility sponsor, ComEd, launched the Stretch Codes MTI. Slipstream and its partner, Midwest Energy Efficiency Alliance (MEEA), implement the Stretch Codes MTI for ComEd. Guidehouse, the MTI evaluator, is working collaboratively with ComEd, Slipstream, MEEA, Illinois Commerce Commission (ICC), and the Illinois Stakeholder Advisory Group (SAG) MT Working Group (WG) members to examine if the preponderance of evidence (PoE) suggests the Stretch Codes MTI is achieving the </w:t>
      </w:r>
      <w:r w:rsidRPr="7DDA5DB8">
        <w:lastRenderedPageBreak/>
        <w:t>desired outcomes, and to develop and refine the Energy Savings Framework (ESF)</w:t>
      </w:r>
      <w:r>
        <w:t xml:space="preserve">. </w:t>
      </w:r>
      <w:r w:rsidR="0085068A" w:rsidRPr="0085068A">
        <w:t xml:space="preserve"> </w:t>
      </w:r>
      <w:r w:rsidR="0085068A" w:rsidRPr="009455C3">
        <w:t xml:space="preserve">This </w:t>
      </w:r>
      <w:r w:rsidR="0085068A">
        <w:t>stretch code MTI</w:t>
      </w:r>
      <w:r w:rsidR="0085068A" w:rsidRPr="009455C3">
        <w:t xml:space="preserve"> </w:t>
      </w:r>
      <w:r w:rsidR="0085068A">
        <w:t>was previously funded in part by other Illinois utilities including Nicor Gas, Peoples Gas and Northshore Gas, and Ameren.</w:t>
      </w:r>
    </w:p>
    <w:p w14:paraId="03CF6573" w14:textId="4D9A9A47" w:rsidR="00DC4745" w:rsidRDefault="00B26839" w:rsidP="00CA6DD0">
      <w:pPr>
        <w:pStyle w:val="Bodysansserif"/>
      </w:pPr>
      <w:r w:rsidRPr="7DDA5DB8">
        <w:t xml:space="preserve">This document sets the initial </w:t>
      </w:r>
      <w:r w:rsidR="00811882" w:rsidRPr="7DDA5DB8">
        <w:t>NMB</w:t>
      </w:r>
      <w:r w:rsidRPr="7DDA5DB8">
        <w:t xml:space="preserve"> and energy savings potential. </w:t>
      </w:r>
      <w:r w:rsidR="00FE3788" w:rsidRPr="7DDA5DB8">
        <w:t xml:space="preserve">As </w:t>
      </w:r>
      <w:r w:rsidR="004B1B93" w:rsidRPr="7DDA5DB8">
        <w:t>stated in</w:t>
      </w:r>
      <w:r w:rsidR="00FE3788" w:rsidRPr="7DDA5DB8">
        <w:t xml:space="preserve"> Attachment C, </w:t>
      </w:r>
      <w:r w:rsidR="004B1B93" w:rsidRPr="7DDA5DB8">
        <w:t>the NMB should be revisited periodically</w:t>
      </w:r>
      <w:r w:rsidR="00D404B5" w:rsidRPr="7DDA5DB8">
        <w:t xml:space="preserve"> and the criteria for triggering an adjustment of the NMB should be determined at the time of the original NMB development. </w:t>
      </w:r>
      <w:r w:rsidR="000F518B" w:rsidRPr="7DDA5DB8">
        <w:t xml:space="preserve">The recommendation is that the NMB is revisited every three years after the code adoption cycle to determine if it needs to be adjusted. </w:t>
      </w:r>
      <w:r w:rsidR="1ADD32E5" w:rsidRPr="7DDA5DB8">
        <w:t xml:space="preserve">Criteria will be developed for determining when changes need to be made to the NMB. </w:t>
      </w:r>
    </w:p>
    <w:p w14:paraId="206BBA1E" w14:textId="316ED433" w:rsidR="00447827" w:rsidRDefault="00447827" w:rsidP="00761969">
      <w:pPr>
        <w:pStyle w:val="Heading2ALT"/>
      </w:pPr>
      <w:r>
        <w:t xml:space="preserve">2.0 </w:t>
      </w:r>
      <w:bookmarkEnd w:id="1"/>
      <w:bookmarkEnd w:id="2"/>
      <w:r>
        <w:t>Methodology</w:t>
      </w:r>
    </w:p>
    <w:p w14:paraId="2D5F3E76" w14:textId="153529E3" w:rsidR="00447827" w:rsidRDefault="00811882" w:rsidP="00CA6DD0">
      <w:pPr>
        <w:pStyle w:val="Bodysansserif"/>
      </w:pPr>
      <w:r w:rsidRPr="00964306">
        <w:t xml:space="preserve">The NMB estimates </w:t>
      </w:r>
      <w:r w:rsidR="004E7CBC">
        <w:t xml:space="preserve">and predicts </w:t>
      </w:r>
      <w:r w:rsidRPr="00964306">
        <w:t>market adoption of an MTI in a future where no utility intervention exists. For stretch energy codes, the market is defined in terms of square feet of annual new construction.</w:t>
      </w:r>
      <w:r>
        <w:t xml:space="preserve"> </w:t>
      </w:r>
      <w:r w:rsidR="00F357FB">
        <w:t xml:space="preserve">Using Attachment C’s definition of MT Energy Savings, the </w:t>
      </w:r>
      <w:r w:rsidR="004E7CBC">
        <w:t>e</w:t>
      </w:r>
      <w:r w:rsidR="00F357FB">
        <w:t xml:space="preserve">nergy </w:t>
      </w:r>
      <w:r w:rsidR="004E7CBC">
        <w:t>s</w:t>
      </w:r>
      <w:r w:rsidR="00F357FB">
        <w:t>avings from stretch code adoption and compliance programs are as follows</w:t>
      </w:r>
      <w:r w:rsidR="00734863">
        <w:t xml:space="preserve">, with additional detail on </w:t>
      </w:r>
      <w:r w:rsidR="004E6D69">
        <w:t>the equation further below</w:t>
      </w:r>
      <w:r w:rsidR="00F357FB">
        <w:t xml:space="preserve">: </w:t>
      </w:r>
    </w:p>
    <w:p w14:paraId="271625B8" w14:textId="77777777" w:rsidR="00404184" w:rsidRPr="00734863" w:rsidRDefault="00404184" w:rsidP="00404184">
      <w:pPr>
        <w:pStyle w:val="ListParagraph"/>
        <w:spacing w:before="240"/>
        <w:rPr>
          <w:rFonts w:cs="Arial"/>
          <w:iCs/>
        </w:rPr>
      </w:pPr>
      <m:oMathPara>
        <m:oMathParaPr>
          <m:jc m:val="center"/>
        </m:oMathParaPr>
        <m:oMath>
          <m:r>
            <m:rPr>
              <m:sty m:val="b"/>
            </m:rPr>
            <w:rPr>
              <w:rFonts w:ascii="Cambria Math" w:hAnsi="Cambria Math" w:cs="Arial"/>
            </w:rPr>
            <m:t>MT Energy Savings of Stretch Codes Adoption</m:t>
          </m:r>
          <m:r>
            <m:rPr>
              <m:sty m:val="p"/>
            </m:rPr>
            <w:rPr>
              <w:rFonts w:ascii="Cambria Math" w:hAnsi="Cambria Math" w:cs="Arial"/>
            </w:rPr>
            <m:t xml:space="preserve">=Number of MT Units </m:t>
          </m:r>
          <m:d>
            <m:dPr>
              <m:ctrlPr>
                <w:rPr>
                  <w:rFonts w:ascii="Cambria Math" w:hAnsi="Cambria Math" w:cs="Arial"/>
                  <w:iCs/>
                </w:rPr>
              </m:ctrlPr>
            </m:dPr>
            <m:e>
              <m:r>
                <m:rPr>
                  <m:sty m:val="p"/>
                </m:rPr>
                <w:rPr>
                  <w:rFonts w:ascii="Cambria Math" w:hAnsi="Cambria Math" w:cs="Arial"/>
                </w:rPr>
                <m:t>Square Feet of New Construction and Major Renovation</m:t>
              </m:r>
              <m:ctrlPr>
                <w:rPr>
                  <w:rFonts w:ascii="Cambria Math" w:hAnsi="Cambria Math" w:cs="Arial"/>
                  <w:i/>
                </w:rPr>
              </m:ctrlPr>
            </m:e>
          </m:d>
        </m:oMath>
      </m:oMathPara>
    </w:p>
    <w:p w14:paraId="17B1D61E" w14:textId="77777777" w:rsidR="00404184" w:rsidRPr="005E5099" w:rsidRDefault="00404184" w:rsidP="00404184">
      <w:pPr>
        <w:pStyle w:val="ListParagraph"/>
        <w:rPr>
          <w:rFonts w:cs="Arial"/>
        </w:rPr>
      </w:pPr>
      <m:oMathPara>
        <m:oMathParaPr>
          <m:jc m:val="center"/>
        </m:oMathParaPr>
        <m:oMath>
          <m:r>
            <m:rPr>
              <m:sty m:val="p"/>
            </m:rPr>
            <w:rPr>
              <w:rFonts w:ascii="Cambria Math" w:hAnsi="Cambria Math" w:cs="Arial"/>
            </w:rPr>
            <m:t xml:space="preserve"> x Unit Energy Savings of Stretch Codes Adoption </m:t>
          </m:r>
          <m:d>
            <m:dPr>
              <m:ctrlPr>
                <w:rPr>
                  <w:rFonts w:ascii="Cambria Math" w:hAnsi="Cambria Math" w:cs="Arial"/>
                </w:rPr>
              </m:ctrlPr>
            </m:dPr>
            <m:e>
              <m:r>
                <m:rPr>
                  <m:sty m:val="p"/>
                </m:rPr>
                <w:rPr>
                  <w:rFonts w:ascii="Cambria Math" w:hAnsi="Cambria Math" w:cs="Arial"/>
                </w:rPr>
                <m:t>change in EUI</m:t>
              </m:r>
            </m:e>
          </m:d>
          <m:r>
            <w:rPr>
              <w:rFonts w:ascii="Cambria Math" w:hAnsi="Cambria Math" w:cs="Arial"/>
            </w:rPr>
            <m:t xml:space="preserve"> </m:t>
          </m:r>
          <m:r>
            <m:rPr>
              <m:sty m:val="p"/>
            </m:rPr>
            <w:rPr>
              <w:rFonts w:ascii="Cambria Math" w:hAnsi="Cambria Math" w:cs="Arial"/>
            </w:rPr>
            <w:br/>
          </m:r>
        </m:oMath>
      </m:oMathPara>
    </w:p>
    <w:p w14:paraId="1C70014F" w14:textId="77777777" w:rsidR="00404184" w:rsidRPr="00734863" w:rsidRDefault="00404184" w:rsidP="00404184">
      <w:pPr>
        <w:pStyle w:val="ListParagraph"/>
        <w:spacing w:before="240"/>
        <w:rPr>
          <w:rFonts w:cs="Arial"/>
          <w:iCs/>
        </w:rPr>
      </w:pPr>
      <m:oMathPara>
        <m:oMathParaPr>
          <m:jc m:val="center"/>
        </m:oMathParaPr>
        <m:oMath>
          <m:r>
            <m:rPr>
              <m:sty m:val="b"/>
            </m:rPr>
            <w:rPr>
              <w:rFonts w:ascii="Cambria Math" w:hAnsi="Cambria Math" w:cs="Arial"/>
            </w:rPr>
            <m:t>MT Energy Savings of Stretch Code Compliance</m:t>
          </m:r>
          <m:r>
            <m:rPr>
              <m:sty m:val="p"/>
            </m:rPr>
            <w:rPr>
              <w:rFonts w:ascii="Cambria Math" w:hAnsi="Cambria Math" w:cs="Arial"/>
            </w:rPr>
            <m:t xml:space="preserve">=Number of MT Units </m:t>
          </m:r>
          <m:d>
            <m:dPr>
              <m:ctrlPr>
                <w:rPr>
                  <w:rFonts w:ascii="Cambria Math" w:hAnsi="Cambria Math" w:cs="Arial"/>
                  <w:iCs/>
                </w:rPr>
              </m:ctrlPr>
            </m:dPr>
            <m:e>
              <m:r>
                <m:rPr>
                  <m:sty m:val="p"/>
                </m:rPr>
                <w:rPr>
                  <w:rFonts w:ascii="Cambria Math" w:hAnsi="Cambria Math" w:cs="Arial"/>
                </w:rPr>
                <m:t>Square Feet of New Construction and Major Renovation</m:t>
              </m:r>
              <m:ctrlPr>
                <w:rPr>
                  <w:rFonts w:ascii="Cambria Math" w:hAnsi="Cambria Math" w:cs="Arial"/>
                  <w:i/>
                </w:rPr>
              </m:ctrlPr>
            </m:e>
          </m:d>
        </m:oMath>
      </m:oMathPara>
    </w:p>
    <w:p w14:paraId="5FF8A389" w14:textId="0FD0550D" w:rsidR="00404184" w:rsidRPr="00734863" w:rsidRDefault="00404184" w:rsidP="00404184">
      <w:pPr>
        <w:pStyle w:val="ListParagraph"/>
        <w:rPr>
          <w:rFonts w:cs="Arial"/>
        </w:rPr>
      </w:pPr>
      <m:oMathPara>
        <m:oMathParaPr>
          <m:jc m:val="center"/>
        </m:oMathParaPr>
        <m:oMath>
          <m:r>
            <m:rPr>
              <m:sty m:val="p"/>
            </m:rPr>
            <w:rPr>
              <w:rFonts w:ascii="Cambria Math" w:hAnsi="Cambria Math" w:cs="Arial"/>
            </w:rPr>
            <m:t xml:space="preserve"> x Unit Energy Savings of Stretch Codes Compliance </m:t>
          </m:r>
          <m:d>
            <m:dPr>
              <m:ctrlPr>
                <w:rPr>
                  <w:rFonts w:ascii="Cambria Math" w:hAnsi="Cambria Math" w:cs="Arial"/>
                </w:rPr>
              </m:ctrlPr>
            </m:dPr>
            <m:e>
              <m:r>
                <m:rPr>
                  <m:sty m:val="p"/>
                </m:rPr>
                <w:rPr>
                  <w:rFonts w:ascii="Cambria Math" w:hAnsi="Cambria Math" w:cs="Arial"/>
                </w:rPr>
                <m:t>change in EUI</m:t>
              </m:r>
            </m:e>
          </m:d>
        </m:oMath>
      </m:oMathPara>
    </w:p>
    <w:p w14:paraId="776C4E76" w14:textId="11624372" w:rsidR="00404184" w:rsidRPr="006B21C4" w:rsidRDefault="00404184" w:rsidP="00FD4F74">
      <w:pPr>
        <w:spacing w:line="240" w:lineRule="auto"/>
        <w:ind w:left="720"/>
      </w:pPr>
      <w:r>
        <w:t>and more specifically, accounting for noncompliance, n</w:t>
      </w:r>
      <w:r w:rsidR="00B16F5D">
        <w:t>atural market baseline</w:t>
      </w:r>
      <w:r>
        <w:t>, and utility attribution:</w:t>
      </w:r>
    </w:p>
    <w:p w14:paraId="110B0EBD" w14:textId="77777777" w:rsidR="00404184" w:rsidRPr="006B21C4" w:rsidRDefault="00404184" w:rsidP="00DE17F0">
      <w:pPr>
        <w:spacing w:after="120" w:line="240" w:lineRule="auto"/>
        <w:ind w:firstLine="720"/>
        <w:rPr>
          <w:b/>
        </w:rPr>
      </w:pPr>
      <m:oMathPara>
        <m:oMath>
          <m:r>
            <m:rPr>
              <m:sty m:val="b"/>
            </m:rPr>
            <w:rPr>
              <w:rFonts w:ascii="Cambria Math" w:hAnsi="Cambria Math" w:cs="Arial"/>
            </w:rPr>
            <m:t>MT Potential Energy Savings of Stretch Code Compliance</m:t>
          </m:r>
        </m:oMath>
      </m:oMathPara>
    </w:p>
    <w:p w14:paraId="0E232DE8" w14:textId="7C26CA08" w:rsidR="00404184" w:rsidRPr="006B21C4" w:rsidRDefault="00404184" w:rsidP="00DE17F0">
      <w:pPr>
        <w:spacing w:after="120" w:line="240" w:lineRule="auto"/>
        <w:ind w:firstLine="720"/>
      </w:pPr>
      <m:oMathPara>
        <m:oMath>
          <m:r>
            <m:rPr>
              <m:sty m:val="b"/>
            </m:rPr>
            <w:rPr>
              <w:rFonts w:ascii="Cambria Math" w:hAnsi="Cambria Math" w:cs="Arial"/>
            </w:rPr>
            <m:t xml:space="preserve"> </m:t>
          </m:r>
          <m:r>
            <m:rPr>
              <m:sty m:val="p"/>
            </m:rPr>
            <w:rPr>
              <w:rFonts w:ascii="Cambria Math" w:hAnsi="Cambria Math" w:cs="Arial"/>
            </w:rPr>
            <m:t>=</m:t>
          </m:r>
          <m:d>
            <m:dPr>
              <m:ctrlPr>
                <w:rPr>
                  <w:rFonts w:ascii="Cambria Math" w:hAnsi="Cambria Math" w:cs="Arial"/>
                </w:rPr>
              </m:ctrlPr>
            </m:dPr>
            <m:e>
              <m:r>
                <w:rPr>
                  <w:rFonts w:ascii="Cambria Math" w:hAnsi="Cambria Math" w:cs="Arial"/>
                </w:rPr>
                <m:t>Market Baseline Consumption-Code Compliance Consumption</m:t>
              </m:r>
              <m:ctrlPr>
                <w:rPr>
                  <w:rFonts w:ascii="Cambria Math" w:hAnsi="Cambria Math" w:cs="Arial"/>
                  <w:i/>
                </w:rPr>
              </m:ctrlPr>
            </m:e>
          </m:d>
        </m:oMath>
      </m:oMathPara>
    </w:p>
    <w:p w14:paraId="76A4CF41" w14:textId="77777777" w:rsidR="00404184" w:rsidRPr="006B21C4" w:rsidRDefault="00404184" w:rsidP="00DE17F0">
      <w:pPr>
        <w:spacing w:after="120" w:line="240" w:lineRule="auto"/>
        <w:ind w:firstLine="720"/>
        <w:rPr>
          <w:b/>
        </w:rPr>
      </w:pPr>
      <m:oMathPara>
        <m:oMath>
          <m:r>
            <m:rPr>
              <m:sty m:val="b"/>
            </m:rPr>
            <w:rPr>
              <w:rFonts w:ascii="Cambria Math" w:hAnsi="Cambria Math" w:cs="Arial"/>
            </w:rPr>
            <m:t>MT Gross Energy Savings of Stretch Code Compliance</m:t>
          </m:r>
        </m:oMath>
      </m:oMathPara>
    </w:p>
    <w:p w14:paraId="18996989" w14:textId="0C35DE58" w:rsidR="00404184" w:rsidRPr="006B21C4" w:rsidRDefault="00404184" w:rsidP="00DE17F0">
      <w:pPr>
        <w:spacing w:after="120" w:line="240" w:lineRule="auto"/>
        <w:ind w:firstLine="720"/>
      </w:pPr>
      <m:oMathPara>
        <m:oMath>
          <m:r>
            <m:rPr>
              <m:sty m:val="b"/>
            </m:rPr>
            <w:rPr>
              <w:rFonts w:ascii="Cambria Math" w:hAnsi="Cambria Math" w:cs="Arial"/>
            </w:rPr>
            <m:t xml:space="preserve"> </m:t>
          </m:r>
          <m:r>
            <m:rPr>
              <m:sty m:val="p"/>
            </m:rPr>
            <w:rPr>
              <w:rFonts w:ascii="Cambria Math" w:hAnsi="Cambria Math" w:cs="Arial"/>
            </w:rPr>
            <m:t>=Potential Energy Savings X CAF</m:t>
          </m:r>
        </m:oMath>
      </m:oMathPara>
    </w:p>
    <w:p w14:paraId="50725B13" w14:textId="77777777" w:rsidR="00404184" w:rsidRPr="006B21C4" w:rsidRDefault="00404184" w:rsidP="00DE17F0">
      <w:pPr>
        <w:spacing w:after="120" w:line="240" w:lineRule="auto"/>
        <w:ind w:firstLine="720"/>
        <w:rPr>
          <w:b/>
        </w:rPr>
      </w:pPr>
      <m:oMathPara>
        <m:oMath>
          <m:r>
            <m:rPr>
              <m:sty m:val="b"/>
            </m:rPr>
            <w:rPr>
              <w:rFonts w:ascii="Cambria Math" w:hAnsi="Cambria Math" w:cs="Arial"/>
            </w:rPr>
            <m:t>MT Net Energy Savings of Stretch Code Compliance</m:t>
          </m:r>
        </m:oMath>
      </m:oMathPara>
    </w:p>
    <w:p w14:paraId="41B716E2" w14:textId="4DD0AA93" w:rsidR="00404184" w:rsidRPr="006B21C4" w:rsidRDefault="00404184" w:rsidP="00DE17F0">
      <w:pPr>
        <w:spacing w:after="120" w:line="240" w:lineRule="auto"/>
        <w:ind w:firstLine="720"/>
      </w:pPr>
      <m:oMathPara>
        <m:oMath>
          <m:r>
            <m:rPr>
              <m:sty m:val="b"/>
            </m:rPr>
            <w:rPr>
              <w:rFonts w:ascii="Cambria Math" w:hAnsi="Cambria Math" w:cs="Arial"/>
            </w:rPr>
            <m:t xml:space="preserve"> </m:t>
          </m:r>
          <m:r>
            <m:rPr>
              <m:sty m:val="p"/>
            </m:rPr>
            <w:rPr>
              <w:rFonts w:ascii="Cambria Math" w:hAnsi="Cambria Math" w:cs="Arial"/>
            </w:rPr>
            <m:t>=Gross Energy Savings-NMB</m:t>
          </m:r>
        </m:oMath>
      </m:oMathPara>
    </w:p>
    <w:p w14:paraId="27F5B6D7" w14:textId="77777777" w:rsidR="00404184" w:rsidRPr="006B21C4" w:rsidRDefault="00404184" w:rsidP="00DE17F0">
      <w:pPr>
        <w:spacing w:after="120" w:line="240" w:lineRule="auto"/>
        <w:ind w:firstLine="720"/>
        <w:rPr>
          <w:b/>
        </w:rPr>
      </w:pPr>
      <m:oMathPara>
        <m:oMath>
          <m:r>
            <m:rPr>
              <m:sty m:val="b"/>
            </m:rPr>
            <w:rPr>
              <w:rFonts w:ascii="Cambria Math" w:hAnsi="Cambria Math" w:cs="Arial"/>
            </w:rPr>
            <m:t>MT Utility Energy Savings of Stretch Code Compliance</m:t>
          </m:r>
        </m:oMath>
      </m:oMathPara>
    </w:p>
    <w:p w14:paraId="3C2F4AC9" w14:textId="732CD920" w:rsidR="00404184" w:rsidRPr="006B21C4" w:rsidRDefault="00404184" w:rsidP="00DE17F0">
      <w:pPr>
        <w:spacing w:after="120" w:line="240" w:lineRule="auto"/>
        <w:ind w:firstLine="720"/>
      </w:pPr>
      <m:oMathPara>
        <m:oMath>
          <m:r>
            <m:rPr>
              <m:sty m:val="b"/>
            </m:rPr>
            <w:rPr>
              <w:rFonts w:ascii="Cambria Math" w:hAnsi="Cambria Math" w:cs="Arial"/>
            </w:rPr>
            <m:t xml:space="preserve"> </m:t>
          </m:r>
          <m:r>
            <m:rPr>
              <m:sty m:val="p"/>
            </m:rPr>
            <w:rPr>
              <w:rFonts w:ascii="Cambria Math" w:hAnsi="Cambria Math" w:cs="Arial"/>
            </w:rPr>
            <m:t>=Net Energy Savings  X AF</m:t>
          </m:r>
        </m:oMath>
      </m:oMathPara>
    </w:p>
    <w:p w14:paraId="111E7B82" w14:textId="77777777" w:rsidR="000F19C2" w:rsidRDefault="000F19C2">
      <w:pPr>
        <w:spacing w:after="160" w:line="259" w:lineRule="auto"/>
        <w:rPr>
          <w:rFonts w:asciiTheme="majorHAnsi" w:hAnsiTheme="majorHAnsi" w:cstheme="majorHAnsi"/>
        </w:rPr>
      </w:pPr>
      <w:r>
        <w:rPr>
          <w:rFonts w:asciiTheme="majorHAnsi" w:hAnsiTheme="majorHAnsi" w:cstheme="majorHAnsi"/>
        </w:rPr>
        <w:br w:type="page"/>
      </w:r>
    </w:p>
    <w:p w14:paraId="7D54D3BD" w14:textId="1CA8C1C6" w:rsidR="00404184" w:rsidRPr="00CA6DD0" w:rsidRDefault="00404184" w:rsidP="00734863">
      <w:pPr>
        <w:ind w:firstLine="720"/>
        <w:rPr>
          <w:rFonts w:asciiTheme="majorHAnsi" w:hAnsiTheme="majorHAnsi" w:cstheme="majorHAnsi"/>
        </w:rPr>
      </w:pPr>
      <w:r w:rsidRPr="00CA6DD0">
        <w:rPr>
          <w:rFonts w:asciiTheme="majorHAnsi" w:hAnsiTheme="majorHAnsi" w:cstheme="majorHAnsi"/>
        </w:rPr>
        <w:lastRenderedPageBreak/>
        <w:t>Where:</w:t>
      </w:r>
    </w:p>
    <w:p w14:paraId="3A4BE7E1" w14:textId="77777777" w:rsidR="00404184" w:rsidRPr="00CA6DD0" w:rsidRDefault="00404184" w:rsidP="00734863">
      <w:pPr>
        <w:pStyle w:val="ListParagraph"/>
        <w:numPr>
          <w:ilvl w:val="0"/>
          <w:numId w:val="31"/>
        </w:numPr>
        <w:spacing w:before="120" w:after="120"/>
        <w:ind w:left="1080"/>
        <w:jc w:val="both"/>
        <w:rPr>
          <w:rFonts w:asciiTheme="majorHAnsi" w:hAnsiTheme="majorHAnsi" w:cstheme="majorHAnsi"/>
          <w:iCs/>
        </w:rPr>
      </w:pPr>
      <w:r w:rsidRPr="00CA6DD0">
        <w:rPr>
          <w:rFonts w:asciiTheme="majorHAnsi" w:hAnsiTheme="majorHAnsi" w:cstheme="majorHAnsi"/>
          <w:b/>
          <w:bCs/>
          <w:iCs/>
        </w:rPr>
        <w:t>Number of MT Units</w:t>
      </w:r>
      <w:r w:rsidRPr="00CA6DD0">
        <w:rPr>
          <w:rFonts w:asciiTheme="majorHAnsi" w:hAnsiTheme="majorHAnsi" w:cstheme="majorHAnsi"/>
          <w:iCs/>
        </w:rPr>
        <w:t xml:space="preserve"> = Annual Square Feet of new construction covered by stretch code policy </w:t>
      </w:r>
      <w:r w:rsidRPr="00CA6DD0">
        <w:rPr>
          <w:rFonts w:asciiTheme="majorHAnsi" w:hAnsiTheme="majorHAnsi" w:cstheme="majorHAnsi"/>
          <w:i/>
        </w:rPr>
        <w:t>minus</w:t>
      </w:r>
      <w:r w:rsidRPr="00CA6DD0">
        <w:rPr>
          <w:rFonts w:asciiTheme="majorHAnsi" w:hAnsiTheme="majorHAnsi" w:cstheme="majorHAnsi"/>
          <w:iCs/>
        </w:rPr>
        <w:t xml:space="preserve"> NMB Square Feet covered by stretch code policy</w:t>
      </w:r>
    </w:p>
    <w:p w14:paraId="0D0B8413" w14:textId="77777777" w:rsidR="00404184" w:rsidRPr="00CA6DD0" w:rsidRDefault="00404184" w:rsidP="00734863">
      <w:pPr>
        <w:pStyle w:val="ListParagraph"/>
        <w:numPr>
          <w:ilvl w:val="0"/>
          <w:numId w:val="31"/>
        </w:numPr>
        <w:spacing w:before="120" w:after="120"/>
        <w:ind w:left="1080"/>
        <w:jc w:val="both"/>
        <w:rPr>
          <w:rFonts w:asciiTheme="majorHAnsi" w:hAnsiTheme="majorHAnsi" w:cstheme="majorHAnsi"/>
          <w:iCs/>
        </w:rPr>
      </w:pPr>
      <w:r w:rsidRPr="00CA6DD0">
        <w:rPr>
          <w:rFonts w:asciiTheme="majorHAnsi" w:hAnsiTheme="majorHAnsi" w:cstheme="majorHAnsi"/>
          <w:b/>
          <w:bCs/>
          <w:iCs/>
        </w:rPr>
        <w:t>Unit Energy Savings of Adoption</w:t>
      </w:r>
      <w:r w:rsidRPr="00CA6DD0">
        <w:rPr>
          <w:rFonts w:asciiTheme="majorHAnsi" w:hAnsiTheme="majorHAnsi" w:cstheme="majorHAnsi"/>
          <w:iCs/>
        </w:rPr>
        <w:t xml:space="preserve"> = Energy Use Intensity (EUI) of base code with historic compliance rate </w:t>
      </w:r>
      <w:r w:rsidRPr="00CA6DD0">
        <w:rPr>
          <w:rFonts w:asciiTheme="majorHAnsi" w:hAnsiTheme="majorHAnsi" w:cstheme="majorHAnsi"/>
          <w:i/>
        </w:rPr>
        <w:t>minus</w:t>
      </w:r>
      <w:r w:rsidRPr="00CA6DD0">
        <w:rPr>
          <w:rFonts w:asciiTheme="majorHAnsi" w:hAnsiTheme="majorHAnsi" w:cstheme="majorHAnsi"/>
          <w:iCs/>
        </w:rPr>
        <w:t xml:space="preserve"> EUI of stretch code with historic compliance rate</w:t>
      </w:r>
    </w:p>
    <w:p w14:paraId="0DD67E82" w14:textId="77777777" w:rsidR="00404184" w:rsidRPr="00CA6DD0" w:rsidRDefault="00404184" w:rsidP="00734863">
      <w:pPr>
        <w:pStyle w:val="ListParagraph"/>
        <w:numPr>
          <w:ilvl w:val="0"/>
          <w:numId w:val="31"/>
        </w:numPr>
        <w:spacing w:before="120" w:after="120"/>
        <w:ind w:left="1080"/>
        <w:jc w:val="both"/>
        <w:rPr>
          <w:rFonts w:asciiTheme="majorHAnsi" w:hAnsiTheme="majorHAnsi" w:cstheme="majorHAnsi"/>
          <w:iCs/>
        </w:rPr>
      </w:pPr>
      <w:r w:rsidRPr="00CA6DD0">
        <w:rPr>
          <w:rFonts w:asciiTheme="majorHAnsi" w:hAnsiTheme="majorHAnsi" w:cstheme="majorHAnsi"/>
          <w:b/>
          <w:bCs/>
          <w:iCs/>
        </w:rPr>
        <w:t>Unit Energy Savings of Compliance =</w:t>
      </w:r>
      <w:r w:rsidRPr="00CA6DD0">
        <w:rPr>
          <w:rFonts w:asciiTheme="majorHAnsi" w:hAnsiTheme="majorHAnsi" w:cstheme="majorHAnsi"/>
          <w:iCs/>
        </w:rPr>
        <w:t xml:space="preserve"> Energy Use Intensity (EUI) of stretch code with historic compliance rate </w:t>
      </w:r>
      <w:r w:rsidRPr="00CA6DD0">
        <w:rPr>
          <w:rFonts w:asciiTheme="majorHAnsi" w:hAnsiTheme="majorHAnsi" w:cstheme="majorHAnsi"/>
          <w:i/>
        </w:rPr>
        <w:t>minus</w:t>
      </w:r>
      <w:r w:rsidRPr="00CA6DD0">
        <w:rPr>
          <w:rFonts w:asciiTheme="majorHAnsi" w:hAnsiTheme="majorHAnsi" w:cstheme="majorHAnsi"/>
          <w:iCs/>
        </w:rPr>
        <w:t xml:space="preserve"> EUI of stretch code with improved compliance rate</w:t>
      </w:r>
    </w:p>
    <w:p w14:paraId="78BFFE24" w14:textId="77777777" w:rsidR="00404184" w:rsidRPr="00CA6DD0" w:rsidRDefault="00404184" w:rsidP="00734863">
      <w:pPr>
        <w:pStyle w:val="ListParagraph"/>
        <w:numPr>
          <w:ilvl w:val="0"/>
          <w:numId w:val="31"/>
        </w:numPr>
        <w:spacing w:before="120" w:after="120"/>
        <w:ind w:left="1080"/>
        <w:jc w:val="both"/>
        <w:rPr>
          <w:rFonts w:asciiTheme="majorHAnsi" w:hAnsiTheme="majorHAnsi" w:cstheme="majorHAnsi"/>
          <w:iCs/>
        </w:rPr>
      </w:pPr>
      <w:r w:rsidRPr="00CA6DD0">
        <w:rPr>
          <w:rFonts w:asciiTheme="majorHAnsi" w:hAnsiTheme="majorHAnsi" w:cstheme="majorHAnsi"/>
          <w:b/>
          <w:bCs/>
          <w:iCs/>
        </w:rPr>
        <w:t xml:space="preserve">Energy Use Intensity (EUI) = </w:t>
      </w:r>
      <w:r w:rsidRPr="00CA6DD0">
        <w:rPr>
          <w:rFonts w:asciiTheme="majorHAnsi" w:hAnsiTheme="majorHAnsi" w:cstheme="majorHAnsi"/>
          <w:iCs/>
        </w:rPr>
        <w:t>Total building energy use per square foot</w:t>
      </w:r>
    </w:p>
    <w:p w14:paraId="78859EC4" w14:textId="77777777" w:rsidR="00404184" w:rsidRPr="00CA6DD0" w:rsidRDefault="00404184" w:rsidP="00734863">
      <w:pPr>
        <w:pStyle w:val="ListParagraph"/>
        <w:numPr>
          <w:ilvl w:val="0"/>
          <w:numId w:val="31"/>
        </w:numPr>
        <w:spacing w:before="120" w:after="120"/>
        <w:ind w:left="1080"/>
        <w:jc w:val="both"/>
        <w:rPr>
          <w:rFonts w:asciiTheme="majorHAnsi" w:hAnsiTheme="majorHAnsi" w:cstheme="majorHAnsi"/>
          <w:iCs/>
        </w:rPr>
      </w:pPr>
      <w:r w:rsidRPr="00CA6DD0">
        <w:rPr>
          <w:rFonts w:asciiTheme="majorHAnsi" w:hAnsiTheme="majorHAnsi" w:cstheme="majorHAnsi"/>
          <w:b/>
          <w:bCs/>
          <w:iCs/>
        </w:rPr>
        <w:t xml:space="preserve">CAF </w:t>
      </w:r>
      <w:r w:rsidRPr="00CA6DD0">
        <w:rPr>
          <w:rFonts w:asciiTheme="majorHAnsi" w:hAnsiTheme="majorHAnsi" w:cstheme="majorHAnsi"/>
          <w:iCs/>
        </w:rPr>
        <w:t>= Compliance adjustment factor</w:t>
      </w:r>
    </w:p>
    <w:p w14:paraId="7EE91B64" w14:textId="77777777" w:rsidR="000F59A5" w:rsidRPr="00CA6DD0" w:rsidRDefault="000F59A5" w:rsidP="000F59A5">
      <w:pPr>
        <w:pStyle w:val="ListParagraph"/>
        <w:numPr>
          <w:ilvl w:val="0"/>
          <w:numId w:val="31"/>
        </w:numPr>
        <w:spacing w:before="120" w:after="120" w:line="360" w:lineRule="auto"/>
        <w:ind w:left="1080"/>
        <w:rPr>
          <w:rFonts w:asciiTheme="majorHAnsi" w:hAnsiTheme="majorHAnsi" w:cstheme="majorHAnsi"/>
          <w:iCs/>
        </w:rPr>
      </w:pPr>
      <w:r w:rsidRPr="00CA6DD0">
        <w:rPr>
          <w:rFonts w:asciiTheme="majorHAnsi" w:hAnsiTheme="majorHAnsi" w:cstheme="majorHAnsi"/>
          <w:b/>
          <w:bCs/>
          <w:iCs/>
        </w:rPr>
        <w:t>NMB</w:t>
      </w:r>
      <w:r w:rsidRPr="00CA6DD0">
        <w:rPr>
          <w:rFonts w:asciiTheme="majorHAnsi" w:hAnsiTheme="majorHAnsi" w:cstheme="majorHAnsi"/>
          <w:iCs/>
        </w:rPr>
        <w:t xml:space="preserve"> = Natural market baseline</w:t>
      </w:r>
      <w:r w:rsidRPr="00CA6DD0">
        <w:rPr>
          <w:rStyle w:val="FootnoteReference"/>
          <w:rFonts w:asciiTheme="majorHAnsi" w:hAnsiTheme="majorHAnsi" w:cstheme="majorHAnsi"/>
          <w:iCs/>
        </w:rPr>
        <w:footnoteReference w:id="3"/>
      </w:r>
    </w:p>
    <w:p w14:paraId="3C32AB79" w14:textId="047EC7F6" w:rsidR="000F59A5" w:rsidRPr="00CA6DD0" w:rsidRDefault="000F59A5" w:rsidP="000F59A5">
      <w:pPr>
        <w:pStyle w:val="ListParagraph"/>
        <w:numPr>
          <w:ilvl w:val="0"/>
          <w:numId w:val="31"/>
        </w:numPr>
        <w:spacing w:before="120" w:after="120" w:line="360" w:lineRule="auto"/>
        <w:ind w:left="1080"/>
        <w:rPr>
          <w:rFonts w:asciiTheme="majorHAnsi" w:hAnsiTheme="majorHAnsi" w:cstheme="majorHAnsi"/>
          <w:iCs/>
        </w:rPr>
      </w:pPr>
      <w:r w:rsidRPr="00CA6DD0">
        <w:rPr>
          <w:rFonts w:asciiTheme="majorHAnsi" w:hAnsiTheme="majorHAnsi" w:cstheme="majorHAnsi"/>
          <w:b/>
          <w:bCs/>
          <w:iCs/>
        </w:rPr>
        <w:t xml:space="preserve">AF </w:t>
      </w:r>
      <w:r w:rsidRPr="00CA6DD0">
        <w:rPr>
          <w:rFonts w:asciiTheme="majorHAnsi" w:hAnsiTheme="majorHAnsi" w:cstheme="majorHAnsi"/>
          <w:iCs/>
        </w:rPr>
        <w:t>= Attribution factor</w:t>
      </w:r>
    </w:p>
    <w:p w14:paraId="0A54906C" w14:textId="62913D2C" w:rsidR="00A861E0" w:rsidRDefault="001F7259" w:rsidP="00D3785B">
      <w:pPr>
        <w:pStyle w:val="Heading3"/>
      </w:pPr>
      <w:r w:rsidRPr="00D3785B">
        <w:t xml:space="preserve">Estimation of </w:t>
      </w:r>
      <w:r w:rsidR="004B57DF" w:rsidRPr="00D3785B">
        <w:t xml:space="preserve">Amount of </w:t>
      </w:r>
      <w:r w:rsidR="00A85A0C" w:rsidRPr="00D3785B">
        <w:t xml:space="preserve">New Construction </w:t>
      </w:r>
    </w:p>
    <w:p w14:paraId="2784B3F0" w14:textId="04E302C9" w:rsidR="00155951" w:rsidRDefault="000D35AB" w:rsidP="002440C1">
      <w:pPr>
        <w:pStyle w:val="Bodysansserif"/>
      </w:pPr>
      <w:r>
        <w:t>The market for stretch code is defined as</w:t>
      </w:r>
      <w:r w:rsidR="004D1C61">
        <w:t xml:space="preserve"> </w:t>
      </w:r>
      <w:r w:rsidR="00D572EB">
        <w:t xml:space="preserve">sectoral (residential or commercial) </w:t>
      </w:r>
      <w:r w:rsidR="0058536B">
        <w:t xml:space="preserve">new construction </w:t>
      </w:r>
      <w:r>
        <w:t xml:space="preserve">square feet </w:t>
      </w:r>
      <w:r w:rsidR="004B57DF">
        <w:t>viewed annually.</w:t>
      </w:r>
      <w:r>
        <w:t xml:space="preserve"> This requires a forecast of </w:t>
      </w:r>
      <w:r w:rsidR="0058536B">
        <w:t xml:space="preserve">trends into the future. </w:t>
      </w:r>
      <w:r w:rsidR="00A32919">
        <w:t xml:space="preserve">To do that, </w:t>
      </w:r>
      <w:r w:rsidR="00866169">
        <w:t>the project team</w:t>
      </w:r>
      <w:r w:rsidR="00D15526">
        <w:t xml:space="preserve"> </w:t>
      </w:r>
      <w:r w:rsidR="005A5247">
        <w:t xml:space="preserve">gathered </w:t>
      </w:r>
      <w:r w:rsidR="00A32919">
        <w:t>h</w:t>
      </w:r>
      <w:r w:rsidR="003045F3">
        <w:t xml:space="preserve">istorical </w:t>
      </w:r>
      <w:r w:rsidR="000E5DC9">
        <w:t xml:space="preserve">new construction </w:t>
      </w:r>
      <w:r w:rsidR="003045F3">
        <w:t>square f</w:t>
      </w:r>
      <w:r w:rsidR="000E5DC9">
        <w:t>oo</w:t>
      </w:r>
      <w:r w:rsidR="003045F3">
        <w:t>t</w:t>
      </w:r>
      <w:r w:rsidR="000E5DC9">
        <w:t>age</w:t>
      </w:r>
      <w:r w:rsidR="003045F3">
        <w:t xml:space="preserve"> data at the municipal</w:t>
      </w:r>
      <w:r w:rsidR="00B41DBD">
        <w:t xml:space="preserve"> </w:t>
      </w:r>
      <w:r w:rsidR="003045F3">
        <w:t xml:space="preserve">level and </w:t>
      </w:r>
      <w:r w:rsidR="005A5247">
        <w:t xml:space="preserve">calculated </w:t>
      </w:r>
      <w:r w:rsidR="004169B7">
        <w:t xml:space="preserve">the </w:t>
      </w:r>
      <w:r w:rsidR="00C87451">
        <w:t>average</w:t>
      </w:r>
      <w:r w:rsidR="004169B7">
        <w:t xml:space="preserve"> </w:t>
      </w:r>
      <w:r w:rsidR="00FE5198">
        <w:t xml:space="preserve">amount of new construction during each of </w:t>
      </w:r>
      <w:r w:rsidR="004169B7">
        <w:t>the last ten years</w:t>
      </w:r>
      <w:r w:rsidR="00C85E5B">
        <w:t xml:space="preserve"> (2013 through 2022)</w:t>
      </w:r>
      <w:r w:rsidR="003045F3">
        <w:t>.</w:t>
      </w:r>
      <w:r w:rsidR="0090631B">
        <w:t xml:space="preserve"> </w:t>
      </w:r>
    </w:p>
    <w:p w14:paraId="719CA7F6" w14:textId="38E5CA37" w:rsidR="00324798" w:rsidRDefault="00114B71" w:rsidP="002440C1">
      <w:pPr>
        <w:pStyle w:val="Bodysansserif"/>
      </w:pPr>
      <w:r>
        <w:t xml:space="preserve">Through analysis of historical </w:t>
      </w:r>
      <w:r w:rsidR="007F4FB2">
        <w:t xml:space="preserve">new construction </w:t>
      </w:r>
      <w:r>
        <w:t>data</w:t>
      </w:r>
      <w:r w:rsidR="00BC5275">
        <w:t xml:space="preserve"> over a ten-year period</w:t>
      </w:r>
      <w:r>
        <w:t>, we found that the amount</w:t>
      </w:r>
      <w:r w:rsidR="00F54642">
        <w:t xml:space="preserve"> </w:t>
      </w:r>
      <w:r w:rsidR="00F0385A">
        <w:t>f</w:t>
      </w:r>
      <w:r>
        <w:t>luctuates</w:t>
      </w:r>
      <w:r w:rsidR="00D3063D">
        <w:t xml:space="preserve"> from year to year</w:t>
      </w:r>
      <w:r w:rsidR="001234B7">
        <w:t xml:space="preserve">. We did not see </w:t>
      </w:r>
      <w:r w:rsidR="00B81CE7">
        <w:t xml:space="preserve">consistent </w:t>
      </w:r>
      <w:r w:rsidR="001234B7">
        <w:t xml:space="preserve">increases </w:t>
      </w:r>
      <w:r w:rsidR="00B81CE7">
        <w:t xml:space="preserve">or decreases </w:t>
      </w:r>
      <w:r w:rsidR="001234B7">
        <w:t xml:space="preserve">in </w:t>
      </w:r>
      <w:r w:rsidR="00D3063D">
        <w:t xml:space="preserve">the amount </w:t>
      </w:r>
      <w:r w:rsidR="001234B7">
        <w:t xml:space="preserve">of </w:t>
      </w:r>
      <w:r>
        <w:t>new construction</w:t>
      </w:r>
      <w:r w:rsidR="001234B7">
        <w:t xml:space="preserve"> </w:t>
      </w:r>
      <w:r w:rsidR="00036803">
        <w:t xml:space="preserve">over </w:t>
      </w:r>
      <w:proofErr w:type="gramStart"/>
      <w:r w:rsidR="00036803">
        <w:t>time</w:t>
      </w:r>
      <w:proofErr w:type="gramEnd"/>
      <w:r w:rsidR="00036803">
        <w:t xml:space="preserve"> </w:t>
      </w:r>
      <w:r w:rsidR="007703FD">
        <w:t>so w</w:t>
      </w:r>
      <w:r>
        <w:t xml:space="preserve">e </w:t>
      </w:r>
      <w:r w:rsidR="007703FD">
        <w:t>applied</w:t>
      </w:r>
      <w:r>
        <w:t xml:space="preserve"> the average </w:t>
      </w:r>
      <w:r w:rsidR="00DB1968">
        <w:t xml:space="preserve">new construction square feet </w:t>
      </w:r>
      <w:r w:rsidR="00B81CE7">
        <w:t xml:space="preserve">into future years </w:t>
      </w:r>
      <w:r w:rsidR="00DB1968">
        <w:t xml:space="preserve">rather than assuming a gradual increase in </w:t>
      </w:r>
      <w:r w:rsidR="004F363F">
        <w:t xml:space="preserve">annual </w:t>
      </w:r>
      <w:r w:rsidR="00DB1968">
        <w:t xml:space="preserve">new construction square feet over time. </w:t>
      </w:r>
      <w:r w:rsidR="00DE54D1">
        <w:t xml:space="preserve">This analysis assumes that the average among of </w:t>
      </w:r>
      <w:r w:rsidR="00C775AD">
        <w:t>commercial new construction</w:t>
      </w:r>
      <w:r w:rsidR="000B7358">
        <w:t xml:space="preserve"> in the ComEd territory</w:t>
      </w:r>
      <w:r w:rsidR="00DE54D1">
        <w:t xml:space="preserve"> is </w:t>
      </w:r>
      <w:r w:rsidR="00324798">
        <w:t>32 million</w:t>
      </w:r>
      <w:r w:rsidR="00C775AD">
        <w:t xml:space="preserve"> square feet each year </w:t>
      </w:r>
      <w:r w:rsidR="000B7358">
        <w:t xml:space="preserve">between 2024 and 2030. </w:t>
      </w:r>
    </w:p>
    <w:p w14:paraId="0E95EE6A" w14:textId="0952DDEC" w:rsidR="008A1BB1" w:rsidRDefault="001D3C8E" w:rsidP="002440C1">
      <w:pPr>
        <w:pStyle w:val="Bodysansserif"/>
      </w:pPr>
      <w:r>
        <w:t xml:space="preserve">We used several sources of data to determine growth trends. </w:t>
      </w:r>
      <w:r w:rsidR="008A1BB1">
        <w:t xml:space="preserve">The commercial data </w:t>
      </w:r>
      <w:r w:rsidR="00E23C74">
        <w:t>is</w:t>
      </w:r>
      <w:r w:rsidR="008A1BB1">
        <w:t xml:space="preserve"> from </w:t>
      </w:r>
      <w:r w:rsidR="00C753B7">
        <w:t xml:space="preserve">(1) </w:t>
      </w:r>
      <w:r w:rsidR="00D63EE3">
        <w:t xml:space="preserve">the Midwest Building Inventory </w:t>
      </w:r>
      <w:r w:rsidR="008755F9">
        <w:t xml:space="preserve">with data through </w:t>
      </w:r>
      <w:r w:rsidR="00D63EE3">
        <w:t>201</w:t>
      </w:r>
      <w:r w:rsidR="00CA0DF8">
        <w:t>9</w:t>
      </w:r>
      <w:r w:rsidR="00D00F5A">
        <w:t>,</w:t>
      </w:r>
      <w:r w:rsidR="00D63EE3">
        <w:rPr>
          <w:rStyle w:val="FootnoteReference"/>
        </w:rPr>
        <w:footnoteReference w:id="4"/>
      </w:r>
      <w:r w:rsidR="00D63EE3">
        <w:t xml:space="preserve"> and </w:t>
      </w:r>
      <w:r w:rsidR="00C753B7">
        <w:t xml:space="preserve">(2) </w:t>
      </w:r>
      <w:r w:rsidR="008A1BB1">
        <w:t>CoStar</w:t>
      </w:r>
      <w:r w:rsidR="00D63EE3">
        <w:t xml:space="preserve"> after 201</w:t>
      </w:r>
      <w:r w:rsidR="00603510">
        <w:t>9</w:t>
      </w:r>
      <w:r w:rsidR="00E45ABA">
        <w:t>,</w:t>
      </w:r>
      <w:r w:rsidR="00D63EE3">
        <w:rPr>
          <w:rStyle w:val="FootnoteReference"/>
        </w:rPr>
        <w:footnoteReference w:id="5"/>
      </w:r>
      <w:r w:rsidR="008A1BB1">
        <w:t xml:space="preserve"> and includes </w:t>
      </w:r>
      <w:r w:rsidR="00AF4FDE">
        <w:t xml:space="preserve">the following </w:t>
      </w:r>
      <w:r w:rsidR="009E71B3">
        <w:t>nine</w:t>
      </w:r>
      <w:r w:rsidR="00BA2FCC">
        <w:t xml:space="preserve"> </w:t>
      </w:r>
      <w:r w:rsidR="008A1BB1">
        <w:t xml:space="preserve">building types: office, warehouse, retail, multifamily, </w:t>
      </w:r>
      <w:r w:rsidR="004319E8">
        <w:t xml:space="preserve">lodging, </w:t>
      </w:r>
      <w:r w:rsidR="00D77B4D">
        <w:t>healthcare</w:t>
      </w:r>
      <w:r w:rsidR="00D63EE3">
        <w:t xml:space="preserve">, </w:t>
      </w:r>
      <w:r w:rsidR="00321467">
        <w:t xml:space="preserve">education, </w:t>
      </w:r>
      <w:r w:rsidR="00D63EE3">
        <w:t xml:space="preserve">quick service, and </w:t>
      </w:r>
      <w:r w:rsidR="004E6D69">
        <w:t>full-service</w:t>
      </w:r>
      <w:r w:rsidR="004A225F">
        <w:t xml:space="preserve"> </w:t>
      </w:r>
      <w:r w:rsidR="00D63EE3">
        <w:t xml:space="preserve">restaurants. These building types </w:t>
      </w:r>
      <w:r w:rsidR="00F002D2">
        <w:t>cover 75</w:t>
      </w:r>
      <w:r w:rsidR="009A600E">
        <w:t>%</w:t>
      </w:r>
      <w:r w:rsidR="00F002D2">
        <w:t xml:space="preserve"> to 85% of the total new construction market</w:t>
      </w:r>
      <w:r w:rsidR="00D63EE3">
        <w:t>.</w:t>
      </w:r>
      <w:r w:rsidR="00F002D2">
        <w:rPr>
          <w:rStyle w:val="FootnoteReference"/>
        </w:rPr>
        <w:footnoteReference w:id="6"/>
      </w:r>
      <w:r w:rsidR="00D63EE3">
        <w:t xml:space="preserve"> </w:t>
      </w:r>
    </w:p>
    <w:p w14:paraId="5E4B1F7B" w14:textId="596C671A" w:rsidR="00646847" w:rsidRDefault="00646847" w:rsidP="002440C1">
      <w:pPr>
        <w:pStyle w:val="Bodysansserif"/>
      </w:pPr>
      <w:r>
        <w:lastRenderedPageBreak/>
        <w:t xml:space="preserve">The residential data </w:t>
      </w:r>
      <w:r w:rsidR="002A1D5D">
        <w:t>is</w:t>
      </w:r>
      <w:r>
        <w:t xml:space="preserve"> from</w:t>
      </w:r>
      <w:r w:rsidR="00921EA6">
        <w:t xml:space="preserve"> </w:t>
      </w:r>
      <w:r w:rsidR="003766D1">
        <w:t xml:space="preserve">US </w:t>
      </w:r>
      <w:r w:rsidR="00921EA6">
        <w:t xml:space="preserve">Census data. The Building Permit Survey provides the number of </w:t>
      </w:r>
      <w:r w:rsidR="00461B49">
        <w:t xml:space="preserve">new </w:t>
      </w:r>
      <w:r w:rsidR="00CB70FE">
        <w:t xml:space="preserve">single-family and low-rise multifamily </w:t>
      </w:r>
      <w:r w:rsidR="004D4025">
        <w:t xml:space="preserve">units that received building permits </w:t>
      </w:r>
      <w:r w:rsidR="00461B49">
        <w:t>from 2010 to 2021</w:t>
      </w:r>
      <w:r w:rsidR="00F60878">
        <w:t>.</w:t>
      </w:r>
      <w:r w:rsidR="00274CBF">
        <w:rPr>
          <w:rStyle w:val="FootnoteReference"/>
        </w:rPr>
        <w:footnoteReference w:id="7"/>
      </w:r>
      <w:r w:rsidR="00F60878">
        <w:t xml:space="preserve"> The historical data on building permits is used to </w:t>
      </w:r>
      <w:r w:rsidR="00CD2A2B">
        <w:t>calculate an average number of new units each year that appl</w:t>
      </w:r>
      <w:r w:rsidR="00655D44">
        <w:t>y</w:t>
      </w:r>
      <w:r w:rsidR="00CD2A2B">
        <w:t xml:space="preserve"> for a permit. </w:t>
      </w:r>
      <w:r w:rsidR="0006704C">
        <w:t xml:space="preserve">To calculate the total square feet </w:t>
      </w:r>
      <w:r w:rsidR="00CB70FE">
        <w:t xml:space="preserve">of new construction </w:t>
      </w:r>
      <w:r w:rsidR="0006704C">
        <w:t>each year, th</w:t>
      </w:r>
      <w:r w:rsidR="002E6D77">
        <w:t>e ESF</w:t>
      </w:r>
      <w:r w:rsidR="0006704C">
        <w:t xml:space="preserve"> use</w:t>
      </w:r>
      <w:r w:rsidR="002E6D77">
        <w:t>s</w:t>
      </w:r>
      <w:r w:rsidR="0006704C">
        <w:t xml:space="preserve"> US Census construction data which provides </w:t>
      </w:r>
      <w:r w:rsidR="0028658B">
        <w:t>average square feet per unit by year</w:t>
      </w:r>
      <w:r w:rsidR="00CB70FE">
        <w:t>, housing type,</w:t>
      </w:r>
      <w:r w:rsidR="0028658B">
        <w:t xml:space="preserve"> and region.</w:t>
      </w:r>
      <w:r w:rsidR="00A96615" w:rsidRPr="00A96615">
        <w:rPr>
          <w:rStyle w:val="FootnoteReference"/>
        </w:rPr>
        <w:t xml:space="preserve"> </w:t>
      </w:r>
      <w:r w:rsidR="00A96615">
        <w:rPr>
          <w:rStyle w:val="FootnoteReference"/>
        </w:rPr>
        <w:footnoteReference w:id="8"/>
      </w:r>
      <w:r w:rsidR="0028658B">
        <w:t xml:space="preserve"> The average square feet per unit was multiplied by number of units </w:t>
      </w:r>
      <w:r w:rsidR="009B71AA">
        <w:t xml:space="preserve">of new construction </w:t>
      </w:r>
      <w:r w:rsidR="0028658B">
        <w:t xml:space="preserve">in a year to </w:t>
      </w:r>
      <w:r w:rsidR="00CB70FE">
        <w:t>get total residential square feet of new construction in a</w:t>
      </w:r>
      <w:r w:rsidR="009B71AA">
        <w:t xml:space="preserve"> year.</w:t>
      </w:r>
    </w:p>
    <w:p w14:paraId="1578F586" w14:textId="61A151BF" w:rsidR="003522B1" w:rsidRPr="007B2666" w:rsidRDefault="00747489" w:rsidP="002440C1">
      <w:pPr>
        <w:pStyle w:val="Bodysansserif"/>
      </w:pPr>
      <w:r>
        <w:t xml:space="preserve">In the </w:t>
      </w:r>
      <w:r w:rsidR="00040A2E">
        <w:t xml:space="preserve">evaluation </w:t>
      </w:r>
      <w:r w:rsidR="002440C1">
        <w:t>of the MTI</w:t>
      </w:r>
      <w:r w:rsidR="00040A2E">
        <w:t>, it is expected that actual new construction data will be available</w:t>
      </w:r>
      <w:r w:rsidR="0088414C">
        <w:t xml:space="preserve"> for the past year. As discussed in the evaluation plan, this data </w:t>
      </w:r>
      <w:r w:rsidR="00A67DA4">
        <w:t>will be</w:t>
      </w:r>
      <w:r w:rsidR="0088414C">
        <w:t xml:space="preserve"> adjusted to account for </w:t>
      </w:r>
      <w:r w:rsidR="004D3A0C">
        <w:t xml:space="preserve">the </w:t>
      </w:r>
      <w:r w:rsidR="0088414C">
        <w:t xml:space="preserve">difference between construction </w:t>
      </w:r>
      <w:r w:rsidR="00A67DA4">
        <w:t xml:space="preserve">and </w:t>
      </w:r>
      <w:r w:rsidR="000E33B5">
        <w:t>occupancy</w:t>
      </w:r>
      <w:r w:rsidR="003D6045">
        <w:t xml:space="preserve">. </w:t>
      </w:r>
    </w:p>
    <w:p w14:paraId="43FAFA7D" w14:textId="5AA881B2" w:rsidR="001F67E7" w:rsidRPr="001F67E7" w:rsidRDefault="001F67E7" w:rsidP="00D3785B">
      <w:pPr>
        <w:pStyle w:val="Heading3"/>
      </w:pPr>
      <w:r>
        <w:t>Determining Likelihood of Adoption Without Utility Support</w:t>
      </w:r>
    </w:p>
    <w:p w14:paraId="2C8BB029" w14:textId="52253779" w:rsidR="00E55146" w:rsidRDefault="00A62A1B" w:rsidP="002440C1">
      <w:pPr>
        <w:pStyle w:val="Bodysansserif"/>
      </w:pPr>
      <w:r>
        <w:t xml:space="preserve">The NMB for stretch codes </w:t>
      </w:r>
      <w:r w:rsidR="0065464A">
        <w:t>is measured as the square feet of new construction in</w:t>
      </w:r>
      <w:r>
        <w:t xml:space="preserve"> municipalities that would adopt </w:t>
      </w:r>
      <w:r w:rsidR="0065464A">
        <w:t xml:space="preserve">stretch codes without any utility support. </w:t>
      </w:r>
      <w:r w:rsidR="000C3C54">
        <w:t>A</w:t>
      </w:r>
      <w:r w:rsidR="003E218F">
        <w:t xml:space="preserve"> </w:t>
      </w:r>
      <w:r w:rsidR="000C3C54">
        <w:t>municipality’s</w:t>
      </w:r>
      <w:r w:rsidR="003E218F">
        <w:t xml:space="preserve"> decision to adopt a stretch code is assumed to be affected by both utility intervention and other factors such as city climate goals, federal funding, and other technical support influence. </w:t>
      </w:r>
      <w:r w:rsidR="000C3C54">
        <w:t xml:space="preserve">We used surveys and interviews of </w:t>
      </w:r>
      <w:proofErr w:type="gramStart"/>
      <w:r w:rsidR="000C3C54">
        <w:t>a sample of</w:t>
      </w:r>
      <w:proofErr w:type="gramEnd"/>
      <w:r w:rsidR="000C3C54">
        <w:t xml:space="preserve"> municipalities to estimate</w:t>
      </w:r>
      <w:r w:rsidR="003E218F">
        <w:t xml:space="preserve"> the portion of effect from utility influence</w:t>
      </w:r>
      <w:r w:rsidR="000C3C54">
        <w:t xml:space="preserve">. </w:t>
      </w:r>
      <w:r w:rsidR="003E218F">
        <w:t xml:space="preserve"> </w:t>
      </w:r>
    </w:p>
    <w:p w14:paraId="4F23EA26" w14:textId="4AA9FDF5" w:rsidR="00FB21A3" w:rsidRDefault="00F01E12" w:rsidP="002440C1">
      <w:pPr>
        <w:pStyle w:val="Bodysansserif"/>
      </w:pPr>
      <w:r>
        <w:t xml:space="preserve">The </w:t>
      </w:r>
      <w:r w:rsidR="009A600E">
        <w:t xml:space="preserve">stretch codes program </w:t>
      </w:r>
      <w:r>
        <w:t xml:space="preserve">team conducted surveys and interviews with municipalities </w:t>
      </w:r>
      <w:r w:rsidR="00062C08">
        <w:t>in northern Illinois</w:t>
      </w:r>
      <w:r>
        <w:t xml:space="preserve"> to </w:t>
      </w:r>
      <w:r w:rsidR="006E2AD9">
        <w:t xml:space="preserve">understand current plans for adoption of stretch codes and the likelihood of adoption without utility support. </w:t>
      </w:r>
      <w:r w:rsidR="00B86FA4">
        <w:t xml:space="preserve">Survey outreach </w:t>
      </w:r>
      <w:r w:rsidR="008233A3">
        <w:t xml:space="preserve">conducted in 2023 </w:t>
      </w:r>
      <w:r w:rsidR="00B86FA4">
        <w:t>included an email sent to 150 contacts from the Metropolitan Mayors Caucus’ Environmental Committee</w:t>
      </w:r>
      <w:r w:rsidR="00EA385C">
        <w:t>.</w:t>
      </w:r>
      <w:r w:rsidR="0095375F">
        <w:t xml:space="preserve"> The team received responses from 30 separate municipalities </w:t>
      </w:r>
      <w:proofErr w:type="gramStart"/>
      <w:r w:rsidR="0095375F">
        <w:t>through the survey</w:t>
      </w:r>
      <w:proofErr w:type="gramEnd"/>
      <w:r w:rsidR="0096205A">
        <w:t xml:space="preserve"> or interview</w:t>
      </w:r>
      <w:r w:rsidR="00FD0269">
        <w:t>s.</w:t>
      </w:r>
      <w:r w:rsidR="00FB2B30">
        <w:t xml:space="preserve"> </w:t>
      </w:r>
      <w:r w:rsidR="00FD0269">
        <w:t>The surveys asked a series of questions around timeline for adoption, factors influencing adoption, and existing barriers.</w:t>
      </w:r>
      <w:r w:rsidR="000827A4">
        <w:t xml:space="preserve"> </w:t>
      </w:r>
      <w:r w:rsidR="00444083">
        <w:t>The survey was developed in partnership with the utilities and the</w:t>
      </w:r>
      <w:r w:rsidR="00875CEA">
        <w:t xml:space="preserve"> </w:t>
      </w:r>
      <w:r w:rsidR="00F44EB8">
        <w:t>program</w:t>
      </w:r>
      <w:r w:rsidR="00444083">
        <w:t xml:space="preserve"> evaluator, Guidehouse. </w:t>
      </w:r>
      <w:r w:rsidR="00064233">
        <w:t xml:space="preserve">The full survey questions are included in </w:t>
      </w:r>
      <w:r w:rsidR="00DB1968">
        <w:fldChar w:fldCharType="begin"/>
      </w:r>
      <w:r w:rsidR="00DB1968">
        <w:instrText xml:space="preserve"> REF _Ref150862442 \h </w:instrText>
      </w:r>
      <w:r w:rsidR="002440C1">
        <w:instrText xml:space="preserve"> \* MERGEFORMAT </w:instrText>
      </w:r>
      <w:r w:rsidR="00DB1968">
        <w:fldChar w:fldCharType="separate"/>
      </w:r>
      <w:r w:rsidR="00DB1968">
        <w:t>4.0 Appendix A: Survey</w:t>
      </w:r>
      <w:r w:rsidR="00DB1968">
        <w:fldChar w:fldCharType="end"/>
      </w:r>
      <w:r w:rsidR="00064233">
        <w:t>.</w:t>
      </w:r>
    </w:p>
    <w:p w14:paraId="6AC48AC1" w14:textId="76806E60" w:rsidR="003F6817" w:rsidRDefault="00131B0B" w:rsidP="002440C1">
      <w:pPr>
        <w:pStyle w:val="Bodysansserif"/>
      </w:pPr>
      <w:r>
        <w:fldChar w:fldCharType="begin"/>
      </w:r>
      <w:r>
        <w:instrText xml:space="preserve"> REF _Ref149311469 \h </w:instrText>
      </w:r>
      <w:r w:rsidR="002440C1">
        <w:instrText xml:space="preserve"> \* MERGEFORMAT </w:instrText>
      </w:r>
      <w:r>
        <w:fldChar w:fldCharType="separate"/>
      </w:r>
      <w:r>
        <w:t xml:space="preserve">Figure </w:t>
      </w:r>
      <w:r>
        <w:rPr>
          <w:noProof/>
        </w:rPr>
        <w:t>1</w:t>
      </w:r>
      <w:r>
        <w:fldChar w:fldCharType="end"/>
      </w:r>
      <w:r>
        <w:t xml:space="preserve"> </w:t>
      </w:r>
      <w:r w:rsidR="3FA40CCB">
        <w:t>shows</w:t>
      </w:r>
      <w:r w:rsidR="00064233">
        <w:t xml:space="preserve"> the </w:t>
      </w:r>
      <w:r w:rsidR="3FA40CCB">
        <w:t xml:space="preserve">results </w:t>
      </w:r>
      <w:r>
        <w:t xml:space="preserve">of </w:t>
      </w:r>
      <w:r w:rsidR="3FA40CCB">
        <w:t>a question focused on municipality’s consideration of their</w:t>
      </w:r>
      <w:r>
        <w:t xml:space="preserve"> timeline for </w:t>
      </w:r>
      <w:r w:rsidR="3FA40CCB">
        <w:t xml:space="preserve">adopting </w:t>
      </w:r>
      <w:r>
        <w:t xml:space="preserve">stretch </w:t>
      </w:r>
      <w:r w:rsidR="3FA40CCB">
        <w:t>code policies.</w:t>
      </w:r>
      <w:r w:rsidR="00064233">
        <w:t xml:space="preserve"> </w:t>
      </w:r>
      <w:r w:rsidR="000827A4">
        <w:t>The survey results indicated that a small percent</w:t>
      </w:r>
      <w:r w:rsidR="00D65B93">
        <w:t>age</w:t>
      </w:r>
      <w:r w:rsidR="000827A4">
        <w:t xml:space="preserve"> of municipalities are currently considering adoption of stretch codes in the next 1 to 3 yea</w:t>
      </w:r>
      <w:r w:rsidR="008A11BF">
        <w:t>rs or 4</w:t>
      </w:r>
      <w:r w:rsidR="009C469F">
        <w:t xml:space="preserve"> to </w:t>
      </w:r>
      <w:r w:rsidR="008A11BF">
        <w:t xml:space="preserve">6 years, </w:t>
      </w:r>
      <w:r w:rsidR="00D65B93">
        <w:t>while</w:t>
      </w:r>
      <w:r w:rsidR="00064233">
        <w:t xml:space="preserve"> a</w:t>
      </w:r>
      <w:r w:rsidR="008A11BF">
        <w:t xml:space="preserve"> large percent</w:t>
      </w:r>
      <w:r w:rsidR="00D65B93">
        <w:t>age</w:t>
      </w:r>
      <w:r w:rsidR="008A11BF">
        <w:t xml:space="preserve"> are unsure of plans for adoption</w:t>
      </w:r>
      <w:r w:rsidR="00C869FB">
        <w:t xml:space="preserve"> or not considering adoption.</w:t>
      </w:r>
      <w:r w:rsidR="003F6817">
        <w:t xml:space="preserve"> </w:t>
      </w:r>
    </w:p>
    <w:p w14:paraId="7BBA3109" w14:textId="4298C2D8" w:rsidR="00131B0B" w:rsidRDefault="00131B0B" w:rsidP="00B62E3E">
      <w:pPr>
        <w:pStyle w:val="Caption"/>
        <w:keepNext/>
      </w:pPr>
      <w:bookmarkStart w:id="3" w:name="_Ref149311469"/>
      <w:r>
        <w:lastRenderedPageBreak/>
        <w:t xml:space="preserve">Figure </w:t>
      </w:r>
      <w:r w:rsidR="000A620F">
        <w:fldChar w:fldCharType="begin"/>
      </w:r>
      <w:r w:rsidR="000A620F">
        <w:instrText xml:space="preserve"> SEQ Figure \* ARABIC </w:instrText>
      </w:r>
      <w:r w:rsidR="000A620F">
        <w:fldChar w:fldCharType="separate"/>
      </w:r>
      <w:r w:rsidR="009D2816">
        <w:rPr>
          <w:noProof/>
        </w:rPr>
        <w:t>1</w:t>
      </w:r>
      <w:r w:rsidR="000A620F">
        <w:rPr>
          <w:noProof/>
        </w:rPr>
        <w:fldChar w:fldCharType="end"/>
      </w:r>
      <w:bookmarkEnd w:id="3"/>
      <w:r>
        <w:t>. Responses to question "</w:t>
      </w:r>
      <w:r w:rsidRPr="007B5792">
        <w:t>If your municipality is considering adoption, what is the estimated timeline for adoption?</w:t>
      </w:r>
      <w:r>
        <w:t>"</w:t>
      </w:r>
      <w:r w:rsidR="00D65B93">
        <w:t xml:space="preserve"> (November 2023)</w:t>
      </w:r>
    </w:p>
    <w:p w14:paraId="105CABF8" w14:textId="7A462136" w:rsidR="00DD6470" w:rsidRDefault="00D41970" w:rsidP="00B62E3E">
      <w:pPr>
        <w:jc w:val="center"/>
      </w:pPr>
      <w:r>
        <w:rPr>
          <w:noProof/>
        </w:rPr>
        <w:drawing>
          <wp:inline distT="0" distB="0" distL="0" distR="0" wp14:anchorId="6F75096E" wp14:editId="62E2677A">
            <wp:extent cx="5943600" cy="2795270"/>
            <wp:effectExtent l="0" t="0" r="0" b="5080"/>
            <wp:docPr id="1" name="Chart 1">
              <a:extLst xmlns:a="http://schemas.openxmlformats.org/drawingml/2006/main">
                <a:ext uri="{FF2B5EF4-FFF2-40B4-BE49-F238E27FC236}">
                  <a16:creationId xmlns:a16="http://schemas.microsoft.com/office/drawing/2014/main" id="{AD0218D3-810E-06AE-33B4-BE285DF198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89C647C" w14:textId="74C886AD" w:rsidR="006E48C7" w:rsidRDefault="00131B0B" w:rsidP="002440C1">
      <w:pPr>
        <w:pStyle w:val="Bodysansserif"/>
      </w:pPr>
      <w:r>
        <w:t xml:space="preserve">To determine what </w:t>
      </w:r>
      <w:proofErr w:type="gramStart"/>
      <w:r w:rsidR="000C3C54">
        <w:t>factors</w:t>
      </w:r>
      <w:proofErr w:type="gramEnd"/>
      <w:r>
        <w:t xml:space="preserve"> im</w:t>
      </w:r>
      <w:r w:rsidR="000C3C54">
        <w:t>pact</w:t>
      </w:r>
      <w:r>
        <w:t xml:space="preserve"> adoption, the survey also asked municipalities to rank the </w:t>
      </w:r>
      <w:r w:rsidR="00140714">
        <w:t xml:space="preserve">influence of different factors of adoption from </w:t>
      </w:r>
      <w:r w:rsidR="00F37FCF">
        <w:t>1</w:t>
      </w:r>
      <w:r w:rsidR="00140714">
        <w:t xml:space="preserve"> to 10. </w:t>
      </w:r>
      <w:r>
        <w:fldChar w:fldCharType="begin"/>
      </w:r>
      <w:r>
        <w:instrText xml:space="preserve"> REF _Ref149311860 \h </w:instrText>
      </w:r>
      <w:r>
        <w:fldChar w:fldCharType="separate"/>
      </w:r>
      <w:r w:rsidR="00EB1367">
        <w:t xml:space="preserve">Figure </w:t>
      </w:r>
      <w:r w:rsidR="00EB1367" w:rsidRPr="7DDA5DB8">
        <w:rPr>
          <w:noProof/>
        </w:rPr>
        <w:t>2</w:t>
      </w:r>
      <w:r>
        <w:fldChar w:fldCharType="end"/>
      </w:r>
      <w:r w:rsidR="00EB1367">
        <w:t xml:space="preserve"> </w:t>
      </w:r>
      <w:r w:rsidR="7AAA8F87">
        <w:t>shows</w:t>
      </w:r>
      <w:r w:rsidR="008E36FD">
        <w:t xml:space="preserve"> the average ranking across all respondents for both commercial and residential stretch codes.</w:t>
      </w:r>
      <w:r w:rsidR="00010885">
        <w:t xml:space="preserve"> </w:t>
      </w:r>
      <w:r w:rsidR="5FC47C17">
        <w:t>M</w:t>
      </w:r>
      <w:r w:rsidR="1CCE0183">
        <w:t>ost</w:t>
      </w:r>
      <w:r w:rsidR="00140714">
        <w:t xml:space="preserve"> municipalities have several factors influencing their decision on whether to adopt stretch codes</w:t>
      </w:r>
      <w:r w:rsidR="502EDE81">
        <w:t xml:space="preserve"> </w:t>
      </w:r>
      <w:r w:rsidR="4321BE16">
        <w:t xml:space="preserve">While there are slightly </w:t>
      </w:r>
      <w:r w:rsidR="68740C94">
        <w:t>higher ratings for the influences of the</w:t>
      </w:r>
      <w:r w:rsidR="4321BE16">
        <w:t xml:space="preserve"> availability of targeted stretch codes support programs and technical support</w:t>
      </w:r>
      <w:r w:rsidR="4DB288BE">
        <w:t xml:space="preserve">, additional inquiry during evaluation will likely be necessary.  </w:t>
      </w:r>
    </w:p>
    <w:p w14:paraId="40C45CAD" w14:textId="56EFBFD5" w:rsidR="00EB1367" w:rsidRDefault="00EB1367" w:rsidP="00EB1367">
      <w:pPr>
        <w:pStyle w:val="Caption"/>
        <w:keepNext/>
      </w:pPr>
      <w:bookmarkStart w:id="4" w:name="_Ref149311860"/>
      <w:r>
        <w:lastRenderedPageBreak/>
        <w:t xml:space="preserve">Figure </w:t>
      </w:r>
      <w:r w:rsidR="000A620F">
        <w:fldChar w:fldCharType="begin"/>
      </w:r>
      <w:r w:rsidR="000A620F">
        <w:instrText xml:space="preserve"> SEQ Figure \* ARABIC </w:instrText>
      </w:r>
      <w:r w:rsidR="000A620F">
        <w:fldChar w:fldCharType="separate"/>
      </w:r>
      <w:r w:rsidR="009D2816">
        <w:rPr>
          <w:noProof/>
        </w:rPr>
        <w:t>2</w:t>
      </w:r>
      <w:r w:rsidR="000A620F">
        <w:rPr>
          <w:noProof/>
        </w:rPr>
        <w:fldChar w:fldCharType="end"/>
      </w:r>
      <w:bookmarkEnd w:id="4"/>
      <w:r>
        <w:t>. Responses to question "</w:t>
      </w:r>
      <w:r w:rsidRPr="00B55D06">
        <w:t>Rate the influence of the following on your municipality's decision to adopt an advanced building policy (0 to 10)</w:t>
      </w:r>
      <w:r>
        <w:t>"</w:t>
      </w:r>
    </w:p>
    <w:p w14:paraId="35CE578E" w14:textId="7B0706B0" w:rsidR="00A75383" w:rsidRPr="00A75383" w:rsidRDefault="00A75383" w:rsidP="00B62E3E">
      <w:r w:rsidRPr="00FD3636">
        <w:rPr>
          <w:noProof/>
        </w:rPr>
        <w:drawing>
          <wp:inline distT="0" distB="0" distL="0" distR="0" wp14:anchorId="57988260" wp14:editId="4031B79B">
            <wp:extent cx="5931535" cy="3384467"/>
            <wp:effectExtent l="0" t="0" r="0" b="6985"/>
            <wp:docPr id="5" name="Chart 5">
              <a:extLst xmlns:a="http://schemas.openxmlformats.org/drawingml/2006/main">
                <a:ext uri="{FF2B5EF4-FFF2-40B4-BE49-F238E27FC236}">
                  <a16:creationId xmlns:a16="http://schemas.microsoft.com/office/drawing/2014/main" id="{F7636467-6389-0B78-7544-42A71FD106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0E044D7" w14:textId="2A9A0E08" w:rsidR="00F07AE5" w:rsidRDefault="00A148B6" w:rsidP="002440C1">
      <w:pPr>
        <w:pStyle w:val="Bodysansserif"/>
      </w:pPr>
      <w:r>
        <w:t>W</w:t>
      </w:r>
      <w:r w:rsidR="00CB1C24">
        <w:t xml:space="preserve">e sent a follow-up email to </w:t>
      </w:r>
      <w:r>
        <w:t xml:space="preserve">further probe </w:t>
      </w:r>
      <w:proofErr w:type="gramStart"/>
      <w:r>
        <w:t>on</w:t>
      </w:r>
      <w:proofErr w:type="gramEnd"/>
      <w:r>
        <w:t xml:space="preserve"> </w:t>
      </w:r>
      <w:r w:rsidR="00CB1C24">
        <w:t xml:space="preserve">the likelihood </w:t>
      </w:r>
      <w:r w:rsidR="006E48C7">
        <w:t>of adoption</w:t>
      </w:r>
      <w:r>
        <w:t>. This email was sent</w:t>
      </w:r>
      <w:r w:rsidR="00010885">
        <w:t xml:space="preserve"> to </w:t>
      </w:r>
      <w:r w:rsidR="00574806">
        <w:t>a smaller set of survey respondents that indicated they were open to follow-up questions. In th</w:t>
      </w:r>
      <w:r w:rsidR="008F0F8E">
        <w:t xml:space="preserve">e </w:t>
      </w:r>
      <w:r w:rsidR="00F07AE5">
        <w:t xml:space="preserve">email, we asked </w:t>
      </w:r>
      <w:r w:rsidR="00EF58AE">
        <w:t>respondents</w:t>
      </w:r>
      <w:r w:rsidR="00722387">
        <w:t xml:space="preserve"> to estimate the </w:t>
      </w:r>
      <w:r w:rsidR="00F07AE5">
        <w:t>likelihood of</w:t>
      </w:r>
      <w:r w:rsidR="00722387">
        <w:t xml:space="preserve"> policy</w:t>
      </w:r>
      <w:r w:rsidR="00F07AE5">
        <w:t xml:space="preserve"> adoption without utility support</w:t>
      </w:r>
      <w:r>
        <w:t xml:space="preserve"> </w:t>
      </w:r>
      <w:r w:rsidR="00722387">
        <w:t>with</w:t>
      </w:r>
      <w:r w:rsidR="00F07AE5">
        <w:t xml:space="preserve">in </w:t>
      </w:r>
      <w:r w:rsidR="00722387">
        <w:t xml:space="preserve">the </w:t>
      </w:r>
      <w:r w:rsidR="00F07AE5">
        <w:t>next 1</w:t>
      </w:r>
      <w:r w:rsidR="00462FF6">
        <w:t xml:space="preserve"> to</w:t>
      </w:r>
      <w:r w:rsidR="00B02AAA">
        <w:t xml:space="preserve"> </w:t>
      </w:r>
      <w:r w:rsidR="00F07AE5">
        <w:t>3 years or 4</w:t>
      </w:r>
      <w:r w:rsidR="00462FF6">
        <w:t xml:space="preserve"> to</w:t>
      </w:r>
      <w:r w:rsidR="00B02AAA">
        <w:t xml:space="preserve"> </w:t>
      </w:r>
      <w:r w:rsidR="00F07AE5">
        <w:t xml:space="preserve">6 years. </w:t>
      </w:r>
      <w:r w:rsidR="00FB7BFD">
        <w:t>Th</w:t>
      </w:r>
      <w:r w:rsidR="00722387">
        <w:t>ese</w:t>
      </w:r>
      <w:r w:rsidR="003175C3">
        <w:t xml:space="preserve"> </w:t>
      </w:r>
      <w:r w:rsidR="5E55607F">
        <w:t xml:space="preserve">additional </w:t>
      </w:r>
      <w:r w:rsidR="003175C3">
        <w:t>question</w:t>
      </w:r>
      <w:r w:rsidR="00722387">
        <w:t>s</w:t>
      </w:r>
      <w:r w:rsidR="003175C3">
        <w:t xml:space="preserve"> </w:t>
      </w:r>
      <w:r w:rsidR="3D36EB94">
        <w:t xml:space="preserve">will </w:t>
      </w:r>
      <w:r w:rsidR="003175C3">
        <w:t>be incorporated into survey</w:t>
      </w:r>
      <w:r w:rsidR="00137895">
        <w:t>s</w:t>
      </w:r>
      <w:r w:rsidR="003175C3">
        <w:t xml:space="preserve"> </w:t>
      </w:r>
      <w:r w:rsidR="00137895">
        <w:t xml:space="preserve">and </w:t>
      </w:r>
      <w:r w:rsidR="003175C3">
        <w:t>interview guide</w:t>
      </w:r>
      <w:r w:rsidR="00137895">
        <w:t>s</w:t>
      </w:r>
      <w:r w:rsidR="00FB7BFD">
        <w:t xml:space="preserve"> in the future</w:t>
      </w:r>
      <w:r w:rsidR="00137895">
        <w:t>.</w:t>
      </w:r>
    </w:p>
    <w:p w14:paraId="209FA12E" w14:textId="57854C1D" w:rsidR="00A600C3" w:rsidRDefault="00F07AE5" w:rsidP="002440C1">
      <w:pPr>
        <w:pStyle w:val="Bodysansserif"/>
      </w:pPr>
      <w:r>
        <w:t xml:space="preserve">Using these responses and the information gathered through surveys and discussions with municipalities, we </w:t>
      </w:r>
      <w:r w:rsidR="00E97323">
        <w:t xml:space="preserve">determined </w:t>
      </w:r>
      <w:r w:rsidR="00722387">
        <w:t xml:space="preserve">the </w:t>
      </w:r>
      <w:r w:rsidR="00E97323">
        <w:t>percent of tot</w:t>
      </w:r>
      <w:r w:rsidR="00272C48">
        <w:t xml:space="preserve">al square feet </w:t>
      </w:r>
      <w:r w:rsidR="00AA3D77">
        <w:t xml:space="preserve">of </w:t>
      </w:r>
      <w:r w:rsidR="0002093A">
        <w:t>n</w:t>
      </w:r>
      <w:r w:rsidR="00AA3D77">
        <w:t xml:space="preserve">ew </w:t>
      </w:r>
      <w:r w:rsidR="0002093A">
        <w:t>c</w:t>
      </w:r>
      <w:r w:rsidR="00AA3D77">
        <w:t xml:space="preserve">onstruction </w:t>
      </w:r>
      <w:r w:rsidR="00272C48">
        <w:t>in the NMB.</w:t>
      </w:r>
      <w:r w:rsidR="006E48C7">
        <w:t xml:space="preserve"> </w:t>
      </w:r>
      <w:r w:rsidR="000358BE">
        <w:t>We</w:t>
      </w:r>
      <w:r w:rsidR="00A600C3">
        <w:t xml:space="preserve"> assumed that </w:t>
      </w:r>
      <w:r w:rsidR="00A85BF1">
        <w:t xml:space="preserve">the 25 </w:t>
      </w:r>
      <w:r w:rsidR="00BF71E1">
        <w:t xml:space="preserve">to </w:t>
      </w:r>
      <w:r w:rsidR="00A85BF1">
        <w:t>30% of</w:t>
      </w:r>
      <w:r w:rsidR="00A600C3">
        <w:t xml:space="preserve"> municipalities</w:t>
      </w:r>
      <w:r w:rsidR="00A85BF1">
        <w:t xml:space="preserve"> </w:t>
      </w:r>
      <w:r w:rsidR="00A600C3">
        <w:t xml:space="preserve">that are not considering </w:t>
      </w:r>
      <w:r w:rsidR="00C869FB">
        <w:t>adoption</w:t>
      </w:r>
      <w:r w:rsidR="007A31D9">
        <w:t xml:space="preserve"> </w:t>
      </w:r>
      <w:r w:rsidR="00722387">
        <w:t xml:space="preserve">to </w:t>
      </w:r>
      <w:r w:rsidR="007A31D9">
        <w:t xml:space="preserve">have zero NMB square feet </w:t>
      </w:r>
      <w:r w:rsidR="00A600C3">
        <w:t xml:space="preserve">as the likelihood of adoption without </w:t>
      </w:r>
      <w:r w:rsidR="00722387">
        <w:t xml:space="preserve">utility </w:t>
      </w:r>
      <w:r w:rsidR="00A600C3">
        <w:t>intervention. For the remaining 70</w:t>
      </w:r>
      <w:r w:rsidR="00BF71E1">
        <w:t>%</w:t>
      </w:r>
      <w:r w:rsidR="00A600C3">
        <w:t xml:space="preserve"> to 75% </w:t>
      </w:r>
      <w:r w:rsidR="00D63331">
        <w:t xml:space="preserve">of </w:t>
      </w:r>
      <w:r w:rsidR="00A85BF1">
        <w:t>municipalities</w:t>
      </w:r>
      <w:r w:rsidR="00A600C3">
        <w:t>, we applied the percent likelihood of adoption without utility support to total square feet of</w:t>
      </w:r>
      <w:r w:rsidR="0002093A">
        <w:t xml:space="preserve"> new construction </w:t>
      </w:r>
      <w:r w:rsidR="00A600C3">
        <w:t xml:space="preserve">as a representation of what would happen without utility support. </w:t>
      </w:r>
    </w:p>
    <w:p w14:paraId="072BF624" w14:textId="47B17CC9" w:rsidR="0072561A" w:rsidRDefault="000358BE" w:rsidP="002440C1">
      <w:pPr>
        <w:pStyle w:val="Bodysansserif"/>
      </w:pPr>
      <w:r>
        <w:fldChar w:fldCharType="begin"/>
      </w:r>
      <w:r>
        <w:instrText xml:space="preserve"> REF _Ref149312063 \h </w:instrText>
      </w:r>
      <w:r w:rsidR="002440C1">
        <w:instrText xml:space="preserve"> \* MERGEFORMAT </w:instrText>
      </w:r>
      <w:r>
        <w:fldChar w:fldCharType="separate"/>
      </w:r>
      <w:r>
        <w:t xml:space="preserve">Table </w:t>
      </w:r>
      <w:r>
        <w:rPr>
          <w:noProof/>
        </w:rPr>
        <w:t>1</w:t>
      </w:r>
      <w:r>
        <w:fldChar w:fldCharType="end"/>
      </w:r>
      <w:r>
        <w:t xml:space="preserve"> </w:t>
      </w:r>
      <w:r w:rsidR="00691ABD">
        <w:t xml:space="preserve">illustrates the </w:t>
      </w:r>
      <w:r w:rsidR="00B26839">
        <w:t>likelihood of adoption</w:t>
      </w:r>
      <w:r w:rsidR="00D40A65">
        <w:t xml:space="preserve"> in the next </w:t>
      </w:r>
      <w:r w:rsidR="00BF71E1">
        <w:t>1 to</w:t>
      </w:r>
      <w:r w:rsidR="00A64297">
        <w:t xml:space="preserve"> </w:t>
      </w:r>
      <w:r w:rsidR="00D40A65">
        <w:t>3 years and next 4</w:t>
      </w:r>
      <w:r w:rsidR="00BF71E1">
        <w:t xml:space="preserve"> to</w:t>
      </w:r>
      <w:r w:rsidR="00393465">
        <w:t xml:space="preserve"> </w:t>
      </w:r>
      <w:r w:rsidR="00D40A65">
        <w:t>6 years.</w:t>
      </w:r>
      <w:r w:rsidR="00B26839">
        <w:t xml:space="preserve"> Oak Park, Evanston, and Chicago were </w:t>
      </w:r>
      <w:r w:rsidR="00B17ECA">
        <w:t xml:space="preserve">assigned different likelihoods of adoption </w:t>
      </w:r>
      <w:r w:rsidR="00B26839">
        <w:t>than the other municipalities as they have already adopted</w:t>
      </w:r>
      <w:r w:rsidR="004610D6">
        <w:t xml:space="preserve"> or are in the process of adopting other</w:t>
      </w:r>
      <w:r w:rsidR="00B26839">
        <w:t xml:space="preserve"> new construction </w:t>
      </w:r>
      <w:r w:rsidR="00E71C54">
        <w:t xml:space="preserve">code </w:t>
      </w:r>
      <w:r w:rsidR="00B26839">
        <w:t>policies</w:t>
      </w:r>
      <w:r w:rsidR="004610D6">
        <w:t xml:space="preserve">, such as the Chicago </w:t>
      </w:r>
      <w:r w:rsidR="000B3C81" w:rsidRPr="000B3C81">
        <w:t>Clean and Affordable Buildings Ordinance (CABO)</w:t>
      </w:r>
      <w:r w:rsidR="000B3C81">
        <w:t xml:space="preserve"> and the Oak Park Electrification Ordinance</w:t>
      </w:r>
      <w:r w:rsidR="00B26839">
        <w:t xml:space="preserve">. </w:t>
      </w:r>
      <w:r w:rsidR="00885AC7">
        <w:t xml:space="preserve">As the City of Chicago represents a significant portion of new construction data, we </w:t>
      </w:r>
      <w:r w:rsidR="0072561A">
        <w:t xml:space="preserve">use a range to </w:t>
      </w:r>
      <w:r w:rsidR="00E71C54">
        <w:t xml:space="preserve">demonstrate the </w:t>
      </w:r>
      <w:r w:rsidR="0072561A">
        <w:t xml:space="preserve">range for potential impact. Through conversations with the City of Chicago, the project team is continuing to work on refining the percent likelihood of adoption without utility support for the full stretch code in the city. </w:t>
      </w:r>
    </w:p>
    <w:p w14:paraId="748C4232" w14:textId="6C91EDE7" w:rsidR="009A0D20" w:rsidRDefault="000E1663" w:rsidP="002440C1">
      <w:pPr>
        <w:pStyle w:val="Bodysansserif"/>
      </w:pPr>
      <w:r>
        <w:lastRenderedPageBreak/>
        <w:t>The likelihood of adoption is</w:t>
      </w:r>
      <w:r w:rsidR="00B26839">
        <w:t xml:space="preserve"> applied to square feet to estimate the NMB curve. </w:t>
      </w:r>
      <w:r w:rsidR="00A2580E">
        <w:t>In the evaluation process for savings, these likelihood of adoption percentages should be updated to reflect actual adoption</w:t>
      </w:r>
      <w:r w:rsidR="004D2B1A">
        <w:t xml:space="preserve"> actions. A survey </w:t>
      </w:r>
      <w:r w:rsidR="00195437">
        <w:t>will</w:t>
      </w:r>
      <w:r w:rsidR="004D2B1A">
        <w:t xml:space="preserve"> be deployed to ask municipalities that did adopt a</w:t>
      </w:r>
      <w:r w:rsidR="00195437">
        <w:t xml:space="preserve"> stretch</w:t>
      </w:r>
      <w:r w:rsidR="004D2B1A">
        <w:t xml:space="preserve"> code about the factors that impacted the decision</w:t>
      </w:r>
      <w:r w:rsidR="00195437">
        <w:t xml:space="preserve">; this survey </w:t>
      </w:r>
      <w:r w:rsidR="004D2B1A">
        <w:t>should be conducted by a third-party</w:t>
      </w:r>
      <w:r w:rsidR="00B16F5D">
        <w:t xml:space="preserve"> and can be used in the evaluation process.</w:t>
      </w:r>
    </w:p>
    <w:p w14:paraId="4862A2B1" w14:textId="624B75FD" w:rsidR="000358BE" w:rsidRDefault="000358BE" w:rsidP="00B62E3E">
      <w:pPr>
        <w:pStyle w:val="Caption"/>
        <w:keepNext/>
      </w:pPr>
      <w:bookmarkStart w:id="5" w:name="_Ref149312063"/>
      <w:r>
        <w:t xml:space="preserve">Table </w:t>
      </w:r>
      <w:r>
        <w:fldChar w:fldCharType="begin"/>
      </w:r>
      <w:r>
        <w:instrText>SEQ Table \* ARABIC</w:instrText>
      </w:r>
      <w:r>
        <w:fldChar w:fldCharType="separate"/>
      </w:r>
      <w:r w:rsidR="00CC428D">
        <w:rPr>
          <w:noProof/>
        </w:rPr>
        <w:t>1</w:t>
      </w:r>
      <w:r>
        <w:fldChar w:fldCharType="end"/>
      </w:r>
      <w:bookmarkEnd w:id="5"/>
      <w:r>
        <w:t xml:space="preserve">. </w:t>
      </w:r>
      <w:r w:rsidR="003E6C5B">
        <w:t>Likelihood of adoption without utility support</w:t>
      </w:r>
      <w:r w:rsidR="00BF71E1">
        <w:t xml:space="preserve"> (November 2023)</w:t>
      </w:r>
    </w:p>
    <w:tbl>
      <w:tblPr>
        <w:tblStyle w:val="ListTable3"/>
        <w:tblW w:w="0" w:type="auto"/>
        <w:tblLook w:val="04A0" w:firstRow="1" w:lastRow="0" w:firstColumn="1" w:lastColumn="0" w:noHBand="0" w:noVBand="1"/>
      </w:tblPr>
      <w:tblGrid>
        <w:gridCol w:w="2611"/>
        <w:gridCol w:w="2342"/>
        <w:gridCol w:w="2047"/>
      </w:tblGrid>
      <w:tr w:rsidR="00D40A65" w14:paraId="12E88F62" w14:textId="77777777" w:rsidTr="7DDA5DB8">
        <w:trPr>
          <w:cnfStyle w:val="100000000000" w:firstRow="1" w:lastRow="0" w:firstColumn="0" w:lastColumn="0" w:oddVBand="0" w:evenVBand="0" w:oddHBand="0" w:evenHBand="0" w:firstRowFirstColumn="0" w:firstRowLastColumn="0" w:lastRowFirstColumn="0" w:lastRowLastColumn="0"/>
          <w:trHeight w:val="170"/>
        </w:trPr>
        <w:tc>
          <w:tcPr>
            <w:cnfStyle w:val="001000000100" w:firstRow="0" w:lastRow="0" w:firstColumn="1" w:lastColumn="0" w:oddVBand="0" w:evenVBand="0" w:oddHBand="0" w:evenHBand="0" w:firstRowFirstColumn="1" w:firstRowLastColumn="0" w:lastRowFirstColumn="0" w:lastRowLastColumn="0"/>
            <w:tcW w:w="2611" w:type="dxa"/>
          </w:tcPr>
          <w:p w14:paraId="5984F067" w14:textId="4C7BA235" w:rsidR="00D40A65" w:rsidRDefault="00D40A65" w:rsidP="00B62E3E">
            <w:pPr>
              <w:pStyle w:val="ListParagraph"/>
              <w:spacing w:after="0"/>
              <w:ind w:left="0"/>
            </w:pPr>
          </w:p>
        </w:tc>
        <w:tc>
          <w:tcPr>
            <w:tcW w:w="2342" w:type="dxa"/>
          </w:tcPr>
          <w:p w14:paraId="5C079641" w14:textId="7836419A" w:rsidR="00D40A65" w:rsidRDefault="00D40A65" w:rsidP="00B62E3E">
            <w:pPr>
              <w:pStyle w:val="ListParagraph"/>
              <w:ind w:left="0"/>
              <w:jc w:val="center"/>
              <w:cnfStyle w:val="100000000000" w:firstRow="1" w:lastRow="0" w:firstColumn="0" w:lastColumn="0" w:oddVBand="0" w:evenVBand="0" w:oddHBand="0" w:evenHBand="0" w:firstRowFirstColumn="0" w:firstRowLastColumn="0" w:lastRowFirstColumn="0" w:lastRowLastColumn="0"/>
            </w:pPr>
            <w:r>
              <w:t>Next 1 – 3 years</w:t>
            </w:r>
          </w:p>
        </w:tc>
        <w:tc>
          <w:tcPr>
            <w:tcW w:w="2047" w:type="dxa"/>
          </w:tcPr>
          <w:p w14:paraId="7AF0864F" w14:textId="0DE1D6F9" w:rsidR="00D40A65" w:rsidRDefault="00D40A65" w:rsidP="00B62E3E">
            <w:pPr>
              <w:pStyle w:val="ListParagraph"/>
              <w:spacing w:after="0"/>
              <w:ind w:left="0"/>
              <w:jc w:val="center"/>
              <w:cnfStyle w:val="100000000000" w:firstRow="1" w:lastRow="0" w:firstColumn="0" w:lastColumn="0" w:oddVBand="0" w:evenVBand="0" w:oddHBand="0" w:evenHBand="0" w:firstRowFirstColumn="0" w:firstRowLastColumn="0" w:lastRowFirstColumn="0" w:lastRowLastColumn="0"/>
            </w:pPr>
            <w:r>
              <w:t>Next 4</w:t>
            </w:r>
            <w:r w:rsidR="00BF71E1">
              <w:t xml:space="preserve"> -</w:t>
            </w:r>
            <w:r>
              <w:t>6 years</w:t>
            </w:r>
          </w:p>
        </w:tc>
      </w:tr>
      <w:tr w:rsidR="00D40A65" w14:paraId="62C1BB35" w14:textId="77777777" w:rsidTr="7DDA5DB8">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2611" w:type="dxa"/>
          </w:tcPr>
          <w:p w14:paraId="7ED1685B" w14:textId="6228C32D" w:rsidR="00D40A65" w:rsidRDefault="00D40A65" w:rsidP="00B62E3E">
            <w:pPr>
              <w:pStyle w:val="ListParagraph"/>
              <w:spacing w:after="0"/>
              <w:ind w:left="0"/>
              <w:jc w:val="center"/>
            </w:pPr>
            <w:r>
              <w:t>Chicago</w:t>
            </w:r>
          </w:p>
        </w:tc>
        <w:tc>
          <w:tcPr>
            <w:tcW w:w="2342" w:type="dxa"/>
          </w:tcPr>
          <w:p w14:paraId="429D6F62" w14:textId="1E17EF38" w:rsidR="00D40A65" w:rsidRDefault="00885AC7" w:rsidP="00B62E3E">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pPr>
            <w:r>
              <w:t xml:space="preserve">25% - </w:t>
            </w:r>
            <w:r w:rsidR="00B26839">
              <w:t>75</w:t>
            </w:r>
            <w:r w:rsidR="00D40A65">
              <w:t>%</w:t>
            </w:r>
          </w:p>
        </w:tc>
        <w:tc>
          <w:tcPr>
            <w:tcW w:w="2047" w:type="dxa"/>
          </w:tcPr>
          <w:p w14:paraId="78E95809" w14:textId="0FA01A15" w:rsidR="00D40A65" w:rsidRDefault="00885AC7" w:rsidP="00B62E3E">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pPr>
            <w:r>
              <w:t xml:space="preserve">50% - </w:t>
            </w:r>
            <w:r w:rsidR="00B26839">
              <w:t>9</w:t>
            </w:r>
            <w:r w:rsidR="000E3150">
              <w:t>0%</w:t>
            </w:r>
          </w:p>
        </w:tc>
      </w:tr>
      <w:tr w:rsidR="00D40A65" w14:paraId="0F9F2163" w14:textId="77777777" w:rsidTr="7DDA5DB8">
        <w:trPr>
          <w:trHeight w:val="246"/>
        </w:trPr>
        <w:tc>
          <w:tcPr>
            <w:cnfStyle w:val="001000000000" w:firstRow="0" w:lastRow="0" w:firstColumn="1" w:lastColumn="0" w:oddVBand="0" w:evenVBand="0" w:oddHBand="0" w:evenHBand="0" w:firstRowFirstColumn="0" w:firstRowLastColumn="0" w:lastRowFirstColumn="0" w:lastRowLastColumn="0"/>
            <w:tcW w:w="2611" w:type="dxa"/>
          </w:tcPr>
          <w:p w14:paraId="3995240B" w14:textId="3B1D4235" w:rsidR="00D40A65" w:rsidRDefault="00D40A65" w:rsidP="00B62E3E">
            <w:pPr>
              <w:pStyle w:val="ListParagraph"/>
              <w:spacing w:after="0"/>
              <w:ind w:left="0"/>
              <w:jc w:val="center"/>
            </w:pPr>
            <w:r>
              <w:t>Evanston</w:t>
            </w:r>
          </w:p>
        </w:tc>
        <w:tc>
          <w:tcPr>
            <w:tcW w:w="2342" w:type="dxa"/>
          </w:tcPr>
          <w:p w14:paraId="2994958F" w14:textId="7B9D382F" w:rsidR="00D40A65" w:rsidRDefault="007D6BCC" w:rsidP="00B62E3E">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pPr>
            <w:r>
              <w:t>30</w:t>
            </w:r>
            <w:r w:rsidR="003E6C5B">
              <w:t>%</w:t>
            </w:r>
          </w:p>
        </w:tc>
        <w:tc>
          <w:tcPr>
            <w:tcW w:w="2047" w:type="dxa"/>
          </w:tcPr>
          <w:p w14:paraId="66CB8275" w14:textId="64543450" w:rsidR="00D40A65" w:rsidRDefault="006D5BB0" w:rsidP="00B62E3E">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pPr>
            <w:r>
              <w:t>60</w:t>
            </w:r>
            <w:r w:rsidR="003E6C5B">
              <w:t>%</w:t>
            </w:r>
          </w:p>
        </w:tc>
      </w:tr>
      <w:tr w:rsidR="00D40A65" w14:paraId="23972B7D" w14:textId="77777777" w:rsidTr="7DDA5DB8">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611" w:type="dxa"/>
          </w:tcPr>
          <w:p w14:paraId="1EBD6A69" w14:textId="625BD318" w:rsidR="00D40A65" w:rsidRDefault="00D40A65" w:rsidP="00B62E3E">
            <w:pPr>
              <w:pStyle w:val="ListParagraph"/>
              <w:spacing w:after="0"/>
              <w:ind w:left="0"/>
              <w:jc w:val="center"/>
            </w:pPr>
            <w:r>
              <w:t>Oak Park</w:t>
            </w:r>
          </w:p>
        </w:tc>
        <w:tc>
          <w:tcPr>
            <w:tcW w:w="2342" w:type="dxa"/>
          </w:tcPr>
          <w:p w14:paraId="63A7FF7B" w14:textId="4AE026CA" w:rsidR="00D40A65" w:rsidRDefault="006D5BB0" w:rsidP="00B62E3E">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pPr>
            <w:r>
              <w:t>3</w:t>
            </w:r>
            <w:r w:rsidR="003E6C5B">
              <w:t>0%</w:t>
            </w:r>
          </w:p>
        </w:tc>
        <w:tc>
          <w:tcPr>
            <w:tcW w:w="2047" w:type="dxa"/>
          </w:tcPr>
          <w:p w14:paraId="6C3F9242" w14:textId="6457A725" w:rsidR="00D40A65" w:rsidRDefault="006D5BB0" w:rsidP="00B62E3E">
            <w:pPr>
              <w:pStyle w:val="ListParagraph"/>
              <w:spacing w:after="0"/>
              <w:ind w:left="0"/>
              <w:jc w:val="center"/>
              <w:cnfStyle w:val="000000100000" w:firstRow="0" w:lastRow="0" w:firstColumn="0" w:lastColumn="0" w:oddVBand="0" w:evenVBand="0" w:oddHBand="1" w:evenHBand="0" w:firstRowFirstColumn="0" w:firstRowLastColumn="0" w:lastRowFirstColumn="0" w:lastRowLastColumn="0"/>
            </w:pPr>
            <w:r>
              <w:t>60</w:t>
            </w:r>
            <w:r w:rsidR="003E6C5B">
              <w:t>%</w:t>
            </w:r>
          </w:p>
        </w:tc>
      </w:tr>
      <w:tr w:rsidR="00D40A65" w14:paraId="4027A9C7" w14:textId="77777777" w:rsidTr="7DDA5DB8">
        <w:trPr>
          <w:trHeight w:val="246"/>
        </w:trPr>
        <w:tc>
          <w:tcPr>
            <w:cnfStyle w:val="001000000000" w:firstRow="0" w:lastRow="0" w:firstColumn="1" w:lastColumn="0" w:oddVBand="0" w:evenVBand="0" w:oddHBand="0" w:evenHBand="0" w:firstRowFirstColumn="0" w:firstRowLastColumn="0" w:lastRowFirstColumn="0" w:lastRowLastColumn="0"/>
            <w:tcW w:w="2611" w:type="dxa"/>
          </w:tcPr>
          <w:p w14:paraId="127093D5" w14:textId="7B5F0741" w:rsidR="00D40A65" w:rsidRDefault="00D40A65" w:rsidP="00B62E3E">
            <w:pPr>
              <w:pStyle w:val="ListParagraph"/>
              <w:spacing w:after="0"/>
              <w:ind w:left="0"/>
              <w:jc w:val="center"/>
            </w:pPr>
            <w:r>
              <w:t>Other Cities</w:t>
            </w:r>
          </w:p>
        </w:tc>
        <w:tc>
          <w:tcPr>
            <w:tcW w:w="2342" w:type="dxa"/>
          </w:tcPr>
          <w:p w14:paraId="03E403D6" w14:textId="478B0949" w:rsidR="00D40A65" w:rsidRDefault="00B26839" w:rsidP="00B62E3E">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pPr>
            <w:r>
              <w:t>10</w:t>
            </w:r>
            <w:r w:rsidR="00D40A65">
              <w:t>%</w:t>
            </w:r>
          </w:p>
        </w:tc>
        <w:tc>
          <w:tcPr>
            <w:tcW w:w="2047" w:type="dxa"/>
          </w:tcPr>
          <w:p w14:paraId="328911F3" w14:textId="13489E7B" w:rsidR="00D40A65" w:rsidRDefault="003E6C5B" w:rsidP="00B62E3E">
            <w:pPr>
              <w:pStyle w:val="ListParagraph"/>
              <w:spacing w:after="0"/>
              <w:ind w:left="0"/>
              <w:jc w:val="center"/>
              <w:cnfStyle w:val="000000000000" w:firstRow="0" w:lastRow="0" w:firstColumn="0" w:lastColumn="0" w:oddVBand="0" w:evenVBand="0" w:oddHBand="0" w:evenHBand="0" w:firstRowFirstColumn="0" w:firstRowLastColumn="0" w:lastRowFirstColumn="0" w:lastRowLastColumn="0"/>
            </w:pPr>
            <w:r>
              <w:t>27%</w:t>
            </w:r>
          </w:p>
        </w:tc>
      </w:tr>
    </w:tbl>
    <w:p w14:paraId="37B1285B" w14:textId="1DF60B3B" w:rsidR="002A5496" w:rsidRDefault="00AB7932" w:rsidP="00DE6AE5">
      <w:pPr>
        <w:pStyle w:val="Heading3"/>
        <w:spacing w:before="240"/>
      </w:pPr>
      <w:r>
        <w:t xml:space="preserve">Allocating Square Feet </w:t>
      </w:r>
      <w:r w:rsidR="003D6045">
        <w:t>to ComEd Territory</w:t>
      </w:r>
    </w:p>
    <w:p w14:paraId="56A74EE6" w14:textId="41A62748" w:rsidR="00183D5D" w:rsidRPr="00780BFC" w:rsidRDefault="00DD212C" w:rsidP="002440C1">
      <w:pPr>
        <w:pStyle w:val="Bodysansserif"/>
      </w:pPr>
      <w:r>
        <w:t>N</w:t>
      </w:r>
      <w:r w:rsidR="00780BFC">
        <w:t>ew construction square feet data is available by municipality.</w:t>
      </w:r>
      <w:r w:rsidR="008739FA">
        <w:t xml:space="preserve"> To allocate </w:t>
      </w:r>
      <w:r w:rsidR="00764F75">
        <w:t>savings directly</w:t>
      </w:r>
      <w:r w:rsidR="00EB6E83">
        <w:t xml:space="preserve"> </w:t>
      </w:r>
      <w:r w:rsidR="00764F75">
        <w:t>to ComEd</w:t>
      </w:r>
      <w:r w:rsidR="008739FA">
        <w:t xml:space="preserve">, </w:t>
      </w:r>
      <w:r w:rsidR="00764F75">
        <w:t>the project team</w:t>
      </w:r>
      <w:r w:rsidR="00B15397">
        <w:t xml:space="preserve"> collected lists of municipalities served by </w:t>
      </w:r>
      <w:r w:rsidR="00764F75">
        <w:t xml:space="preserve">ComEd and filtered the new construction square feet data to the municipalities served by ComEd. </w:t>
      </w:r>
    </w:p>
    <w:p w14:paraId="6E460719" w14:textId="76EB8C3E" w:rsidR="003D6045" w:rsidRDefault="00180EE3" w:rsidP="00F50F14">
      <w:pPr>
        <w:pStyle w:val="Heading2"/>
        <w:spacing w:before="240"/>
      </w:pPr>
      <w:r w:rsidRPr="00043704">
        <w:t>Accounting for Double Counting Between Market Transformation and Resource Acquisition</w:t>
      </w:r>
    </w:p>
    <w:p w14:paraId="1BFDDC73" w14:textId="703EAD36" w:rsidR="00F50F14" w:rsidRDefault="00F50F14" w:rsidP="002440C1">
      <w:pPr>
        <w:pStyle w:val="Bodysansserif"/>
      </w:pPr>
      <w:r>
        <w:t>Through traditional resource acquisition programs, ComEd offers several programs that address new construction directly, including the Commercial/Industrial New Construction, Affordable Housing New Construction, and Electric New Homes Construction program</w:t>
      </w:r>
      <w:r w:rsidR="00EB6A46">
        <w:t>s</w:t>
      </w:r>
      <w:r>
        <w:t xml:space="preserve">. These programs </w:t>
      </w:r>
      <w:r w:rsidR="00EA4693">
        <w:t>count</w:t>
      </w:r>
      <w:r>
        <w:t xml:space="preserve"> savings for anything installed above the base code </w:t>
      </w:r>
      <w:r w:rsidR="00EA4693">
        <w:t xml:space="preserve">as defined in Illinois. </w:t>
      </w:r>
      <w:r w:rsidR="007C0BA9">
        <w:t>However, the programs do not currently incentivize based on stretch code or expected stretch requirements.</w:t>
      </w:r>
    </w:p>
    <w:p w14:paraId="76C95D06" w14:textId="19165422" w:rsidR="00EA4693" w:rsidRDefault="00EA4693" w:rsidP="002440C1">
      <w:pPr>
        <w:pStyle w:val="Bodysansserif"/>
      </w:pPr>
      <w:r>
        <w:t xml:space="preserve">The approach to avoid double counting from a stretch code market transformation </w:t>
      </w:r>
      <w:r w:rsidR="009D25C6">
        <w:t xml:space="preserve">program is for the resource acquisition program to count savings for anything installed above the stretch code for municipalities that adopt the code. This method allows the existing RA programs to continue to count savings above the adopted code and allows MT to capture all savings between base and stretch code for municipalities that adopt. </w:t>
      </w:r>
    </w:p>
    <w:p w14:paraId="62C3D979" w14:textId="09DFFC8B" w:rsidR="009D2816" w:rsidRPr="00F50F14" w:rsidRDefault="001838AB" w:rsidP="00FE60C7">
      <w:r>
        <w:rPr>
          <w:noProof/>
        </w:rPr>
        <w:drawing>
          <wp:inline distT="0" distB="0" distL="0" distR="0" wp14:anchorId="7A9C88C9" wp14:editId="62387DDB">
            <wp:extent cx="5935980" cy="1836420"/>
            <wp:effectExtent l="0" t="0" r="7620" b="0"/>
            <wp:docPr id="144947641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476411" name=""/>
                    <pic:cNvPicPr/>
                  </pic:nvPicPr>
                  <pic:blipFill rotWithShape="1">
                    <a:blip r:embed="rId14">
                      <a:extLst>
                        <a:ext uri="{96DAC541-7B7A-43D3-8B79-37D633B846F1}">
                          <asvg:svgBlip xmlns:asvg="http://schemas.microsoft.com/office/drawing/2016/SVG/main" r:embed="rId15"/>
                        </a:ext>
                      </a:extLst>
                    </a:blip>
                    <a:srcRect t="33732" r="128" b="11340"/>
                    <a:stretch/>
                  </pic:blipFill>
                  <pic:spPr bwMode="auto">
                    <a:xfrm>
                      <a:off x="0" y="0"/>
                      <a:ext cx="5935980" cy="1836420"/>
                    </a:xfrm>
                    <a:prstGeom prst="rect">
                      <a:avLst/>
                    </a:prstGeom>
                    <a:ln>
                      <a:noFill/>
                    </a:ln>
                    <a:extLst>
                      <a:ext uri="{53640926-AAD7-44D8-BBD7-CCE9431645EC}">
                        <a14:shadowObscured xmlns:a14="http://schemas.microsoft.com/office/drawing/2010/main"/>
                      </a:ext>
                    </a:extLst>
                  </pic:spPr>
                </pic:pic>
              </a:graphicData>
            </a:graphic>
          </wp:inline>
        </w:drawing>
      </w:r>
    </w:p>
    <w:p w14:paraId="37B15518" w14:textId="6F677CDE" w:rsidR="00447827" w:rsidRDefault="00CD07E3" w:rsidP="00B50885">
      <w:pPr>
        <w:pStyle w:val="Heading2ALT"/>
      </w:pPr>
      <w:r>
        <w:lastRenderedPageBreak/>
        <w:t xml:space="preserve">3.0 </w:t>
      </w:r>
      <w:r w:rsidR="00447827">
        <w:t>Energy Unit Savings</w:t>
      </w:r>
    </w:p>
    <w:p w14:paraId="4DAE5D49" w14:textId="011E2D5A" w:rsidR="00B23AAE" w:rsidRDefault="00B23AAE" w:rsidP="00D3785B">
      <w:pPr>
        <w:pStyle w:val="Heading3"/>
      </w:pPr>
      <w:r>
        <w:t>Energy Use Intensity</w:t>
      </w:r>
    </w:p>
    <w:p w14:paraId="7DBE88F1" w14:textId="3546046D" w:rsidR="002B17B0" w:rsidRDefault="005206BE" w:rsidP="002440C1">
      <w:pPr>
        <w:pStyle w:val="Bodysansserif"/>
      </w:pPr>
      <w:r>
        <w:t>Energy use intensity</w:t>
      </w:r>
      <w:r w:rsidR="003C001D">
        <w:t xml:space="preserve"> (EUI)</w:t>
      </w:r>
      <w:r w:rsidR="003B4307">
        <w:t xml:space="preserve"> is</w:t>
      </w:r>
      <w:r>
        <w:t xml:space="preserve"> measured as </w:t>
      </w:r>
      <w:r w:rsidR="00583DF3">
        <w:t xml:space="preserve">a building’s </w:t>
      </w:r>
      <w:r>
        <w:t>total energy use divided by square feet</w:t>
      </w:r>
      <w:r w:rsidR="003B4307">
        <w:t xml:space="preserve"> and</w:t>
      </w:r>
      <w:r>
        <w:t xml:space="preserve"> </w:t>
      </w:r>
      <w:r w:rsidR="00C03F79">
        <w:t xml:space="preserve">is used to </w:t>
      </w:r>
      <w:r>
        <w:t xml:space="preserve">represent unit energy </w:t>
      </w:r>
      <w:r w:rsidR="00467776">
        <w:t>cons</w:t>
      </w:r>
      <w:r w:rsidR="00987A8A">
        <w:t>umption</w:t>
      </w:r>
      <w:r>
        <w:t xml:space="preserve">. The difference between energy use intensity </w:t>
      </w:r>
      <w:r w:rsidR="00AC76CC">
        <w:t xml:space="preserve">under a stretch code </w:t>
      </w:r>
      <w:r>
        <w:t xml:space="preserve">and energy use intensity </w:t>
      </w:r>
      <w:r w:rsidR="00AC76CC">
        <w:t xml:space="preserve">under a base code </w:t>
      </w:r>
      <w:r>
        <w:t xml:space="preserve">represents the unit energy savings for adoption. </w:t>
      </w:r>
    </w:p>
    <w:p w14:paraId="1BE7AC34" w14:textId="77777777" w:rsidR="00D36D86" w:rsidRPr="00EE0C1F" w:rsidRDefault="00D36D86" w:rsidP="00B50885">
      <w:pPr>
        <w:pStyle w:val="Heading3"/>
      </w:pPr>
      <w:r w:rsidRPr="00EE0C1F">
        <w:t>Stretch Code EUI</w:t>
      </w:r>
    </w:p>
    <w:p w14:paraId="21C60A1A" w14:textId="7236425F" w:rsidR="00D36D86" w:rsidRDefault="00D36D86" w:rsidP="002440C1">
      <w:pPr>
        <w:pStyle w:val="Bodysansserif"/>
      </w:pPr>
      <w:r>
        <w:t xml:space="preserve">Stretch code EUI reflects </w:t>
      </w:r>
      <w:r w:rsidR="00195600">
        <w:t>performance</w:t>
      </w:r>
      <w:r>
        <w:t xml:space="preserve"> targets </w:t>
      </w:r>
      <w:r w:rsidR="00195600">
        <w:t xml:space="preserve">over time as set by </w:t>
      </w:r>
      <w:r>
        <w:t>the Illinois Climate and Equitable Jobs Act (CEJA).</w:t>
      </w:r>
      <w:r w:rsidR="00053EC9">
        <w:rPr>
          <w:rStyle w:val="FootnoteReference"/>
        </w:rPr>
        <w:footnoteReference w:id="9"/>
      </w:r>
      <w:r>
        <w:t xml:space="preserve"> The performance targets are </w:t>
      </w:r>
      <w:r w:rsidR="002311F6">
        <w:t xml:space="preserve">defined </w:t>
      </w:r>
      <w:r w:rsidR="006D3C07">
        <w:t>using a</w:t>
      </w:r>
      <w:r>
        <w:t xml:space="preserve"> </w:t>
      </w:r>
      <w:r w:rsidR="00BF71E1">
        <w:t>S</w:t>
      </w:r>
      <w:r>
        <w:t xml:space="preserve">ite </w:t>
      </w:r>
      <w:r w:rsidR="00BF71E1">
        <w:t>E</w:t>
      </w:r>
      <w:r>
        <w:t xml:space="preserve">nergy </w:t>
      </w:r>
      <w:r w:rsidR="00BF71E1">
        <w:t>I</w:t>
      </w:r>
      <w:r>
        <w:t xml:space="preserve">ndex, </w:t>
      </w:r>
      <w:r w:rsidR="000D7FBD">
        <w:t xml:space="preserve">a ratio of how efficient the adopted code is compared to the </w:t>
      </w:r>
      <w:r w:rsidR="00FA1C53">
        <w:t>ASHRAE</w:t>
      </w:r>
      <w:r w:rsidR="002654B3">
        <w:t xml:space="preserve"> 90.1 </w:t>
      </w:r>
      <w:r w:rsidR="00994906">
        <w:t>-2004</w:t>
      </w:r>
      <w:r w:rsidR="00FA1C53">
        <w:t>/2006 IECC code</w:t>
      </w:r>
      <w:r w:rsidR="003215AB">
        <w:t xml:space="preserve"> as modeled by </w:t>
      </w:r>
      <w:r w:rsidR="00764F75">
        <w:t>t</w:t>
      </w:r>
      <w:r w:rsidR="00F279BD">
        <w:t>he Pacific Northwest National Laboratory (PNNL)</w:t>
      </w:r>
      <w:r w:rsidR="009627F2">
        <w:t xml:space="preserve"> </w:t>
      </w:r>
      <w:r w:rsidR="00126946">
        <w:t xml:space="preserve">for various </w:t>
      </w:r>
      <w:r w:rsidR="00C3729C">
        <w:t>building type</w:t>
      </w:r>
      <w:r w:rsidR="00126946">
        <w:t>s</w:t>
      </w:r>
      <w:r w:rsidR="00C3729C">
        <w:t xml:space="preserve"> and climate zone</w:t>
      </w:r>
      <w:r w:rsidR="00126946">
        <w:t>s</w:t>
      </w:r>
      <w:r w:rsidR="00C3729C">
        <w:t>.</w:t>
      </w:r>
      <w:r w:rsidR="00C3729C">
        <w:rPr>
          <w:rStyle w:val="FootnoteReference"/>
        </w:rPr>
        <w:footnoteReference w:id="10"/>
      </w:r>
      <w:r w:rsidR="00C3729C">
        <w:t xml:space="preserve"> </w:t>
      </w:r>
      <w:r w:rsidRPr="610AD106">
        <w:rPr>
          <w:sz w:val="20"/>
          <w:szCs w:val="20"/>
          <w:vertAlign w:val="superscript"/>
        </w:rPr>
        <w:footnoteReference w:id="11"/>
      </w:r>
      <w:r w:rsidR="3BBE2E48" w:rsidRPr="610AD106">
        <w:rPr>
          <w:sz w:val="20"/>
          <w:szCs w:val="20"/>
          <w:vertAlign w:val="superscript"/>
        </w:rPr>
        <w:t xml:space="preserve"> </w:t>
      </w:r>
      <w:r w:rsidR="00C3729C">
        <w:t>T</w:t>
      </w:r>
      <w:r w:rsidR="009627F2">
        <w:t xml:space="preserve">hose values are applied </w:t>
      </w:r>
      <w:r>
        <w:t>(</w:t>
      </w:r>
      <w:r w:rsidR="002F5791">
        <w:fldChar w:fldCharType="begin"/>
      </w:r>
      <w:r w:rsidR="002F5791">
        <w:instrText xml:space="preserve"> REF _Ref160357304 \h </w:instrText>
      </w:r>
      <w:r w:rsidR="002F5791">
        <w:fldChar w:fldCharType="separate"/>
      </w:r>
      <w:r w:rsidR="002F5791">
        <w:t xml:space="preserve">Table </w:t>
      </w:r>
      <w:r w:rsidR="002F5791">
        <w:rPr>
          <w:noProof/>
        </w:rPr>
        <w:t>3</w:t>
      </w:r>
      <w:r w:rsidR="002F5791">
        <w:fldChar w:fldCharType="end"/>
      </w:r>
      <w:r>
        <w:t xml:space="preserve">) to each building type to calculate actual energy use intensity. </w:t>
      </w:r>
      <w:r w:rsidR="002F5791">
        <w:fldChar w:fldCharType="begin"/>
      </w:r>
      <w:r w:rsidR="002F5791">
        <w:instrText xml:space="preserve"> REF _Ref160357318 \h </w:instrText>
      </w:r>
      <w:r w:rsidR="002F5791">
        <w:fldChar w:fldCharType="separate"/>
      </w:r>
      <w:r w:rsidR="002F5791">
        <w:t xml:space="preserve">Table </w:t>
      </w:r>
      <w:r w:rsidR="002F5791">
        <w:rPr>
          <w:noProof/>
        </w:rPr>
        <w:t>2</w:t>
      </w:r>
      <w:r w:rsidR="002F5791">
        <w:fldChar w:fldCharType="end"/>
      </w:r>
      <w:r w:rsidR="002F5791">
        <w:t xml:space="preserve"> </w:t>
      </w:r>
      <w:r>
        <w:t xml:space="preserve">includes the established stretch code energy indices for 2024 and onward. </w:t>
      </w:r>
    </w:p>
    <w:p w14:paraId="227E676E" w14:textId="04239191" w:rsidR="4E5C6314" w:rsidRDefault="4E5C6314" w:rsidP="4E5C6314">
      <w:pPr>
        <w:pStyle w:val="Bodysansserif"/>
      </w:pPr>
    </w:p>
    <w:p w14:paraId="457E5EA9" w14:textId="2C485DF2" w:rsidR="00D36D86" w:rsidRDefault="00D36D86" w:rsidP="00D36D86">
      <w:pPr>
        <w:pStyle w:val="Caption"/>
        <w:keepNext/>
      </w:pPr>
      <w:bookmarkStart w:id="6" w:name="_Ref160357318"/>
      <w:r>
        <w:t xml:space="preserve">Table </w:t>
      </w:r>
      <w:r>
        <w:fldChar w:fldCharType="begin"/>
      </w:r>
      <w:r>
        <w:instrText>SEQ Table \* ARABIC</w:instrText>
      </w:r>
      <w:r>
        <w:fldChar w:fldCharType="separate"/>
      </w:r>
      <w:r w:rsidR="00CC428D">
        <w:rPr>
          <w:noProof/>
        </w:rPr>
        <w:t>2</w:t>
      </w:r>
      <w:r>
        <w:fldChar w:fldCharType="end"/>
      </w:r>
      <w:bookmarkEnd w:id="6"/>
      <w:r>
        <w:rPr>
          <w:noProof/>
        </w:rPr>
        <w:t xml:space="preserve">. </w:t>
      </w:r>
      <w:r w:rsidR="002D468B">
        <w:rPr>
          <w:noProof/>
        </w:rPr>
        <w:t>Site energy index</w:t>
      </w:r>
      <w:r>
        <w:rPr>
          <w:noProof/>
        </w:rPr>
        <w:t xml:space="preserve"> of stretch codes</w:t>
      </w:r>
      <w:r w:rsidR="00FD48E8">
        <w:rPr>
          <w:noProof/>
        </w:rPr>
        <w:t xml:space="preserve"> targets</w:t>
      </w:r>
      <w:r>
        <w:rPr>
          <w:noProof/>
        </w:rPr>
        <w:t xml:space="preserve"> as directed by CEJA – 2024 and forward</w:t>
      </w:r>
    </w:p>
    <w:tbl>
      <w:tblPr>
        <w:tblStyle w:val="ListTable3-Accent5"/>
        <w:tblW w:w="7160" w:type="dxa"/>
        <w:tblLook w:val="0620" w:firstRow="1" w:lastRow="0" w:firstColumn="0" w:lastColumn="0" w:noHBand="1" w:noVBand="1"/>
      </w:tblPr>
      <w:tblGrid>
        <w:gridCol w:w="1844"/>
        <w:gridCol w:w="2658"/>
        <w:gridCol w:w="2658"/>
      </w:tblGrid>
      <w:tr w:rsidR="00D36D86" w:rsidRPr="00055CD3" w14:paraId="7348A861" w14:textId="77777777" w:rsidTr="31C53C33">
        <w:trPr>
          <w:cnfStyle w:val="100000000000" w:firstRow="1" w:lastRow="0" w:firstColumn="0" w:lastColumn="0" w:oddVBand="0" w:evenVBand="0" w:oddHBand="0" w:evenHBand="0" w:firstRowFirstColumn="0" w:firstRowLastColumn="0" w:lastRowFirstColumn="0" w:lastRowLastColumn="0"/>
          <w:trHeight w:val="106"/>
        </w:trPr>
        <w:tc>
          <w:tcPr>
            <w:tcW w:w="1844" w:type="dxa"/>
            <w:tcBorders>
              <w:bottom w:val="single" w:sz="4" w:space="0" w:color="auto"/>
            </w:tcBorders>
            <w:hideMark/>
          </w:tcPr>
          <w:p w14:paraId="1C0263B8" w14:textId="77777777" w:rsidR="00D36D86" w:rsidRPr="00E54854" w:rsidRDefault="00D36D86">
            <w:pPr>
              <w:spacing w:after="0" w:line="240" w:lineRule="auto"/>
              <w:jc w:val="center"/>
              <w:rPr>
                <w:rFonts w:asciiTheme="minorHAnsi" w:hAnsiTheme="minorHAnsi" w:cstheme="minorHAnsi"/>
              </w:rPr>
            </w:pPr>
            <w:r w:rsidRPr="00E54854">
              <w:rPr>
                <w:rFonts w:asciiTheme="minorHAnsi" w:hAnsiTheme="minorHAnsi" w:cstheme="minorHAnsi"/>
              </w:rPr>
              <w:t>Stretch Code Version</w:t>
            </w:r>
          </w:p>
        </w:tc>
        <w:tc>
          <w:tcPr>
            <w:tcW w:w="2658" w:type="dxa"/>
            <w:tcBorders>
              <w:bottom w:val="single" w:sz="4" w:space="0" w:color="auto"/>
            </w:tcBorders>
            <w:hideMark/>
          </w:tcPr>
          <w:p w14:paraId="22B85A05" w14:textId="793D2CE9" w:rsidR="00D36D86" w:rsidRPr="00E54854" w:rsidRDefault="00D36D86">
            <w:pPr>
              <w:spacing w:after="0" w:line="240" w:lineRule="auto"/>
              <w:jc w:val="center"/>
              <w:rPr>
                <w:rFonts w:asciiTheme="minorHAnsi" w:hAnsiTheme="minorHAnsi" w:cstheme="minorHAnsi"/>
              </w:rPr>
            </w:pPr>
            <w:r w:rsidRPr="00E54854">
              <w:rPr>
                <w:rFonts w:asciiTheme="minorHAnsi" w:hAnsiTheme="minorHAnsi" w:cstheme="minorHAnsi"/>
              </w:rPr>
              <w:t>Residential Site Energy Index</w:t>
            </w:r>
          </w:p>
        </w:tc>
        <w:tc>
          <w:tcPr>
            <w:tcW w:w="2658" w:type="dxa"/>
            <w:tcBorders>
              <w:bottom w:val="single" w:sz="4" w:space="0" w:color="auto"/>
            </w:tcBorders>
            <w:hideMark/>
          </w:tcPr>
          <w:p w14:paraId="156232EF" w14:textId="77777777" w:rsidR="00D36D86" w:rsidRPr="00E54854" w:rsidRDefault="00D36D86">
            <w:pPr>
              <w:spacing w:after="0" w:line="240" w:lineRule="auto"/>
              <w:jc w:val="center"/>
              <w:rPr>
                <w:rFonts w:asciiTheme="minorHAnsi" w:hAnsiTheme="minorHAnsi" w:cstheme="minorHAnsi"/>
              </w:rPr>
            </w:pPr>
            <w:r w:rsidRPr="00E54854">
              <w:rPr>
                <w:rFonts w:asciiTheme="minorHAnsi" w:hAnsiTheme="minorHAnsi" w:cstheme="minorHAnsi"/>
              </w:rPr>
              <w:t>Commercial Site Energy Index</w:t>
            </w:r>
          </w:p>
        </w:tc>
      </w:tr>
      <w:tr w:rsidR="00D36D86" w:rsidRPr="00055CD3" w14:paraId="078F8A4E" w14:textId="77777777" w:rsidTr="31C53C33">
        <w:trPr>
          <w:trHeight w:val="106"/>
        </w:trPr>
        <w:tc>
          <w:tcPr>
            <w:tcW w:w="1844" w:type="dxa"/>
            <w:tcBorders>
              <w:top w:val="single" w:sz="4" w:space="0" w:color="auto"/>
              <w:left w:val="single" w:sz="4" w:space="0" w:color="auto"/>
              <w:bottom w:val="single" w:sz="4" w:space="0" w:color="auto"/>
              <w:right w:val="single" w:sz="4" w:space="0" w:color="auto"/>
            </w:tcBorders>
            <w:hideMark/>
          </w:tcPr>
          <w:p w14:paraId="45707BDC" w14:textId="77777777" w:rsidR="00D36D86" w:rsidRPr="00CE7A3C" w:rsidRDefault="00D36D86">
            <w:pPr>
              <w:spacing w:after="0" w:line="240" w:lineRule="auto"/>
              <w:jc w:val="center"/>
              <w:rPr>
                <w:rFonts w:asciiTheme="minorHAnsi" w:hAnsiTheme="minorHAnsi" w:cstheme="minorHAnsi"/>
              </w:rPr>
            </w:pPr>
            <w:r w:rsidRPr="00CE7A3C">
              <w:rPr>
                <w:rFonts w:asciiTheme="minorHAnsi" w:hAnsiTheme="minorHAnsi" w:cstheme="minorHAnsi"/>
              </w:rPr>
              <w:t>2024</w:t>
            </w:r>
          </w:p>
        </w:tc>
        <w:tc>
          <w:tcPr>
            <w:tcW w:w="2658" w:type="dxa"/>
            <w:tcBorders>
              <w:top w:val="single" w:sz="4" w:space="0" w:color="auto"/>
              <w:left w:val="single" w:sz="4" w:space="0" w:color="auto"/>
              <w:bottom w:val="single" w:sz="4" w:space="0" w:color="auto"/>
              <w:right w:val="single" w:sz="4" w:space="0" w:color="auto"/>
            </w:tcBorders>
            <w:hideMark/>
          </w:tcPr>
          <w:p w14:paraId="074C930C" w14:textId="77777777" w:rsidR="00D36D86" w:rsidRPr="00CE7A3C" w:rsidRDefault="00D36D86">
            <w:pPr>
              <w:spacing w:after="0" w:line="240" w:lineRule="auto"/>
              <w:jc w:val="center"/>
              <w:rPr>
                <w:rFonts w:asciiTheme="minorHAnsi" w:hAnsiTheme="minorHAnsi" w:cstheme="minorHAnsi"/>
              </w:rPr>
            </w:pPr>
            <w:r w:rsidRPr="00CE7A3C">
              <w:rPr>
                <w:rFonts w:asciiTheme="minorHAnsi" w:hAnsiTheme="minorHAnsi" w:cstheme="minorHAnsi"/>
              </w:rPr>
              <w:t>0.50</w:t>
            </w:r>
          </w:p>
        </w:tc>
        <w:tc>
          <w:tcPr>
            <w:tcW w:w="2658" w:type="dxa"/>
            <w:tcBorders>
              <w:top w:val="single" w:sz="4" w:space="0" w:color="auto"/>
              <w:left w:val="single" w:sz="4" w:space="0" w:color="auto"/>
              <w:bottom w:val="single" w:sz="4" w:space="0" w:color="auto"/>
              <w:right w:val="single" w:sz="4" w:space="0" w:color="auto"/>
            </w:tcBorders>
            <w:hideMark/>
          </w:tcPr>
          <w:p w14:paraId="1FB1EAF5" w14:textId="45334BD2" w:rsidR="00D36D86" w:rsidRPr="00CE7A3C" w:rsidRDefault="00D36D86" w:rsidP="31C53C33">
            <w:pPr>
              <w:spacing w:after="0" w:line="240" w:lineRule="auto"/>
              <w:jc w:val="center"/>
              <w:rPr>
                <w:rFonts w:asciiTheme="minorHAnsi" w:hAnsiTheme="minorHAnsi"/>
              </w:rPr>
            </w:pPr>
            <w:r w:rsidRPr="31C53C33">
              <w:rPr>
                <w:rFonts w:asciiTheme="minorHAnsi" w:hAnsiTheme="minorHAnsi"/>
                <w:color w:val="404143"/>
                <w:kern w:val="24"/>
              </w:rPr>
              <w:t>0.60</w:t>
            </w:r>
          </w:p>
        </w:tc>
      </w:tr>
      <w:tr w:rsidR="00D36D86" w:rsidRPr="00055CD3" w14:paraId="24003121" w14:textId="77777777" w:rsidTr="31C53C33">
        <w:trPr>
          <w:trHeight w:val="106"/>
        </w:trPr>
        <w:tc>
          <w:tcPr>
            <w:tcW w:w="1844" w:type="dxa"/>
            <w:tcBorders>
              <w:top w:val="single" w:sz="4" w:space="0" w:color="auto"/>
              <w:left w:val="single" w:sz="4" w:space="0" w:color="auto"/>
              <w:bottom w:val="single" w:sz="4" w:space="0" w:color="auto"/>
              <w:right w:val="single" w:sz="4" w:space="0" w:color="auto"/>
            </w:tcBorders>
            <w:hideMark/>
          </w:tcPr>
          <w:p w14:paraId="28B988E3" w14:textId="77777777" w:rsidR="00D36D86" w:rsidRPr="00CE7A3C" w:rsidRDefault="00D36D86">
            <w:pPr>
              <w:spacing w:after="0" w:line="240" w:lineRule="auto"/>
              <w:jc w:val="center"/>
              <w:rPr>
                <w:rFonts w:asciiTheme="minorHAnsi" w:hAnsiTheme="minorHAnsi" w:cstheme="minorHAnsi"/>
              </w:rPr>
            </w:pPr>
            <w:r w:rsidRPr="00CE7A3C">
              <w:rPr>
                <w:rFonts w:asciiTheme="minorHAnsi" w:hAnsiTheme="minorHAnsi" w:cstheme="minorHAnsi"/>
              </w:rPr>
              <w:t>2026</w:t>
            </w:r>
          </w:p>
        </w:tc>
        <w:tc>
          <w:tcPr>
            <w:tcW w:w="2658" w:type="dxa"/>
            <w:tcBorders>
              <w:top w:val="single" w:sz="4" w:space="0" w:color="auto"/>
              <w:left w:val="single" w:sz="4" w:space="0" w:color="auto"/>
              <w:bottom w:val="single" w:sz="4" w:space="0" w:color="auto"/>
              <w:right w:val="single" w:sz="4" w:space="0" w:color="auto"/>
            </w:tcBorders>
            <w:hideMark/>
          </w:tcPr>
          <w:p w14:paraId="70C528EE" w14:textId="316CA769" w:rsidR="00D36D86" w:rsidRPr="00CE7A3C" w:rsidRDefault="00D36D86">
            <w:pPr>
              <w:spacing w:after="0" w:line="240" w:lineRule="auto"/>
              <w:jc w:val="center"/>
              <w:rPr>
                <w:rFonts w:asciiTheme="minorHAnsi" w:hAnsiTheme="minorHAnsi" w:cstheme="minorHAnsi"/>
              </w:rPr>
            </w:pPr>
            <w:r w:rsidRPr="00CE7A3C">
              <w:rPr>
                <w:rFonts w:asciiTheme="minorHAnsi" w:hAnsiTheme="minorHAnsi" w:cstheme="minorHAnsi"/>
              </w:rPr>
              <w:t>0.40</w:t>
            </w:r>
          </w:p>
        </w:tc>
        <w:tc>
          <w:tcPr>
            <w:tcW w:w="2658" w:type="dxa"/>
            <w:tcBorders>
              <w:top w:val="single" w:sz="4" w:space="0" w:color="auto"/>
              <w:left w:val="single" w:sz="4" w:space="0" w:color="auto"/>
              <w:bottom w:val="single" w:sz="4" w:space="0" w:color="auto"/>
              <w:right w:val="single" w:sz="4" w:space="0" w:color="auto"/>
            </w:tcBorders>
            <w:hideMark/>
          </w:tcPr>
          <w:p w14:paraId="56C022B4" w14:textId="77777777" w:rsidR="00D36D86" w:rsidRPr="00CE7A3C" w:rsidRDefault="00D36D86">
            <w:pPr>
              <w:spacing w:after="0" w:line="240" w:lineRule="auto"/>
              <w:jc w:val="center"/>
              <w:rPr>
                <w:rFonts w:asciiTheme="minorHAnsi" w:hAnsiTheme="minorHAnsi" w:cstheme="minorHAnsi"/>
              </w:rPr>
            </w:pPr>
            <w:r w:rsidRPr="00055CD3">
              <w:rPr>
                <w:rFonts w:asciiTheme="minorHAnsi" w:hAnsiTheme="minorHAnsi" w:cstheme="minorHAnsi"/>
                <w:color w:val="404143"/>
                <w:kern w:val="24"/>
              </w:rPr>
              <w:t>0.50</w:t>
            </w:r>
          </w:p>
        </w:tc>
      </w:tr>
      <w:tr w:rsidR="00D36D86" w:rsidRPr="00055CD3" w14:paraId="3C37B80E" w14:textId="77777777" w:rsidTr="31C53C33">
        <w:trPr>
          <w:trHeight w:val="114"/>
        </w:trPr>
        <w:tc>
          <w:tcPr>
            <w:tcW w:w="1844" w:type="dxa"/>
            <w:tcBorders>
              <w:top w:val="single" w:sz="4" w:space="0" w:color="auto"/>
              <w:left w:val="single" w:sz="4" w:space="0" w:color="auto"/>
              <w:bottom w:val="single" w:sz="4" w:space="0" w:color="auto"/>
              <w:right w:val="single" w:sz="4" w:space="0" w:color="auto"/>
            </w:tcBorders>
            <w:hideMark/>
          </w:tcPr>
          <w:p w14:paraId="36697B62" w14:textId="77777777" w:rsidR="00D36D86" w:rsidRPr="00CE7A3C" w:rsidRDefault="00D36D86">
            <w:pPr>
              <w:spacing w:after="0" w:line="240" w:lineRule="auto"/>
              <w:jc w:val="center"/>
              <w:rPr>
                <w:rFonts w:asciiTheme="minorHAnsi" w:hAnsiTheme="minorHAnsi" w:cstheme="minorHAnsi"/>
              </w:rPr>
            </w:pPr>
            <w:r w:rsidRPr="00CE7A3C">
              <w:rPr>
                <w:rFonts w:asciiTheme="minorHAnsi" w:hAnsiTheme="minorHAnsi" w:cstheme="minorHAnsi"/>
              </w:rPr>
              <w:t>2029</w:t>
            </w:r>
          </w:p>
        </w:tc>
        <w:tc>
          <w:tcPr>
            <w:tcW w:w="2658" w:type="dxa"/>
            <w:tcBorders>
              <w:top w:val="single" w:sz="4" w:space="0" w:color="auto"/>
              <w:left w:val="single" w:sz="4" w:space="0" w:color="auto"/>
              <w:bottom w:val="single" w:sz="4" w:space="0" w:color="auto"/>
              <w:right w:val="single" w:sz="4" w:space="0" w:color="auto"/>
            </w:tcBorders>
            <w:hideMark/>
          </w:tcPr>
          <w:p w14:paraId="07AF2184" w14:textId="15FABC32" w:rsidR="00D36D86" w:rsidRPr="00CE7A3C" w:rsidRDefault="00D36D86">
            <w:pPr>
              <w:spacing w:after="0" w:line="240" w:lineRule="auto"/>
              <w:jc w:val="center"/>
              <w:rPr>
                <w:rFonts w:asciiTheme="minorHAnsi" w:hAnsiTheme="minorHAnsi" w:cstheme="minorHAnsi"/>
              </w:rPr>
            </w:pPr>
            <w:r w:rsidRPr="00CE7A3C">
              <w:rPr>
                <w:rFonts w:asciiTheme="minorHAnsi" w:hAnsiTheme="minorHAnsi" w:cstheme="minorHAnsi"/>
              </w:rPr>
              <w:t xml:space="preserve">0.33 </w:t>
            </w:r>
          </w:p>
        </w:tc>
        <w:tc>
          <w:tcPr>
            <w:tcW w:w="2658" w:type="dxa"/>
            <w:tcBorders>
              <w:top w:val="single" w:sz="4" w:space="0" w:color="auto"/>
              <w:left w:val="single" w:sz="4" w:space="0" w:color="auto"/>
              <w:bottom w:val="single" w:sz="4" w:space="0" w:color="auto"/>
              <w:right w:val="single" w:sz="4" w:space="0" w:color="auto"/>
            </w:tcBorders>
            <w:hideMark/>
          </w:tcPr>
          <w:p w14:paraId="64A5804B" w14:textId="77777777" w:rsidR="00D36D86" w:rsidRPr="00CE7A3C" w:rsidRDefault="00D36D86">
            <w:pPr>
              <w:spacing w:after="0" w:line="240" w:lineRule="auto"/>
              <w:jc w:val="center"/>
              <w:rPr>
                <w:rFonts w:asciiTheme="minorHAnsi" w:hAnsiTheme="minorHAnsi" w:cstheme="minorHAnsi"/>
              </w:rPr>
            </w:pPr>
            <w:r w:rsidRPr="00055CD3">
              <w:rPr>
                <w:rFonts w:asciiTheme="minorHAnsi" w:hAnsiTheme="minorHAnsi" w:cstheme="minorHAnsi"/>
                <w:color w:val="404143"/>
                <w:kern w:val="24"/>
              </w:rPr>
              <w:t>0.44</w:t>
            </w:r>
          </w:p>
        </w:tc>
      </w:tr>
      <w:tr w:rsidR="00D36D86" w:rsidRPr="00055CD3" w14:paraId="09B2AC05" w14:textId="77777777" w:rsidTr="31C53C33">
        <w:trPr>
          <w:trHeight w:val="106"/>
        </w:trPr>
        <w:tc>
          <w:tcPr>
            <w:tcW w:w="1844" w:type="dxa"/>
            <w:tcBorders>
              <w:top w:val="single" w:sz="4" w:space="0" w:color="auto"/>
              <w:left w:val="single" w:sz="4" w:space="0" w:color="auto"/>
              <w:bottom w:val="single" w:sz="4" w:space="0" w:color="auto"/>
              <w:right w:val="single" w:sz="4" w:space="0" w:color="auto"/>
            </w:tcBorders>
            <w:hideMark/>
          </w:tcPr>
          <w:p w14:paraId="409CBFC3" w14:textId="77777777" w:rsidR="00D36D86" w:rsidRPr="00CE7A3C" w:rsidRDefault="00D36D86">
            <w:pPr>
              <w:spacing w:after="0" w:line="240" w:lineRule="auto"/>
              <w:jc w:val="center"/>
              <w:rPr>
                <w:rFonts w:asciiTheme="minorHAnsi" w:hAnsiTheme="minorHAnsi" w:cstheme="minorHAnsi"/>
              </w:rPr>
            </w:pPr>
            <w:r w:rsidRPr="00CE7A3C">
              <w:rPr>
                <w:rFonts w:asciiTheme="minorHAnsi" w:hAnsiTheme="minorHAnsi" w:cstheme="minorHAnsi"/>
              </w:rPr>
              <w:t>2032</w:t>
            </w:r>
          </w:p>
        </w:tc>
        <w:tc>
          <w:tcPr>
            <w:tcW w:w="2658" w:type="dxa"/>
            <w:tcBorders>
              <w:top w:val="single" w:sz="4" w:space="0" w:color="auto"/>
              <w:left w:val="single" w:sz="4" w:space="0" w:color="auto"/>
              <w:bottom w:val="single" w:sz="4" w:space="0" w:color="auto"/>
              <w:right w:val="single" w:sz="4" w:space="0" w:color="auto"/>
            </w:tcBorders>
            <w:hideMark/>
          </w:tcPr>
          <w:p w14:paraId="58756B0A" w14:textId="77777777" w:rsidR="00D36D86" w:rsidRPr="00CE7A3C" w:rsidRDefault="00D36D86">
            <w:pPr>
              <w:spacing w:after="0" w:line="240" w:lineRule="auto"/>
              <w:jc w:val="center"/>
              <w:rPr>
                <w:rFonts w:asciiTheme="minorHAnsi" w:hAnsiTheme="minorHAnsi" w:cstheme="minorHAnsi"/>
              </w:rPr>
            </w:pPr>
            <w:r w:rsidRPr="00CE7A3C">
              <w:rPr>
                <w:rFonts w:asciiTheme="minorHAnsi" w:hAnsiTheme="minorHAnsi" w:cstheme="minorHAnsi"/>
              </w:rPr>
              <w:t>0.25</w:t>
            </w:r>
          </w:p>
        </w:tc>
        <w:tc>
          <w:tcPr>
            <w:tcW w:w="2658" w:type="dxa"/>
            <w:tcBorders>
              <w:top w:val="single" w:sz="4" w:space="0" w:color="auto"/>
              <w:left w:val="single" w:sz="4" w:space="0" w:color="auto"/>
              <w:bottom w:val="single" w:sz="4" w:space="0" w:color="auto"/>
              <w:right w:val="single" w:sz="4" w:space="0" w:color="auto"/>
            </w:tcBorders>
            <w:hideMark/>
          </w:tcPr>
          <w:p w14:paraId="2B983840" w14:textId="77777777" w:rsidR="00D36D86" w:rsidRPr="00CE7A3C" w:rsidRDefault="00D36D86">
            <w:pPr>
              <w:spacing w:after="0" w:line="240" w:lineRule="auto"/>
              <w:jc w:val="center"/>
              <w:rPr>
                <w:rFonts w:asciiTheme="minorHAnsi" w:hAnsiTheme="minorHAnsi" w:cstheme="minorHAnsi"/>
              </w:rPr>
            </w:pPr>
            <w:r w:rsidRPr="00055CD3">
              <w:rPr>
                <w:rFonts w:asciiTheme="minorHAnsi" w:hAnsiTheme="minorHAnsi" w:cstheme="minorHAnsi"/>
                <w:color w:val="404143"/>
                <w:kern w:val="24"/>
              </w:rPr>
              <w:t>0.39</w:t>
            </w:r>
          </w:p>
        </w:tc>
      </w:tr>
    </w:tbl>
    <w:p w14:paraId="3933D2BF" w14:textId="77777777" w:rsidR="00F768D3" w:rsidRDefault="00F768D3" w:rsidP="000D7FBD">
      <w:pPr>
        <w:pStyle w:val="Caption"/>
        <w:keepNext/>
        <w:spacing w:before="240"/>
      </w:pPr>
      <w:bookmarkStart w:id="7" w:name="_Ref160357304"/>
    </w:p>
    <w:p w14:paraId="7A46A035" w14:textId="77777777" w:rsidR="00F768D3" w:rsidRDefault="00F768D3">
      <w:pPr>
        <w:spacing w:after="160" w:line="259" w:lineRule="auto"/>
        <w:rPr>
          <w:i/>
          <w:iCs/>
          <w:color w:val="44546A" w:themeColor="text2"/>
          <w:sz w:val="18"/>
          <w:szCs w:val="18"/>
        </w:rPr>
      </w:pPr>
      <w:r>
        <w:br w:type="page"/>
      </w:r>
    </w:p>
    <w:p w14:paraId="223CF63E" w14:textId="1428BF7B" w:rsidR="000D7FBD" w:rsidRDefault="000D7FBD" w:rsidP="000D7FBD">
      <w:pPr>
        <w:pStyle w:val="Caption"/>
        <w:keepNext/>
        <w:spacing w:before="240"/>
      </w:pPr>
      <w:r>
        <w:lastRenderedPageBreak/>
        <w:t xml:space="preserve">Table </w:t>
      </w:r>
      <w:r>
        <w:fldChar w:fldCharType="begin"/>
      </w:r>
      <w:r>
        <w:instrText>SEQ Table \* ARABIC</w:instrText>
      </w:r>
      <w:r>
        <w:fldChar w:fldCharType="separate"/>
      </w:r>
      <w:r w:rsidR="00CC428D" w:rsidRPr="7DDA5DB8">
        <w:rPr>
          <w:noProof/>
        </w:rPr>
        <w:t>3</w:t>
      </w:r>
      <w:r>
        <w:fldChar w:fldCharType="end"/>
      </w:r>
      <w:bookmarkEnd w:id="7"/>
      <w:r>
        <w:t>. 2004</w:t>
      </w:r>
      <w:r w:rsidR="008D43EE">
        <w:t>-ASHRAE/2006 IECC</w:t>
      </w:r>
      <w:r>
        <w:t xml:space="preserve"> energy use intensity by building type as modeled by PNNL </w:t>
      </w:r>
    </w:p>
    <w:tbl>
      <w:tblPr>
        <w:tblStyle w:val="ListTable3-Accent5"/>
        <w:tblW w:w="7182" w:type="dxa"/>
        <w:tblLook w:val="04A0" w:firstRow="1" w:lastRow="0" w:firstColumn="1" w:lastColumn="0" w:noHBand="0" w:noVBand="1"/>
      </w:tblPr>
      <w:tblGrid>
        <w:gridCol w:w="2682"/>
        <w:gridCol w:w="4500"/>
      </w:tblGrid>
      <w:tr w:rsidR="000D7FBD" w:rsidRPr="00E54854" w14:paraId="3A842687" w14:textId="77777777" w:rsidTr="31C53C33">
        <w:trPr>
          <w:cnfStyle w:val="100000000000" w:firstRow="1" w:lastRow="0" w:firstColumn="0" w:lastColumn="0" w:oddVBand="0" w:evenVBand="0" w:oddHBand="0" w:evenHBand="0" w:firstRowFirstColumn="0" w:firstRowLastColumn="0" w:lastRowFirstColumn="0" w:lastRowLastColumn="0"/>
          <w:trHeight w:val="220"/>
        </w:trPr>
        <w:tc>
          <w:tcPr>
            <w:cnfStyle w:val="001000000100" w:firstRow="0" w:lastRow="0" w:firstColumn="1" w:lastColumn="0" w:oddVBand="0" w:evenVBand="0" w:oddHBand="0" w:evenHBand="0" w:firstRowFirstColumn="1" w:firstRowLastColumn="0" w:lastRowFirstColumn="0" w:lastRowLastColumn="0"/>
            <w:tcW w:w="2682" w:type="dxa"/>
            <w:hideMark/>
          </w:tcPr>
          <w:p w14:paraId="17BF6269" w14:textId="77777777" w:rsidR="000D7FBD" w:rsidRPr="00E54854" w:rsidRDefault="000D7FBD">
            <w:pPr>
              <w:spacing w:after="0"/>
              <w:jc w:val="center"/>
              <w:rPr>
                <w:rFonts w:eastAsia="Times New Roman" w:cs="Arial"/>
              </w:rPr>
            </w:pPr>
            <w:r w:rsidRPr="00E54854">
              <w:rPr>
                <w:rFonts w:ascii="Calibri" w:eastAsia="Times New Roman" w:hAnsi="Calibri" w:cs="Calibri"/>
                <w:kern w:val="24"/>
              </w:rPr>
              <w:t>Building type</w:t>
            </w:r>
          </w:p>
        </w:tc>
        <w:tc>
          <w:tcPr>
            <w:tcW w:w="4500" w:type="dxa"/>
            <w:hideMark/>
          </w:tcPr>
          <w:p w14:paraId="242F029E" w14:textId="0ABE7DC3" w:rsidR="000D7FBD" w:rsidRPr="00E54854" w:rsidRDefault="000B0BDB">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s="Arial"/>
              </w:rPr>
            </w:pPr>
            <w:r>
              <w:rPr>
                <w:rFonts w:ascii="Calibri" w:eastAsia="Times New Roman" w:hAnsi="Calibri" w:cs="Calibri"/>
                <w:kern w:val="24"/>
              </w:rPr>
              <w:t>Energy Use Intensity</w:t>
            </w:r>
          </w:p>
        </w:tc>
      </w:tr>
      <w:tr w:rsidR="00477BAE" w:rsidRPr="00E54854" w14:paraId="32830C03" w14:textId="77777777" w:rsidTr="31C53C33">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2682" w:type="dxa"/>
          </w:tcPr>
          <w:p w14:paraId="6783EACD" w14:textId="224D2865" w:rsidR="00477BAE" w:rsidRPr="00E54854" w:rsidRDefault="00477BAE" w:rsidP="00477BAE">
            <w:pPr>
              <w:spacing w:after="0"/>
              <w:jc w:val="center"/>
              <w:rPr>
                <w:rFonts w:asciiTheme="minorHAnsi" w:eastAsiaTheme="minorEastAsia" w:hAnsi="Calibri"/>
                <w:color w:val="021D49" w:themeColor="dark1"/>
                <w:kern w:val="24"/>
              </w:rPr>
            </w:pPr>
            <w:r w:rsidRPr="00E54854">
              <w:rPr>
                <w:rFonts w:ascii="Calibri" w:eastAsia="Times New Roman" w:hAnsi="Calibri" w:cs="Calibri"/>
                <w:color w:val="000000"/>
                <w:kern w:val="24"/>
              </w:rPr>
              <w:t>Warehouse</w:t>
            </w:r>
          </w:p>
        </w:tc>
        <w:tc>
          <w:tcPr>
            <w:tcW w:w="4500" w:type="dxa"/>
          </w:tcPr>
          <w:p w14:paraId="4AD39835" w14:textId="05137C24" w:rsidR="00477BAE" w:rsidRPr="00E54854" w:rsidRDefault="00477BAE" w:rsidP="31C53C33">
            <w:pPr>
              <w:spacing w:after="0"/>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Calibri"/>
                <w:color w:val="021D49" w:themeColor="dark1"/>
                <w:kern w:val="24"/>
              </w:rPr>
            </w:pPr>
            <w:r w:rsidRPr="00E54854">
              <w:rPr>
                <w:rFonts w:ascii="Calibri" w:eastAsia="Times New Roman" w:hAnsi="Calibri" w:cs="Calibri"/>
                <w:color w:val="000000"/>
                <w:kern w:val="24"/>
              </w:rPr>
              <w:t>32.8</w:t>
            </w:r>
          </w:p>
        </w:tc>
      </w:tr>
      <w:tr w:rsidR="00477BAE" w:rsidRPr="00E54854" w14:paraId="3A4F213F" w14:textId="77777777" w:rsidTr="31C53C33">
        <w:trPr>
          <w:trHeight w:val="220"/>
        </w:trPr>
        <w:tc>
          <w:tcPr>
            <w:cnfStyle w:val="001000000000" w:firstRow="0" w:lastRow="0" w:firstColumn="1" w:lastColumn="0" w:oddVBand="0" w:evenVBand="0" w:oddHBand="0" w:evenHBand="0" w:firstRowFirstColumn="0" w:firstRowLastColumn="0" w:lastRowFirstColumn="0" w:lastRowLastColumn="0"/>
            <w:tcW w:w="2682" w:type="dxa"/>
          </w:tcPr>
          <w:p w14:paraId="2CCF55FF" w14:textId="50E318A3" w:rsidR="00477BAE" w:rsidRPr="00E54854" w:rsidRDefault="00477BAE" w:rsidP="00477BAE">
            <w:pPr>
              <w:spacing w:after="0"/>
              <w:jc w:val="center"/>
              <w:rPr>
                <w:rFonts w:asciiTheme="minorHAnsi" w:eastAsiaTheme="minorEastAsia" w:hAnsi="Calibri"/>
                <w:color w:val="021D49" w:themeColor="dark1"/>
                <w:kern w:val="24"/>
              </w:rPr>
            </w:pPr>
            <w:r w:rsidRPr="00E54854">
              <w:rPr>
                <w:rFonts w:ascii="Calibri" w:eastAsia="Times New Roman" w:hAnsi="Calibri" w:cs="Calibri"/>
                <w:color w:val="000000"/>
                <w:kern w:val="24"/>
              </w:rPr>
              <w:t>Office</w:t>
            </w:r>
          </w:p>
        </w:tc>
        <w:tc>
          <w:tcPr>
            <w:tcW w:w="4500" w:type="dxa"/>
          </w:tcPr>
          <w:p w14:paraId="2922E244" w14:textId="3335105E" w:rsidR="00477BAE" w:rsidRPr="00E54854" w:rsidRDefault="00477BAE" w:rsidP="00477BA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Calibri"/>
                <w:color w:val="021D49" w:themeColor="dark1"/>
                <w:kern w:val="24"/>
              </w:rPr>
            </w:pPr>
            <w:r w:rsidRPr="00E54854">
              <w:rPr>
                <w:rFonts w:ascii="Calibri" w:eastAsia="Times New Roman" w:hAnsi="Calibri" w:cs="Calibri"/>
                <w:color w:val="000000"/>
                <w:kern w:val="24"/>
              </w:rPr>
              <w:t>53.6</w:t>
            </w:r>
          </w:p>
        </w:tc>
      </w:tr>
      <w:tr w:rsidR="000D7FBD" w:rsidRPr="00E54854" w14:paraId="3C57250D" w14:textId="77777777" w:rsidTr="31C53C33">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2682" w:type="dxa"/>
          </w:tcPr>
          <w:p w14:paraId="17CDEE8B" w14:textId="32622556" w:rsidR="000D7FBD" w:rsidRPr="00E54854" w:rsidRDefault="000D7FBD" w:rsidP="000D7FBD">
            <w:pPr>
              <w:spacing w:after="0"/>
              <w:jc w:val="center"/>
              <w:rPr>
                <w:rFonts w:ascii="Calibri" w:eastAsia="Times New Roman" w:hAnsi="Calibri" w:cs="Calibri"/>
                <w:kern w:val="24"/>
              </w:rPr>
            </w:pPr>
            <w:r w:rsidRPr="00E54854">
              <w:rPr>
                <w:rFonts w:asciiTheme="minorHAnsi" w:eastAsiaTheme="minorEastAsia" w:hAnsi="Calibri"/>
                <w:color w:val="021D49" w:themeColor="dark1"/>
                <w:kern w:val="24"/>
              </w:rPr>
              <w:t>Single-Family</w:t>
            </w:r>
          </w:p>
        </w:tc>
        <w:tc>
          <w:tcPr>
            <w:tcW w:w="4500" w:type="dxa"/>
          </w:tcPr>
          <w:p w14:paraId="5245017E" w14:textId="0842E753" w:rsidR="000D7FBD" w:rsidRPr="00E54854" w:rsidRDefault="00F72CEE" w:rsidP="000D7FBD">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kern w:val="24"/>
              </w:rPr>
            </w:pPr>
            <w:r w:rsidRPr="00E54854">
              <w:rPr>
                <w:rFonts w:asciiTheme="minorHAnsi" w:eastAsiaTheme="minorEastAsia" w:hAnsi="Calibri"/>
                <w:color w:val="021D49" w:themeColor="dark1"/>
                <w:kern w:val="24"/>
              </w:rPr>
              <w:t>62.3</w:t>
            </w:r>
          </w:p>
        </w:tc>
      </w:tr>
      <w:tr w:rsidR="00477BAE" w:rsidRPr="00E54854" w14:paraId="7E67C54E" w14:textId="77777777" w:rsidTr="31C53C33">
        <w:trPr>
          <w:trHeight w:val="220"/>
        </w:trPr>
        <w:tc>
          <w:tcPr>
            <w:cnfStyle w:val="001000000000" w:firstRow="0" w:lastRow="0" w:firstColumn="1" w:lastColumn="0" w:oddVBand="0" w:evenVBand="0" w:oddHBand="0" w:evenHBand="0" w:firstRowFirstColumn="0" w:firstRowLastColumn="0" w:lastRowFirstColumn="0" w:lastRowLastColumn="0"/>
            <w:tcW w:w="2682" w:type="dxa"/>
          </w:tcPr>
          <w:p w14:paraId="2F52E1F3" w14:textId="6A0B9C03" w:rsidR="00477BAE" w:rsidRPr="00E54854" w:rsidRDefault="00477BAE" w:rsidP="00477BAE">
            <w:pPr>
              <w:spacing w:after="0"/>
              <w:jc w:val="center"/>
              <w:rPr>
                <w:rFonts w:asciiTheme="minorHAnsi" w:eastAsiaTheme="minorEastAsia" w:hAnsi="Calibri"/>
                <w:color w:val="021D49" w:themeColor="dark1"/>
                <w:kern w:val="24"/>
              </w:rPr>
            </w:pPr>
            <w:r w:rsidRPr="00E54854">
              <w:rPr>
                <w:rFonts w:ascii="Calibri" w:eastAsia="Times New Roman" w:hAnsi="Calibri" w:cs="Calibri"/>
                <w:color w:val="000000"/>
                <w:kern w:val="24"/>
              </w:rPr>
              <w:t>Multifamily (&gt;5 units)</w:t>
            </w:r>
          </w:p>
        </w:tc>
        <w:tc>
          <w:tcPr>
            <w:tcW w:w="4500" w:type="dxa"/>
          </w:tcPr>
          <w:p w14:paraId="19B2E0D3" w14:textId="5A6D0BF6" w:rsidR="00477BAE" w:rsidRPr="00E54854" w:rsidRDefault="00477BAE" w:rsidP="00477BAE">
            <w:pPr>
              <w:spacing w:after="0"/>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Calibri"/>
                <w:color w:val="021D49" w:themeColor="dark1"/>
                <w:kern w:val="24"/>
              </w:rPr>
            </w:pPr>
            <w:r w:rsidRPr="00E54854">
              <w:rPr>
                <w:rFonts w:ascii="Calibri" w:eastAsia="Times New Roman" w:hAnsi="Calibri" w:cs="Calibri"/>
                <w:color w:val="000000"/>
                <w:kern w:val="24"/>
              </w:rPr>
              <w:t>62.9</w:t>
            </w:r>
          </w:p>
        </w:tc>
      </w:tr>
      <w:tr w:rsidR="000D7FBD" w:rsidRPr="00E54854" w14:paraId="60ED823F" w14:textId="77777777" w:rsidTr="31C53C33">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2682" w:type="dxa"/>
          </w:tcPr>
          <w:p w14:paraId="2DCEE020" w14:textId="0B1DA31F" w:rsidR="000D7FBD" w:rsidRPr="00E54854" w:rsidRDefault="000D7FBD" w:rsidP="000D7FBD">
            <w:pPr>
              <w:spacing w:after="0"/>
              <w:jc w:val="center"/>
              <w:rPr>
                <w:rFonts w:ascii="Calibri" w:eastAsia="Times New Roman" w:hAnsi="Calibri" w:cs="Calibri"/>
                <w:kern w:val="24"/>
              </w:rPr>
            </w:pPr>
            <w:r w:rsidRPr="00E54854">
              <w:rPr>
                <w:rFonts w:asciiTheme="minorHAnsi" w:eastAsiaTheme="minorEastAsia" w:hAnsi="Calibri"/>
                <w:color w:val="021D49" w:themeColor="dark1"/>
                <w:kern w:val="24"/>
              </w:rPr>
              <w:t>2</w:t>
            </w:r>
            <w:r w:rsidR="00A01970" w:rsidRPr="00E54854">
              <w:rPr>
                <w:rFonts w:asciiTheme="minorHAnsi" w:eastAsiaTheme="minorEastAsia" w:hAnsi="Calibri"/>
                <w:color w:val="021D49" w:themeColor="dark1"/>
                <w:kern w:val="24"/>
              </w:rPr>
              <w:t xml:space="preserve"> to</w:t>
            </w:r>
            <w:r w:rsidR="00477BAE" w:rsidRPr="00E54854">
              <w:rPr>
                <w:rFonts w:asciiTheme="minorHAnsi" w:eastAsiaTheme="minorEastAsia" w:hAnsi="Calibri"/>
                <w:color w:val="021D49" w:themeColor="dark1"/>
                <w:kern w:val="24"/>
              </w:rPr>
              <w:t xml:space="preserve"> </w:t>
            </w:r>
            <w:r w:rsidRPr="00E54854">
              <w:rPr>
                <w:rFonts w:asciiTheme="minorHAnsi" w:eastAsiaTheme="minorEastAsia" w:hAnsi="Calibri"/>
                <w:color w:val="021D49" w:themeColor="dark1"/>
                <w:kern w:val="24"/>
              </w:rPr>
              <w:t xml:space="preserve">4 Unit </w:t>
            </w:r>
            <w:r w:rsidR="00A01970" w:rsidRPr="00E54854">
              <w:rPr>
                <w:rFonts w:asciiTheme="minorHAnsi" w:eastAsiaTheme="minorEastAsia" w:hAnsi="Calibri"/>
                <w:color w:val="021D49" w:themeColor="dark1"/>
                <w:kern w:val="24"/>
              </w:rPr>
              <w:t>Multifamily</w:t>
            </w:r>
          </w:p>
        </w:tc>
        <w:tc>
          <w:tcPr>
            <w:tcW w:w="4500" w:type="dxa"/>
          </w:tcPr>
          <w:p w14:paraId="7478FF78" w14:textId="64ACEAAC" w:rsidR="000D7FBD" w:rsidRPr="00E54854" w:rsidRDefault="00F72CEE" w:rsidP="000D7FBD">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kern w:val="24"/>
              </w:rPr>
            </w:pPr>
            <w:r w:rsidRPr="7DDA5DB8">
              <w:rPr>
                <w:rFonts w:asciiTheme="minorHAnsi" w:eastAsiaTheme="minorEastAsia" w:hAnsi="Calibri"/>
                <w:color w:val="021D49" w:themeColor="dark1"/>
                <w:kern w:val="24"/>
              </w:rPr>
              <w:t>66.6</w:t>
            </w:r>
          </w:p>
        </w:tc>
      </w:tr>
      <w:tr w:rsidR="00477BAE" w:rsidRPr="00E54854" w14:paraId="173A0993" w14:textId="77777777" w:rsidTr="31C53C33">
        <w:trPr>
          <w:trHeight w:val="220"/>
        </w:trPr>
        <w:tc>
          <w:tcPr>
            <w:cnfStyle w:val="001000000000" w:firstRow="0" w:lastRow="0" w:firstColumn="1" w:lastColumn="0" w:oddVBand="0" w:evenVBand="0" w:oddHBand="0" w:evenHBand="0" w:firstRowFirstColumn="0" w:firstRowLastColumn="0" w:lastRowFirstColumn="0" w:lastRowLastColumn="0"/>
            <w:tcW w:w="2682" w:type="dxa"/>
          </w:tcPr>
          <w:p w14:paraId="7AC6D0EF" w14:textId="5FB3188C" w:rsidR="00477BAE" w:rsidRPr="00E54854" w:rsidRDefault="00477BAE" w:rsidP="00477BAE">
            <w:pPr>
              <w:spacing w:after="0" w:line="240" w:lineRule="auto"/>
              <w:jc w:val="center"/>
              <w:textAlignment w:val="bottom"/>
              <w:rPr>
                <w:rFonts w:eastAsia="Times New Roman" w:cs="Arial"/>
              </w:rPr>
            </w:pPr>
            <w:r w:rsidRPr="00E54854">
              <w:rPr>
                <w:rFonts w:ascii="Calibri" w:eastAsia="Times New Roman" w:hAnsi="Calibri" w:cs="Calibri"/>
                <w:color w:val="000000"/>
                <w:kern w:val="24"/>
              </w:rPr>
              <w:t>Schools</w:t>
            </w:r>
          </w:p>
        </w:tc>
        <w:tc>
          <w:tcPr>
            <w:tcW w:w="4500" w:type="dxa"/>
          </w:tcPr>
          <w:p w14:paraId="384A58B6" w14:textId="33BCE8FE" w:rsidR="00477BAE" w:rsidRPr="00E54854" w:rsidRDefault="00477BAE" w:rsidP="00477BAE">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eastAsia="Times New Roman" w:cs="Arial"/>
              </w:rPr>
            </w:pPr>
            <w:r w:rsidRPr="00E54854">
              <w:rPr>
                <w:rFonts w:ascii="Calibri" w:eastAsia="Times New Roman" w:hAnsi="Calibri" w:cs="Calibri"/>
                <w:color w:val="000000"/>
                <w:kern w:val="24"/>
              </w:rPr>
              <w:t>66.9</w:t>
            </w:r>
          </w:p>
        </w:tc>
      </w:tr>
      <w:tr w:rsidR="00477BAE" w:rsidRPr="00E54854" w14:paraId="6EB9F474" w14:textId="77777777" w:rsidTr="31C53C33">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2682" w:type="dxa"/>
          </w:tcPr>
          <w:p w14:paraId="288DFC82" w14:textId="79611F7D" w:rsidR="00477BAE" w:rsidRPr="00E54854" w:rsidRDefault="00477BAE" w:rsidP="00477BAE">
            <w:pPr>
              <w:spacing w:after="0" w:line="240" w:lineRule="auto"/>
              <w:jc w:val="center"/>
              <w:textAlignment w:val="bottom"/>
              <w:rPr>
                <w:rFonts w:eastAsia="Times New Roman" w:cs="Arial"/>
              </w:rPr>
            </w:pPr>
            <w:r w:rsidRPr="00E54854">
              <w:rPr>
                <w:rFonts w:ascii="Calibri" w:eastAsia="Times New Roman" w:hAnsi="Calibri" w:cs="Calibri"/>
                <w:color w:val="000000"/>
                <w:kern w:val="24"/>
              </w:rPr>
              <w:t>Retail Store</w:t>
            </w:r>
          </w:p>
        </w:tc>
        <w:tc>
          <w:tcPr>
            <w:tcW w:w="4500" w:type="dxa"/>
          </w:tcPr>
          <w:p w14:paraId="6A1CD23A" w14:textId="0AE63016" w:rsidR="00477BAE" w:rsidRPr="00E54854" w:rsidRDefault="00477BAE" w:rsidP="00477BAE">
            <w:pPr>
              <w:spacing w:after="0" w:line="240" w:lineRule="auto"/>
              <w:jc w:val="center"/>
              <w:textAlignment w:val="bottom"/>
              <w:cnfStyle w:val="000000100000" w:firstRow="0" w:lastRow="0" w:firstColumn="0" w:lastColumn="0" w:oddVBand="0" w:evenVBand="0" w:oddHBand="1" w:evenHBand="0" w:firstRowFirstColumn="0" w:firstRowLastColumn="0" w:lastRowFirstColumn="0" w:lastRowLastColumn="0"/>
              <w:rPr>
                <w:rFonts w:eastAsia="Times New Roman" w:cs="Arial"/>
              </w:rPr>
            </w:pPr>
            <w:r w:rsidRPr="00E54854">
              <w:rPr>
                <w:rFonts w:ascii="Calibri" w:eastAsia="Times New Roman" w:hAnsi="Calibri" w:cs="Calibri"/>
                <w:color w:val="000000"/>
                <w:kern w:val="24"/>
              </w:rPr>
              <w:t>88.2</w:t>
            </w:r>
          </w:p>
        </w:tc>
      </w:tr>
      <w:tr w:rsidR="00477BAE" w:rsidRPr="00E54854" w14:paraId="62C15462" w14:textId="77777777" w:rsidTr="31C53C33">
        <w:trPr>
          <w:trHeight w:val="220"/>
        </w:trPr>
        <w:tc>
          <w:tcPr>
            <w:cnfStyle w:val="001000000000" w:firstRow="0" w:lastRow="0" w:firstColumn="1" w:lastColumn="0" w:oddVBand="0" w:evenVBand="0" w:oddHBand="0" w:evenHBand="0" w:firstRowFirstColumn="0" w:firstRowLastColumn="0" w:lastRowFirstColumn="0" w:lastRowLastColumn="0"/>
            <w:tcW w:w="2682" w:type="dxa"/>
          </w:tcPr>
          <w:p w14:paraId="155DA3E1" w14:textId="71F45547" w:rsidR="00477BAE" w:rsidRPr="00E54854" w:rsidDel="00477BAE" w:rsidRDefault="00477BAE" w:rsidP="00477BAE">
            <w:pPr>
              <w:spacing w:after="0" w:line="240" w:lineRule="auto"/>
              <w:jc w:val="center"/>
              <w:textAlignment w:val="bottom"/>
              <w:rPr>
                <w:rFonts w:ascii="Calibri" w:eastAsia="Times New Roman" w:hAnsi="Calibri" w:cs="Calibri"/>
                <w:color w:val="000000"/>
                <w:kern w:val="24"/>
              </w:rPr>
            </w:pPr>
            <w:r w:rsidRPr="00E54854">
              <w:rPr>
                <w:rFonts w:ascii="Calibri" w:eastAsia="Times New Roman" w:hAnsi="Calibri" w:cs="Calibri"/>
                <w:color w:val="000000"/>
                <w:kern w:val="24"/>
              </w:rPr>
              <w:t>Strip Mall</w:t>
            </w:r>
          </w:p>
        </w:tc>
        <w:tc>
          <w:tcPr>
            <w:tcW w:w="4500" w:type="dxa"/>
          </w:tcPr>
          <w:p w14:paraId="44649BFF" w14:textId="45786932" w:rsidR="00477BAE" w:rsidRPr="00E54854" w:rsidDel="00477BAE" w:rsidRDefault="00477BAE" w:rsidP="00477BAE">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24"/>
              </w:rPr>
            </w:pPr>
            <w:r w:rsidRPr="00E54854">
              <w:rPr>
                <w:rFonts w:ascii="Calibri" w:eastAsia="Times New Roman" w:hAnsi="Calibri" w:cs="Calibri"/>
                <w:color w:val="000000"/>
                <w:kern w:val="24"/>
              </w:rPr>
              <w:t>98.9</w:t>
            </w:r>
          </w:p>
        </w:tc>
      </w:tr>
      <w:tr w:rsidR="00477BAE" w:rsidRPr="00E54854" w14:paraId="77DACB71" w14:textId="77777777" w:rsidTr="31C53C33">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2682" w:type="dxa"/>
          </w:tcPr>
          <w:p w14:paraId="66761D52" w14:textId="1146464F" w:rsidR="00477BAE" w:rsidRPr="00E54854" w:rsidRDefault="00477BAE" w:rsidP="00477BAE">
            <w:pPr>
              <w:spacing w:after="0" w:line="240" w:lineRule="auto"/>
              <w:jc w:val="center"/>
              <w:textAlignment w:val="bottom"/>
              <w:rPr>
                <w:rFonts w:ascii="Calibri" w:eastAsia="Times New Roman" w:hAnsi="Calibri" w:cs="Calibri"/>
                <w:color w:val="000000"/>
                <w:kern w:val="24"/>
              </w:rPr>
            </w:pPr>
            <w:r w:rsidRPr="00E54854">
              <w:rPr>
                <w:rFonts w:ascii="Calibri" w:eastAsia="Times New Roman" w:hAnsi="Calibri" w:cs="Calibri"/>
                <w:color w:val="000000"/>
                <w:kern w:val="24"/>
              </w:rPr>
              <w:t>Hotel</w:t>
            </w:r>
          </w:p>
        </w:tc>
        <w:tc>
          <w:tcPr>
            <w:tcW w:w="4500" w:type="dxa"/>
          </w:tcPr>
          <w:p w14:paraId="5C4FAE33" w14:textId="5004048A" w:rsidR="00477BAE" w:rsidRPr="00E54854" w:rsidRDefault="00477BAE" w:rsidP="00477BAE">
            <w:pPr>
              <w:spacing w:after="0" w:line="240" w:lineRule="auto"/>
              <w:jc w:val="center"/>
              <w:textAlignment w:val="bottom"/>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24"/>
              </w:rPr>
            </w:pPr>
            <w:r w:rsidRPr="00E54854">
              <w:rPr>
                <w:rFonts w:ascii="Calibri" w:eastAsia="Times New Roman" w:hAnsi="Calibri" w:cs="Calibri"/>
                <w:color w:val="000000"/>
                <w:kern w:val="24"/>
              </w:rPr>
              <w:t>106.3</w:t>
            </w:r>
          </w:p>
        </w:tc>
      </w:tr>
      <w:tr w:rsidR="00477BAE" w:rsidRPr="00E54854" w14:paraId="73123E62" w14:textId="77777777" w:rsidTr="31C53C33">
        <w:trPr>
          <w:trHeight w:val="220"/>
        </w:trPr>
        <w:tc>
          <w:tcPr>
            <w:cnfStyle w:val="001000000000" w:firstRow="0" w:lastRow="0" w:firstColumn="1" w:lastColumn="0" w:oddVBand="0" w:evenVBand="0" w:oddHBand="0" w:evenHBand="0" w:firstRowFirstColumn="0" w:firstRowLastColumn="0" w:lastRowFirstColumn="0" w:lastRowLastColumn="0"/>
            <w:tcW w:w="2682" w:type="dxa"/>
          </w:tcPr>
          <w:p w14:paraId="4A2A39BA" w14:textId="3AA1A8A9" w:rsidR="00477BAE" w:rsidRPr="00E54854" w:rsidRDefault="00477BAE" w:rsidP="00477BAE">
            <w:pPr>
              <w:spacing w:after="0" w:line="240" w:lineRule="auto"/>
              <w:jc w:val="center"/>
              <w:textAlignment w:val="bottom"/>
              <w:rPr>
                <w:rFonts w:ascii="Calibri" w:eastAsia="Times New Roman" w:hAnsi="Calibri" w:cs="Calibri"/>
                <w:color w:val="000000"/>
                <w:kern w:val="24"/>
              </w:rPr>
            </w:pPr>
            <w:r w:rsidRPr="00E54854">
              <w:rPr>
                <w:rFonts w:ascii="Calibri" w:eastAsia="Times New Roman" w:hAnsi="Calibri" w:cs="Calibri"/>
                <w:color w:val="000000"/>
                <w:kern w:val="24"/>
              </w:rPr>
              <w:t>Clinic</w:t>
            </w:r>
          </w:p>
        </w:tc>
        <w:tc>
          <w:tcPr>
            <w:tcW w:w="4500" w:type="dxa"/>
          </w:tcPr>
          <w:p w14:paraId="50F5718E" w14:textId="66D022B9" w:rsidR="00477BAE" w:rsidRPr="00E54854" w:rsidRDefault="00477BAE" w:rsidP="00477BAE">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24"/>
              </w:rPr>
            </w:pPr>
            <w:r w:rsidRPr="00E54854">
              <w:rPr>
                <w:rFonts w:ascii="Calibri" w:eastAsia="Times New Roman" w:hAnsi="Calibri" w:cs="Calibri"/>
                <w:color w:val="000000"/>
                <w:kern w:val="24"/>
              </w:rPr>
              <w:t>158.2</w:t>
            </w:r>
          </w:p>
        </w:tc>
      </w:tr>
      <w:tr w:rsidR="00477BAE" w:rsidRPr="00E54854" w14:paraId="02B23177" w14:textId="77777777" w:rsidTr="31C53C33">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2682" w:type="dxa"/>
            <w:hideMark/>
          </w:tcPr>
          <w:p w14:paraId="6EE3E9DE" w14:textId="77777777" w:rsidR="00477BAE" w:rsidRPr="00E54854" w:rsidRDefault="00477BAE" w:rsidP="00477BAE">
            <w:pPr>
              <w:spacing w:after="0" w:line="240" w:lineRule="auto"/>
              <w:jc w:val="center"/>
              <w:textAlignment w:val="bottom"/>
              <w:rPr>
                <w:rFonts w:eastAsia="Times New Roman" w:cs="Arial"/>
              </w:rPr>
            </w:pPr>
            <w:r w:rsidRPr="00E54854">
              <w:rPr>
                <w:rFonts w:ascii="Calibri" w:eastAsia="Times New Roman" w:hAnsi="Calibri" w:cs="Calibri"/>
                <w:color w:val="000000"/>
                <w:kern w:val="24"/>
              </w:rPr>
              <w:t>Hospital</w:t>
            </w:r>
          </w:p>
        </w:tc>
        <w:tc>
          <w:tcPr>
            <w:tcW w:w="4500" w:type="dxa"/>
            <w:hideMark/>
          </w:tcPr>
          <w:p w14:paraId="388FE0DC" w14:textId="77777777" w:rsidR="00477BAE" w:rsidRPr="00E54854" w:rsidRDefault="00477BAE" w:rsidP="00477BAE">
            <w:pPr>
              <w:spacing w:after="0" w:line="240" w:lineRule="auto"/>
              <w:jc w:val="center"/>
              <w:textAlignment w:val="bottom"/>
              <w:cnfStyle w:val="000000100000" w:firstRow="0" w:lastRow="0" w:firstColumn="0" w:lastColumn="0" w:oddVBand="0" w:evenVBand="0" w:oddHBand="1" w:evenHBand="0" w:firstRowFirstColumn="0" w:firstRowLastColumn="0" w:lastRowFirstColumn="0" w:lastRowLastColumn="0"/>
              <w:rPr>
                <w:rFonts w:eastAsia="Times New Roman" w:cs="Arial"/>
              </w:rPr>
            </w:pPr>
            <w:r w:rsidRPr="00E54854">
              <w:rPr>
                <w:rFonts w:ascii="Calibri" w:eastAsia="Times New Roman" w:hAnsi="Calibri" w:cs="Calibri"/>
                <w:color w:val="000000"/>
                <w:kern w:val="24"/>
              </w:rPr>
              <w:t>175.1</w:t>
            </w:r>
          </w:p>
        </w:tc>
      </w:tr>
      <w:tr w:rsidR="00477BAE" w:rsidRPr="00E54854" w14:paraId="35106298" w14:textId="77777777" w:rsidTr="31C53C33">
        <w:trPr>
          <w:trHeight w:val="220"/>
        </w:trPr>
        <w:tc>
          <w:tcPr>
            <w:cnfStyle w:val="001000000000" w:firstRow="0" w:lastRow="0" w:firstColumn="1" w:lastColumn="0" w:oddVBand="0" w:evenVBand="0" w:oddHBand="0" w:evenHBand="0" w:firstRowFirstColumn="0" w:firstRowLastColumn="0" w:lastRowFirstColumn="0" w:lastRowLastColumn="0"/>
            <w:tcW w:w="2682" w:type="dxa"/>
          </w:tcPr>
          <w:p w14:paraId="09205808" w14:textId="0535C660" w:rsidR="00477BAE" w:rsidRPr="00E54854" w:rsidRDefault="00477BAE" w:rsidP="00477BAE">
            <w:pPr>
              <w:spacing w:after="0" w:line="240" w:lineRule="auto"/>
              <w:jc w:val="center"/>
              <w:textAlignment w:val="bottom"/>
              <w:rPr>
                <w:rFonts w:eastAsia="Times New Roman" w:cs="Arial"/>
              </w:rPr>
            </w:pPr>
            <w:r w:rsidRPr="00E54854">
              <w:rPr>
                <w:rFonts w:ascii="Calibri" w:eastAsia="Times New Roman" w:hAnsi="Calibri" w:cs="Calibri"/>
                <w:color w:val="000000"/>
                <w:kern w:val="24"/>
              </w:rPr>
              <w:t>Restaurant</w:t>
            </w:r>
          </w:p>
        </w:tc>
        <w:tc>
          <w:tcPr>
            <w:tcW w:w="4500" w:type="dxa"/>
          </w:tcPr>
          <w:p w14:paraId="38DDEE6B" w14:textId="766B9FAA" w:rsidR="00477BAE" w:rsidRPr="00E54854" w:rsidRDefault="00477BAE" w:rsidP="00477BAE">
            <w:pPr>
              <w:spacing w:after="0" w:line="240" w:lineRule="auto"/>
              <w:jc w:val="center"/>
              <w:textAlignment w:val="bottom"/>
              <w:cnfStyle w:val="000000000000" w:firstRow="0" w:lastRow="0" w:firstColumn="0" w:lastColumn="0" w:oddVBand="0" w:evenVBand="0" w:oddHBand="0" w:evenHBand="0" w:firstRowFirstColumn="0" w:firstRowLastColumn="0" w:lastRowFirstColumn="0" w:lastRowLastColumn="0"/>
              <w:rPr>
                <w:rFonts w:eastAsia="Times New Roman" w:cs="Arial"/>
              </w:rPr>
            </w:pPr>
            <w:r w:rsidRPr="00E54854">
              <w:rPr>
                <w:rFonts w:ascii="Calibri" w:eastAsia="Times New Roman" w:hAnsi="Calibri" w:cs="Calibri"/>
                <w:color w:val="000000"/>
                <w:kern w:val="24"/>
              </w:rPr>
              <w:t>525.9</w:t>
            </w:r>
          </w:p>
        </w:tc>
      </w:tr>
      <w:tr w:rsidR="00477BAE" w:rsidRPr="00E54854" w14:paraId="49CED490" w14:textId="77777777" w:rsidTr="31C53C33">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2682" w:type="dxa"/>
            <w:hideMark/>
          </w:tcPr>
          <w:p w14:paraId="0D330A84" w14:textId="77777777" w:rsidR="00477BAE" w:rsidRPr="00E54854" w:rsidRDefault="00477BAE" w:rsidP="00477BAE">
            <w:pPr>
              <w:spacing w:after="0" w:line="240" w:lineRule="auto"/>
              <w:jc w:val="center"/>
              <w:textAlignment w:val="bottom"/>
              <w:rPr>
                <w:rFonts w:eastAsia="Times New Roman" w:cs="Arial"/>
              </w:rPr>
            </w:pPr>
            <w:r w:rsidRPr="00E54854">
              <w:rPr>
                <w:rFonts w:ascii="Calibri" w:eastAsia="Times New Roman" w:hAnsi="Calibri" w:cs="Calibri"/>
                <w:color w:val="000000"/>
                <w:kern w:val="24"/>
              </w:rPr>
              <w:t>Fast Food</w:t>
            </w:r>
          </w:p>
        </w:tc>
        <w:tc>
          <w:tcPr>
            <w:tcW w:w="4500" w:type="dxa"/>
            <w:hideMark/>
          </w:tcPr>
          <w:p w14:paraId="7A271EA0" w14:textId="77777777" w:rsidR="00477BAE" w:rsidRPr="00E54854" w:rsidRDefault="00477BAE" w:rsidP="00477BAE">
            <w:pPr>
              <w:spacing w:after="0" w:line="240" w:lineRule="auto"/>
              <w:jc w:val="center"/>
              <w:textAlignment w:val="bottom"/>
              <w:cnfStyle w:val="000000100000" w:firstRow="0" w:lastRow="0" w:firstColumn="0" w:lastColumn="0" w:oddVBand="0" w:evenVBand="0" w:oddHBand="1" w:evenHBand="0" w:firstRowFirstColumn="0" w:firstRowLastColumn="0" w:lastRowFirstColumn="0" w:lastRowLastColumn="0"/>
              <w:rPr>
                <w:rFonts w:eastAsia="Times New Roman" w:cs="Arial"/>
              </w:rPr>
            </w:pPr>
            <w:r w:rsidRPr="00E54854">
              <w:rPr>
                <w:rFonts w:ascii="Calibri" w:eastAsia="Times New Roman" w:hAnsi="Calibri" w:cs="Calibri"/>
                <w:color w:val="000000"/>
                <w:kern w:val="24"/>
              </w:rPr>
              <w:t>740.8</w:t>
            </w:r>
          </w:p>
        </w:tc>
      </w:tr>
    </w:tbl>
    <w:p w14:paraId="5A8274DD" w14:textId="0F2129E4" w:rsidR="005206BE" w:rsidRDefault="005206BE" w:rsidP="00F768D3">
      <w:pPr>
        <w:pStyle w:val="Heading3"/>
        <w:spacing w:before="240"/>
      </w:pPr>
      <w:r>
        <w:t>Base Code EUI</w:t>
      </w:r>
    </w:p>
    <w:p w14:paraId="6B44BBD4" w14:textId="5BC4127F" w:rsidR="00A22C72" w:rsidRDefault="00165032" w:rsidP="00165032">
      <w:r>
        <w:t xml:space="preserve">Base code </w:t>
      </w:r>
      <w:r w:rsidR="00E26412">
        <w:t xml:space="preserve">EUI </w:t>
      </w:r>
      <w:r>
        <w:t xml:space="preserve">is a forecast of energy use </w:t>
      </w:r>
      <w:r w:rsidR="00154DAE">
        <w:t xml:space="preserve">per square foot </w:t>
      </w:r>
      <w:r w:rsidR="003A415C">
        <w:t>over time</w:t>
      </w:r>
      <w:r w:rsidR="00482507">
        <w:t xml:space="preserve">, </w:t>
      </w:r>
      <w:proofErr w:type="gramStart"/>
      <w:r w:rsidR="00482507">
        <w:t>taking into account</w:t>
      </w:r>
      <w:proofErr w:type="gramEnd"/>
      <w:r w:rsidR="00482507">
        <w:t xml:space="preserve"> the effective dates of</w:t>
      </w:r>
      <w:r w:rsidR="00C40E22">
        <w:t xml:space="preserve"> </w:t>
      </w:r>
      <w:r>
        <w:t xml:space="preserve">future versions </w:t>
      </w:r>
      <w:r w:rsidR="00700599">
        <w:t xml:space="preserve">of the </w:t>
      </w:r>
      <w:r w:rsidR="00EF78CA">
        <w:t>base</w:t>
      </w:r>
      <w:r w:rsidR="00700599">
        <w:t xml:space="preserve"> energy code. </w:t>
      </w:r>
      <w:r w:rsidR="00EF1CBB">
        <w:t xml:space="preserve">The base code EUI is expected to decline over time as </w:t>
      </w:r>
      <w:r w:rsidR="00EF78CA">
        <w:t>the base</w:t>
      </w:r>
      <w:r w:rsidR="00EF1CBB">
        <w:t xml:space="preserve"> energy code becomes more stringent. </w:t>
      </w:r>
    </w:p>
    <w:p w14:paraId="6B811C46" w14:textId="444413D2" w:rsidR="00700599" w:rsidRDefault="009627F2" w:rsidP="00165032">
      <w:r>
        <w:t xml:space="preserve">PNNL has modeled site energy index over time for each state, taking into consideration strengthening or weakening amendments that are added to the </w:t>
      </w:r>
      <w:r w:rsidR="00475843">
        <w:t xml:space="preserve">model </w:t>
      </w:r>
      <w:r>
        <w:t>building energy code.</w:t>
      </w:r>
      <w:r w:rsidR="00D02791">
        <w:rPr>
          <w:rStyle w:val="FootnoteReference"/>
        </w:rPr>
        <w:footnoteReference w:id="12"/>
      </w:r>
      <w:r w:rsidR="00C3606B">
        <w:t xml:space="preserve"> </w:t>
      </w:r>
      <w:r>
        <w:t xml:space="preserve">Using this data, </w:t>
      </w:r>
      <w:r w:rsidR="00700599">
        <w:t>the percent decline</w:t>
      </w:r>
      <w:r w:rsidR="00B55726">
        <w:t xml:space="preserve"> in site energy index</w:t>
      </w:r>
      <w:r w:rsidR="00700599">
        <w:t xml:space="preserve"> </w:t>
      </w:r>
      <w:r w:rsidR="00B6221D">
        <w:t xml:space="preserve">is calculated </w:t>
      </w:r>
      <w:r w:rsidR="00700599">
        <w:t xml:space="preserve">over the past three </w:t>
      </w:r>
      <w:r w:rsidR="0099403A">
        <w:t xml:space="preserve">3-year </w:t>
      </w:r>
      <w:r w:rsidR="00700599">
        <w:t xml:space="preserve">code cycles (past nine years) and </w:t>
      </w:r>
      <w:r w:rsidR="00A4129B">
        <w:t xml:space="preserve">applied </w:t>
      </w:r>
      <w:r w:rsidR="00700599">
        <w:t xml:space="preserve">to each future code cycle. </w:t>
      </w:r>
    </w:p>
    <w:p w14:paraId="6F699932" w14:textId="254BE79C" w:rsidR="005D6380" w:rsidRDefault="00700599" w:rsidP="00F65F8F">
      <w:pPr>
        <w:spacing w:before="240"/>
      </w:pPr>
      <w:r>
        <w:t xml:space="preserve">The estimated site energy index is then applied to the </w:t>
      </w:r>
      <w:r w:rsidR="00994906">
        <w:t>ASHRAE 90.1-2004</w:t>
      </w:r>
      <w:r>
        <w:t xml:space="preserve"> EUI as estimated by </w:t>
      </w:r>
      <w:r w:rsidR="00B55726">
        <w:t>PNNL</w:t>
      </w:r>
      <w:r w:rsidR="00477BAE">
        <w:t xml:space="preserve"> </w:t>
      </w:r>
      <w:r>
        <w:t>for each building type</w:t>
      </w:r>
      <w:r w:rsidR="00E30572">
        <w:t xml:space="preserve"> (</w:t>
      </w:r>
      <w:r w:rsidR="00CD4E29">
        <w:t xml:space="preserve">for </w:t>
      </w:r>
      <w:r w:rsidR="00E30572">
        <w:t>both residential and commercial).</w:t>
      </w:r>
      <w:r w:rsidR="005C3D1B">
        <w:t xml:space="preserve"> </w:t>
      </w:r>
      <w:r w:rsidR="003770CA">
        <w:t xml:space="preserve">Table X </w:t>
      </w:r>
      <w:r w:rsidR="005D6380">
        <w:t xml:space="preserve">provides the residential and commercial site </w:t>
      </w:r>
      <w:r w:rsidR="000963A6">
        <w:t xml:space="preserve">energy </w:t>
      </w:r>
      <w:r w:rsidR="005D6380">
        <w:t xml:space="preserve">index for base code in each of the following </w:t>
      </w:r>
      <w:r w:rsidR="00B55726">
        <w:t xml:space="preserve">projected code update </w:t>
      </w:r>
      <w:r w:rsidR="005D6380">
        <w:t>cycles</w:t>
      </w:r>
      <w:r w:rsidR="00B55726">
        <w:t xml:space="preserve"> for Illinois</w:t>
      </w:r>
      <w:r w:rsidR="005D6380">
        <w:t xml:space="preserve">. </w:t>
      </w:r>
    </w:p>
    <w:p w14:paraId="6A37E0B6" w14:textId="1CD19B12" w:rsidR="00921EA6" w:rsidRDefault="00921EA6" w:rsidP="00921EA6">
      <w:pPr>
        <w:pStyle w:val="Caption"/>
        <w:keepNext/>
      </w:pPr>
      <w:bookmarkStart w:id="8" w:name="_Ref144034534"/>
      <w:r>
        <w:t xml:space="preserve">Table </w:t>
      </w:r>
      <w:r>
        <w:fldChar w:fldCharType="begin"/>
      </w:r>
      <w:r>
        <w:instrText>SEQ Table \* ARABIC</w:instrText>
      </w:r>
      <w:r>
        <w:fldChar w:fldCharType="separate"/>
      </w:r>
      <w:r w:rsidR="00CC428D">
        <w:rPr>
          <w:noProof/>
        </w:rPr>
        <w:t>4</w:t>
      </w:r>
      <w:r>
        <w:fldChar w:fldCharType="end"/>
      </w:r>
      <w:bookmarkEnd w:id="8"/>
      <w:r w:rsidR="005D6380">
        <w:rPr>
          <w:noProof/>
        </w:rPr>
        <w:t>. Site energy index for base code – 2024 and forward</w:t>
      </w:r>
    </w:p>
    <w:tbl>
      <w:tblPr>
        <w:tblStyle w:val="ListTable3-Accent5"/>
        <w:tblW w:w="6848" w:type="dxa"/>
        <w:tblLook w:val="0620" w:firstRow="1" w:lastRow="0" w:firstColumn="0" w:lastColumn="0" w:noHBand="1" w:noVBand="1"/>
      </w:tblPr>
      <w:tblGrid>
        <w:gridCol w:w="1764"/>
        <w:gridCol w:w="2542"/>
        <w:gridCol w:w="2542"/>
      </w:tblGrid>
      <w:tr w:rsidR="00CF5FF3" w:rsidRPr="00CF5FF3" w14:paraId="50AD7B12" w14:textId="77777777" w:rsidTr="007D4D20">
        <w:trPr>
          <w:cnfStyle w:val="100000000000" w:firstRow="1" w:lastRow="0" w:firstColumn="0" w:lastColumn="0" w:oddVBand="0" w:evenVBand="0" w:oddHBand="0" w:evenHBand="0" w:firstRowFirstColumn="0" w:firstRowLastColumn="0" w:lastRowFirstColumn="0" w:lastRowLastColumn="0"/>
          <w:trHeight w:val="26"/>
        </w:trPr>
        <w:tc>
          <w:tcPr>
            <w:tcW w:w="1764" w:type="dxa"/>
            <w:tcBorders>
              <w:bottom w:val="single" w:sz="4" w:space="0" w:color="auto"/>
            </w:tcBorders>
            <w:hideMark/>
          </w:tcPr>
          <w:p w14:paraId="0BC70A87" w14:textId="6C3E5F8F" w:rsidR="00297F62" w:rsidRPr="00CE7A3C" w:rsidRDefault="004F3D95">
            <w:pPr>
              <w:spacing w:after="0" w:line="240" w:lineRule="auto"/>
              <w:jc w:val="center"/>
              <w:rPr>
                <w:rFonts w:asciiTheme="minorHAnsi" w:hAnsiTheme="minorHAnsi" w:cstheme="minorHAnsi"/>
              </w:rPr>
            </w:pPr>
            <w:r w:rsidRPr="00643833">
              <w:rPr>
                <w:rFonts w:asciiTheme="minorHAnsi" w:hAnsiTheme="minorHAnsi" w:cstheme="minorHAnsi"/>
              </w:rPr>
              <w:t>Base Code</w:t>
            </w:r>
            <w:r w:rsidR="00297F62" w:rsidRPr="00CE7A3C">
              <w:rPr>
                <w:rFonts w:asciiTheme="minorHAnsi" w:hAnsiTheme="minorHAnsi" w:cstheme="minorHAnsi"/>
              </w:rPr>
              <w:t xml:space="preserve"> Version</w:t>
            </w:r>
          </w:p>
        </w:tc>
        <w:tc>
          <w:tcPr>
            <w:tcW w:w="2542" w:type="dxa"/>
            <w:tcBorders>
              <w:bottom w:val="single" w:sz="4" w:space="0" w:color="auto"/>
            </w:tcBorders>
            <w:hideMark/>
          </w:tcPr>
          <w:p w14:paraId="6DEB83B4" w14:textId="1B546B2F" w:rsidR="00297F62" w:rsidRPr="00CE7A3C" w:rsidRDefault="00297F62">
            <w:pPr>
              <w:spacing w:after="0" w:line="240" w:lineRule="auto"/>
              <w:jc w:val="center"/>
              <w:rPr>
                <w:rFonts w:asciiTheme="minorHAnsi" w:hAnsiTheme="minorHAnsi" w:cstheme="minorHAnsi"/>
              </w:rPr>
            </w:pPr>
            <w:r w:rsidRPr="00643833">
              <w:rPr>
                <w:rFonts w:asciiTheme="minorHAnsi" w:hAnsiTheme="minorHAnsi" w:cstheme="minorHAnsi"/>
              </w:rPr>
              <w:t>Residential Site Energy Index</w:t>
            </w:r>
            <w:r w:rsidR="00055CD3">
              <w:rPr>
                <w:rFonts w:asciiTheme="minorHAnsi" w:hAnsiTheme="minorHAnsi" w:cstheme="minorHAnsi"/>
              </w:rPr>
              <w:t xml:space="preserve"> </w:t>
            </w:r>
          </w:p>
        </w:tc>
        <w:tc>
          <w:tcPr>
            <w:tcW w:w="2542" w:type="dxa"/>
            <w:tcBorders>
              <w:bottom w:val="single" w:sz="4" w:space="0" w:color="auto"/>
            </w:tcBorders>
            <w:hideMark/>
          </w:tcPr>
          <w:p w14:paraId="7F288619" w14:textId="77777777" w:rsidR="00297F62" w:rsidRPr="00CE7A3C" w:rsidRDefault="00297F62">
            <w:pPr>
              <w:spacing w:after="0" w:line="240" w:lineRule="auto"/>
              <w:jc w:val="center"/>
              <w:rPr>
                <w:rFonts w:asciiTheme="minorHAnsi" w:hAnsiTheme="minorHAnsi" w:cstheme="minorHAnsi"/>
              </w:rPr>
            </w:pPr>
            <w:r w:rsidRPr="00643833">
              <w:rPr>
                <w:rFonts w:asciiTheme="minorHAnsi" w:hAnsiTheme="minorHAnsi" w:cstheme="minorHAnsi"/>
              </w:rPr>
              <w:t>Commercial Site Energy Index</w:t>
            </w:r>
          </w:p>
        </w:tc>
      </w:tr>
      <w:tr w:rsidR="00CF5FF3" w:rsidRPr="00CF5FF3" w14:paraId="316A0278" w14:textId="77777777" w:rsidTr="007D4D20">
        <w:trPr>
          <w:trHeight w:val="26"/>
        </w:trPr>
        <w:tc>
          <w:tcPr>
            <w:tcW w:w="1764" w:type="dxa"/>
            <w:tcBorders>
              <w:top w:val="single" w:sz="4" w:space="0" w:color="auto"/>
              <w:left w:val="single" w:sz="4" w:space="0" w:color="auto"/>
              <w:bottom w:val="single" w:sz="4" w:space="0" w:color="auto"/>
              <w:right w:val="single" w:sz="4" w:space="0" w:color="auto"/>
            </w:tcBorders>
            <w:hideMark/>
          </w:tcPr>
          <w:p w14:paraId="2A574379" w14:textId="77777777" w:rsidR="00297F62" w:rsidRPr="00CE7A3C" w:rsidRDefault="00297F62">
            <w:pPr>
              <w:spacing w:after="0" w:line="240" w:lineRule="auto"/>
              <w:jc w:val="center"/>
              <w:rPr>
                <w:rFonts w:asciiTheme="minorHAnsi" w:hAnsiTheme="minorHAnsi" w:cstheme="minorHAnsi"/>
              </w:rPr>
            </w:pPr>
            <w:r w:rsidRPr="00CE7A3C">
              <w:rPr>
                <w:rFonts w:asciiTheme="minorHAnsi" w:hAnsiTheme="minorHAnsi" w:cstheme="minorHAnsi"/>
              </w:rPr>
              <w:t>2024</w:t>
            </w:r>
          </w:p>
        </w:tc>
        <w:tc>
          <w:tcPr>
            <w:tcW w:w="2542" w:type="dxa"/>
            <w:tcBorders>
              <w:top w:val="single" w:sz="4" w:space="0" w:color="auto"/>
              <w:left w:val="single" w:sz="4" w:space="0" w:color="auto"/>
              <w:bottom w:val="single" w:sz="4" w:space="0" w:color="auto"/>
              <w:right w:val="single" w:sz="4" w:space="0" w:color="auto"/>
            </w:tcBorders>
            <w:hideMark/>
          </w:tcPr>
          <w:p w14:paraId="70C43BF1" w14:textId="359577E8" w:rsidR="00297F62" w:rsidRPr="00CE7A3C" w:rsidRDefault="00F35924">
            <w:pPr>
              <w:spacing w:after="0" w:line="240" w:lineRule="auto"/>
              <w:jc w:val="center"/>
              <w:rPr>
                <w:rFonts w:asciiTheme="minorHAnsi" w:hAnsiTheme="minorHAnsi" w:cstheme="minorHAnsi"/>
              </w:rPr>
            </w:pPr>
            <w:r w:rsidRPr="00CF5FF3">
              <w:rPr>
                <w:rFonts w:asciiTheme="minorHAnsi" w:hAnsiTheme="minorHAnsi" w:cstheme="minorHAnsi"/>
              </w:rPr>
              <w:t>0.6</w:t>
            </w:r>
            <w:r w:rsidR="00A477D3">
              <w:rPr>
                <w:rFonts w:asciiTheme="minorHAnsi" w:hAnsiTheme="minorHAnsi" w:cstheme="minorHAnsi"/>
              </w:rPr>
              <w:t>4</w:t>
            </w:r>
          </w:p>
        </w:tc>
        <w:tc>
          <w:tcPr>
            <w:tcW w:w="2542" w:type="dxa"/>
            <w:tcBorders>
              <w:top w:val="single" w:sz="4" w:space="0" w:color="auto"/>
              <w:left w:val="single" w:sz="4" w:space="0" w:color="auto"/>
              <w:bottom w:val="single" w:sz="4" w:space="0" w:color="auto"/>
              <w:right w:val="single" w:sz="4" w:space="0" w:color="auto"/>
            </w:tcBorders>
            <w:hideMark/>
          </w:tcPr>
          <w:p w14:paraId="333C753A" w14:textId="5D050DEC" w:rsidR="00297F62" w:rsidRPr="00CE7A3C" w:rsidRDefault="001B1FE7" w:rsidP="001B1FE7">
            <w:pPr>
              <w:spacing w:after="0" w:line="240" w:lineRule="auto"/>
              <w:jc w:val="center"/>
              <w:rPr>
                <w:rFonts w:asciiTheme="minorHAnsi" w:eastAsia="Times New Roman" w:hAnsiTheme="minorHAnsi" w:cstheme="minorHAnsi"/>
                <w:color w:val="000000"/>
              </w:rPr>
            </w:pPr>
            <w:r w:rsidRPr="00CF5FF3">
              <w:rPr>
                <w:rFonts w:asciiTheme="minorHAnsi" w:hAnsiTheme="minorHAnsi" w:cstheme="minorHAnsi"/>
                <w:color w:val="000000"/>
              </w:rPr>
              <w:t>0.61</w:t>
            </w:r>
          </w:p>
        </w:tc>
      </w:tr>
      <w:tr w:rsidR="00CF5FF3" w:rsidRPr="00CF5FF3" w14:paraId="2928C66E" w14:textId="77777777" w:rsidTr="007D4D20">
        <w:trPr>
          <w:trHeight w:val="26"/>
        </w:trPr>
        <w:tc>
          <w:tcPr>
            <w:tcW w:w="1764" w:type="dxa"/>
            <w:tcBorders>
              <w:top w:val="single" w:sz="4" w:space="0" w:color="auto"/>
              <w:left w:val="single" w:sz="4" w:space="0" w:color="auto"/>
              <w:bottom w:val="single" w:sz="4" w:space="0" w:color="auto"/>
              <w:right w:val="single" w:sz="4" w:space="0" w:color="auto"/>
            </w:tcBorders>
            <w:hideMark/>
          </w:tcPr>
          <w:p w14:paraId="4AED8B9C" w14:textId="47014A6C" w:rsidR="00297F62" w:rsidRPr="00CE7A3C" w:rsidRDefault="00297F62">
            <w:pPr>
              <w:spacing w:after="0" w:line="240" w:lineRule="auto"/>
              <w:jc w:val="center"/>
              <w:rPr>
                <w:rFonts w:asciiTheme="minorHAnsi" w:hAnsiTheme="minorHAnsi" w:cstheme="minorHAnsi"/>
              </w:rPr>
            </w:pPr>
            <w:r w:rsidRPr="00CE7A3C">
              <w:rPr>
                <w:rFonts w:asciiTheme="minorHAnsi" w:hAnsiTheme="minorHAnsi" w:cstheme="minorHAnsi"/>
              </w:rPr>
              <w:t>202</w:t>
            </w:r>
            <w:r w:rsidR="00056E27" w:rsidRPr="00CF5FF3">
              <w:rPr>
                <w:rFonts w:asciiTheme="minorHAnsi" w:hAnsiTheme="minorHAnsi" w:cstheme="minorHAnsi"/>
              </w:rPr>
              <w:t>7</w:t>
            </w:r>
          </w:p>
        </w:tc>
        <w:tc>
          <w:tcPr>
            <w:tcW w:w="2542" w:type="dxa"/>
            <w:tcBorders>
              <w:top w:val="single" w:sz="4" w:space="0" w:color="auto"/>
              <w:left w:val="single" w:sz="4" w:space="0" w:color="auto"/>
              <w:bottom w:val="single" w:sz="4" w:space="0" w:color="auto"/>
              <w:right w:val="single" w:sz="4" w:space="0" w:color="auto"/>
            </w:tcBorders>
            <w:hideMark/>
          </w:tcPr>
          <w:p w14:paraId="1611CD98" w14:textId="0C3B2750" w:rsidR="00297F62" w:rsidRPr="00CE7A3C" w:rsidRDefault="00CF5FF3">
            <w:pPr>
              <w:spacing w:after="0" w:line="240" w:lineRule="auto"/>
              <w:jc w:val="center"/>
              <w:rPr>
                <w:rFonts w:asciiTheme="minorHAnsi" w:hAnsiTheme="minorHAnsi" w:cstheme="minorHAnsi"/>
              </w:rPr>
            </w:pPr>
            <w:r w:rsidRPr="00CF5FF3">
              <w:rPr>
                <w:rFonts w:asciiTheme="minorHAnsi" w:hAnsiTheme="minorHAnsi" w:cstheme="minorHAnsi"/>
              </w:rPr>
              <w:t>0.</w:t>
            </w:r>
            <w:r w:rsidR="00A477D3">
              <w:rPr>
                <w:rFonts w:asciiTheme="minorHAnsi" w:hAnsiTheme="minorHAnsi" w:cstheme="minorHAnsi"/>
              </w:rPr>
              <w:t>60</w:t>
            </w:r>
          </w:p>
        </w:tc>
        <w:tc>
          <w:tcPr>
            <w:tcW w:w="2542" w:type="dxa"/>
            <w:tcBorders>
              <w:top w:val="single" w:sz="4" w:space="0" w:color="auto"/>
              <w:left w:val="single" w:sz="4" w:space="0" w:color="auto"/>
              <w:bottom w:val="single" w:sz="4" w:space="0" w:color="auto"/>
              <w:right w:val="single" w:sz="4" w:space="0" w:color="auto"/>
            </w:tcBorders>
            <w:hideMark/>
          </w:tcPr>
          <w:p w14:paraId="4409059A" w14:textId="77121C04" w:rsidR="00297F62" w:rsidRPr="00CE7A3C" w:rsidRDefault="004F3D95" w:rsidP="004F3D95">
            <w:pPr>
              <w:spacing w:after="0" w:line="240" w:lineRule="auto"/>
              <w:jc w:val="center"/>
              <w:rPr>
                <w:rFonts w:asciiTheme="minorHAnsi" w:eastAsia="Times New Roman" w:hAnsiTheme="minorHAnsi" w:cstheme="minorHAnsi"/>
                <w:color w:val="000000"/>
              </w:rPr>
            </w:pPr>
            <w:r w:rsidRPr="00CF5FF3">
              <w:rPr>
                <w:rFonts w:asciiTheme="minorHAnsi" w:hAnsiTheme="minorHAnsi" w:cstheme="minorHAnsi"/>
                <w:color w:val="000000"/>
              </w:rPr>
              <w:t>0.59</w:t>
            </w:r>
          </w:p>
        </w:tc>
      </w:tr>
      <w:tr w:rsidR="00CF5FF3" w:rsidRPr="00CF5FF3" w14:paraId="5910BF95" w14:textId="77777777" w:rsidTr="007D4D20">
        <w:trPr>
          <w:trHeight w:val="26"/>
        </w:trPr>
        <w:tc>
          <w:tcPr>
            <w:tcW w:w="1764" w:type="dxa"/>
            <w:tcBorders>
              <w:top w:val="single" w:sz="4" w:space="0" w:color="auto"/>
              <w:left w:val="single" w:sz="4" w:space="0" w:color="auto"/>
              <w:bottom w:val="single" w:sz="4" w:space="0" w:color="auto"/>
              <w:right w:val="single" w:sz="4" w:space="0" w:color="auto"/>
            </w:tcBorders>
            <w:hideMark/>
          </w:tcPr>
          <w:p w14:paraId="1C512981" w14:textId="77EE2F14" w:rsidR="00297F62" w:rsidRPr="00CE7A3C" w:rsidRDefault="00297F62">
            <w:pPr>
              <w:spacing w:after="0" w:line="240" w:lineRule="auto"/>
              <w:jc w:val="center"/>
              <w:rPr>
                <w:rFonts w:asciiTheme="minorHAnsi" w:hAnsiTheme="minorHAnsi" w:cstheme="minorHAnsi"/>
              </w:rPr>
            </w:pPr>
            <w:r w:rsidRPr="00CE7A3C">
              <w:rPr>
                <w:rFonts w:asciiTheme="minorHAnsi" w:hAnsiTheme="minorHAnsi" w:cstheme="minorHAnsi"/>
              </w:rPr>
              <w:t>20</w:t>
            </w:r>
            <w:r w:rsidR="00056E27" w:rsidRPr="00CF5FF3">
              <w:rPr>
                <w:rFonts w:asciiTheme="minorHAnsi" w:hAnsiTheme="minorHAnsi" w:cstheme="minorHAnsi"/>
              </w:rPr>
              <w:t>30</w:t>
            </w:r>
          </w:p>
        </w:tc>
        <w:tc>
          <w:tcPr>
            <w:tcW w:w="2542" w:type="dxa"/>
            <w:tcBorders>
              <w:top w:val="single" w:sz="4" w:space="0" w:color="auto"/>
              <w:left w:val="single" w:sz="4" w:space="0" w:color="auto"/>
              <w:bottom w:val="single" w:sz="4" w:space="0" w:color="auto"/>
              <w:right w:val="single" w:sz="4" w:space="0" w:color="auto"/>
            </w:tcBorders>
            <w:hideMark/>
          </w:tcPr>
          <w:p w14:paraId="70B1EE89" w14:textId="3619759D" w:rsidR="00297F62" w:rsidRPr="00CE7A3C" w:rsidRDefault="00297F62">
            <w:pPr>
              <w:spacing w:after="0" w:line="240" w:lineRule="auto"/>
              <w:jc w:val="center"/>
              <w:rPr>
                <w:rFonts w:asciiTheme="minorHAnsi" w:hAnsiTheme="minorHAnsi" w:cstheme="minorHAnsi"/>
              </w:rPr>
            </w:pPr>
            <w:r w:rsidRPr="00CE7A3C">
              <w:rPr>
                <w:rFonts w:asciiTheme="minorHAnsi" w:hAnsiTheme="minorHAnsi" w:cstheme="minorHAnsi"/>
              </w:rPr>
              <w:t>0.</w:t>
            </w:r>
            <w:r w:rsidR="00CF5FF3" w:rsidRPr="00CF5FF3">
              <w:rPr>
                <w:rFonts w:asciiTheme="minorHAnsi" w:hAnsiTheme="minorHAnsi" w:cstheme="minorHAnsi"/>
              </w:rPr>
              <w:t>5</w:t>
            </w:r>
            <w:r w:rsidR="00A477D3">
              <w:rPr>
                <w:rFonts w:asciiTheme="minorHAnsi" w:hAnsiTheme="minorHAnsi" w:cstheme="minorHAnsi"/>
              </w:rPr>
              <w:t>6</w:t>
            </w:r>
          </w:p>
        </w:tc>
        <w:tc>
          <w:tcPr>
            <w:tcW w:w="2542" w:type="dxa"/>
            <w:tcBorders>
              <w:top w:val="single" w:sz="4" w:space="0" w:color="auto"/>
              <w:left w:val="single" w:sz="4" w:space="0" w:color="auto"/>
              <w:bottom w:val="single" w:sz="4" w:space="0" w:color="auto"/>
              <w:right w:val="single" w:sz="4" w:space="0" w:color="auto"/>
            </w:tcBorders>
            <w:hideMark/>
          </w:tcPr>
          <w:p w14:paraId="7518F235" w14:textId="259F2B29" w:rsidR="00297F62" w:rsidRPr="00CE7A3C" w:rsidRDefault="004F3D95" w:rsidP="004F3D95">
            <w:pPr>
              <w:spacing w:after="0" w:line="240" w:lineRule="auto"/>
              <w:jc w:val="center"/>
              <w:rPr>
                <w:rFonts w:asciiTheme="minorHAnsi" w:eastAsia="Times New Roman" w:hAnsiTheme="minorHAnsi" w:cstheme="minorHAnsi"/>
                <w:color w:val="000000"/>
              </w:rPr>
            </w:pPr>
            <w:r w:rsidRPr="00CF5FF3">
              <w:rPr>
                <w:rFonts w:asciiTheme="minorHAnsi" w:hAnsiTheme="minorHAnsi" w:cstheme="minorHAnsi"/>
                <w:color w:val="000000"/>
              </w:rPr>
              <w:t>0.57</w:t>
            </w:r>
          </w:p>
        </w:tc>
      </w:tr>
      <w:tr w:rsidR="00CF5FF3" w:rsidRPr="00CF5FF3" w14:paraId="221CA6F9" w14:textId="77777777" w:rsidTr="007D4D20">
        <w:trPr>
          <w:trHeight w:val="26"/>
        </w:trPr>
        <w:tc>
          <w:tcPr>
            <w:tcW w:w="1764" w:type="dxa"/>
            <w:tcBorders>
              <w:top w:val="single" w:sz="4" w:space="0" w:color="auto"/>
              <w:left w:val="single" w:sz="4" w:space="0" w:color="auto"/>
              <w:bottom w:val="single" w:sz="4" w:space="0" w:color="auto"/>
              <w:right w:val="single" w:sz="4" w:space="0" w:color="auto"/>
            </w:tcBorders>
            <w:hideMark/>
          </w:tcPr>
          <w:p w14:paraId="7292995B" w14:textId="63BAB48C" w:rsidR="00297F62" w:rsidRPr="00CE7A3C" w:rsidRDefault="00297F62">
            <w:pPr>
              <w:spacing w:after="0" w:line="240" w:lineRule="auto"/>
              <w:jc w:val="center"/>
              <w:rPr>
                <w:rFonts w:asciiTheme="minorHAnsi" w:hAnsiTheme="minorHAnsi" w:cstheme="minorHAnsi"/>
              </w:rPr>
            </w:pPr>
            <w:r w:rsidRPr="00CE7A3C">
              <w:rPr>
                <w:rFonts w:asciiTheme="minorHAnsi" w:hAnsiTheme="minorHAnsi" w:cstheme="minorHAnsi"/>
              </w:rPr>
              <w:t>203</w:t>
            </w:r>
            <w:r w:rsidR="00056E27" w:rsidRPr="00CF5FF3">
              <w:rPr>
                <w:rFonts w:asciiTheme="minorHAnsi" w:hAnsiTheme="minorHAnsi" w:cstheme="minorHAnsi"/>
              </w:rPr>
              <w:t>3</w:t>
            </w:r>
          </w:p>
        </w:tc>
        <w:tc>
          <w:tcPr>
            <w:tcW w:w="2542" w:type="dxa"/>
            <w:tcBorders>
              <w:top w:val="single" w:sz="4" w:space="0" w:color="auto"/>
              <w:left w:val="single" w:sz="4" w:space="0" w:color="auto"/>
              <w:bottom w:val="single" w:sz="4" w:space="0" w:color="auto"/>
              <w:right w:val="single" w:sz="4" w:space="0" w:color="auto"/>
            </w:tcBorders>
            <w:hideMark/>
          </w:tcPr>
          <w:p w14:paraId="7D123D47" w14:textId="0BB89D3B" w:rsidR="00297F62" w:rsidRPr="00CE7A3C" w:rsidRDefault="00297F62">
            <w:pPr>
              <w:spacing w:after="0" w:line="240" w:lineRule="auto"/>
              <w:jc w:val="center"/>
              <w:rPr>
                <w:rFonts w:asciiTheme="minorHAnsi" w:hAnsiTheme="minorHAnsi" w:cstheme="minorHAnsi"/>
              </w:rPr>
            </w:pPr>
            <w:r w:rsidRPr="00CE7A3C">
              <w:rPr>
                <w:rFonts w:asciiTheme="minorHAnsi" w:hAnsiTheme="minorHAnsi" w:cstheme="minorHAnsi"/>
              </w:rPr>
              <w:t>0.</w:t>
            </w:r>
            <w:r w:rsidR="00CF5FF3" w:rsidRPr="00CF5FF3">
              <w:rPr>
                <w:rFonts w:asciiTheme="minorHAnsi" w:hAnsiTheme="minorHAnsi" w:cstheme="minorHAnsi"/>
              </w:rPr>
              <w:t>5</w:t>
            </w:r>
            <w:r w:rsidR="00CC03ED">
              <w:rPr>
                <w:rFonts w:asciiTheme="minorHAnsi" w:hAnsiTheme="minorHAnsi" w:cstheme="minorHAnsi"/>
              </w:rPr>
              <w:t>2</w:t>
            </w:r>
          </w:p>
        </w:tc>
        <w:tc>
          <w:tcPr>
            <w:tcW w:w="2542" w:type="dxa"/>
            <w:tcBorders>
              <w:top w:val="single" w:sz="4" w:space="0" w:color="auto"/>
              <w:left w:val="single" w:sz="4" w:space="0" w:color="auto"/>
              <w:bottom w:val="single" w:sz="4" w:space="0" w:color="auto"/>
              <w:right w:val="single" w:sz="4" w:space="0" w:color="auto"/>
            </w:tcBorders>
            <w:hideMark/>
          </w:tcPr>
          <w:p w14:paraId="3FC5CB7F" w14:textId="03DF3F8F" w:rsidR="00297F62" w:rsidRPr="00CE7A3C" w:rsidRDefault="004F3D95" w:rsidP="004F3D95">
            <w:pPr>
              <w:spacing w:after="0" w:line="240" w:lineRule="auto"/>
              <w:jc w:val="center"/>
              <w:rPr>
                <w:rFonts w:asciiTheme="minorHAnsi" w:eastAsia="Times New Roman" w:hAnsiTheme="minorHAnsi" w:cstheme="minorHAnsi"/>
                <w:color w:val="000000"/>
              </w:rPr>
            </w:pPr>
            <w:r w:rsidRPr="00CF5FF3">
              <w:rPr>
                <w:rFonts w:asciiTheme="minorHAnsi" w:hAnsiTheme="minorHAnsi" w:cstheme="minorHAnsi"/>
                <w:color w:val="000000"/>
              </w:rPr>
              <w:t>0.55</w:t>
            </w:r>
          </w:p>
        </w:tc>
      </w:tr>
    </w:tbl>
    <w:p w14:paraId="353D88DF" w14:textId="76BD733C" w:rsidR="00B23AAE" w:rsidRDefault="00B23AAE" w:rsidP="00D3785B">
      <w:pPr>
        <w:pStyle w:val="Heading3"/>
      </w:pPr>
      <w:r>
        <w:lastRenderedPageBreak/>
        <w:t>Compliance Rates</w:t>
      </w:r>
    </w:p>
    <w:p w14:paraId="52E6A26F" w14:textId="4FEE7D32" w:rsidR="0008114C" w:rsidRDefault="00517F2E" w:rsidP="002440C1">
      <w:pPr>
        <w:pStyle w:val="Bodysansserif"/>
      </w:pPr>
      <w:r>
        <w:t xml:space="preserve">The team is working with PNNL to receive final compliance estimates for residential and commercial stretch codes. The current assumption is that the historical rate of </w:t>
      </w:r>
      <w:r w:rsidR="001E0BEE">
        <w:t xml:space="preserve">approximately </w:t>
      </w:r>
      <w:r w:rsidR="00043357">
        <w:t xml:space="preserve">75% </w:t>
      </w:r>
      <w:r>
        <w:t>compliance w</w:t>
      </w:r>
      <w:r w:rsidR="00043357">
        <w:t>ill continue</w:t>
      </w:r>
      <w:r w:rsidR="00D05442">
        <w:t xml:space="preserve"> absent utility intervention.</w:t>
      </w:r>
      <w:r w:rsidR="00D6550D">
        <w:t xml:space="preserve"> T</w:t>
      </w:r>
      <w:r w:rsidR="00912F2C">
        <w:t xml:space="preserve">his assumption </w:t>
      </w:r>
      <w:r w:rsidR="50EDF49B">
        <w:t xml:space="preserve">is used to calculate savings from </w:t>
      </w:r>
      <w:r w:rsidR="00C5748B">
        <w:t>municipalities</w:t>
      </w:r>
      <w:r w:rsidR="50EDF49B">
        <w:t xml:space="preserve"> that adopt stretch codes. The complianc</w:t>
      </w:r>
      <w:r w:rsidR="3E70A873">
        <w:t xml:space="preserve">e rate is applied as a derate factor to reduce overall savings from code elements that that are not complied with. </w:t>
      </w:r>
      <w:r w:rsidR="00B52A39">
        <w:t xml:space="preserve">We assume that greater compliance would achieve 98% compliance of the stretch energy code. </w:t>
      </w:r>
      <w:r w:rsidR="3E70A873">
        <w:t>The compliance rate should be assessed on a regu</w:t>
      </w:r>
      <w:r w:rsidR="41A84935">
        <w:t xml:space="preserve">lar basis, ideally in the form of a representative compliance study that </w:t>
      </w:r>
      <w:r w:rsidR="007574D5">
        <w:t>assesses</w:t>
      </w:r>
      <w:r w:rsidR="41A84935">
        <w:t xml:space="preserve"> new construction compliance rates across the state.  </w:t>
      </w:r>
    </w:p>
    <w:p w14:paraId="10B5B5A5" w14:textId="297F8D07" w:rsidR="00854483" w:rsidRDefault="00854483" w:rsidP="00D3785B">
      <w:pPr>
        <w:pStyle w:val="Heading3"/>
      </w:pPr>
      <w:r w:rsidRPr="00F768D3">
        <w:t xml:space="preserve">Duration of </w:t>
      </w:r>
      <w:r w:rsidR="7183FE2C" w:rsidRPr="00F768D3">
        <w:t xml:space="preserve">Claimed Energy </w:t>
      </w:r>
      <w:r w:rsidRPr="00F768D3">
        <w:t>Savings</w:t>
      </w:r>
    </w:p>
    <w:p w14:paraId="6E7AC87D" w14:textId="1DDBBF53" w:rsidR="00D16254" w:rsidRDefault="00E41937" w:rsidP="003C3A51">
      <w:pPr>
        <w:pStyle w:val="Bodysansserif"/>
      </w:pPr>
      <w:r>
        <w:t>The energy efficiency improvements made at the time of construction under stretch code continue to result in savings compared to buildings built under base code for many years</w:t>
      </w:r>
      <w:r w:rsidR="00F768D3">
        <w:t xml:space="preserve">. </w:t>
      </w:r>
      <w:r w:rsidR="00830F31">
        <w:t xml:space="preserve">Attachment C notes that the duration of energy savings for codes and standards is </w:t>
      </w:r>
      <w:r w:rsidR="001E0F26">
        <w:t>distinct</w:t>
      </w:r>
      <w:r w:rsidR="00830F31">
        <w:t xml:space="preserve"> from the lifetime of measures embodied in the energy code</w:t>
      </w:r>
      <w:r w:rsidR="00413260">
        <w:t xml:space="preserve">. The duration </w:t>
      </w:r>
      <w:r w:rsidR="000A49AF">
        <w:t>claimed adoption</w:t>
      </w:r>
      <w:r w:rsidR="00A917A3">
        <w:t xml:space="preserve"> </w:t>
      </w:r>
      <w:r w:rsidR="000A49AF">
        <w:t>savings</w:t>
      </w:r>
      <w:r w:rsidR="00830F31">
        <w:t xml:space="preserve"> should instead reflect the amount of time that a</w:t>
      </w:r>
      <w:r w:rsidR="00782646">
        <w:t xml:space="preserve"> </w:t>
      </w:r>
      <w:r w:rsidR="00830F31">
        <w:t xml:space="preserve">utility can claim credit for changing the code. </w:t>
      </w:r>
    </w:p>
    <w:p w14:paraId="30DF8983" w14:textId="36CFDED2" w:rsidR="00D16254" w:rsidRDefault="0BDF8A74" w:rsidP="003C3A51">
      <w:pPr>
        <w:pStyle w:val="Bodysansserif"/>
      </w:pPr>
      <w:r>
        <w:t>A</w:t>
      </w:r>
      <w:r w:rsidR="001E264F">
        <w:t xml:space="preserve"> key consideration is when the code would have reached the level </w:t>
      </w:r>
      <w:r w:rsidR="007F59E2">
        <w:t>targeted by the market transformation</w:t>
      </w:r>
      <w:r w:rsidR="00764179">
        <w:t xml:space="preserve"> </w:t>
      </w:r>
      <w:r w:rsidR="00167DB4">
        <w:t xml:space="preserve">efforts. </w:t>
      </w:r>
      <w:r w:rsidR="001F7C23">
        <w:t>For commercial stretch code</w:t>
      </w:r>
      <w:r w:rsidR="00CF5F58">
        <w:t>,</w:t>
      </w:r>
      <w:r w:rsidR="00514D0C">
        <w:t xml:space="preserve"> the 2024 stretch code is only a slight efficiency upgrade so</w:t>
      </w:r>
      <w:r w:rsidR="00CF5F58">
        <w:t xml:space="preserve"> it is expected that future base codes will reach the same site energy index. However, </w:t>
      </w:r>
      <w:r w:rsidR="00514D0C">
        <w:t>the 2027, 2030, and 2033 versions</w:t>
      </w:r>
      <w:r w:rsidR="00CF5F58">
        <w:t xml:space="preserve"> of the stretch code a</w:t>
      </w:r>
      <w:r w:rsidR="00D52B48">
        <w:t>re expected to be more efficient than any future base code version</w:t>
      </w:r>
      <w:r w:rsidR="00514D0C">
        <w:t xml:space="preserve"> for the foreseeable future. Similarly, f</w:t>
      </w:r>
      <w:r w:rsidR="00D52B48">
        <w:t xml:space="preserve">or residential, it is expected that all versions of the stretch code will always be more efficient than base code for the next 10 years. </w:t>
      </w:r>
      <w:r w:rsidR="00514D0C">
        <w:t xml:space="preserve">As a result, </w:t>
      </w:r>
      <w:r w:rsidR="00E41937">
        <w:t>the assumption is a</w:t>
      </w:r>
      <w:r w:rsidR="004D6D1A">
        <w:t xml:space="preserve"> 17</w:t>
      </w:r>
      <w:r w:rsidR="00362E28">
        <w:t>-</w:t>
      </w:r>
      <w:r w:rsidR="004D6D1A">
        <w:t xml:space="preserve">year </w:t>
      </w:r>
      <w:r w:rsidR="00E41937">
        <w:t>lifetime for the 2024 commercial stretch code but a 25-year lifetime for all the other stretch code versions.</w:t>
      </w:r>
      <w:r w:rsidR="001E264F" w:rsidRPr="31C53C33">
        <w:rPr>
          <w:rStyle w:val="FootnoteReference"/>
        </w:rPr>
        <w:footnoteReference w:id="13"/>
      </w:r>
      <w:r w:rsidR="00E41937">
        <w:t xml:space="preserve"> The 25-year lifetime represents the improvement of envelope measures in stretch code compared to base code and relatively long lifetime of those measures.</w:t>
      </w:r>
      <w:r w:rsidR="17AB8356">
        <w:t xml:space="preserve"> </w:t>
      </w:r>
      <w:r w:rsidR="001E264F">
        <w:fldChar w:fldCharType="begin"/>
      </w:r>
      <w:r w:rsidR="001E264F">
        <w:instrText xml:space="preserve"> REF _Ref150415687 \h </w:instrText>
      </w:r>
      <w:r w:rsidR="003C3A51">
        <w:instrText xml:space="preserve"> \* MERGEFORMAT </w:instrText>
      </w:r>
      <w:r w:rsidR="001E264F">
        <w:fldChar w:fldCharType="separate"/>
      </w:r>
      <w:r w:rsidR="17AB8356">
        <w:t xml:space="preserve">Table </w:t>
      </w:r>
      <w:r w:rsidR="17AB8356" w:rsidRPr="31C53C33">
        <w:rPr>
          <w:noProof/>
        </w:rPr>
        <w:t>5</w:t>
      </w:r>
      <w:r w:rsidR="001E264F">
        <w:fldChar w:fldCharType="end"/>
      </w:r>
      <w:r w:rsidR="17AB8356">
        <w:t xml:space="preserve"> provides an overview of the numbers for commercial adoption savings, residential adoption savings, and compliance savings. </w:t>
      </w:r>
    </w:p>
    <w:p w14:paraId="554D39D4" w14:textId="497A66FB" w:rsidR="00CC428D" w:rsidRDefault="00CC428D" w:rsidP="31C53C33">
      <w:pPr>
        <w:keepNext/>
      </w:pPr>
      <w:r>
        <w:t xml:space="preserve">Table </w:t>
      </w:r>
      <w:r w:rsidRPr="31C53C33">
        <w:fldChar w:fldCharType="begin"/>
      </w:r>
      <w:r>
        <w:instrText xml:space="preserve"> SEQ Table \* ARABIC </w:instrText>
      </w:r>
      <w:r w:rsidRPr="31C53C33">
        <w:fldChar w:fldCharType="separate"/>
      </w:r>
      <w:r w:rsidRPr="31C53C33">
        <w:rPr>
          <w:noProof/>
        </w:rPr>
        <w:t>5</w:t>
      </w:r>
      <w:r w:rsidRPr="31C53C33">
        <w:rPr>
          <w:noProof/>
        </w:rPr>
        <w:fldChar w:fldCharType="end"/>
      </w:r>
      <w:r>
        <w:t>. Duration of Energy Savings Claim</w:t>
      </w:r>
    </w:p>
    <w:tbl>
      <w:tblPr>
        <w:tblStyle w:val="ListTable3-Accent5"/>
        <w:tblW w:w="8415" w:type="dxa"/>
        <w:tblLayout w:type="fixed"/>
        <w:tblLook w:val="04A0" w:firstRow="1" w:lastRow="0" w:firstColumn="1" w:lastColumn="0" w:noHBand="0" w:noVBand="1"/>
      </w:tblPr>
      <w:tblGrid>
        <w:gridCol w:w="1930"/>
        <w:gridCol w:w="2161"/>
        <w:gridCol w:w="2162"/>
        <w:gridCol w:w="2162"/>
      </w:tblGrid>
      <w:tr w:rsidR="003523F4" w:rsidRPr="003523F4" w14:paraId="57FAA9D0" w14:textId="77777777" w:rsidTr="31C53C33">
        <w:trPr>
          <w:cnfStyle w:val="100000000000" w:firstRow="1" w:lastRow="0" w:firstColumn="0" w:lastColumn="0" w:oddVBand="0" w:evenVBand="0" w:oddHBand="0" w:evenHBand="0" w:firstRowFirstColumn="0" w:firstRowLastColumn="0" w:lastRowFirstColumn="0" w:lastRowLastColumn="0"/>
          <w:trHeight w:val="259"/>
        </w:trPr>
        <w:tc>
          <w:tcPr>
            <w:cnfStyle w:val="001000000100" w:firstRow="0" w:lastRow="0" w:firstColumn="1" w:lastColumn="0" w:oddVBand="0" w:evenVBand="0" w:oddHBand="0" w:evenHBand="0" w:firstRowFirstColumn="1" w:firstRowLastColumn="0" w:lastRowFirstColumn="0" w:lastRowLastColumn="0"/>
            <w:tcW w:w="1930" w:type="dxa"/>
            <w:noWrap/>
            <w:hideMark/>
          </w:tcPr>
          <w:p w14:paraId="3423A466" w14:textId="78482B2F" w:rsidR="00A44C6D" w:rsidRPr="004648B0" w:rsidRDefault="003523F4" w:rsidP="004F14D2">
            <w:pPr>
              <w:spacing w:after="0" w:line="240" w:lineRule="auto"/>
              <w:jc w:val="center"/>
              <w:rPr>
                <w:rFonts w:eastAsia="Times New Roman" w:cs="Arial"/>
              </w:rPr>
            </w:pPr>
            <w:bookmarkStart w:id="9" w:name="_Ref150415687"/>
            <w:r w:rsidRPr="004648B0">
              <w:rPr>
                <w:rFonts w:eastAsia="Times New Roman" w:cs="Arial"/>
              </w:rPr>
              <w:t>Year</w:t>
            </w:r>
          </w:p>
        </w:tc>
        <w:tc>
          <w:tcPr>
            <w:tcW w:w="2161" w:type="dxa"/>
            <w:noWrap/>
            <w:hideMark/>
          </w:tcPr>
          <w:p w14:paraId="5666ADC0" w14:textId="61994C2E" w:rsidR="00A44C6D" w:rsidRPr="004648B0" w:rsidRDefault="00A44C6D" w:rsidP="004F14D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rPr>
            </w:pPr>
            <w:r w:rsidRPr="004648B0">
              <w:rPr>
                <w:rFonts w:eastAsia="Times New Roman" w:cs="Arial"/>
              </w:rPr>
              <w:t>Commercial Adoption Lifetime</w:t>
            </w:r>
          </w:p>
        </w:tc>
        <w:tc>
          <w:tcPr>
            <w:tcW w:w="2162" w:type="dxa"/>
            <w:noWrap/>
            <w:hideMark/>
          </w:tcPr>
          <w:p w14:paraId="3C2490A4" w14:textId="491B7EF9" w:rsidR="00A44C6D" w:rsidRPr="004648B0" w:rsidRDefault="00A44C6D" w:rsidP="004F14D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rPr>
            </w:pPr>
            <w:r w:rsidRPr="004648B0">
              <w:rPr>
                <w:rFonts w:eastAsia="Times New Roman" w:cs="Arial"/>
              </w:rPr>
              <w:t>Residential Adoption Lifetime</w:t>
            </w:r>
          </w:p>
        </w:tc>
        <w:tc>
          <w:tcPr>
            <w:tcW w:w="2162" w:type="dxa"/>
            <w:noWrap/>
            <w:hideMark/>
          </w:tcPr>
          <w:p w14:paraId="61CDC103" w14:textId="2A9EA4FB" w:rsidR="00A44C6D" w:rsidRPr="004648B0" w:rsidRDefault="00A44C6D" w:rsidP="004F14D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rPr>
            </w:pPr>
            <w:r w:rsidRPr="004648B0">
              <w:rPr>
                <w:rFonts w:eastAsia="Times New Roman" w:cs="Arial"/>
              </w:rPr>
              <w:t>Compliance Lifetime</w:t>
            </w:r>
          </w:p>
        </w:tc>
      </w:tr>
      <w:tr w:rsidR="003523F4" w:rsidRPr="003523F4" w14:paraId="52018B6A" w14:textId="77777777" w:rsidTr="31C53C3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930" w:type="dxa"/>
            <w:noWrap/>
            <w:hideMark/>
          </w:tcPr>
          <w:p w14:paraId="48B52891" w14:textId="77777777" w:rsidR="00A44C6D" w:rsidRPr="004F14D2" w:rsidRDefault="00A44C6D" w:rsidP="004F14D2">
            <w:pPr>
              <w:spacing w:after="0" w:line="240" w:lineRule="auto"/>
              <w:jc w:val="center"/>
              <w:rPr>
                <w:rFonts w:eastAsia="Times New Roman" w:cs="Arial"/>
                <w:color w:val="000000"/>
              </w:rPr>
            </w:pPr>
            <w:r w:rsidRPr="004F14D2">
              <w:rPr>
                <w:rFonts w:eastAsia="Times New Roman" w:cs="Arial"/>
                <w:color w:val="000000"/>
              </w:rPr>
              <w:t>2025</w:t>
            </w:r>
          </w:p>
        </w:tc>
        <w:tc>
          <w:tcPr>
            <w:tcW w:w="2161" w:type="dxa"/>
            <w:noWrap/>
            <w:hideMark/>
          </w:tcPr>
          <w:p w14:paraId="68E222E2" w14:textId="77777777" w:rsidR="00A44C6D" w:rsidRPr="004F14D2" w:rsidRDefault="00A44C6D" w:rsidP="004F14D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rPr>
            </w:pPr>
            <w:r w:rsidRPr="004F14D2">
              <w:rPr>
                <w:rFonts w:eastAsia="Times New Roman" w:cs="Arial"/>
                <w:color w:val="000000"/>
              </w:rPr>
              <w:t>17</w:t>
            </w:r>
          </w:p>
        </w:tc>
        <w:tc>
          <w:tcPr>
            <w:tcW w:w="2162" w:type="dxa"/>
            <w:noWrap/>
            <w:hideMark/>
          </w:tcPr>
          <w:p w14:paraId="46611AA2" w14:textId="77777777" w:rsidR="00A44C6D" w:rsidRPr="004F14D2" w:rsidRDefault="00A44C6D" w:rsidP="004F14D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rPr>
            </w:pPr>
            <w:r w:rsidRPr="004F14D2">
              <w:rPr>
                <w:rFonts w:eastAsia="Times New Roman" w:cs="Arial"/>
                <w:color w:val="000000"/>
              </w:rPr>
              <w:t>25</w:t>
            </w:r>
          </w:p>
        </w:tc>
        <w:tc>
          <w:tcPr>
            <w:tcW w:w="2162" w:type="dxa"/>
            <w:noWrap/>
            <w:hideMark/>
          </w:tcPr>
          <w:p w14:paraId="16478D39" w14:textId="4CDB6812" w:rsidR="00A44C6D" w:rsidRPr="004F14D2" w:rsidRDefault="2BA649D2" w:rsidP="004F14D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rPr>
            </w:pPr>
            <w:r w:rsidRPr="31C53C33">
              <w:rPr>
                <w:rFonts w:eastAsia="Times New Roman" w:cs="Arial"/>
                <w:color w:val="000000"/>
              </w:rPr>
              <w:t>25</w:t>
            </w:r>
          </w:p>
        </w:tc>
      </w:tr>
      <w:tr w:rsidR="003523F4" w:rsidRPr="003523F4" w14:paraId="29102013" w14:textId="77777777" w:rsidTr="31C53C33">
        <w:trPr>
          <w:trHeight w:val="259"/>
        </w:trPr>
        <w:tc>
          <w:tcPr>
            <w:cnfStyle w:val="001000000000" w:firstRow="0" w:lastRow="0" w:firstColumn="1" w:lastColumn="0" w:oddVBand="0" w:evenVBand="0" w:oddHBand="0" w:evenHBand="0" w:firstRowFirstColumn="0" w:firstRowLastColumn="0" w:lastRowFirstColumn="0" w:lastRowLastColumn="0"/>
            <w:tcW w:w="1930" w:type="dxa"/>
            <w:noWrap/>
            <w:hideMark/>
          </w:tcPr>
          <w:p w14:paraId="204E34D5" w14:textId="568B8580" w:rsidR="00A44C6D" w:rsidRPr="004F14D2" w:rsidRDefault="00A44C6D" w:rsidP="004F14D2">
            <w:pPr>
              <w:spacing w:after="0" w:line="240" w:lineRule="auto"/>
              <w:jc w:val="center"/>
              <w:rPr>
                <w:rFonts w:eastAsia="Times New Roman" w:cs="Arial"/>
                <w:color w:val="000000"/>
              </w:rPr>
            </w:pPr>
            <w:r w:rsidRPr="004F14D2">
              <w:rPr>
                <w:rFonts w:eastAsia="Times New Roman" w:cs="Arial"/>
                <w:color w:val="000000"/>
              </w:rPr>
              <w:t>2026</w:t>
            </w:r>
            <w:r w:rsidR="002C50E0" w:rsidRPr="004F14D2">
              <w:rPr>
                <w:rFonts w:eastAsia="Times New Roman" w:cs="Arial"/>
                <w:color w:val="000000"/>
              </w:rPr>
              <w:t xml:space="preserve"> - forward</w:t>
            </w:r>
          </w:p>
        </w:tc>
        <w:tc>
          <w:tcPr>
            <w:tcW w:w="2161" w:type="dxa"/>
            <w:noWrap/>
            <w:hideMark/>
          </w:tcPr>
          <w:p w14:paraId="734D8241" w14:textId="0AADD8BB" w:rsidR="00A44C6D" w:rsidRPr="004F14D2" w:rsidRDefault="00A44C6D" w:rsidP="004F14D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rPr>
            </w:pPr>
            <w:r w:rsidRPr="004F14D2">
              <w:rPr>
                <w:rFonts w:eastAsia="Times New Roman" w:cs="Arial"/>
                <w:color w:val="000000"/>
              </w:rPr>
              <w:t>25</w:t>
            </w:r>
          </w:p>
        </w:tc>
        <w:tc>
          <w:tcPr>
            <w:tcW w:w="2162" w:type="dxa"/>
            <w:noWrap/>
            <w:hideMark/>
          </w:tcPr>
          <w:p w14:paraId="7F8ADE43" w14:textId="77777777" w:rsidR="00A44C6D" w:rsidRPr="004F14D2" w:rsidRDefault="00A44C6D" w:rsidP="004F14D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rPr>
            </w:pPr>
            <w:r w:rsidRPr="004F14D2">
              <w:rPr>
                <w:rFonts w:eastAsia="Times New Roman" w:cs="Arial"/>
                <w:color w:val="000000"/>
              </w:rPr>
              <w:t>25</w:t>
            </w:r>
          </w:p>
        </w:tc>
        <w:tc>
          <w:tcPr>
            <w:tcW w:w="2162" w:type="dxa"/>
            <w:noWrap/>
            <w:hideMark/>
          </w:tcPr>
          <w:p w14:paraId="0D7DAADA" w14:textId="61214541" w:rsidR="00A44C6D" w:rsidRPr="004F14D2" w:rsidRDefault="0C43F88B" w:rsidP="004F14D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rPr>
            </w:pPr>
            <w:r w:rsidRPr="31C53C33">
              <w:rPr>
                <w:rFonts w:eastAsia="Times New Roman" w:cs="Arial"/>
                <w:color w:val="000000"/>
              </w:rPr>
              <w:t>25</w:t>
            </w:r>
          </w:p>
        </w:tc>
      </w:tr>
      <w:bookmarkEnd w:id="9"/>
    </w:tbl>
    <w:p w14:paraId="6B5776AC" w14:textId="7B78DE72" w:rsidR="00A74B25" w:rsidRDefault="00A74B25" w:rsidP="00A74B25">
      <w:pPr>
        <w:pStyle w:val="Caption"/>
        <w:keepNext/>
      </w:pPr>
    </w:p>
    <w:p w14:paraId="233035EC" w14:textId="34A7092B" w:rsidR="00DB5944" w:rsidRDefault="00AA7E2D" w:rsidP="00D3785B">
      <w:pPr>
        <w:pStyle w:val="Heading3"/>
      </w:pPr>
      <w:r w:rsidRPr="00AA7E2D">
        <w:t xml:space="preserve">Gas </w:t>
      </w:r>
      <w:r w:rsidR="00EC641C">
        <w:t>and</w:t>
      </w:r>
      <w:r w:rsidR="00EE0707">
        <w:t xml:space="preserve"> </w:t>
      </w:r>
      <w:r w:rsidRPr="00AA7E2D">
        <w:t>Electricity Savings</w:t>
      </w:r>
    </w:p>
    <w:p w14:paraId="1994327D" w14:textId="34703A2B" w:rsidR="009F3730" w:rsidRDefault="000813E3" w:rsidP="003C3A51">
      <w:pPr>
        <w:pStyle w:val="Bodysansserif"/>
      </w:pPr>
      <w:r>
        <w:t xml:space="preserve">For final allocation across utilities, </w:t>
      </w:r>
      <w:r w:rsidR="00E61F2E">
        <w:t xml:space="preserve">the total energy savings </w:t>
      </w:r>
      <w:r w:rsidR="009F3730">
        <w:t xml:space="preserve">(calculated as </w:t>
      </w:r>
      <w:proofErr w:type="spellStart"/>
      <w:r w:rsidR="009F3730">
        <w:t>kBtu</w:t>
      </w:r>
      <w:proofErr w:type="spellEnd"/>
      <w:r w:rsidR="009F3730">
        <w:t xml:space="preserve">) </w:t>
      </w:r>
      <w:r w:rsidR="4DCA465E">
        <w:t xml:space="preserve">will be </w:t>
      </w:r>
      <w:proofErr w:type="gramStart"/>
      <w:r w:rsidR="4DCA465E">
        <w:t>divide</w:t>
      </w:r>
      <w:proofErr w:type="gramEnd"/>
      <w:r w:rsidR="4DCA465E">
        <w:t xml:space="preserve"> between </w:t>
      </w:r>
      <w:r w:rsidR="00E61F2E">
        <w:t>electricity and natural gas savings. To do this, the project team collected historical data on</w:t>
      </w:r>
      <w:r w:rsidR="00304D74">
        <w:t xml:space="preserve"> electricity use as </w:t>
      </w:r>
      <w:r w:rsidR="008A0695">
        <w:t xml:space="preserve">a </w:t>
      </w:r>
      <w:proofErr w:type="gramStart"/>
      <w:r w:rsidR="00304D74">
        <w:t>p</w:t>
      </w:r>
      <w:r w:rsidR="008A0695">
        <w:t>er</w:t>
      </w:r>
      <w:r w:rsidR="00304D74">
        <w:t>cent</w:t>
      </w:r>
      <w:proofErr w:type="gramEnd"/>
      <w:r w:rsidR="00304D74">
        <w:t xml:space="preserve"> </w:t>
      </w:r>
      <w:r w:rsidR="00E61F2E">
        <w:t xml:space="preserve">of total energy use by building type. </w:t>
      </w:r>
      <w:r w:rsidR="009F3730">
        <w:t>The EIA provides this data by building type in its Commercial Building Energy Consumption Survey</w:t>
      </w:r>
      <w:r w:rsidR="3028E35E">
        <w:t xml:space="preserve"> (CBECS)</w:t>
      </w:r>
      <w:r w:rsidR="009F3730">
        <w:t xml:space="preserve"> and its Residential Energy Consumption Survey</w:t>
      </w:r>
      <w:r w:rsidR="0F7B55F7">
        <w:t xml:space="preserve"> (RECS)</w:t>
      </w:r>
      <w:r>
        <w:t>.</w:t>
      </w:r>
      <w:r w:rsidR="00066E21">
        <w:rPr>
          <w:rStyle w:val="FootnoteReference"/>
        </w:rPr>
        <w:footnoteReference w:id="14"/>
      </w:r>
      <w:r>
        <w:t xml:space="preserve"> </w:t>
      </w:r>
      <w:r w:rsidR="00E40114">
        <w:t xml:space="preserve">This assumption should be revisited over time and as better data becomes available. </w:t>
      </w:r>
    </w:p>
    <w:p w14:paraId="2CD080EE" w14:textId="2795D48C" w:rsidR="00027D54" w:rsidRPr="000813E3" w:rsidRDefault="00027D54" w:rsidP="003C3A51">
      <w:pPr>
        <w:pStyle w:val="Bodysansserif"/>
      </w:pPr>
      <w:r>
        <w:fldChar w:fldCharType="begin"/>
      </w:r>
      <w:r>
        <w:instrText xml:space="preserve"> REF _Ref149321973 \h </w:instrText>
      </w:r>
      <w:r w:rsidR="003C3A51">
        <w:instrText xml:space="preserve"> \* MERGEFORMAT </w:instrText>
      </w:r>
      <w:r>
        <w:fldChar w:fldCharType="separate"/>
      </w:r>
      <w:r w:rsidR="000813E3">
        <w:t xml:space="preserve">Table </w:t>
      </w:r>
      <w:r w:rsidR="000813E3" w:rsidRPr="31C53C33">
        <w:rPr>
          <w:noProof/>
        </w:rPr>
        <w:t>6</w:t>
      </w:r>
      <w:r>
        <w:fldChar w:fldCharType="end"/>
      </w:r>
      <w:r w:rsidR="000813E3">
        <w:t xml:space="preserve"> includes these values across building types.</w:t>
      </w:r>
      <w:r w:rsidR="009F3730">
        <w:t xml:space="preserve"> As an example, for single-family homes, 43% of total energy use is electricity</w:t>
      </w:r>
      <w:r w:rsidR="0097258C">
        <w:t>,</w:t>
      </w:r>
      <w:r w:rsidR="009F3730">
        <w:t xml:space="preserve"> while 42% is natural gas use, and the remaining </w:t>
      </w:r>
      <w:proofErr w:type="gramStart"/>
      <w:r w:rsidR="009F3730">
        <w:t>percent</w:t>
      </w:r>
      <w:proofErr w:type="gramEnd"/>
      <w:r w:rsidR="009F3730">
        <w:t xml:space="preserve"> is a mix of propane/wood/fuel oil/etc. The percentages represent total energy use across all single-family homes in a region but serve as a good proxy for </w:t>
      </w:r>
      <w:r w:rsidR="00C206F7">
        <w:t>the average</w:t>
      </w:r>
      <w:r w:rsidR="009F3730">
        <w:t xml:space="preserve"> home.</w:t>
      </w:r>
      <w:r w:rsidR="5A7DCB12">
        <w:t xml:space="preserve"> I</w:t>
      </w:r>
      <w:r>
        <w:t>n the evaluation phase and if the NMB data is updated, the</w:t>
      </w:r>
      <w:r w:rsidR="00717031">
        <w:t>se percentages should be reviewed and updated if new data is available.</w:t>
      </w:r>
    </w:p>
    <w:p w14:paraId="472BD996" w14:textId="7BCDA8C2" w:rsidR="000813E3" w:rsidRDefault="000813E3" w:rsidP="000813E3">
      <w:pPr>
        <w:pStyle w:val="Caption"/>
        <w:keepNext/>
      </w:pPr>
      <w:bookmarkStart w:id="10" w:name="_Ref149321973"/>
      <w:r>
        <w:t xml:space="preserve">Table </w:t>
      </w:r>
      <w:r>
        <w:fldChar w:fldCharType="begin"/>
      </w:r>
      <w:r>
        <w:instrText>SEQ Table \* ARABIC</w:instrText>
      </w:r>
      <w:r>
        <w:fldChar w:fldCharType="separate"/>
      </w:r>
      <w:r w:rsidR="00D66162" w:rsidRPr="7DDA5DB8">
        <w:rPr>
          <w:noProof/>
        </w:rPr>
        <w:t>6</w:t>
      </w:r>
      <w:r>
        <w:fldChar w:fldCharType="end"/>
      </w:r>
      <w:bookmarkEnd w:id="10"/>
      <w:r>
        <w:t>. Percent electricity vs gas in a building</w:t>
      </w:r>
    </w:p>
    <w:tbl>
      <w:tblPr>
        <w:tblStyle w:val="ListTable3-Accent5"/>
        <w:tblW w:w="6934" w:type="dxa"/>
        <w:tblLook w:val="04A0" w:firstRow="1" w:lastRow="0" w:firstColumn="1" w:lastColumn="0" w:noHBand="0" w:noVBand="1"/>
      </w:tblPr>
      <w:tblGrid>
        <w:gridCol w:w="2424"/>
        <w:gridCol w:w="2255"/>
        <w:gridCol w:w="2255"/>
      </w:tblGrid>
      <w:tr w:rsidR="0047775F" w:rsidRPr="0047775F" w14:paraId="3482AE1B" w14:textId="77777777" w:rsidTr="004648B0">
        <w:trPr>
          <w:cnfStyle w:val="100000000000" w:firstRow="1" w:lastRow="0" w:firstColumn="0" w:lastColumn="0" w:oddVBand="0" w:evenVBand="0" w:oddHBand="0" w:evenHBand="0" w:firstRowFirstColumn="0" w:firstRowLastColumn="0" w:lastRowFirstColumn="0" w:lastRowLastColumn="0"/>
          <w:trHeight w:val="248"/>
        </w:trPr>
        <w:tc>
          <w:tcPr>
            <w:cnfStyle w:val="001000000100" w:firstRow="0" w:lastRow="0" w:firstColumn="1" w:lastColumn="0" w:oddVBand="0" w:evenVBand="0" w:oddHBand="0" w:evenHBand="0" w:firstRowFirstColumn="1" w:firstRowLastColumn="0" w:lastRowFirstColumn="0" w:lastRowLastColumn="0"/>
            <w:tcW w:w="2424" w:type="dxa"/>
            <w:noWrap/>
            <w:hideMark/>
          </w:tcPr>
          <w:p w14:paraId="6E1C0D44" w14:textId="77777777" w:rsidR="0047775F" w:rsidRPr="004648B0" w:rsidRDefault="0047775F" w:rsidP="0047775F">
            <w:pPr>
              <w:spacing w:after="0" w:line="240" w:lineRule="auto"/>
              <w:rPr>
                <w:rFonts w:ascii="Calibri" w:eastAsia="Times New Roman" w:hAnsi="Calibri" w:cs="Calibri"/>
              </w:rPr>
            </w:pPr>
            <w:r w:rsidRPr="004648B0">
              <w:rPr>
                <w:rFonts w:ascii="Calibri" w:eastAsia="Times New Roman" w:hAnsi="Calibri" w:cs="Calibri"/>
              </w:rPr>
              <w:t>Building type</w:t>
            </w:r>
          </w:p>
        </w:tc>
        <w:tc>
          <w:tcPr>
            <w:tcW w:w="2255" w:type="dxa"/>
            <w:noWrap/>
            <w:hideMark/>
          </w:tcPr>
          <w:p w14:paraId="4535DEE4" w14:textId="7AF33170" w:rsidR="0047775F" w:rsidRPr="004648B0" w:rsidRDefault="0047775F" w:rsidP="003E68C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4648B0">
              <w:rPr>
                <w:rFonts w:ascii="Calibri" w:eastAsia="Times New Roman" w:hAnsi="Calibri" w:cs="Calibri"/>
              </w:rPr>
              <w:t>Percent Electricity</w:t>
            </w:r>
          </w:p>
        </w:tc>
        <w:tc>
          <w:tcPr>
            <w:tcW w:w="2255" w:type="dxa"/>
            <w:noWrap/>
            <w:hideMark/>
          </w:tcPr>
          <w:p w14:paraId="3EB4ADF7" w14:textId="16DD9009" w:rsidR="0047775F" w:rsidRPr="004648B0" w:rsidRDefault="0047775F" w:rsidP="003E68C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4648B0">
              <w:rPr>
                <w:rFonts w:ascii="Calibri" w:eastAsia="Times New Roman" w:hAnsi="Calibri" w:cs="Calibri"/>
              </w:rPr>
              <w:t>Percent</w:t>
            </w:r>
            <w:r w:rsidR="003E68CC" w:rsidRPr="004648B0">
              <w:rPr>
                <w:rFonts w:ascii="Calibri" w:eastAsia="Times New Roman" w:hAnsi="Calibri" w:cs="Calibri"/>
              </w:rPr>
              <w:t xml:space="preserve"> Natural</w:t>
            </w:r>
            <w:r w:rsidRPr="004648B0">
              <w:rPr>
                <w:rFonts w:ascii="Calibri" w:eastAsia="Times New Roman" w:hAnsi="Calibri" w:cs="Calibri"/>
              </w:rPr>
              <w:t xml:space="preserve"> Gas</w:t>
            </w:r>
          </w:p>
        </w:tc>
      </w:tr>
      <w:tr w:rsidR="000813E3" w:rsidRPr="0047775F" w14:paraId="7EFC5F12" w14:textId="77777777" w:rsidTr="004648B0">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2424" w:type="dxa"/>
            <w:noWrap/>
          </w:tcPr>
          <w:p w14:paraId="031CF52F" w14:textId="155FCFB3" w:rsidR="000813E3" w:rsidRPr="0047775F" w:rsidRDefault="000813E3" w:rsidP="0047775F">
            <w:pPr>
              <w:spacing w:after="0" w:line="240" w:lineRule="auto"/>
              <w:rPr>
                <w:rFonts w:ascii="Calibri" w:eastAsia="Times New Roman" w:hAnsi="Calibri" w:cs="Calibri"/>
                <w:color w:val="000000"/>
              </w:rPr>
            </w:pPr>
            <w:r>
              <w:rPr>
                <w:rFonts w:ascii="Calibri" w:eastAsia="Times New Roman" w:hAnsi="Calibri" w:cs="Calibri"/>
                <w:color w:val="000000"/>
              </w:rPr>
              <w:t>Single-Family</w:t>
            </w:r>
            <w:r w:rsidR="00EA2649">
              <w:rPr>
                <w:rFonts w:ascii="Calibri" w:eastAsia="Times New Roman" w:hAnsi="Calibri" w:cs="Calibri"/>
                <w:color w:val="000000"/>
              </w:rPr>
              <w:t>*</w:t>
            </w:r>
          </w:p>
        </w:tc>
        <w:tc>
          <w:tcPr>
            <w:tcW w:w="2255" w:type="dxa"/>
            <w:noWrap/>
          </w:tcPr>
          <w:p w14:paraId="08F6C1F4" w14:textId="41691262" w:rsidR="000813E3" w:rsidRPr="0047775F" w:rsidRDefault="00D21BA8" w:rsidP="003E68C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43%</w:t>
            </w:r>
          </w:p>
        </w:tc>
        <w:tc>
          <w:tcPr>
            <w:tcW w:w="2255" w:type="dxa"/>
            <w:noWrap/>
          </w:tcPr>
          <w:p w14:paraId="7D7B51C1" w14:textId="6AA27A4D" w:rsidR="000813E3" w:rsidRPr="0047775F" w:rsidRDefault="00D21BA8" w:rsidP="003E68C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42%</w:t>
            </w:r>
          </w:p>
        </w:tc>
      </w:tr>
      <w:tr w:rsidR="000813E3" w:rsidRPr="0047775F" w14:paraId="62050DE9" w14:textId="77777777" w:rsidTr="004648B0">
        <w:trPr>
          <w:trHeight w:val="248"/>
        </w:trPr>
        <w:tc>
          <w:tcPr>
            <w:cnfStyle w:val="001000000000" w:firstRow="0" w:lastRow="0" w:firstColumn="1" w:lastColumn="0" w:oddVBand="0" w:evenVBand="0" w:oddHBand="0" w:evenHBand="0" w:firstRowFirstColumn="0" w:firstRowLastColumn="0" w:lastRowFirstColumn="0" w:lastRowLastColumn="0"/>
            <w:tcW w:w="2424" w:type="dxa"/>
            <w:noWrap/>
          </w:tcPr>
          <w:p w14:paraId="795B042F" w14:textId="63E5EF69" w:rsidR="000813E3" w:rsidRPr="0047775F" w:rsidRDefault="00EA2649" w:rsidP="0047775F">
            <w:pPr>
              <w:spacing w:after="0" w:line="240" w:lineRule="auto"/>
              <w:rPr>
                <w:rFonts w:ascii="Calibri" w:eastAsia="Times New Roman" w:hAnsi="Calibri" w:cs="Calibri"/>
                <w:color w:val="000000"/>
              </w:rPr>
            </w:pPr>
            <w:r>
              <w:rPr>
                <w:rFonts w:ascii="Calibri" w:eastAsia="Times New Roman" w:hAnsi="Calibri" w:cs="Calibri"/>
                <w:color w:val="000000"/>
              </w:rPr>
              <w:t>2-4 Unit Multifamily*</w:t>
            </w:r>
          </w:p>
        </w:tc>
        <w:tc>
          <w:tcPr>
            <w:tcW w:w="2255" w:type="dxa"/>
            <w:noWrap/>
          </w:tcPr>
          <w:p w14:paraId="33BC83B3" w14:textId="224BAC7A" w:rsidR="000813E3" w:rsidRPr="0047775F" w:rsidRDefault="00A7325F" w:rsidP="003E68C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43%</w:t>
            </w:r>
          </w:p>
        </w:tc>
        <w:tc>
          <w:tcPr>
            <w:tcW w:w="2255" w:type="dxa"/>
            <w:noWrap/>
          </w:tcPr>
          <w:p w14:paraId="621530FC" w14:textId="1ED2871F" w:rsidR="000813E3" w:rsidRPr="0047775F" w:rsidRDefault="00A7325F" w:rsidP="003E68C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42%</w:t>
            </w:r>
          </w:p>
        </w:tc>
      </w:tr>
      <w:tr w:rsidR="002A50FE" w:rsidRPr="0047775F" w14:paraId="74C10945" w14:textId="77777777" w:rsidTr="004648B0">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2424" w:type="dxa"/>
            <w:noWrap/>
            <w:hideMark/>
          </w:tcPr>
          <w:p w14:paraId="145DFF54" w14:textId="77777777" w:rsidR="002A50FE" w:rsidRPr="0047775F" w:rsidRDefault="002A50FE" w:rsidP="002A50FE">
            <w:pPr>
              <w:spacing w:after="0" w:line="240" w:lineRule="auto"/>
              <w:rPr>
                <w:rFonts w:ascii="Calibri" w:eastAsia="Times New Roman" w:hAnsi="Calibri" w:cs="Calibri"/>
                <w:color w:val="000000"/>
              </w:rPr>
            </w:pPr>
            <w:r w:rsidRPr="0047775F">
              <w:rPr>
                <w:rFonts w:ascii="Calibri" w:eastAsia="Times New Roman" w:hAnsi="Calibri" w:cs="Calibri"/>
                <w:color w:val="000000"/>
              </w:rPr>
              <w:t>Warehouse</w:t>
            </w:r>
          </w:p>
        </w:tc>
        <w:tc>
          <w:tcPr>
            <w:tcW w:w="2255" w:type="dxa"/>
            <w:noWrap/>
            <w:hideMark/>
          </w:tcPr>
          <w:p w14:paraId="7518F1DC" w14:textId="29CB8915" w:rsidR="002A50FE" w:rsidRPr="002A50FE" w:rsidRDefault="002A50FE" w:rsidP="002A50F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2A50FE">
              <w:rPr>
                <w:rFonts w:ascii="Calibri" w:hAnsi="Calibri" w:cs="Calibri"/>
                <w:color w:val="000000"/>
                <w:kern w:val="24"/>
              </w:rPr>
              <w:t>62%</w:t>
            </w:r>
          </w:p>
        </w:tc>
        <w:tc>
          <w:tcPr>
            <w:tcW w:w="2255" w:type="dxa"/>
            <w:noWrap/>
            <w:hideMark/>
          </w:tcPr>
          <w:p w14:paraId="5903758A" w14:textId="1B37D2B8" w:rsidR="002A50FE" w:rsidRPr="002A50FE" w:rsidRDefault="002A50FE" w:rsidP="002A50F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2A50FE">
              <w:rPr>
                <w:rFonts w:ascii="Calibri" w:hAnsi="Calibri" w:cs="Calibri"/>
                <w:color w:val="000000"/>
                <w:kern w:val="24"/>
              </w:rPr>
              <w:t>38%</w:t>
            </w:r>
          </w:p>
        </w:tc>
      </w:tr>
      <w:tr w:rsidR="002A50FE" w:rsidRPr="0047775F" w14:paraId="0739023E" w14:textId="77777777" w:rsidTr="004648B0">
        <w:trPr>
          <w:trHeight w:val="248"/>
        </w:trPr>
        <w:tc>
          <w:tcPr>
            <w:cnfStyle w:val="001000000000" w:firstRow="0" w:lastRow="0" w:firstColumn="1" w:lastColumn="0" w:oddVBand="0" w:evenVBand="0" w:oddHBand="0" w:evenHBand="0" w:firstRowFirstColumn="0" w:firstRowLastColumn="0" w:lastRowFirstColumn="0" w:lastRowLastColumn="0"/>
            <w:tcW w:w="2424" w:type="dxa"/>
            <w:noWrap/>
            <w:hideMark/>
          </w:tcPr>
          <w:p w14:paraId="2C8D899D" w14:textId="6D220947" w:rsidR="002A50FE" w:rsidRPr="0047775F" w:rsidRDefault="00EA0F7E" w:rsidP="002A50FE">
            <w:pPr>
              <w:spacing w:after="0" w:line="240" w:lineRule="auto"/>
              <w:rPr>
                <w:rFonts w:ascii="Calibri" w:eastAsia="Times New Roman" w:hAnsi="Calibri" w:cs="Calibri"/>
                <w:color w:val="000000"/>
              </w:rPr>
            </w:pPr>
            <w:r>
              <w:rPr>
                <w:rFonts w:ascii="Calibri" w:eastAsia="Times New Roman" w:hAnsi="Calibri" w:cs="Calibri"/>
                <w:color w:val="000000"/>
              </w:rPr>
              <w:t>5</w:t>
            </w:r>
            <w:r w:rsidR="00EA2649">
              <w:rPr>
                <w:rFonts w:ascii="Calibri" w:eastAsia="Times New Roman" w:hAnsi="Calibri" w:cs="Calibri"/>
                <w:color w:val="000000"/>
              </w:rPr>
              <w:t>+ Unit Multifamily</w:t>
            </w:r>
          </w:p>
        </w:tc>
        <w:tc>
          <w:tcPr>
            <w:tcW w:w="2255" w:type="dxa"/>
            <w:noWrap/>
            <w:hideMark/>
          </w:tcPr>
          <w:p w14:paraId="4CE51517" w14:textId="37C6F538" w:rsidR="002A50FE" w:rsidRPr="002A50FE" w:rsidRDefault="002A50FE" w:rsidP="002A50F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A50FE">
              <w:rPr>
                <w:rFonts w:ascii="Calibri" w:hAnsi="Calibri" w:cs="Calibri"/>
                <w:color w:val="000000"/>
                <w:kern w:val="24"/>
              </w:rPr>
              <w:t>63%</w:t>
            </w:r>
          </w:p>
        </w:tc>
        <w:tc>
          <w:tcPr>
            <w:tcW w:w="2255" w:type="dxa"/>
            <w:noWrap/>
            <w:hideMark/>
          </w:tcPr>
          <w:p w14:paraId="0B66F105" w14:textId="1367109E" w:rsidR="002A50FE" w:rsidRPr="002A50FE" w:rsidRDefault="002A50FE" w:rsidP="002A50F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A50FE">
              <w:rPr>
                <w:rFonts w:ascii="Calibri" w:hAnsi="Calibri" w:cs="Calibri"/>
                <w:color w:val="000000"/>
                <w:kern w:val="24"/>
              </w:rPr>
              <w:t>37%</w:t>
            </w:r>
          </w:p>
        </w:tc>
      </w:tr>
      <w:tr w:rsidR="002A50FE" w:rsidRPr="0047775F" w14:paraId="583198AC" w14:textId="77777777" w:rsidTr="004648B0">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2424" w:type="dxa"/>
            <w:noWrap/>
            <w:hideMark/>
          </w:tcPr>
          <w:p w14:paraId="3117CB8F" w14:textId="77777777" w:rsidR="002A50FE" w:rsidRPr="0047775F" w:rsidRDefault="002A50FE" w:rsidP="002A50FE">
            <w:pPr>
              <w:spacing w:after="0" w:line="240" w:lineRule="auto"/>
              <w:rPr>
                <w:rFonts w:ascii="Calibri" w:eastAsia="Times New Roman" w:hAnsi="Calibri" w:cs="Calibri"/>
                <w:color w:val="000000"/>
              </w:rPr>
            </w:pPr>
            <w:r w:rsidRPr="0047775F">
              <w:rPr>
                <w:rFonts w:ascii="Calibri" w:eastAsia="Times New Roman" w:hAnsi="Calibri" w:cs="Calibri"/>
                <w:color w:val="000000"/>
              </w:rPr>
              <w:t>Hospital</w:t>
            </w:r>
          </w:p>
        </w:tc>
        <w:tc>
          <w:tcPr>
            <w:tcW w:w="2255" w:type="dxa"/>
            <w:noWrap/>
            <w:hideMark/>
          </w:tcPr>
          <w:p w14:paraId="78E8E7EA" w14:textId="22CAD73E" w:rsidR="002A50FE" w:rsidRPr="002A50FE" w:rsidRDefault="002A50FE" w:rsidP="002A50F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2A50FE">
              <w:rPr>
                <w:rFonts w:ascii="Calibri" w:hAnsi="Calibri" w:cs="Calibri"/>
                <w:color w:val="000000"/>
                <w:kern w:val="24"/>
              </w:rPr>
              <w:t>57%</w:t>
            </w:r>
          </w:p>
        </w:tc>
        <w:tc>
          <w:tcPr>
            <w:tcW w:w="2255" w:type="dxa"/>
            <w:noWrap/>
            <w:hideMark/>
          </w:tcPr>
          <w:p w14:paraId="1A15FA57" w14:textId="35E06B71" w:rsidR="002A50FE" w:rsidRPr="002A50FE" w:rsidRDefault="002A50FE" w:rsidP="002A50F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2A50FE">
              <w:rPr>
                <w:rFonts w:ascii="Calibri" w:hAnsi="Calibri" w:cs="Calibri"/>
                <w:color w:val="000000"/>
                <w:kern w:val="24"/>
              </w:rPr>
              <w:t>43%</w:t>
            </w:r>
          </w:p>
        </w:tc>
      </w:tr>
      <w:tr w:rsidR="002A50FE" w:rsidRPr="0047775F" w14:paraId="46E75827" w14:textId="77777777" w:rsidTr="004648B0">
        <w:trPr>
          <w:trHeight w:val="248"/>
        </w:trPr>
        <w:tc>
          <w:tcPr>
            <w:cnfStyle w:val="001000000000" w:firstRow="0" w:lastRow="0" w:firstColumn="1" w:lastColumn="0" w:oddVBand="0" w:evenVBand="0" w:oddHBand="0" w:evenHBand="0" w:firstRowFirstColumn="0" w:firstRowLastColumn="0" w:lastRowFirstColumn="0" w:lastRowLastColumn="0"/>
            <w:tcW w:w="2424" w:type="dxa"/>
            <w:noWrap/>
            <w:hideMark/>
          </w:tcPr>
          <w:p w14:paraId="01BAD9C0" w14:textId="77777777" w:rsidR="002A50FE" w:rsidRPr="0047775F" w:rsidRDefault="002A50FE" w:rsidP="002A50FE">
            <w:pPr>
              <w:spacing w:after="0" w:line="240" w:lineRule="auto"/>
              <w:rPr>
                <w:rFonts w:ascii="Calibri" w:eastAsia="Times New Roman" w:hAnsi="Calibri" w:cs="Calibri"/>
                <w:color w:val="000000"/>
              </w:rPr>
            </w:pPr>
            <w:r w:rsidRPr="0047775F">
              <w:rPr>
                <w:rFonts w:ascii="Calibri" w:eastAsia="Times New Roman" w:hAnsi="Calibri" w:cs="Calibri"/>
                <w:color w:val="000000"/>
              </w:rPr>
              <w:t>Hotel</w:t>
            </w:r>
          </w:p>
        </w:tc>
        <w:tc>
          <w:tcPr>
            <w:tcW w:w="2255" w:type="dxa"/>
            <w:noWrap/>
            <w:hideMark/>
          </w:tcPr>
          <w:p w14:paraId="7840575D" w14:textId="30AD3578" w:rsidR="002A50FE" w:rsidRPr="002A50FE" w:rsidRDefault="002A50FE" w:rsidP="002A50F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A50FE">
              <w:rPr>
                <w:rFonts w:ascii="Calibri" w:hAnsi="Calibri" w:cs="Calibri"/>
                <w:color w:val="000000"/>
                <w:kern w:val="24"/>
              </w:rPr>
              <w:t>60%</w:t>
            </w:r>
          </w:p>
        </w:tc>
        <w:tc>
          <w:tcPr>
            <w:tcW w:w="2255" w:type="dxa"/>
            <w:noWrap/>
            <w:hideMark/>
          </w:tcPr>
          <w:p w14:paraId="576488F7" w14:textId="29B88CE6" w:rsidR="002A50FE" w:rsidRPr="002A50FE" w:rsidRDefault="002A50FE" w:rsidP="002A50F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A50FE">
              <w:rPr>
                <w:rFonts w:ascii="Calibri" w:hAnsi="Calibri" w:cs="Calibri"/>
                <w:color w:val="000000"/>
                <w:kern w:val="24"/>
              </w:rPr>
              <w:t>40%</w:t>
            </w:r>
          </w:p>
        </w:tc>
      </w:tr>
      <w:tr w:rsidR="002A50FE" w:rsidRPr="0047775F" w14:paraId="27327C68" w14:textId="77777777" w:rsidTr="004648B0">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2424" w:type="dxa"/>
            <w:noWrap/>
            <w:hideMark/>
          </w:tcPr>
          <w:p w14:paraId="342DA3A4" w14:textId="77777777" w:rsidR="002A50FE" w:rsidRPr="0047775F" w:rsidRDefault="002A50FE" w:rsidP="002A50FE">
            <w:pPr>
              <w:spacing w:after="0" w:line="240" w:lineRule="auto"/>
              <w:rPr>
                <w:rFonts w:ascii="Calibri" w:eastAsia="Times New Roman" w:hAnsi="Calibri" w:cs="Calibri"/>
                <w:color w:val="000000"/>
              </w:rPr>
            </w:pPr>
            <w:r w:rsidRPr="0047775F">
              <w:rPr>
                <w:rFonts w:ascii="Calibri" w:eastAsia="Times New Roman" w:hAnsi="Calibri" w:cs="Calibri"/>
                <w:color w:val="000000"/>
              </w:rPr>
              <w:t>Office</w:t>
            </w:r>
          </w:p>
        </w:tc>
        <w:tc>
          <w:tcPr>
            <w:tcW w:w="2255" w:type="dxa"/>
            <w:noWrap/>
            <w:hideMark/>
          </w:tcPr>
          <w:p w14:paraId="55EB8B64" w14:textId="72C2F955" w:rsidR="002A50FE" w:rsidRPr="002A50FE" w:rsidRDefault="002A50FE" w:rsidP="002A50F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2A50FE">
              <w:rPr>
                <w:rFonts w:ascii="Calibri" w:hAnsi="Calibri" w:cs="Calibri"/>
                <w:color w:val="000000"/>
                <w:kern w:val="24"/>
              </w:rPr>
              <w:t>76%</w:t>
            </w:r>
          </w:p>
        </w:tc>
        <w:tc>
          <w:tcPr>
            <w:tcW w:w="2255" w:type="dxa"/>
            <w:noWrap/>
            <w:hideMark/>
          </w:tcPr>
          <w:p w14:paraId="484F59BD" w14:textId="169381B6" w:rsidR="002A50FE" w:rsidRPr="002A50FE" w:rsidRDefault="002A50FE" w:rsidP="002A50F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2A50FE">
              <w:rPr>
                <w:rFonts w:ascii="Calibri" w:hAnsi="Calibri" w:cs="Calibri"/>
                <w:color w:val="000000"/>
                <w:kern w:val="24"/>
              </w:rPr>
              <w:t>24%</w:t>
            </w:r>
          </w:p>
        </w:tc>
      </w:tr>
      <w:tr w:rsidR="002A50FE" w:rsidRPr="0047775F" w14:paraId="1FF1531C" w14:textId="77777777" w:rsidTr="004648B0">
        <w:trPr>
          <w:trHeight w:val="248"/>
        </w:trPr>
        <w:tc>
          <w:tcPr>
            <w:cnfStyle w:val="001000000000" w:firstRow="0" w:lastRow="0" w:firstColumn="1" w:lastColumn="0" w:oddVBand="0" w:evenVBand="0" w:oddHBand="0" w:evenHBand="0" w:firstRowFirstColumn="0" w:firstRowLastColumn="0" w:lastRowFirstColumn="0" w:lastRowLastColumn="0"/>
            <w:tcW w:w="2424" w:type="dxa"/>
            <w:noWrap/>
            <w:hideMark/>
          </w:tcPr>
          <w:p w14:paraId="56DB65F7" w14:textId="77777777" w:rsidR="002A50FE" w:rsidRPr="0047775F" w:rsidRDefault="002A50FE" w:rsidP="002A50FE">
            <w:pPr>
              <w:spacing w:after="0" w:line="240" w:lineRule="auto"/>
              <w:rPr>
                <w:rFonts w:ascii="Calibri" w:eastAsia="Times New Roman" w:hAnsi="Calibri" w:cs="Calibri"/>
                <w:color w:val="000000"/>
              </w:rPr>
            </w:pPr>
            <w:r w:rsidRPr="0047775F">
              <w:rPr>
                <w:rFonts w:ascii="Calibri" w:eastAsia="Times New Roman" w:hAnsi="Calibri" w:cs="Calibri"/>
                <w:color w:val="000000"/>
              </w:rPr>
              <w:t>Clinic</w:t>
            </w:r>
          </w:p>
        </w:tc>
        <w:tc>
          <w:tcPr>
            <w:tcW w:w="2255" w:type="dxa"/>
            <w:noWrap/>
            <w:hideMark/>
          </w:tcPr>
          <w:p w14:paraId="39E399CF" w14:textId="46D1B536" w:rsidR="002A50FE" w:rsidRPr="002A50FE" w:rsidRDefault="002A50FE" w:rsidP="002A50F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A50FE">
              <w:rPr>
                <w:rFonts w:ascii="Calibri" w:hAnsi="Calibri" w:cs="Calibri"/>
                <w:color w:val="000000"/>
                <w:kern w:val="24"/>
              </w:rPr>
              <w:t>74%</w:t>
            </w:r>
          </w:p>
        </w:tc>
        <w:tc>
          <w:tcPr>
            <w:tcW w:w="2255" w:type="dxa"/>
            <w:noWrap/>
            <w:hideMark/>
          </w:tcPr>
          <w:p w14:paraId="6B90754F" w14:textId="036F3F35" w:rsidR="002A50FE" w:rsidRPr="002A50FE" w:rsidRDefault="002A50FE" w:rsidP="002A50F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A50FE">
              <w:rPr>
                <w:rFonts w:ascii="Calibri" w:hAnsi="Calibri" w:cs="Calibri"/>
                <w:color w:val="000000"/>
                <w:kern w:val="24"/>
              </w:rPr>
              <w:t>26%</w:t>
            </w:r>
          </w:p>
        </w:tc>
      </w:tr>
      <w:tr w:rsidR="002A50FE" w:rsidRPr="0047775F" w14:paraId="42317BE0" w14:textId="77777777" w:rsidTr="004648B0">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2424" w:type="dxa"/>
            <w:noWrap/>
            <w:hideMark/>
          </w:tcPr>
          <w:p w14:paraId="080E12F2" w14:textId="77777777" w:rsidR="002A50FE" w:rsidRPr="0047775F" w:rsidRDefault="002A50FE" w:rsidP="002A50FE">
            <w:pPr>
              <w:spacing w:after="0" w:line="240" w:lineRule="auto"/>
              <w:rPr>
                <w:rFonts w:ascii="Calibri" w:eastAsia="Times New Roman" w:hAnsi="Calibri" w:cs="Calibri"/>
                <w:color w:val="000000"/>
              </w:rPr>
            </w:pPr>
            <w:r w:rsidRPr="0047775F">
              <w:rPr>
                <w:rFonts w:ascii="Calibri" w:eastAsia="Times New Roman" w:hAnsi="Calibri" w:cs="Calibri"/>
                <w:color w:val="000000"/>
              </w:rPr>
              <w:t>Fast Food</w:t>
            </w:r>
          </w:p>
        </w:tc>
        <w:tc>
          <w:tcPr>
            <w:tcW w:w="2255" w:type="dxa"/>
            <w:noWrap/>
            <w:hideMark/>
          </w:tcPr>
          <w:p w14:paraId="1EF9831E" w14:textId="59658560" w:rsidR="002A50FE" w:rsidRPr="002A50FE" w:rsidRDefault="002A50FE" w:rsidP="002A50F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2A50FE">
              <w:rPr>
                <w:rFonts w:ascii="Calibri" w:hAnsi="Calibri" w:cs="Calibri"/>
                <w:color w:val="000000"/>
                <w:kern w:val="24"/>
              </w:rPr>
              <w:t>58%</w:t>
            </w:r>
          </w:p>
        </w:tc>
        <w:tc>
          <w:tcPr>
            <w:tcW w:w="2255" w:type="dxa"/>
            <w:noWrap/>
            <w:hideMark/>
          </w:tcPr>
          <w:p w14:paraId="6527C806" w14:textId="61F1C813" w:rsidR="002A50FE" w:rsidRPr="002A50FE" w:rsidRDefault="002A50FE" w:rsidP="002A50F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2A50FE">
              <w:rPr>
                <w:rFonts w:ascii="Calibri" w:hAnsi="Calibri" w:cs="Calibri"/>
                <w:color w:val="000000"/>
                <w:kern w:val="24"/>
              </w:rPr>
              <w:t>42%</w:t>
            </w:r>
          </w:p>
        </w:tc>
      </w:tr>
      <w:tr w:rsidR="002A50FE" w:rsidRPr="0047775F" w14:paraId="6328EE4E" w14:textId="77777777" w:rsidTr="004648B0">
        <w:trPr>
          <w:trHeight w:val="248"/>
        </w:trPr>
        <w:tc>
          <w:tcPr>
            <w:cnfStyle w:val="001000000000" w:firstRow="0" w:lastRow="0" w:firstColumn="1" w:lastColumn="0" w:oddVBand="0" w:evenVBand="0" w:oddHBand="0" w:evenHBand="0" w:firstRowFirstColumn="0" w:firstRowLastColumn="0" w:lastRowFirstColumn="0" w:lastRowLastColumn="0"/>
            <w:tcW w:w="2424" w:type="dxa"/>
            <w:noWrap/>
            <w:hideMark/>
          </w:tcPr>
          <w:p w14:paraId="7F6A1737" w14:textId="77777777" w:rsidR="002A50FE" w:rsidRPr="0047775F" w:rsidRDefault="002A50FE" w:rsidP="002A50FE">
            <w:pPr>
              <w:spacing w:after="0" w:line="240" w:lineRule="auto"/>
              <w:rPr>
                <w:rFonts w:ascii="Calibri" w:eastAsia="Times New Roman" w:hAnsi="Calibri" w:cs="Calibri"/>
                <w:color w:val="000000"/>
              </w:rPr>
            </w:pPr>
            <w:r w:rsidRPr="0047775F">
              <w:rPr>
                <w:rFonts w:ascii="Calibri" w:eastAsia="Times New Roman" w:hAnsi="Calibri" w:cs="Calibri"/>
                <w:color w:val="000000"/>
              </w:rPr>
              <w:t>Restaurant</w:t>
            </w:r>
          </w:p>
        </w:tc>
        <w:tc>
          <w:tcPr>
            <w:tcW w:w="2255" w:type="dxa"/>
            <w:noWrap/>
            <w:hideMark/>
          </w:tcPr>
          <w:p w14:paraId="240986D4" w14:textId="68E001FB" w:rsidR="002A50FE" w:rsidRPr="002A50FE" w:rsidRDefault="002A50FE" w:rsidP="002A50F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A50FE">
              <w:rPr>
                <w:rFonts w:ascii="Calibri" w:hAnsi="Calibri" w:cs="Calibri"/>
                <w:color w:val="000000"/>
                <w:kern w:val="24"/>
              </w:rPr>
              <w:t>58%</w:t>
            </w:r>
          </w:p>
        </w:tc>
        <w:tc>
          <w:tcPr>
            <w:tcW w:w="2255" w:type="dxa"/>
            <w:noWrap/>
            <w:hideMark/>
          </w:tcPr>
          <w:p w14:paraId="1C863195" w14:textId="72ECAD5D" w:rsidR="002A50FE" w:rsidRPr="002A50FE" w:rsidRDefault="002A50FE" w:rsidP="002A50F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A50FE">
              <w:rPr>
                <w:rFonts w:ascii="Calibri" w:hAnsi="Calibri" w:cs="Calibri"/>
                <w:color w:val="000000"/>
                <w:kern w:val="24"/>
              </w:rPr>
              <w:t>42%</w:t>
            </w:r>
          </w:p>
        </w:tc>
      </w:tr>
      <w:tr w:rsidR="002A50FE" w:rsidRPr="0047775F" w14:paraId="4C94CDCE" w14:textId="77777777" w:rsidTr="004648B0">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2424" w:type="dxa"/>
            <w:noWrap/>
            <w:hideMark/>
          </w:tcPr>
          <w:p w14:paraId="344B039F" w14:textId="77777777" w:rsidR="002A50FE" w:rsidRPr="0047775F" w:rsidRDefault="002A50FE" w:rsidP="002A50FE">
            <w:pPr>
              <w:spacing w:after="0" w:line="240" w:lineRule="auto"/>
              <w:rPr>
                <w:rFonts w:ascii="Calibri" w:eastAsia="Times New Roman" w:hAnsi="Calibri" w:cs="Calibri"/>
                <w:color w:val="000000"/>
              </w:rPr>
            </w:pPr>
            <w:r w:rsidRPr="0047775F">
              <w:rPr>
                <w:rFonts w:ascii="Calibri" w:eastAsia="Times New Roman" w:hAnsi="Calibri" w:cs="Calibri"/>
                <w:color w:val="000000"/>
              </w:rPr>
              <w:t>Retail Store</w:t>
            </w:r>
          </w:p>
        </w:tc>
        <w:tc>
          <w:tcPr>
            <w:tcW w:w="2255" w:type="dxa"/>
            <w:noWrap/>
            <w:hideMark/>
          </w:tcPr>
          <w:p w14:paraId="3CD6CA12" w14:textId="7DC8E63D" w:rsidR="002A50FE" w:rsidRPr="002A50FE" w:rsidRDefault="002A50FE" w:rsidP="002A50F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2A50FE">
              <w:rPr>
                <w:rFonts w:ascii="Calibri" w:hAnsi="Calibri" w:cs="Calibri"/>
                <w:color w:val="000000"/>
                <w:kern w:val="24"/>
              </w:rPr>
              <w:t>74%</w:t>
            </w:r>
          </w:p>
        </w:tc>
        <w:tc>
          <w:tcPr>
            <w:tcW w:w="2255" w:type="dxa"/>
            <w:noWrap/>
            <w:hideMark/>
          </w:tcPr>
          <w:p w14:paraId="1712F02E" w14:textId="6BDFD652" w:rsidR="002A50FE" w:rsidRPr="002A50FE" w:rsidRDefault="002A50FE" w:rsidP="002A50F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2A50FE">
              <w:rPr>
                <w:rFonts w:ascii="Calibri" w:hAnsi="Calibri" w:cs="Calibri"/>
                <w:color w:val="000000"/>
                <w:kern w:val="24"/>
              </w:rPr>
              <w:t>26%</w:t>
            </w:r>
          </w:p>
        </w:tc>
      </w:tr>
      <w:tr w:rsidR="002A50FE" w:rsidRPr="0047775F" w14:paraId="11762690" w14:textId="77777777" w:rsidTr="004648B0">
        <w:trPr>
          <w:trHeight w:val="248"/>
        </w:trPr>
        <w:tc>
          <w:tcPr>
            <w:cnfStyle w:val="001000000000" w:firstRow="0" w:lastRow="0" w:firstColumn="1" w:lastColumn="0" w:oddVBand="0" w:evenVBand="0" w:oddHBand="0" w:evenHBand="0" w:firstRowFirstColumn="0" w:firstRowLastColumn="0" w:lastRowFirstColumn="0" w:lastRowLastColumn="0"/>
            <w:tcW w:w="2424" w:type="dxa"/>
            <w:noWrap/>
            <w:hideMark/>
          </w:tcPr>
          <w:p w14:paraId="03A8416A" w14:textId="77777777" w:rsidR="002A50FE" w:rsidRPr="0047775F" w:rsidRDefault="002A50FE" w:rsidP="002A50FE">
            <w:pPr>
              <w:spacing w:after="0" w:line="240" w:lineRule="auto"/>
              <w:rPr>
                <w:rFonts w:ascii="Calibri" w:eastAsia="Times New Roman" w:hAnsi="Calibri" w:cs="Calibri"/>
                <w:color w:val="000000"/>
              </w:rPr>
            </w:pPr>
            <w:r w:rsidRPr="0047775F">
              <w:rPr>
                <w:rFonts w:ascii="Calibri" w:eastAsia="Times New Roman" w:hAnsi="Calibri" w:cs="Calibri"/>
                <w:color w:val="000000"/>
              </w:rPr>
              <w:t>Strip Mall</w:t>
            </w:r>
          </w:p>
        </w:tc>
        <w:tc>
          <w:tcPr>
            <w:tcW w:w="2255" w:type="dxa"/>
            <w:noWrap/>
            <w:hideMark/>
          </w:tcPr>
          <w:p w14:paraId="68E2305C" w14:textId="4F632AB6" w:rsidR="002A50FE" w:rsidRPr="002A50FE" w:rsidRDefault="002A50FE" w:rsidP="002A50F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A50FE">
              <w:rPr>
                <w:rFonts w:ascii="Calibri" w:hAnsi="Calibri" w:cs="Calibri"/>
                <w:color w:val="000000"/>
                <w:kern w:val="24"/>
              </w:rPr>
              <w:t>60%</w:t>
            </w:r>
          </w:p>
        </w:tc>
        <w:tc>
          <w:tcPr>
            <w:tcW w:w="2255" w:type="dxa"/>
            <w:noWrap/>
            <w:hideMark/>
          </w:tcPr>
          <w:p w14:paraId="486623BF" w14:textId="4DF4E8E9" w:rsidR="002A50FE" w:rsidRPr="002A50FE" w:rsidRDefault="002A50FE" w:rsidP="002A50F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2A50FE">
              <w:rPr>
                <w:rFonts w:ascii="Calibri" w:hAnsi="Calibri" w:cs="Calibri"/>
                <w:color w:val="000000"/>
                <w:kern w:val="24"/>
              </w:rPr>
              <w:t>40%</w:t>
            </w:r>
          </w:p>
        </w:tc>
      </w:tr>
      <w:tr w:rsidR="002A50FE" w:rsidRPr="0047775F" w14:paraId="2C6C7D73" w14:textId="77777777" w:rsidTr="004648B0">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2424" w:type="dxa"/>
            <w:noWrap/>
            <w:hideMark/>
          </w:tcPr>
          <w:p w14:paraId="7CB2236C" w14:textId="77777777" w:rsidR="002A50FE" w:rsidRPr="0047775F" w:rsidRDefault="002A50FE" w:rsidP="002A50FE">
            <w:pPr>
              <w:spacing w:after="0" w:line="240" w:lineRule="auto"/>
              <w:rPr>
                <w:rFonts w:ascii="Calibri" w:eastAsia="Times New Roman" w:hAnsi="Calibri" w:cs="Calibri"/>
                <w:color w:val="000000"/>
              </w:rPr>
            </w:pPr>
            <w:r w:rsidRPr="0047775F">
              <w:rPr>
                <w:rFonts w:ascii="Calibri" w:eastAsia="Times New Roman" w:hAnsi="Calibri" w:cs="Calibri"/>
                <w:color w:val="000000"/>
              </w:rPr>
              <w:t>Schools</w:t>
            </w:r>
          </w:p>
        </w:tc>
        <w:tc>
          <w:tcPr>
            <w:tcW w:w="2255" w:type="dxa"/>
            <w:noWrap/>
            <w:hideMark/>
          </w:tcPr>
          <w:p w14:paraId="5905E084" w14:textId="2D43B851" w:rsidR="002A50FE" w:rsidRPr="002A50FE" w:rsidRDefault="002A50FE" w:rsidP="002A50F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2A50FE">
              <w:rPr>
                <w:rFonts w:ascii="Calibri" w:hAnsi="Calibri" w:cs="Calibri"/>
                <w:color w:val="000000"/>
                <w:kern w:val="24"/>
              </w:rPr>
              <w:t>57%</w:t>
            </w:r>
          </w:p>
        </w:tc>
        <w:tc>
          <w:tcPr>
            <w:tcW w:w="2255" w:type="dxa"/>
            <w:noWrap/>
            <w:hideMark/>
          </w:tcPr>
          <w:p w14:paraId="51831293" w14:textId="79520828" w:rsidR="002A50FE" w:rsidRPr="002A50FE" w:rsidRDefault="002A50FE" w:rsidP="002A50F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2A50FE">
              <w:rPr>
                <w:rFonts w:ascii="Calibri" w:hAnsi="Calibri" w:cs="Calibri"/>
                <w:color w:val="000000"/>
                <w:kern w:val="24"/>
              </w:rPr>
              <w:t>43%</w:t>
            </w:r>
          </w:p>
        </w:tc>
      </w:tr>
    </w:tbl>
    <w:p w14:paraId="2F3F00F1" w14:textId="46928986" w:rsidR="0047775F" w:rsidRPr="00673E10" w:rsidRDefault="00EA2649" w:rsidP="0047775F">
      <w:pPr>
        <w:rPr>
          <w:sz w:val="16"/>
          <w:szCs w:val="16"/>
        </w:rPr>
      </w:pPr>
      <w:r w:rsidRPr="00673E10">
        <w:rPr>
          <w:sz w:val="16"/>
          <w:szCs w:val="16"/>
        </w:rPr>
        <w:t>*</w:t>
      </w:r>
      <w:r w:rsidR="00406E00" w:rsidRPr="00673E10">
        <w:rPr>
          <w:sz w:val="16"/>
          <w:szCs w:val="16"/>
        </w:rPr>
        <w:t xml:space="preserve">Amounts do not sum to 100% </w:t>
      </w:r>
      <w:r w:rsidR="00E95CCF" w:rsidRPr="00673E10">
        <w:rPr>
          <w:sz w:val="16"/>
          <w:szCs w:val="16"/>
        </w:rPr>
        <w:t>- other fuels (propane, wood, fuel oil) make up remaining percent</w:t>
      </w:r>
    </w:p>
    <w:p w14:paraId="522C72BA" w14:textId="36B441F6" w:rsidR="00DB5944" w:rsidRDefault="00CD07E3" w:rsidP="00CD07E3">
      <w:pPr>
        <w:pStyle w:val="Heading2ALT"/>
      </w:pPr>
      <w:r>
        <w:t>4</w:t>
      </w:r>
      <w:r w:rsidR="00B62E3E">
        <w:t>.0 Results</w:t>
      </w:r>
    </w:p>
    <w:p w14:paraId="79270E44" w14:textId="05DDD410" w:rsidR="00EE79D8" w:rsidRPr="00371CD3" w:rsidRDefault="00B54AF4" w:rsidP="003C3A51">
      <w:pPr>
        <w:pStyle w:val="Bodysansserif"/>
      </w:pPr>
      <w:r>
        <w:t>Results for the natural market baseline illustrate relatively low market adoption for the first stretch code cycle</w:t>
      </w:r>
      <w:r w:rsidR="00DD7916">
        <w:t xml:space="preserve"> (2024)</w:t>
      </w:r>
      <w:r>
        <w:t xml:space="preserve"> and then increased natural market adoption </w:t>
      </w:r>
      <w:r w:rsidR="00F433F6">
        <w:t>for the second code cycle</w:t>
      </w:r>
      <w:r w:rsidR="00DD7916">
        <w:t xml:space="preserve"> (2026)</w:t>
      </w:r>
      <w:r w:rsidR="00F433F6">
        <w:t xml:space="preserve">. </w:t>
      </w:r>
      <w:r w:rsidR="00EE79D8">
        <w:fldChar w:fldCharType="begin"/>
      </w:r>
      <w:r w:rsidR="00EE79D8">
        <w:instrText xml:space="preserve"> REF _Ref150882431 \h </w:instrText>
      </w:r>
      <w:r w:rsidR="003C3A51">
        <w:instrText xml:space="preserve"> \* MERGEFORMAT </w:instrText>
      </w:r>
      <w:r w:rsidR="00EE79D8">
        <w:fldChar w:fldCharType="separate"/>
      </w:r>
      <w:r w:rsidR="00F433F6">
        <w:t xml:space="preserve">Figure </w:t>
      </w:r>
      <w:r w:rsidR="00F433F6" w:rsidRPr="31C53C33">
        <w:rPr>
          <w:noProof/>
        </w:rPr>
        <w:t>3</w:t>
      </w:r>
      <w:r w:rsidR="00EE79D8">
        <w:fldChar w:fldCharType="end"/>
      </w:r>
      <w:r w:rsidR="00F433F6">
        <w:t xml:space="preserve"> and Figure 4 illustrate the commercial and residential natural market baseline, respectively. </w:t>
      </w:r>
      <w:r w:rsidR="00EE79D8">
        <w:t xml:space="preserve">The top dark </w:t>
      </w:r>
      <w:r w:rsidR="77F0F0BA">
        <w:t xml:space="preserve">green </w:t>
      </w:r>
      <w:r w:rsidR="00EE79D8">
        <w:t xml:space="preserve">straight-line shows assumed total new construction each year in </w:t>
      </w:r>
      <w:r w:rsidR="00C672F5">
        <w:t>the ComEd territory</w:t>
      </w:r>
      <w:r w:rsidR="00EE79D8">
        <w:t xml:space="preserve"> while the natural market baseline curve applies the percent likelihood of adoption of stretch without utility intervention. </w:t>
      </w:r>
      <w:r w:rsidR="00F433F6">
        <w:t xml:space="preserve">The </w:t>
      </w:r>
      <w:r w:rsidR="00D71301">
        <w:t xml:space="preserve">two different natural market baseline curves represent the difference between a </w:t>
      </w:r>
      <w:r w:rsidR="00D71301">
        <w:lastRenderedPageBreak/>
        <w:t xml:space="preserve">likelihood of adoption of 25% and 75% for the City of Chicago. We are working with the </w:t>
      </w:r>
      <w:proofErr w:type="gramStart"/>
      <w:r w:rsidR="00D71301">
        <w:t>City</w:t>
      </w:r>
      <w:proofErr w:type="gramEnd"/>
      <w:r w:rsidR="00D71301">
        <w:t xml:space="preserve"> to finalize this </w:t>
      </w:r>
      <w:r w:rsidR="00DD7916">
        <w:t>value</w:t>
      </w:r>
      <w:r w:rsidR="3FFB8EB1">
        <w:t xml:space="preserve"> and should be revisited during evaluation.</w:t>
      </w:r>
      <w:r w:rsidR="00D71301">
        <w:t xml:space="preserve"> </w:t>
      </w:r>
      <w:r w:rsidR="705F511C">
        <w:t xml:space="preserve"> </w:t>
      </w:r>
      <w:r w:rsidR="00EE79D8">
        <w:t xml:space="preserve">The potential utility impact in </w:t>
      </w:r>
      <w:r w:rsidR="004A0A35">
        <w:t>gray</w:t>
      </w:r>
      <w:r w:rsidR="00EE79D8">
        <w:t xml:space="preserve"> </w:t>
      </w:r>
      <w:r w:rsidR="00991AF0">
        <w:t>is quantified as total potential square feet impacted (100% adoption) minus the NMB square feet (square feet that would have been impacted by the stretch code without intervention).</w:t>
      </w:r>
    </w:p>
    <w:p w14:paraId="76F1EADD" w14:textId="75DB4091" w:rsidR="00371CD3" w:rsidRDefault="00371CD3" w:rsidP="003C3A51">
      <w:pPr>
        <w:pStyle w:val="Bodysansserif"/>
      </w:pPr>
      <w:bookmarkStart w:id="11" w:name="_Ref150882431"/>
      <w:r>
        <w:t xml:space="preserve">Figure </w:t>
      </w:r>
      <w:r w:rsidRPr="7DDA5DB8">
        <w:fldChar w:fldCharType="begin"/>
      </w:r>
      <w:r>
        <w:instrText xml:space="preserve"> SEQ Figure \* ARABIC </w:instrText>
      </w:r>
      <w:r w:rsidRPr="7DDA5DB8">
        <w:fldChar w:fldCharType="separate"/>
      </w:r>
      <w:r w:rsidR="009D2816" w:rsidRPr="7DDA5DB8">
        <w:rPr>
          <w:noProof/>
        </w:rPr>
        <w:t>4</w:t>
      </w:r>
      <w:r w:rsidRPr="7DDA5DB8">
        <w:rPr>
          <w:noProof/>
        </w:rPr>
        <w:fldChar w:fldCharType="end"/>
      </w:r>
      <w:bookmarkEnd w:id="11"/>
      <w:r>
        <w:t xml:space="preserve">. </w:t>
      </w:r>
      <w:r w:rsidR="000F5834">
        <w:t>Commercial</w:t>
      </w:r>
      <w:r w:rsidR="000B2098">
        <w:t xml:space="preserve"> and residential</w:t>
      </w:r>
      <w:r w:rsidR="000F5834">
        <w:t xml:space="preserve"> natural market baseline curve</w:t>
      </w:r>
      <w:r w:rsidR="00C92BB6">
        <w:t xml:space="preserve"> (</w:t>
      </w:r>
      <w:r w:rsidR="004B70E3">
        <w:t>new construction square feet)</w:t>
      </w:r>
    </w:p>
    <w:p w14:paraId="53E895C8" w14:textId="37252F32" w:rsidR="00D04376" w:rsidRDefault="004A0A35" w:rsidP="003C3A51">
      <w:pPr>
        <w:pStyle w:val="Bodysansserif"/>
      </w:pPr>
      <w:r w:rsidRPr="004A0A35">
        <w:rPr>
          <w:noProof/>
        </w:rPr>
        <w:drawing>
          <wp:inline distT="0" distB="0" distL="0" distR="0" wp14:anchorId="28905A39" wp14:editId="21636CE8">
            <wp:extent cx="5943600" cy="2547620"/>
            <wp:effectExtent l="19050" t="19050" r="19050" b="24130"/>
            <wp:docPr id="672996486" name="Picture 1" descr="A comparison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996486" name="Picture 1" descr="A comparison of a graph&#10;&#10;Description automatically generated"/>
                    <pic:cNvPicPr/>
                  </pic:nvPicPr>
                  <pic:blipFill>
                    <a:blip r:embed="rId16"/>
                    <a:stretch>
                      <a:fillRect/>
                    </a:stretch>
                  </pic:blipFill>
                  <pic:spPr>
                    <a:xfrm>
                      <a:off x="0" y="0"/>
                      <a:ext cx="5943600" cy="2547620"/>
                    </a:xfrm>
                    <a:prstGeom prst="rect">
                      <a:avLst/>
                    </a:prstGeom>
                    <a:ln>
                      <a:solidFill>
                        <a:schemeClr val="accent5"/>
                      </a:solidFill>
                    </a:ln>
                  </pic:spPr>
                </pic:pic>
              </a:graphicData>
            </a:graphic>
          </wp:inline>
        </w:drawing>
      </w:r>
    </w:p>
    <w:p w14:paraId="7CAFDA69" w14:textId="111A82DB" w:rsidR="000F5834" w:rsidRDefault="000F5834" w:rsidP="003C3A51">
      <w:pPr>
        <w:pStyle w:val="Bodysansserif"/>
      </w:pPr>
    </w:p>
    <w:p w14:paraId="0D160247" w14:textId="3BDC5BD4" w:rsidR="004B70E3" w:rsidRDefault="004B70E3" w:rsidP="003C3A51">
      <w:pPr>
        <w:pStyle w:val="Bodysansserif"/>
      </w:pPr>
      <w:r>
        <w:t xml:space="preserve">The results for ComEd are </w:t>
      </w:r>
      <w:r w:rsidR="00101F53">
        <w:t>shown</w:t>
      </w:r>
      <w:r>
        <w:t xml:space="preserve"> in </w:t>
      </w:r>
      <w:r>
        <w:fldChar w:fldCharType="begin"/>
      </w:r>
      <w:r>
        <w:instrText xml:space="preserve"> REF _Ref150884016 \h </w:instrText>
      </w:r>
      <w:r w:rsidR="003C3A51">
        <w:instrText xml:space="preserve"> \* MERGEFORMAT </w:instrText>
      </w:r>
      <w:r>
        <w:fldChar w:fldCharType="separate"/>
      </w:r>
      <w:r w:rsidR="000B2098">
        <w:t xml:space="preserve">Table </w:t>
      </w:r>
      <w:r w:rsidR="000B2098">
        <w:rPr>
          <w:noProof/>
        </w:rPr>
        <w:t>7</w:t>
      </w:r>
      <w:r>
        <w:fldChar w:fldCharType="end"/>
      </w:r>
      <w:r w:rsidR="00431B33">
        <w:t xml:space="preserve"> and </w:t>
      </w:r>
      <w:r>
        <w:fldChar w:fldCharType="begin"/>
      </w:r>
      <w:r>
        <w:instrText xml:space="preserve"> REF _Ref150884907 \h </w:instrText>
      </w:r>
      <w:r w:rsidR="003C3A51">
        <w:instrText xml:space="preserve"> \* MERGEFORMAT </w:instrText>
      </w:r>
      <w:r>
        <w:fldChar w:fldCharType="separate"/>
      </w:r>
      <w:r w:rsidR="00431B33">
        <w:t xml:space="preserve">Table </w:t>
      </w:r>
      <w:r w:rsidR="00431B33" w:rsidRPr="547ACB04">
        <w:rPr>
          <w:noProof/>
        </w:rPr>
        <w:t>8</w:t>
      </w:r>
      <w:r>
        <w:fldChar w:fldCharType="end"/>
      </w:r>
      <w:r w:rsidR="00431B33">
        <w:t xml:space="preserve"> </w:t>
      </w:r>
      <w:r w:rsidR="00147C1E">
        <w:t xml:space="preserve">for commercial and residential </w:t>
      </w:r>
      <w:r w:rsidR="005F637B">
        <w:t xml:space="preserve">stretch code </w:t>
      </w:r>
      <w:r w:rsidR="00147C1E">
        <w:t>savings</w:t>
      </w:r>
      <w:r w:rsidR="005F637B">
        <w:t>, respectively</w:t>
      </w:r>
      <w:r w:rsidR="00147C1E">
        <w:t>. The savings are technical potential savings for stretch code adoption across ComEd territory</w:t>
      </w:r>
      <w:r w:rsidR="005F637B">
        <w:t xml:space="preserve"> and</w:t>
      </w:r>
      <w:r w:rsidR="00147C1E">
        <w:t xml:space="preserve"> are split between adoption and compliance savings </w:t>
      </w:r>
      <w:r w:rsidR="00824FA8">
        <w:t>for</w:t>
      </w:r>
      <w:r w:rsidR="00147C1E">
        <w:t xml:space="preserve"> year 1 and lifetime savings</w:t>
      </w:r>
      <w:r w:rsidR="00824FA8">
        <w:t xml:space="preserve"> based on </w:t>
      </w:r>
      <w:r w:rsidR="4A64E3EF">
        <w:t>effective useful life (</w:t>
      </w:r>
      <w:r w:rsidR="00824FA8">
        <w:t>EUL</w:t>
      </w:r>
      <w:r w:rsidR="596BD2C0">
        <w:t>)</w:t>
      </w:r>
      <w:r w:rsidR="00147C1E">
        <w:t xml:space="preserve">. </w:t>
      </w:r>
      <w:r w:rsidR="0058601F">
        <w:t xml:space="preserve">Adoption represents savings from municipalities adopting stretch code and compliance savings indicate savings from reaching a higher compliance rate of 98% compared to the historical rate of 75%. </w:t>
      </w:r>
    </w:p>
    <w:p w14:paraId="0BC6F87A" w14:textId="014A85AE" w:rsidR="00685657" w:rsidRPr="004B70E3" w:rsidRDefault="00147C1E" w:rsidP="003C3A51">
      <w:pPr>
        <w:pStyle w:val="Bodysansserif"/>
      </w:pPr>
      <w:r>
        <w:t>Th</w:t>
      </w:r>
      <w:r w:rsidR="0058601F">
        <w:t xml:space="preserve">e range in the tables is reflective of the range used for </w:t>
      </w:r>
      <w:r w:rsidR="00824FA8">
        <w:t xml:space="preserve">the </w:t>
      </w:r>
      <w:r w:rsidR="0058601F">
        <w:t xml:space="preserve">likelihood of adoption </w:t>
      </w:r>
      <w:proofErr w:type="gramStart"/>
      <w:r w:rsidR="0058601F">
        <w:t>for</w:t>
      </w:r>
      <w:proofErr w:type="gramEnd"/>
      <w:r w:rsidR="0058601F">
        <w:t xml:space="preserve"> Chicago. The low end represents a high likelihood of adoption</w:t>
      </w:r>
      <w:r w:rsidR="006D7A26">
        <w:t xml:space="preserve"> without utility support</w:t>
      </w:r>
      <w:r w:rsidR="0058601F">
        <w:t xml:space="preserve"> (75%)</w:t>
      </w:r>
      <w:r w:rsidR="00824FA8">
        <w:t>. The</w:t>
      </w:r>
      <w:r w:rsidR="00B0559B">
        <w:t xml:space="preserve"> </w:t>
      </w:r>
      <w:r w:rsidR="006D7A26">
        <w:t>high end represents the low likelihood of adoption without utility support (25%).</w:t>
      </w:r>
    </w:p>
    <w:p w14:paraId="072C868E" w14:textId="79D9B343" w:rsidR="00685657" w:rsidRPr="004B70E3" w:rsidRDefault="7EA073E2" w:rsidP="003C3A51">
      <w:pPr>
        <w:pStyle w:val="Bodysansserif"/>
      </w:pPr>
      <w:r>
        <w:t>To summarize</w:t>
      </w:r>
      <w:r w:rsidR="006F0A89">
        <w:t xml:space="preserve"> how these savings were developed, </w:t>
      </w:r>
      <w:r w:rsidR="00193A9B">
        <w:t xml:space="preserve">the 2025 </w:t>
      </w:r>
      <w:r w:rsidR="004F3D85">
        <w:t>NMB</w:t>
      </w:r>
      <w:r w:rsidR="006F0A89">
        <w:t xml:space="preserve"> assumed that there is a </w:t>
      </w:r>
      <w:r w:rsidR="009A103E">
        <w:t xml:space="preserve">30% likelihood that Oak Park and Evanston adopted a stretch code without utility support, a 25 </w:t>
      </w:r>
      <w:r w:rsidR="00981B53">
        <w:t>to</w:t>
      </w:r>
      <w:r w:rsidR="009A103E">
        <w:t xml:space="preserve"> 75% likelihood that Chicago adopted a stretch code, and a 10% likelihood that the other 70% of municipalities considering </w:t>
      </w:r>
      <w:r w:rsidR="00193A9B">
        <w:t xml:space="preserve">the stretch code adopted the code. The </w:t>
      </w:r>
      <w:r w:rsidR="004F3D85">
        <w:t xml:space="preserve">savings represent the difference between stretch code and base code energy use intensity in 2025 multiplied by the assumed new construction square feet that </w:t>
      </w:r>
      <w:r w:rsidR="00981B53">
        <w:t>is</w:t>
      </w:r>
      <w:r w:rsidR="004F3D85">
        <w:t xml:space="preserve"> not </w:t>
      </w:r>
      <w:r w:rsidR="00981B53">
        <w:t>considered part of</w:t>
      </w:r>
      <w:r w:rsidR="004F3D85">
        <w:t xml:space="preserve"> the NMB. </w:t>
      </w:r>
      <w:r w:rsidR="00911AC4">
        <w:t xml:space="preserve">Attribution </w:t>
      </w:r>
      <w:r w:rsidR="009B31DB">
        <w:t>w</w:t>
      </w:r>
      <w:r w:rsidR="7839DD7E">
        <w:t xml:space="preserve">ill </w:t>
      </w:r>
      <w:r w:rsidR="009B31DB">
        <w:t xml:space="preserve">be applied to the savings below during the evaluation process, as described in the Evaluation Plan. </w:t>
      </w:r>
    </w:p>
    <w:p w14:paraId="1154781C" w14:textId="09FAC20B" w:rsidR="004B70E3" w:rsidRDefault="004B70E3" w:rsidP="004B70E3">
      <w:pPr>
        <w:pStyle w:val="Caption"/>
        <w:keepNext/>
      </w:pPr>
      <w:bookmarkStart w:id="12" w:name="_Ref150884016"/>
      <w:r>
        <w:lastRenderedPageBreak/>
        <w:t xml:space="preserve">Table </w:t>
      </w:r>
      <w:r>
        <w:fldChar w:fldCharType="begin"/>
      </w:r>
      <w:r>
        <w:instrText>SEQ Table \* ARABIC</w:instrText>
      </w:r>
      <w:r>
        <w:fldChar w:fldCharType="separate"/>
      </w:r>
      <w:r w:rsidR="00D66162" w:rsidRPr="7DDA5DB8">
        <w:rPr>
          <w:noProof/>
        </w:rPr>
        <w:t>7</w:t>
      </w:r>
      <w:r>
        <w:fldChar w:fldCharType="end"/>
      </w:r>
      <w:bookmarkEnd w:id="12"/>
      <w:r>
        <w:t>. ComEd technical potential estimated commercial</w:t>
      </w:r>
      <w:r w:rsidR="0083719C">
        <w:t xml:space="preserve"> stretch codes electricity</w:t>
      </w:r>
      <w:r>
        <w:t xml:space="preserve"> savings (MWh)</w:t>
      </w:r>
    </w:p>
    <w:tbl>
      <w:tblPr>
        <w:tblStyle w:val="ListTable3-Accent5"/>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2080"/>
        <w:gridCol w:w="1908"/>
        <w:gridCol w:w="2231"/>
        <w:gridCol w:w="2231"/>
      </w:tblGrid>
      <w:tr w:rsidR="00B0559B" w:rsidRPr="00B0559B" w14:paraId="5933714C" w14:textId="77777777" w:rsidTr="00027CB0">
        <w:trPr>
          <w:cnfStyle w:val="100000000000" w:firstRow="1" w:lastRow="0" w:firstColumn="0" w:lastColumn="0" w:oddVBand="0" w:evenVBand="0" w:oddHBand="0" w:evenHBand="0" w:firstRowFirstColumn="0" w:firstRowLastColumn="0" w:lastRowFirstColumn="0" w:lastRowLastColumn="0"/>
          <w:trHeight w:val="616"/>
        </w:trPr>
        <w:tc>
          <w:tcPr>
            <w:cnfStyle w:val="001000000100" w:firstRow="0" w:lastRow="0" w:firstColumn="1" w:lastColumn="0" w:oddVBand="0" w:evenVBand="0" w:oddHBand="0" w:evenHBand="0" w:firstRowFirstColumn="1" w:firstRowLastColumn="0" w:lastRowFirstColumn="0" w:lastRowLastColumn="0"/>
            <w:tcW w:w="1329" w:type="dxa"/>
            <w:tcBorders>
              <w:bottom w:val="none" w:sz="0" w:space="0" w:color="auto"/>
              <w:right w:val="none" w:sz="0" w:space="0" w:color="auto"/>
            </w:tcBorders>
            <w:noWrap/>
            <w:hideMark/>
          </w:tcPr>
          <w:p w14:paraId="30E9E103" w14:textId="77777777" w:rsidR="00B0559B" w:rsidRPr="00673E10" w:rsidRDefault="00B0559B" w:rsidP="00B0559B">
            <w:pPr>
              <w:spacing w:after="0" w:line="240" w:lineRule="auto"/>
              <w:jc w:val="center"/>
              <w:rPr>
                <w:rFonts w:ascii="Calibri" w:eastAsia="Times New Roman" w:hAnsi="Calibri" w:cs="Calibri"/>
              </w:rPr>
            </w:pPr>
            <w:r w:rsidRPr="00673E10">
              <w:rPr>
                <w:rFonts w:ascii="Calibri" w:eastAsia="Times New Roman" w:hAnsi="Calibri" w:cs="Calibri"/>
                <w:color w:val="auto"/>
              </w:rPr>
              <w:t>Year</w:t>
            </w:r>
          </w:p>
        </w:tc>
        <w:tc>
          <w:tcPr>
            <w:tcW w:w="2080" w:type="dxa"/>
            <w:hideMark/>
          </w:tcPr>
          <w:p w14:paraId="176A0E0D" w14:textId="77777777" w:rsidR="00B0559B" w:rsidRPr="00673E10" w:rsidRDefault="00B0559B" w:rsidP="00B0559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673E10">
              <w:rPr>
                <w:rFonts w:ascii="Calibri" w:eastAsia="Times New Roman" w:hAnsi="Calibri" w:cs="Calibri"/>
                <w:color w:val="auto"/>
              </w:rPr>
              <w:t>Year 1 Adoption Savings</w:t>
            </w:r>
          </w:p>
        </w:tc>
        <w:tc>
          <w:tcPr>
            <w:tcW w:w="1908" w:type="dxa"/>
            <w:hideMark/>
          </w:tcPr>
          <w:p w14:paraId="5AA9DA05" w14:textId="77777777" w:rsidR="00B0559B" w:rsidRPr="00673E10" w:rsidRDefault="00B0559B" w:rsidP="00B0559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673E10">
              <w:rPr>
                <w:rFonts w:ascii="Calibri" w:eastAsia="Times New Roman" w:hAnsi="Calibri" w:cs="Calibri"/>
                <w:color w:val="auto"/>
              </w:rPr>
              <w:t>Year 1 Compliance Savings</w:t>
            </w:r>
          </w:p>
        </w:tc>
        <w:tc>
          <w:tcPr>
            <w:tcW w:w="2231" w:type="dxa"/>
            <w:hideMark/>
          </w:tcPr>
          <w:p w14:paraId="411DCEBA" w14:textId="77777777" w:rsidR="00B0559B" w:rsidRPr="00673E10" w:rsidRDefault="00B0559B" w:rsidP="00B0559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673E10">
              <w:rPr>
                <w:rFonts w:ascii="Calibri" w:eastAsia="Times New Roman" w:hAnsi="Calibri" w:cs="Calibri"/>
                <w:color w:val="auto"/>
              </w:rPr>
              <w:t>Lifetime Adoption Savings</w:t>
            </w:r>
          </w:p>
        </w:tc>
        <w:tc>
          <w:tcPr>
            <w:tcW w:w="2231" w:type="dxa"/>
            <w:hideMark/>
          </w:tcPr>
          <w:p w14:paraId="2F909867" w14:textId="77777777" w:rsidR="00B0559B" w:rsidRPr="00673E10" w:rsidRDefault="00B0559B" w:rsidP="00B0559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673E10">
              <w:rPr>
                <w:rFonts w:ascii="Calibri" w:eastAsia="Times New Roman" w:hAnsi="Calibri" w:cs="Calibri"/>
                <w:color w:val="auto"/>
              </w:rPr>
              <w:t>Lifetime Compliance Savings</w:t>
            </w:r>
          </w:p>
        </w:tc>
      </w:tr>
      <w:tr w:rsidR="001E5AA7" w:rsidRPr="00B0559B" w14:paraId="512750D6" w14:textId="77777777" w:rsidTr="00027CB0">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1329" w:type="dxa"/>
            <w:tcBorders>
              <w:top w:val="none" w:sz="0" w:space="0" w:color="auto"/>
              <w:bottom w:val="none" w:sz="0" w:space="0" w:color="auto"/>
              <w:right w:val="none" w:sz="0" w:space="0" w:color="auto"/>
            </w:tcBorders>
            <w:noWrap/>
            <w:hideMark/>
          </w:tcPr>
          <w:p w14:paraId="4F024533" w14:textId="77777777" w:rsidR="001E5AA7" w:rsidRPr="00B0559B" w:rsidRDefault="001E5AA7" w:rsidP="001E5AA7">
            <w:pPr>
              <w:spacing w:after="0" w:line="240" w:lineRule="auto"/>
              <w:jc w:val="center"/>
              <w:rPr>
                <w:rFonts w:ascii="Calibri" w:eastAsia="Times New Roman" w:hAnsi="Calibri" w:cs="Calibri"/>
                <w:color w:val="000000"/>
              </w:rPr>
            </w:pPr>
            <w:r w:rsidRPr="00B0559B">
              <w:rPr>
                <w:rFonts w:ascii="Calibri" w:eastAsia="Times New Roman" w:hAnsi="Calibri" w:cs="Calibri"/>
                <w:color w:val="000000"/>
              </w:rPr>
              <w:t>2025</w:t>
            </w:r>
          </w:p>
        </w:tc>
        <w:tc>
          <w:tcPr>
            <w:tcW w:w="2080" w:type="dxa"/>
            <w:tcBorders>
              <w:top w:val="none" w:sz="0" w:space="0" w:color="auto"/>
              <w:bottom w:val="none" w:sz="0" w:space="0" w:color="auto"/>
            </w:tcBorders>
            <w:noWrap/>
            <w:hideMark/>
          </w:tcPr>
          <w:p w14:paraId="25258BFF" w14:textId="77777777" w:rsidR="001E5AA7" w:rsidRPr="00B0559B" w:rsidRDefault="001E5AA7" w:rsidP="001E5AA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0559B">
              <w:rPr>
                <w:rFonts w:ascii="Calibri" w:eastAsia="Times New Roman" w:hAnsi="Calibri" w:cs="Calibri"/>
                <w:color w:val="000000"/>
              </w:rPr>
              <w:t>1,546-2,078</w:t>
            </w:r>
          </w:p>
        </w:tc>
        <w:tc>
          <w:tcPr>
            <w:tcW w:w="1908" w:type="dxa"/>
            <w:tcBorders>
              <w:top w:val="none" w:sz="0" w:space="0" w:color="auto"/>
              <w:bottom w:val="none" w:sz="0" w:space="0" w:color="auto"/>
            </w:tcBorders>
            <w:noWrap/>
            <w:hideMark/>
          </w:tcPr>
          <w:p w14:paraId="2C7880A4" w14:textId="77777777" w:rsidR="001E5AA7" w:rsidRPr="00B0559B" w:rsidRDefault="001E5AA7" w:rsidP="001E5AA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0559B">
              <w:rPr>
                <w:rFonts w:ascii="Calibri" w:eastAsia="Times New Roman" w:hAnsi="Calibri" w:cs="Calibri"/>
                <w:color w:val="000000"/>
              </w:rPr>
              <w:t>474-637</w:t>
            </w:r>
          </w:p>
        </w:tc>
        <w:tc>
          <w:tcPr>
            <w:tcW w:w="2231" w:type="dxa"/>
            <w:tcBorders>
              <w:top w:val="none" w:sz="0" w:space="0" w:color="auto"/>
              <w:bottom w:val="none" w:sz="0" w:space="0" w:color="auto"/>
            </w:tcBorders>
            <w:noWrap/>
            <w:hideMark/>
          </w:tcPr>
          <w:p w14:paraId="25EBE69A" w14:textId="77777777" w:rsidR="001E5AA7" w:rsidRPr="00B0559B" w:rsidRDefault="001E5AA7" w:rsidP="001E5AA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0559B">
              <w:rPr>
                <w:rFonts w:ascii="Calibri" w:eastAsia="Times New Roman" w:hAnsi="Calibri" w:cs="Calibri"/>
                <w:color w:val="000000"/>
              </w:rPr>
              <w:t>26,290-35,334</w:t>
            </w:r>
          </w:p>
        </w:tc>
        <w:tc>
          <w:tcPr>
            <w:tcW w:w="2231" w:type="dxa"/>
            <w:tcBorders>
              <w:top w:val="none" w:sz="0" w:space="0" w:color="auto"/>
              <w:bottom w:val="none" w:sz="0" w:space="0" w:color="auto"/>
            </w:tcBorders>
            <w:noWrap/>
            <w:vAlign w:val="center"/>
            <w:hideMark/>
          </w:tcPr>
          <w:p w14:paraId="65FA5F4F" w14:textId="77A5AD89" w:rsidR="001E5AA7" w:rsidRPr="00B0559B" w:rsidRDefault="001E5AA7" w:rsidP="001E5AA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Aptos Narrow" w:hAnsi="Aptos Narrow"/>
                <w:color w:val="000000"/>
              </w:rPr>
              <w:t>11,856-15,935</w:t>
            </w:r>
          </w:p>
        </w:tc>
      </w:tr>
      <w:tr w:rsidR="001E5AA7" w:rsidRPr="00B0559B" w14:paraId="2DEAAD31" w14:textId="77777777" w:rsidTr="00027CB0">
        <w:trPr>
          <w:trHeight w:val="308"/>
        </w:trPr>
        <w:tc>
          <w:tcPr>
            <w:cnfStyle w:val="001000000000" w:firstRow="0" w:lastRow="0" w:firstColumn="1" w:lastColumn="0" w:oddVBand="0" w:evenVBand="0" w:oddHBand="0" w:evenHBand="0" w:firstRowFirstColumn="0" w:firstRowLastColumn="0" w:lastRowFirstColumn="0" w:lastRowLastColumn="0"/>
            <w:tcW w:w="1329" w:type="dxa"/>
            <w:tcBorders>
              <w:right w:val="none" w:sz="0" w:space="0" w:color="auto"/>
            </w:tcBorders>
            <w:noWrap/>
            <w:hideMark/>
          </w:tcPr>
          <w:p w14:paraId="6C54F43C" w14:textId="77777777" w:rsidR="001E5AA7" w:rsidRPr="00B0559B" w:rsidRDefault="001E5AA7" w:rsidP="001E5AA7">
            <w:pPr>
              <w:spacing w:after="0" w:line="240" w:lineRule="auto"/>
              <w:jc w:val="center"/>
              <w:rPr>
                <w:rFonts w:ascii="Calibri" w:eastAsia="Times New Roman" w:hAnsi="Calibri" w:cs="Calibri"/>
                <w:color w:val="000000"/>
              </w:rPr>
            </w:pPr>
            <w:r w:rsidRPr="00B0559B">
              <w:rPr>
                <w:rFonts w:ascii="Calibri" w:eastAsia="Times New Roman" w:hAnsi="Calibri" w:cs="Calibri"/>
                <w:color w:val="000000"/>
              </w:rPr>
              <w:t>2026</w:t>
            </w:r>
          </w:p>
        </w:tc>
        <w:tc>
          <w:tcPr>
            <w:tcW w:w="2080" w:type="dxa"/>
            <w:noWrap/>
            <w:hideMark/>
          </w:tcPr>
          <w:p w14:paraId="122AA17A" w14:textId="77777777" w:rsidR="001E5AA7" w:rsidRPr="00B0559B" w:rsidRDefault="001E5AA7" w:rsidP="001E5AA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0559B">
              <w:rPr>
                <w:rFonts w:ascii="Calibri" w:eastAsia="Times New Roman" w:hAnsi="Calibri" w:cs="Calibri"/>
                <w:color w:val="000000"/>
              </w:rPr>
              <w:t>13,227-17,909</w:t>
            </w:r>
          </w:p>
        </w:tc>
        <w:tc>
          <w:tcPr>
            <w:tcW w:w="1908" w:type="dxa"/>
            <w:noWrap/>
            <w:hideMark/>
          </w:tcPr>
          <w:p w14:paraId="08818C95" w14:textId="77777777" w:rsidR="001E5AA7" w:rsidRPr="00B0559B" w:rsidRDefault="001E5AA7" w:rsidP="001E5AA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0559B">
              <w:rPr>
                <w:rFonts w:ascii="Calibri" w:eastAsia="Times New Roman" w:hAnsi="Calibri" w:cs="Calibri"/>
                <w:color w:val="000000"/>
              </w:rPr>
              <w:t>4,056-5,492</w:t>
            </w:r>
          </w:p>
        </w:tc>
        <w:tc>
          <w:tcPr>
            <w:tcW w:w="2231" w:type="dxa"/>
            <w:noWrap/>
            <w:hideMark/>
          </w:tcPr>
          <w:p w14:paraId="6CFAD9A3" w14:textId="77777777" w:rsidR="001E5AA7" w:rsidRPr="00B0559B" w:rsidRDefault="001E5AA7" w:rsidP="001E5AA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0559B">
              <w:rPr>
                <w:rFonts w:ascii="Calibri" w:eastAsia="Times New Roman" w:hAnsi="Calibri" w:cs="Calibri"/>
                <w:color w:val="000000"/>
              </w:rPr>
              <w:t>330,687-447,721</w:t>
            </w:r>
          </w:p>
        </w:tc>
        <w:tc>
          <w:tcPr>
            <w:tcW w:w="2231" w:type="dxa"/>
            <w:noWrap/>
            <w:vAlign w:val="center"/>
            <w:hideMark/>
          </w:tcPr>
          <w:p w14:paraId="6E7C342E" w14:textId="44970972" w:rsidR="001E5AA7" w:rsidRPr="00B0559B" w:rsidRDefault="001E5AA7" w:rsidP="001E5AA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Aptos Narrow" w:hAnsi="Aptos Narrow"/>
                <w:color w:val="000000"/>
              </w:rPr>
              <w:t>101,411-137,301</w:t>
            </w:r>
          </w:p>
        </w:tc>
      </w:tr>
      <w:tr w:rsidR="001E5AA7" w:rsidRPr="00B0559B" w14:paraId="28F950DB" w14:textId="77777777" w:rsidTr="00027CB0">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1329" w:type="dxa"/>
            <w:tcBorders>
              <w:top w:val="none" w:sz="0" w:space="0" w:color="auto"/>
              <w:bottom w:val="none" w:sz="0" w:space="0" w:color="auto"/>
              <w:right w:val="none" w:sz="0" w:space="0" w:color="auto"/>
            </w:tcBorders>
            <w:noWrap/>
            <w:hideMark/>
          </w:tcPr>
          <w:p w14:paraId="1F02FA9C" w14:textId="77777777" w:rsidR="001E5AA7" w:rsidRPr="00B0559B" w:rsidRDefault="001E5AA7" w:rsidP="001E5AA7">
            <w:pPr>
              <w:spacing w:after="0" w:line="240" w:lineRule="auto"/>
              <w:jc w:val="center"/>
              <w:rPr>
                <w:rFonts w:ascii="Calibri" w:eastAsia="Times New Roman" w:hAnsi="Calibri" w:cs="Calibri"/>
                <w:color w:val="000000"/>
              </w:rPr>
            </w:pPr>
            <w:r w:rsidRPr="00B0559B">
              <w:rPr>
                <w:rFonts w:ascii="Calibri" w:eastAsia="Times New Roman" w:hAnsi="Calibri" w:cs="Calibri"/>
                <w:color w:val="000000"/>
              </w:rPr>
              <w:t>2027</w:t>
            </w:r>
          </w:p>
        </w:tc>
        <w:tc>
          <w:tcPr>
            <w:tcW w:w="2080" w:type="dxa"/>
            <w:tcBorders>
              <w:top w:val="none" w:sz="0" w:space="0" w:color="auto"/>
              <w:bottom w:val="none" w:sz="0" w:space="0" w:color="auto"/>
            </w:tcBorders>
            <w:noWrap/>
            <w:hideMark/>
          </w:tcPr>
          <w:p w14:paraId="5054E2ED" w14:textId="77777777" w:rsidR="001E5AA7" w:rsidRPr="00B0559B" w:rsidRDefault="001E5AA7" w:rsidP="001E5AA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0559B">
              <w:rPr>
                <w:rFonts w:ascii="Calibri" w:eastAsia="Times New Roman" w:hAnsi="Calibri" w:cs="Calibri"/>
                <w:color w:val="000000"/>
              </w:rPr>
              <w:t>10,822-14,653</w:t>
            </w:r>
          </w:p>
        </w:tc>
        <w:tc>
          <w:tcPr>
            <w:tcW w:w="1908" w:type="dxa"/>
            <w:tcBorders>
              <w:top w:val="none" w:sz="0" w:space="0" w:color="auto"/>
              <w:bottom w:val="none" w:sz="0" w:space="0" w:color="auto"/>
            </w:tcBorders>
            <w:noWrap/>
            <w:hideMark/>
          </w:tcPr>
          <w:p w14:paraId="63927709" w14:textId="77777777" w:rsidR="001E5AA7" w:rsidRPr="00B0559B" w:rsidRDefault="001E5AA7" w:rsidP="001E5AA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0559B">
              <w:rPr>
                <w:rFonts w:ascii="Calibri" w:eastAsia="Times New Roman" w:hAnsi="Calibri" w:cs="Calibri"/>
                <w:color w:val="000000"/>
              </w:rPr>
              <w:t>3,319-4,493</w:t>
            </w:r>
          </w:p>
        </w:tc>
        <w:tc>
          <w:tcPr>
            <w:tcW w:w="2231" w:type="dxa"/>
            <w:tcBorders>
              <w:top w:val="none" w:sz="0" w:space="0" w:color="auto"/>
              <w:bottom w:val="none" w:sz="0" w:space="0" w:color="auto"/>
            </w:tcBorders>
            <w:noWrap/>
            <w:hideMark/>
          </w:tcPr>
          <w:p w14:paraId="04ED856A" w14:textId="77777777" w:rsidR="001E5AA7" w:rsidRPr="00B0559B" w:rsidRDefault="001E5AA7" w:rsidP="001E5AA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0559B">
              <w:rPr>
                <w:rFonts w:ascii="Calibri" w:eastAsia="Times New Roman" w:hAnsi="Calibri" w:cs="Calibri"/>
                <w:color w:val="000000"/>
              </w:rPr>
              <w:t>270,562-366,317</w:t>
            </w:r>
          </w:p>
        </w:tc>
        <w:tc>
          <w:tcPr>
            <w:tcW w:w="2231" w:type="dxa"/>
            <w:tcBorders>
              <w:top w:val="none" w:sz="0" w:space="0" w:color="auto"/>
              <w:bottom w:val="none" w:sz="0" w:space="0" w:color="auto"/>
            </w:tcBorders>
            <w:noWrap/>
            <w:vAlign w:val="center"/>
            <w:hideMark/>
          </w:tcPr>
          <w:p w14:paraId="2723F1A0" w14:textId="7ABC86FF" w:rsidR="001E5AA7" w:rsidRPr="00B0559B" w:rsidRDefault="001E5AA7" w:rsidP="001E5AA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Aptos Narrow" w:hAnsi="Aptos Narrow"/>
                <w:color w:val="000000"/>
              </w:rPr>
              <w:t>82,972-112,337</w:t>
            </w:r>
          </w:p>
        </w:tc>
      </w:tr>
      <w:tr w:rsidR="001E5AA7" w:rsidRPr="00B0559B" w14:paraId="27746F91" w14:textId="77777777" w:rsidTr="00027CB0">
        <w:trPr>
          <w:trHeight w:val="308"/>
        </w:trPr>
        <w:tc>
          <w:tcPr>
            <w:cnfStyle w:val="001000000000" w:firstRow="0" w:lastRow="0" w:firstColumn="1" w:lastColumn="0" w:oddVBand="0" w:evenVBand="0" w:oddHBand="0" w:evenHBand="0" w:firstRowFirstColumn="0" w:firstRowLastColumn="0" w:lastRowFirstColumn="0" w:lastRowLastColumn="0"/>
            <w:tcW w:w="1329" w:type="dxa"/>
            <w:tcBorders>
              <w:right w:val="none" w:sz="0" w:space="0" w:color="auto"/>
            </w:tcBorders>
            <w:noWrap/>
            <w:hideMark/>
          </w:tcPr>
          <w:p w14:paraId="7F9FB134" w14:textId="77777777" w:rsidR="001E5AA7" w:rsidRPr="00B0559B" w:rsidRDefault="001E5AA7" w:rsidP="001E5AA7">
            <w:pPr>
              <w:spacing w:after="0" w:line="240" w:lineRule="auto"/>
              <w:jc w:val="center"/>
              <w:rPr>
                <w:rFonts w:ascii="Calibri" w:eastAsia="Times New Roman" w:hAnsi="Calibri" w:cs="Calibri"/>
                <w:color w:val="000000"/>
              </w:rPr>
            </w:pPr>
            <w:r w:rsidRPr="00B0559B">
              <w:rPr>
                <w:rFonts w:ascii="Calibri" w:eastAsia="Times New Roman" w:hAnsi="Calibri" w:cs="Calibri"/>
                <w:color w:val="000000"/>
              </w:rPr>
              <w:t>2028</w:t>
            </w:r>
          </w:p>
        </w:tc>
        <w:tc>
          <w:tcPr>
            <w:tcW w:w="2080" w:type="dxa"/>
            <w:noWrap/>
            <w:hideMark/>
          </w:tcPr>
          <w:p w14:paraId="2C5E1B51" w14:textId="77777777" w:rsidR="001E5AA7" w:rsidRPr="00B0559B" w:rsidRDefault="001E5AA7" w:rsidP="001E5AA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0559B">
              <w:rPr>
                <w:rFonts w:ascii="Calibri" w:eastAsia="Times New Roman" w:hAnsi="Calibri" w:cs="Calibri"/>
                <w:color w:val="000000"/>
              </w:rPr>
              <w:t>10,822-14,653</w:t>
            </w:r>
          </w:p>
        </w:tc>
        <w:tc>
          <w:tcPr>
            <w:tcW w:w="1908" w:type="dxa"/>
            <w:noWrap/>
            <w:hideMark/>
          </w:tcPr>
          <w:p w14:paraId="314ABCFB" w14:textId="77777777" w:rsidR="001E5AA7" w:rsidRPr="00B0559B" w:rsidRDefault="001E5AA7" w:rsidP="001E5AA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0559B">
              <w:rPr>
                <w:rFonts w:ascii="Calibri" w:eastAsia="Times New Roman" w:hAnsi="Calibri" w:cs="Calibri"/>
                <w:color w:val="000000"/>
              </w:rPr>
              <w:t>3,319-4,493</w:t>
            </w:r>
          </w:p>
        </w:tc>
        <w:tc>
          <w:tcPr>
            <w:tcW w:w="2231" w:type="dxa"/>
            <w:noWrap/>
            <w:hideMark/>
          </w:tcPr>
          <w:p w14:paraId="1B40B8C3" w14:textId="77777777" w:rsidR="001E5AA7" w:rsidRPr="00B0559B" w:rsidRDefault="001E5AA7" w:rsidP="001E5AA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0559B">
              <w:rPr>
                <w:rFonts w:ascii="Calibri" w:eastAsia="Times New Roman" w:hAnsi="Calibri" w:cs="Calibri"/>
                <w:color w:val="000000"/>
              </w:rPr>
              <w:t>270,562-366,317</w:t>
            </w:r>
          </w:p>
        </w:tc>
        <w:tc>
          <w:tcPr>
            <w:tcW w:w="2231" w:type="dxa"/>
            <w:noWrap/>
            <w:vAlign w:val="center"/>
            <w:hideMark/>
          </w:tcPr>
          <w:p w14:paraId="1CFCC092" w14:textId="1C82AC15" w:rsidR="001E5AA7" w:rsidRPr="00B0559B" w:rsidRDefault="001E5AA7" w:rsidP="001E5AA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Aptos Narrow" w:hAnsi="Aptos Narrow"/>
                <w:color w:val="000000"/>
              </w:rPr>
              <w:t>82,972-112,337</w:t>
            </w:r>
          </w:p>
        </w:tc>
      </w:tr>
      <w:tr w:rsidR="001E5AA7" w:rsidRPr="00B0559B" w14:paraId="33B180E5" w14:textId="77777777" w:rsidTr="00027CB0">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1329" w:type="dxa"/>
            <w:tcBorders>
              <w:top w:val="none" w:sz="0" w:space="0" w:color="auto"/>
              <w:bottom w:val="none" w:sz="0" w:space="0" w:color="auto"/>
              <w:right w:val="none" w:sz="0" w:space="0" w:color="auto"/>
            </w:tcBorders>
            <w:noWrap/>
            <w:hideMark/>
          </w:tcPr>
          <w:p w14:paraId="38E8CEF0" w14:textId="77777777" w:rsidR="001E5AA7" w:rsidRPr="00B0559B" w:rsidRDefault="001E5AA7" w:rsidP="001E5AA7">
            <w:pPr>
              <w:spacing w:after="0" w:line="240" w:lineRule="auto"/>
              <w:jc w:val="center"/>
              <w:rPr>
                <w:rFonts w:ascii="Calibri" w:eastAsia="Times New Roman" w:hAnsi="Calibri" w:cs="Calibri"/>
                <w:color w:val="000000"/>
              </w:rPr>
            </w:pPr>
            <w:r w:rsidRPr="00B0559B">
              <w:rPr>
                <w:rFonts w:ascii="Calibri" w:eastAsia="Times New Roman" w:hAnsi="Calibri" w:cs="Calibri"/>
                <w:color w:val="000000"/>
              </w:rPr>
              <w:t>2029</w:t>
            </w:r>
          </w:p>
        </w:tc>
        <w:tc>
          <w:tcPr>
            <w:tcW w:w="2080" w:type="dxa"/>
            <w:tcBorders>
              <w:top w:val="none" w:sz="0" w:space="0" w:color="auto"/>
              <w:bottom w:val="none" w:sz="0" w:space="0" w:color="auto"/>
            </w:tcBorders>
            <w:noWrap/>
            <w:hideMark/>
          </w:tcPr>
          <w:p w14:paraId="5657AF0B" w14:textId="77777777" w:rsidR="001E5AA7" w:rsidRPr="00B0559B" w:rsidRDefault="001E5AA7" w:rsidP="001E5AA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0559B">
              <w:rPr>
                <w:rFonts w:ascii="Calibri" w:eastAsia="Times New Roman" w:hAnsi="Calibri" w:cs="Calibri"/>
                <w:color w:val="000000"/>
              </w:rPr>
              <w:t>18,037-24,421</w:t>
            </w:r>
          </w:p>
        </w:tc>
        <w:tc>
          <w:tcPr>
            <w:tcW w:w="1908" w:type="dxa"/>
            <w:tcBorders>
              <w:top w:val="none" w:sz="0" w:space="0" w:color="auto"/>
              <w:bottom w:val="none" w:sz="0" w:space="0" w:color="auto"/>
            </w:tcBorders>
            <w:noWrap/>
            <w:hideMark/>
          </w:tcPr>
          <w:p w14:paraId="7CE31B60" w14:textId="77777777" w:rsidR="001E5AA7" w:rsidRPr="00B0559B" w:rsidRDefault="001E5AA7" w:rsidP="001E5AA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0559B">
              <w:rPr>
                <w:rFonts w:ascii="Calibri" w:eastAsia="Times New Roman" w:hAnsi="Calibri" w:cs="Calibri"/>
                <w:color w:val="000000"/>
              </w:rPr>
              <w:t>5,531-7,489</w:t>
            </w:r>
          </w:p>
        </w:tc>
        <w:tc>
          <w:tcPr>
            <w:tcW w:w="2231" w:type="dxa"/>
            <w:tcBorders>
              <w:top w:val="none" w:sz="0" w:space="0" w:color="auto"/>
              <w:bottom w:val="none" w:sz="0" w:space="0" w:color="auto"/>
            </w:tcBorders>
            <w:noWrap/>
            <w:hideMark/>
          </w:tcPr>
          <w:p w14:paraId="2F9E1EAC" w14:textId="77777777" w:rsidR="001E5AA7" w:rsidRPr="00B0559B" w:rsidRDefault="001E5AA7" w:rsidP="001E5AA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0559B">
              <w:rPr>
                <w:rFonts w:ascii="Calibri" w:eastAsia="Times New Roman" w:hAnsi="Calibri" w:cs="Calibri"/>
                <w:color w:val="000000"/>
              </w:rPr>
              <w:t>450,937-610,528</w:t>
            </w:r>
          </w:p>
        </w:tc>
        <w:tc>
          <w:tcPr>
            <w:tcW w:w="2231" w:type="dxa"/>
            <w:tcBorders>
              <w:top w:val="none" w:sz="0" w:space="0" w:color="auto"/>
              <w:bottom w:val="none" w:sz="0" w:space="0" w:color="auto"/>
            </w:tcBorders>
            <w:noWrap/>
            <w:vAlign w:val="center"/>
            <w:hideMark/>
          </w:tcPr>
          <w:p w14:paraId="600B7C6E" w14:textId="79899F62" w:rsidR="001E5AA7" w:rsidRPr="00B0559B" w:rsidRDefault="001E5AA7" w:rsidP="001E5AA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Aptos Narrow" w:hAnsi="Aptos Narrow"/>
                <w:color w:val="000000"/>
              </w:rPr>
              <w:t>138,287-187,229</w:t>
            </w:r>
          </w:p>
        </w:tc>
      </w:tr>
      <w:tr w:rsidR="001E5AA7" w:rsidRPr="00B0559B" w14:paraId="09C6651C" w14:textId="77777777" w:rsidTr="00027CB0">
        <w:trPr>
          <w:trHeight w:val="308"/>
        </w:trPr>
        <w:tc>
          <w:tcPr>
            <w:cnfStyle w:val="001000000000" w:firstRow="0" w:lastRow="0" w:firstColumn="1" w:lastColumn="0" w:oddVBand="0" w:evenVBand="0" w:oddHBand="0" w:evenHBand="0" w:firstRowFirstColumn="0" w:firstRowLastColumn="0" w:lastRowFirstColumn="0" w:lastRowLastColumn="0"/>
            <w:tcW w:w="1329" w:type="dxa"/>
            <w:tcBorders>
              <w:right w:val="none" w:sz="0" w:space="0" w:color="auto"/>
            </w:tcBorders>
            <w:noWrap/>
            <w:hideMark/>
          </w:tcPr>
          <w:p w14:paraId="3BAAB17A" w14:textId="77777777" w:rsidR="001E5AA7" w:rsidRPr="00B0559B" w:rsidRDefault="001E5AA7" w:rsidP="001E5AA7">
            <w:pPr>
              <w:spacing w:after="0" w:line="240" w:lineRule="auto"/>
              <w:jc w:val="center"/>
              <w:rPr>
                <w:rFonts w:ascii="Calibri" w:eastAsia="Times New Roman" w:hAnsi="Calibri" w:cs="Calibri"/>
                <w:color w:val="000000"/>
              </w:rPr>
            </w:pPr>
            <w:r w:rsidRPr="00B0559B">
              <w:rPr>
                <w:rFonts w:ascii="Calibri" w:eastAsia="Times New Roman" w:hAnsi="Calibri" w:cs="Calibri"/>
                <w:color w:val="000000"/>
              </w:rPr>
              <w:t>2030</w:t>
            </w:r>
          </w:p>
        </w:tc>
        <w:tc>
          <w:tcPr>
            <w:tcW w:w="2080" w:type="dxa"/>
            <w:noWrap/>
            <w:hideMark/>
          </w:tcPr>
          <w:p w14:paraId="1E675875" w14:textId="77777777" w:rsidR="001E5AA7" w:rsidRPr="00B0559B" w:rsidRDefault="001E5AA7" w:rsidP="001E5AA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0559B">
              <w:rPr>
                <w:rFonts w:ascii="Calibri" w:eastAsia="Times New Roman" w:hAnsi="Calibri" w:cs="Calibri"/>
                <w:color w:val="000000"/>
              </w:rPr>
              <w:t>15,632-21,165</w:t>
            </w:r>
          </w:p>
        </w:tc>
        <w:tc>
          <w:tcPr>
            <w:tcW w:w="1908" w:type="dxa"/>
            <w:noWrap/>
            <w:hideMark/>
          </w:tcPr>
          <w:p w14:paraId="7DB950C0" w14:textId="77777777" w:rsidR="001E5AA7" w:rsidRPr="00B0559B" w:rsidRDefault="001E5AA7" w:rsidP="001E5AA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0559B">
              <w:rPr>
                <w:rFonts w:ascii="Calibri" w:eastAsia="Times New Roman" w:hAnsi="Calibri" w:cs="Calibri"/>
                <w:color w:val="000000"/>
              </w:rPr>
              <w:t>4,794-6,491</w:t>
            </w:r>
          </w:p>
        </w:tc>
        <w:tc>
          <w:tcPr>
            <w:tcW w:w="2231" w:type="dxa"/>
            <w:noWrap/>
            <w:hideMark/>
          </w:tcPr>
          <w:p w14:paraId="495BC432" w14:textId="77777777" w:rsidR="001E5AA7" w:rsidRPr="00B0559B" w:rsidRDefault="001E5AA7" w:rsidP="001E5AA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0559B">
              <w:rPr>
                <w:rFonts w:ascii="Calibri" w:eastAsia="Times New Roman" w:hAnsi="Calibri" w:cs="Calibri"/>
                <w:color w:val="000000"/>
              </w:rPr>
              <w:t>390,812-529,124</w:t>
            </w:r>
          </w:p>
        </w:tc>
        <w:tc>
          <w:tcPr>
            <w:tcW w:w="2231" w:type="dxa"/>
            <w:noWrap/>
            <w:vAlign w:val="center"/>
            <w:hideMark/>
          </w:tcPr>
          <w:p w14:paraId="6082821C" w14:textId="3726CBDC" w:rsidR="001E5AA7" w:rsidRPr="00B0559B" w:rsidRDefault="001E5AA7" w:rsidP="001E5AA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Aptos Narrow" w:hAnsi="Aptos Narrow"/>
                <w:color w:val="000000"/>
              </w:rPr>
              <w:t>119,849-162,265</w:t>
            </w:r>
          </w:p>
        </w:tc>
      </w:tr>
    </w:tbl>
    <w:p w14:paraId="2BD40717" w14:textId="77777777" w:rsidR="006B123A" w:rsidRDefault="006B123A">
      <w:pPr>
        <w:spacing w:after="160" w:line="259" w:lineRule="auto"/>
      </w:pPr>
    </w:p>
    <w:p w14:paraId="5F979D0E" w14:textId="22D25002" w:rsidR="00431B33" w:rsidRDefault="00431B33" w:rsidP="00431B33">
      <w:pPr>
        <w:pStyle w:val="Caption"/>
        <w:keepNext/>
      </w:pPr>
      <w:bookmarkStart w:id="13" w:name="_Ref150884907"/>
      <w:r>
        <w:t xml:space="preserve">Table </w:t>
      </w:r>
      <w:r>
        <w:fldChar w:fldCharType="begin"/>
      </w:r>
      <w:r>
        <w:instrText>SEQ Table \* ARABIC</w:instrText>
      </w:r>
      <w:r>
        <w:fldChar w:fldCharType="separate"/>
      </w:r>
      <w:r w:rsidR="00D66162">
        <w:rPr>
          <w:noProof/>
        </w:rPr>
        <w:t>8</w:t>
      </w:r>
      <w:r>
        <w:fldChar w:fldCharType="end"/>
      </w:r>
      <w:bookmarkEnd w:id="13"/>
      <w:r w:rsidR="006D7A26">
        <w:t>.</w:t>
      </w:r>
      <w:r w:rsidR="006D7A26" w:rsidRPr="006D7A26">
        <w:t xml:space="preserve"> </w:t>
      </w:r>
      <w:r w:rsidR="006D7A26">
        <w:t>ComEd technical potential estimated residential</w:t>
      </w:r>
      <w:r w:rsidR="0083719C">
        <w:t xml:space="preserve"> stretch codes electricity</w:t>
      </w:r>
      <w:r w:rsidR="006D7A26">
        <w:t xml:space="preserve"> savings (MWh)</w:t>
      </w:r>
    </w:p>
    <w:tbl>
      <w:tblPr>
        <w:tblStyle w:val="GridTable4"/>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300"/>
        <w:gridCol w:w="2048"/>
        <w:gridCol w:w="2006"/>
        <w:gridCol w:w="2218"/>
        <w:gridCol w:w="2218"/>
      </w:tblGrid>
      <w:tr w:rsidR="00884F1F" w:rsidRPr="00884F1F" w14:paraId="0C2085CA" w14:textId="77777777" w:rsidTr="000F7766">
        <w:trPr>
          <w:cnfStyle w:val="100000000000" w:firstRow="1" w:lastRow="0" w:firstColumn="0" w:lastColumn="0" w:oddVBand="0" w:evenVBand="0" w:oddHBand="0" w:evenHBand="0" w:firstRowFirstColumn="0" w:firstRowLastColumn="0" w:lastRowFirstColumn="0" w:lastRowLastColumn="0"/>
          <w:trHeight w:val="1223"/>
        </w:trPr>
        <w:tc>
          <w:tcPr>
            <w:cnfStyle w:val="001000000000" w:firstRow="0" w:lastRow="0" w:firstColumn="1" w:lastColumn="0" w:oddVBand="0" w:evenVBand="0" w:oddHBand="0" w:evenHBand="0" w:firstRowFirstColumn="0" w:firstRowLastColumn="0" w:lastRowFirstColumn="0" w:lastRowLastColumn="0"/>
            <w:tcW w:w="1300" w:type="dxa"/>
            <w:tcBorders>
              <w:top w:val="none" w:sz="0" w:space="0" w:color="auto"/>
              <w:left w:val="none" w:sz="0" w:space="0" w:color="auto"/>
              <w:bottom w:val="none" w:sz="0" w:space="0" w:color="auto"/>
              <w:right w:val="none" w:sz="0" w:space="0" w:color="auto"/>
            </w:tcBorders>
            <w:noWrap/>
            <w:hideMark/>
          </w:tcPr>
          <w:p w14:paraId="59E4C911" w14:textId="77777777" w:rsidR="00884F1F" w:rsidRPr="00673E10" w:rsidRDefault="00884F1F" w:rsidP="00C9540E">
            <w:pPr>
              <w:spacing w:after="0" w:line="240" w:lineRule="auto"/>
              <w:ind w:left="720" w:hanging="720"/>
              <w:rPr>
                <w:rFonts w:ascii="Calibri" w:eastAsia="Times New Roman" w:hAnsi="Calibri" w:cs="Calibri"/>
              </w:rPr>
            </w:pPr>
            <w:r w:rsidRPr="00673E10">
              <w:rPr>
                <w:rFonts w:ascii="Calibri" w:eastAsia="Times New Roman" w:hAnsi="Calibri" w:cs="Calibri"/>
                <w:color w:val="auto"/>
              </w:rPr>
              <w:t>Year</w:t>
            </w:r>
          </w:p>
        </w:tc>
        <w:tc>
          <w:tcPr>
            <w:tcW w:w="2048" w:type="dxa"/>
            <w:tcBorders>
              <w:top w:val="none" w:sz="0" w:space="0" w:color="auto"/>
              <w:left w:val="none" w:sz="0" w:space="0" w:color="auto"/>
              <w:bottom w:val="none" w:sz="0" w:space="0" w:color="auto"/>
              <w:right w:val="none" w:sz="0" w:space="0" w:color="auto"/>
            </w:tcBorders>
            <w:hideMark/>
          </w:tcPr>
          <w:p w14:paraId="3902688B" w14:textId="77777777" w:rsidR="00884F1F" w:rsidRPr="00673E10" w:rsidRDefault="00884F1F" w:rsidP="00C9540E">
            <w:pPr>
              <w:spacing w:after="0" w:line="240" w:lineRule="auto"/>
              <w:ind w:left="720" w:hanging="72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673E10">
              <w:rPr>
                <w:rFonts w:ascii="Calibri" w:eastAsia="Times New Roman" w:hAnsi="Calibri" w:cs="Calibri"/>
                <w:color w:val="auto"/>
              </w:rPr>
              <w:t>Year 1 Adoption Savings</w:t>
            </w:r>
          </w:p>
        </w:tc>
        <w:tc>
          <w:tcPr>
            <w:tcW w:w="2006" w:type="dxa"/>
            <w:tcBorders>
              <w:top w:val="none" w:sz="0" w:space="0" w:color="auto"/>
              <w:left w:val="none" w:sz="0" w:space="0" w:color="auto"/>
              <w:bottom w:val="none" w:sz="0" w:space="0" w:color="auto"/>
              <w:right w:val="none" w:sz="0" w:space="0" w:color="auto"/>
            </w:tcBorders>
            <w:hideMark/>
          </w:tcPr>
          <w:p w14:paraId="2C716E65" w14:textId="77777777" w:rsidR="00884F1F" w:rsidRPr="00673E10" w:rsidRDefault="00884F1F" w:rsidP="00C9540E">
            <w:pPr>
              <w:spacing w:after="0" w:line="240" w:lineRule="auto"/>
              <w:ind w:left="720" w:hanging="72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673E10">
              <w:rPr>
                <w:rFonts w:ascii="Calibri" w:eastAsia="Times New Roman" w:hAnsi="Calibri" w:cs="Calibri"/>
                <w:color w:val="auto"/>
              </w:rPr>
              <w:t>Year 1 Compliance Savings</w:t>
            </w:r>
          </w:p>
        </w:tc>
        <w:tc>
          <w:tcPr>
            <w:tcW w:w="2218" w:type="dxa"/>
            <w:tcBorders>
              <w:top w:val="none" w:sz="0" w:space="0" w:color="auto"/>
              <w:left w:val="none" w:sz="0" w:space="0" w:color="auto"/>
              <w:bottom w:val="none" w:sz="0" w:space="0" w:color="auto"/>
              <w:right w:val="none" w:sz="0" w:space="0" w:color="auto"/>
            </w:tcBorders>
            <w:hideMark/>
          </w:tcPr>
          <w:p w14:paraId="16A4E0A0" w14:textId="77777777" w:rsidR="00884F1F" w:rsidRPr="00673E10" w:rsidRDefault="00884F1F" w:rsidP="00C9540E">
            <w:pPr>
              <w:spacing w:after="0" w:line="240" w:lineRule="auto"/>
              <w:ind w:left="720" w:hanging="72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673E10">
              <w:rPr>
                <w:rFonts w:ascii="Calibri" w:eastAsia="Times New Roman" w:hAnsi="Calibri" w:cs="Calibri"/>
                <w:color w:val="auto"/>
              </w:rPr>
              <w:t>Lifetime Adoption Savings</w:t>
            </w:r>
          </w:p>
        </w:tc>
        <w:tc>
          <w:tcPr>
            <w:tcW w:w="2218" w:type="dxa"/>
            <w:tcBorders>
              <w:top w:val="none" w:sz="0" w:space="0" w:color="auto"/>
              <w:left w:val="none" w:sz="0" w:space="0" w:color="auto"/>
              <w:bottom w:val="none" w:sz="0" w:space="0" w:color="auto"/>
              <w:right w:val="none" w:sz="0" w:space="0" w:color="auto"/>
            </w:tcBorders>
            <w:hideMark/>
          </w:tcPr>
          <w:p w14:paraId="4E4A1BFD" w14:textId="77777777" w:rsidR="00884F1F" w:rsidRPr="00673E10" w:rsidRDefault="00884F1F" w:rsidP="00C9540E">
            <w:pPr>
              <w:spacing w:after="0" w:line="240" w:lineRule="auto"/>
              <w:ind w:left="720" w:hanging="72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673E10">
              <w:rPr>
                <w:rFonts w:ascii="Calibri" w:eastAsia="Times New Roman" w:hAnsi="Calibri" w:cs="Calibri"/>
                <w:color w:val="auto"/>
              </w:rPr>
              <w:t>Lifetime Compliance Savings</w:t>
            </w:r>
          </w:p>
        </w:tc>
      </w:tr>
      <w:tr w:rsidR="000F7766" w:rsidRPr="00884F1F" w14:paraId="3013A929" w14:textId="77777777" w:rsidTr="000F7766">
        <w:trPr>
          <w:trHeight w:val="305"/>
        </w:trPr>
        <w:tc>
          <w:tcPr>
            <w:cnfStyle w:val="001000000000" w:firstRow="0" w:lastRow="0" w:firstColumn="1" w:lastColumn="0" w:oddVBand="0" w:evenVBand="0" w:oddHBand="0" w:evenHBand="0" w:firstRowFirstColumn="0" w:firstRowLastColumn="0" w:lastRowFirstColumn="0" w:lastRowLastColumn="0"/>
            <w:tcW w:w="1300" w:type="dxa"/>
            <w:noWrap/>
            <w:hideMark/>
          </w:tcPr>
          <w:p w14:paraId="4C4D9B75" w14:textId="77777777" w:rsidR="000F7766" w:rsidRPr="00884F1F" w:rsidRDefault="000F7766" w:rsidP="000F7766">
            <w:pPr>
              <w:spacing w:after="0" w:line="240" w:lineRule="auto"/>
              <w:ind w:left="720" w:hanging="720"/>
              <w:jc w:val="center"/>
              <w:rPr>
                <w:rFonts w:ascii="Calibri" w:eastAsia="Times New Roman" w:hAnsi="Calibri" w:cs="Calibri"/>
                <w:color w:val="000000"/>
              </w:rPr>
            </w:pPr>
            <w:r w:rsidRPr="00884F1F">
              <w:rPr>
                <w:rFonts w:ascii="Calibri" w:eastAsia="Times New Roman" w:hAnsi="Calibri" w:cs="Calibri"/>
                <w:color w:val="000000"/>
              </w:rPr>
              <w:t>2025</w:t>
            </w:r>
          </w:p>
        </w:tc>
        <w:tc>
          <w:tcPr>
            <w:tcW w:w="2048" w:type="dxa"/>
            <w:noWrap/>
            <w:hideMark/>
          </w:tcPr>
          <w:p w14:paraId="5851C426" w14:textId="4B213BE4" w:rsidR="000F7766" w:rsidRPr="000F7766" w:rsidRDefault="000F7766" w:rsidP="000F7766">
            <w:pPr>
              <w:spacing w:after="0" w:line="240" w:lineRule="auto"/>
              <w:ind w:left="720" w:hanging="72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F7766">
              <w:rPr>
                <w:rFonts w:asciiTheme="majorHAnsi" w:hAnsiTheme="majorHAnsi" w:cstheme="majorHAnsi"/>
              </w:rPr>
              <w:t>8,435-9,123</w:t>
            </w:r>
          </w:p>
        </w:tc>
        <w:tc>
          <w:tcPr>
            <w:tcW w:w="2006" w:type="dxa"/>
            <w:noWrap/>
            <w:hideMark/>
          </w:tcPr>
          <w:p w14:paraId="53DECE2E" w14:textId="0053DA7A" w:rsidR="000F7766" w:rsidRPr="000F7766" w:rsidRDefault="000F7766" w:rsidP="000F7766">
            <w:pPr>
              <w:spacing w:after="0" w:line="240" w:lineRule="auto"/>
              <w:ind w:left="720" w:hanging="72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F7766">
              <w:rPr>
                <w:rFonts w:asciiTheme="majorHAnsi" w:hAnsiTheme="majorHAnsi" w:cstheme="majorHAnsi"/>
              </w:rPr>
              <w:t>2,587-2,798</w:t>
            </w:r>
          </w:p>
        </w:tc>
        <w:tc>
          <w:tcPr>
            <w:tcW w:w="2218" w:type="dxa"/>
            <w:noWrap/>
            <w:hideMark/>
          </w:tcPr>
          <w:p w14:paraId="25989587" w14:textId="60AD034E" w:rsidR="000F7766" w:rsidRPr="000F7766" w:rsidRDefault="000F7766" w:rsidP="000F7766">
            <w:pPr>
              <w:spacing w:after="0" w:line="240" w:lineRule="auto"/>
              <w:ind w:left="720" w:hanging="72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F7766">
              <w:rPr>
                <w:rFonts w:asciiTheme="majorHAnsi" w:hAnsiTheme="majorHAnsi" w:cstheme="majorHAnsi"/>
              </w:rPr>
              <w:t>210,877-228,076</w:t>
            </w:r>
          </w:p>
        </w:tc>
        <w:tc>
          <w:tcPr>
            <w:tcW w:w="2218" w:type="dxa"/>
            <w:noWrap/>
            <w:hideMark/>
          </w:tcPr>
          <w:p w14:paraId="69AD1536" w14:textId="78B01FB2" w:rsidR="000F7766" w:rsidRPr="000F7766" w:rsidRDefault="000F7766" w:rsidP="000F7766">
            <w:pPr>
              <w:spacing w:after="0" w:line="240" w:lineRule="auto"/>
              <w:ind w:left="720" w:hanging="72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F7766">
              <w:rPr>
                <w:rFonts w:asciiTheme="majorHAnsi" w:hAnsiTheme="majorHAnsi" w:cstheme="majorHAnsi"/>
              </w:rPr>
              <w:t>64,669-69,943</w:t>
            </w:r>
          </w:p>
        </w:tc>
      </w:tr>
      <w:tr w:rsidR="000F7766" w:rsidRPr="00884F1F" w14:paraId="4513D479" w14:textId="77777777" w:rsidTr="000F7766">
        <w:trPr>
          <w:trHeight w:val="305"/>
        </w:trPr>
        <w:tc>
          <w:tcPr>
            <w:cnfStyle w:val="001000000000" w:firstRow="0" w:lastRow="0" w:firstColumn="1" w:lastColumn="0" w:oddVBand="0" w:evenVBand="0" w:oddHBand="0" w:evenHBand="0" w:firstRowFirstColumn="0" w:firstRowLastColumn="0" w:lastRowFirstColumn="0" w:lastRowLastColumn="0"/>
            <w:tcW w:w="1300" w:type="dxa"/>
            <w:noWrap/>
            <w:hideMark/>
          </w:tcPr>
          <w:p w14:paraId="7D4D5CFD" w14:textId="77777777" w:rsidR="000F7766" w:rsidRPr="00884F1F" w:rsidRDefault="000F7766" w:rsidP="000F7766">
            <w:pPr>
              <w:spacing w:after="0" w:line="240" w:lineRule="auto"/>
              <w:ind w:left="720" w:hanging="720"/>
              <w:jc w:val="center"/>
              <w:rPr>
                <w:rFonts w:ascii="Calibri" w:eastAsia="Times New Roman" w:hAnsi="Calibri" w:cs="Calibri"/>
                <w:color w:val="000000"/>
              </w:rPr>
            </w:pPr>
            <w:r w:rsidRPr="00884F1F">
              <w:rPr>
                <w:rFonts w:ascii="Calibri" w:eastAsia="Times New Roman" w:hAnsi="Calibri" w:cs="Calibri"/>
                <w:color w:val="000000"/>
              </w:rPr>
              <w:t>2026</w:t>
            </w:r>
          </w:p>
        </w:tc>
        <w:tc>
          <w:tcPr>
            <w:tcW w:w="2048" w:type="dxa"/>
            <w:noWrap/>
            <w:hideMark/>
          </w:tcPr>
          <w:p w14:paraId="1BF5409C" w14:textId="45DACE5D" w:rsidR="000F7766" w:rsidRPr="000F7766" w:rsidRDefault="000F7766" w:rsidP="000F7766">
            <w:pPr>
              <w:spacing w:after="0" w:line="240" w:lineRule="auto"/>
              <w:ind w:left="720" w:hanging="72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F7766">
              <w:rPr>
                <w:rFonts w:asciiTheme="majorHAnsi" w:hAnsiTheme="majorHAnsi" w:cstheme="majorHAnsi"/>
              </w:rPr>
              <w:t>12,123-13,028</w:t>
            </w:r>
          </w:p>
        </w:tc>
        <w:tc>
          <w:tcPr>
            <w:tcW w:w="2006" w:type="dxa"/>
            <w:noWrap/>
            <w:hideMark/>
          </w:tcPr>
          <w:p w14:paraId="2ABC6D53" w14:textId="039D2308" w:rsidR="000F7766" w:rsidRPr="000F7766" w:rsidRDefault="000F7766" w:rsidP="000F7766">
            <w:pPr>
              <w:spacing w:after="0" w:line="240" w:lineRule="auto"/>
              <w:ind w:left="720" w:hanging="72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F7766">
              <w:rPr>
                <w:rFonts w:asciiTheme="majorHAnsi" w:hAnsiTheme="majorHAnsi" w:cstheme="majorHAnsi"/>
              </w:rPr>
              <w:t>3,718-3,995</w:t>
            </w:r>
          </w:p>
        </w:tc>
        <w:tc>
          <w:tcPr>
            <w:tcW w:w="2218" w:type="dxa"/>
            <w:noWrap/>
            <w:hideMark/>
          </w:tcPr>
          <w:p w14:paraId="19BADC07" w14:textId="76BFBC0B" w:rsidR="000F7766" w:rsidRPr="000F7766" w:rsidRDefault="000F7766" w:rsidP="000F7766">
            <w:pPr>
              <w:spacing w:after="0" w:line="240" w:lineRule="auto"/>
              <w:ind w:left="720" w:hanging="72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F7766">
              <w:rPr>
                <w:rFonts w:asciiTheme="majorHAnsi" w:hAnsiTheme="majorHAnsi" w:cstheme="majorHAnsi"/>
              </w:rPr>
              <w:t>303,073-325,710</w:t>
            </w:r>
          </w:p>
        </w:tc>
        <w:tc>
          <w:tcPr>
            <w:tcW w:w="2218" w:type="dxa"/>
            <w:noWrap/>
            <w:hideMark/>
          </w:tcPr>
          <w:p w14:paraId="3097A7F9" w14:textId="2B5E54E5" w:rsidR="000F7766" w:rsidRPr="000F7766" w:rsidRDefault="000F7766" w:rsidP="000F7766">
            <w:pPr>
              <w:spacing w:after="0" w:line="240" w:lineRule="auto"/>
              <w:ind w:left="720" w:hanging="72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F7766">
              <w:rPr>
                <w:rFonts w:asciiTheme="majorHAnsi" w:hAnsiTheme="majorHAnsi" w:cstheme="majorHAnsi"/>
              </w:rPr>
              <w:t>92,942-99,884</w:t>
            </w:r>
          </w:p>
        </w:tc>
      </w:tr>
      <w:tr w:rsidR="000F7766" w:rsidRPr="00884F1F" w14:paraId="1EA85AF9" w14:textId="77777777" w:rsidTr="000F7766">
        <w:trPr>
          <w:trHeight w:val="305"/>
        </w:trPr>
        <w:tc>
          <w:tcPr>
            <w:cnfStyle w:val="001000000000" w:firstRow="0" w:lastRow="0" w:firstColumn="1" w:lastColumn="0" w:oddVBand="0" w:evenVBand="0" w:oddHBand="0" w:evenHBand="0" w:firstRowFirstColumn="0" w:firstRowLastColumn="0" w:lastRowFirstColumn="0" w:lastRowLastColumn="0"/>
            <w:tcW w:w="1300" w:type="dxa"/>
            <w:noWrap/>
            <w:hideMark/>
          </w:tcPr>
          <w:p w14:paraId="24CAF7B5" w14:textId="77777777" w:rsidR="000F7766" w:rsidRPr="00884F1F" w:rsidRDefault="000F7766" w:rsidP="000F7766">
            <w:pPr>
              <w:spacing w:after="0" w:line="240" w:lineRule="auto"/>
              <w:ind w:left="720" w:hanging="720"/>
              <w:jc w:val="center"/>
              <w:rPr>
                <w:rFonts w:ascii="Calibri" w:eastAsia="Times New Roman" w:hAnsi="Calibri" w:cs="Calibri"/>
                <w:color w:val="000000"/>
              </w:rPr>
            </w:pPr>
            <w:r w:rsidRPr="00884F1F">
              <w:rPr>
                <w:rFonts w:ascii="Calibri" w:eastAsia="Times New Roman" w:hAnsi="Calibri" w:cs="Calibri"/>
                <w:color w:val="000000"/>
              </w:rPr>
              <w:t>2027</w:t>
            </w:r>
          </w:p>
        </w:tc>
        <w:tc>
          <w:tcPr>
            <w:tcW w:w="2048" w:type="dxa"/>
            <w:noWrap/>
            <w:hideMark/>
          </w:tcPr>
          <w:p w14:paraId="198D94C0" w14:textId="5705CA54" w:rsidR="000F7766" w:rsidRPr="000F7766" w:rsidRDefault="000F7766" w:rsidP="000F7766">
            <w:pPr>
              <w:spacing w:after="0" w:line="240" w:lineRule="auto"/>
              <w:ind w:left="720" w:hanging="72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F7766">
              <w:rPr>
                <w:rFonts w:asciiTheme="majorHAnsi" w:hAnsiTheme="majorHAnsi" w:cstheme="majorHAnsi"/>
              </w:rPr>
              <w:t>10,110-10,870</w:t>
            </w:r>
          </w:p>
        </w:tc>
        <w:tc>
          <w:tcPr>
            <w:tcW w:w="2006" w:type="dxa"/>
            <w:noWrap/>
            <w:hideMark/>
          </w:tcPr>
          <w:p w14:paraId="679053DA" w14:textId="0CE4795C" w:rsidR="000F7766" w:rsidRPr="000F7766" w:rsidRDefault="000F7766" w:rsidP="000F7766">
            <w:pPr>
              <w:spacing w:after="0" w:line="240" w:lineRule="auto"/>
              <w:ind w:left="720" w:hanging="72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F7766">
              <w:rPr>
                <w:rFonts w:asciiTheme="majorHAnsi" w:hAnsiTheme="majorHAnsi" w:cstheme="majorHAnsi"/>
              </w:rPr>
              <w:t>3,100-3,334</w:t>
            </w:r>
          </w:p>
        </w:tc>
        <w:tc>
          <w:tcPr>
            <w:tcW w:w="2218" w:type="dxa"/>
            <w:noWrap/>
            <w:hideMark/>
          </w:tcPr>
          <w:p w14:paraId="26EDC4B0" w14:textId="759AF9F9" w:rsidR="000F7766" w:rsidRPr="000F7766" w:rsidRDefault="000F7766" w:rsidP="000F7766">
            <w:pPr>
              <w:spacing w:after="0" w:line="240" w:lineRule="auto"/>
              <w:ind w:left="720" w:hanging="72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F7766">
              <w:rPr>
                <w:rFonts w:asciiTheme="majorHAnsi" w:hAnsiTheme="majorHAnsi" w:cstheme="majorHAnsi"/>
              </w:rPr>
              <w:t>252,756-271,759</w:t>
            </w:r>
          </w:p>
        </w:tc>
        <w:tc>
          <w:tcPr>
            <w:tcW w:w="2218" w:type="dxa"/>
            <w:noWrap/>
            <w:hideMark/>
          </w:tcPr>
          <w:p w14:paraId="0A9F5C66" w14:textId="7C680F35" w:rsidR="000F7766" w:rsidRPr="000F7766" w:rsidRDefault="000F7766" w:rsidP="000F7766">
            <w:pPr>
              <w:spacing w:after="0" w:line="240" w:lineRule="auto"/>
              <w:ind w:left="720" w:hanging="72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F7766">
              <w:rPr>
                <w:rFonts w:asciiTheme="majorHAnsi" w:hAnsiTheme="majorHAnsi" w:cstheme="majorHAnsi"/>
              </w:rPr>
              <w:t>77,512-83,339</w:t>
            </w:r>
          </w:p>
        </w:tc>
      </w:tr>
      <w:tr w:rsidR="000F7766" w:rsidRPr="00884F1F" w14:paraId="16764B77" w14:textId="77777777" w:rsidTr="000F7766">
        <w:trPr>
          <w:trHeight w:val="305"/>
        </w:trPr>
        <w:tc>
          <w:tcPr>
            <w:cnfStyle w:val="001000000000" w:firstRow="0" w:lastRow="0" w:firstColumn="1" w:lastColumn="0" w:oddVBand="0" w:evenVBand="0" w:oddHBand="0" w:evenHBand="0" w:firstRowFirstColumn="0" w:firstRowLastColumn="0" w:lastRowFirstColumn="0" w:lastRowLastColumn="0"/>
            <w:tcW w:w="1300" w:type="dxa"/>
            <w:noWrap/>
            <w:hideMark/>
          </w:tcPr>
          <w:p w14:paraId="3BB6B27D" w14:textId="77777777" w:rsidR="000F7766" w:rsidRPr="00884F1F" w:rsidRDefault="000F7766" w:rsidP="000F7766">
            <w:pPr>
              <w:spacing w:after="0" w:line="240" w:lineRule="auto"/>
              <w:ind w:left="720" w:hanging="720"/>
              <w:jc w:val="center"/>
              <w:rPr>
                <w:rFonts w:ascii="Calibri" w:eastAsia="Times New Roman" w:hAnsi="Calibri" w:cs="Calibri"/>
                <w:color w:val="000000"/>
              </w:rPr>
            </w:pPr>
            <w:r w:rsidRPr="00884F1F">
              <w:rPr>
                <w:rFonts w:ascii="Calibri" w:eastAsia="Times New Roman" w:hAnsi="Calibri" w:cs="Calibri"/>
                <w:color w:val="000000"/>
              </w:rPr>
              <w:t>2028</w:t>
            </w:r>
          </w:p>
        </w:tc>
        <w:tc>
          <w:tcPr>
            <w:tcW w:w="2048" w:type="dxa"/>
            <w:noWrap/>
            <w:hideMark/>
          </w:tcPr>
          <w:p w14:paraId="6AEA2971" w14:textId="40F8BACC" w:rsidR="000F7766" w:rsidRPr="000F7766" w:rsidRDefault="000F7766" w:rsidP="000F7766">
            <w:pPr>
              <w:spacing w:after="0" w:line="240" w:lineRule="auto"/>
              <w:ind w:left="720" w:hanging="72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F7766">
              <w:rPr>
                <w:rFonts w:asciiTheme="majorHAnsi" w:hAnsiTheme="majorHAnsi" w:cstheme="majorHAnsi"/>
              </w:rPr>
              <w:t>10,110-10,870</w:t>
            </w:r>
          </w:p>
        </w:tc>
        <w:tc>
          <w:tcPr>
            <w:tcW w:w="2006" w:type="dxa"/>
            <w:noWrap/>
            <w:hideMark/>
          </w:tcPr>
          <w:p w14:paraId="3444D18F" w14:textId="5735BC49" w:rsidR="000F7766" w:rsidRPr="000F7766" w:rsidRDefault="000F7766" w:rsidP="000F7766">
            <w:pPr>
              <w:spacing w:after="0" w:line="240" w:lineRule="auto"/>
              <w:ind w:left="720" w:hanging="72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F7766">
              <w:rPr>
                <w:rFonts w:asciiTheme="majorHAnsi" w:hAnsiTheme="majorHAnsi" w:cstheme="majorHAnsi"/>
              </w:rPr>
              <w:t>3,100-3,334</w:t>
            </w:r>
          </w:p>
        </w:tc>
        <w:tc>
          <w:tcPr>
            <w:tcW w:w="2218" w:type="dxa"/>
            <w:noWrap/>
            <w:hideMark/>
          </w:tcPr>
          <w:p w14:paraId="4F281804" w14:textId="628406EE" w:rsidR="000F7766" w:rsidRPr="000F7766" w:rsidRDefault="000F7766" w:rsidP="000F7766">
            <w:pPr>
              <w:spacing w:after="0" w:line="240" w:lineRule="auto"/>
              <w:ind w:left="720" w:hanging="72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F7766">
              <w:rPr>
                <w:rFonts w:asciiTheme="majorHAnsi" w:hAnsiTheme="majorHAnsi" w:cstheme="majorHAnsi"/>
              </w:rPr>
              <w:t>252,756-271,759</w:t>
            </w:r>
          </w:p>
        </w:tc>
        <w:tc>
          <w:tcPr>
            <w:tcW w:w="2218" w:type="dxa"/>
            <w:noWrap/>
            <w:hideMark/>
          </w:tcPr>
          <w:p w14:paraId="502E2CB7" w14:textId="7E2D05B3" w:rsidR="000F7766" w:rsidRPr="000F7766" w:rsidRDefault="000F7766" w:rsidP="000F7766">
            <w:pPr>
              <w:spacing w:after="0" w:line="240" w:lineRule="auto"/>
              <w:ind w:left="720" w:hanging="72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F7766">
              <w:rPr>
                <w:rFonts w:asciiTheme="majorHAnsi" w:hAnsiTheme="majorHAnsi" w:cstheme="majorHAnsi"/>
              </w:rPr>
              <w:t>77,512-83,339</w:t>
            </w:r>
          </w:p>
        </w:tc>
      </w:tr>
      <w:tr w:rsidR="000F7766" w:rsidRPr="00884F1F" w14:paraId="67BFB518" w14:textId="77777777" w:rsidTr="000F7766">
        <w:trPr>
          <w:trHeight w:val="305"/>
        </w:trPr>
        <w:tc>
          <w:tcPr>
            <w:cnfStyle w:val="001000000000" w:firstRow="0" w:lastRow="0" w:firstColumn="1" w:lastColumn="0" w:oddVBand="0" w:evenVBand="0" w:oddHBand="0" w:evenHBand="0" w:firstRowFirstColumn="0" w:firstRowLastColumn="0" w:lastRowFirstColumn="0" w:lastRowLastColumn="0"/>
            <w:tcW w:w="1300" w:type="dxa"/>
            <w:noWrap/>
            <w:hideMark/>
          </w:tcPr>
          <w:p w14:paraId="5339C5AF" w14:textId="77777777" w:rsidR="000F7766" w:rsidRPr="00884F1F" w:rsidRDefault="000F7766" w:rsidP="000F7766">
            <w:pPr>
              <w:spacing w:after="0" w:line="240" w:lineRule="auto"/>
              <w:ind w:left="720" w:hanging="720"/>
              <w:jc w:val="center"/>
              <w:rPr>
                <w:rFonts w:ascii="Calibri" w:eastAsia="Times New Roman" w:hAnsi="Calibri" w:cs="Calibri"/>
                <w:color w:val="000000"/>
              </w:rPr>
            </w:pPr>
            <w:r w:rsidRPr="00884F1F">
              <w:rPr>
                <w:rFonts w:ascii="Calibri" w:eastAsia="Times New Roman" w:hAnsi="Calibri" w:cs="Calibri"/>
                <w:color w:val="000000"/>
              </w:rPr>
              <w:t>2029</w:t>
            </w:r>
          </w:p>
        </w:tc>
        <w:tc>
          <w:tcPr>
            <w:tcW w:w="2048" w:type="dxa"/>
            <w:noWrap/>
            <w:hideMark/>
          </w:tcPr>
          <w:p w14:paraId="6A619FEA" w14:textId="67CA2121" w:rsidR="000F7766" w:rsidRPr="000F7766" w:rsidRDefault="000F7766" w:rsidP="000F7766">
            <w:pPr>
              <w:spacing w:after="0" w:line="240" w:lineRule="auto"/>
              <w:ind w:left="720" w:hanging="72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F7766">
              <w:rPr>
                <w:rFonts w:asciiTheme="majorHAnsi" w:hAnsiTheme="majorHAnsi" w:cstheme="majorHAnsi"/>
              </w:rPr>
              <w:t>13,624-14,633</w:t>
            </w:r>
          </w:p>
        </w:tc>
        <w:tc>
          <w:tcPr>
            <w:tcW w:w="2006" w:type="dxa"/>
            <w:noWrap/>
            <w:hideMark/>
          </w:tcPr>
          <w:p w14:paraId="3E40CFF1" w14:textId="71C6DA45" w:rsidR="000F7766" w:rsidRPr="000F7766" w:rsidRDefault="000F7766" w:rsidP="000F7766">
            <w:pPr>
              <w:spacing w:after="0" w:line="240" w:lineRule="auto"/>
              <w:ind w:left="720" w:hanging="72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F7766">
              <w:rPr>
                <w:rFonts w:asciiTheme="majorHAnsi" w:hAnsiTheme="majorHAnsi" w:cstheme="majorHAnsi"/>
              </w:rPr>
              <w:t>4,178-4,487</w:t>
            </w:r>
          </w:p>
        </w:tc>
        <w:tc>
          <w:tcPr>
            <w:tcW w:w="2218" w:type="dxa"/>
            <w:noWrap/>
            <w:hideMark/>
          </w:tcPr>
          <w:p w14:paraId="577614A9" w14:textId="347D8328" w:rsidR="000F7766" w:rsidRPr="000F7766" w:rsidRDefault="000F7766" w:rsidP="000F7766">
            <w:pPr>
              <w:spacing w:after="0" w:line="240" w:lineRule="auto"/>
              <w:ind w:left="720" w:hanging="72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F7766">
              <w:rPr>
                <w:rFonts w:asciiTheme="majorHAnsi" w:hAnsiTheme="majorHAnsi" w:cstheme="majorHAnsi"/>
              </w:rPr>
              <w:t>340,605-365,824</w:t>
            </w:r>
          </w:p>
        </w:tc>
        <w:tc>
          <w:tcPr>
            <w:tcW w:w="2218" w:type="dxa"/>
            <w:noWrap/>
            <w:hideMark/>
          </w:tcPr>
          <w:p w14:paraId="68037581" w14:textId="570A866E" w:rsidR="000F7766" w:rsidRPr="000F7766" w:rsidRDefault="000F7766" w:rsidP="000F7766">
            <w:pPr>
              <w:spacing w:after="0" w:line="240" w:lineRule="auto"/>
              <w:ind w:left="720" w:hanging="72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F7766">
              <w:rPr>
                <w:rFonts w:asciiTheme="majorHAnsi" w:hAnsiTheme="majorHAnsi" w:cstheme="majorHAnsi"/>
              </w:rPr>
              <w:t>104,452-112,186</w:t>
            </w:r>
          </w:p>
        </w:tc>
      </w:tr>
      <w:tr w:rsidR="000F7766" w:rsidRPr="00884F1F" w14:paraId="62A77BF2" w14:textId="77777777" w:rsidTr="000F7766">
        <w:trPr>
          <w:trHeight w:val="305"/>
        </w:trPr>
        <w:tc>
          <w:tcPr>
            <w:cnfStyle w:val="001000000000" w:firstRow="0" w:lastRow="0" w:firstColumn="1" w:lastColumn="0" w:oddVBand="0" w:evenVBand="0" w:oddHBand="0" w:evenHBand="0" w:firstRowFirstColumn="0" w:firstRowLastColumn="0" w:lastRowFirstColumn="0" w:lastRowLastColumn="0"/>
            <w:tcW w:w="1300" w:type="dxa"/>
            <w:noWrap/>
            <w:hideMark/>
          </w:tcPr>
          <w:p w14:paraId="409354C0" w14:textId="77777777" w:rsidR="000F7766" w:rsidRPr="00884F1F" w:rsidRDefault="000F7766" w:rsidP="000F7766">
            <w:pPr>
              <w:spacing w:after="0" w:line="240" w:lineRule="auto"/>
              <w:ind w:left="720" w:hanging="720"/>
              <w:jc w:val="center"/>
              <w:rPr>
                <w:rFonts w:ascii="Calibri" w:eastAsia="Times New Roman" w:hAnsi="Calibri" w:cs="Calibri"/>
                <w:color w:val="000000"/>
              </w:rPr>
            </w:pPr>
            <w:r w:rsidRPr="00884F1F">
              <w:rPr>
                <w:rFonts w:ascii="Calibri" w:eastAsia="Times New Roman" w:hAnsi="Calibri" w:cs="Calibri"/>
                <w:color w:val="000000"/>
              </w:rPr>
              <w:t>2030</w:t>
            </w:r>
          </w:p>
        </w:tc>
        <w:tc>
          <w:tcPr>
            <w:tcW w:w="2048" w:type="dxa"/>
            <w:noWrap/>
            <w:hideMark/>
          </w:tcPr>
          <w:p w14:paraId="6F272D54" w14:textId="6535660F" w:rsidR="000F7766" w:rsidRPr="000F7766" w:rsidRDefault="000F7766" w:rsidP="000F7766">
            <w:pPr>
              <w:spacing w:after="0" w:line="240" w:lineRule="auto"/>
              <w:ind w:left="720" w:hanging="72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F7766">
              <w:rPr>
                <w:rFonts w:asciiTheme="majorHAnsi" w:hAnsiTheme="majorHAnsi" w:cstheme="majorHAnsi"/>
              </w:rPr>
              <w:t>11,612-12,475</w:t>
            </w:r>
          </w:p>
        </w:tc>
        <w:tc>
          <w:tcPr>
            <w:tcW w:w="2006" w:type="dxa"/>
            <w:noWrap/>
            <w:hideMark/>
          </w:tcPr>
          <w:p w14:paraId="4D02D8B7" w14:textId="2AEC8EE7" w:rsidR="000F7766" w:rsidRPr="000F7766" w:rsidRDefault="000F7766" w:rsidP="000F7766">
            <w:pPr>
              <w:spacing w:after="0" w:line="240" w:lineRule="auto"/>
              <w:ind w:left="720" w:hanging="72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F7766">
              <w:rPr>
                <w:rFonts w:asciiTheme="majorHAnsi" w:hAnsiTheme="majorHAnsi" w:cstheme="majorHAnsi"/>
              </w:rPr>
              <w:t>3,561-3,826</w:t>
            </w:r>
          </w:p>
        </w:tc>
        <w:tc>
          <w:tcPr>
            <w:tcW w:w="2218" w:type="dxa"/>
            <w:noWrap/>
            <w:hideMark/>
          </w:tcPr>
          <w:p w14:paraId="0140BF39" w14:textId="4C961758" w:rsidR="000F7766" w:rsidRPr="000F7766" w:rsidRDefault="000F7766" w:rsidP="000F7766">
            <w:pPr>
              <w:spacing w:after="0" w:line="240" w:lineRule="auto"/>
              <w:ind w:left="720" w:hanging="72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F7766">
              <w:rPr>
                <w:rFonts w:asciiTheme="majorHAnsi" w:hAnsiTheme="majorHAnsi" w:cstheme="majorHAnsi"/>
              </w:rPr>
              <w:t>290,288-311,872</w:t>
            </w:r>
          </w:p>
        </w:tc>
        <w:tc>
          <w:tcPr>
            <w:tcW w:w="2218" w:type="dxa"/>
            <w:noWrap/>
            <w:hideMark/>
          </w:tcPr>
          <w:p w14:paraId="2BF49FE9" w14:textId="6CAD1524" w:rsidR="000F7766" w:rsidRPr="000F7766" w:rsidRDefault="000F7766" w:rsidP="000F7766">
            <w:pPr>
              <w:spacing w:after="0" w:line="240" w:lineRule="auto"/>
              <w:ind w:left="720" w:hanging="72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rPr>
            </w:pPr>
            <w:r w:rsidRPr="000F7766">
              <w:rPr>
                <w:rFonts w:asciiTheme="majorHAnsi" w:hAnsiTheme="majorHAnsi" w:cstheme="majorHAnsi"/>
              </w:rPr>
              <w:t>89,022-95,641</w:t>
            </w:r>
          </w:p>
        </w:tc>
      </w:tr>
    </w:tbl>
    <w:p w14:paraId="4E28AC24" w14:textId="77777777" w:rsidR="00C76F52" w:rsidRDefault="00C76F52">
      <w:pPr>
        <w:spacing w:after="160" w:line="259" w:lineRule="auto"/>
        <w:rPr>
          <w:rFonts w:cstheme="majorBidi"/>
          <w:b/>
          <w:color w:val="9D1F62"/>
          <w:sz w:val="28"/>
          <w:szCs w:val="32"/>
        </w:rPr>
      </w:pPr>
      <w:bookmarkStart w:id="14" w:name="_Ref150862442"/>
      <w:r>
        <w:br w:type="page"/>
      </w:r>
    </w:p>
    <w:p w14:paraId="03DED5A0" w14:textId="54C1D1AE" w:rsidR="001D6524" w:rsidRDefault="00CD07E3" w:rsidP="00CD07E3">
      <w:pPr>
        <w:pStyle w:val="Heading2ALT"/>
      </w:pPr>
      <w:r>
        <w:lastRenderedPageBreak/>
        <w:t>5</w:t>
      </w:r>
      <w:r w:rsidR="001D6524">
        <w:t>.0 Appendix A: Survey</w:t>
      </w:r>
      <w:bookmarkEnd w:id="14"/>
    </w:p>
    <w:p w14:paraId="2176C6F1" w14:textId="3A56EF23" w:rsidR="007E5AB2" w:rsidRPr="007E5AB2" w:rsidRDefault="007E5AB2" w:rsidP="007E5AB2">
      <w:pPr>
        <w:pStyle w:val="Heading2"/>
      </w:pPr>
      <w:r>
        <w:t>Survey Questions</w:t>
      </w:r>
    </w:p>
    <w:p w14:paraId="693E29BB" w14:textId="77777777" w:rsidR="007E5AB2" w:rsidRDefault="007E5AB2" w:rsidP="00D3785B">
      <w:pPr>
        <w:pStyle w:val="Heading3"/>
      </w:pPr>
      <w:r>
        <w:t>Introduction</w:t>
      </w:r>
    </w:p>
    <w:p w14:paraId="2C10397A" w14:textId="553D8EE3" w:rsidR="007E5AB2" w:rsidRPr="00966192" w:rsidRDefault="007E5AB2" w:rsidP="007E5AB2">
      <w:pPr>
        <w:rPr>
          <w:b/>
        </w:rPr>
      </w:pPr>
      <w:r w:rsidRPr="00966192">
        <w:t>A group of Illinois utilities, Commonwealth Edison, Nicor Gas, Peoples Gas and North Shore Gas, wish to understand the potential for advanced building policies in Illinois, including stretch energy codes and building performance standards.</w:t>
      </w:r>
    </w:p>
    <w:p w14:paraId="2A9CBB78" w14:textId="3FCA94AE" w:rsidR="007E5AB2" w:rsidRPr="00966192" w:rsidRDefault="007E5AB2" w:rsidP="007E5AB2">
      <w:pPr>
        <w:rPr>
          <w:b/>
        </w:rPr>
      </w:pPr>
      <w:r w:rsidRPr="00966192">
        <w:t xml:space="preserve">They are working to understand how municipalities view these policies, their likelihood of adoption, and current barriers to adoption. Slipstream, MEEA, and MMC are conducting this survey on behalf of the utilities. </w:t>
      </w:r>
    </w:p>
    <w:p w14:paraId="37DBF5B5" w14:textId="3191AEDB" w:rsidR="007E5AB2" w:rsidRPr="00966192" w:rsidRDefault="007E5AB2" w:rsidP="007E5AB2">
      <w:pPr>
        <w:rPr>
          <w:b/>
        </w:rPr>
      </w:pPr>
      <w:r w:rsidRPr="00966192">
        <w:t>The responses you provide today will be anonymized before being shared with the utilities or anyone else.</w:t>
      </w:r>
    </w:p>
    <w:p w14:paraId="0C6DE29F" w14:textId="77777777" w:rsidR="007E5AB2" w:rsidRPr="0097552F" w:rsidRDefault="007E5AB2" w:rsidP="007E5AB2">
      <w:pPr>
        <w:rPr>
          <w:b/>
          <w:u w:val="single"/>
        </w:rPr>
      </w:pPr>
      <w:r w:rsidRPr="0097552F">
        <w:rPr>
          <w:u w:val="single"/>
        </w:rPr>
        <w:t>Definitions</w:t>
      </w:r>
    </w:p>
    <w:p w14:paraId="61942934" w14:textId="0B3FC3BC" w:rsidR="007E5AB2" w:rsidRPr="00966192" w:rsidRDefault="007E5AB2" w:rsidP="007E5AB2">
      <w:pPr>
        <w:rPr>
          <w:b/>
        </w:rPr>
      </w:pPr>
      <w:r w:rsidRPr="00966192">
        <w:t xml:space="preserve">A stretch energy code is an alternative compliance path that goes beyond the minimum base energy code requirements and defines a higher level of energy efficiency for new construction. If adopted by a municipality, the stretch code becomes the new minimum level new buildings must hit. A stretch code impacts both residential and commercial buildings. </w:t>
      </w:r>
    </w:p>
    <w:p w14:paraId="1BE6B696" w14:textId="3AFA2633" w:rsidR="007E5AB2" w:rsidRPr="00966192" w:rsidRDefault="007E5AB2" w:rsidP="007E5AB2">
      <w:pPr>
        <w:rPr>
          <w:b/>
        </w:rPr>
      </w:pPr>
      <w:r w:rsidRPr="00966192">
        <w:t xml:space="preserve"> A building performance standard policy (BPS) is a requirement that </w:t>
      </w:r>
      <w:proofErr w:type="gramStart"/>
      <w:r w:rsidRPr="00966192">
        <w:t>focus</w:t>
      </w:r>
      <w:proofErr w:type="gramEnd"/>
      <w:r w:rsidRPr="00966192">
        <w:t xml:space="preserve"> on improving the existing building stock through setting minimum targets for efficiency upgrades. A BPS is typically only for commercial buildings.</w:t>
      </w:r>
    </w:p>
    <w:p w14:paraId="7CF75B8D" w14:textId="77777777" w:rsidR="007E5AB2" w:rsidRPr="00966192" w:rsidRDefault="007E5AB2" w:rsidP="007E5AB2">
      <w:pPr>
        <w:rPr>
          <w:b/>
        </w:rPr>
      </w:pPr>
      <w:r w:rsidRPr="00966192">
        <w:t xml:space="preserve">Benchmarking is </w:t>
      </w:r>
      <w:proofErr w:type="gramStart"/>
      <w:r w:rsidRPr="00966192">
        <w:t>ongoing</w:t>
      </w:r>
      <w:proofErr w:type="gramEnd"/>
      <w:r w:rsidRPr="00966192">
        <w:t xml:space="preserve"> review of energy performance of existing buildings with the goal of informing and motivating performance improvement and often comes before a BPS policy. A BPS is typically only for commercial buildings.</w:t>
      </w:r>
    </w:p>
    <w:p w14:paraId="26535401" w14:textId="6F8B0762" w:rsidR="007E5AB2" w:rsidRPr="00FA7253" w:rsidRDefault="007E5AB2" w:rsidP="00D3785B">
      <w:pPr>
        <w:pStyle w:val="Heading3"/>
      </w:pPr>
      <w:r>
        <w:t>Questions</w:t>
      </w:r>
    </w:p>
    <w:p w14:paraId="65CA615C" w14:textId="77777777" w:rsidR="007E5AB2" w:rsidRDefault="007E5AB2" w:rsidP="007E5AB2">
      <w:pPr>
        <w:pStyle w:val="ListParagraph"/>
        <w:numPr>
          <w:ilvl w:val="0"/>
          <w:numId w:val="34"/>
        </w:numPr>
      </w:pPr>
      <w:r w:rsidRPr="00534E8A">
        <w:t>What municipality do you work for?</w:t>
      </w:r>
      <w:r>
        <w:t xml:space="preserve"> </w:t>
      </w:r>
    </w:p>
    <w:p w14:paraId="2005ECB4" w14:textId="77777777" w:rsidR="007E5AB2" w:rsidRDefault="007E5AB2" w:rsidP="007E5AB2">
      <w:pPr>
        <w:pStyle w:val="ListParagraph"/>
        <w:numPr>
          <w:ilvl w:val="0"/>
          <w:numId w:val="34"/>
        </w:numPr>
      </w:pPr>
      <w:r w:rsidRPr="00534E8A">
        <w:t>What is your current role and title? What department are you in?</w:t>
      </w:r>
      <w:r>
        <w:t xml:space="preserve"> </w:t>
      </w:r>
    </w:p>
    <w:p w14:paraId="1E56668C" w14:textId="77777777" w:rsidR="007E5AB2" w:rsidRDefault="007E5AB2" w:rsidP="007E5AB2">
      <w:pPr>
        <w:pStyle w:val="ListParagraph"/>
        <w:numPr>
          <w:ilvl w:val="0"/>
          <w:numId w:val="34"/>
        </w:numPr>
      </w:pPr>
      <w:r w:rsidRPr="00534E8A">
        <w:t>How long have you worked for the municipality?</w:t>
      </w:r>
    </w:p>
    <w:p w14:paraId="73A8C254" w14:textId="77777777" w:rsidR="007E5AB2" w:rsidRDefault="007E5AB2" w:rsidP="007E5AB2">
      <w:pPr>
        <w:pStyle w:val="ListParagraph"/>
        <w:numPr>
          <w:ilvl w:val="0"/>
          <w:numId w:val="34"/>
        </w:numPr>
      </w:pPr>
      <w:r w:rsidRPr="00534E8A">
        <w:t>Please tell us how your role at the municipality may interact with stretch codes and building performance standard (BPS) adoption activities.</w:t>
      </w:r>
    </w:p>
    <w:p w14:paraId="608701CC" w14:textId="77777777" w:rsidR="007E5AB2" w:rsidRPr="00300472" w:rsidRDefault="007E5AB2" w:rsidP="00D3785B">
      <w:pPr>
        <w:pStyle w:val="Heading3"/>
      </w:pPr>
      <w:r>
        <w:t>Stretch Codes</w:t>
      </w:r>
    </w:p>
    <w:p w14:paraId="365CE93E" w14:textId="77777777" w:rsidR="007E5AB2" w:rsidRDefault="007E5AB2" w:rsidP="007E5AB2">
      <w:pPr>
        <w:pStyle w:val="ListParagraph"/>
        <w:numPr>
          <w:ilvl w:val="0"/>
          <w:numId w:val="34"/>
        </w:numPr>
      </w:pPr>
      <w:r w:rsidRPr="00E1047D">
        <w:t>If your municipality is considering adopting stretch codes, what is the estimated timeline for adoption?</w:t>
      </w:r>
    </w:p>
    <w:p w14:paraId="256CCC36" w14:textId="77777777" w:rsidR="007E5AB2" w:rsidRDefault="007E5AB2" w:rsidP="007E5AB2">
      <w:pPr>
        <w:pStyle w:val="ListParagraph"/>
        <w:numPr>
          <w:ilvl w:val="1"/>
          <w:numId w:val="34"/>
        </w:numPr>
      </w:pPr>
      <w:r>
        <w:t>In the next year</w:t>
      </w:r>
    </w:p>
    <w:p w14:paraId="59E3018B" w14:textId="77777777" w:rsidR="007E5AB2" w:rsidRDefault="007E5AB2" w:rsidP="007E5AB2">
      <w:pPr>
        <w:pStyle w:val="ListParagraph"/>
        <w:numPr>
          <w:ilvl w:val="1"/>
          <w:numId w:val="34"/>
        </w:numPr>
      </w:pPr>
      <w:r>
        <w:t>In the near-term (next 1 to 3 years)</w:t>
      </w:r>
    </w:p>
    <w:p w14:paraId="74BF07BC" w14:textId="77777777" w:rsidR="007E5AB2" w:rsidRDefault="007E5AB2" w:rsidP="007E5AB2">
      <w:pPr>
        <w:pStyle w:val="ListParagraph"/>
        <w:numPr>
          <w:ilvl w:val="1"/>
          <w:numId w:val="34"/>
        </w:numPr>
      </w:pPr>
      <w:r>
        <w:t>In the medium-term (next 4 to 6 years)</w:t>
      </w:r>
    </w:p>
    <w:p w14:paraId="5F98BA1F" w14:textId="77777777" w:rsidR="007E5AB2" w:rsidRDefault="007E5AB2" w:rsidP="007E5AB2">
      <w:pPr>
        <w:pStyle w:val="ListParagraph"/>
        <w:numPr>
          <w:ilvl w:val="1"/>
          <w:numId w:val="34"/>
        </w:numPr>
      </w:pPr>
      <w:r>
        <w:t>In the long-term (6+ years)</w:t>
      </w:r>
    </w:p>
    <w:p w14:paraId="012916CD" w14:textId="77777777" w:rsidR="007E5AB2" w:rsidRDefault="007E5AB2" w:rsidP="007E5AB2">
      <w:pPr>
        <w:pStyle w:val="ListParagraph"/>
        <w:numPr>
          <w:ilvl w:val="1"/>
          <w:numId w:val="34"/>
        </w:numPr>
      </w:pPr>
      <w:r>
        <w:lastRenderedPageBreak/>
        <w:t>Never</w:t>
      </w:r>
    </w:p>
    <w:p w14:paraId="205C5A4A" w14:textId="77777777" w:rsidR="007E5AB2" w:rsidRDefault="007E5AB2" w:rsidP="007E5AB2">
      <w:pPr>
        <w:pStyle w:val="ListParagraph"/>
        <w:numPr>
          <w:ilvl w:val="1"/>
          <w:numId w:val="34"/>
        </w:numPr>
      </w:pPr>
      <w:r>
        <w:t>Not sure</w:t>
      </w:r>
    </w:p>
    <w:p w14:paraId="12009BFC" w14:textId="77777777" w:rsidR="007E5AB2" w:rsidRDefault="007E5AB2" w:rsidP="007E5AB2">
      <w:pPr>
        <w:pStyle w:val="ListParagraph"/>
        <w:ind w:left="1440"/>
      </w:pPr>
    </w:p>
    <w:p w14:paraId="3C6CBC05" w14:textId="77777777" w:rsidR="007E5AB2" w:rsidRDefault="007E5AB2" w:rsidP="007E5AB2">
      <w:pPr>
        <w:pStyle w:val="ListParagraph"/>
        <w:numPr>
          <w:ilvl w:val="0"/>
          <w:numId w:val="34"/>
        </w:numPr>
      </w:pPr>
      <w:r w:rsidRPr="00E1047D">
        <w:t>Does the consideration for adopting stretch codes differ for residential versus commercial stretch code? If so, how?</w:t>
      </w:r>
    </w:p>
    <w:p w14:paraId="3275E71E" w14:textId="77777777" w:rsidR="007E5AB2" w:rsidRDefault="007E5AB2" w:rsidP="007E5AB2">
      <w:pPr>
        <w:pStyle w:val="ListParagraph"/>
        <w:ind w:left="1440"/>
      </w:pPr>
    </w:p>
    <w:p w14:paraId="70303D37" w14:textId="77777777" w:rsidR="007E5AB2" w:rsidRDefault="007E5AB2" w:rsidP="007E5AB2">
      <w:pPr>
        <w:pStyle w:val="ListParagraph"/>
        <w:numPr>
          <w:ilvl w:val="0"/>
          <w:numId w:val="34"/>
        </w:numPr>
      </w:pPr>
      <w:r w:rsidRPr="00E1047D">
        <w:t>How would you describe your municipality's general interest in adopting a stretch code?</w:t>
      </w:r>
    </w:p>
    <w:p w14:paraId="05A96696" w14:textId="77777777" w:rsidR="007E5AB2" w:rsidRDefault="007E5AB2" w:rsidP="007E5AB2">
      <w:pPr>
        <w:pStyle w:val="ListParagraph"/>
      </w:pPr>
    </w:p>
    <w:p w14:paraId="4ED148DB" w14:textId="77777777" w:rsidR="007E5AB2" w:rsidRDefault="007E5AB2" w:rsidP="007E5AB2">
      <w:pPr>
        <w:pStyle w:val="ListParagraph"/>
        <w:numPr>
          <w:ilvl w:val="0"/>
          <w:numId w:val="34"/>
        </w:numPr>
      </w:pPr>
      <w:r w:rsidRPr="00811C1B">
        <w:t>How does interest in the policies vary across internal and external stakeholders (e.g. residents, businesses, municipal staff, elected officials)?</w:t>
      </w:r>
    </w:p>
    <w:p w14:paraId="4DE4D485" w14:textId="77777777" w:rsidR="007E5AB2" w:rsidRDefault="007E5AB2" w:rsidP="007E5AB2">
      <w:pPr>
        <w:pStyle w:val="ListParagraph"/>
      </w:pPr>
    </w:p>
    <w:p w14:paraId="5EB9DFC9" w14:textId="77777777" w:rsidR="007E5AB2" w:rsidRDefault="007E5AB2" w:rsidP="007E5AB2">
      <w:pPr>
        <w:pStyle w:val="ListParagraph"/>
        <w:numPr>
          <w:ilvl w:val="0"/>
          <w:numId w:val="34"/>
        </w:numPr>
      </w:pPr>
      <w:r>
        <w:t>Are there different factors influencing your decision to adopt a residential versus commercial stretch code?</w:t>
      </w:r>
    </w:p>
    <w:p w14:paraId="1BCB0A52" w14:textId="77777777" w:rsidR="007E5AB2" w:rsidRDefault="007E5AB2" w:rsidP="007E5AB2">
      <w:pPr>
        <w:pStyle w:val="ListParagraph"/>
        <w:numPr>
          <w:ilvl w:val="1"/>
          <w:numId w:val="34"/>
        </w:numPr>
      </w:pPr>
      <w:r>
        <w:t>Yes</w:t>
      </w:r>
    </w:p>
    <w:p w14:paraId="5C5F8D81" w14:textId="37F3E497" w:rsidR="007E5AB2" w:rsidRDefault="007E5AB2" w:rsidP="007E5AB2">
      <w:pPr>
        <w:pStyle w:val="ListParagraph"/>
        <w:numPr>
          <w:ilvl w:val="1"/>
          <w:numId w:val="34"/>
        </w:numPr>
      </w:pPr>
      <w:r>
        <w:t>No</w:t>
      </w:r>
    </w:p>
    <w:p w14:paraId="0523CF87" w14:textId="3E3944FF" w:rsidR="007E5AB2" w:rsidRDefault="007E5AB2" w:rsidP="006B62B8">
      <w:r>
        <w:t xml:space="preserve">IF YES – ask </w:t>
      </w:r>
      <w:proofErr w:type="gramStart"/>
      <w:r>
        <w:t>below question</w:t>
      </w:r>
      <w:proofErr w:type="gramEnd"/>
      <w:r>
        <w:t xml:space="preserve"> twice for residential and commercial. IF NO – skip to general question about stretch </w:t>
      </w:r>
      <w:proofErr w:type="gramStart"/>
      <w:r>
        <w:t>codes</w:t>
      </w:r>
      <w:proofErr w:type="gramEnd"/>
    </w:p>
    <w:p w14:paraId="49DD209F" w14:textId="77777777" w:rsidR="007E5AB2" w:rsidRPr="008044BC" w:rsidRDefault="007E5AB2" w:rsidP="007E5AB2">
      <w:pPr>
        <w:pStyle w:val="ListParagraph"/>
        <w:numPr>
          <w:ilvl w:val="0"/>
          <w:numId w:val="34"/>
        </w:numPr>
      </w:pPr>
      <w:r>
        <w:t xml:space="preserve">Rate the influence of the following on your municipality ’s decision to adopt a </w:t>
      </w:r>
      <w:r w:rsidRPr="00BB0206">
        <w:t>stretch code?</w:t>
      </w:r>
    </w:p>
    <w:p w14:paraId="43393E8A" w14:textId="77777777" w:rsidR="007E5AB2" w:rsidRPr="00300472" w:rsidRDefault="007E5AB2" w:rsidP="006B62B8">
      <w:pPr>
        <w:numPr>
          <w:ilvl w:val="0"/>
          <w:numId w:val="37"/>
        </w:numPr>
        <w:spacing w:after="0" w:line="240" w:lineRule="auto"/>
      </w:pPr>
      <w:r w:rsidRPr="00300472">
        <w:t>Existing utility rebate and new construction programs</w:t>
      </w:r>
      <w:r>
        <w:t xml:space="preserve"> (e.g. commercial new construction program, </w:t>
      </w:r>
      <w:proofErr w:type="gramStart"/>
      <w:r>
        <w:t>appliance</w:t>
      </w:r>
      <w:proofErr w:type="gramEnd"/>
      <w:r>
        <w:t xml:space="preserve"> and equipment rebates) </w:t>
      </w:r>
    </w:p>
    <w:p w14:paraId="0621189E" w14:textId="77777777" w:rsidR="007E5AB2" w:rsidRDefault="007E5AB2" w:rsidP="006B62B8">
      <w:pPr>
        <w:numPr>
          <w:ilvl w:val="0"/>
          <w:numId w:val="37"/>
        </w:numPr>
        <w:spacing w:after="0" w:line="240" w:lineRule="auto"/>
      </w:pPr>
      <w:r w:rsidRPr="00300472">
        <w:t xml:space="preserve">Availability of targeted </w:t>
      </w:r>
      <w:r w:rsidRPr="000F30DA">
        <w:rPr>
          <w:color w:val="FF0000"/>
        </w:rPr>
        <w:t>stretch code</w:t>
      </w:r>
      <w:r>
        <w:rPr>
          <w:color w:val="FF0000"/>
        </w:rPr>
        <w:t xml:space="preserve"> </w:t>
      </w:r>
      <w:r w:rsidRPr="00300472">
        <w:t xml:space="preserve">support programs funded by </w:t>
      </w:r>
      <w:proofErr w:type="gramStart"/>
      <w:r w:rsidRPr="00300472">
        <w:t>utilities</w:t>
      </w:r>
      <w:proofErr w:type="gramEnd"/>
    </w:p>
    <w:p w14:paraId="3EBA08C4" w14:textId="77777777" w:rsidR="007E5AB2" w:rsidRPr="00300472" w:rsidRDefault="007E5AB2" w:rsidP="006B62B8">
      <w:pPr>
        <w:numPr>
          <w:ilvl w:val="0"/>
          <w:numId w:val="37"/>
        </w:numPr>
        <w:spacing w:after="0" w:line="240" w:lineRule="auto"/>
      </w:pPr>
      <w:r>
        <w:t>Adoption by other municipalities across the state</w:t>
      </w:r>
    </w:p>
    <w:p w14:paraId="01EF16DB" w14:textId="77777777" w:rsidR="007E5AB2" w:rsidRPr="00300472" w:rsidRDefault="007E5AB2" w:rsidP="006B62B8">
      <w:pPr>
        <w:numPr>
          <w:ilvl w:val="0"/>
          <w:numId w:val="37"/>
        </w:numPr>
        <w:spacing w:after="0" w:line="240" w:lineRule="auto"/>
      </w:pPr>
      <w:r w:rsidRPr="00300472">
        <w:t>Technical support from MEEA and Slipstream</w:t>
      </w:r>
      <w:r>
        <w:t xml:space="preserve"> (the utilities’ implementers for stretch codes and BPS support activities)</w:t>
      </w:r>
    </w:p>
    <w:p w14:paraId="4C4C8641" w14:textId="77777777" w:rsidR="007E5AB2" w:rsidRPr="00300472" w:rsidRDefault="007E5AB2" w:rsidP="006B62B8">
      <w:pPr>
        <w:numPr>
          <w:ilvl w:val="0"/>
          <w:numId w:val="37"/>
        </w:numPr>
        <w:spacing w:after="0" w:line="240" w:lineRule="auto"/>
      </w:pPr>
      <w:r w:rsidRPr="00300472">
        <w:t>Technical support from other nonprofits</w:t>
      </w:r>
    </w:p>
    <w:p w14:paraId="2EC75C62" w14:textId="77777777" w:rsidR="007E5AB2" w:rsidRPr="00300472" w:rsidRDefault="007E5AB2" w:rsidP="006B62B8">
      <w:pPr>
        <w:numPr>
          <w:ilvl w:val="0"/>
          <w:numId w:val="37"/>
        </w:numPr>
        <w:spacing w:after="0" w:line="240" w:lineRule="auto"/>
      </w:pPr>
      <w:r w:rsidRPr="00300472">
        <w:t>Federal funding</w:t>
      </w:r>
    </w:p>
    <w:p w14:paraId="312FF43E" w14:textId="77777777" w:rsidR="007E5AB2" w:rsidRPr="00300472" w:rsidRDefault="007E5AB2" w:rsidP="006B62B8">
      <w:pPr>
        <w:numPr>
          <w:ilvl w:val="0"/>
          <w:numId w:val="37"/>
        </w:numPr>
        <w:spacing w:after="0" w:line="240" w:lineRule="auto"/>
      </w:pPr>
      <w:r w:rsidRPr="00300472">
        <w:t>Citywide carbon and energy goals</w:t>
      </w:r>
    </w:p>
    <w:p w14:paraId="4C991158" w14:textId="5EF634A3" w:rsidR="007E5AB2" w:rsidRDefault="007E5AB2" w:rsidP="007E5AB2">
      <w:pPr>
        <w:numPr>
          <w:ilvl w:val="0"/>
          <w:numId w:val="37"/>
        </w:numPr>
        <w:spacing w:after="0" w:line="240" w:lineRule="auto"/>
      </w:pPr>
      <w:r w:rsidRPr="00300472">
        <w:t>Other:</w:t>
      </w:r>
    </w:p>
    <w:p w14:paraId="1F4F6FD7" w14:textId="77777777" w:rsidR="006B62B8" w:rsidRDefault="006B62B8" w:rsidP="006B62B8">
      <w:pPr>
        <w:spacing w:after="0" w:line="240" w:lineRule="auto"/>
        <w:ind w:left="1440"/>
      </w:pPr>
    </w:p>
    <w:p w14:paraId="273B4B91" w14:textId="77777777" w:rsidR="007E5AB2" w:rsidRDefault="007E5AB2" w:rsidP="007E5AB2">
      <w:pPr>
        <w:pStyle w:val="ListParagraph"/>
        <w:numPr>
          <w:ilvl w:val="0"/>
          <w:numId w:val="34"/>
        </w:numPr>
      </w:pPr>
      <w:r w:rsidRPr="000C3FDA">
        <w:t>As needed, provide additional feedback on how various factors you just ranked are impacting your municipality’s stretch code adoption decisions or discussions.</w:t>
      </w:r>
    </w:p>
    <w:p w14:paraId="28CEB10D" w14:textId="77777777" w:rsidR="007E5AB2" w:rsidRPr="00300472" w:rsidRDefault="007E5AB2" w:rsidP="007E5AB2">
      <w:pPr>
        <w:pStyle w:val="ListParagraph"/>
      </w:pPr>
    </w:p>
    <w:p w14:paraId="1C6AFC1E" w14:textId="77777777" w:rsidR="007E5AB2" w:rsidRDefault="007E5AB2" w:rsidP="007E5AB2">
      <w:pPr>
        <w:pStyle w:val="ListParagraph"/>
        <w:numPr>
          <w:ilvl w:val="0"/>
          <w:numId w:val="34"/>
        </w:numPr>
      </w:pPr>
      <w:r w:rsidRPr="00B8660B">
        <w:t>What are the perceived barriers at your municipality preventing the adoption or consideration of stretch codes?</w:t>
      </w:r>
    </w:p>
    <w:p w14:paraId="4F56CDCF" w14:textId="77777777" w:rsidR="007E5AB2" w:rsidRDefault="007E5AB2" w:rsidP="007E5AB2">
      <w:pPr>
        <w:pStyle w:val="ListParagraph"/>
        <w:numPr>
          <w:ilvl w:val="1"/>
          <w:numId w:val="34"/>
        </w:numPr>
      </w:pPr>
      <w:r>
        <w:t xml:space="preserve">Cost concerns for the city </w:t>
      </w:r>
    </w:p>
    <w:p w14:paraId="50225FE8" w14:textId="77777777" w:rsidR="007E5AB2" w:rsidRDefault="007E5AB2" w:rsidP="007E5AB2">
      <w:pPr>
        <w:pStyle w:val="ListParagraph"/>
        <w:numPr>
          <w:ilvl w:val="1"/>
          <w:numId w:val="34"/>
        </w:numPr>
      </w:pPr>
      <w:r>
        <w:t>Cost concerns of businesses and residents</w:t>
      </w:r>
    </w:p>
    <w:p w14:paraId="51C61BBA" w14:textId="77777777" w:rsidR="007E5AB2" w:rsidRDefault="007E5AB2" w:rsidP="007E5AB2">
      <w:pPr>
        <w:pStyle w:val="ListParagraph"/>
        <w:numPr>
          <w:ilvl w:val="1"/>
          <w:numId w:val="34"/>
        </w:numPr>
      </w:pPr>
      <w:r>
        <w:t>Stakeholder and political pushback</w:t>
      </w:r>
    </w:p>
    <w:p w14:paraId="38227D3F" w14:textId="77777777" w:rsidR="007E5AB2" w:rsidRDefault="007E5AB2" w:rsidP="007E5AB2">
      <w:pPr>
        <w:pStyle w:val="ListParagraph"/>
        <w:numPr>
          <w:ilvl w:val="1"/>
          <w:numId w:val="34"/>
        </w:numPr>
      </w:pPr>
      <w:r>
        <w:t>Lack of knowledge/education</w:t>
      </w:r>
    </w:p>
    <w:p w14:paraId="1E2BA917" w14:textId="77777777" w:rsidR="007E5AB2" w:rsidRDefault="007E5AB2" w:rsidP="007E5AB2">
      <w:pPr>
        <w:pStyle w:val="ListParagraph"/>
        <w:numPr>
          <w:ilvl w:val="1"/>
          <w:numId w:val="34"/>
        </w:numPr>
      </w:pPr>
      <w:r>
        <w:t xml:space="preserve">Concerns about city capacity to </w:t>
      </w:r>
      <w:proofErr w:type="gramStart"/>
      <w:r>
        <w:t>enforce</w:t>
      </w:r>
      <w:proofErr w:type="gramEnd"/>
    </w:p>
    <w:p w14:paraId="0C028A9C" w14:textId="77777777" w:rsidR="007E5AB2" w:rsidRDefault="007E5AB2" w:rsidP="007E5AB2">
      <w:pPr>
        <w:pStyle w:val="ListParagraph"/>
        <w:numPr>
          <w:ilvl w:val="1"/>
          <w:numId w:val="34"/>
        </w:numPr>
      </w:pPr>
      <w:r>
        <w:t>Perceived lack of benefits to adopting</w:t>
      </w:r>
    </w:p>
    <w:p w14:paraId="176A9171" w14:textId="22613A3B" w:rsidR="007E5AB2" w:rsidRDefault="007E5AB2" w:rsidP="007E5AB2">
      <w:pPr>
        <w:pStyle w:val="ListParagraph"/>
        <w:numPr>
          <w:ilvl w:val="1"/>
          <w:numId w:val="34"/>
        </w:numPr>
      </w:pPr>
      <w:r>
        <w:t>Other:</w:t>
      </w:r>
    </w:p>
    <w:p w14:paraId="6E5A6926" w14:textId="77777777" w:rsidR="007E5AB2" w:rsidRDefault="007E5AB2" w:rsidP="007E5AB2">
      <w:pPr>
        <w:pStyle w:val="ListParagraph"/>
        <w:numPr>
          <w:ilvl w:val="0"/>
          <w:numId w:val="34"/>
        </w:numPr>
      </w:pPr>
      <w:r w:rsidRPr="00B8660B">
        <w:lastRenderedPageBreak/>
        <w:t>What technical assistance or resources would help to overcome these barriers? (examples include policies, staffing needs, funding needs, incentives, technical education, etc.)</w:t>
      </w:r>
    </w:p>
    <w:p w14:paraId="1D80D37D" w14:textId="77777777" w:rsidR="007E5AB2" w:rsidRDefault="007E5AB2" w:rsidP="007E5AB2">
      <w:pPr>
        <w:pStyle w:val="ListParagraph"/>
      </w:pPr>
    </w:p>
    <w:p w14:paraId="723E1F79" w14:textId="77777777" w:rsidR="007E5AB2" w:rsidRDefault="007E5AB2" w:rsidP="007E5AB2">
      <w:pPr>
        <w:pStyle w:val="ListParagraph"/>
        <w:numPr>
          <w:ilvl w:val="0"/>
          <w:numId w:val="34"/>
        </w:numPr>
      </w:pPr>
      <w:r w:rsidRPr="00B8660B">
        <w:t>Is there anything else you think is important to share about your municipality's perception or stance on stretch codes?</w:t>
      </w:r>
    </w:p>
    <w:p w14:paraId="544A6695" w14:textId="77777777" w:rsidR="007E5AB2" w:rsidRDefault="007E5AB2" w:rsidP="00D3785B">
      <w:pPr>
        <w:pStyle w:val="Heading3"/>
      </w:pPr>
      <w:r>
        <w:t>BPS</w:t>
      </w:r>
    </w:p>
    <w:p w14:paraId="454E4542" w14:textId="77777777" w:rsidR="007E5AB2" w:rsidRDefault="007E5AB2" w:rsidP="007E5AB2">
      <w:r>
        <w:t xml:space="preserve">We are now going to ask similar questions for benchmarking and building performance standards. </w:t>
      </w:r>
      <w:proofErr w:type="gramStart"/>
      <w:r>
        <w:t>Both of these</w:t>
      </w:r>
      <w:proofErr w:type="gramEnd"/>
      <w:r>
        <w:t xml:space="preserve"> policies typically only apply to commercial and large multifamily buildings. As a reminder, definitions for benchmarking and BPS are below:</w:t>
      </w:r>
    </w:p>
    <w:p w14:paraId="02AB050A" w14:textId="77777777" w:rsidR="007E5AB2" w:rsidRDefault="007E5AB2" w:rsidP="007E5AB2">
      <w:r>
        <w:t xml:space="preserve">A building performance standard policy (BPS) is a requirement that </w:t>
      </w:r>
      <w:proofErr w:type="gramStart"/>
      <w:r>
        <w:t>focus</w:t>
      </w:r>
      <w:proofErr w:type="gramEnd"/>
      <w:r>
        <w:t xml:space="preserve"> on improving the existing building stock through setting minimum targets for efficiency upgrades.</w:t>
      </w:r>
    </w:p>
    <w:p w14:paraId="203C5DED" w14:textId="77777777" w:rsidR="007E5AB2" w:rsidRDefault="007E5AB2" w:rsidP="007E5AB2">
      <w:r>
        <w:t xml:space="preserve">Benchmarking is </w:t>
      </w:r>
      <w:proofErr w:type="gramStart"/>
      <w:r>
        <w:t>ongoing</w:t>
      </w:r>
      <w:proofErr w:type="gramEnd"/>
      <w:r>
        <w:t xml:space="preserve"> review of energy performance of existing buildings with the goal of informing and motivating performance improvement and often comes before a BPS policy.</w:t>
      </w:r>
    </w:p>
    <w:p w14:paraId="6A87EEE9" w14:textId="77777777" w:rsidR="007E5AB2" w:rsidRDefault="007E5AB2" w:rsidP="007E5AB2">
      <w:pPr>
        <w:pStyle w:val="ListParagraph"/>
        <w:numPr>
          <w:ilvl w:val="0"/>
          <w:numId w:val="34"/>
        </w:numPr>
      </w:pPr>
      <w:r w:rsidRPr="005D481E">
        <w:t>If your municipality is considering adopting a benchmarking ordinance or building performance standard (BPS) policy, what is the estimated timeline for adoption?</w:t>
      </w:r>
    </w:p>
    <w:p w14:paraId="7BE55FA5" w14:textId="77777777" w:rsidR="007E5AB2" w:rsidRDefault="007E5AB2" w:rsidP="007E5AB2">
      <w:pPr>
        <w:pStyle w:val="ListParagraph"/>
        <w:numPr>
          <w:ilvl w:val="1"/>
          <w:numId w:val="34"/>
        </w:numPr>
      </w:pPr>
      <w:r>
        <w:t>In the next year</w:t>
      </w:r>
    </w:p>
    <w:p w14:paraId="29933893" w14:textId="77777777" w:rsidR="007E5AB2" w:rsidRDefault="007E5AB2" w:rsidP="007E5AB2">
      <w:pPr>
        <w:pStyle w:val="ListParagraph"/>
        <w:numPr>
          <w:ilvl w:val="1"/>
          <w:numId w:val="34"/>
        </w:numPr>
      </w:pPr>
      <w:r>
        <w:t>In the near-term (next 1 to 3 years)</w:t>
      </w:r>
    </w:p>
    <w:p w14:paraId="0FEE2E28" w14:textId="77777777" w:rsidR="007E5AB2" w:rsidRDefault="007E5AB2" w:rsidP="007E5AB2">
      <w:pPr>
        <w:pStyle w:val="ListParagraph"/>
        <w:numPr>
          <w:ilvl w:val="1"/>
          <w:numId w:val="34"/>
        </w:numPr>
      </w:pPr>
      <w:r>
        <w:t>In the medium-term (next 4 to 6 years)</w:t>
      </w:r>
    </w:p>
    <w:p w14:paraId="3F6D6456" w14:textId="77777777" w:rsidR="007E5AB2" w:rsidRDefault="007E5AB2" w:rsidP="007E5AB2">
      <w:pPr>
        <w:pStyle w:val="ListParagraph"/>
        <w:numPr>
          <w:ilvl w:val="1"/>
          <w:numId w:val="34"/>
        </w:numPr>
      </w:pPr>
      <w:r>
        <w:t>In the long-term (6+ years)</w:t>
      </w:r>
    </w:p>
    <w:p w14:paraId="62AF0CBC" w14:textId="77777777" w:rsidR="007E5AB2" w:rsidRDefault="007E5AB2" w:rsidP="007E5AB2">
      <w:pPr>
        <w:pStyle w:val="ListParagraph"/>
        <w:numPr>
          <w:ilvl w:val="1"/>
          <w:numId w:val="34"/>
        </w:numPr>
      </w:pPr>
      <w:r>
        <w:t>Never</w:t>
      </w:r>
    </w:p>
    <w:p w14:paraId="70886BCD" w14:textId="77777777" w:rsidR="007E5AB2" w:rsidRDefault="007E5AB2" w:rsidP="007E5AB2">
      <w:pPr>
        <w:pStyle w:val="ListParagraph"/>
        <w:numPr>
          <w:ilvl w:val="1"/>
          <w:numId w:val="34"/>
        </w:numPr>
      </w:pPr>
      <w:r>
        <w:t>Not sure</w:t>
      </w:r>
    </w:p>
    <w:p w14:paraId="3C9C79B4" w14:textId="77777777" w:rsidR="007E5AB2" w:rsidRDefault="007E5AB2" w:rsidP="007E5AB2">
      <w:pPr>
        <w:pStyle w:val="ListParagraph"/>
        <w:ind w:left="1440"/>
      </w:pPr>
    </w:p>
    <w:p w14:paraId="59F5CD53" w14:textId="77777777" w:rsidR="007E5AB2" w:rsidRDefault="007E5AB2" w:rsidP="007E5AB2">
      <w:pPr>
        <w:pStyle w:val="ListParagraph"/>
        <w:numPr>
          <w:ilvl w:val="0"/>
          <w:numId w:val="34"/>
        </w:numPr>
      </w:pPr>
      <w:r w:rsidRPr="005D481E">
        <w:t>How would you describe your municipality's general interest in adopting building performance standards?</w:t>
      </w:r>
    </w:p>
    <w:p w14:paraId="45D2C850" w14:textId="77777777" w:rsidR="007E5AB2" w:rsidRDefault="007E5AB2" w:rsidP="007E5AB2">
      <w:pPr>
        <w:pStyle w:val="ListParagraph"/>
      </w:pPr>
    </w:p>
    <w:p w14:paraId="425B72C3" w14:textId="77777777" w:rsidR="007E5AB2" w:rsidRDefault="007E5AB2" w:rsidP="007E5AB2">
      <w:pPr>
        <w:pStyle w:val="ListParagraph"/>
        <w:numPr>
          <w:ilvl w:val="0"/>
          <w:numId w:val="34"/>
        </w:numPr>
      </w:pPr>
      <w:r w:rsidRPr="005D481E">
        <w:t>How does interest in adoption vary across internal and external stakeholders (e.g. residents, businesses, municipal staff, elected officials)?</w:t>
      </w:r>
    </w:p>
    <w:p w14:paraId="494E8A8A" w14:textId="77777777" w:rsidR="007E5AB2" w:rsidRDefault="007E5AB2" w:rsidP="007E5AB2">
      <w:pPr>
        <w:pStyle w:val="ListParagraph"/>
      </w:pPr>
    </w:p>
    <w:p w14:paraId="6525B8F5" w14:textId="77777777" w:rsidR="007E5AB2" w:rsidRDefault="007E5AB2" w:rsidP="007E5AB2">
      <w:pPr>
        <w:pStyle w:val="ListParagraph"/>
        <w:numPr>
          <w:ilvl w:val="0"/>
          <w:numId w:val="34"/>
        </w:numPr>
      </w:pPr>
      <w:r>
        <w:t>How would you describe interest in a benchmarking ordinance?</w:t>
      </w:r>
    </w:p>
    <w:p w14:paraId="73356D43" w14:textId="77777777" w:rsidR="007E5AB2" w:rsidRDefault="007E5AB2" w:rsidP="007E5AB2">
      <w:pPr>
        <w:pStyle w:val="ListParagraph"/>
      </w:pPr>
    </w:p>
    <w:p w14:paraId="63AD9082" w14:textId="77777777" w:rsidR="007E5AB2" w:rsidRDefault="007E5AB2" w:rsidP="007E5AB2">
      <w:pPr>
        <w:pStyle w:val="ListParagraph"/>
        <w:numPr>
          <w:ilvl w:val="0"/>
          <w:numId w:val="34"/>
        </w:numPr>
      </w:pPr>
      <w:r w:rsidRPr="005D481E">
        <w:t>How would you describe external stakeholder interest in a benchmarking ordinance?</w:t>
      </w:r>
    </w:p>
    <w:p w14:paraId="4941ADD8" w14:textId="77777777" w:rsidR="007B4CAF" w:rsidRDefault="007B4CAF" w:rsidP="007B4CAF">
      <w:pPr>
        <w:pStyle w:val="ListParagraph"/>
      </w:pPr>
    </w:p>
    <w:p w14:paraId="1CC263A8" w14:textId="0EFADECA" w:rsidR="007E5AB2" w:rsidRPr="008044BC" w:rsidRDefault="007E5AB2" w:rsidP="007E5AB2">
      <w:pPr>
        <w:pStyle w:val="ListParagraph"/>
        <w:numPr>
          <w:ilvl w:val="0"/>
          <w:numId w:val="34"/>
        </w:numPr>
      </w:pPr>
      <w:r w:rsidRPr="00300472">
        <w:t>Ra</w:t>
      </w:r>
      <w:r>
        <w:t>te</w:t>
      </w:r>
      <w:r w:rsidRPr="00300472">
        <w:t xml:space="preserve"> the influence of the following on your </w:t>
      </w:r>
      <w:r>
        <w:t>municipality</w:t>
      </w:r>
      <w:r w:rsidRPr="00300472">
        <w:t xml:space="preserve">’s decision to </w:t>
      </w:r>
      <w:r w:rsidRPr="008044BC">
        <w:t xml:space="preserve">adopt a </w:t>
      </w:r>
      <w:r>
        <w:t>BPS ordinance?</w:t>
      </w:r>
    </w:p>
    <w:p w14:paraId="6875DBB3" w14:textId="77777777" w:rsidR="007E5AB2" w:rsidRPr="00300472" w:rsidRDefault="007E5AB2" w:rsidP="007B4CAF">
      <w:pPr>
        <w:numPr>
          <w:ilvl w:val="0"/>
          <w:numId w:val="37"/>
        </w:numPr>
        <w:spacing w:after="0"/>
      </w:pPr>
      <w:r w:rsidRPr="00300472">
        <w:t>Existing utility rebate and new construction programs</w:t>
      </w:r>
      <w:r>
        <w:t xml:space="preserve"> (e.g. commercial new construction program, </w:t>
      </w:r>
      <w:proofErr w:type="gramStart"/>
      <w:r>
        <w:t>appliance</w:t>
      </w:r>
      <w:proofErr w:type="gramEnd"/>
      <w:r>
        <w:t xml:space="preserve"> and equipment rebates) </w:t>
      </w:r>
    </w:p>
    <w:p w14:paraId="0C7A60A9" w14:textId="2CD1F067" w:rsidR="007E5AB2" w:rsidRDefault="007E5AB2" w:rsidP="007B4CAF">
      <w:pPr>
        <w:numPr>
          <w:ilvl w:val="0"/>
          <w:numId w:val="37"/>
        </w:numPr>
        <w:spacing w:after="0"/>
      </w:pPr>
      <w:r w:rsidRPr="00300472">
        <w:t xml:space="preserve">Availability of targeted </w:t>
      </w:r>
      <w:r w:rsidR="003C3A51">
        <w:rPr>
          <w:color w:val="FF0000"/>
        </w:rPr>
        <w:t>benchmarking or BPS</w:t>
      </w:r>
      <w:r>
        <w:rPr>
          <w:color w:val="FF0000"/>
        </w:rPr>
        <w:t xml:space="preserve"> </w:t>
      </w:r>
      <w:r w:rsidRPr="00300472">
        <w:t xml:space="preserve">support programs funded by </w:t>
      </w:r>
      <w:proofErr w:type="gramStart"/>
      <w:r w:rsidRPr="00300472">
        <w:t>utilities</w:t>
      </w:r>
      <w:proofErr w:type="gramEnd"/>
    </w:p>
    <w:p w14:paraId="4DDAE5D2" w14:textId="77777777" w:rsidR="007E5AB2" w:rsidRPr="00300472" w:rsidRDefault="007E5AB2" w:rsidP="007B4CAF">
      <w:pPr>
        <w:numPr>
          <w:ilvl w:val="0"/>
          <w:numId w:val="37"/>
        </w:numPr>
        <w:spacing w:after="0"/>
      </w:pPr>
      <w:r>
        <w:t>Adoption by other municipalities across the state</w:t>
      </w:r>
    </w:p>
    <w:p w14:paraId="61AF8C7E" w14:textId="77777777" w:rsidR="007E5AB2" w:rsidRPr="00300472" w:rsidRDefault="007E5AB2" w:rsidP="007B4CAF">
      <w:pPr>
        <w:numPr>
          <w:ilvl w:val="0"/>
          <w:numId w:val="37"/>
        </w:numPr>
        <w:spacing w:after="0"/>
      </w:pPr>
      <w:r w:rsidRPr="00300472">
        <w:lastRenderedPageBreak/>
        <w:t xml:space="preserve">Technical support from MEEA and </w:t>
      </w:r>
      <w:proofErr w:type="gramStart"/>
      <w:r w:rsidRPr="00300472">
        <w:t>Slipstream</w:t>
      </w:r>
      <w:r>
        <w:t xml:space="preserve">  (</w:t>
      </w:r>
      <w:proofErr w:type="gramEnd"/>
      <w:r>
        <w:t>the utilities’ implementers for stretch codes and BPS support activities)</w:t>
      </w:r>
    </w:p>
    <w:p w14:paraId="26ADAA7F" w14:textId="77777777" w:rsidR="007E5AB2" w:rsidRPr="00300472" w:rsidRDefault="007E5AB2" w:rsidP="007B4CAF">
      <w:pPr>
        <w:numPr>
          <w:ilvl w:val="0"/>
          <w:numId w:val="37"/>
        </w:numPr>
        <w:spacing w:after="0"/>
      </w:pPr>
      <w:r w:rsidRPr="00300472">
        <w:t>Technical support from other nonprofits</w:t>
      </w:r>
    </w:p>
    <w:p w14:paraId="6F72931D" w14:textId="77777777" w:rsidR="007E5AB2" w:rsidRPr="00300472" w:rsidRDefault="007E5AB2" w:rsidP="007B4CAF">
      <w:pPr>
        <w:numPr>
          <w:ilvl w:val="0"/>
          <w:numId w:val="37"/>
        </w:numPr>
        <w:spacing w:after="0"/>
      </w:pPr>
      <w:r w:rsidRPr="00300472">
        <w:t>Federal funding</w:t>
      </w:r>
    </w:p>
    <w:p w14:paraId="1982BC98" w14:textId="77777777" w:rsidR="007E5AB2" w:rsidRPr="00300472" w:rsidRDefault="007E5AB2" w:rsidP="007B4CAF">
      <w:pPr>
        <w:numPr>
          <w:ilvl w:val="0"/>
          <w:numId w:val="37"/>
        </w:numPr>
        <w:spacing w:after="0"/>
      </w:pPr>
      <w:r w:rsidRPr="00300472">
        <w:t>Citywide carbon and energy goals</w:t>
      </w:r>
    </w:p>
    <w:p w14:paraId="4789CCD7" w14:textId="77777777" w:rsidR="007E5AB2" w:rsidRDefault="007E5AB2" w:rsidP="007B4CAF">
      <w:pPr>
        <w:numPr>
          <w:ilvl w:val="0"/>
          <w:numId w:val="37"/>
        </w:numPr>
        <w:spacing w:after="0"/>
      </w:pPr>
      <w:r w:rsidRPr="00300472">
        <w:t>Other:</w:t>
      </w:r>
    </w:p>
    <w:p w14:paraId="74C2D6AF" w14:textId="77777777" w:rsidR="007B4CAF" w:rsidRDefault="007B4CAF" w:rsidP="007B4CAF">
      <w:pPr>
        <w:pStyle w:val="ListParagraph"/>
      </w:pPr>
    </w:p>
    <w:p w14:paraId="440EE3AB" w14:textId="6EB36F54" w:rsidR="007E5AB2" w:rsidRDefault="007E5AB2" w:rsidP="007E5AB2">
      <w:pPr>
        <w:pStyle w:val="ListParagraph"/>
        <w:numPr>
          <w:ilvl w:val="0"/>
          <w:numId w:val="34"/>
        </w:numPr>
      </w:pPr>
      <w:r w:rsidRPr="0097552F">
        <w:t>As needed, provide additional feedback on how various factors you just ranked are impacting your municipality’s BPS adoption decisions or discussions.</w:t>
      </w:r>
    </w:p>
    <w:p w14:paraId="0A40DDB5" w14:textId="77777777" w:rsidR="007E5AB2" w:rsidRPr="00300472" w:rsidRDefault="007E5AB2" w:rsidP="007E5AB2">
      <w:pPr>
        <w:pStyle w:val="ListParagraph"/>
      </w:pPr>
    </w:p>
    <w:p w14:paraId="75862046" w14:textId="77777777" w:rsidR="007E5AB2" w:rsidRDefault="007E5AB2" w:rsidP="007E5AB2">
      <w:pPr>
        <w:pStyle w:val="ListParagraph"/>
        <w:numPr>
          <w:ilvl w:val="0"/>
          <w:numId w:val="34"/>
        </w:numPr>
      </w:pPr>
      <w:r w:rsidRPr="0097552F">
        <w:t>What are the perceived barriers at your municipality preventing the adoption or consideration of BPS?</w:t>
      </w:r>
    </w:p>
    <w:p w14:paraId="35910E1F" w14:textId="77777777" w:rsidR="007E5AB2" w:rsidRDefault="007E5AB2" w:rsidP="007E5AB2">
      <w:pPr>
        <w:pStyle w:val="ListParagraph"/>
        <w:numPr>
          <w:ilvl w:val="1"/>
          <w:numId w:val="34"/>
        </w:numPr>
      </w:pPr>
      <w:r>
        <w:t xml:space="preserve">Cost concerns for the city </w:t>
      </w:r>
    </w:p>
    <w:p w14:paraId="18D79C4C" w14:textId="77777777" w:rsidR="007E5AB2" w:rsidRDefault="007E5AB2" w:rsidP="007E5AB2">
      <w:pPr>
        <w:pStyle w:val="ListParagraph"/>
        <w:numPr>
          <w:ilvl w:val="1"/>
          <w:numId w:val="34"/>
        </w:numPr>
      </w:pPr>
      <w:r>
        <w:t>Cost concerns of businesses and residents</w:t>
      </w:r>
    </w:p>
    <w:p w14:paraId="2293CBB4" w14:textId="77777777" w:rsidR="007E5AB2" w:rsidRDefault="007E5AB2" w:rsidP="007E5AB2">
      <w:pPr>
        <w:pStyle w:val="ListParagraph"/>
        <w:numPr>
          <w:ilvl w:val="1"/>
          <w:numId w:val="34"/>
        </w:numPr>
      </w:pPr>
      <w:r>
        <w:t>Stakeholder and political pushback</w:t>
      </w:r>
    </w:p>
    <w:p w14:paraId="1AFA85CB" w14:textId="77777777" w:rsidR="007E5AB2" w:rsidRDefault="007E5AB2" w:rsidP="007E5AB2">
      <w:pPr>
        <w:pStyle w:val="ListParagraph"/>
        <w:numPr>
          <w:ilvl w:val="1"/>
          <w:numId w:val="34"/>
        </w:numPr>
      </w:pPr>
      <w:r>
        <w:t>Lack of knowledge/education</w:t>
      </w:r>
    </w:p>
    <w:p w14:paraId="17EB8894" w14:textId="77777777" w:rsidR="007E5AB2" w:rsidRDefault="007E5AB2" w:rsidP="007E5AB2">
      <w:pPr>
        <w:pStyle w:val="ListParagraph"/>
        <w:numPr>
          <w:ilvl w:val="1"/>
          <w:numId w:val="34"/>
        </w:numPr>
      </w:pPr>
      <w:r>
        <w:t xml:space="preserve">Concerns about city capacity to </w:t>
      </w:r>
      <w:proofErr w:type="gramStart"/>
      <w:r>
        <w:t>enforce</w:t>
      </w:r>
      <w:proofErr w:type="gramEnd"/>
    </w:p>
    <w:p w14:paraId="41E34259" w14:textId="77777777" w:rsidR="007E5AB2" w:rsidRDefault="007E5AB2" w:rsidP="007E5AB2">
      <w:pPr>
        <w:pStyle w:val="ListParagraph"/>
        <w:numPr>
          <w:ilvl w:val="1"/>
          <w:numId w:val="34"/>
        </w:numPr>
      </w:pPr>
      <w:r>
        <w:t>Perceived lack of benefits to adopting</w:t>
      </w:r>
    </w:p>
    <w:p w14:paraId="184FC69E" w14:textId="43CA87D9" w:rsidR="007E5AB2" w:rsidRDefault="007E5AB2" w:rsidP="007E5AB2">
      <w:pPr>
        <w:pStyle w:val="ListParagraph"/>
        <w:numPr>
          <w:ilvl w:val="1"/>
          <w:numId w:val="34"/>
        </w:numPr>
      </w:pPr>
      <w:r>
        <w:t>Other:</w:t>
      </w:r>
    </w:p>
    <w:p w14:paraId="2F199F19" w14:textId="77777777" w:rsidR="007B4CAF" w:rsidRDefault="007B4CAF" w:rsidP="007B4CAF">
      <w:pPr>
        <w:pStyle w:val="ListParagraph"/>
        <w:ind w:left="1440"/>
      </w:pPr>
    </w:p>
    <w:p w14:paraId="47834728" w14:textId="77777777" w:rsidR="007E5AB2" w:rsidRDefault="007E5AB2" w:rsidP="007E5AB2">
      <w:pPr>
        <w:pStyle w:val="ListParagraph"/>
        <w:numPr>
          <w:ilvl w:val="0"/>
          <w:numId w:val="34"/>
        </w:numPr>
      </w:pPr>
      <w:r w:rsidRPr="0097552F">
        <w:t>What technical assistance or resources would help to overcome these barriers? (examples include policies, staffing needs, funding needs, incentives, technical education, etc.)</w:t>
      </w:r>
    </w:p>
    <w:p w14:paraId="124DA65F" w14:textId="77777777" w:rsidR="007E5AB2" w:rsidRDefault="007E5AB2" w:rsidP="007E5AB2">
      <w:pPr>
        <w:pStyle w:val="ListParagraph"/>
      </w:pPr>
    </w:p>
    <w:p w14:paraId="47F44003" w14:textId="77777777" w:rsidR="007E5AB2" w:rsidRDefault="007E5AB2" w:rsidP="007E5AB2">
      <w:pPr>
        <w:pStyle w:val="ListParagraph"/>
        <w:numPr>
          <w:ilvl w:val="0"/>
          <w:numId w:val="34"/>
        </w:numPr>
      </w:pPr>
      <w:r w:rsidRPr="0097552F">
        <w:t>Is there anything else you think is important to share about your municipality’s current perception or stance on BPS?</w:t>
      </w:r>
    </w:p>
    <w:p w14:paraId="00488118" w14:textId="77777777" w:rsidR="007E5AB2" w:rsidRDefault="007E5AB2" w:rsidP="007E5AB2">
      <w:pPr>
        <w:pStyle w:val="ListParagraph"/>
      </w:pPr>
    </w:p>
    <w:p w14:paraId="788D2C90" w14:textId="77777777" w:rsidR="007E5AB2" w:rsidRDefault="007E5AB2" w:rsidP="007E5AB2">
      <w:pPr>
        <w:pStyle w:val="ListParagraph"/>
        <w:numPr>
          <w:ilvl w:val="0"/>
          <w:numId w:val="34"/>
        </w:numPr>
      </w:pPr>
      <w:r w:rsidRPr="0097552F">
        <w:t>Are you open to us reaching out with follow-up questions?</w:t>
      </w:r>
    </w:p>
    <w:p w14:paraId="5AF38F04" w14:textId="77777777" w:rsidR="007E5AB2" w:rsidRDefault="007E5AB2" w:rsidP="007E5AB2">
      <w:pPr>
        <w:pStyle w:val="ListParagraph"/>
        <w:numPr>
          <w:ilvl w:val="1"/>
          <w:numId w:val="34"/>
        </w:numPr>
      </w:pPr>
      <w:r>
        <w:t>Yes</w:t>
      </w:r>
    </w:p>
    <w:p w14:paraId="4CC27AAC" w14:textId="77777777" w:rsidR="007E5AB2" w:rsidRPr="00A10FEF" w:rsidRDefault="007E5AB2" w:rsidP="007E5AB2">
      <w:pPr>
        <w:pStyle w:val="ListParagraph"/>
        <w:numPr>
          <w:ilvl w:val="1"/>
          <w:numId w:val="34"/>
        </w:numPr>
      </w:pPr>
      <w:r>
        <w:t>No</w:t>
      </w:r>
    </w:p>
    <w:p w14:paraId="7D596329" w14:textId="6EF3E90F" w:rsidR="007E5AB2" w:rsidRPr="007E5AB2" w:rsidRDefault="007E5AB2" w:rsidP="007E5AB2"/>
    <w:sectPr w:rsidR="007E5AB2" w:rsidRPr="007E5AB2" w:rsidSect="001949CE">
      <w:headerReference w:type="default" r:id="rId17"/>
      <w:footerReference w:type="default" r:id="rId18"/>
      <w:pgSz w:w="12240" w:h="15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74379" w14:textId="77777777" w:rsidR="00FF24C8" w:rsidRDefault="00FF24C8" w:rsidP="00C665C0">
      <w:r>
        <w:separator/>
      </w:r>
    </w:p>
  </w:endnote>
  <w:endnote w:type="continuationSeparator" w:id="0">
    <w:p w14:paraId="7234BDD1" w14:textId="77777777" w:rsidR="00FF24C8" w:rsidRDefault="00FF24C8" w:rsidP="00C665C0">
      <w:r>
        <w:continuationSeparator/>
      </w:r>
    </w:p>
  </w:endnote>
  <w:endnote w:type="continuationNotice" w:id="1">
    <w:p w14:paraId="28552042" w14:textId="77777777" w:rsidR="00FF24C8" w:rsidRDefault="00FF24C8" w:rsidP="00C665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5ADEA" w14:textId="062F9A70" w:rsidR="00017DAA" w:rsidRDefault="0079236F" w:rsidP="3B22CC98">
    <w:pPr>
      <w:pStyle w:val="Footer"/>
      <w:spacing w:after="0"/>
      <w:jc w:val="right"/>
      <w:rPr>
        <w:sz w:val="20"/>
        <w:szCs w:val="20"/>
      </w:rPr>
    </w:pPr>
    <w:r w:rsidRPr="00E8064A">
      <w:rPr>
        <w:noProof/>
      </w:rPr>
      <w:drawing>
        <wp:anchor distT="0" distB="0" distL="114300" distR="114300" simplePos="0" relativeHeight="251658241" behindDoc="1" locked="0" layoutInCell="1" allowOverlap="1" wp14:anchorId="4BD3DB20" wp14:editId="5C988575">
          <wp:simplePos x="0" y="0"/>
          <wp:positionH relativeFrom="column">
            <wp:posOffset>1485265</wp:posOffset>
          </wp:positionH>
          <wp:positionV relativeFrom="paragraph">
            <wp:posOffset>-20584</wp:posOffset>
          </wp:positionV>
          <wp:extent cx="1026543" cy="346625"/>
          <wp:effectExtent l="0" t="0" r="2540" b="0"/>
          <wp:wrapTight wrapText="bothSides">
            <wp:wrapPolygon edited="0">
              <wp:start x="0" y="0"/>
              <wp:lineTo x="0" y="20213"/>
              <wp:lineTo x="21252" y="20213"/>
              <wp:lineTo x="21252" y="0"/>
              <wp:lineTo x="0" y="0"/>
            </wp:wrapPolygon>
          </wp:wrapTight>
          <wp:docPr id="4" name="Picture 4" descr="Logo, company name&#10;&#10;Description automatically generated">
            <a:extLst xmlns:a="http://schemas.openxmlformats.org/drawingml/2006/main">
              <a:ext uri="{FF2B5EF4-FFF2-40B4-BE49-F238E27FC236}">
                <a16:creationId xmlns:a16="http://schemas.microsoft.com/office/drawing/2014/main" id="{177CC54D-BACC-4681-AA03-2304F437FB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 company name&#10;&#10;Description automatically generated">
                    <a:extLst>
                      <a:ext uri="{FF2B5EF4-FFF2-40B4-BE49-F238E27FC236}">
                        <a16:creationId xmlns:a16="http://schemas.microsoft.com/office/drawing/2014/main" id="{177CC54D-BACC-4681-AA03-2304F437FB56}"/>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26543" cy="346625"/>
                  </a:xfrm>
                  <a:prstGeom prst="rect">
                    <a:avLst/>
                  </a:prstGeom>
                </pic:spPr>
              </pic:pic>
            </a:graphicData>
          </a:graphic>
          <wp14:sizeRelH relativeFrom="page">
            <wp14:pctWidth>0</wp14:pctWidth>
          </wp14:sizeRelH>
          <wp14:sizeRelV relativeFrom="page">
            <wp14:pctHeight>0</wp14:pctHeight>
          </wp14:sizeRelV>
        </wp:anchor>
      </w:drawing>
    </w:r>
    <w:r w:rsidR="0093447A" w:rsidRPr="00E545CC">
      <w:rPr>
        <w:noProof/>
      </w:rPr>
      <w:drawing>
        <wp:anchor distT="0" distB="0" distL="114300" distR="114300" simplePos="0" relativeHeight="251658240" behindDoc="0" locked="0" layoutInCell="1" allowOverlap="1" wp14:anchorId="2EB4A424" wp14:editId="6309CC52">
          <wp:simplePos x="0" y="0"/>
          <wp:positionH relativeFrom="column">
            <wp:posOffset>-228600</wp:posOffset>
          </wp:positionH>
          <wp:positionV relativeFrom="paragraph">
            <wp:posOffset>59055</wp:posOffset>
          </wp:positionV>
          <wp:extent cx="1581785" cy="237490"/>
          <wp:effectExtent l="0" t="0" r="0" b="0"/>
          <wp:wrapSquare wrapText="bothSides"/>
          <wp:docPr id="6" name="Picture 6" descr="S:\Marketing\Logo Library\Slipstream\Slipstream Logo no tagline\JPG\Slipstream_Logo no tag_800x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rketing\Logo Library\Slipstream\Slipstream Logo no tagline\JPG\Slipstream_Logo no tag_800x12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81785" cy="237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3B22CC98" w:rsidRPr="00017DAA">
      <w:t xml:space="preserve"> </w:t>
    </w:r>
    <w:r w:rsidR="3B22CC98" w:rsidRPr="3B22CC98">
      <w:rPr>
        <w:sz w:val="20"/>
        <w:szCs w:val="20"/>
      </w:rPr>
      <w:t xml:space="preserve"> </w:t>
    </w:r>
    <w:r w:rsidR="007C58C4">
      <w:rPr>
        <w:sz w:val="20"/>
        <w:szCs w:val="20"/>
      </w:rPr>
      <w:t xml:space="preserve">IL </w:t>
    </w:r>
    <w:r w:rsidR="3B22CC98" w:rsidRPr="3B22CC98">
      <w:rPr>
        <w:sz w:val="20"/>
        <w:szCs w:val="20"/>
      </w:rPr>
      <w:t xml:space="preserve">Stretch Codes </w:t>
    </w:r>
    <w:r w:rsidR="007C58C4">
      <w:rPr>
        <w:sz w:val="20"/>
        <w:szCs w:val="20"/>
      </w:rPr>
      <w:t xml:space="preserve">MTI </w:t>
    </w:r>
    <w:r w:rsidR="006D091D">
      <w:rPr>
        <w:sz w:val="20"/>
        <w:szCs w:val="20"/>
      </w:rPr>
      <w:t xml:space="preserve">- </w:t>
    </w:r>
    <w:r w:rsidR="3B22CC98" w:rsidRPr="3B22CC98">
      <w:rPr>
        <w:sz w:val="20"/>
        <w:szCs w:val="20"/>
      </w:rPr>
      <w:t>Energy Savings Framework</w:t>
    </w:r>
  </w:p>
  <w:p w14:paraId="648736F1" w14:textId="3F46EAD5" w:rsidR="00017DAA" w:rsidRDefault="00DE17F0" w:rsidP="3B22CC98">
    <w:pPr>
      <w:pStyle w:val="Footer"/>
      <w:spacing w:after="0"/>
      <w:jc w:val="right"/>
      <w:rPr>
        <w:sz w:val="20"/>
        <w:szCs w:val="20"/>
      </w:rPr>
    </w:pPr>
    <w:r>
      <w:rPr>
        <w:sz w:val="20"/>
        <w:szCs w:val="20"/>
      </w:rPr>
      <w:t>June</w:t>
    </w:r>
    <w:r w:rsidR="3B22CC98" w:rsidRPr="3B22CC98">
      <w:rPr>
        <w:sz w:val="20"/>
        <w:szCs w:val="20"/>
      </w:rPr>
      <w:t xml:space="preserve"> 202</w:t>
    </w:r>
    <w:r>
      <w:rPr>
        <w:sz w:val="20"/>
        <w:szCs w:val="20"/>
      </w:rPr>
      <w:t>4</w:t>
    </w:r>
    <w:r w:rsidR="3B22CC98" w:rsidRPr="3B22CC98">
      <w:rPr>
        <w:sz w:val="20"/>
        <w:szCs w:val="20"/>
      </w:rPr>
      <w:t xml:space="preserve"> | Page </w:t>
    </w:r>
    <w:r w:rsidR="003C2A4E" w:rsidRPr="3B22CC98">
      <w:rPr>
        <w:sz w:val="20"/>
        <w:szCs w:val="20"/>
      </w:rPr>
      <w:fldChar w:fldCharType="begin"/>
    </w:r>
    <w:r w:rsidR="003C2A4E">
      <w:instrText xml:space="preserve"> PAGE   \* MERGEFORMAT </w:instrText>
    </w:r>
    <w:r w:rsidR="003C2A4E" w:rsidRPr="3B22CC98">
      <w:fldChar w:fldCharType="separate"/>
    </w:r>
    <w:r w:rsidR="3B22CC98" w:rsidRPr="3B22CC98">
      <w:rPr>
        <w:sz w:val="20"/>
        <w:szCs w:val="20"/>
      </w:rPr>
      <w:t>1</w:t>
    </w:r>
    <w:r w:rsidR="003C2A4E" w:rsidRPr="3B22CC98">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1C8FE" w14:textId="77777777" w:rsidR="00FF24C8" w:rsidRDefault="00FF24C8" w:rsidP="00C665C0">
      <w:r>
        <w:separator/>
      </w:r>
    </w:p>
  </w:footnote>
  <w:footnote w:type="continuationSeparator" w:id="0">
    <w:p w14:paraId="519C46D4" w14:textId="77777777" w:rsidR="00FF24C8" w:rsidRDefault="00FF24C8" w:rsidP="00C665C0">
      <w:r>
        <w:continuationSeparator/>
      </w:r>
    </w:p>
  </w:footnote>
  <w:footnote w:type="continuationNotice" w:id="1">
    <w:p w14:paraId="49DE60B6" w14:textId="77777777" w:rsidR="00FF24C8" w:rsidRDefault="00FF24C8" w:rsidP="00C665C0"/>
  </w:footnote>
  <w:footnote w:id="2">
    <w:p w14:paraId="3FB25766" w14:textId="4B14BD69" w:rsidR="0055223C" w:rsidRDefault="0055223C" w:rsidP="0055223C">
      <w:pPr>
        <w:pStyle w:val="FootnoteText"/>
      </w:pPr>
      <w:r w:rsidRPr="3C0130B3">
        <w:rPr>
          <w:rStyle w:val="FootnoteReference"/>
        </w:rPr>
        <w:footnoteRef/>
      </w:r>
      <w:r>
        <w:t xml:space="preserve"> </w:t>
      </w:r>
      <w:r w:rsidR="001D6524">
        <w:t>The most recent version is here:</w:t>
      </w:r>
      <w:r w:rsidR="00252FAA">
        <w:t xml:space="preserve"> </w:t>
      </w:r>
      <w:hyperlink r:id="rId1" w:history="1">
        <w:r w:rsidR="00785505" w:rsidRPr="009368F3">
          <w:rPr>
            <w:rStyle w:val="Hyperlink"/>
          </w:rPr>
          <w:t>https://www.ilsag.info/wp-content/uploads/IL-TRM_Effective_01-01-24_v12.0_Vol_4_X-Cutting_Measures_and_Attach_9-18-23-Final-Redline-1.docx</w:t>
        </w:r>
      </w:hyperlink>
      <w:r w:rsidR="00785505">
        <w:t xml:space="preserve"> </w:t>
      </w:r>
    </w:p>
  </w:footnote>
  <w:footnote w:id="3">
    <w:p w14:paraId="000A8253" w14:textId="77777777" w:rsidR="000F59A5" w:rsidRDefault="000F59A5" w:rsidP="000F59A5">
      <w:pPr>
        <w:spacing w:after="40"/>
        <w:contextualSpacing/>
      </w:pPr>
      <w:r>
        <w:rPr>
          <w:rStyle w:val="FootnoteReference"/>
        </w:rPr>
        <w:footnoteRef/>
      </w:r>
      <w:r>
        <w:t xml:space="preserve"> </w:t>
      </w:r>
      <w:hyperlink r:id="rId2" w:history="1">
        <w:r w:rsidRPr="00004979">
          <w:rPr>
            <w:rStyle w:val="cf11"/>
            <w:b w:val="0"/>
            <w:color w:val="0000FF"/>
            <w:u w:val="single"/>
          </w:rPr>
          <w:t>IL TRM_Effective_010124_v12.0_Vol_4_X-Cutting_Measures_and_Attach_09222023_FINAL.pdf (ilsag.info)</w:t>
        </w:r>
      </w:hyperlink>
      <w:r w:rsidRPr="00004979">
        <w:rPr>
          <w:rStyle w:val="cf11"/>
          <w:b w:val="0"/>
          <w:color w:val="0000FF"/>
          <w:u w:val="single"/>
        </w:rPr>
        <w:t>.</w:t>
      </w:r>
      <w:r w:rsidRPr="00004979">
        <w:rPr>
          <w:sz w:val="18"/>
          <w:szCs w:val="18"/>
        </w:rPr>
        <w:t xml:space="preserve"> Natural Market Baseline is synonymous with Naturally Occurring Market Adoption or NOMAD; a forecast of the future in which no utility-funded energy efficiency programmatic intervention exists.</w:t>
      </w:r>
    </w:p>
  </w:footnote>
  <w:footnote w:id="4">
    <w:p w14:paraId="743CB736" w14:textId="5352131B" w:rsidR="00D63EE3" w:rsidRPr="00B62E3E" w:rsidRDefault="00D63EE3">
      <w:pPr>
        <w:pStyle w:val="FootnoteText"/>
        <w:rPr>
          <w:sz w:val="18"/>
          <w:szCs w:val="18"/>
        </w:rPr>
      </w:pPr>
      <w:r w:rsidRPr="00B62E3E">
        <w:rPr>
          <w:rStyle w:val="FootnoteReference"/>
          <w:sz w:val="18"/>
          <w:szCs w:val="18"/>
        </w:rPr>
        <w:footnoteRef/>
      </w:r>
      <w:r w:rsidRPr="00B62E3E">
        <w:rPr>
          <w:sz w:val="18"/>
          <w:szCs w:val="18"/>
        </w:rPr>
        <w:t xml:space="preserve"> </w:t>
      </w:r>
      <w:r w:rsidR="00F879CF" w:rsidRPr="00B62E3E">
        <w:rPr>
          <w:sz w:val="18"/>
          <w:szCs w:val="18"/>
        </w:rPr>
        <w:t>The Midwest Building Inventory was created by NREL using Costar data up until 2018. It includes commercial building data, square feet, and year</w:t>
      </w:r>
      <w:r w:rsidR="001F67E7" w:rsidRPr="00B62E3E">
        <w:rPr>
          <w:sz w:val="18"/>
          <w:szCs w:val="18"/>
        </w:rPr>
        <w:t>-</w:t>
      </w:r>
      <w:r w:rsidR="00F879CF" w:rsidRPr="00B62E3E">
        <w:rPr>
          <w:sz w:val="18"/>
          <w:szCs w:val="18"/>
        </w:rPr>
        <w:t xml:space="preserve">built data. See: </w:t>
      </w:r>
      <w:r w:rsidR="00F64B49" w:rsidRPr="00B62E3E">
        <w:rPr>
          <w:sz w:val="18"/>
          <w:szCs w:val="18"/>
        </w:rPr>
        <w:t>https://data.openei.org/submissions/906</w:t>
      </w:r>
    </w:p>
  </w:footnote>
  <w:footnote w:id="5">
    <w:p w14:paraId="2F1F373E" w14:textId="5FDA92E6" w:rsidR="00D63EE3" w:rsidRPr="00B62E3E" w:rsidRDefault="00D63EE3">
      <w:pPr>
        <w:pStyle w:val="FootnoteText"/>
        <w:rPr>
          <w:sz w:val="18"/>
          <w:szCs w:val="18"/>
        </w:rPr>
      </w:pPr>
      <w:r w:rsidRPr="00B62E3E">
        <w:rPr>
          <w:rStyle w:val="FootnoteReference"/>
          <w:sz w:val="18"/>
          <w:szCs w:val="18"/>
        </w:rPr>
        <w:footnoteRef/>
      </w:r>
      <w:r w:rsidRPr="00B62E3E">
        <w:rPr>
          <w:sz w:val="18"/>
          <w:szCs w:val="18"/>
        </w:rPr>
        <w:t xml:space="preserve"> </w:t>
      </w:r>
      <w:r w:rsidR="00F879CF" w:rsidRPr="00B62E3E">
        <w:rPr>
          <w:sz w:val="18"/>
          <w:szCs w:val="18"/>
        </w:rPr>
        <w:t xml:space="preserve">CoStar </w:t>
      </w:r>
      <w:r w:rsidR="00774CE1" w:rsidRPr="00B62E3E">
        <w:rPr>
          <w:sz w:val="18"/>
          <w:szCs w:val="18"/>
        </w:rPr>
        <w:t xml:space="preserve">is a </w:t>
      </w:r>
      <w:r w:rsidR="00AB136A" w:rsidRPr="00B62E3E">
        <w:rPr>
          <w:sz w:val="18"/>
          <w:szCs w:val="18"/>
        </w:rPr>
        <w:t xml:space="preserve">market leader in commercial real estate analytics and </w:t>
      </w:r>
      <w:r w:rsidR="00D2669B" w:rsidRPr="00B62E3E">
        <w:rPr>
          <w:sz w:val="18"/>
          <w:szCs w:val="18"/>
        </w:rPr>
        <w:t xml:space="preserve">maintains the most comprehensive database of commercial proprieties in the United States. </w:t>
      </w:r>
      <w:r w:rsidR="00DF6446" w:rsidRPr="00B62E3E">
        <w:rPr>
          <w:sz w:val="18"/>
          <w:szCs w:val="18"/>
        </w:rPr>
        <w:t>https://www.costar.com/</w:t>
      </w:r>
    </w:p>
  </w:footnote>
  <w:footnote w:id="6">
    <w:p w14:paraId="0354401A" w14:textId="3330FF1E" w:rsidR="00F002D2" w:rsidRPr="00B62E3E" w:rsidRDefault="00F002D2">
      <w:pPr>
        <w:pStyle w:val="FootnoteText"/>
        <w:rPr>
          <w:sz w:val="18"/>
          <w:szCs w:val="18"/>
        </w:rPr>
      </w:pPr>
      <w:r w:rsidRPr="00B62E3E">
        <w:rPr>
          <w:rStyle w:val="FootnoteReference"/>
          <w:sz w:val="18"/>
          <w:szCs w:val="18"/>
        </w:rPr>
        <w:footnoteRef/>
      </w:r>
      <w:r w:rsidRPr="00B62E3E">
        <w:rPr>
          <w:sz w:val="18"/>
          <w:szCs w:val="18"/>
        </w:rPr>
        <w:t xml:space="preserve"> </w:t>
      </w:r>
      <w:r w:rsidR="00BF28AC" w:rsidRPr="00B62E3E">
        <w:rPr>
          <w:sz w:val="18"/>
          <w:szCs w:val="18"/>
        </w:rPr>
        <w:t>Percent of new construction model covered by building types</w:t>
      </w:r>
      <w:r w:rsidR="008837AD" w:rsidRPr="00B62E3E">
        <w:rPr>
          <w:sz w:val="18"/>
          <w:szCs w:val="18"/>
        </w:rPr>
        <w:t xml:space="preserve"> confirmed through DOE Prototype Buildings and EIA Commercial Building Energy Consumption Survey. </w:t>
      </w:r>
      <w:hyperlink r:id="rId3" w:history="1">
        <w:r w:rsidR="008837AD" w:rsidRPr="00B62E3E">
          <w:rPr>
            <w:rStyle w:val="cf01"/>
            <w:color w:val="0000FF"/>
            <w:sz w:val="16"/>
            <w:szCs w:val="16"/>
            <w:u w:val="single"/>
          </w:rPr>
          <w:t>https://www.energycodes.gov/prototype-building-models</w:t>
        </w:r>
      </w:hyperlink>
      <w:r w:rsidR="00190E08" w:rsidRPr="00B62E3E">
        <w:rPr>
          <w:rFonts w:cs="Arial"/>
          <w:sz w:val="18"/>
          <w:szCs w:val="18"/>
        </w:rPr>
        <w:t>; https://www.eia.gov/consumption/commercial/</w:t>
      </w:r>
    </w:p>
  </w:footnote>
  <w:footnote w:id="7">
    <w:p w14:paraId="257C6B24" w14:textId="5B55A0D5" w:rsidR="00274CBF" w:rsidRPr="00B62E3E" w:rsidRDefault="00274CBF">
      <w:pPr>
        <w:pStyle w:val="FootnoteText"/>
        <w:rPr>
          <w:sz w:val="18"/>
          <w:szCs w:val="18"/>
        </w:rPr>
      </w:pPr>
      <w:r w:rsidRPr="00B62E3E">
        <w:rPr>
          <w:rStyle w:val="FootnoteReference"/>
          <w:sz w:val="18"/>
          <w:szCs w:val="18"/>
        </w:rPr>
        <w:footnoteRef/>
      </w:r>
      <w:r w:rsidRPr="00B62E3E">
        <w:rPr>
          <w:sz w:val="18"/>
          <w:szCs w:val="18"/>
        </w:rPr>
        <w:t xml:space="preserve"> </w:t>
      </w:r>
      <w:r w:rsidR="00274556" w:rsidRPr="00B62E3E">
        <w:rPr>
          <w:sz w:val="18"/>
          <w:szCs w:val="18"/>
        </w:rPr>
        <w:t xml:space="preserve">Building Permit Survey is </w:t>
      </w:r>
      <w:r w:rsidR="00534F03" w:rsidRPr="00B62E3E">
        <w:rPr>
          <w:sz w:val="18"/>
          <w:szCs w:val="18"/>
        </w:rPr>
        <w:t>provided by Census and provides all new data for residential construction. https://www.census.gov/construction/bps/index.html</w:t>
      </w:r>
    </w:p>
  </w:footnote>
  <w:footnote w:id="8">
    <w:p w14:paraId="1B2BD19A" w14:textId="77777777" w:rsidR="00A96615" w:rsidRPr="00B62E3E" w:rsidRDefault="00A96615" w:rsidP="00A96615">
      <w:pPr>
        <w:pStyle w:val="FootnoteText"/>
        <w:rPr>
          <w:sz w:val="18"/>
          <w:szCs w:val="18"/>
        </w:rPr>
      </w:pPr>
      <w:r w:rsidRPr="00B62E3E">
        <w:rPr>
          <w:rStyle w:val="FootnoteReference"/>
          <w:sz w:val="18"/>
          <w:szCs w:val="18"/>
        </w:rPr>
        <w:footnoteRef/>
      </w:r>
      <w:r w:rsidRPr="00B62E3E">
        <w:rPr>
          <w:sz w:val="18"/>
          <w:szCs w:val="18"/>
        </w:rPr>
        <w:t>Census provides median square feet for multifamily and single-family homes. https://www.census.gov/construction/chars/current.html</w:t>
      </w:r>
    </w:p>
  </w:footnote>
  <w:footnote w:id="9">
    <w:p w14:paraId="3DB0C341" w14:textId="5EA00CFD" w:rsidR="00053EC9" w:rsidRDefault="00053EC9">
      <w:pPr>
        <w:pStyle w:val="FootnoteText"/>
      </w:pPr>
      <w:r>
        <w:rPr>
          <w:rStyle w:val="FootnoteReference"/>
        </w:rPr>
        <w:footnoteRef/>
      </w:r>
      <w:r>
        <w:t xml:space="preserve"> CEJA full text is available here: </w:t>
      </w:r>
      <w:proofErr w:type="gramStart"/>
      <w:r w:rsidRPr="00053EC9">
        <w:t>https://epa.illinois.gov/content/dam/soi/en/web/epa/topics/ceja/documents/102-0662.pdf</w:t>
      </w:r>
      <w:proofErr w:type="gramEnd"/>
    </w:p>
  </w:footnote>
  <w:footnote w:id="10">
    <w:p w14:paraId="7CFDBBAA" w14:textId="26891270" w:rsidR="00C3729C" w:rsidRDefault="00C3729C" w:rsidP="00C3729C">
      <w:pPr>
        <w:pStyle w:val="FootnoteText"/>
      </w:pPr>
      <w:r>
        <w:rPr>
          <w:rStyle w:val="FootnoteReference"/>
        </w:rPr>
        <w:footnoteRef/>
      </w:r>
      <w:r>
        <w:t xml:space="preserve"> Modeled energy use intensity of </w:t>
      </w:r>
      <w:r w:rsidR="007E6BDE">
        <w:t xml:space="preserve">the </w:t>
      </w:r>
      <w:r w:rsidR="002178DD">
        <w:t xml:space="preserve">2004/2006 ASHRAE commercial code is available here: </w:t>
      </w:r>
      <w:proofErr w:type="gramStart"/>
      <w:r>
        <w:rPr>
          <w:rStyle w:val="normaltextrun"/>
          <w:color w:val="000000"/>
          <w:bdr w:val="none" w:sz="0" w:space="0" w:color="auto" w:frame="1"/>
        </w:rPr>
        <w:t>http://www.energycodes.gov/sites/default/files/documents/2013EndUseTables.zip</w:t>
      </w:r>
      <w:proofErr w:type="gramEnd"/>
    </w:p>
  </w:footnote>
  <w:footnote w:id="11">
    <w:p w14:paraId="08B3E984" w14:textId="53AD7745" w:rsidR="610AD106" w:rsidRDefault="610AD106" w:rsidP="610AD106">
      <w:r w:rsidRPr="00C3499D">
        <w:rPr>
          <w:vertAlign w:val="superscript"/>
        </w:rPr>
        <w:footnoteRef/>
      </w:r>
      <w:r>
        <w:t xml:space="preserve"> </w:t>
      </w:r>
      <w:r w:rsidRPr="00C3499D">
        <w:rPr>
          <w:sz w:val="20"/>
          <w:szCs w:val="20"/>
        </w:rPr>
        <w:t xml:space="preserve">On the PNNL calculation of Site Energy Index for each commercial energy code, from </w:t>
      </w:r>
      <w:hyperlink r:id="rId4">
        <w:r w:rsidRPr="00C3499D">
          <w:rPr>
            <w:rStyle w:val="Hyperlink"/>
            <w:rFonts w:eastAsia="Arial" w:cs="Arial"/>
            <w:sz w:val="20"/>
            <w:szCs w:val="20"/>
          </w:rPr>
          <w:t>https://www.energycodes.gov/determinations:</w:t>
        </w:r>
      </w:hyperlink>
      <w:r w:rsidRPr="00C3499D">
        <w:rPr>
          <w:sz w:val="20"/>
          <w:szCs w:val="20"/>
        </w:rPr>
        <w:t xml:space="preserve"> “The quantitative analysis relies upon prototype buildings reflecting a mix of typical U.S. building types and construction practices. In creating its prototypes, DOE leverages recent U.S. construction data that is mapped to the commercial building types defined by the Energy Information Administration (EIA) and adapted for use by Standard 90.1. In combination with resulting building type weighting factors, the prototypes represent approximately 75 percent of the total square footage of new commercial construction.</w:t>
      </w:r>
    </w:p>
  </w:footnote>
  <w:footnote w:id="12">
    <w:p w14:paraId="3BFCB320" w14:textId="3A071EEF" w:rsidR="00D02791" w:rsidRDefault="00D02791">
      <w:pPr>
        <w:pStyle w:val="FootnoteText"/>
      </w:pPr>
      <w:r>
        <w:rPr>
          <w:rStyle w:val="FootnoteReference"/>
        </w:rPr>
        <w:footnoteRef/>
      </w:r>
      <w:r>
        <w:t xml:space="preserve"> Historical site energy index is found here: </w:t>
      </w:r>
      <w:proofErr w:type="gramStart"/>
      <w:r w:rsidRPr="00D02791">
        <w:t>https://public.tableau.com/app/profile/doebecp/viz/BECPStatusofStateEnergyCodeAdoption/ResidentialStateEnergyIndex_1</w:t>
      </w:r>
      <w:proofErr w:type="gramEnd"/>
      <w:r w:rsidR="00F65F8F">
        <w:t xml:space="preserve"> </w:t>
      </w:r>
    </w:p>
  </w:footnote>
  <w:footnote w:id="13">
    <w:p w14:paraId="27F2F9AF" w14:textId="1C8B0382" w:rsidR="31C53C33" w:rsidRDefault="31C53C33" w:rsidP="31C53C33">
      <w:pPr>
        <w:pStyle w:val="FootnoteText"/>
      </w:pPr>
      <w:r w:rsidRPr="31C53C33">
        <w:rPr>
          <w:rStyle w:val="FootnoteReference"/>
        </w:rPr>
        <w:footnoteRef/>
      </w:r>
      <w:r>
        <w:t xml:space="preserve"> </w:t>
      </w:r>
      <w:hyperlink r:id="rId5">
        <w:r w:rsidRPr="31C53C33">
          <w:rPr>
            <w:rStyle w:val="Hyperlink"/>
          </w:rPr>
          <w:t>https://www.ilsag.info/wp-content/uploads/ComEd-CY2022-Summary-Impact-Evaluation-Report-2023-08-14-Final-Revisedv2.pdf</w:t>
        </w:r>
      </w:hyperlink>
      <w:r>
        <w:t xml:space="preserve">; </w:t>
      </w:r>
      <w:hyperlink r:id="rId6">
        <w:r w:rsidRPr="31C53C33">
          <w:rPr>
            <w:rStyle w:val="Hyperlink"/>
          </w:rPr>
          <w:t>https://www.ilsag.info/wp-content/uploads/Nicor-Gas-2021-TRC-and-Program-Summary-Tables-2022-10-12-Final.xlsx</w:t>
        </w:r>
      </w:hyperlink>
      <w:r>
        <w:t xml:space="preserve">; </w:t>
      </w:r>
      <w:hyperlink r:id="rId7">
        <w:r w:rsidRPr="31C53C33">
          <w:rPr>
            <w:rStyle w:val="Hyperlink"/>
            <w:rFonts w:ascii="Segoe UI" w:hAnsi="Segoe UI" w:cs="Segoe UI"/>
          </w:rPr>
          <w:t>https://www.ilsag.info/wp-content/uploads/NSG-2021-Verified-Savings-and-Cost-Effectiveness-2022-10-11.xlsx</w:t>
        </w:r>
      </w:hyperlink>
      <w:r w:rsidRPr="31C53C33">
        <w:rPr>
          <w:rStyle w:val="cf01"/>
          <w:sz w:val="20"/>
          <w:szCs w:val="20"/>
        </w:rPr>
        <w:t xml:space="preserve">; </w:t>
      </w:r>
      <w:hyperlink r:id="rId8">
        <w:r w:rsidRPr="31C53C33">
          <w:rPr>
            <w:rStyle w:val="Hyperlink"/>
            <w:rFonts w:ascii="Segoe UI" w:hAnsi="Segoe UI" w:cs="Segoe UI"/>
          </w:rPr>
          <w:t>https://www.ilsag.info/wp-content/uploads/PGL-2021-Verified-Savings-and-Cost-Effectiveness-2022-10-11.xlsx</w:t>
        </w:r>
      </w:hyperlink>
      <w:r w:rsidRPr="31C53C33">
        <w:rPr>
          <w:rStyle w:val="cf01"/>
          <w:sz w:val="20"/>
          <w:szCs w:val="20"/>
        </w:rPr>
        <w:t xml:space="preserve"> </w:t>
      </w:r>
    </w:p>
  </w:footnote>
  <w:footnote w:id="14">
    <w:p w14:paraId="5C7127BA" w14:textId="598BDCD3" w:rsidR="00066E21" w:rsidRDefault="00066E21">
      <w:pPr>
        <w:pStyle w:val="FootnoteText"/>
      </w:pPr>
      <w:r w:rsidRPr="005F321D">
        <w:rPr>
          <w:rStyle w:val="FootnoteReference"/>
        </w:rPr>
        <w:footnoteRef/>
      </w:r>
      <w:r w:rsidRPr="005F321D">
        <w:t xml:space="preserve"> All values come from EIA – either the Commercial Building Energy Consumption Survey or Residential Energy Consumptions Survey </w:t>
      </w:r>
      <w:hyperlink r:id="rId9" w:history="1">
        <w:r w:rsidR="00560E83" w:rsidRPr="00645FC6">
          <w:rPr>
            <w:rStyle w:val="Hyperlink"/>
          </w:rPr>
          <w:t>https://www.eia.gov/energyexplained/use-of-energy/commercial-buildings.php</w:t>
        </w:r>
      </w:hyperlink>
      <w:r w:rsidR="00560E83">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B22CC98" w14:paraId="4654CD69" w14:textId="77777777" w:rsidTr="3B22CC98">
      <w:trPr>
        <w:trHeight w:val="300"/>
      </w:trPr>
      <w:tc>
        <w:tcPr>
          <w:tcW w:w="3120" w:type="dxa"/>
        </w:tcPr>
        <w:p w14:paraId="7C74CC3B" w14:textId="4DE41BEF" w:rsidR="3B22CC98" w:rsidRDefault="3B22CC98" w:rsidP="3B22CC98">
          <w:pPr>
            <w:pStyle w:val="Header"/>
            <w:ind w:left="-115"/>
          </w:pPr>
        </w:p>
      </w:tc>
      <w:tc>
        <w:tcPr>
          <w:tcW w:w="3120" w:type="dxa"/>
        </w:tcPr>
        <w:p w14:paraId="74E1A758" w14:textId="53B97165" w:rsidR="3B22CC98" w:rsidRDefault="3B22CC98" w:rsidP="3B22CC98">
          <w:pPr>
            <w:pStyle w:val="Header"/>
            <w:jc w:val="center"/>
          </w:pPr>
        </w:p>
      </w:tc>
      <w:tc>
        <w:tcPr>
          <w:tcW w:w="3120" w:type="dxa"/>
        </w:tcPr>
        <w:p w14:paraId="2437B516" w14:textId="04BAEEBC" w:rsidR="3B22CC98" w:rsidRDefault="3B22CC98" w:rsidP="3B22CC98">
          <w:pPr>
            <w:pStyle w:val="Header"/>
            <w:ind w:right="-115"/>
            <w:jc w:val="right"/>
          </w:pPr>
        </w:p>
      </w:tc>
    </w:tr>
  </w:tbl>
  <w:sdt>
    <w:sdtPr>
      <w:id w:val="-141807259"/>
      <w:docPartObj>
        <w:docPartGallery w:val="Watermarks"/>
        <w:docPartUnique/>
      </w:docPartObj>
    </w:sdtPr>
    <w:sdtContent>
      <w:p w14:paraId="6393FFDC" w14:textId="3EECD53B" w:rsidR="3B22CC98" w:rsidRDefault="00DE17F0" w:rsidP="3B22CC98">
        <w:pPr>
          <w:pStyle w:val="Header"/>
        </w:pPr>
        <w:r>
          <w:rPr>
            <w:noProof/>
          </w:rPr>
          <w:pict w14:anchorId="48F2A8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30A82"/>
    <w:multiLevelType w:val="multilevel"/>
    <w:tmpl w:val="09A0ACCC"/>
    <w:lvl w:ilvl="0">
      <w:start w:val="1"/>
      <w:numFmt w:val="lowerLetter"/>
      <w:lvlText w:val="%1."/>
      <w:lvlJc w:val="left"/>
      <w:pPr>
        <w:ind w:left="720" w:hanging="360"/>
      </w:pPr>
      <w:rPr>
        <w:rFonts w:eastAsiaTheme="majorEastAsia"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180"/>
      </w:pPr>
      <w:rPr>
        <w:rFonts w:ascii="Courier New" w:hAnsi="Courier New" w:cs="Courier Ne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87114CF"/>
    <w:multiLevelType w:val="hybridMultilevel"/>
    <w:tmpl w:val="2A2E7226"/>
    <w:lvl w:ilvl="0" w:tplc="0409000F">
      <w:start w:val="1"/>
      <w:numFmt w:val="decimal"/>
      <w:lvlText w:val="%1."/>
      <w:lvlJc w:val="left"/>
      <w:pPr>
        <w:ind w:left="720" w:hanging="360"/>
      </w:pPr>
      <w:rPr>
        <w:rFonts w:hint="default"/>
      </w:rPr>
    </w:lvl>
    <w:lvl w:ilvl="1" w:tplc="AF3CFC38">
      <w:start w:val="1"/>
      <w:numFmt w:val="lowerLetter"/>
      <w:lvlText w:val="%2."/>
      <w:lvlJc w:val="left"/>
      <w:pPr>
        <w:ind w:left="1440" w:hanging="360"/>
      </w:pPr>
      <w:rPr>
        <w:rFonts w:ascii="Arial" w:eastAsiaTheme="minorHAnsi" w:hAnsi="Arial"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0057C"/>
    <w:multiLevelType w:val="hybridMultilevel"/>
    <w:tmpl w:val="F308454A"/>
    <w:lvl w:ilvl="0" w:tplc="9A424A7A">
      <w:start w:val="1"/>
      <w:numFmt w:val="decimal"/>
      <w:lvlText w:val="%1."/>
      <w:lvlJc w:val="left"/>
      <w:pPr>
        <w:ind w:left="720" w:hanging="360"/>
      </w:pPr>
      <w:rPr>
        <w:b w:val="0"/>
        <w:bCs w:val="0"/>
      </w:rPr>
    </w:lvl>
    <w:lvl w:ilvl="1" w:tplc="ED9AF6BA">
      <w:start w:val="1"/>
      <w:numFmt w:val="lowerLetter"/>
      <w:lvlText w:val="%2."/>
      <w:lvlJc w:val="left"/>
      <w:pPr>
        <w:ind w:left="1440" w:hanging="360"/>
      </w:pPr>
    </w:lvl>
    <w:lvl w:ilvl="2" w:tplc="EC9E317C">
      <w:start w:val="1"/>
      <w:numFmt w:val="lowerRoman"/>
      <w:lvlText w:val="%3."/>
      <w:lvlJc w:val="right"/>
      <w:pPr>
        <w:ind w:left="2160" w:hanging="180"/>
      </w:pPr>
    </w:lvl>
    <w:lvl w:ilvl="3" w:tplc="A7281F14">
      <w:start w:val="1"/>
      <w:numFmt w:val="decimal"/>
      <w:lvlText w:val="%4."/>
      <w:lvlJc w:val="left"/>
      <w:pPr>
        <w:ind w:left="2880" w:hanging="360"/>
      </w:pPr>
    </w:lvl>
    <w:lvl w:ilvl="4" w:tplc="A272974E">
      <w:start w:val="1"/>
      <w:numFmt w:val="lowerLetter"/>
      <w:lvlText w:val="%5."/>
      <w:lvlJc w:val="left"/>
      <w:pPr>
        <w:ind w:left="3600" w:hanging="360"/>
      </w:pPr>
    </w:lvl>
    <w:lvl w:ilvl="5" w:tplc="EEDE7E36">
      <w:start w:val="1"/>
      <w:numFmt w:val="lowerRoman"/>
      <w:lvlText w:val="%6."/>
      <w:lvlJc w:val="right"/>
      <w:pPr>
        <w:ind w:left="4320" w:hanging="180"/>
      </w:pPr>
    </w:lvl>
    <w:lvl w:ilvl="6" w:tplc="74FA1A0E">
      <w:start w:val="1"/>
      <w:numFmt w:val="decimal"/>
      <w:lvlText w:val="%7."/>
      <w:lvlJc w:val="left"/>
      <w:pPr>
        <w:ind w:left="5040" w:hanging="360"/>
      </w:pPr>
    </w:lvl>
    <w:lvl w:ilvl="7" w:tplc="11E4AB18">
      <w:start w:val="1"/>
      <w:numFmt w:val="lowerLetter"/>
      <w:lvlText w:val="%8."/>
      <w:lvlJc w:val="left"/>
      <w:pPr>
        <w:ind w:left="5760" w:hanging="360"/>
      </w:pPr>
    </w:lvl>
    <w:lvl w:ilvl="8" w:tplc="47F86A0E">
      <w:start w:val="1"/>
      <w:numFmt w:val="lowerRoman"/>
      <w:lvlText w:val="%9."/>
      <w:lvlJc w:val="right"/>
      <w:pPr>
        <w:ind w:left="6480" w:hanging="180"/>
      </w:pPr>
    </w:lvl>
  </w:abstractNum>
  <w:abstractNum w:abstractNumId="3" w15:restartNumberingAfterBreak="0">
    <w:nsid w:val="10A54611"/>
    <w:multiLevelType w:val="multilevel"/>
    <w:tmpl w:val="09A0ACCC"/>
    <w:lvl w:ilvl="0">
      <w:start w:val="1"/>
      <w:numFmt w:val="lowerLetter"/>
      <w:lvlText w:val="%1."/>
      <w:lvlJc w:val="left"/>
      <w:pPr>
        <w:ind w:left="720" w:hanging="360"/>
      </w:pPr>
      <w:rPr>
        <w:rFonts w:eastAsiaTheme="majorEastAsia"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180"/>
      </w:pPr>
      <w:rPr>
        <w:rFonts w:ascii="Courier New" w:hAnsi="Courier New" w:cs="Courier Ne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13016AC"/>
    <w:multiLevelType w:val="hybridMultilevel"/>
    <w:tmpl w:val="ECEA8574"/>
    <w:lvl w:ilvl="0" w:tplc="7A2667B0">
      <w:start w:val="1"/>
      <w:numFmt w:val="bullet"/>
      <w:lvlText w:val="-"/>
      <w:lvlJc w:val="left"/>
      <w:pPr>
        <w:ind w:left="720" w:hanging="360"/>
      </w:pPr>
      <w:rPr>
        <w:rFonts w:ascii="Arial" w:eastAsiaTheme="maj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A903DE"/>
    <w:multiLevelType w:val="hybridMultilevel"/>
    <w:tmpl w:val="9E92BDFC"/>
    <w:lvl w:ilvl="0" w:tplc="0409000F">
      <w:start w:val="1"/>
      <w:numFmt w:val="decimal"/>
      <w:lvlText w:val="%1."/>
      <w:lvlJc w:val="left"/>
      <w:pPr>
        <w:ind w:left="720" w:hanging="360"/>
      </w:pPr>
      <w:rPr>
        <w:b w:val="0"/>
        <w:bCs w:val="0"/>
      </w:rPr>
    </w:lvl>
    <w:lvl w:ilvl="1" w:tplc="ED9AF6BA">
      <w:start w:val="1"/>
      <w:numFmt w:val="lowerLetter"/>
      <w:lvlText w:val="%2."/>
      <w:lvlJc w:val="left"/>
      <w:pPr>
        <w:ind w:left="1440" w:hanging="360"/>
      </w:pPr>
    </w:lvl>
    <w:lvl w:ilvl="2" w:tplc="EC9E317C">
      <w:start w:val="1"/>
      <w:numFmt w:val="lowerRoman"/>
      <w:lvlText w:val="%3."/>
      <w:lvlJc w:val="right"/>
      <w:pPr>
        <w:ind w:left="2160" w:hanging="180"/>
      </w:pPr>
    </w:lvl>
    <w:lvl w:ilvl="3" w:tplc="A7281F14">
      <w:start w:val="1"/>
      <w:numFmt w:val="decimal"/>
      <w:lvlText w:val="%4."/>
      <w:lvlJc w:val="left"/>
      <w:pPr>
        <w:ind w:left="2880" w:hanging="360"/>
      </w:pPr>
    </w:lvl>
    <w:lvl w:ilvl="4" w:tplc="A272974E">
      <w:start w:val="1"/>
      <w:numFmt w:val="lowerLetter"/>
      <w:lvlText w:val="%5."/>
      <w:lvlJc w:val="left"/>
      <w:pPr>
        <w:ind w:left="3600" w:hanging="360"/>
      </w:pPr>
    </w:lvl>
    <w:lvl w:ilvl="5" w:tplc="EEDE7E36">
      <w:start w:val="1"/>
      <w:numFmt w:val="lowerRoman"/>
      <w:lvlText w:val="%6."/>
      <w:lvlJc w:val="right"/>
      <w:pPr>
        <w:ind w:left="4320" w:hanging="180"/>
      </w:pPr>
    </w:lvl>
    <w:lvl w:ilvl="6" w:tplc="74FA1A0E">
      <w:start w:val="1"/>
      <w:numFmt w:val="decimal"/>
      <w:lvlText w:val="%7."/>
      <w:lvlJc w:val="left"/>
      <w:pPr>
        <w:ind w:left="5040" w:hanging="360"/>
      </w:pPr>
    </w:lvl>
    <w:lvl w:ilvl="7" w:tplc="11E4AB18">
      <w:start w:val="1"/>
      <w:numFmt w:val="lowerLetter"/>
      <w:lvlText w:val="%8."/>
      <w:lvlJc w:val="left"/>
      <w:pPr>
        <w:ind w:left="5760" w:hanging="360"/>
      </w:pPr>
    </w:lvl>
    <w:lvl w:ilvl="8" w:tplc="47F86A0E">
      <w:start w:val="1"/>
      <w:numFmt w:val="lowerRoman"/>
      <w:lvlText w:val="%9."/>
      <w:lvlJc w:val="right"/>
      <w:pPr>
        <w:ind w:left="6480" w:hanging="180"/>
      </w:pPr>
    </w:lvl>
  </w:abstractNum>
  <w:abstractNum w:abstractNumId="6" w15:restartNumberingAfterBreak="0">
    <w:nsid w:val="1CFC16E2"/>
    <w:multiLevelType w:val="hybridMultilevel"/>
    <w:tmpl w:val="9E92BDFC"/>
    <w:lvl w:ilvl="0" w:tplc="0409000F">
      <w:start w:val="1"/>
      <w:numFmt w:val="decimal"/>
      <w:lvlText w:val="%1."/>
      <w:lvlJc w:val="left"/>
      <w:pPr>
        <w:ind w:left="720" w:hanging="360"/>
      </w:pPr>
      <w:rPr>
        <w:b w:val="0"/>
        <w:bCs w:val="0"/>
      </w:rPr>
    </w:lvl>
    <w:lvl w:ilvl="1" w:tplc="ED9AF6BA">
      <w:start w:val="1"/>
      <w:numFmt w:val="lowerLetter"/>
      <w:lvlText w:val="%2."/>
      <w:lvlJc w:val="left"/>
      <w:pPr>
        <w:ind w:left="1440" w:hanging="360"/>
      </w:pPr>
    </w:lvl>
    <w:lvl w:ilvl="2" w:tplc="EC9E317C">
      <w:start w:val="1"/>
      <w:numFmt w:val="lowerRoman"/>
      <w:lvlText w:val="%3."/>
      <w:lvlJc w:val="right"/>
      <w:pPr>
        <w:ind w:left="2160" w:hanging="180"/>
      </w:pPr>
    </w:lvl>
    <w:lvl w:ilvl="3" w:tplc="A7281F14">
      <w:start w:val="1"/>
      <w:numFmt w:val="decimal"/>
      <w:lvlText w:val="%4."/>
      <w:lvlJc w:val="left"/>
      <w:pPr>
        <w:ind w:left="2880" w:hanging="360"/>
      </w:pPr>
    </w:lvl>
    <w:lvl w:ilvl="4" w:tplc="A272974E">
      <w:start w:val="1"/>
      <w:numFmt w:val="lowerLetter"/>
      <w:lvlText w:val="%5."/>
      <w:lvlJc w:val="left"/>
      <w:pPr>
        <w:ind w:left="3600" w:hanging="360"/>
      </w:pPr>
    </w:lvl>
    <w:lvl w:ilvl="5" w:tplc="EEDE7E36">
      <w:start w:val="1"/>
      <w:numFmt w:val="lowerRoman"/>
      <w:lvlText w:val="%6."/>
      <w:lvlJc w:val="right"/>
      <w:pPr>
        <w:ind w:left="4320" w:hanging="180"/>
      </w:pPr>
    </w:lvl>
    <w:lvl w:ilvl="6" w:tplc="74FA1A0E">
      <w:start w:val="1"/>
      <w:numFmt w:val="decimal"/>
      <w:lvlText w:val="%7."/>
      <w:lvlJc w:val="left"/>
      <w:pPr>
        <w:ind w:left="5040" w:hanging="360"/>
      </w:pPr>
    </w:lvl>
    <w:lvl w:ilvl="7" w:tplc="11E4AB18">
      <w:start w:val="1"/>
      <w:numFmt w:val="lowerLetter"/>
      <w:lvlText w:val="%8."/>
      <w:lvlJc w:val="left"/>
      <w:pPr>
        <w:ind w:left="5760" w:hanging="360"/>
      </w:pPr>
    </w:lvl>
    <w:lvl w:ilvl="8" w:tplc="47F86A0E">
      <w:start w:val="1"/>
      <w:numFmt w:val="lowerRoman"/>
      <w:lvlText w:val="%9."/>
      <w:lvlJc w:val="right"/>
      <w:pPr>
        <w:ind w:left="6480" w:hanging="180"/>
      </w:pPr>
    </w:lvl>
  </w:abstractNum>
  <w:abstractNum w:abstractNumId="7" w15:restartNumberingAfterBreak="0">
    <w:nsid w:val="1D910B73"/>
    <w:multiLevelType w:val="multilevel"/>
    <w:tmpl w:val="09A0ACCC"/>
    <w:lvl w:ilvl="0">
      <w:start w:val="1"/>
      <w:numFmt w:val="lowerLetter"/>
      <w:lvlText w:val="%1."/>
      <w:lvlJc w:val="left"/>
      <w:pPr>
        <w:ind w:left="720" w:hanging="360"/>
      </w:pPr>
      <w:rPr>
        <w:rFonts w:eastAsiaTheme="majorEastAsia"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180"/>
      </w:pPr>
      <w:rPr>
        <w:rFonts w:ascii="Courier New" w:hAnsi="Courier New" w:cs="Courier Ne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5207006"/>
    <w:multiLevelType w:val="hybridMultilevel"/>
    <w:tmpl w:val="D5721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E6167C"/>
    <w:multiLevelType w:val="multilevel"/>
    <w:tmpl w:val="09A0ACCC"/>
    <w:lvl w:ilvl="0">
      <w:start w:val="1"/>
      <w:numFmt w:val="lowerLetter"/>
      <w:lvlText w:val="%1."/>
      <w:lvlJc w:val="left"/>
      <w:pPr>
        <w:ind w:left="720" w:hanging="360"/>
      </w:pPr>
      <w:rPr>
        <w:rFonts w:eastAsiaTheme="majorEastAsia"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180"/>
      </w:pPr>
      <w:rPr>
        <w:rFonts w:ascii="Courier New" w:hAnsi="Courier New" w:cs="Courier Ne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70B0013"/>
    <w:multiLevelType w:val="multilevel"/>
    <w:tmpl w:val="09A0ACCC"/>
    <w:lvl w:ilvl="0">
      <w:start w:val="1"/>
      <w:numFmt w:val="lowerLetter"/>
      <w:lvlText w:val="%1."/>
      <w:lvlJc w:val="left"/>
      <w:pPr>
        <w:ind w:left="720" w:hanging="360"/>
      </w:pPr>
      <w:rPr>
        <w:rFonts w:eastAsiaTheme="majorEastAsia"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180"/>
      </w:pPr>
      <w:rPr>
        <w:rFonts w:ascii="Courier New" w:hAnsi="Courier New" w:cs="Courier Ne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259333A"/>
    <w:multiLevelType w:val="multilevel"/>
    <w:tmpl w:val="CA7EEE8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2C4483E"/>
    <w:multiLevelType w:val="hybridMultilevel"/>
    <w:tmpl w:val="81680578"/>
    <w:lvl w:ilvl="0" w:tplc="04090019">
      <w:start w:val="1"/>
      <w:numFmt w:val="lowerLetter"/>
      <w:lvlText w:val="%1."/>
      <w:lvlJc w:val="left"/>
      <w:pPr>
        <w:tabs>
          <w:tab w:val="num" w:pos="1440"/>
        </w:tabs>
        <w:ind w:left="1440" w:hanging="360"/>
      </w:pPr>
      <w:rPr>
        <w:rFonts w:hint="default"/>
      </w:rPr>
    </w:lvl>
    <w:lvl w:ilvl="1" w:tplc="FFFFFFFF">
      <w:start w:val="1"/>
      <w:numFmt w:val="bullet"/>
      <w:lvlText w:val="•"/>
      <w:lvlJc w:val="left"/>
      <w:pPr>
        <w:tabs>
          <w:tab w:val="num" w:pos="2160"/>
        </w:tabs>
        <w:ind w:left="2160" w:hanging="360"/>
      </w:pPr>
      <w:rPr>
        <w:rFonts w:ascii="Arial" w:hAnsi="Arial" w:hint="default"/>
      </w:rPr>
    </w:lvl>
    <w:lvl w:ilvl="2" w:tplc="FFFFFFFF" w:tentative="1">
      <w:start w:val="1"/>
      <w:numFmt w:val="bullet"/>
      <w:lvlText w:val="•"/>
      <w:lvlJc w:val="left"/>
      <w:pPr>
        <w:tabs>
          <w:tab w:val="num" w:pos="2880"/>
        </w:tabs>
        <w:ind w:left="2880" w:hanging="360"/>
      </w:pPr>
      <w:rPr>
        <w:rFonts w:ascii="Arial" w:hAnsi="Arial" w:hint="default"/>
      </w:rPr>
    </w:lvl>
    <w:lvl w:ilvl="3" w:tplc="FFFFFFFF" w:tentative="1">
      <w:start w:val="1"/>
      <w:numFmt w:val="bullet"/>
      <w:lvlText w:val="•"/>
      <w:lvlJc w:val="left"/>
      <w:pPr>
        <w:tabs>
          <w:tab w:val="num" w:pos="3600"/>
        </w:tabs>
        <w:ind w:left="3600" w:hanging="360"/>
      </w:pPr>
      <w:rPr>
        <w:rFonts w:ascii="Arial" w:hAnsi="Arial" w:hint="default"/>
      </w:rPr>
    </w:lvl>
    <w:lvl w:ilvl="4" w:tplc="FFFFFFFF" w:tentative="1">
      <w:start w:val="1"/>
      <w:numFmt w:val="bullet"/>
      <w:lvlText w:val="•"/>
      <w:lvlJc w:val="left"/>
      <w:pPr>
        <w:tabs>
          <w:tab w:val="num" w:pos="4320"/>
        </w:tabs>
        <w:ind w:left="4320" w:hanging="360"/>
      </w:pPr>
      <w:rPr>
        <w:rFonts w:ascii="Arial" w:hAnsi="Arial" w:hint="default"/>
      </w:rPr>
    </w:lvl>
    <w:lvl w:ilvl="5" w:tplc="FFFFFFFF" w:tentative="1">
      <w:start w:val="1"/>
      <w:numFmt w:val="bullet"/>
      <w:lvlText w:val="•"/>
      <w:lvlJc w:val="left"/>
      <w:pPr>
        <w:tabs>
          <w:tab w:val="num" w:pos="5040"/>
        </w:tabs>
        <w:ind w:left="5040" w:hanging="360"/>
      </w:pPr>
      <w:rPr>
        <w:rFonts w:ascii="Arial" w:hAnsi="Arial" w:hint="default"/>
      </w:rPr>
    </w:lvl>
    <w:lvl w:ilvl="6" w:tplc="FFFFFFFF" w:tentative="1">
      <w:start w:val="1"/>
      <w:numFmt w:val="bullet"/>
      <w:lvlText w:val="•"/>
      <w:lvlJc w:val="left"/>
      <w:pPr>
        <w:tabs>
          <w:tab w:val="num" w:pos="5760"/>
        </w:tabs>
        <w:ind w:left="5760" w:hanging="360"/>
      </w:pPr>
      <w:rPr>
        <w:rFonts w:ascii="Arial" w:hAnsi="Arial" w:hint="default"/>
      </w:rPr>
    </w:lvl>
    <w:lvl w:ilvl="7" w:tplc="FFFFFFFF" w:tentative="1">
      <w:start w:val="1"/>
      <w:numFmt w:val="bullet"/>
      <w:lvlText w:val="•"/>
      <w:lvlJc w:val="left"/>
      <w:pPr>
        <w:tabs>
          <w:tab w:val="num" w:pos="6480"/>
        </w:tabs>
        <w:ind w:left="6480" w:hanging="360"/>
      </w:pPr>
      <w:rPr>
        <w:rFonts w:ascii="Arial" w:hAnsi="Arial" w:hint="default"/>
      </w:rPr>
    </w:lvl>
    <w:lvl w:ilvl="8" w:tplc="FFFFFFFF" w:tentative="1">
      <w:start w:val="1"/>
      <w:numFmt w:val="bullet"/>
      <w:lvlText w:val="•"/>
      <w:lvlJc w:val="left"/>
      <w:pPr>
        <w:tabs>
          <w:tab w:val="num" w:pos="7200"/>
        </w:tabs>
        <w:ind w:left="7200" w:hanging="360"/>
      </w:pPr>
      <w:rPr>
        <w:rFonts w:ascii="Arial" w:hAnsi="Arial" w:hint="default"/>
      </w:rPr>
    </w:lvl>
  </w:abstractNum>
  <w:abstractNum w:abstractNumId="13" w15:restartNumberingAfterBreak="0">
    <w:nsid w:val="36273C95"/>
    <w:multiLevelType w:val="hybridMultilevel"/>
    <w:tmpl w:val="E26871BE"/>
    <w:lvl w:ilvl="0" w:tplc="BDEEC75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85320E"/>
    <w:multiLevelType w:val="multilevel"/>
    <w:tmpl w:val="FBFEFECA"/>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E0E51B0"/>
    <w:multiLevelType w:val="hybridMultilevel"/>
    <w:tmpl w:val="18B0A0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1615847"/>
    <w:multiLevelType w:val="multilevel"/>
    <w:tmpl w:val="09A0ACCC"/>
    <w:lvl w:ilvl="0">
      <w:start w:val="1"/>
      <w:numFmt w:val="lowerLetter"/>
      <w:lvlText w:val="%1."/>
      <w:lvlJc w:val="left"/>
      <w:pPr>
        <w:ind w:left="720" w:hanging="360"/>
      </w:pPr>
      <w:rPr>
        <w:rFonts w:eastAsiaTheme="majorEastAsia"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180"/>
      </w:pPr>
      <w:rPr>
        <w:rFonts w:ascii="Courier New" w:hAnsi="Courier New" w:cs="Courier Ne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1E36A9E"/>
    <w:multiLevelType w:val="hybridMultilevel"/>
    <w:tmpl w:val="879A8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810132"/>
    <w:multiLevelType w:val="multilevel"/>
    <w:tmpl w:val="09A0ACCC"/>
    <w:lvl w:ilvl="0">
      <w:start w:val="1"/>
      <w:numFmt w:val="lowerLetter"/>
      <w:lvlText w:val="%1."/>
      <w:lvlJc w:val="left"/>
      <w:pPr>
        <w:ind w:left="720" w:hanging="360"/>
      </w:pPr>
      <w:rPr>
        <w:rFonts w:eastAsiaTheme="majorEastAsia"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180"/>
      </w:pPr>
      <w:rPr>
        <w:rFonts w:ascii="Courier New" w:hAnsi="Courier New" w:cs="Courier Ne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3B11FD9"/>
    <w:multiLevelType w:val="multilevel"/>
    <w:tmpl w:val="DC3A2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6BB35DA"/>
    <w:multiLevelType w:val="multilevel"/>
    <w:tmpl w:val="09A0ACCC"/>
    <w:lvl w:ilvl="0">
      <w:start w:val="1"/>
      <w:numFmt w:val="lowerLetter"/>
      <w:lvlText w:val="%1."/>
      <w:lvlJc w:val="left"/>
      <w:pPr>
        <w:ind w:left="720" w:hanging="360"/>
      </w:pPr>
      <w:rPr>
        <w:rFonts w:eastAsiaTheme="majorEastAsia"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180"/>
      </w:pPr>
      <w:rPr>
        <w:rFonts w:ascii="Courier New" w:hAnsi="Courier New" w:cs="Courier Ne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7135F4B"/>
    <w:multiLevelType w:val="hybridMultilevel"/>
    <w:tmpl w:val="1180E2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B8B55F1"/>
    <w:multiLevelType w:val="hybridMultilevel"/>
    <w:tmpl w:val="6C927DC6"/>
    <w:lvl w:ilvl="0" w:tplc="C33C4CB6">
      <w:start w:val="2023"/>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D76F4D"/>
    <w:multiLevelType w:val="multilevel"/>
    <w:tmpl w:val="607269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E3471A3"/>
    <w:multiLevelType w:val="multilevel"/>
    <w:tmpl w:val="09A0ACCC"/>
    <w:lvl w:ilvl="0">
      <w:start w:val="1"/>
      <w:numFmt w:val="lowerLetter"/>
      <w:lvlText w:val="%1."/>
      <w:lvlJc w:val="left"/>
      <w:pPr>
        <w:ind w:left="720" w:hanging="360"/>
      </w:pPr>
      <w:rPr>
        <w:rFonts w:eastAsiaTheme="majorEastAsia"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180"/>
      </w:pPr>
      <w:rPr>
        <w:rFonts w:ascii="Courier New" w:hAnsi="Courier New" w:cs="Courier Ne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F441BEF"/>
    <w:multiLevelType w:val="hybridMultilevel"/>
    <w:tmpl w:val="2F48225E"/>
    <w:lvl w:ilvl="0" w:tplc="D1AC39C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98305F"/>
    <w:multiLevelType w:val="hybridMultilevel"/>
    <w:tmpl w:val="4238C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4D4FA7"/>
    <w:multiLevelType w:val="hybridMultilevel"/>
    <w:tmpl w:val="B45E2E96"/>
    <w:lvl w:ilvl="0" w:tplc="827443D0">
      <w:start w:val="1"/>
      <w:numFmt w:val="lowerLetter"/>
      <w:lvlText w:val="%1."/>
      <w:lvlJc w:val="left"/>
      <w:pPr>
        <w:ind w:left="720" w:hanging="360"/>
      </w:pPr>
      <w:rPr>
        <w:rFonts w:eastAsiaTheme="maj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383A1B"/>
    <w:multiLevelType w:val="hybridMultilevel"/>
    <w:tmpl w:val="6BEA550E"/>
    <w:lvl w:ilvl="0" w:tplc="04090001">
      <w:start w:val="1"/>
      <w:numFmt w:val="bullet"/>
      <w:lvlText w:val=""/>
      <w:lvlJc w:val="left"/>
      <w:pPr>
        <w:ind w:left="720" w:hanging="360"/>
      </w:pPr>
      <w:rPr>
        <w:rFonts w:ascii="Symbol" w:hAnsi="Symbol" w:hint="default"/>
      </w:rPr>
    </w:lvl>
    <w:lvl w:ilvl="1" w:tplc="4C863AC0">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F32520"/>
    <w:multiLevelType w:val="multilevel"/>
    <w:tmpl w:val="099626E6"/>
    <w:lvl w:ilvl="0">
      <w:start w:val="1"/>
      <w:numFmt w:val="bullet"/>
      <w:lvlText w:val=""/>
      <w:lvlJc w:val="left"/>
      <w:pPr>
        <w:tabs>
          <w:tab w:val="num" w:pos="1440"/>
        </w:tabs>
        <w:ind w:left="1440" w:hanging="360"/>
      </w:pPr>
      <w:rPr>
        <w:rFonts w:ascii="Symbol" w:hAnsi="Symbol" w:hint="default"/>
        <w:sz w:val="20"/>
      </w:rPr>
    </w:lvl>
    <w:lvl w:ilvl="1">
      <w:start w:val="1"/>
      <w:numFmt w:val="lowerLetter"/>
      <w:lvlText w:val="%2."/>
      <w:lvlJc w:val="left"/>
      <w:pPr>
        <w:tabs>
          <w:tab w:val="num" w:pos="2160"/>
        </w:tabs>
        <w:ind w:left="2160" w:hanging="360"/>
      </w:pPr>
      <w:rPr>
        <w:rFonts w:hint="default"/>
        <w:sz w:val="20"/>
      </w:rPr>
    </w:lvl>
    <w:lvl w:ilvl="2" w:tentative="1">
      <w:start w:val="1"/>
      <w:numFmt w:val="lowerLetter"/>
      <w:lvlText w:val="%3."/>
      <w:lvlJc w:val="left"/>
      <w:pPr>
        <w:tabs>
          <w:tab w:val="num" w:pos="2880"/>
        </w:tabs>
        <w:ind w:left="2880" w:hanging="360"/>
      </w:pPr>
      <w:rPr>
        <w:rFonts w:hint="default"/>
        <w:sz w:val="20"/>
      </w:rPr>
    </w:lvl>
    <w:lvl w:ilvl="3" w:tentative="1">
      <w:start w:val="1"/>
      <w:numFmt w:val="lowerLetter"/>
      <w:lvlText w:val="%4."/>
      <w:lvlJc w:val="left"/>
      <w:pPr>
        <w:tabs>
          <w:tab w:val="num" w:pos="3600"/>
        </w:tabs>
        <w:ind w:left="3600" w:hanging="360"/>
      </w:pPr>
      <w:rPr>
        <w:rFonts w:hint="default"/>
        <w:sz w:val="20"/>
      </w:rPr>
    </w:lvl>
    <w:lvl w:ilvl="4" w:tentative="1">
      <w:start w:val="1"/>
      <w:numFmt w:val="lowerLetter"/>
      <w:lvlText w:val="%5."/>
      <w:lvlJc w:val="left"/>
      <w:pPr>
        <w:tabs>
          <w:tab w:val="num" w:pos="4320"/>
        </w:tabs>
        <w:ind w:left="4320" w:hanging="360"/>
      </w:pPr>
      <w:rPr>
        <w:rFonts w:hint="default"/>
        <w:sz w:val="20"/>
      </w:rPr>
    </w:lvl>
    <w:lvl w:ilvl="5" w:tentative="1">
      <w:start w:val="1"/>
      <w:numFmt w:val="lowerLetter"/>
      <w:lvlText w:val="%6."/>
      <w:lvlJc w:val="left"/>
      <w:pPr>
        <w:tabs>
          <w:tab w:val="num" w:pos="5040"/>
        </w:tabs>
        <w:ind w:left="5040" w:hanging="360"/>
      </w:pPr>
      <w:rPr>
        <w:rFonts w:hint="default"/>
        <w:sz w:val="20"/>
      </w:rPr>
    </w:lvl>
    <w:lvl w:ilvl="6" w:tentative="1">
      <w:start w:val="1"/>
      <w:numFmt w:val="lowerLetter"/>
      <w:lvlText w:val="%7."/>
      <w:lvlJc w:val="left"/>
      <w:pPr>
        <w:tabs>
          <w:tab w:val="num" w:pos="5760"/>
        </w:tabs>
        <w:ind w:left="5760" w:hanging="360"/>
      </w:pPr>
      <w:rPr>
        <w:rFonts w:hint="default"/>
        <w:sz w:val="20"/>
      </w:rPr>
    </w:lvl>
    <w:lvl w:ilvl="7" w:tentative="1">
      <w:start w:val="1"/>
      <w:numFmt w:val="lowerLetter"/>
      <w:lvlText w:val="%8."/>
      <w:lvlJc w:val="left"/>
      <w:pPr>
        <w:tabs>
          <w:tab w:val="num" w:pos="6480"/>
        </w:tabs>
        <w:ind w:left="6480" w:hanging="360"/>
      </w:pPr>
      <w:rPr>
        <w:rFonts w:hint="default"/>
        <w:sz w:val="20"/>
      </w:rPr>
    </w:lvl>
    <w:lvl w:ilvl="8" w:tentative="1">
      <w:start w:val="1"/>
      <w:numFmt w:val="lowerLetter"/>
      <w:lvlText w:val="%9."/>
      <w:lvlJc w:val="left"/>
      <w:pPr>
        <w:tabs>
          <w:tab w:val="num" w:pos="7200"/>
        </w:tabs>
        <w:ind w:left="7200" w:hanging="360"/>
      </w:pPr>
      <w:rPr>
        <w:rFonts w:hint="default"/>
        <w:sz w:val="20"/>
      </w:rPr>
    </w:lvl>
  </w:abstractNum>
  <w:abstractNum w:abstractNumId="30" w15:restartNumberingAfterBreak="0">
    <w:nsid w:val="591713F2"/>
    <w:multiLevelType w:val="multilevel"/>
    <w:tmpl w:val="09A0ACCC"/>
    <w:lvl w:ilvl="0">
      <w:start w:val="1"/>
      <w:numFmt w:val="lowerLetter"/>
      <w:lvlText w:val="%1."/>
      <w:lvlJc w:val="left"/>
      <w:pPr>
        <w:ind w:left="720" w:hanging="360"/>
      </w:pPr>
      <w:rPr>
        <w:rFonts w:eastAsiaTheme="majorEastAsia"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180"/>
      </w:pPr>
      <w:rPr>
        <w:rFonts w:ascii="Courier New" w:hAnsi="Courier New" w:cs="Courier Ne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DB0792A"/>
    <w:multiLevelType w:val="multilevel"/>
    <w:tmpl w:val="09A0ACCC"/>
    <w:lvl w:ilvl="0">
      <w:start w:val="1"/>
      <w:numFmt w:val="lowerLetter"/>
      <w:lvlText w:val="%1."/>
      <w:lvlJc w:val="left"/>
      <w:pPr>
        <w:ind w:left="720" w:hanging="360"/>
      </w:pPr>
      <w:rPr>
        <w:rFonts w:eastAsiaTheme="majorEastAsia"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180"/>
      </w:pPr>
      <w:rPr>
        <w:rFonts w:ascii="Courier New" w:hAnsi="Courier New" w:cs="Courier Ne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2B45255"/>
    <w:multiLevelType w:val="multilevel"/>
    <w:tmpl w:val="099626E6"/>
    <w:lvl w:ilvl="0">
      <w:start w:val="1"/>
      <w:numFmt w:val="bullet"/>
      <w:lvlText w:val=""/>
      <w:lvlJc w:val="left"/>
      <w:pPr>
        <w:tabs>
          <w:tab w:val="num" w:pos="1440"/>
        </w:tabs>
        <w:ind w:left="1440" w:hanging="360"/>
      </w:pPr>
      <w:rPr>
        <w:rFonts w:ascii="Symbol" w:hAnsi="Symbol" w:hint="default"/>
        <w:sz w:val="20"/>
      </w:rPr>
    </w:lvl>
    <w:lvl w:ilvl="1" w:tentative="1">
      <w:start w:val="1"/>
      <w:numFmt w:val="lowerLetter"/>
      <w:lvlText w:val="%2."/>
      <w:lvlJc w:val="left"/>
      <w:pPr>
        <w:tabs>
          <w:tab w:val="num" w:pos="2160"/>
        </w:tabs>
        <w:ind w:left="2160" w:hanging="360"/>
      </w:pPr>
      <w:rPr>
        <w:rFonts w:hint="default"/>
        <w:sz w:val="20"/>
      </w:rPr>
    </w:lvl>
    <w:lvl w:ilvl="2" w:tentative="1">
      <w:start w:val="1"/>
      <w:numFmt w:val="lowerLetter"/>
      <w:lvlText w:val="%3."/>
      <w:lvlJc w:val="left"/>
      <w:pPr>
        <w:tabs>
          <w:tab w:val="num" w:pos="2880"/>
        </w:tabs>
        <w:ind w:left="2880" w:hanging="360"/>
      </w:pPr>
      <w:rPr>
        <w:rFonts w:hint="default"/>
        <w:sz w:val="20"/>
      </w:rPr>
    </w:lvl>
    <w:lvl w:ilvl="3" w:tentative="1">
      <w:start w:val="1"/>
      <w:numFmt w:val="lowerLetter"/>
      <w:lvlText w:val="%4."/>
      <w:lvlJc w:val="left"/>
      <w:pPr>
        <w:tabs>
          <w:tab w:val="num" w:pos="3600"/>
        </w:tabs>
        <w:ind w:left="3600" w:hanging="360"/>
      </w:pPr>
      <w:rPr>
        <w:rFonts w:hint="default"/>
        <w:sz w:val="20"/>
      </w:rPr>
    </w:lvl>
    <w:lvl w:ilvl="4" w:tentative="1">
      <w:start w:val="1"/>
      <w:numFmt w:val="lowerLetter"/>
      <w:lvlText w:val="%5."/>
      <w:lvlJc w:val="left"/>
      <w:pPr>
        <w:tabs>
          <w:tab w:val="num" w:pos="4320"/>
        </w:tabs>
        <w:ind w:left="4320" w:hanging="360"/>
      </w:pPr>
      <w:rPr>
        <w:rFonts w:hint="default"/>
        <w:sz w:val="20"/>
      </w:rPr>
    </w:lvl>
    <w:lvl w:ilvl="5" w:tentative="1">
      <w:start w:val="1"/>
      <w:numFmt w:val="lowerLetter"/>
      <w:lvlText w:val="%6."/>
      <w:lvlJc w:val="left"/>
      <w:pPr>
        <w:tabs>
          <w:tab w:val="num" w:pos="5040"/>
        </w:tabs>
        <w:ind w:left="5040" w:hanging="360"/>
      </w:pPr>
      <w:rPr>
        <w:rFonts w:hint="default"/>
        <w:sz w:val="20"/>
      </w:rPr>
    </w:lvl>
    <w:lvl w:ilvl="6" w:tentative="1">
      <w:start w:val="1"/>
      <w:numFmt w:val="lowerLetter"/>
      <w:lvlText w:val="%7."/>
      <w:lvlJc w:val="left"/>
      <w:pPr>
        <w:tabs>
          <w:tab w:val="num" w:pos="5760"/>
        </w:tabs>
        <w:ind w:left="5760" w:hanging="360"/>
      </w:pPr>
      <w:rPr>
        <w:rFonts w:hint="default"/>
        <w:sz w:val="20"/>
      </w:rPr>
    </w:lvl>
    <w:lvl w:ilvl="7" w:tentative="1">
      <w:start w:val="1"/>
      <w:numFmt w:val="lowerLetter"/>
      <w:lvlText w:val="%8."/>
      <w:lvlJc w:val="left"/>
      <w:pPr>
        <w:tabs>
          <w:tab w:val="num" w:pos="6480"/>
        </w:tabs>
        <w:ind w:left="6480" w:hanging="360"/>
      </w:pPr>
      <w:rPr>
        <w:rFonts w:hint="default"/>
        <w:sz w:val="20"/>
      </w:rPr>
    </w:lvl>
    <w:lvl w:ilvl="8" w:tentative="1">
      <w:start w:val="1"/>
      <w:numFmt w:val="lowerLetter"/>
      <w:lvlText w:val="%9."/>
      <w:lvlJc w:val="left"/>
      <w:pPr>
        <w:tabs>
          <w:tab w:val="num" w:pos="7200"/>
        </w:tabs>
        <w:ind w:left="7200" w:hanging="360"/>
      </w:pPr>
      <w:rPr>
        <w:rFonts w:hint="default"/>
        <w:sz w:val="20"/>
      </w:rPr>
    </w:lvl>
  </w:abstractNum>
  <w:abstractNum w:abstractNumId="33" w15:restartNumberingAfterBreak="0">
    <w:nsid w:val="669475B8"/>
    <w:multiLevelType w:val="multilevel"/>
    <w:tmpl w:val="09A0ACCC"/>
    <w:lvl w:ilvl="0">
      <w:start w:val="1"/>
      <w:numFmt w:val="lowerLetter"/>
      <w:lvlText w:val="%1."/>
      <w:lvlJc w:val="left"/>
      <w:pPr>
        <w:ind w:left="720" w:hanging="360"/>
      </w:pPr>
      <w:rPr>
        <w:rFonts w:eastAsiaTheme="majorEastAsia"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180"/>
      </w:pPr>
      <w:rPr>
        <w:rFonts w:ascii="Courier New" w:hAnsi="Courier New" w:cs="Courier Ne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85B4A0E"/>
    <w:multiLevelType w:val="hybridMultilevel"/>
    <w:tmpl w:val="96FCD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016395"/>
    <w:multiLevelType w:val="hybridMultilevel"/>
    <w:tmpl w:val="6804D690"/>
    <w:lvl w:ilvl="0" w:tplc="04090001">
      <w:start w:val="1"/>
      <w:numFmt w:val="bullet"/>
      <w:lvlText w:val=""/>
      <w:lvlJc w:val="left"/>
      <w:pPr>
        <w:ind w:left="720" w:hanging="360"/>
      </w:pPr>
      <w:rPr>
        <w:rFonts w:ascii="Symbol" w:hAnsi="Symbol" w:hint="default"/>
      </w:rPr>
    </w:lvl>
    <w:lvl w:ilvl="1" w:tplc="D5D6E994">
      <w:numFmt w:val="bullet"/>
      <w:lvlText w:val="•"/>
      <w:lvlJc w:val="left"/>
      <w:pPr>
        <w:ind w:left="1800" w:hanging="72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8A51FA"/>
    <w:multiLevelType w:val="hybridMultilevel"/>
    <w:tmpl w:val="F308454A"/>
    <w:lvl w:ilvl="0" w:tplc="9A424A7A">
      <w:start w:val="1"/>
      <w:numFmt w:val="decimal"/>
      <w:lvlText w:val="%1."/>
      <w:lvlJc w:val="left"/>
      <w:pPr>
        <w:ind w:left="720" w:hanging="360"/>
      </w:pPr>
      <w:rPr>
        <w:b w:val="0"/>
        <w:bCs w:val="0"/>
      </w:rPr>
    </w:lvl>
    <w:lvl w:ilvl="1" w:tplc="ED9AF6BA">
      <w:start w:val="1"/>
      <w:numFmt w:val="lowerLetter"/>
      <w:lvlText w:val="%2."/>
      <w:lvlJc w:val="left"/>
      <w:pPr>
        <w:ind w:left="1440" w:hanging="360"/>
      </w:pPr>
    </w:lvl>
    <w:lvl w:ilvl="2" w:tplc="EC9E317C">
      <w:start w:val="1"/>
      <w:numFmt w:val="lowerRoman"/>
      <w:lvlText w:val="%3."/>
      <w:lvlJc w:val="right"/>
      <w:pPr>
        <w:ind w:left="2160" w:hanging="180"/>
      </w:pPr>
    </w:lvl>
    <w:lvl w:ilvl="3" w:tplc="A7281F14">
      <w:start w:val="1"/>
      <w:numFmt w:val="decimal"/>
      <w:lvlText w:val="%4."/>
      <w:lvlJc w:val="left"/>
      <w:pPr>
        <w:ind w:left="2880" w:hanging="360"/>
      </w:pPr>
    </w:lvl>
    <w:lvl w:ilvl="4" w:tplc="A272974E">
      <w:start w:val="1"/>
      <w:numFmt w:val="lowerLetter"/>
      <w:lvlText w:val="%5."/>
      <w:lvlJc w:val="left"/>
      <w:pPr>
        <w:ind w:left="3600" w:hanging="360"/>
      </w:pPr>
    </w:lvl>
    <w:lvl w:ilvl="5" w:tplc="EEDE7E36">
      <w:start w:val="1"/>
      <w:numFmt w:val="lowerRoman"/>
      <w:lvlText w:val="%6."/>
      <w:lvlJc w:val="right"/>
      <w:pPr>
        <w:ind w:left="4320" w:hanging="180"/>
      </w:pPr>
    </w:lvl>
    <w:lvl w:ilvl="6" w:tplc="74FA1A0E">
      <w:start w:val="1"/>
      <w:numFmt w:val="decimal"/>
      <w:lvlText w:val="%7."/>
      <w:lvlJc w:val="left"/>
      <w:pPr>
        <w:ind w:left="5040" w:hanging="360"/>
      </w:pPr>
    </w:lvl>
    <w:lvl w:ilvl="7" w:tplc="11E4AB18">
      <w:start w:val="1"/>
      <w:numFmt w:val="lowerLetter"/>
      <w:lvlText w:val="%8."/>
      <w:lvlJc w:val="left"/>
      <w:pPr>
        <w:ind w:left="5760" w:hanging="360"/>
      </w:pPr>
    </w:lvl>
    <w:lvl w:ilvl="8" w:tplc="47F86A0E">
      <w:start w:val="1"/>
      <w:numFmt w:val="lowerRoman"/>
      <w:lvlText w:val="%9."/>
      <w:lvlJc w:val="right"/>
      <w:pPr>
        <w:ind w:left="6480" w:hanging="180"/>
      </w:pPr>
    </w:lvl>
  </w:abstractNum>
  <w:abstractNum w:abstractNumId="37" w15:restartNumberingAfterBreak="0">
    <w:nsid w:val="6DF92874"/>
    <w:multiLevelType w:val="multilevel"/>
    <w:tmpl w:val="09A0ACCC"/>
    <w:lvl w:ilvl="0">
      <w:start w:val="1"/>
      <w:numFmt w:val="lowerLetter"/>
      <w:lvlText w:val="%1."/>
      <w:lvlJc w:val="left"/>
      <w:pPr>
        <w:ind w:left="720" w:hanging="360"/>
      </w:pPr>
      <w:rPr>
        <w:rFonts w:eastAsiaTheme="majorEastAsia"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180"/>
      </w:pPr>
      <w:rPr>
        <w:rFonts w:ascii="Courier New" w:hAnsi="Courier New" w:cs="Courier Ne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275477601">
    <w:abstractNumId w:val="34"/>
  </w:num>
  <w:num w:numId="2" w16cid:durableId="848561957">
    <w:abstractNumId w:val="15"/>
  </w:num>
  <w:num w:numId="3" w16cid:durableId="2130666521">
    <w:abstractNumId w:val="27"/>
  </w:num>
  <w:num w:numId="4" w16cid:durableId="1901793288">
    <w:abstractNumId w:val="29"/>
  </w:num>
  <w:num w:numId="5" w16cid:durableId="1323511678">
    <w:abstractNumId w:val="32"/>
  </w:num>
  <w:num w:numId="6" w16cid:durableId="461390403">
    <w:abstractNumId w:val="3"/>
  </w:num>
  <w:num w:numId="7" w16cid:durableId="1030716864">
    <w:abstractNumId w:val="20"/>
  </w:num>
  <w:num w:numId="8" w16cid:durableId="1150177580">
    <w:abstractNumId w:val="31"/>
  </w:num>
  <w:num w:numId="9" w16cid:durableId="1782533951">
    <w:abstractNumId w:val="7"/>
  </w:num>
  <w:num w:numId="10" w16cid:durableId="83113083">
    <w:abstractNumId w:val="0"/>
  </w:num>
  <w:num w:numId="11" w16cid:durableId="1637906658">
    <w:abstractNumId w:val="10"/>
  </w:num>
  <w:num w:numId="12" w16cid:durableId="1387603085">
    <w:abstractNumId w:val="37"/>
  </w:num>
  <w:num w:numId="13" w16cid:durableId="1862304">
    <w:abstractNumId w:val="24"/>
  </w:num>
  <w:num w:numId="14" w16cid:durableId="956062861">
    <w:abstractNumId w:val="9"/>
  </w:num>
  <w:num w:numId="15" w16cid:durableId="1653606706">
    <w:abstractNumId w:val="16"/>
  </w:num>
  <w:num w:numId="16" w16cid:durableId="345988627">
    <w:abstractNumId w:val="30"/>
  </w:num>
  <w:num w:numId="17" w16cid:durableId="822549289">
    <w:abstractNumId w:val="33"/>
  </w:num>
  <w:num w:numId="18" w16cid:durableId="1526017831">
    <w:abstractNumId w:val="18"/>
  </w:num>
  <w:num w:numId="19" w16cid:durableId="193546710">
    <w:abstractNumId w:val="6"/>
  </w:num>
  <w:num w:numId="20" w16cid:durableId="931665196">
    <w:abstractNumId w:val="13"/>
  </w:num>
  <w:num w:numId="21" w16cid:durableId="667370073">
    <w:abstractNumId w:val="2"/>
  </w:num>
  <w:num w:numId="22" w16cid:durableId="1392772471">
    <w:abstractNumId w:val="36"/>
  </w:num>
  <w:num w:numId="23" w16cid:durableId="229079932">
    <w:abstractNumId w:val="5"/>
  </w:num>
  <w:num w:numId="24" w16cid:durableId="69275551">
    <w:abstractNumId w:val="25"/>
  </w:num>
  <w:num w:numId="25" w16cid:durableId="1435788809">
    <w:abstractNumId w:val="28"/>
  </w:num>
  <w:num w:numId="26" w16cid:durableId="1146703502">
    <w:abstractNumId w:val="35"/>
  </w:num>
  <w:num w:numId="27" w16cid:durableId="1440298968">
    <w:abstractNumId w:val="17"/>
  </w:num>
  <w:num w:numId="28" w16cid:durableId="706419609">
    <w:abstractNumId w:val="8"/>
  </w:num>
  <w:num w:numId="29" w16cid:durableId="47608798">
    <w:abstractNumId w:val="14"/>
  </w:num>
  <w:num w:numId="30" w16cid:durableId="1464227290">
    <w:abstractNumId w:val="11"/>
  </w:num>
  <w:num w:numId="31" w16cid:durableId="1482504654">
    <w:abstractNumId w:val="21"/>
  </w:num>
  <w:num w:numId="32" w16cid:durableId="964702194">
    <w:abstractNumId w:val="22"/>
  </w:num>
  <w:num w:numId="33" w16cid:durableId="2088764657">
    <w:abstractNumId w:val="4"/>
  </w:num>
  <w:num w:numId="34" w16cid:durableId="880752386">
    <w:abstractNumId w:val="1"/>
  </w:num>
  <w:num w:numId="35" w16cid:durableId="2387086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238347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44703458">
    <w:abstractNumId w:val="12"/>
  </w:num>
  <w:num w:numId="38" w16cid:durableId="637731653">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52F"/>
    <w:rsid w:val="0000068F"/>
    <w:rsid w:val="00000696"/>
    <w:rsid w:val="00001B74"/>
    <w:rsid w:val="00003F4E"/>
    <w:rsid w:val="00005200"/>
    <w:rsid w:val="00005258"/>
    <w:rsid w:val="00006656"/>
    <w:rsid w:val="0000768E"/>
    <w:rsid w:val="00007EC2"/>
    <w:rsid w:val="00010885"/>
    <w:rsid w:val="00011C3C"/>
    <w:rsid w:val="000143EF"/>
    <w:rsid w:val="00015A31"/>
    <w:rsid w:val="00016FE3"/>
    <w:rsid w:val="00017541"/>
    <w:rsid w:val="00017CC5"/>
    <w:rsid w:val="00017DAA"/>
    <w:rsid w:val="0002093A"/>
    <w:rsid w:val="00020E3B"/>
    <w:rsid w:val="00022324"/>
    <w:rsid w:val="00023C68"/>
    <w:rsid w:val="00025478"/>
    <w:rsid w:val="00027CB0"/>
    <w:rsid w:val="00027D54"/>
    <w:rsid w:val="000312A6"/>
    <w:rsid w:val="00034084"/>
    <w:rsid w:val="000358BE"/>
    <w:rsid w:val="00035D7E"/>
    <w:rsid w:val="0003661E"/>
    <w:rsid w:val="00036803"/>
    <w:rsid w:val="00037818"/>
    <w:rsid w:val="00040A2E"/>
    <w:rsid w:val="00040FB3"/>
    <w:rsid w:val="00042393"/>
    <w:rsid w:val="000429C5"/>
    <w:rsid w:val="00042C00"/>
    <w:rsid w:val="00043357"/>
    <w:rsid w:val="00043704"/>
    <w:rsid w:val="00043F17"/>
    <w:rsid w:val="00046C2A"/>
    <w:rsid w:val="00051582"/>
    <w:rsid w:val="000515E2"/>
    <w:rsid w:val="0005255F"/>
    <w:rsid w:val="00053EC9"/>
    <w:rsid w:val="000542EB"/>
    <w:rsid w:val="000550E7"/>
    <w:rsid w:val="00055214"/>
    <w:rsid w:val="00055CD3"/>
    <w:rsid w:val="00056E27"/>
    <w:rsid w:val="000573CB"/>
    <w:rsid w:val="00057928"/>
    <w:rsid w:val="00060450"/>
    <w:rsid w:val="000615EE"/>
    <w:rsid w:val="000621C0"/>
    <w:rsid w:val="00062880"/>
    <w:rsid w:val="00062C08"/>
    <w:rsid w:val="00063DFC"/>
    <w:rsid w:val="00064233"/>
    <w:rsid w:val="00065ED2"/>
    <w:rsid w:val="000663FA"/>
    <w:rsid w:val="000665C4"/>
    <w:rsid w:val="00066E21"/>
    <w:rsid w:val="00066EF4"/>
    <w:rsid w:val="0006704C"/>
    <w:rsid w:val="00067166"/>
    <w:rsid w:val="00067AC6"/>
    <w:rsid w:val="00067DAD"/>
    <w:rsid w:val="00071047"/>
    <w:rsid w:val="00071A01"/>
    <w:rsid w:val="00071A0F"/>
    <w:rsid w:val="00071D81"/>
    <w:rsid w:val="0007214F"/>
    <w:rsid w:val="000724A6"/>
    <w:rsid w:val="00073813"/>
    <w:rsid w:val="00073974"/>
    <w:rsid w:val="00073F7F"/>
    <w:rsid w:val="0007402F"/>
    <w:rsid w:val="00075073"/>
    <w:rsid w:val="000761F6"/>
    <w:rsid w:val="000771DE"/>
    <w:rsid w:val="00081008"/>
    <w:rsid w:val="0008114C"/>
    <w:rsid w:val="000813E3"/>
    <w:rsid w:val="0008193C"/>
    <w:rsid w:val="0008212B"/>
    <w:rsid w:val="000827A4"/>
    <w:rsid w:val="000874D5"/>
    <w:rsid w:val="000914D9"/>
    <w:rsid w:val="000917BA"/>
    <w:rsid w:val="00091D30"/>
    <w:rsid w:val="00095CA9"/>
    <w:rsid w:val="000963A6"/>
    <w:rsid w:val="00097E6A"/>
    <w:rsid w:val="000A0431"/>
    <w:rsid w:val="000A20D7"/>
    <w:rsid w:val="000A39F9"/>
    <w:rsid w:val="000A3CCA"/>
    <w:rsid w:val="000A49AF"/>
    <w:rsid w:val="000A4A0A"/>
    <w:rsid w:val="000A5C64"/>
    <w:rsid w:val="000A620F"/>
    <w:rsid w:val="000B0BDB"/>
    <w:rsid w:val="000B2098"/>
    <w:rsid w:val="000B23B4"/>
    <w:rsid w:val="000B2CE7"/>
    <w:rsid w:val="000B3C81"/>
    <w:rsid w:val="000B43E0"/>
    <w:rsid w:val="000B6792"/>
    <w:rsid w:val="000B6F00"/>
    <w:rsid w:val="000B7358"/>
    <w:rsid w:val="000B751A"/>
    <w:rsid w:val="000C3C54"/>
    <w:rsid w:val="000C49D5"/>
    <w:rsid w:val="000C4B80"/>
    <w:rsid w:val="000C5374"/>
    <w:rsid w:val="000C5A66"/>
    <w:rsid w:val="000C5AB5"/>
    <w:rsid w:val="000C6547"/>
    <w:rsid w:val="000D0D16"/>
    <w:rsid w:val="000D1889"/>
    <w:rsid w:val="000D35AB"/>
    <w:rsid w:val="000D3D81"/>
    <w:rsid w:val="000D4862"/>
    <w:rsid w:val="000D52D1"/>
    <w:rsid w:val="000D5884"/>
    <w:rsid w:val="000D5BD2"/>
    <w:rsid w:val="000D6B43"/>
    <w:rsid w:val="000D7FBD"/>
    <w:rsid w:val="000E1663"/>
    <w:rsid w:val="000E16A4"/>
    <w:rsid w:val="000E1D74"/>
    <w:rsid w:val="000E1FC2"/>
    <w:rsid w:val="000E3150"/>
    <w:rsid w:val="000E33B5"/>
    <w:rsid w:val="000E4776"/>
    <w:rsid w:val="000E5CC4"/>
    <w:rsid w:val="000E5DC9"/>
    <w:rsid w:val="000E6C45"/>
    <w:rsid w:val="000E6F91"/>
    <w:rsid w:val="000F0C32"/>
    <w:rsid w:val="000F19C2"/>
    <w:rsid w:val="000F26B3"/>
    <w:rsid w:val="000F288A"/>
    <w:rsid w:val="000F2E05"/>
    <w:rsid w:val="000F518B"/>
    <w:rsid w:val="000F5834"/>
    <w:rsid w:val="000F59A5"/>
    <w:rsid w:val="000F6433"/>
    <w:rsid w:val="000F7766"/>
    <w:rsid w:val="0010063C"/>
    <w:rsid w:val="00100A3A"/>
    <w:rsid w:val="00101C82"/>
    <w:rsid w:val="00101F53"/>
    <w:rsid w:val="0010306B"/>
    <w:rsid w:val="00106F16"/>
    <w:rsid w:val="001075DD"/>
    <w:rsid w:val="0011015F"/>
    <w:rsid w:val="00111C7C"/>
    <w:rsid w:val="001131B1"/>
    <w:rsid w:val="001147EE"/>
    <w:rsid w:val="001148E8"/>
    <w:rsid w:val="00114B71"/>
    <w:rsid w:val="001234B7"/>
    <w:rsid w:val="00123DC8"/>
    <w:rsid w:val="00126946"/>
    <w:rsid w:val="00131B0B"/>
    <w:rsid w:val="001348AE"/>
    <w:rsid w:val="00134B74"/>
    <w:rsid w:val="00135B76"/>
    <w:rsid w:val="00137895"/>
    <w:rsid w:val="00140714"/>
    <w:rsid w:val="001414F9"/>
    <w:rsid w:val="001430AF"/>
    <w:rsid w:val="0014509F"/>
    <w:rsid w:val="00145175"/>
    <w:rsid w:val="0014536F"/>
    <w:rsid w:val="00147670"/>
    <w:rsid w:val="001476AF"/>
    <w:rsid w:val="00147AF0"/>
    <w:rsid w:val="00147C1E"/>
    <w:rsid w:val="00150479"/>
    <w:rsid w:val="0015130D"/>
    <w:rsid w:val="001519AA"/>
    <w:rsid w:val="00151C6D"/>
    <w:rsid w:val="00154DAE"/>
    <w:rsid w:val="00154E4C"/>
    <w:rsid w:val="00155951"/>
    <w:rsid w:val="001566FC"/>
    <w:rsid w:val="00156F1E"/>
    <w:rsid w:val="00157036"/>
    <w:rsid w:val="0015712E"/>
    <w:rsid w:val="00157332"/>
    <w:rsid w:val="0015784E"/>
    <w:rsid w:val="001602C6"/>
    <w:rsid w:val="00163F24"/>
    <w:rsid w:val="00165032"/>
    <w:rsid w:val="00166891"/>
    <w:rsid w:val="00167043"/>
    <w:rsid w:val="00167DB4"/>
    <w:rsid w:val="0017113C"/>
    <w:rsid w:val="001751F0"/>
    <w:rsid w:val="00177583"/>
    <w:rsid w:val="00180EE3"/>
    <w:rsid w:val="0018133E"/>
    <w:rsid w:val="001821F7"/>
    <w:rsid w:val="001838AB"/>
    <w:rsid w:val="00183BAC"/>
    <w:rsid w:val="00183D5D"/>
    <w:rsid w:val="00184C7D"/>
    <w:rsid w:val="00184F00"/>
    <w:rsid w:val="00190474"/>
    <w:rsid w:val="00190E08"/>
    <w:rsid w:val="001917B8"/>
    <w:rsid w:val="00191F90"/>
    <w:rsid w:val="00192472"/>
    <w:rsid w:val="00193A9B"/>
    <w:rsid w:val="001941C2"/>
    <w:rsid w:val="001949CE"/>
    <w:rsid w:val="00195437"/>
    <w:rsid w:val="00195600"/>
    <w:rsid w:val="00195CA6"/>
    <w:rsid w:val="001A0AE9"/>
    <w:rsid w:val="001A1B05"/>
    <w:rsid w:val="001A1E1E"/>
    <w:rsid w:val="001A6216"/>
    <w:rsid w:val="001B0E11"/>
    <w:rsid w:val="001B1FE7"/>
    <w:rsid w:val="001B25DB"/>
    <w:rsid w:val="001B2A00"/>
    <w:rsid w:val="001B3276"/>
    <w:rsid w:val="001B33F1"/>
    <w:rsid w:val="001B34BA"/>
    <w:rsid w:val="001B3B51"/>
    <w:rsid w:val="001B3E57"/>
    <w:rsid w:val="001B5A4A"/>
    <w:rsid w:val="001B5F5B"/>
    <w:rsid w:val="001B7B14"/>
    <w:rsid w:val="001C100F"/>
    <w:rsid w:val="001C18AF"/>
    <w:rsid w:val="001C1C7D"/>
    <w:rsid w:val="001C5688"/>
    <w:rsid w:val="001C6CD4"/>
    <w:rsid w:val="001C76DA"/>
    <w:rsid w:val="001D0BB5"/>
    <w:rsid w:val="001D3C8E"/>
    <w:rsid w:val="001D5289"/>
    <w:rsid w:val="001D623E"/>
    <w:rsid w:val="001D6524"/>
    <w:rsid w:val="001D6C27"/>
    <w:rsid w:val="001E0BEE"/>
    <w:rsid w:val="001E0F26"/>
    <w:rsid w:val="001E10AD"/>
    <w:rsid w:val="001E14B5"/>
    <w:rsid w:val="001E264F"/>
    <w:rsid w:val="001E2D62"/>
    <w:rsid w:val="001E376F"/>
    <w:rsid w:val="001E57D7"/>
    <w:rsid w:val="001E5AA7"/>
    <w:rsid w:val="001E7405"/>
    <w:rsid w:val="001F2185"/>
    <w:rsid w:val="001F31CB"/>
    <w:rsid w:val="001F43C9"/>
    <w:rsid w:val="001F663C"/>
    <w:rsid w:val="001F67E7"/>
    <w:rsid w:val="001F7259"/>
    <w:rsid w:val="001F74CA"/>
    <w:rsid w:val="001F7C23"/>
    <w:rsid w:val="002000FB"/>
    <w:rsid w:val="00201172"/>
    <w:rsid w:val="002016CA"/>
    <w:rsid w:val="002035EB"/>
    <w:rsid w:val="00203E73"/>
    <w:rsid w:val="00204445"/>
    <w:rsid w:val="0020445A"/>
    <w:rsid w:val="00210CAC"/>
    <w:rsid w:val="002113CD"/>
    <w:rsid w:val="00214ECE"/>
    <w:rsid w:val="002153F0"/>
    <w:rsid w:val="00215485"/>
    <w:rsid w:val="002178DD"/>
    <w:rsid w:val="00217943"/>
    <w:rsid w:val="00222D37"/>
    <w:rsid w:val="00223028"/>
    <w:rsid w:val="00223CFA"/>
    <w:rsid w:val="00223FBF"/>
    <w:rsid w:val="002255A9"/>
    <w:rsid w:val="0022568C"/>
    <w:rsid w:val="00225A3F"/>
    <w:rsid w:val="00225A72"/>
    <w:rsid w:val="002306AC"/>
    <w:rsid w:val="002311F6"/>
    <w:rsid w:val="00234257"/>
    <w:rsid w:val="00234AB8"/>
    <w:rsid w:val="00234C79"/>
    <w:rsid w:val="00235E28"/>
    <w:rsid w:val="0023709A"/>
    <w:rsid w:val="002374B2"/>
    <w:rsid w:val="00241365"/>
    <w:rsid w:val="0024146A"/>
    <w:rsid w:val="00241A87"/>
    <w:rsid w:val="00243052"/>
    <w:rsid w:val="002440C1"/>
    <w:rsid w:val="00244935"/>
    <w:rsid w:val="00247815"/>
    <w:rsid w:val="00250EB0"/>
    <w:rsid w:val="00252DC0"/>
    <w:rsid w:val="00252FAA"/>
    <w:rsid w:val="0025352E"/>
    <w:rsid w:val="002544A8"/>
    <w:rsid w:val="00255944"/>
    <w:rsid w:val="002568B0"/>
    <w:rsid w:val="00256A2D"/>
    <w:rsid w:val="00260BBA"/>
    <w:rsid w:val="0026113E"/>
    <w:rsid w:val="00262D3C"/>
    <w:rsid w:val="00263153"/>
    <w:rsid w:val="002640F9"/>
    <w:rsid w:val="002646D4"/>
    <w:rsid w:val="00264EF3"/>
    <w:rsid w:val="002654B3"/>
    <w:rsid w:val="00265558"/>
    <w:rsid w:val="0026630A"/>
    <w:rsid w:val="00270EB8"/>
    <w:rsid w:val="00272C48"/>
    <w:rsid w:val="00273A2A"/>
    <w:rsid w:val="00274556"/>
    <w:rsid w:val="00274CBF"/>
    <w:rsid w:val="00277867"/>
    <w:rsid w:val="0028067F"/>
    <w:rsid w:val="002828F2"/>
    <w:rsid w:val="00285004"/>
    <w:rsid w:val="00285C8F"/>
    <w:rsid w:val="0028658B"/>
    <w:rsid w:val="002866E4"/>
    <w:rsid w:val="00286E23"/>
    <w:rsid w:val="00287D11"/>
    <w:rsid w:val="00287F64"/>
    <w:rsid w:val="0029027E"/>
    <w:rsid w:val="00290C56"/>
    <w:rsid w:val="00290F53"/>
    <w:rsid w:val="00291D98"/>
    <w:rsid w:val="00291DE3"/>
    <w:rsid w:val="0029680C"/>
    <w:rsid w:val="00296A02"/>
    <w:rsid w:val="00296C41"/>
    <w:rsid w:val="00297F62"/>
    <w:rsid w:val="002A04CF"/>
    <w:rsid w:val="002A1C6C"/>
    <w:rsid w:val="002A1D5D"/>
    <w:rsid w:val="002A1EA5"/>
    <w:rsid w:val="002A20BB"/>
    <w:rsid w:val="002A2E4B"/>
    <w:rsid w:val="002A2F78"/>
    <w:rsid w:val="002A4BAB"/>
    <w:rsid w:val="002A50FE"/>
    <w:rsid w:val="002A5496"/>
    <w:rsid w:val="002A645D"/>
    <w:rsid w:val="002B0BAD"/>
    <w:rsid w:val="002B1796"/>
    <w:rsid w:val="002B17B0"/>
    <w:rsid w:val="002B1C00"/>
    <w:rsid w:val="002B7441"/>
    <w:rsid w:val="002C094F"/>
    <w:rsid w:val="002C0EC1"/>
    <w:rsid w:val="002C50E0"/>
    <w:rsid w:val="002C7FCB"/>
    <w:rsid w:val="002D2175"/>
    <w:rsid w:val="002D37A6"/>
    <w:rsid w:val="002D38BE"/>
    <w:rsid w:val="002D417E"/>
    <w:rsid w:val="002D468B"/>
    <w:rsid w:val="002D512A"/>
    <w:rsid w:val="002D5E68"/>
    <w:rsid w:val="002D60A0"/>
    <w:rsid w:val="002E2768"/>
    <w:rsid w:val="002E6162"/>
    <w:rsid w:val="002E6D77"/>
    <w:rsid w:val="002E6E81"/>
    <w:rsid w:val="002E6F77"/>
    <w:rsid w:val="002E7F26"/>
    <w:rsid w:val="002F1AA5"/>
    <w:rsid w:val="002F1D5A"/>
    <w:rsid w:val="002F24C3"/>
    <w:rsid w:val="002F3B9E"/>
    <w:rsid w:val="002F5791"/>
    <w:rsid w:val="002F65B2"/>
    <w:rsid w:val="002F6D64"/>
    <w:rsid w:val="002F7D28"/>
    <w:rsid w:val="00300704"/>
    <w:rsid w:val="00300B4A"/>
    <w:rsid w:val="00301453"/>
    <w:rsid w:val="003014B0"/>
    <w:rsid w:val="003045F3"/>
    <w:rsid w:val="00304A6D"/>
    <w:rsid w:val="00304D0A"/>
    <w:rsid w:val="00304D74"/>
    <w:rsid w:val="00305957"/>
    <w:rsid w:val="00305F93"/>
    <w:rsid w:val="0031175F"/>
    <w:rsid w:val="00311A3C"/>
    <w:rsid w:val="00311AE1"/>
    <w:rsid w:val="00312B22"/>
    <w:rsid w:val="00313B9C"/>
    <w:rsid w:val="00313E22"/>
    <w:rsid w:val="003163D4"/>
    <w:rsid w:val="00317404"/>
    <w:rsid w:val="0031751C"/>
    <w:rsid w:val="003175C3"/>
    <w:rsid w:val="003179B5"/>
    <w:rsid w:val="00320D4C"/>
    <w:rsid w:val="00321467"/>
    <w:rsid w:val="003215AB"/>
    <w:rsid w:val="00322297"/>
    <w:rsid w:val="0032290D"/>
    <w:rsid w:val="00323C00"/>
    <w:rsid w:val="003246E5"/>
    <w:rsid w:val="00324798"/>
    <w:rsid w:val="00324941"/>
    <w:rsid w:val="00327FC1"/>
    <w:rsid w:val="003321C8"/>
    <w:rsid w:val="003339CD"/>
    <w:rsid w:val="00334B41"/>
    <w:rsid w:val="0033573D"/>
    <w:rsid w:val="00340876"/>
    <w:rsid w:val="00342048"/>
    <w:rsid w:val="0034281C"/>
    <w:rsid w:val="003429F4"/>
    <w:rsid w:val="00343E15"/>
    <w:rsid w:val="00345C2B"/>
    <w:rsid w:val="00346F34"/>
    <w:rsid w:val="00351F1D"/>
    <w:rsid w:val="003522B1"/>
    <w:rsid w:val="003523F4"/>
    <w:rsid w:val="003527A1"/>
    <w:rsid w:val="00353314"/>
    <w:rsid w:val="0035568F"/>
    <w:rsid w:val="003569D5"/>
    <w:rsid w:val="003579F2"/>
    <w:rsid w:val="00357B4F"/>
    <w:rsid w:val="0036032F"/>
    <w:rsid w:val="00360720"/>
    <w:rsid w:val="003617C3"/>
    <w:rsid w:val="00362E28"/>
    <w:rsid w:val="0036363B"/>
    <w:rsid w:val="00370507"/>
    <w:rsid w:val="00371450"/>
    <w:rsid w:val="00371BE0"/>
    <w:rsid w:val="00371CD3"/>
    <w:rsid w:val="00371D3E"/>
    <w:rsid w:val="00374480"/>
    <w:rsid w:val="00375699"/>
    <w:rsid w:val="00375BEB"/>
    <w:rsid w:val="0037605A"/>
    <w:rsid w:val="003766D1"/>
    <w:rsid w:val="003770CA"/>
    <w:rsid w:val="00380863"/>
    <w:rsid w:val="00380A55"/>
    <w:rsid w:val="00383482"/>
    <w:rsid w:val="00383E6D"/>
    <w:rsid w:val="00384462"/>
    <w:rsid w:val="0038469E"/>
    <w:rsid w:val="00385D16"/>
    <w:rsid w:val="003870F9"/>
    <w:rsid w:val="00392818"/>
    <w:rsid w:val="00392934"/>
    <w:rsid w:val="00392B6A"/>
    <w:rsid w:val="00392D50"/>
    <w:rsid w:val="00393465"/>
    <w:rsid w:val="00394ACE"/>
    <w:rsid w:val="00395673"/>
    <w:rsid w:val="003961A7"/>
    <w:rsid w:val="003A05E7"/>
    <w:rsid w:val="003A08BB"/>
    <w:rsid w:val="003A0C95"/>
    <w:rsid w:val="003A18C9"/>
    <w:rsid w:val="003A24AE"/>
    <w:rsid w:val="003A2ED0"/>
    <w:rsid w:val="003A3452"/>
    <w:rsid w:val="003A415C"/>
    <w:rsid w:val="003A4637"/>
    <w:rsid w:val="003A5DC7"/>
    <w:rsid w:val="003A73E6"/>
    <w:rsid w:val="003A767E"/>
    <w:rsid w:val="003A7735"/>
    <w:rsid w:val="003B3835"/>
    <w:rsid w:val="003B4307"/>
    <w:rsid w:val="003B457E"/>
    <w:rsid w:val="003B4E30"/>
    <w:rsid w:val="003C001D"/>
    <w:rsid w:val="003C158C"/>
    <w:rsid w:val="003C277D"/>
    <w:rsid w:val="003C2A4E"/>
    <w:rsid w:val="003C3A51"/>
    <w:rsid w:val="003C4F40"/>
    <w:rsid w:val="003C5613"/>
    <w:rsid w:val="003C5BE6"/>
    <w:rsid w:val="003C7155"/>
    <w:rsid w:val="003C799A"/>
    <w:rsid w:val="003C7F9D"/>
    <w:rsid w:val="003D2221"/>
    <w:rsid w:val="003D3A76"/>
    <w:rsid w:val="003D3CE8"/>
    <w:rsid w:val="003D465B"/>
    <w:rsid w:val="003D4FA2"/>
    <w:rsid w:val="003D5CB5"/>
    <w:rsid w:val="003D6045"/>
    <w:rsid w:val="003D6192"/>
    <w:rsid w:val="003D723D"/>
    <w:rsid w:val="003E0E5D"/>
    <w:rsid w:val="003E218F"/>
    <w:rsid w:val="003E2615"/>
    <w:rsid w:val="003E523E"/>
    <w:rsid w:val="003E68CC"/>
    <w:rsid w:val="003E6C5B"/>
    <w:rsid w:val="003F023C"/>
    <w:rsid w:val="003F0DCC"/>
    <w:rsid w:val="003F1803"/>
    <w:rsid w:val="003F1C08"/>
    <w:rsid w:val="003F2F83"/>
    <w:rsid w:val="003F32E2"/>
    <w:rsid w:val="003F5839"/>
    <w:rsid w:val="003F648A"/>
    <w:rsid w:val="003F6817"/>
    <w:rsid w:val="003F76C9"/>
    <w:rsid w:val="003F7A6F"/>
    <w:rsid w:val="004025D8"/>
    <w:rsid w:val="00402DDA"/>
    <w:rsid w:val="00404184"/>
    <w:rsid w:val="004047A6"/>
    <w:rsid w:val="00405860"/>
    <w:rsid w:val="00405A90"/>
    <w:rsid w:val="00406E00"/>
    <w:rsid w:val="00410A54"/>
    <w:rsid w:val="00410AE0"/>
    <w:rsid w:val="00410B4F"/>
    <w:rsid w:val="00410B72"/>
    <w:rsid w:val="0041113C"/>
    <w:rsid w:val="0041150F"/>
    <w:rsid w:val="00413260"/>
    <w:rsid w:val="004154A2"/>
    <w:rsid w:val="00415E54"/>
    <w:rsid w:val="004169B7"/>
    <w:rsid w:val="00416E51"/>
    <w:rsid w:val="0042018A"/>
    <w:rsid w:val="0042059E"/>
    <w:rsid w:val="00423E15"/>
    <w:rsid w:val="00424827"/>
    <w:rsid w:val="00427677"/>
    <w:rsid w:val="00430A70"/>
    <w:rsid w:val="0043113E"/>
    <w:rsid w:val="004319E8"/>
    <w:rsid w:val="00431B33"/>
    <w:rsid w:val="00432A80"/>
    <w:rsid w:val="00432DB0"/>
    <w:rsid w:val="00434289"/>
    <w:rsid w:val="00435F7E"/>
    <w:rsid w:val="00441D8E"/>
    <w:rsid w:val="004433CF"/>
    <w:rsid w:val="00444083"/>
    <w:rsid w:val="004446CE"/>
    <w:rsid w:val="00445830"/>
    <w:rsid w:val="00447827"/>
    <w:rsid w:val="004501BA"/>
    <w:rsid w:val="00453399"/>
    <w:rsid w:val="00454E81"/>
    <w:rsid w:val="00456FF8"/>
    <w:rsid w:val="00460A6D"/>
    <w:rsid w:val="004610D6"/>
    <w:rsid w:val="00461B49"/>
    <w:rsid w:val="00461E23"/>
    <w:rsid w:val="00462FF6"/>
    <w:rsid w:val="004632BC"/>
    <w:rsid w:val="0046348B"/>
    <w:rsid w:val="00463A26"/>
    <w:rsid w:val="00463E66"/>
    <w:rsid w:val="004648B0"/>
    <w:rsid w:val="00464A32"/>
    <w:rsid w:val="0046687C"/>
    <w:rsid w:val="00467776"/>
    <w:rsid w:val="00467B5B"/>
    <w:rsid w:val="004732E6"/>
    <w:rsid w:val="004740DC"/>
    <w:rsid w:val="004757BE"/>
    <w:rsid w:val="00475843"/>
    <w:rsid w:val="0047775F"/>
    <w:rsid w:val="004779F0"/>
    <w:rsid w:val="00477BAE"/>
    <w:rsid w:val="00477BF9"/>
    <w:rsid w:val="00477F79"/>
    <w:rsid w:val="00480FE8"/>
    <w:rsid w:val="00482507"/>
    <w:rsid w:val="00483776"/>
    <w:rsid w:val="00484593"/>
    <w:rsid w:val="0048618E"/>
    <w:rsid w:val="00487075"/>
    <w:rsid w:val="0048746A"/>
    <w:rsid w:val="00487A29"/>
    <w:rsid w:val="00490B57"/>
    <w:rsid w:val="00491EE5"/>
    <w:rsid w:val="00492123"/>
    <w:rsid w:val="00494E5C"/>
    <w:rsid w:val="004A0845"/>
    <w:rsid w:val="004A0A35"/>
    <w:rsid w:val="004A225F"/>
    <w:rsid w:val="004A7493"/>
    <w:rsid w:val="004A7F01"/>
    <w:rsid w:val="004B10D1"/>
    <w:rsid w:val="004B1B93"/>
    <w:rsid w:val="004B55BC"/>
    <w:rsid w:val="004B57DF"/>
    <w:rsid w:val="004B5F99"/>
    <w:rsid w:val="004B70E3"/>
    <w:rsid w:val="004B7264"/>
    <w:rsid w:val="004C0299"/>
    <w:rsid w:val="004C3540"/>
    <w:rsid w:val="004C411E"/>
    <w:rsid w:val="004C4FB9"/>
    <w:rsid w:val="004C6FE2"/>
    <w:rsid w:val="004D1C61"/>
    <w:rsid w:val="004D1D4E"/>
    <w:rsid w:val="004D2B1A"/>
    <w:rsid w:val="004D2DFB"/>
    <w:rsid w:val="004D2F28"/>
    <w:rsid w:val="004D3A0C"/>
    <w:rsid w:val="004D4025"/>
    <w:rsid w:val="004D40FA"/>
    <w:rsid w:val="004D6D1A"/>
    <w:rsid w:val="004E392B"/>
    <w:rsid w:val="004E4903"/>
    <w:rsid w:val="004E6D69"/>
    <w:rsid w:val="004E7CBC"/>
    <w:rsid w:val="004F14D2"/>
    <w:rsid w:val="004F199D"/>
    <w:rsid w:val="004F20A2"/>
    <w:rsid w:val="004F21AF"/>
    <w:rsid w:val="004F31C3"/>
    <w:rsid w:val="004F363F"/>
    <w:rsid w:val="004F3D85"/>
    <w:rsid w:val="004F3D95"/>
    <w:rsid w:val="004F3DEF"/>
    <w:rsid w:val="004F542D"/>
    <w:rsid w:val="004F551B"/>
    <w:rsid w:val="00503AD4"/>
    <w:rsid w:val="00503B14"/>
    <w:rsid w:val="005048D8"/>
    <w:rsid w:val="00505114"/>
    <w:rsid w:val="00505349"/>
    <w:rsid w:val="0050657D"/>
    <w:rsid w:val="005073DB"/>
    <w:rsid w:val="00512284"/>
    <w:rsid w:val="00514830"/>
    <w:rsid w:val="005149C5"/>
    <w:rsid w:val="00514D0C"/>
    <w:rsid w:val="00516DE2"/>
    <w:rsid w:val="00517F2E"/>
    <w:rsid w:val="005206BE"/>
    <w:rsid w:val="00520828"/>
    <w:rsid w:val="005228FC"/>
    <w:rsid w:val="00522B0E"/>
    <w:rsid w:val="00522E8C"/>
    <w:rsid w:val="00523F24"/>
    <w:rsid w:val="00524951"/>
    <w:rsid w:val="00525D89"/>
    <w:rsid w:val="00532242"/>
    <w:rsid w:val="005322B8"/>
    <w:rsid w:val="005329BA"/>
    <w:rsid w:val="00533593"/>
    <w:rsid w:val="00534F03"/>
    <w:rsid w:val="00541269"/>
    <w:rsid w:val="00545080"/>
    <w:rsid w:val="00546F33"/>
    <w:rsid w:val="00547B4B"/>
    <w:rsid w:val="0055223C"/>
    <w:rsid w:val="00552823"/>
    <w:rsid w:val="00552EC0"/>
    <w:rsid w:val="0055530D"/>
    <w:rsid w:val="00555C63"/>
    <w:rsid w:val="00555FD8"/>
    <w:rsid w:val="00556F29"/>
    <w:rsid w:val="0055720A"/>
    <w:rsid w:val="0056004E"/>
    <w:rsid w:val="005606C3"/>
    <w:rsid w:val="00560E83"/>
    <w:rsid w:val="00561576"/>
    <w:rsid w:val="00561FF4"/>
    <w:rsid w:val="00562DD7"/>
    <w:rsid w:val="00565235"/>
    <w:rsid w:val="00565330"/>
    <w:rsid w:val="00566FA8"/>
    <w:rsid w:val="0056781F"/>
    <w:rsid w:val="005724ED"/>
    <w:rsid w:val="00574806"/>
    <w:rsid w:val="00574D0F"/>
    <w:rsid w:val="00574F72"/>
    <w:rsid w:val="00575890"/>
    <w:rsid w:val="0058056D"/>
    <w:rsid w:val="005814BF"/>
    <w:rsid w:val="005823B4"/>
    <w:rsid w:val="00583DF3"/>
    <w:rsid w:val="005848D4"/>
    <w:rsid w:val="0058536B"/>
    <w:rsid w:val="00585F5E"/>
    <w:rsid w:val="0058601F"/>
    <w:rsid w:val="005863AB"/>
    <w:rsid w:val="00586903"/>
    <w:rsid w:val="0058694E"/>
    <w:rsid w:val="005879CC"/>
    <w:rsid w:val="005911C7"/>
    <w:rsid w:val="00591FB3"/>
    <w:rsid w:val="005931D3"/>
    <w:rsid w:val="00593C56"/>
    <w:rsid w:val="0059458F"/>
    <w:rsid w:val="00595BDC"/>
    <w:rsid w:val="005964C5"/>
    <w:rsid w:val="005968FF"/>
    <w:rsid w:val="005A0564"/>
    <w:rsid w:val="005A26CA"/>
    <w:rsid w:val="005A2A88"/>
    <w:rsid w:val="005A5247"/>
    <w:rsid w:val="005A5965"/>
    <w:rsid w:val="005A78C2"/>
    <w:rsid w:val="005A7EC1"/>
    <w:rsid w:val="005B1CCD"/>
    <w:rsid w:val="005B23D3"/>
    <w:rsid w:val="005B29AD"/>
    <w:rsid w:val="005B366C"/>
    <w:rsid w:val="005B3D4F"/>
    <w:rsid w:val="005B4DF1"/>
    <w:rsid w:val="005B7C8D"/>
    <w:rsid w:val="005C31F6"/>
    <w:rsid w:val="005C3D1B"/>
    <w:rsid w:val="005C3F7C"/>
    <w:rsid w:val="005C553E"/>
    <w:rsid w:val="005D04B7"/>
    <w:rsid w:val="005D1C0A"/>
    <w:rsid w:val="005D424D"/>
    <w:rsid w:val="005D6380"/>
    <w:rsid w:val="005D7F6C"/>
    <w:rsid w:val="005E49DF"/>
    <w:rsid w:val="005E53AA"/>
    <w:rsid w:val="005E641D"/>
    <w:rsid w:val="005E6D38"/>
    <w:rsid w:val="005F076C"/>
    <w:rsid w:val="005F2E29"/>
    <w:rsid w:val="005F321D"/>
    <w:rsid w:val="005F52D3"/>
    <w:rsid w:val="005F637B"/>
    <w:rsid w:val="005F7D21"/>
    <w:rsid w:val="00600280"/>
    <w:rsid w:val="0060097B"/>
    <w:rsid w:val="0060274B"/>
    <w:rsid w:val="00603510"/>
    <w:rsid w:val="0060636C"/>
    <w:rsid w:val="006072E1"/>
    <w:rsid w:val="00607E68"/>
    <w:rsid w:val="00612211"/>
    <w:rsid w:val="0061249A"/>
    <w:rsid w:val="00614D6B"/>
    <w:rsid w:val="00615F91"/>
    <w:rsid w:val="006168D6"/>
    <w:rsid w:val="006170B9"/>
    <w:rsid w:val="00617F39"/>
    <w:rsid w:val="006214EB"/>
    <w:rsid w:val="00621CCB"/>
    <w:rsid w:val="006232D7"/>
    <w:rsid w:val="006235D3"/>
    <w:rsid w:val="00626446"/>
    <w:rsid w:val="00630F36"/>
    <w:rsid w:val="00631F1C"/>
    <w:rsid w:val="00632099"/>
    <w:rsid w:val="006335F1"/>
    <w:rsid w:val="00633A12"/>
    <w:rsid w:val="00634D38"/>
    <w:rsid w:val="00635346"/>
    <w:rsid w:val="0063545D"/>
    <w:rsid w:val="00636C33"/>
    <w:rsid w:val="006373CC"/>
    <w:rsid w:val="00637974"/>
    <w:rsid w:val="00637BD7"/>
    <w:rsid w:val="006417F0"/>
    <w:rsid w:val="00642842"/>
    <w:rsid w:val="0064373B"/>
    <w:rsid w:val="00643833"/>
    <w:rsid w:val="00646847"/>
    <w:rsid w:val="00647A36"/>
    <w:rsid w:val="00647B58"/>
    <w:rsid w:val="00647C56"/>
    <w:rsid w:val="00650B0A"/>
    <w:rsid w:val="00651463"/>
    <w:rsid w:val="00651F03"/>
    <w:rsid w:val="00652905"/>
    <w:rsid w:val="00654197"/>
    <w:rsid w:val="0065464A"/>
    <w:rsid w:val="00654EE5"/>
    <w:rsid w:val="0065591C"/>
    <w:rsid w:val="00655D44"/>
    <w:rsid w:val="00655EC0"/>
    <w:rsid w:val="00662458"/>
    <w:rsid w:val="00663661"/>
    <w:rsid w:val="00663827"/>
    <w:rsid w:val="00665060"/>
    <w:rsid w:val="006658AB"/>
    <w:rsid w:val="00667210"/>
    <w:rsid w:val="0067360E"/>
    <w:rsid w:val="00673E10"/>
    <w:rsid w:val="006762D5"/>
    <w:rsid w:val="00677ACF"/>
    <w:rsid w:val="00677E76"/>
    <w:rsid w:val="00681340"/>
    <w:rsid w:val="006822DA"/>
    <w:rsid w:val="00682992"/>
    <w:rsid w:val="0068537B"/>
    <w:rsid w:val="00685657"/>
    <w:rsid w:val="00686EF4"/>
    <w:rsid w:val="00691486"/>
    <w:rsid w:val="00691ABD"/>
    <w:rsid w:val="00691FD0"/>
    <w:rsid w:val="00692067"/>
    <w:rsid w:val="00694D8A"/>
    <w:rsid w:val="00696232"/>
    <w:rsid w:val="0069770B"/>
    <w:rsid w:val="00697C16"/>
    <w:rsid w:val="006A02AB"/>
    <w:rsid w:val="006A28C6"/>
    <w:rsid w:val="006A3F10"/>
    <w:rsid w:val="006A3FC6"/>
    <w:rsid w:val="006A5C25"/>
    <w:rsid w:val="006A6F2C"/>
    <w:rsid w:val="006A6FEF"/>
    <w:rsid w:val="006B0F9D"/>
    <w:rsid w:val="006B123A"/>
    <w:rsid w:val="006B21C4"/>
    <w:rsid w:val="006B2650"/>
    <w:rsid w:val="006B2A92"/>
    <w:rsid w:val="006B2EF5"/>
    <w:rsid w:val="006B3F17"/>
    <w:rsid w:val="006B4C55"/>
    <w:rsid w:val="006B62B8"/>
    <w:rsid w:val="006C1E2C"/>
    <w:rsid w:val="006C20E0"/>
    <w:rsid w:val="006C20E7"/>
    <w:rsid w:val="006C2EAC"/>
    <w:rsid w:val="006C3E1F"/>
    <w:rsid w:val="006D0454"/>
    <w:rsid w:val="006D08ED"/>
    <w:rsid w:val="006D091D"/>
    <w:rsid w:val="006D11C3"/>
    <w:rsid w:val="006D1619"/>
    <w:rsid w:val="006D23BC"/>
    <w:rsid w:val="006D3C07"/>
    <w:rsid w:val="006D474F"/>
    <w:rsid w:val="006D5332"/>
    <w:rsid w:val="006D56D6"/>
    <w:rsid w:val="006D5BB0"/>
    <w:rsid w:val="006D61A5"/>
    <w:rsid w:val="006D6D40"/>
    <w:rsid w:val="006D74AA"/>
    <w:rsid w:val="006D7A26"/>
    <w:rsid w:val="006D7BAF"/>
    <w:rsid w:val="006E0230"/>
    <w:rsid w:val="006E0351"/>
    <w:rsid w:val="006E1B47"/>
    <w:rsid w:val="006E29D2"/>
    <w:rsid w:val="006E2AD9"/>
    <w:rsid w:val="006E3359"/>
    <w:rsid w:val="006E368F"/>
    <w:rsid w:val="006E4780"/>
    <w:rsid w:val="006E48C7"/>
    <w:rsid w:val="006E5AE9"/>
    <w:rsid w:val="006E5EDA"/>
    <w:rsid w:val="006E6070"/>
    <w:rsid w:val="006E70BF"/>
    <w:rsid w:val="006F088D"/>
    <w:rsid w:val="006F0A89"/>
    <w:rsid w:val="006F101C"/>
    <w:rsid w:val="006F3077"/>
    <w:rsid w:val="00700599"/>
    <w:rsid w:val="00700EC3"/>
    <w:rsid w:val="007035F2"/>
    <w:rsid w:val="007054BB"/>
    <w:rsid w:val="00707C25"/>
    <w:rsid w:val="00710B25"/>
    <w:rsid w:val="00711DBC"/>
    <w:rsid w:val="00711E6F"/>
    <w:rsid w:val="007128EB"/>
    <w:rsid w:val="00713558"/>
    <w:rsid w:val="00714C22"/>
    <w:rsid w:val="00714EB2"/>
    <w:rsid w:val="007168B8"/>
    <w:rsid w:val="00717031"/>
    <w:rsid w:val="00717BD0"/>
    <w:rsid w:val="00722387"/>
    <w:rsid w:val="007226B2"/>
    <w:rsid w:val="0072561A"/>
    <w:rsid w:val="00726C29"/>
    <w:rsid w:val="00730695"/>
    <w:rsid w:val="0073086C"/>
    <w:rsid w:val="0073391D"/>
    <w:rsid w:val="0073485F"/>
    <w:rsid w:val="00734863"/>
    <w:rsid w:val="00736720"/>
    <w:rsid w:val="00740204"/>
    <w:rsid w:val="00741186"/>
    <w:rsid w:val="00742176"/>
    <w:rsid w:val="00743EE6"/>
    <w:rsid w:val="00744118"/>
    <w:rsid w:val="00744235"/>
    <w:rsid w:val="00746CDC"/>
    <w:rsid w:val="00747489"/>
    <w:rsid w:val="00750375"/>
    <w:rsid w:val="00752BC2"/>
    <w:rsid w:val="00754A32"/>
    <w:rsid w:val="00755BD8"/>
    <w:rsid w:val="007574D5"/>
    <w:rsid w:val="00761969"/>
    <w:rsid w:val="0076228B"/>
    <w:rsid w:val="00764179"/>
    <w:rsid w:val="00764BF6"/>
    <w:rsid w:val="00764F75"/>
    <w:rsid w:val="007650A0"/>
    <w:rsid w:val="0076545F"/>
    <w:rsid w:val="00766401"/>
    <w:rsid w:val="007703FD"/>
    <w:rsid w:val="00770806"/>
    <w:rsid w:val="00771092"/>
    <w:rsid w:val="007712AE"/>
    <w:rsid w:val="007739E1"/>
    <w:rsid w:val="007740CD"/>
    <w:rsid w:val="00774209"/>
    <w:rsid w:val="00774CE1"/>
    <w:rsid w:val="00775332"/>
    <w:rsid w:val="00775D33"/>
    <w:rsid w:val="00775F69"/>
    <w:rsid w:val="007808EA"/>
    <w:rsid w:val="00780BFC"/>
    <w:rsid w:val="00781819"/>
    <w:rsid w:val="00782646"/>
    <w:rsid w:val="00784CA3"/>
    <w:rsid w:val="007850FE"/>
    <w:rsid w:val="00785505"/>
    <w:rsid w:val="00785728"/>
    <w:rsid w:val="007871B9"/>
    <w:rsid w:val="00787CAD"/>
    <w:rsid w:val="00787CC5"/>
    <w:rsid w:val="00791409"/>
    <w:rsid w:val="0079236F"/>
    <w:rsid w:val="0079353A"/>
    <w:rsid w:val="00793EEC"/>
    <w:rsid w:val="00794DEA"/>
    <w:rsid w:val="007957D9"/>
    <w:rsid w:val="00795BBD"/>
    <w:rsid w:val="007A035C"/>
    <w:rsid w:val="007A03DA"/>
    <w:rsid w:val="007A126A"/>
    <w:rsid w:val="007A29E9"/>
    <w:rsid w:val="007A31D9"/>
    <w:rsid w:val="007A3BA0"/>
    <w:rsid w:val="007A42CB"/>
    <w:rsid w:val="007A4653"/>
    <w:rsid w:val="007A7952"/>
    <w:rsid w:val="007B099C"/>
    <w:rsid w:val="007B0D82"/>
    <w:rsid w:val="007B2666"/>
    <w:rsid w:val="007B2B6C"/>
    <w:rsid w:val="007B4CAF"/>
    <w:rsid w:val="007B553C"/>
    <w:rsid w:val="007B64D3"/>
    <w:rsid w:val="007C0BA9"/>
    <w:rsid w:val="007C3E5E"/>
    <w:rsid w:val="007C58C4"/>
    <w:rsid w:val="007C644F"/>
    <w:rsid w:val="007C743D"/>
    <w:rsid w:val="007C76A4"/>
    <w:rsid w:val="007D21FD"/>
    <w:rsid w:val="007D4D20"/>
    <w:rsid w:val="007D504F"/>
    <w:rsid w:val="007D5621"/>
    <w:rsid w:val="007D597D"/>
    <w:rsid w:val="007D6BCC"/>
    <w:rsid w:val="007E05ED"/>
    <w:rsid w:val="007E183E"/>
    <w:rsid w:val="007E19FF"/>
    <w:rsid w:val="007E2DED"/>
    <w:rsid w:val="007E5AB2"/>
    <w:rsid w:val="007E61DD"/>
    <w:rsid w:val="007E6BDE"/>
    <w:rsid w:val="007E7007"/>
    <w:rsid w:val="007E7714"/>
    <w:rsid w:val="007E7FEE"/>
    <w:rsid w:val="007F2922"/>
    <w:rsid w:val="007F3993"/>
    <w:rsid w:val="007F420B"/>
    <w:rsid w:val="007F4303"/>
    <w:rsid w:val="007F4907"/>
    <w:rsid w:val="007F4FB2"/>
    <w:rsid w:val="007F59E2"/>
    <w:rsid w:val="00803322"/>
    <w:rsid w:val="00803FB1"/>
    <w:rsid w:val="00804C3A"/>
    <w:rsid w:val="0080693B"/>
    <w:rsid w:val="00811882"/>
    <w:rsid w:val="00811B2A"/>
    <w:rsid w:val="00811C77"/>
    <w:rsid w:val="008122DE"/>
    <w:rsid w:val="00813937"/>
    <w:rsid w:val="00814E41"/>
    <w:rsid w:val="0081518D"/>
    <w:rsid w:val="00817269"/>
    <w:rsid w:val="0082219A"/>
    <w:rsid w:val="008233A3"/>
    <w:rsid w:val="00823BC0"/>
    <w:rsid w:val="008241EA"/>
    <w:rsid w:val="00824FA8"/>
    <w:rsid w:val="00825080"/>
    <w:rsid w:val="008252A6"/>
    <w:rsid w:val="00830D3A"/>
    <w:rsid w:val="00830F31"/>
    <w:rsid w:val="00831B2E"/>
    <w:rsid w:val="00831D91"/>
    <w:rsid w:val="00833E72"/>
    <w:rsid w:val="008355FD"/>
    <w:rsid w:val="00835999"/>
    <w:rsid w:val="0083719C"/>
    <w:rsid w:val="008371A2"/>
    <w:rsid w:val="008376E4"/>
    <w:rsid w:val="008434AF"/>
    <w:rsid w:val="0084354B"/>
    <w:rsid w:val="0084366F"/>
    <w:rsid w:val="00845AE7"/>
    <w:rsid w:val="0084732B"/>
    <w:rsid w:val="0085068A"/>
    <w:rsid w:val="00850C64"/>
    <w:rsid w:val="0085257D"/>
    <w:rsid w:val="00854483"/>
    <w:rsid w:val="00855A3F"/>
    <w:rsid w:val="0085652F"/>
    <w:rsid w:val="008566B9"/>
    <w:rsid w:val="00856D67"/>
    <w:rsid w:val="0085742A"/>
    <w:rsid w:val="00857EE3"/>
    <w:rsid w:val="00861F88"/>
    <w:rsid w:val="0086252C"/>
    <w:rsid w:val="00862A22"/>
    <w:rsid w:val="008632F0"/>
    <w:rsid w:val="00866169"/>
    <w:rsid w:val="0087082C"/>
    <w:rsid w:val="008733BF"/>
    <w:rsid w:val="008739FA"/>
    <w:rsid w:val="008755F9"/>
    <w:rsid w:val="00875C87"/>
    <w:rsid w:val="00875CEA"/>
    <w:rsid w:val="008770CE"/>
    <w:rsid w:val="008779E6"/>
    <w:rsid w:val="008837AD"/>
    <w:rsid w:val="0088414C"/>
    <w:rsid w:val="00884F1F"/>
    <w:rsid w:val="008851AA"/>
    <w:rsid w:val="008853E2"/>
    <w:rsid w:val="00885AC7"/>
    <w:rsid w:val="008872A6"/>
    <w:rsid w:val="00890C41"/>
    <w:rsid w:val="00891EDB"/>
    <w:rsid w:val="00892D4A"/>
    <w:rsid w:val="0089318C"/>
    <w:rsid w:val="008939F2"/>
    <w:rsid w:val="00894695"/>
    <w:rsid w:val="008957D4"/>
    <w:rsid w:val="00896A06"/>
    <w:rsid w:val="008A0127"/>
    <w:rsid w:val="008A02A8"/>
    <w:rsid w:val="008A060F"/>
    <w:rsid w:val="008A0695"/>
    <w:rsid w:val="008A0764"/>
    <w:rsid w:val="008A11BF"/>
    <w:rsid w:val="008A14F6"/>
    <w:rsid w:val="008A15AE"/>
    <w:rsid w:val="008A18EC"/>
    <w:rsid w:val="008A1BB1"/>
    <w:rsid w:val="008A2051"/>
    <w:rsid w:val="008A24DB"/>
    <w:rsid w:val="008A3908"/>
    <w:rsid w:val="008A651E"/>
    <w:rsid w:val="008A6CA9"/>
    <w:rsid w:val="008A70CF"/>
    <w:rsid w:val="008B01AF"/>
    <w:rsid w:val="008B27A3"/>
    <w:rsid w:val="008B2A08"/>
    <w:rsid w:val="008B2ADC"/>
    <w:rsid w:val="008B356A"/>
    <w:rsid w:val="008B3907"/>
    <w:rsid w:val="008B5092"/>
    <w:rsid w:val="008B5712"/>
    <w:rsid w:val="008B713D"/>
    <w:rsid w:val="008B7F25"/>
    <w:rsid w:val="008C15C8"/>
    <w:rsid w:val="008C296E"/>
    <w:rsid w:val="008C475E"/>
    <w:rsid w:val="008C4C1C"/>
    <w:rsid w:val="008D43EE"/>
    <w:rsid w:val="008D684D"/>
    <w:rsid w:val="008E36FD"/>
    <w:rsid w:val="008E4CB3"/>
    <w:rsid w:val="008E5110"/>
    <w:rsid w:val="008E5A19"/>
    <w:rsid w:val="008E5A97"/>
    <w:rsid w:val="008E5F6B"/>
    <w:rsid w:val="008E6C6E"/>
    <w:rsid w:val="008E74D7"/>
    <w:rsid w:val="008F0BD9"/>
    <w:rsid w:val="008F0F8E"/>
    <w:rsid w:val="008F1544"/>
    <w:rsid w:val="008F239B"/>
    <w:rsid w:val="008F28CB"/>
    <w:rsid w:val="008F2C53"/>
    <w:rsid w:val="008F5172"/>
    <w:rsid w:val="008F65AB"/>
    <w:rsid w:val="009001FA"/>
    <w:rsid w:val="00903176"/>
    <w:rsid w:val="0090631B"/>
    <w:rsid w:val="00911AC4"/>
    <w:rsid w:val="00912F2C"/>
    <w:rsid w:val="00913234"/>
    <w:rsid w:val="00913B3D"/>
    <w:rsid w:val="00916EF8"/>
    <w:rsid w:val="00917BAA"/>
    <w:rsid w:val="009219F8"/>
    <w:rsid w:val="00921EA6"/>
    <w:rsid w:val="00923C9F"/>
    <w:rsid w:val="0092499D"/>
    <w:rsid w:val="00925009"/>
    <w:rsid w:val="00925D11"/>
    <w:rsid w:val="009306D8"/>
    <w:rsid w:val="00930B7F"/>
    <w:rsid w:val="00931458"/>
    <w:rsid w:val="009319B8"/>
    <w:rsid w:val="00931F6E"/>
    <w:rsid w:val="0093447A"/>
    <w:rsid w:val="00934756"/>
    <w:rsid w:val="00936361"/>
    <w:rsid w:val="0094045A"/>
    <w:rsid w:val="00942292"/>
    <w:rsid w:val="009428AB"/>
    <w:rsid w:val="009440AB"/>
    <w:rsid w:val="00944C17"/>
    <w:rsid w:val="009451B3"/>
    <w:rsid w:val="00945D98"/>
    <w:rsid w:val="00947366"/>
    <w:rsid w:val="009473AD"/>
    <w:rsid w:val="00950A20"/>
    <w:rsid w:val="0095223A"/>
    <w:rsid w:val="0095375F"/>
    <w:rsid w:val="00955328"/>
    <w:rsid w:val="00955F29"/>
    <w:rsid w:val="009561FC"/>
    <w:rsid w:val="0096205A"/>
    <w:rsid w:val="009627F2"/>
    <w:rsid w:val="00962FAA"/>
    <w:rsid w:val="00964306"/>
    <w:rsid w:val="0096490E"/>
    <w:rsid w:val="00964A3B"/>
    <w:rsid w:val="009707D1"/>
    <w:rsid w:val="00971A27"/>
    <w:rsid w:val="0097258C"/>
    <w:rsid w:val="00974121"/>
    <w:rsid w:val="009744E2"/>
    <w:rsid w:val="009749D9"/>
    <w:rsid w:val="009761CE"/>
    <w:rsid w:val="009775E5"/>
    <w:rsid w:val="009803D0"/>
    <w:rsid w:val="00981B53"/>
    <w:rsid w:val="00982FA9"/>
    <w:rsid w:val="0098420A"/>
    <w:rsid w:val="0098618E"/>
    <w:rsid w:val="00987A8A"/>
    <w:rsid w:val="00990B18"/>
    <w:rsid w:val="00991AF0"/>
    <w:rsid w:val="0099403A"/>
    <w:rsid w:val="00994836"/>
    <w:rsid w:val="00994906"/>
    <w:rsid w:val="009953AA"/>
    <w:rsid w:val="00995493"/>
    <w:rsid w:val="00995859"/>
    <w:rsid w:val="009973C3"/>
    <w:rsid w:val="00997437"/>
    <w:rsid w:val="00997F3B"/>
    <w:rsid w:val="009A0D20"/>
    <w:rsid w:val="009A103E"/>
    <w:rsid w:val="009A3112"/>
    <w:rsid w:val="009A3D3D"/>
    <w:rsid w:val="009A52F5"/>
    <w:rsid w:val="009A600E"/>
    <w:rsid w:val="009A625A"/>
    <w:rsid w:val="009B31DB"/>
    <w:rsid w:val="009B4333"/>
    <w:rsid w:val="009B71AA"/>
    <w:rsid w:val="009C0149"/>
    <w:rsid w:val="009C2971"/>
    <w:rsid w:val="009C2EE2"/>
    <w:rsid w:val="009C33C1"/>
    <w:rsid w:val="009C3452"/>
    <w:rsid w:val="009C4561"/>
    <w:rsid w:val="009C469F"/>
    <w:rsid w:val="009C645A"/>
    <w:rsid w:val="009C75E1"/>
    <w:rsid w:val="009C7E11"/>
    <w:rsid w:val="009D25C6"/>
    <w:rsid w:val="009D2816"/>
    <w:rsid w:val="009D2D87"/>
    <w:rsid w:val="009D4657"/>
    <w:rsid w:val="009D5EAB"/>
    <w:rsid w:val="009D6FCA"/>
    <w:rsid w:val="009D7003"/>
    <w:rsid w:val="009D778F"/>
    <w:rsid w:val="009E45E5"/>
    <w:rsid w:val="009E5B2D"/>
    <w:rsid w:val="009E71B3"/>
    <w:rsid w:val="009F0947"/>
    <w:rsid w:val="009F19B4"/>
    <w:rsid w:val="009F1E33"/>
    <w:rsid w:val="009F1E99"/>
    <w:rsid w:val="009F2565"/>
    <w:rsid w:val="009F29FB"/>
    <w:rsid w:val="009F2E29"/>
    <w:rsid w:val="009F3730"/>
    <w:rsid w:val="009F382D"/>
    <w:rsid w:val="009F41EB"/>
    <w:rsid w:val="009F640D"/>
    <w:rsid w:val="00A0073A"/>
    <w:rsid w:val="00A01970"/>
    <w:rsid w:val="00A01FA1"/>
    <w:rsid w:val="00A02529"/>
    <w:rsid w:val="00A02CB7"/>
    <w:rsid w:val="00A03CAA"/>
    <w:rsid w:val="00A04EA5"/>
    <w:rsid w:val="00A063E1"/>
    <w:rsid w:val="00A06C17"/>
    <w:rsid w:val="00A07BC3"/>
    <w:rsid w:val="00A12112"/>
    <w:rsid w:val="00A12A57"/>
    <w:rsid w:val="00A13B44"/>
    <w:rsid w:val="00A143FA"/>
    <w:rsid w:val="00A148B6"/>
    <w:rsid w:val="00A151B0"/>
    <w:rsid w:val="00A16FDB"/>
    <w:rsid w:val="00A20E59"/>
    <w:rsid w:val="00A21D3A"/>
    <w:rsid w:val="00A22C72"/>
    <w:rsid w:val="00A22E0B"/>
    <w:rsid w:val="00A23686"/>
    <w:rsid w:val="00A2580E"/>
    <w:rsid w:val="00A26DCA"/>
    <w:rsid w:val="00A31CB3"/>
    <w:rsid w:val="00A32919"/>
    <w:rsid w:val="00A33ABE"/>
    <w:rsid w:val="00A33E05"/>
    <w:rsid w:val="00A34633"/>
    <w:rsid w:val="00A36760"/>
    <w:rsid w:val="00A36D28"/>
    <w:rsid w:val="00A37756"/>
    <w:rsid w:val="00A3798E"/>
    <w:rsid w:val="00A4129B"/>
    <w:rsid w:val="00A41400"/>
    <w:rsid w:val="00A41FD3"/>
    <w:rsid w:val="00A42291"/>
    <w:rsid w:val="00A446BE"/>
    <w:rsid w:val="00A44C6D"/>
    <w:rsid w:val="00A44F8B"/>
    <w:rsid w:val="00A45F07"/>
    <w:rsid w:val="00A477D3"/>
    <w:rsid w:val="00A479A4"/>
    <w:rsid w:val="00A5105B"/>
    <w:rsid w:val="00A53AEA"/>
    <w:rsid w:val="00A54C90"/>
    <w:rsid w:val="00A54E96"/>
    <w:rsid w:val="00A55FE8"/>
    <w:rsid w:val="00A565A5"/>
    <w:rsid w:val="00A5681F"/>
    <w:rsid w:val="00A600C3"/>
    <w:rsid w:val="00A60746"/>
    <w:rsid w:val="00A62A1B"/>
    <w:rsid w:val="00A62ABA"/>
    <w:rsid w:val="00A6369E"/>
    <w:rsid w:val="00A64297"/>
    <w:rsid w:val="00A67DA4"/>
    <w:rsid w:val="00A70E48"/>
    <w:rsid w:val="00A71CE3"/>
    <w:rsid w:val="00A72F77"/>
    <w:rsid w:val="00A7325F"/>
    <w:rsid w:val="00A74B25"/>
    <w:rsid w:val="00A75383"/>
    <w:rsid w:val="00A764E0"/>
    <w:rsid w:val="00A7726F"/>
    <w:rsid w:val="00A77549"/>
    <w:rsid w:val="00A81072"/>
    <w:rsid w:val="00A844B9"/>
    <w:rsid w:val="00A846A8"/>
    <w:rsid w:val="00A851E0"/>
    <w:rsid w:val="00A85A0C"/>
    <w:rsid w:val="00A85BF1"/>
    <w:rsid w:val="00A861E0"/>
    <w:rsid w:val="00A87E57"/>
    <w:rsid w:val="00A87EC4"/>
    <w:rsid w:val="00A903D2"/>
    <w:rsid w:val="00A90958"/>
    <w:rsid w:val="00A910E3"/>
    <w:rsid w:val="00A91443"/>
    <w:rsid w:val="00A917A3"/>
    <w:rsid w:val="00A91AF2"/>
    <w:rsid w:val="00A92F35"/>
    <w:rsid w:val="00A92F8E"/>
    <w:rsid w:val="00A941E5"/>
    <w:rsid w:val="00A94A67"/>
    <w:rsid w:val="00A9581E"/>
    <w:rsid w:val="00A96615"/>
    <w:rsid w:val="00A97288"/>
    <w:rsid w:val="00AA01A2"/>
    <w:rsid w:val="00AA2FD3"/>
    <w:rsid w:val="00AA3651"/>
    <w:rsid w:val="00AA3D77"/>
    <w:rsid w:val="00AA3F33"/>
    <w:rsid w:val="00AA3FFD"/>
    <w:rsid w:val="00AA430B"/>
    <w:rsid w:val="00AA5039"/>
    <w:rsid w:val="00AA5990"/>
    <w:rsid w:val="00AA7E2D"/>
    <w:rsid w:val="00AB05AF"/>
    <w:rsid w:val="00AB12DD"/>
    <w:rsid w:val="00AB136A"/>
    <w:rsid w:val="00AB1944"/>
    <w:rsid w:val="00AB37A7"/>
    <w:rsid w:val="00AB49CC"/>
    <w:rsid w:val="00AB4F61"/>
    <w:rsid w:val="00AB5628"/>
    <w:rsid w:val="00AB7932"/>
    <w:rsid w:val="00AC0EBE"/>
    <w:rsid w:val="00AC3931"/>
    <w:rsid w:val="00AC4486"/>
    <w:rsid w:val="00AC5A00"/>
    <w:rsid w:val="00AC76CC"/>
    <w:rsid w:val="00AD0A7A"/>
    <w:rsid w:val="00AD3138"/>
    <w:rsid w:val="00AD5020"/>
    <w:rsid w:val="00AD53D3"/>
    <w:rsid w:val="00AD737C"/>
    <w:rsid w:val="00AE1EC0"/>
    <w:rsid w:val="00AE2711"/>
    <w:rsid w:val="00AE34A4"/>
    <w:rsid w:val="00AE420F"/>
    <w:rsid w:val="00AE60D8"/>
    <w:rsid w:val="00AF2479"/>
    <w:rsid w:val="00AF24BA"/>
    <w:rsid w:val="00AF3EDA"/>
    <w:rsid w:val="00AF4AB9"/>
    <w:rsid w:val="00AF4B44"/>
    <w:rsid w:val="00AF4B8D"/>
    <w:rsid w:val="00AF4FDE"/>
    <w:rsid w:val="00AF685A"/>
    <w:rsid w:val="00AF6E6E"/>
    <w:rsid w:val="00AF71CF"/>
    <w:rsid w:val="00AF72DB"/>
    <w:rsid w:val="00AF7BCB"/>
    <w:rsid w:val="00B0086B"/>
    <w:rsid w:val="00B02AAA"/>
    <w:rsid w:val="00B0374F"/>
    <w:rsid w:val="00B0460D"/>
    <w:rsid w:val="00B0559B"/>
    <w:rsid w:val="00B068D1"/>
    <w:rsid w:val="00B06C5F"/>
    <w:rsid w:val="00B06D12"/>
    <w:rsid w:val="00B06F4D"/>
    <w:rsid w:val="00B1052B"/>
    <w:rsid w:val="00B10986"/>
    <w:rsid w:val="00B10A77"/>
    <w:rsid w:val="00B114B7"/>
    <w:rsid w:val="00B11960"/>
    <w:rsid w:val="00B124BC"/>
    <w:rsid w:val="00B13E50"/>
    <w:rsid w:val="00B15397"/>
    <w:rsid w:val="00B16F5D"/>
    <w:rsid w:val="00B17ECA"/>
    <w:rsid w:val="00B20218"/>
    <w:rsid w:val="00B203E0"/>
    <w:rsid w:val="00B22F50"/>
    <w:rsid w:val="00B2329E"/>
    <w:rsid w:val="00B23AAE"/>
    <w:rsid w:val="00B242C7"/>
    <w:rsid w:val="00B244F9"/>
    <w:rsid w:val="00B2461F"/>
    <w:rsid w:val="00B24C37"/>
    <w:rsid w:val="00B25E62"/>
    <w:rsid w:val="00B2609B"/>
    <w:rsid w:val="00B26461"/>
    <w:rsid w:val="00B26839"/>
    <w:rsid w:val="00B32190"/>
    <w:rsid w:val="00B33D18"/>
    <w:rsid w:val="00B356B3"/>
    <w:rsid w:val="00B41DBD"/>
    <w:rsid w:val="00B43060"/>
    <w:rsid w:val="00B43362"/>
    <w:rsid w:val="00B438D2"/>
    <w:rsid w:val="00B43945"/>
    <w:rsid w:val="00B43C48"/>
    <w:rsid w:val="00B45897"/>
    <w:rsid w:val="00B459FD"/>
    <w:rsid w:val="00B45EB2"/>
    <w:rsid w:val="00B465DF"/>
    <w:rsid w:val="00B50885"/>
    <w:rsid w:val="00B51C3B"/>
    <w:rsid w:val="00B5216D"/>
    <w:rsid w:val="00B52A39"/>
    <w:rsid w:val="00B52CFB"/>
    <w:rsid w:val="00B548F4"/>
    <w:rsid w:val="00B54AF4"/>
    <w:rsid w:val="00B55726"/>
    <w:rsid w:val="00B56FF1"/>
    <w:rsid w:val="00B60E5D"/>
    <w:rsid w:val="00B611B3"/>
    <w:rsid w:val="00B6221D"/>
    <w:rsid w:val="00B62C94"/>
    <w:rsid w:val="00B62E3E"/>
    <w:rsid w:val="00B65049"/>
    <w:rsid w:val="00B66AC5"/>
    <w:rsid w:val="00B67CD4"/>
    <w:rsid w:val="00B70B57"/>
    <w:rsid w:val="00B73F96"/>
    <w:rsid w:val="00B74BB0"/>
    <w:rsid w:val="00B767B3"/>
    <w:rsid w:val="00B804DC"/>
    <w:rsid w:val="00B806ED"/>
    <w:rsid w:val="00B80CB8"/>
    <w:rsid w:val="00B81CE7"/>
    <w:rsid w:val="00B81F8E"/>
    <w:rsid w:val="00B83649"/>
    <w:rsid w:val="00B84A63"/>
    <w:rsid w:val="00B84E30"/>
    <w:rsid w:val="00B86FA4"/>
    <w:rsid w:val="00B879C7"/>
    <w:rsid w:val="00B9285B"/>
    <w:rsid w:val="00B931E2"/>
    <w:rsid w:val="00B94179"/>
    <w:rsid w:val="00B96785"/>
    <w:rsid w:val="00B97661"/>
    <w:rsid w:val="00B97CF5"/>
    <w:rsid w:val="00B97DED"/>
    <w:rsid w:val="00BA19B6"/>
    <w:rsid w:val="00BA2F05"/>
    <w:rsid w:val="00BA2FCC"/>
    <w:rsid w:val="00BA3FE0"/>
    <w:rsid w:val="00BA707E"/>
    <w:rsid w:val="00BB0A68"/>
    <w:rsid w:val="00BB0B7B"/>
    <w:rsid w:val="00BB272F"/>
    <w:rsid w:val="00BB5D18"/>
    <w:rsid w:val="00BB643B"/>
    <w:rsid w:val="00BC1795"/>
    <w:rsid w:val="00BC1BB7"/>
    <w:rsid w:val="00BC2618"/>
    <w:rsid w:val="00BC308D"/>
    <w:rsid w:val="00BC31DE"/>
    <w:rsid w:val="00BC4D8A"/>
    <w:rsid w:val="00BC5099"/>
    <w:rsid w:val="00BC5275"/>
    <w:rsid w:val="00BC5ACF"/>
    <w:rsid w:val="00BC651F"/>
    <w:rsid w:val="00BC6E15"/>
    <w:rsid w:val="00BC728E"/>
    <w:rsid w:val="00BD00A4"/>
    <w:rsid w:val="00BD06D2"/>
    <w:rsid w:val="00BD0E9E"/>
    <w:rsid w:val="00BD2F52"/>
    <w:rsid w:val="00BE06C6"/>
    <w:rsid w:val="00BE143B"/>
    <w:rsid w:val="00BE15B6"/>
    <w:rsid w:val="00BE4083"/>
    <w:rsid w:val="00BE4F3A"/>
    <w:rsid w:val="00BE517C"/>
    <w:rsid w:val="00BE74A5"/>
    <w:rsid w:val="00BF28AC"/>
    <w:rsid w:val="00BF3D65"/>
    <w:rsid w:val="00BF5D1D"/>
    <w:rsid w:val="00BF71E1"/>
    <w:rsid w:val="00BF7A0E"/>
    <w:rsid w:val="00C03F79"/>
    <w:rsid w:val="00C059A0"/>
    <w:rsid w:val="00C05E46"/>
    <w:rsid w:val="00C06694"/>
    <w:rsid w:val="00C078CA"/>
    <w:rsid w:val="00C11339"/>
    <w:rsid w:val="00C13067"/>
    <w:rsid w:val="00C14237"/>
    <w:rsid w:val="00C16A13"/>
    <w:rsid w:val="00C17DC0"/>
    <w:rsid w:val="00C206F7"/>
    <w:rsid w:val="00C20846"/>
    <w:rsid w:val="00C22EBE"/>
    <w:rsid w:val="00C23948"/>
    <w:rsid w:val="00C26E74"/>
    <w:rsid w:val="00C30694"/>
    <w:rsid w:val="00C30A47"/>
    <w:rsid w:val="00C31655"/>
    <w:rsid w:val="00C33169"/>
    <w:rsid w:val="00C346DA"/>
    <w:rsid w:val="00C3499D"/>
    <w:rsid w:val="00C35B02"/>
    <w:rsid w:val="00C3606B"/>
    <w:rsid w:val="00C36FCD"/>
    <w:rsid w:val="00C3729C"/>
    <w:rsid w:val="00C3761C"/>
    <w:rsid w:val="00C37C54"/>
    <w:rsid w:val="00C402A0"/>
    <w:rsid w:val="00C40E22"/>
    <w:rsid w:val="00C4480E"/>
    <w:rsid w:val="00C4695E"/>
    <w:rsid w:val="00C4792D"/>
    <w:rsid w:val="00C501F0"/>
    <w:rsid w:val="00C52B9F"/>
    <w:rsid w:val="00C5409C"/>
    <w:rsid w:val="00C54B36"/>
    <w:rsid w:val="00C56547"/>
    <w:rsid w:val="00C5748B"/>
    <w:rsid w:val="00C57572"/>
    <w:rsid w:val="00C57B2D"/>
    <w:rsid w:val="00C62CC9"/>
    <w:rsid w:val="00C65DBC"/>
    <w:rsid w:val="00C665C0"/>
    <w:rsid w:val="00C66B82"/>
    <w:rsid w:val="00C672F5"/>
    <w:rsid w:val="00C70A0A"/>
    <w:rsid w:val="00C70ADC"/>
    <w:rsid w:val="00C71683"/>
    <w:rsid w:val="00C71971"/>
    <w:rsid w:val="00C71B46"/>
    <w:rsid w:val="00C7321D"/>
    <w:rsid w:val="00C735F0"/>
    <w:rsid w:val="00C748A5"/>
    <w:rsid w:val="00C753B7"/>
    <w:rsid w:val="00C76F52"/>
    <w:rsid w:val="00C775AD"/>
    <w:rsid w:val="00C81955"/>
    <w:rsid w:val="00C84071"/>
    <w:rsid w:val="00C85E5B"/>
    <w:rsid w:val="00C869FB"/>
    <w:rsid w:val="00C86F2B"/>
    <w:rsid w:val="00C87451"/>
    <w:rsid w:val="00C90608"/>
    <w:rsid w:val="00C92BB6"/>
    <w:rsid w:val="00C9407B"/>
    <w:rsid w:val="00C9540E"/>
    <w:rsid w:val="00C96642"/>
    <w:rsid w:val="00C96F87"/>
    <w:rsid w:val="00CA060E"/>
    <w:rsid w:val="00CA0DF8"/>
    <w:rsid w:val="00CA2AD4"/>
    <w:rsid w:val="00CA3308"/>
    <w:rsid w:val="00CA416E"/>
    <w:rsid w:val="00CA4319"/>
    <w:rsid w:val="00CA55A2"/>
    <w:rsid w:val="00CA6DD0"/>
    <w:rsid w:val="00CA721F"/>
    <w:rsid w:val="00CB1C24"/>
    <w:rsid w:val="00CB1CB1"/>
    <w:rsid w:val="00CB33D8"/>
    <w:rsid w:val="00CB477D"/>
    <w:rsid w:val="00CB483E"/>
    <w:rsid w:val="00CB5E70"/>
    <w:rsid w:val="00CB70FE"/>
    <w:rsid w:val="00CB7854"/>
    <w:rsid w:val="00CB7C93"/>
    <w:rsid w:val="00CC03ED"/>
    <w:rsid w:val="00CC428D"/>
    <w:rsid w:val="00CC43BD"/>
    <w:rsid w:val="00CD059B"/>
    <w:rsid w:val="00CD06B7"/>
    <w:rsid w:val="00CD07E3"/>
    <w:rsid w:val="00CD0E43"/>
    <w:rsid w:val="00CD1800"/>
    <w:rsid w:val="00CD27CE"/>
    <w:rsid w:val="00CD2A2B"/>
    <w:rsid w:val="00CD44CA"/>
    <w:rsid w:val="00CD4E29"/>
    <w:rsid w:val="00CD4FB7"/>
    <w:rsid w:val="00CE00A8"/>
    <w:rsid w:val="00CE032B"/>
    <w:rsid w:val="00CE156E"/>
    <w:rsid w:val="00CE1E96"/>
    <w:rsid w:val="00CE4B9C"/>
    <w:rsid w:val="00CE4C3A"/>
    <w:rsid w:val="00CE77AA"/>
    <w:rsid w:val="00CE7A3C"/>
    <w:rsid w:val="00CF041F"/>
    <w:rsid w:val="00CF0697"/>
    <w:rsid w:val="00CF25F7"/>
    <w:rsid w:val="00CF29DE"/>
    <w:rsid w:val="00CF3120"/>
    <w:rsid w:val="00CF5F58"/>
    <w:rsid w:val="00CF5FF3"/>
    <w:rsid w:val="00CF6FCC"/>
    <w:rsid w:val="00D00F5A"/>
    <w:rsid w:val="00D01217"/>
    <w:rsid w:val="00D0160B"/>
    <w:rsid w:val="00D01E4A"/>
    <w:rsid w:val="00D02791"/>
    <w:rsid w:val="00D04376"/>
    <w:rsid w:val="00D04AD4"/>
    <w:rsid w:val="00D04E49"/>
    <w:rsid w:val="00D05442"/>
    <w:rsid w:val="00D05B4E"/>
    <w:rsid w:val="00D072EE"/>
    <w:rsid w:val="00D0759B"/>
    <w:rsid w:val="00D07A85"/>
    <w:rsid w:val="00D12C53"/>
    <w:rsid w:val="00D15526"/>
    <w:rsid w:val="00D16254"/>
    <w:rsid w:val="00D16984"/>
    <w:rsid w:val="00D17DC1"/>
    <w:rsid w:val="00D2092C"/>
    <w:rsid w:val="00D20D5E"/>
    <w:rsid w:val="00D21BA8"/>
    <w:rsid w:val="00D24BA6"/>
    <w:rsid w:val="00D263AE"/>
    <w:rsid w:val="00D2669B"/>
    <w:rsid w:val="00D3063D"/>
    <w:rsid w:val="00D31C9D"/>
    <w:rsid w:val="00D32E4D"/>
    <w:rsid w:val="00D34523"/>
    <w:rsid w:val="00D353FF"/>
    <w:rsid w:val="00D3548C"/>
    <w:rsid w:val="00D35835"/>
    <w:rsid w:val="00D36D86"/>
    <w:rsid w:val="00D3785B"/>
    <w:rsid w:val="00D404B5"/>
    <w:rsid w:val="00D40A65"/>
    <w:rsid w:val="00D40BCE"/>
    <w:rsid w:val="00D40BFD"/>
    <w:rsid w:val="00D40F2B"/>
    <w:rsid w:val="00D411E1"/>
    <w:rsid w:val="00D41970"/>
    <w:rsid w:val="00D41D91"/>
    <w:rsid w:val="00D436B4"/>
    <w:rsid w:val="00D451B8"/>
    <w:rsid w:val="00D46CF2"/>
    <w:rsid w:val="00D47B36"/>
    <w:rsid w:val="00D52ABD"/>
    <w:rsid w:val="00D52B48"/>
    <w:rsid w:val="00D53D41"/>
    <w:rsid w:val="00D56180"/>
    <w:rsid w:val="00D572EB"/>
    <w:rsid w:val="00D60587"/>
    <w:rsid w:val="00D607A8"/>
    <w:rsid w:val="00D60C72"/>
    <w:rsid w:val="00D613EF"/>
    <w:rsid w:val="00D62669"/>
    <w:rsid w:val="00D63331"/>
    <w:rsid w:val="00D63EE3"/>
    <w:rsid w:val="00D644D7"/>
    <w:rsid w:val="00D6549C"/>
    <w:rsid w:val="00D6550D"/>
    <w:rsid w:val="00D65B93"/>
    <w:rsid w:val="00D66162"/>
    <w:rsid w:val="00D71301"/>
    <w:rsid w:val="00D71BFC"/>
    <w:rsid w:val="00D741E1"/>
    <w:rsid w:val="00D74993"/>
    <w:rsid w:val="00D7566A"/>
    <w:rsid w:val="00D77B4D"/>
    <w:rsid w:val="00D824C2"/>
    <w:rsid w:val="00D82C7D"/>
    <w:rsid w:val="00D83209"/>
    <w:rsid w:val="00D83327"/>
    <w:rsid w:val="00D83C39"/>
    <w:rsid w:val="00D8430A"/>
    <w:rsid w:val="00D85E45"/>
    <w:rsid w:val="00D87736"/>
    <w:rsid w:val="00D87B43"/>
    <w:rsid w:val="00D94EC1"/>
    <w:rsid w:val="00D97AB4"/>
    <w:rsid w:val="00DA01CD"/>
    <w:rsid w:val="00DA08A4"/>
    <w:rsid w:val="00DA4339"/>
    <w:rsid w:val="00DA557F"/>
    <w:rsid w:val="00DA68FE"/>
    <w:rsid w:val="00DA6992"/>
    <w:rsid w:val="00DB1968"/>
    <w:rsid w:val="00DB1C09"/>
    <w:rsid w:val="00DB5944"/>
    <w:rsid w:val="00DB5F31"/>
    <w:rsid w:val="00DB61DD"/>
    <w:rsid w:val="00DB6FEE"/>
    <w:rsid w:val="00DB73A1"/>
    <w:rsid w:val="00DC3A71"/>
    <w:rsid w:val="00DC4745"/>
    <w:rsid w:val="00DC5574"/>
    <w:rsid w:val="00DC59A7"/>
    <w:rsid w:val="00DC60AD"/>
    <w:rsid w:val="00DC68F8"/>
    <w:rsid w:val="00DC7FCB"/>
    <w:rsid w:val="00DD0D68"/>
    <w:rsid w:val="00DD212C"/>
    <w:rsid w:val="00DD2CEA"/>
    <w:rsid w:val="00DD4448"/>
    <w:rsid w:val="00DD4F45"/>
    <w:rsid w:val="00DD6470"/>
    <w:rsid w:val="00DD7643"/>
    <w:rsid w:val="00DD77F7"/>
    <w:rsid w:val="00DD7916"/>
    <w:rsid w:val="00DE11C6"/>
    <w:rsid w:val="00DE17F0"/>
    <w:rsid w:val="00DE54D1"/>
    <w:rsid w:val="00DE65A7"/>
    <w:rsid w:val="00DE6AE5"/>
    <w:rsid w:val="00DF0C00"/>
    <w:rsid w:val="00DF199D"/>
    <w:rsid w:val="00DF2BE0"/>
    <w:rsid w:val="00DF33A4"/>
    <w:rsid w:val="00DF4791"/>
    <w:rsid w:val="00DF5DD1"/>
    <w:rsid w:val="00DF6446"/>
    <w:rsid w:val="00DF6845"/>
    <w:rsid w:val="00E0066D"/>
    <w:rsid w:val="00E00822"/>
    <w:rsid w:val="00E014BD"/>
    <w:rsid w:val="00E0234A"/>
    <w:rsid w:val="00E02C82"/>
    <w:rsid w:val="00E038A3"/>
    <w:rsid w:val="00E03BAE"/>
    <w:rsid w:val="00E06FED"/>
    <w:rsid w:val="00E073CB"/>
    <w:rsid w:val="00E0756F"/>
    <w:rsid w:val="00E07A74"/>
    <w:rsid w:val="00E10F12"/>
    <w:rsid w:val="00E11101"/>
    <w:rsid w:val="00E1123A"/>
    <w:rsid w:val="00E11C01"/>
    <w:rsid w:val="00E12A36"/>
    <w:rsid w:val="00E132C5"/>
    <w:rsid w:val="00E1486D"/>
    <w:rsid w:val="00E15835"/>
    <w:rsid w:val="00E15DC3"/>
    <w:rsid w:val="00E21193"/>
    <w:rsid w:val="00E21F20"/>
    <w:rsid w:val="00E22145"/>
    <w:rsid w:val="00E2248A"/>
    <w:rsid w:val="00E235E4"/>
    <w:rsid w:val="00E23C74"/>
    <w:rsid w:val="00E26412"/>
    <w:rsid w:val="00E27D96"/>
    <w:rsid w:val="00E301C2"/>
    <w:rsid w:val="00E303BE"/>
    <w:rsid w:val="00E30572"/>
    <w:rsid w:val="00E33246"/>
    <w:rsid w:val="00E374DC"/>
    <w:rsid w:val="00E40114"/>
    <w:rsid w:val="00E40FB1"/>
    <w:rsid w:val="00E418CC"/>
    <w:rsid w:val="00E41937"/>
    <w:rsid w:val="00E45ABA"/>
    <w:rsid w:val="00E4650D"/>
    <w:rsid w:val="00E476E7"/>
    <w:rsid w:val="00E47B57"/>
    <w:rsid w:val="00E5036A"/>
    <w:rsid w:val="00E51899"/>
    <w:rsid w:val="00E53A32"/>
    <w:rsid w:val="00E54642"/>
    <w:rsid w:val="00E54854"/>
    <w:rsid w:val="00E55146"/>
    <w:rsid w:val="00E5707F"/>
    <w:rsid w:val="00E603A0"/>
    <w:rsid w:val="00E60F3C"/>
    <w:rsid w:val="00E61F2E"/>
    <w:rsid w:val="00E653FE"/>
    <w:rsid w:val="00E66F3B"/>
    <w:rsid w:val="00E705EB"/>
    <w:rsid w:val="00E70DA3"/>
    <w:rsid w:val="00E7159E"/>
    <w:rsid w:val="00E71C43"/>
    <w:rsid w:val="00E71C54"/>
    <w:rsid w:val="00E71E3F"/>
    <w:rsid w:val="00E75673"/>
    <w:rsid w:val="00E75C79"/>
    <w:rsid w:val="00E76A01"/>
    <w:rsid w:val="00E76F88"/>
    <w:rsid w:val="00E77EE2"/>
    <w:rsid w:val="00E8656B"/>
    <w:rsid w:val="00E86714"/>
    <w:rsid w:val="00E87105"/>
    <w:rsid w:val="00E87298"/>
    <w:rsid w:val="00E87825"/>
    <w:rsid w:val="00E92090"/>
    <w:rsid w:val="00E93B35"/>
    <w:rsid w:val="00E9426D"/>
    <w:rsid w:val="00E94805"/>
    <w:rsid w:val="00E94E21"/>
    <w:rsid w:val="00E95CCF"/>
    <w:rsid w:val="00E95D16"/>
    <w:rsid w:val="00E96EE3"/>
    <w:rsid w:val="00E972F5"/>
    <w:rsid w:val="00E97323"/>
    <w:rsid w:val="00EA0AAF"/>
    <w:rsid w:val="00EA0F7E"/>
    <w:rsid w:val="00EA2649"/>
    <w:rsid w:val="00EA3137"/>
    <w:rsid w:val="00EA385C"/>
    <w:rsid w:val="00EA3EEB"/>
    <w:rsid w:val="00EA4693"/>
    <w:rsid w:val="00EA6961"/>
    <w:rsid w:val="00EB1367"/>
    <w:rsid w:val="00EB200B"/>
    <w:rsid w:val="00EB2307"/>
    <w:rsid w:val="00EB5079"/>
    <w:rsid w:val="00EB5C2D"/>
    <w:rsid w:val="00EB6A46"/>
    <w:rsid w:val="00EB6E83"/>
    <w:rsid w:val="00EB7600"/>
    <w:rsid w:val="00EC1A59"/>
    <w:rsid w:val="00EC50AF"/>
    <w:rsid w:val="00EC51D1"/>
    <w:rsid w:val="00EC5907"/>
    <w:rsid w:val="00EC641C"/>
    <w:rsid w:val="00ED08C1"/>
    <w:rsid w:val="00ED2AFE"/>
    <w:rsid w:val="00ED4854"/>
    <w:rsid w:val="00ED4F3A"/>
    <w:rsid w:val="00EE05B8"/>
    <w:rsid w:val="00EE0707"/>
    <w:rsid w:val="00EE0C1F"/>
    <w:rsid w:val="00EE17E3"/>
    <w:rsid w:val="00EE2720"/>
    <w:rsid w:val="00EE5BC8"/>
    <w:rsid w:val="00EE6FF9"/>
    <w:rsid w:val="00EE78BF"/>
    <w:rsid w:val="00EE79D8"/>
    <w:rsid w:val="00EE7ABE"/>
    <w:rsid w:val="00EE7ACB"/>
    <w:rsid w:val="00EF1CBB"/>
    <w:rsid w:val="00EF3337"/>
    <w:rsid w:val="00EF3ACF"/>
    <w:rsid w:val="00EF563C"/>
    <w:rsid w:val="00EF58AE"/>
    <w:rsid w:val="00EF5D1D"/>
    <w:rsid w:val="00EF6B56"/>
    <w:rsid w:val="00EF78CA"/>
    <w:rsid w:val="00EF78E0"/>
    <w:rsid w:val="00EF79A9"/>
    <w:rsid w:val="00F002D2"/>
    <w:rsid w:val="00F0080B"/>
    <w:rsid w:val="00F01E12"/>
    <w:rsid w:val="00F0385A"/>
    <w:rsid w:val="00F04478"/>
    <w:rsid w:val="00F04CBF"/>
    <w:rsid w:val="00F072BC"/>
    <w:rsid w:val="00F07739"/>
    <w:rsid w:val="00F0776F"/>
    <w:rsid w:val="00F079B4"/>
    <w:rsid w:val="00F07AE5"/>
    <w:rsid w:val="00F07F69"/>
    <w:rsid w:val="00F11B81"/>
    <w:rsid w:val="00F133ED"/>
    <w:rsid w:val="00F157E6"/>
    <w:rsid w:val="00F15E87"/>
    <w:rsid w:val="00F20E7C"/>
    <w:rsid w:val="00F21694"/>
    <w:rsid w:val="00F21941"/>
    <w:rsid w:val="00F221F8"/>
    <w:rsid w:val="00F22FD9"/>
    <w:rsid w:val="00F24B77"/>
    <w:rsid w:val="00F2563A"/>
    <w:rsid w:val="00F260C2"/>
    <w:rsid w:val="00F279BD"/>
    <w:rsid w:val="00F30AF3"/>
    <w:rsid w:val="00F31382"/>
    <w:rsid w:val="00F3179F"/>
    <w:rsid w:val="00F31BF1"/>
    <w:rsid w:val="00F32059"/>
    <w:rsid w:val="00F3258C"/>
    <w:rsid w:val="00F339AE"/>
    <w:rsid w:val="00F357FB"/>
    <w:rsid w:val="00F35924"/>
    <w:rsid w:val="00F3644D"/>
    <w:rsid w:val="00F36900"/>
    <w:rsid w:val="00F373D5"/>
    <w:rsid w:val="00F37FCF"/>
    <w:rsid w:val="00F40550"/>
    <w:rsid w:val="00F418A2"/>
    <w:rsid w:val="00F4208B"/>
    <w:rsid w:val="00F42E17"/>
    <w:rsid w:val="00F433F6"/>
    <w:rsid w:val="00F438B5"/>
    <w:rsid w:val="00F443CE"/>
    <w:rsid w:val="00F44EB8"/>
    <w:rsid w:val="00F467EA"/>
    <w:rsid w:val="00F470A5"/>
    <w:rsid w:val="00F47C52"/>
    <w:rsid w:val="00F50508"/>
    <w:rsid w:val="00F50ABF"/>
    <w:rsid w:val="00F50DE4"/>
    <w:rsid w:val="00F50F14"/>
    <w:rsid w:val="00F537DB"/>
    <w:rsid w:val="00F54642"/>
    <w:rsid w:val="00F5611A"/>
    <w:rsid w:val="00F56B34"/>
    <w:rsid w:val="00F60834"/>
    <w:rsid w:val="00F60878"/>
    <w:rsid w:val="00F61166"/>
    <w:rsid w:val="00F61F46"/>
    <w:rsid w:val="00F6304F"/>
    <w:rsid w:val="00F63567"/>
    <w:rsid w:val="00F643D3"/>
    <w:rsid w:val="00F64B49"/>
    <w:rsid w:val="00F65F8F"/>
    <w:rsid w:val="00F66520"/>
    <w:rsid w:val="00F66801"/>
    <w:rsid w:val="00F6749D"/>
    <w:rsid w:val="00F71A90"/>
    <w:rsid w:val="00F7224A"/>
    <w:rsid w:val="00F72CEE"/>
    <w:rsid w:val="00F73AE8"/>
    <w:rsid w:val="00F76274"/>
    <w:rsid w:val="00F768D3"/>
    <w:rsid w:val="00F77904"/>
    <w:rsid w:val="00F8105A"/>
    <w:rsid w:val="00F83352"/>
    <w:rsid w:val="00F84320"/>
    <w:rsid w:val="00F8452E"/>
    <w:rsid w:val="00F862C7"/>
    <w:rsid w:val="00F879CF"/>
    <w:rsid w:val="00F9522A"/>
    <w:rsid w:val="00F9652F"/>
    <w:rsid w:val="00F971A0"/>
    <w:rsid w:val="00F97B8F"/>
    <w:rsid w:val="00F97F7B"/>
    <w:rsid w:val="00FA0C0D"/>
    <w:rsid w:val="00FA1C53"/>
    <w:rsid w:val="00FA1F15"/>
    <w:rsid w:val="00FA2322"/>
    <w:rsid w:val="00FA5BAA"/>
    <w:rsid w:val="00FA6628"/>
    <w:rsid w:val="00FB141F"/>
    <w:rsid w:val="00FB1F4F"/>
    <w:rsid w:val="00FB21A3"/>
    <w:rsid w:val="00FB2B30"/>
    <w:rsid w:val="00FB424A"/>
    <w:rsid w:val="00FB4408"/>
    <w:rsid w:val="00FB67D7"/>
    <w:rsid w:val="00FB7BFD"/>
    <w:rsid w:val="00FC13F7"/>
    <w:rsid w:val="00FC1796"/>
    <w:rsid w:val="00FC1A07"/>
    <w:rsid w:val="00FC3B70"/>
    <w:rsid w:val="00FC4710"/>
    <w:rsid w:val="00FC5840"/>
    <w:rsid w:val="00FC5A52"/>
    <w:rsid w:val="00FC68CA"/>
    <w:rsid w:val="00FC77F8"/>
    <w:rsid w:val="00FD0269"/>
    <w:rsid w:val="00FD1D6B"/>
    <w:rsid w:val="00FD2B44"/>
    <w:rsid w:val="00FD3636"/>
    <w:rsid w:val="00FD48E8"/>
    <w:rsid w:val="00FD4F74"/>
    <w:rsid w:val="00FD5B53"/>
    <w:rsid w:val="00FD676C"/>
    <w:rsid w:val="00FD6857"/>
    <w:rsid w:val="00FD7F77"/>
    <w:rsid w:val="00FE363E"/>
    <w:rsid w:val="00FE3788"/>
    <w:rsid w:val="00FE4358"/>
    <w:rsid w:val="00FE452E"/>
    <w:rsid w:val="00FE4C6B"/>
    <w:rsid w:val="00FE5198"/>
    <w:rsid w:val="00FE60C7"/>
    <w:rsid w:val="00FE68D9"/>
    <w:rsid w:val="00FE7842"/>
    <w:rsid w:val="00FF0378"/>
    <w:rsid w:val="00FF0A83"/>
    <w:rsid w:val="00FF1AB1"/>
    <w:rsid w:val="00FF24C8"/>
    <w:rsid w:val="010A53DF"/>
    <w:rsid w:val="02A62440"/>
    <w:rsid w:val="02DC4109"/>
    <w:rsid w:val="03FD7C88"/>
    <w:rsid w:val="040E52A1"/>
    <w:rsid w:val="0425FCE0"/>
    <w:rsid w:val="04C50C42"/>
    <w:rsid w:val="050AD7F8"/>
    <w:rsid w:val="0598476B"/>
    <w:rsid w:val="0648425F"/>
    <w:rsid w:val="06B0FB3A"/>
    <w:rsid w:val="073417CC"/>
    <w:rsid w:val="0AAF808D"/>
    <w:rsid w:val="0BDF8A74"/>
    <w:rsid w:val="0BED1462"/>
    <w:rsid w:val="0C43F88B"/>
    <w:rsid w:val="0D8EBB2F"/>
    <w:rsid w:val="0E6312B1"/>
    <w:rsid w:val="0F7B55F7"/>
    <w:rsid w:val="0F82F077"/>
    <w:rsid w:val="10CC506D"/>
    <w:rsid w:val="11968B17"/>
    <w:rsid w:val="11BE7E4D"/>
    <w:rsid w:val="12817B97"/>
    <w:rsid w:val="131448C5"/>
    <w:rsid w:val="1325F2B7"/>
    <w:rsid w:val="13452D80"/>
    <w:rsid w:val="135EE7B1"/>
    <w:rsid w:val="143EC969"/>
    <w:rsid w:val="14CA1DAC"/>
    <w:rsid w:val="14F61F0F"/>
    <w:rsid w:val="1556C6DE"/>
    <w:rsid w:val="15A61A03"/>
    <w:rsid w:val="160AF259"/>
    <w:rsid w:val="165851C9"/>
    <w:rsid w:val="16C3F553"/>
    <w:rsid w:val="17880E0F"/>
    <w:rsid w:val="17AB8356"/>
    <w:rsid w:val="1923DE70"/>
    <w:rsid w:val="1945B45E"/>
    <w:rsid w:val="19B50690"/>
    <w:rsid w:val="19C933FD"/>
    <w:rsid w:val="19D940D1"/>
    <w:rsid w:val="1A3B7516"/>
    <w:rsid w:val="1ADD32E5"/>
    <w:rsid w:val="1B1A63E5"/>
    <w:rsid w:val="1B85FCC4"/>
    <w:rsid w:val="1C6AF3AB"/>
    <w:rsid w:val="1CCE0183"/>
    <w:rsid w:val="1D11DC33"/>
    <w:rsid w:val="1DCBF040"/>
    <w:rsid w:val="1E153236"/>
    <w:rsid w:val="1E8B1ADA"/>
    <w:rsid w:val="1EB733A0"/>
    <w:rsid w:val="1F6B89C8"/>
    <w:rsid w:val="1F8D763F"/>
    <w:rsid w:val="1FC3C4FB"/>
    <w:rsid w:val="1FC716FB"/>
    <w:rsid w:val="2006B961"/>
    <w:rsid w:val="20DFE305"/>
    <w:rsid w:val="215D0C51"/>
    <w:rsid w:val="21D478A1"/>
    <w:rsid w:val="2222B348"/>
    <w:rsid w:val="22A93518"/>
    <w:rsid w:val="2394A668"/>
    <w:rsid w:val="2579CF14"/>
    <w:rsid w:val="2620A1FD"/>
    <w:rsid w:val="27660F16"/>
    <w:rsid w:val="27B36EB4"/>
    <w:rsid w:val="27BA63AC"/>
    <w:rsid w:val="28045FFB"/>
    <w:rsid w:val="2848ED8B"/>
    <w:rsid w:val="291E7E31"/>
    <w:rsid w:val="2925A9B6"/>
    <w:rsid w:val="2BA5AE88"/>
    <w:rsid w:val="2BA649D2"/>
    <w:rsid w:val="2D68CA86"/>
    <w:rsid w:val="2E86280A"/>
    <w:rsid w:val="2E8D9B71"/>
    <w:rsid w:val="2FF223E5"/>
    <w:rsid w:val="3028E35E"/>
    <w:rsid w:val="309A3153"/>
    <w:rsid w:val="31066404"/>
    <w:rsid w:val="318FF3E9"/>
    <w:rsid w:val="31C53C33"/>
    <w:rsid w:val="31E0476C"/>
    <w:rsid w:val="327D9631"/>
    <w:rsid w:val="32B6A0D6"/>
    <w:rsid w:val="33495A08"/>
    <w:rsid w:val="33BB7F16"/>
    <w:rsid w:val="347FBE57"/>
    <w:rsid w:val="352BF024"/>
    <w:rsid w:val="363F1477"/>
    <w:rsid w:val="364D9D21"/>
    <w:rsid w:val="37573C8A"/>
    <w:rsid w:val="376D35D9"/>
    <w:rsid w:val="37E6E2CB"/>
    <w:rsid w:val="394C0B89"/>
    <w:rsid w:val="3999A041"/>
    <w:rsid w:val="3B22CC98"/>
    <w:rsid w:val="3B51089E"/>
    <w:rsid w:val="3B901DEF"/>
    <w:rsid w:val="3B9EA9FC"/>
    <w:rsid w:val="3BBE2E48"/>
    <w:rsid w:val="3C8188EC"/>
    <w:rsid w:val="3D36EB94"/>
    <w:rsid w:val="3E37D79F"/>
    <w:rsid w:val="3E70A873"/>
    <w:rsid w:val="3F26A3A9"/>
    <w:rsid w:val="3F4C6E24"/>
    <w:rsid w:val="3FA40CCB"/>
    <w:rsid w:val="3FCF6937"/>
    <w:rsid w:val="3FFB8EB1"/>
    <w:rsid w:val="4077DD20"/>
    <w:rsid w:val="40EAD0B9"/>
    <w:rsid w:val="4147A166"/>
    <w:rsid w:val="418A80C1"/>
    <w:rsid w:val="41A84935"/>
    <w:rsid w:val="423E7C93"/>
    <w:rsid w:val="4297DB03"/>
    <w:rsid w:val="42B7002A"/>
    <w:rsid w:val="4321BE16"/>
    <w:rsid w:val="436CA0B9"/>
    <w:rsid w:val="441FAEBD"/>
    <w:rsid w:val="4426AFCA"/>
    <w:rsid w:val="44AAF667"/>
    <w:rsid w:val="44C8CA6A"/>
    <w:rsid w:val="452630C1"/>
    <w:rsid w:val="45BFE661"/>
    <w:rsid w:val="47278427"/>
    <w:rsid w:val="47478DC3"/>
    <w:rsid w:val="47E3DE38"/>
    <w:rsid w:val="48213232"/>
    <w:rsid w:val="4965D3AF"/>
    <w:rsid w:val="4A5F24E9"/>
    <w:rsid w:val="4A64E3EF"/>
    <w:rsid w:val="4B351FC5"/>
    <w:rsid w:val="4BFB60C6"/>
    <w:rsid w:val="4D39D7ED"/>
    <w:rsid w:val="4DB288BE"/>
    <w:rsid w:val="4DCA465E"/>
    <w:rsid w:val="4E538935"/>
    <w:rsid w:val="4E5C6314"/>
    <w:rsid w:val="4EA02C11"/>
    <w:rsid w:val="4FE88DCA"/>
    <w:rsid w:val="4FF444BF"/>
    <w:rsid w:val="502EDE81"/>
    <w:rsid w:val="507C5F10"/>
    <w:rsid w:val="50BA2C8D"/>
    <w:rsid w:val="50EDF49B"/>
    <w:rsid w:val="5179BC4F"/>
    <w:rsid w:val="518130C5"/>
    <w:rsid w:val="52BD4F86"/>
    <w:rsid w:val="52F48943"/>
    <w:rsid w:val="5364FBD5"/>
    <w:rsid w:val="53E057B0"/>
    <w:rsid w:val="53EC09EA"/>
    <w:rsid w:val="53ECDED2"/>
    <w:rsid w:val="547ACB04"/>
    <w:rsid w:val="54ABDFE6"/>
    <w:rsid w:val="55234EE4"/>
    <w:rsid w:val="55AE8685"/>
    <w:rsid w:val="561B1A2B"/>
    <w:rsid w:val="56303A34"/>
    <w:rsid w:val="568C5A0F"/>
    <w:rsid w:val="56D09791"/>
    <w:rsid w:val="57364C81"/>
    <w:rsid w:val="587B9FE7"/>
    <w:rsid w:val="591EA3CF"/>
    <w:rsid w:val="596BD2C0"/>
    <w:rsid w:val="599DBFE9"/>
    <w:rsid w:val="5A7DCB12"/>
    <w:rsid w:val="5AA976EE"/>
    <w:rsid w:val="5CB83DD1"/>
    <w:rsid w:val="5D1251FE"/>
    <w:rsid w:val="5D9BAE9E"/>
    <w:rsid w:val="5DAED696"/>
    <w:rsid w:val="5DFF0BFE"/>
    <w:rsid w:val="5E16BE8A"/>
    <w:rsid w:val="5E4CF0FB"/>
    <w:rsid w:val="5E55607F"/>
    <w:rsid w:val="5E9F6ED6"/>
    <w:rsid w:val="5EAB9E92"/>
    <w:rsid w:val="5FC47C17"/>
    <w:rsid w:val="5FF5A787"/>
    <w:rsid w:val="5FFE7250"/>
    <w:rsid w:val="601AE479"/>
    <w:rsid w:val="60F285A0"/>
    <w:rsid w:val="610AD106"/>
    <w:rsid w:val="61549DE2"/>
    <w:rsid w:val="61696A85"/>
    <w:rsid w:val="6265934D"/>
    <w:rsid w:val="6337A4D2"/>
    <w:rsid w:val="63F1C7C5"/>
    <w:rsid w:val="660BCEB9"/>
    <w:rsid w:val="66159AA3"/>
    <w:rsid w:val="6645CFE5"/>
    <w:rsid w:val="668B0790"/>
    <w:rsid w:val="668D7D75"/>
    <w:rsid w:val="681B77E9"/>
    <w:rsid w:val="68740C94"/>
    <w:rsid w:val="688A0223"/>
    <w:rsid w:val="695B540D"/>
    <w:rsid w:val="69DC9972"/>
    <w:rsid w:val="6ACB3F1A"/>
    <w:rsid w:val="6D88B919"/>
    <w:rsid w:val="6F9E06F4"/>
    <w:rsid w:val="705F511C"/>
    <w:rsid w:val="71529B21"/>
    <w:rsid w:val="7183FE2C"/>
    <w:rsid w:val="71A17E74"/>
    <w:rsid w:val="7296EE31"/>
    <w:rsid w:val="731DE488"/>
    <w:rsid w:val="735FDE21"/>
    <w:rsid w:val="73C4100B"/>
    <w:rsid w:val="73F3A81B"/>
    <w:rsid w:val="75589EDE"/>
    <w:rsid w:val="755F0BE2"/>
    <w:rsid w:val="76E95DCB"/>
    <w:rsid w:val="771204A3"/>
    <w:rsid w:val="77F0F0BA"/>
    <w:rsid w:val="7839DD7E"/>
    <w:rsid w:val="79077928"/>
    <w:rsid w:val="79D33A7B"/>
    <w:rsid w:val="7A6306B5"/>
    <w:rsid w:val="7A7F95EE"/>
    <w:rsid w:val="7AAA8F87"/>
    <w:rsid w:val="7AC6B769"/>
    <w:rsid w:val="7C597A23"/>
    <w:rsid w:val="7C7E33DC"/>
    <w:rsid w:val="7DD2B31C"/>
    <w:rsid w:val="7DDA5DB8"/>
    <w:rsid w:val="7E76566E"/>
    <w:rsid w:val="7E76FBEF"/>
    <w:rsid w:val="7EA073E2"/>
    <w:rsid w:val="7ED5FA15"/>
    <w:rsid w:val="7F622954"/>
    <w:rsid w:val="7F6A89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AFC1B"/>
  <w15:chartTrackingRefBased/>
  <w15:docId w15:val="{9D4E2334-D0AB-4A6D-80BC-4DB4510DF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5C0"/>
    <w:pPr>
      <w:spacing w:after="240" w:line="276" w:lineRule="auto"/>
    </w:pPr>
    <w:rPr>
      <w:rFonts w:eastAsiaTheme="majorEastAsia"/>
    </w:rPr>
  </w:style>
  <w:style w:type="paragraph" w:styleId="Heading1">
    <w:name w:val="heading 1"/>
    <w:basedOn w:val="Normal"/>
    <w:next w:val="Normal"/>
    <w:link w:val="Heading1Char"/>
    <w:uiPriority w:val="9"/>
    <w:qFormat/>
    <w:rsid w:val="00C665C0"/>
    <w:pPr>
      <w:keepNext/>
      <w:keepLines/>
      <w:spacing w:line="240" w:lineRule="auto"/>
      <w:outlineLvl w:val="0"/>
    </w:pPr>
    <w:rPr>
      <w:rFonts w:cstheme="majorBidi"/>
      <w:b/>
      <w:color w:val="9D1F62"/>
      <w:sz w:val="28"/>
      <w:szCs w:val="32"/>
    </w:rPr>
  </w:style>
  <w:style w:type="paragraph" w:styleId="Heading2">
    <w:name w:val="heading 2"/>
    <w:basedOn w:val="Normal"/>
    <w:next w:val="Normal"/>
    <w:link w:val="Heading2Char"/>
    <w:uiPriority w:val="9"/>
    <w:unhideWhenUsed/>
    <w:qFormat/>
    <w:rsid w:val="0085652F"/>
    <w:pPr>
      <w:keepNext/>
      <w:keepLines/>
      <w:spacing w:line="240" w:lineRule="auto"/>
      <w:outlineLvl w:val="1"/>
    </w:pPr>
    <w:rPr>
      <w:rFonts w:cstheme="majorBidi"/>
      <w:b/>
      <w:color w:val="13406A"/>
      <w:szCs w:val="26"/>
    </w:rPr>
  </w:style>
  <w:style w:type="paragraph" w:styleId="Heading3">
    <w:name w:val="heading 3"/>
    <w:basedOn w:val="Normal"/>
    <w:next w:val="Normal"/>
    <w:link w:val="Heading3Char"/>
    <w:uiPriority w:val="9"/>
    <w:unhideWhenUsed/>
    <w:qFormat/>
    <w:rsid w:val="00D3785B"/>
    <w:pPr>
      <w:keepNext/>
      <w:keepLines/>
      <w:spacing w:after="0"/>
      <w:outlineLvl w:val="2"/>
    </w:pPr>
    <w:rPr>
      <w:rFonts w:ascii="Calibri" w:hAnsi="Calibri" w:cstheme="majorBidi"/>
      <w:b/>
      <w:bCs/>
      <w:i/>
      <w:color w:val="141E48"/>
      <w:sz w:val="24"/>
    </w:rPr>
  </w:style>
  <w:style w:type="paragraph" w:styleId="Heading4">
    <w:name w:val="heading 4"/>
    <w:basedOn w:val="Normal"/>
    <w:next w:val="Normal"/>
    <w:link w:val="Heading4Char"/>
    <w:uiPriority w:val="9"/>
    <w:unhideWhenUsed/>
    <w:qFormat/>
    <w:rsid w:val="00EE0C1F"/>
    <w:pPr>
      <w:keepNext/>
      <w:keepLines/>
      <w:spacing w:before="120" w:after="120"/>
      <w:outlineLvl w:val="3"/>
    </w:pPr>
    <w:rPr>
      <w:rFonts w:asciiTheme="majorHAnsi" w:hAnsiTheme="majorHAnsi" w:cstheme="majorBidi"/>
      <w:b/>
      <w:bCs/>
      <w:i/>
      <w:iCs/>
      <w:color w:val="147267"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52F"/>
    <w:pPr>
      <w:tabs>
        <w:tab w:val="center" w:pos="4680"/>
        <w:tab w:val="right" w:pos="9360"/>
      </w:tabs>
      <w:spacing w:line="240" w:lineRule="auto"/>
    </w:pPr>
  </w:style>
  <w:style w:type="character" w:customStyle="1" w:styleId="HeaderChar">
    <w:name w:val="Header Char"/>
    <w:basedOn w:val="DefaultParagraphFont"/>
    <w:link w:val="Header"/>
    <w:uiPriority w:val="99"/>
    <w:rsid w:val="0085652F"/>
  </w:style>
  <w:style w:type="paragraph" w:styleId="Footer">
    <w:name w:val="footer"/>
    <w:basedOn w:val="Normal"/>
    <w:link w:val="FooterChar"/>
    <w:uiPriority w:val="99"/>
    <w:unhideWhenUsed/>
    <w:rsid w:val="0085652F"/>
    <w:pPr>
      <w:tabs>
        <w:tab w:val="center" w:pos="4680"/>
        <w:tab w:val="right" w:pos="9360"/>
      </w:tabs>
      <w:spacing w:line="240" w:lineRule="auto"/>
    </w:pPr>
  </w:style>
  <w:style w:type="character" w:customStyle="1" w:styleId="FooterChar">
    <w:name w:val="Footer Char"/>
    <w:basedOn w:val="DefaultParagraphFont"/>
    <w:link w:val="Footer"/>
    <w:uiPriority w:val="99"/>
    <w:rsid w:val="0085652F"/>
  </w:style>
  <w:style w:type="character" w:customStyle="1" w:styleId="Heading1Char">
    <w:name w:val="Heading 1 Char"/>
    <w:basedOn w:val="DefaultParagraphFont"/>
    <w:link w:val="Heading1"/>
    <w:uiPriority w:val="9"/>
    <w:rsid w:val="00C665C0"/>
    <w:rPr>
      <w:rFonts w:eastAsiaTheme="majorEastAsia" w:cstheme="majorBidi"/>
      <w:b/>
      <w:color w:val="9D1F62"/>
      <w:sz w:val="28"/>
      <w:szCs w:val="32"/>
    </w:rPr>
  </w:style>
  <w:style w:type="character" w:customStyle="1" w:styleId="Heading2Char">
    <w:name w:val="Heading 2 Char"/>
    <w:basedOn w:val="DefaultParagraphFont"/>
    <w:link w:val="Heading2"/>
    <w:uiPriority w:val="9"/>
    <w:rsid w:val="0085652F"/>
    <w:rPr>
      <w:rFonts w:eastAsiaTheme="majorEastAsia" w:cstheme="majorBidi"/>
      <w:b/>
      <w:color w:val="13406A"/>
      <w:szCs w:val="26"/>
    </w:rPr>
  </w:style>
  <w:style w:type="paragraph" w:styleId="ListParagraph">
    <w:name w:val="List Paragraph"/>
    <w:aliases w:val="TT - List Paragraph,TOC etc.,Proposal List Paragraph,List Paragraph - RFP,Bullet Styles para,Numbered Standard,Numbered Para 1,Dot pt,No Spacing1,List Paragraph Char Char Char,Indicator Text,List Paragraph1,Bullet Points,MAIN heading 4,lp"/>
    <w:basedOn w:val="Normal"/>
    <w:link w:val="ListParagraphChar"/>
    <w:uiPriority w:val="34"/>
    <w:qFormat/>
    <w:rsid w:val="0084354B"/>
    <w:pPr>
      <w:ind w:left="720"/>
      <w:contextualSpacing/>
    </w:pPr>
  </w:style>
  <w:style w:type="character" w:styleId="CommentReference">
    <w:name w:val="annotation reference"/>
    <w:basedOn w:val="DefaultParagraphFont"/>
    <w:uiPriority w:val="99"/>
    <w:semiHidden/>
    <w:unhideWhenUsed/>
    <w:rsid w:val="00BE15B6"/>
    <w:rPr>
      <w:sz w:val="16"/>
      <w:szCs w:val="16"/>
    </w:rPr>
  </w:style>
  <w:style w:type="paragraph" w:styleId="CommentText">
    <w:name w:val="annotation text"/>
    <w:basedOn w:val="Normal"/>
    <w:link w:val="CommentTextChar"/>
    <w:uiPriority w:val="99"/>
    <w:unhideWhenUsed/>
    <w:rsid w:val="00BE15B6"/>
    <w:pPr>
      <w:spacing w:line="240" w:lineRule="auto"/>
    </w:pPr>
    <w:rPr>
      <w:sz w:val="20"/>
      <w:szCs w:val="20"/>
    </w:rPr>
  </w:style>
  <w:style w:type="character" w:customStyle="1" w:styleId="CommentTextChar">
    <w:name w:val="Comment Text Char"/>
    <w:basedOn w:val="DefaultParagraphFont"/>
    <w:link w:val="CommentText"/>
    <w:uiPriority w:val="99"/>
    <w:rsid w:val="00BE15B6"/>
    <w:rPr>
      <w:sz w:val="20"/>
      <w:szCs w:val="20"/>
    </w:rPr>
  </w:style>
  <w:style w:type="paragraph" w:styleId="CommentSubject">
    <w:name w:val="annotation subject"/>
    <w:basedOn w:val="CommentText"/>
    <w:next w:val="CommentText"/>
    <w:link w:val="CommentSubjectChar"/>
    <w:uiPriority w:val="99"/>
    <w:semiHidden/>
    <w:unhideWhenUsed/>
    <w:rsid w:val="00BE15B6"/>
    <w:rPr>
      <w:b/>
      <w:bCs/>
    </w:rPr>
  </w:style>
  <w:style w:type="character" w:customStyle="1" w:styleId="CommentSubjectChar">
    <w:name w:val="Comment Subject Char"/>
    <w:basedOn w:val="CommentTextChar"/>
    <w:link w:val="CommentSubject"/>
    <w:uiPriority w:val="99"/>
    <w:semiHidden/>
    <w:rsid w:val="00BE15B6"/>
    <w:rPr>
      <w:b/>
      <w:bCs/>
      <w:sz w:val="20"/>
      <w:szCs w:val="20"/>
    </w:rPr>
  </w:style>
  <w:style w:type="character" w:customStyle="1" w:styleId="Heading3Char">
    <w:name w:val="Heading 3 Char"/>
    <w:basedOn w:val="DefaultParagraphFont"/>
    <w:link w:val="Heading3"/>
    <w:uiPriority w:val="9"/>
    <w:rsid w:val="00D3785B"/>
    <w:rPr>
      <w:rFonts w:ascii="Calibri" w:eastAsiaTheme="majorEastAsia" w:hAnsi="Calibri" w:cstheme="majorBidi"/>
      <w:b/>
      <w:bCs/>
      <w:i/>
      <w:color w:val="141E48"/>
      <w:sz w:val="24"/>
    </w:rPr>
  </w:style>
  <w:style w:type="character" w:styleId="Mention">
    <w:name w:val="Mention"/>
    <w:basedOn w:val="DefaultParagraphFont"/>
    <w:uiPriority w:val="99"/>
    <w:unhideWhenUsed/>
    <w:rsid w:val="00A02CB7"/>
    <w:rPr>
      <w:color w:val="2B579A"/>
      <w:shd w:val="clear" w:color="auto" w:fill="E1DFDD"/>
    </w:rPr>
  </w:style>
  <w:style w:type="table" w:styleId="TableGrid">
    <w:name w:val="Table Grid"/>
    <w:basedOn w:val="TableNormal"/>
    <w:uiPriority w:val="39"/>
    <w:rsid w:val="002D3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2B1C00"/>
    <w:pPr>
      <w:spacing w:after="200" w:line="240" w:lineRule="auto"/>
    </w:pPr>
    <w:rPr>
      <w:i/>
      <w:iCs/>
      <w:color w:val="44546A" w:themeColor="text2"/>
      <w:sz w:val="18"/>
      <w:szCs w:val="18"/>
    </w:rPr>
  </w:style>
  <w:style w:type="paragraph" w:customStyle="1" w:styleId="paragraph">
    <w:name w:val="paragraph"/>
    <w:basedOn w:val="Normal"/>
    <w:rsid w:val="006E70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E70BF"/>
  </w:style>
  <w:style w:type="character" w:customStyle="1" w:styleId="eop">
    <w:name w:val="eop"/>
    <w:basedOn w:val="DefaultParagraphFont"/>
    <w:rsid w:val="006E70BF"/>
  </w:style>
  <w:style w:type="character" w:styleId="UnresolvedMention">
    <w:name w:val="Unresolved Mention"/>
    <w:basedOn w:val="DefaultParagraphFont"/>
    <w:uiPriority w:val="99"/>
    <w:unhideWhenUsed/>
    <w:rsid w:val="00804C3A"/>
    <w:rPr>
      <w:color w:val="605E5C"/>
      <w:shd w:val="clear" w:color="auto" w:fill="E1DFDD"/>
    </w:rPr>
  </w:style>
  <w:style w:type="character" w:customStyle="1" w:styleId="Heading4Char">
    <w:name w:val="Heading 4 Char"/>
    <w:basedOn w:val="DefaultParagraphFont"/>
    <w:link w:val="Heading4"/>
    <w:uiPriority w:val="9"/>
    <w:rsid w:val="00EE0C1F"/>
    <w:rPr>
      <w:rFonts w:asciiTheme="majorHAnsi" w:eastAsiaTheme="majorEastAsia" w:hAnsiTheme="majorHAnsi" w:cstheme="majorBidi"/>
      <w:b/>
      <w:bCs/>
      <w:i/>
      <w:iCs/>
      <w:color w:val="147267" w:themeColor="accent1" w:themeShade="BF"/>
      <w:sz w:val="24"/>
      <w:szCs w:val="24"/>
    </w:rPr>
  </w:style>
  <w:style w:type="table" w:customStyle="1" w:styleId="PlainTable21">
    <w:name w:val="Plain Table 21"/>
    <w:basedOn w:val="TableNormal"/>
    <w:uiPriority w:val="42"/>
    <w:rsid w:val="00B43060"/>
    <w:pPr>
      <w:spacing w:after="0" w:line="240" w:lineRule="auto"/>
    </w:pPr>
    <w:rPr>
      <w:rFonts w:asciiTheme="minorHAnsi" w:hAnsiTheme="minorHAnsi"/>
      <w:sz w:val="24"/>
      <w:szCs w:val="24"/>
    </w:rPr>
    <w:tblPr>
      <w:tblStyleRowBandSize w:val="1"/>
      <w:tblStyleColBandSize w:val="1"/>
      <w:tblBorders>
        <w:top w:val="single" w:sz="4" w:space="0" w:color="2A78F9" w:themeColor="text1" w:themeTint="80"/>
        <w:bottom w:val="single" w:sz="4" w:space="0" w:color="2A78F9" w:themeColor="text1" w:themeTint="80"/>
      </w:tblBorders>
    </w:tblPr>
    <w:tblStylePr w:type="firstRow">
      <w:rPr>
        <w:b/>
        <w:bCs/>
      </w:rPr>
      <w:tblPr/>
      <w:tcPr>
        <w:tcBorders>
          <w:bottom w:val="single" w:sz="4" w:space="0" w:color="2A78F9" w:themeColor="text1" w:themeTint="80"/>
        </w:tcBorders>
      </w:tcPr>
    </w:tblStylePr>
    <w:tblStylePr w:type="lastRow">
      <w:rPr>
        <w:b/>
        <w:bCs/>
      </w:rPr>
      <w:tblPr/>
      <w:tcPr>
        <w:tcBorders>
          <w:top w:val="single" w:sz="4" w:space="0" w:color="2A78F9" w:themeColor="text1" w:themeTint="80"/>
        </w:tcBorders>
      </w:tcPr>
    </w:tblStylePr>
    <w:tblStylePr w:type="firstCol">
      <w:rPr>
        <w:b/>
        <w:bCs/>
      </w:rPr>
    </w:tblStylePr>
    <w:tblStylePr w:type="lastCol">
      <w:rPr>
        <w:b/>
        <w:bCs/>
      </w:rPr>
    </w:tblStylePr>
    <w:tblStylePr w:type="band1Vert">
      <w:tblPr/>
      <w:tcPr>
        <w:tcBorders>
          <w:left w:val="single" w:sz="4" w:space="0" w:color="2A78F9" w:themeColor="text1" w:themeTint="80"/>
          <w:right w:val="single" w:sz="4" w:space="0" w:color="2A78F9" w:themeColor="text1" w:themeTint="80"/>
        </w:tcBorders>
      </w:tcPr>
    </w:tblStylePr>
    <w:tblStylePr w:type="band2Vert">
      <w:tblPr/>
      <w:tcPr>
        <w:tcBorders>
          <w:left w:val="single" w:sz="4" w:space="0" w:color="2A78F9" w:themeColor="text1" w:themeTint="80"/>
          <w:right w:val="single" w:sz="4" w:space="0" w:color="2A78F9" w:themeColor="text1" w:themeTint="80"/>
        </w:tcBorders>
      </w:tcPr>
    </w:tblStylePr>
    <w:tblStylePr w:type="band1Horz">
      <w:tblPr/>
      <w:tcPr>
        <w:tcBorders>
          <w:top w:val="single" w:sz="4" w:space="0" w:color="2A78F9" w:themeColor="text1" w:themeTint="80"/>
          <w:bottom w:val="single" w:sz="4" w:space="0" w:color="2A78F9" w:themeColor="text1" w:themeTint="80"/>
        </w:tcBorders>
      </w:tcPr>
    </w:tblStylePr>
  </w:style>
  <w:style w:type="paragraph" w:customStyle="1" w:styleId="Bodysansserif">
    <w:name w:val="Body sans serif"/>
    <w:basedOn w:val="Normal"/>
    <w:qFormat/>
    <w:rsid w:val="00CA6DD0"/>
    <w:rPr>
      <w:rFonts w:asciiTheme="majorHAnsi" w:hAnsiTheme="majorHAnsi" w:cstheme="majorHAnsi"/>
    </w:rPr>
  </w:style>
  <w:style w:type="table" w:styleId="GridTable1Light">
    <w:name w:val="Grid Table 1 Light"/>
    <w:basedOn w:val="TableNormal"/>
    <w:uiPriority w:val="46"/>
    <w:rsid w:val="00B43060"/>
    <w:pPr>
      <w:spacing w:after="0" w:line="240" w:lineRule="auto"/>
    </w:pPr>
    <w:rPr>
      <w:rFonts w:ascii="Times New Roman" w:hAnsi="Times New Roman"/>
      <w:sz w:val="24"/>
      <w:szCs w:val="24"/>
    </w:rPr>
    <w:tblPr>
      <w:tblStyleRowBandSize w:val="1"/>
      <w:tblStyleColBandSize w:val="1"/>
      <w:tblBorders>
        <w:top w:val="single" w:sz="4" w:space="0" w:color="5593FA" w:themeColor="text1" w:themeTint="66"/>
        <w:left w:val="single" w:sz="4" w:space="0" w:color="5593FA" w:themeColor="text1" w:themeTint="66"/>
        <w:bottom w:val="single" w:sz="4" w:space="0" w:color="5593FA" w:themeColor="text1" w:themeTint="66"/>
        <w:right w:val="single" w:sz="4" w:space="0" w:color="5593FA" w:themeColor="text1" w:themeTint="66"/>
        <w:insideH w:val="single" w:sz="4" w:space="0" w:color="5593FA" w:themeColor="text1" w:themeTint="66"/>
        <w:insideV w:val="single" w:sz="4" w:space="0" w:color="5593FA" w:themeColor="text1" w:themeTint="66"/>
      </w:tblBorders>
    </w:tblPr>
    <w:tblStylePr w:type="firstRow">
      <w:rPr>
        <w:b/>
        <w:bCs/>
      </w:rPr>
      <w:tblPr/>
      <w:tcPr>
        <w:tcBorders>
          <w:bottom w:val="single" w:sz="12" w:space="0" w:color="065FF2" w:themeColor="text1" w:themeTint="99"/>
        </w:tcBorders>
      </w:tcPr>
    </w:tblStylePr>
    <w:tblStylePr w:type="lastRow">
      <w:rPr>
        <w:b/>
        <w:bCs/>
      </w:rPr>
      <w:tblPr/>
      <w:tcPr>
        <w:tcBorders>
          <w:top w:val="double" w:sz="2" w:space="0" w:color="065FF2" w:themeColor="text1" w:themeTint="99"/>
        </w:tcBorders>
      </w:tcPr>
    </w:tblStylePr>
    <w:tblStylePr w:type="firstCol">
      <w:rPr>
        <w:b/>
        <w:bCs/>
      </w:rPr>
    </w:tblStylePr>
    <w:tblStylePr w:type="lastCol">
      <w:rPr>
        <w:b/>
        <w:bCs/>
      </w:rPr>
    </w:tblStylePr>
  </w:style>
  <w:style w:type="character" w:styleId="Emphasis">
    <w:name w:val="Emphasis"/>
    <w:basedOn w:val="DefaultParagraphFont"/>
    <w:uiPriority w:val="20"/>
    <w:qFormat/>
    <w:rsid w:val="00B43060"/>
    <w:rPr>
      <w:i/>
      <w:iCs/>
    </w:rPr>
  </w:style>
  <w:style w:type="character" w:customStyle="1" w:styleId="ListParagraphChar">
    <w:name w:val="List Paragraph Char"/>
    <w:aliases w:val="TT - List Paragraph Char,TOC etc. Char,Proposal List Paragraph Char,List Paragraph - RFP Char,Bullet Styles para Char,Numbered Standard Char,Numbered Para 1 Char,Dot pt Char,No Spacing1 Char,List Paragraph Char Char Char Char,lp1 Cha"/>
    <w:basedOn w:val="DefaultParagraphFont"/>
    <w:link w:val="ListParagraph"/>
    <w:uiPriority w:val="34"/>
    <w:locked/>
    <w:rsid w:val="00F357FB"/>
    <w:rPr>
      <w:rFonts w:eastAsiaTheme="majorEastAsia"/>
    </w:rPr>
  </w:style>
  <w:style w:type="paragraph" w:styleId="FootnoteText">
    <w:name w:val="footnote text"/>
    <w:aliases w:val="Footnote Text1 Char,Footnote Text Char Ch,Footnote Text Char Ch Char Char Char,Footnote Text Char Ch Char Char,Footnote Text1 Char Char Char,Footnote Text Char Ch Char,ft Char,ft,TBG Style,ALTS FOOTNOTE,Footnote Text 2,fn,Footnote text,FN"/>
    <w:basedOn w:val="Normal"/>
    <w:link w:val="FootnoteTextChar"/>
    <w:uiPriority w:val="99"/>
    <w:unhideWhenUsed/>
    <w:qFormat/>
    <w:rsid w:val="00D63EE3"/>
    <w:pPr>
      <w:spacing w:after="0" w:line="240" w:lineRule="auto"/>
    </w:pPr>
    <w:rPr>
      <w:sz w:val="20"/>
      <w:szCs w:val="20"/>
    </w:rPr>
  </w:style>
  <w:style w:type="character" w:customStyle="1" w:styleId="FootnoteTextChar">
    <w:name w:val="Footnote Text Char"/>
    <w:aliases w:val="Footnote Text1 Char Char,Footnote Text Char Ch Char1,Footnote Text Char Ch Char Char Char Char,Footnote Text Char Ch Char Char Char1,Footnote Text1 Char Char Char Char,Footnote Text Char Ch Char Char1,ft Char Char,ft Char1,fn Char"/>
    <w:basedOn w:val="DefaultParagraphFont"/>
    <w:link w:val="FootnoteText"/>
    <w:uiPriority w:val="99"/>
    <w:rsid w:val="00D63EE3"/>
    <w:rPr>
      <w:rFonts w:eastAsiaTheme="majorEastAsia"/>
      <w:sz w:val="20"/>
      <w:szCs w:val="20"/>
    </w:rPr>
  </w:style>
  <w:style w:type="character" w:styleId="FootnoteReference">
    <w:name w:val="footnote reference"/>
    <w:aliases w:val="Footnote_Reference,o,fr,Style 17,o + Times New Roman,TT - Footnote Reference,FC,Style 9"/>
    <w:basedOn w:val="DefaultParagraphFont"/>
    <w:uiPriority w:val="99"/>
    <w:unhideWhenUsed/>
    <w:qFormat/>
    <w:rsid w:val="00D63EE3"/>
    <w:rPr>
      <w:vertAlign w:val="superscript"/>
    </w:rPr>
  </w:style>
  <w:style w:type="table" w:styleId="GridTable6Colorful">
    <w:name w:val="Grid Table 6 Colorful"/>
    <w:basedOn w:val="TableNormal"/>
    <w:uiPriority w:val="51"/>
    <w:rsid w:val="00643833"/>
    <w:pPr>
      <w:spacing w:after="0" w:line="240" w:lineRule="auto"/>
    </w:pPr>
    <w:rPr>
      <w:color w:val="021D49" w:themeColor="text1"/>
    </w:rPr>
    <w:tblPr>
      <w:tblStyleRowBandSize w:val="1"/>
      <w:tblStyleColBandSize w:val="1"/>
      <w:tblBorders>
        <w:top w:val="single" w:sz="4" w:space="0" w:color="065FF2" w:themeColor="text1" w:themeTint="99"/>
        <w:left w:val="single" w:sz="4" w:space="0" w:color="065FF2" w:themeColor="text1" w:themeTint="99"/>
        <w:bottom w:val="single" w:sz="4" w:space="0" w:color="065FF2" w:themeColor="text1" w:themeTint="99"/>
        <w:right w:val="single" w:sz="4" w:space="0" w:color="065FF2" w:themeColor="text1" w:themeTint="99"/>
        <w:insideH w:val="single" w:sz="4" w:space="0" w:color="065FF2" w:themeColor="text1" w:themeTint="99"/>
        <w:insideV w:val="single" w:sz="4" w:space="0" w:color="065FF2" w:themeColor="text1" w:themeTint="99"/>
      </w:tblBorders>
    </w:tblPr>
    <w:tblStylePr w:type="firstRow">
      <w:rPr>
        <w:b/>
        <w:bCs/>
      </w:rPr>
      <w:tblPr/>
      <w:tcPr>
        <w:tcBorders>
          <w:bottom w:val="single" w:sz="12" w:space="0" w:color="065FF2" w:themeColor="text1" w:themeTint="99"/>
        </w:tcBorders>
      </w:tcPr>
    </w:tblStylePr>
    <w:tblStylePr w:type="lastRow">
      <w:rPr>
        <w:b/>
        <w:bCs/>
      </w:rPr>
      <w:tblPr/>
      <w:tcPr>
        <w:tcBorders>
          <w:top w:val="double" w:sz="4" w:space="0" w:color="065FF2" w:themeColor="text1" w:themeTint="99"/>
        </w:tcBorders>
      </w:tcPr>
    </w:tblStylePr>
    <w:tblStylePr w:type="firstCol">
      <w:rPr>
        <w:b/>
        <w:bCs/>
      </w:rPr>
    </w:tblStylePr>
    <w:tblStylePr w:type="lastCol">
      <w:rPr>
        <w:b/>
        <w:bCs/>
      </w:rPr>
    </w:tblStylePr>
    <w:tblStylePr w:type="band1Vert">
      <w:tblPr/>
      <w:tcPr>
        <w:shd w:val="clear" w:color="auto" w:fill="AAC9FC" w:themeFill="text1" w:themeFillTint="33"/>
      </w:tcPr>
    </w:tblStylePr>
    <w:tblStylePr w:type="band1Horz">
      <w:tblPr/>
      <w:tcPr>
        <w:shd w:val="clear" w:color="auto" w:fill="AAC9FC" w:themeFill="text1" w:themeFillTint="33"/>
      </w:tcPr>
    </w:tblStylePr>
  </w:style>
  <w:style w:type="paragraph" w:styleId="Revision">
    <w:name w:val="Revision"/>
    <w:hidden/>
    <w:uiPriority w:val="99"/>
    <w:semiHidden/>
    <w:rsid w:val="00AF2479"/>
    <w:pPr>
      <w:spacing w:after="0" w:line="240" w:lineRule="auto"/>
    </w:pPr>
    <w:rPr>
      <w:rFonts w:eastAsiaTheme="majorEastAsia"/>
    </w:rPr>
  </w:style>
  <w:style w:type="paragraph" w:styleId="NormalWeb">
    <w:name w:val="Normal (Web)"/>
    <w:basedOn w:val="Normal"/>
    <w:uiPriority w:val="99"/>
    <w:unhideWhenUsed/>
    <w:rsid w:val="00AA5990"/>
    <w:pPr>
      <w:spacing w:before="100" w:beforeAutospacing="1" w:after="100" w:afterAutospacing="1" w:line="240" w:lineRule="auto"/>
    </w:pPr>
    <w:rPr>
      <w:rFonts w:ascii="Times New Roman" w:eastAsia="Times New Roman" w:hAnsi="Times New Roman" w:cs="Times New Roman"/>
      <w:sz w:val="24"/>
      <w:szCs w:val="24"/>
    </w:rPr>
  </w:style>
  <w:style w:type="table" w:styleId="PlainTable1">
    <w:name w:val="Plain Table 1"/>
    <w:basedOn w:val="TableNormal"/>
    <w:uiPriority w:val="41"/>
    <w:rsid w:val="00AA59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A59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B74BB0"/>
    <w:pPr>
      <w:spacing w:after="0" w:line="240" w:lineRule="auto"/>
    </w:pPr>
    <w:tblPr>
      <w:tblStyleRowBandSize w:val="1"/>
      <w:tblStyleColBandSize w:val="1"/>
    </w:tblPr>
    <w:tblStylePr w:type="firstRow">
      <w:rPr>
        <w:b/>
        <w:bCs/>
        <w:caps/>
      </w:rPr>
      <w:tblPr/>
      <w:tcPr>
        <w:tcBorders>
          <w:bottom w:val="single" w:sz="4" w:space="0" w:color="2A78F9"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2A78F9"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52EC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52EC0"/>
    <w:pPr>
      <w:spacing w:after="0" w:line="240" w:lineRule="auto"/>
    </w:pPr>
    <w:tblPr>
      <w:tblStyleRowBandSize w:val="1"/>
      <w:tblStyleColBandSize w:val="1"/>
      <w:tblBorders>
        <w:top w:val="single" w:sz="4" w:space="0" w:color="2A78F9" w:themeColor="text1" w:themeTint="80"/>
        <w:bottom w:val="single" w:sz="4" w:space="0" w:color="2A78F9" w:themeColor="text1" w:themeTint="80"/>
      </w:tblBorders>
    </w:tblPr>
    <w:tblStylePr w:type="firstRow">
      <w:rPr>
        <w:b/>
        <w:bCs/>
      </w:rPr>
      <w:tblPr/>
      <w:tcPr>
        <w:tcBorders>
          <w:bottom w:val="single" w:sz="4" w:space="0" w:color="2A78F9" w:themeColor="text1" w:themeTint="80"/>
        </w:tcBorders>
      </w:tcPr>
    </w:tblStylePr>
    <w:tblStylePr w:type="lastRow">
      <w:rPr>
        <w:b/>
        <w:bCs/>
      </w:rPr>
      <w:tblPr/>
      <w:tcPr>
        <w:tcBorders>
          <w:top w:val="single" w:sz="4" w:space="0" w:color="2A78F9" w:themeColor="text1" w:themeTint="80"/>
        </w:tcBorders>
      </w:tcPr>
    </w:tblStylePr>
    <w:tblStylePr w:type="firstCol">
      <w:rPr>
        <w:b/>
        <w:bCs/>
      </w:rPr>
    </w:tblStylePr>
    <w:tblStylePr w:type="lastCol">
      <w:rPr>
        <w:b/>
        <w:bCs/>
      </w:rPr>
    </w:tblStylePr>
    <w:tblStylePr w:type="band1Vert">
      <w:tblPr/>
      <w:tcPr>
        <w:tcBorders>
          <w:left w:val="single" w:sz="4" w:space="0" w:color="2A78F9" w:themeColor="text1" w:themeTint="80"/>
          <w:right w:val="single" w:sz="4" w:space="0" w:color="2A78F9" w:themeColor="text1" w:themeTint="80"/>
        </w:tcBorders>
      </w:tcPr>
    </w:tblStylePr>
    <w:tblStylePr w:type="band2Vert">
      <w:tblPr/>
      <w:tcPr>
        <w:tcBorders>
          <w:left w:val="single" w:sz="4" w:space="0" w:color="2A78F9" w:themeColor="text1" w:themeTint="80"/>
          <w:right w:val="single" w:sz="4" w:space="0" w:color="2A78F9" w:themeColor="text1" w:themeTint="80"/>
        </w:tcBorders>
      </w:tcPr>
    </w:tblStylePr>
    <w:tblStylePr w:type="band1Horz">
      <w:tblPr/>
      <w:tcPr>
        <w:tcBorders>
          <w:top w:val="single" w:sz="4" w:space="0" w:color="2A78F9" w:themeColor="text1" w:themeTint="80"/>
          <w:bottom w:val="single" w:sz="4" w:space="0" w:color="2A78F9" w:themeColor="text1" w:themeTint="80"/>
        </w:tcBorders>
      </w:tcPr>
    </w:tblStylePr>
  </w:style>
  <w:style w:type="character" w:styleId="Hyperlink">
    <w:name w:val="Hyperlink"/>
    <w:basedOn w:val="DefaultParagraphFont"/>
    <w:uiPriority w:val="99"/>
    <w:unhideWhenUsed/>
    <w:rsid w:val="00F65F8F"/>
    <w:rPr>
      <w:color w:val="9E1F61" w:themeColor="hyperlink"/>
      <w:u w:val="single"/>
    </w:rPr>
  </w:style>
  <w:style w:type="character" w:customStyle="1" w:styleId="cf01">
    <w:name w:val="cf01"/>
    <w:basedOn w:val="DefaultParagraphFont"/>
    <w:rsid w:val="008837AD"/>
    <w:rPr>
      <w:rFonts w:ascii="Segoe UI" w:hAnsi="Segoe UI" w:cs="Segoe UI" w:hint="default"/>
      <w:sz w:val="18"/>
      <w:szCs w:val="18"/>
    </w:rPr>
  </w:style>
  <w:style w:type="table" w:styleId="GridTable2">
    <w:name w:val="Grid Table 2"/>
    <w:basedOn w:val="TableNormal"/>
    <w:uiPriority w:val="47"/>
    <w:rsid w:val="007871B9"/>
    <w:pPr>
      <w:spacing w:after="0" w:line="240" w:lineRule="auto"/>
    </w:pPr>
    <w:tblPr>
      <w:tblStyleRowBandSize w:val="1"/>
      <w:tblStyleColBandSize w:val="1"/>
      <w:tblBorders>
        <w:top w:val="single" w:sz="2" w:space="0" w:color="065FF2" w:themeColor="text1" w:themeTint="99"/>
        <w:bottom w:val="single" w:sz="2" w:space="0" w:color="065FF2" w:themeColor="text1" w:themeTint="99"/>
        <w:insideH w:val="single" w:sz="2" w:space="0" w:color="065FF2" w:themeColor="text1" w:themeTint="99"/>
        <w:insideV w:val="single" w:sz="2" w:space="0" w:color="065FF2" w:themeColor="text1" w:themeTint="99"/>
      </w:tblBorders>
    </w:tblPr>
    <w:tblStylePr w:type="firstRow">
      <w:rPr>
        <w:b/>
        <w:bCs/>
      </w:rPr>
      <w:tblPr/>
      <w:tcPr>
        <w:tcBorders>
          <w:top w:val="nil"/>
          <w:bottom w:val="single" w:sz="12" w:space="0" w:color="065FF2" w:themeColor="text1" w:themeTint="99"/>
          <w:insideH w:val="nil"/>
          <w:insideV w:val="nil"/>
        </w:tcBorders>
        <w:shd w:val="clear" w:color="auto" w:fill="FFFFFF" w:themeFill="background1"/>
      </w:tcPr>
    </w:tblStylePr>
    <w:tblStylePr w:type="lastRow">
      <w:rPr>
        <w:b/>
        <w:bCs/>
      </w:rPr>
      <w:tblPr/>
      <w:tcPr>
        <w:tcBorders>
          <w:top w:val="double" w:sz="2" w:space="0" w:color="065FF2"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C9FC" w:themeFill="text1" w:themeFillTint="33"/>
      </w:tcPr>
    </w:tblStylePr>
    <w:tblStylePr w:type="band1Horz">
      <w:tblPr/>
      <w:tcPr>
        <w:shd w:val="clear" w:color="auto" w:fill="AAC9FC" w:themeFill="text1" w:themeFillTint="33"/>
      </w:tcPr>
    </w:tblStylePr>
  </w:style>
  <w:style w:type="table" w:styleId="ListTable3">
    <w:name w:val="List Table 3"/>
    <w:basedOn w:val="TableNormal"/>
    <w:uiPriority w:val="48"/>
    <w:rsid w:val="007871B9"/>
    <w:pPr>
      <w:spacing w:after="0" w:line="240" w:lineRule="auto"/>
    </w:pPr>
    <w:tblPr>
      <w:tblStyleRowBandSize w:val="1"/>
      <w:tblStyleColBandSize w:val="1"/>
      <w:tblBorders>
        <w:top w:val="single" w:sz="4" w:space="0" w:color="021D49" w:themeColor="text1"/>
        <w:left w:val="single" w:sz="4" w:space="0" w:color="021D49" w:themeColor="text1"/>
        <w:bottom w:val="single" w:sz="4" w:space="0" w:color="021D49" w:themeColor="text1"/>
        <w:right w:val="single" w:sz="4" w:space="0" w:color="021D49" w:themeColor="text1"/>
      </w:tblBorders>
    </w:tblPr>
    <w:tblStylePr w:type="firstRow">
      <w:rPr>
        <w:b/>
        <w:bCs/>
        <w:color w:val="FFFFFF" w:themeColor="background1"/>
      </w:rPr>
      <w:tblPr/>
      <w:tcPr>
        <w:shd w:val="clear" w:color="auto" w:fill="021D49" w:themeFill="text1"/>
      </w:tcPr>
    </w:tblStylePr>
    <w:tblStylePr w:type="lastRow">
      <w:rPr>
        <w:b/>
        <w:bCs/>
      </w:rPr>
      <w:tblPr/>
      <w:tcPr>
        <w:tcBorders>
          <w:top w:val="double" w:sz="4" w:space="0" w:color="021D49"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21D49" w:themeColor="text1"/>
          <w:right w:val="single" w:sz="4" w:space="0" w:color="021D49" w:themeColor="text1"/>
        </w:tcBorders>
      </w:tcPr>
    </w:tblStylePr>
    <w:tblStylePr w:type="band1Horz">
      <w:tblPr/>
      <w:tcPr>
        <w:tcBorders>
          <w:top w:val="single" w:sz="4" w:space="0" w:color="021D49" w:themeColor="text1"/>
          <w:bottom w:val="single" w:sz="4" w:space="0" w:color="021D49"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1D49" w:themeColor="text1"/>
          <w:left w:val="nil"/>
        </w:tcBorders>
      </w:tcPr>
    </w:tblStylePr>
    <w:tblStylePr w:type="swCell">
      <w:tblPr/>
      <w:tcPr>
        <w:tcBorders>
          <w:top w:val="double" w:sz="4" w:space="0" w:color="021D49" w:themeColor="text1"/>
          <w:right w:val="nil"/>
        </w:tcBorders>
      </w:tcPr>
    </w:tblStylePr>
  </w:style>
  <w:style w:type="table" w:styleId="GridTable4">
    <w:name w:val="Grid Table 4"/>
    <w:basedOn w:val="TableNormal"/>
    <w:uiPriority w:val="49"/>
    <w:rsid w:val="006B123A"/>
    <w:pPr>
      <w:spacing w:after="0" w:line="240" w:lineRule="auto"/>
    </w:pPr>
    <w:tblPr>
      <w:tblStyleRowBandSize w:val="1"/>
      <w:tblStyleColBandSize w:val="1"/>
      <w:tblBorders>
        <w:top w:val="single" w:sz="4" w:space="0" w:color="065FF2" w:themeColor="text1" w:themeTint="99"/>
        <w:left w:val="single" w:sz="4" w:space="0" w:color="065FF2" w:themeColor="text1" w:themeTint="99"/>
        <w:bottom w:val="single" w:sz="4" w:space="0" w:color="065FF2" w:themeColor="text1" w:themeTint="99"/>
        <w:right w:val="single" w:sz="4" w:space="0" w:color="065FF2" w:themeColor="text1" w:themeTint="99"/>
        <w:insideH w:val="single" w:sz="4" w:space="0" w:color="065FF2" w:themeColor="text1" w:themeTint="99"/>
        <w:insideV w:val="single" w:sz="4" w:space="0" w:color="065FF2" w:themeColor="text1" w:themeTint="99"/>
      </w:tblBorders>
    </w:tblPr>
    <w:tblStylePr w:type="firstRow">
      <w:rPr>
        <w:b/>
        <w:bCs/>
        <w:color w:val="FFFFFF" w:themeColor="background1"/>
      </w:rPr>
      <w:tblPr/>
      <w:tcPr>
        <w:tcBorders>
          <w:top w:val="single" w:sz="4" w:space="0" w:color="021D49" w:themeColor="text1"/>
          <w:left w:val="single" w:sz="4" w:space="0" w:color="021D49" w:themeColor="text1"/>
          <w:bottom w:val="single" w:sz="4" w:space="0" w:color="021D49" w:themeColor="text1"/>
          <w:right w:val="single" w:sz="4" w:space="0" w:color="021D49" w:themeColor="text1"/>
          <w:insideH w:val="nil"/>
          <w:insideV w:val="nil"/>
        </w:tcBorders>
        <w:shd w:val="clear" w:color="auto" w:fill="021D49" w:themeFill="text1"/>
      </w:tcPr>
    </w:tblStylePr>
    <w:tblStylePr w:type="lastRow">
      <w:rPr>
        <w:b/>
        <w:bCs/>
      </w:rPr>
      <w:tblPr/>
      <w:tcPr>
        <w:tcBorders>
          <w:top w:val="double" w:sz="4" w:space="0" w:color="021D49" w:themeColor="text1"/>
        </w:tcBorders>
      </w:tcPr>
    </w:tblStylePr>
    <w:tblStylePr w:type="firstCol">
      <w:rPr>
        <w:b/>
        <w:bCs/>
      </w:rPr>
    </w:tblStylePr>
    <w:tblStylePr w:type="lastCol">
      <w:rPr>
        <w:b/>
        <w:bCs/>
      </w:rPr>
    </w:tblStylePr>
    <w:tblStylePr w:type="band1Vert">
      <w:tblPr/>
      <w:tcPr>
        <w:shd w:val="clear" w:color="auto" w:fill="AAC9FC" w:themeFill="text1" w:themeFillTint="33"/>
      </w:tcPr>
    </w:tblStylePr>
    <w:tblStylePr w:type="band1Horz">
      <w:tblPr/>
      <w:tcPr>
        <w:shd w:val="clear" w:color="auto" w:fill="AAC9FC" w:themeFill="text1" w:themeFillTint="33"/>
      </w:tcPr>
    </w:tblStylePr>
  </w:style>
  <w:style w:type="character" w:styleId="FollowedHyperlink">
    <w:name w:val="FollowedHyperlink"/>
    <w:basedOn w:val="DefaultParagraphFont"/>
    <w:uiPriority w:val="99"/>
    <w:semiHidden/>
    <w:unhideWhenUsed/>
    <w:rsid w:val="000A620F"/>
    <w:rPr>
      <w:color w:val="954F72" w:themeColor="followedHyperlink"/>
      <w:u w:val="single"/>
    </w:rPr>
  </w:style>
  <w:style w:type="paragraph" w:customStyle="1" w:styleId="Heading1ALT">
    <w:name w:val="Heading 1 ALT"/>
    <w:basedOn w:val="Heading1"/>
    <w:next w:val="Normal"/>
    <w:qFormat/>
    <w:rsid w:val="00EF79A9"/>
    <w:pPr>
      <w:keepNext w:val="0"/>
      <w:keepLines w:val="0"/>
      <w:spacing w:after="120"/>
    </w:pPr>
    <w:rPr>
      <w:rFonts w:ascii="Calibri" w:hAnsi="Calibri"/>
      <w:bCs/>
      <w:caps/>
      <w:color w:val="141E48"/>
      <w:szCs w:val="28"/>
    </w:rPr>
  </w:style>
  <w:style w:type="paragraph" w:customStyle="1" w:styleId="Heading2ALT">
    <w:name w:val="Heading 2 ALT"/>
    <w:basedOn w:val="Heading2"/>
    <w:next w:val="Normal"/>
    <w:qFormat/>
    <w:rsid w:val="00761969"/>
    <w:pPr>
      <w:keepNext w:val="0"/>
      <w:keepLines w:val="0"/>
      <w:spacing w:after="120"/>
    </w:pPr>
    <w:rPr>
      <w:rFonts w:ascii="Calibri" w:hAnsi="Calibri"/>
      <w:bCs/>
      <w:caps/>
      <w:color w:val="141E48"/>
      <w:sz w:val="24"/>
    </w:rPr>
  </w:style>
  <w:style w:type="table" w:styleId="ListTable3-Accent5">
    <w:name w:val="List Table 3 Accent 5"/>
    <w:basedOn w:val="TableNormal"/>
    <w:uiPriority w:val="48"/>
    <w:rsid w:val="004648B0"/>
    <w:pPr>
      <w:spacing w:after="0" w:line="240" w:lineRule="auto"/>
    </w:pPr>
    <w:tblPr>
      <w:tblStyleRowBandSize w:val="1"/>
      <w:tblStyleColBandSize w:val="1"/>
      <w:tblBorders>
        <w:top w:val="single" w:sz="4" w:space="0" w:color="021D49" w:themeColor="accent5"/>
        <w:left w:val="single" w:sz="4" w:space="0" w:color="021D49" w:themeColor="accent5"/>
        <w:bottom w:val="single" w:sz="4" w:space="0" w:color="021D49" w:themeColor="accent5"/>
        <w:right w:val="single" w:sz="4" w:space="0" w:color="021D49" w:themeColor="accent5"/>
      </w:tblBorders>
    </w:tblPr>
    <w:tblStylePr w:type="firstRow">
      <w:rPr>
        <w:b/>
        <w:bCs/>
        <w:color w:val="FFFFFF" w:themeColor="background1"/>
      </w:rPr>
      <w:tblPr/>
      <w:tcPr>
        <w:shd w:val="clear" w:color="auto" w:fill="021D49" w:themeFill="accent5"/>
      </w:tcPr>
    </w:tblStylePr>
    <w:tblStylePr w:type="lastRow">
      <w:rPr>
        <w:b/>
        <w:bCs/>
      </w:rPr>
      <w:tblPr/>
      <w:tcPr>
        <w:tcBorders>
          <w:top w:val="double" w:sz="4" w:space="0" w:color="021D4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21D49" w:themeColor="accent5"/>
          <w:right w:val="single" w:sz="4" w:space="0" w:color="021D49" w:themeColor="accent5"/>
        </w:tcBorders>
      </w:tcPr>
    </w:tblStylePr>
    <w:tblStylePr w:type="band1Horz">
      <w:tblPr/>
      <w:tcPr>
        <w:tcBorders>
          <w:top w:val="single" w:sz="4" w:space="0" w:color="021D49" w:themeColor="accent5"/>
          <w:bottom w:val="single" w:sz="4" w:space="0" w:color="021D4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1D49" w:themeColor="accent5"/>
          <w:left w:val="nil"/>
        </w:tcBorders>
      </w:tcPr>
    </w:tblStylePr>
    <w:tblStylePr w:type="swCell">
      <w:tblPr/>
      <w:tcPr>
        <w:tcBorders>
          <w:top w:val="double" w:sz="4" w:space="0" w:color="021D49" w:themeColor="accent5"/>
          <w:right w:val="nil"/>
        </w:tcBorders>
      </w:tcPr>
    </w:tblStylePr>
  </w:style>
  <w:style w:type="character" w:customStyle="1" w:styleId="cf11">
    <w:name w:val="cf11"/>
    <w:basedOn w:val="DefaultParagraphFont"/>
    <w:rsid w:val="000F59A5"/>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80538">
      <w:bodyDiv w:val="1"/>
      <w:marLeft w:val="0"/>
      <w:marRight w:val="0"/>
      <w:marTop w:val="0"/>
      <w:marBottom w:val="0"/>
      <w:divBdr>
        <w:top w:val="none" w:sz="0" w:space="0" w:color="auto"/>
        <w:left w:val="none" w:sz="0" w:space="0" w:color="auto"/>
        <w:bottom w:val="none" w:sz="0" w:space="0" w:color="auto"/>
        <w:right w:val="none" w:sz="0" w:space="0" w:color="auto"/>
      </w:divBdr>
    </w:div>
    <w:div w:id="116948733">
      <w:bodyDiv w:val="1"/>
      <w:marLeft w:val="0"/>
      <w:marRight w:val="0"/>
      <w:marTop w:val="0"/>
      <w:marBottom w:val="0"/>
      <w:divBdr>
        <w:top w:val="none" w:sz="0" w:space="0" w:color="auto"/>
        <w:left w:val="none" w:sz="0" w:space="0" w:color="auto"/>
        <w:bottom w:val="none" w:sz="0" w:space="0" w:color="auto"/>
        <w:right w:val="none" w:sz="0" w:space="0" w:color="auto"/>
      </w:divBdr>
    </w:div>
    <w:div w:id="154876608">
      <w:bodyDiv w:val="1"/>
      <w:marLeft w:val="0"/>
      <w:marRight w:val="0"/>
      <w:marTop w:val="0"/>
      <w:marBottom w:val="0"/>
      <w:divBdr>
        <w:top w:val="none" w:sz="0" w:space="0" w:color="auto"/>
        <w:left w:val="none" w:sz="0" w:space="0" w:color="auto"/>
        <w:bottom w:val="none" w:sz="0" w:space="0" w:color="auto"/>
        <w:right w:val="none" w:sz="0" w:space="0" w:color="auto"/>
      </w:divBdr>
    </w:div>
    <w:div w:id="296497494">
      <w:bodyDiv w:val="1"/>
      <w:marLeft w:val="0"/>
      <w:marRight w:val="0"/>
      <w:marTop w:val="0"/>
      <w:marBottom w:val="0"/>
      <w:divBdr>
        <w:top w:val="none" w:sz="0" w:space="0" w:color="auto"/>
        <w:left w:val="none" w:sz="0" w:space="0" w:color="auto"/>
        <w:bottom w:val="none" w:sz="0" w:space="0" w:color="auto"/>
        <w:right w:val="none" w:sz="0" w:space="0" w:color="auto"/>
      </w:divBdr>
    </w:div>
    <w:div w:id="316765793">
      <w:bodyDiv w:val="1"/>
      <w:marLeft w:val="0"/>
      <w:marRight w:val="0"/>
      <w:marTop w:val="0"/>
      <w:marBottom w:val="0"/>
      <w:divBdr>
        <w:top w:val="none" w:sz="0" w:space="0" w:color="auto"/>
        <w:left w:val="none" w:sz="0" w:space="0" w:color="auto"/>
        <w:bottom w:val="none" w:sz="0" w:space="0" w:color="auto"/>
        <w:right w:val="none" w:sz="0" w:space="0" w:color="auto"/>
      </w:divBdr>
    </w:div>
    <w:div w:id="321786300">
      <w:bodyDiv w:val="1"/>
      <w:marLeft w:val="0"/>
      <w:marRight w:val="0"/>
      <w:marTop w:val="0"/>
      <w:marBottom w:val="0"/>
      <w:divBdr>
        <w:top w:val="none" w:sz="0" w:space="0" w:color="auto"/>
        <w:left w:val="none" w:sz="0" w:space="0" w:color="auto"/>
        <w:bottom w:val="none" w:sz="0" w:space="0" w:color="auto"/>
        <w:right w:val="none" w:sz="0" w:space="0" w:color="auto"/>
      </w:divBdr>
    </w:div>
    <w:div w:id="326983292">
      <w:bodyDiv w:val="1"/>
      <w:marLeft w:val="0"/>
      <w:marRight w:val="0"/>
      <w:marTop w:val="0"/>
      <w:marBottom w:val="0"/>
      <w:divBdr>
        <w:top w:val="none" w:sz="0" w:space="0" w:color="auto"/>
        <w:left w:val="none" w:sz="0" w:space="0" w:color="auto"/>
        <w:bottom w:val="none" w:sz="0" w:space="0" w:color="auto"/>
        <w:right w:val="none" w:sz="0" w:space="0" w:color="auto"/>
      </w:divBdr>
    </w:div>
    <w:div w:id="349720411">
      <w:bodyDiv w:val="1"/>
      <w:marLeft w:val="0"/>
      <w:marRight w:val="0"/>
      <w:marTop w:val="0"/>
      <w:marBottom w:val="0"/>
      <w:divBdr>
        <w:top w:val="none" w:sz="0" w:space="0" w:color="auto"/>
        <w:left w:val="none" w:sz="0" w:space="0" w:color="auto"/>
        <w:bottom w:val="none" w:sz="0" w:space="0" w:color="auto"/>
        <w:right w:val="none" w:sz="0" w:space="0" w:color="auto"/>
      </w:divBdr>
    </w:div>
    <w:div w:id="407969220">
      <w:bodyDiv w:val="1"/>
      <w:marLeft w:val="0"/>
      <w:marRight w:val="0"/>
      <w:marTop w:val="0"/>
      <w:marBottom w:val="0"/>
      <w:divBdr>
        <w:top w:val="none" w:sz="0" w:space="0" w:color="auto"/>
        <w:left w:val="none" w:sz="0" w:space="0" w:color="auto"/>
        <w:bottom w:val="none" w:sz="0" w:space="0" w:color="auto"/>
        <w:right w:val="none" w:sz="0" w:space="0" w:color="auto"/>
      </w:divBdr>
    </w:div>
    <w:div w:id="437677237">
      <w:bodyDiv w:val="1"/>
      <w:marLeft w:val="0"/>
      <w:marRight w:val="0"/>
      <w:marTop w:val="0"/>
      <w:marBottom w:val="0"/>
      <w:divBdr>
        <w:top w:val="none" w:sz="0" w:space="0" w:color="auto"/>
        <w:left w:val="none" w:sz="0" w:space="0" w:color="auto"/>
        <w:bottom w:val="none" w:sz="0" w:space="0" w:color="auto"/>
        <w:right w:val="none" w:sz="0" w:space="0" w:color="auto"/>
      </w:divBdr>
    </w:div>
    <w:div w:id="441414116">
      <w:bodyDiv w:val="1"/>
      <w:marLeft w:val="0"/>
      <w:marRight w:val="0"/>
      <w:marTop w:val="0"/>
      <w:marBottom w:val="0"/>
      <w:divBdr>
        <w:top w:val="none" w:sz="0" w:space="0" w:color="auto"/>
        <w:left w:val="none" w:sz="0" w:space="0" w:color="auto"/>
        <w:bottom w:val="none" w:sz="0" w:space="0" w:color="auto"/>
        <w:right w:val="none" w:sz="0" w:space="0" w:color="auto"/>
      </w:divBdr>
    </w:div>
    <w:div w:id="498158901">
      <w:bodyDiv w:val="1"/>
      <w:marLeft w:val="0"/>
      <w:marRight w:val="0"/>
      <w:marTop w:val="0"/>
      <w:marBottom w:val="0"/>
      <w:divBdr>
        <w:top w:val="none" w:sz="0" w:space="0" w:color="auto"/>
        <w:left w:val="none" w:sz="0" w:space="0" w:color="auto"/>
        <w:bottom w:val="none" w:sz="0" w:space="0" w:color="auto"/>
        <w:right w:val="none" w:sz="0" w:space="0" w:color="auto"/>
      </w:divBdr>
    </w:div>
    <w:div w:id="595478113">
      <w:bodyDiv w:val="1"/>
      <w:marLeft w:val="0"/>
      <w:marRight w:val="0"/>
      <w:marTop w:val="0"/>
      <w:marBottom w:val="0"/>
      <w:divBdr>
        <w:top w:val="none" w:sz="0" w:space="0" w:color="auto"/>
        <w:left w:val="none" w:sz="0" w:space="0" w:color="auto"/>
        <w:bottom w:val="none" w:sz="0" w:space="0" w:color="auto"/>
        <w:right w:val="none" w:sz="0" w:space="0" w:color="auto"/>
      </w:divBdr>
    </w:div>
    <w:div w:id="687679619">
      <w:bodyDiv w:val="1"/>
      <w:marLeft w:val="0"/>
      <w:marRight w:val="0"/>
      <w:marTop w:val="0"/>
      <w:marBottom w:val="0"/>
      <w:divBdr>
        <w:top w:val="none" w:sz="0" w:space="0" w:color="auto"/>
        <w:left w:val="none" w:sz="0" w:space="0" w:color="auto"/>
        <w:bottom w:val="none" w:sz="0" w:space="0" w:color="auto"/>
        <w:right w:val="none" w:sz="0" w:space="0" w:color="auto"/>
      </w:divBdr>
    </w:div>
    <w:div w:id="728652298">
      <w:bodyDiv w:val="1"/>
      <w:marLeft w:val="0"/>
      <w:marRight w:val="0"/>
      <w:marTop w:val="0"/>
      <w:marBottom w:val="0"/>
      <w:divBdr>
        <w:top w:val="none" w:sz="0" w:space="0" w:color="auto"/>
        <w:left w:val="none" w:sz="0" w:space="0" w:color="auto"/>
        <w:bottom w:val="none" w:sz="0" w:space="0" w:color="auto"/>
        <w:right w:val="none" w:sz="0" w:space="0" w:color="auto"/>
      </w:divBdr>
    </w:div>
    <w:div w:id="887570321">
      <w:bodyDiv w:val="1"/>
      <w:marLeft w:val="0"/>
      <w:marRight w:val="0"/>
      <w:marTop w:val="0"/>
      <w:marBottom w:val="0"/>
      <w:divBdr>
        <w:top w:val="none" w:sz="0" w:space="0" w:color="auto"/>
        <w:left w:val="none" w:sz="0" w:space="0" w:color="auto"/>
        <w:bottom w:val="none" w:sz="0" w:space="0" w:color="auto"/>
        <w:right w:val="none" w:sz="0" w:space="0" w:color="auto"/>
      </w:divBdr>
    </w:div>
    <w:div w:id="929241931">
      <w:bodyDiv w:val="1"/>
      <w:marLeft w:val="0"/>
      <w:marRight w:val="0"/>
      <w:marTop w:val="0"/>
      <w:marBottom w:val="0"/>
      <w:divBdr>
        <w:top w:val="none" w:sz="0" w:space="0" w:color="auto"/>
        <w:left w:val="none" w:sz="0" w:space="0" w:color="auto"/>
        <w:bottom w:val="none" w:sz="0" w:space="0" w:color="auto"/>
        <w:right w:val="none" w:sz="0" w:space="0" w:color="auto"/>
      </w:divBdr>
    </w:div>
    <w:div w:id="1015694644">
      <w:bodyDiv w:val="1"/>
      <w:marLeft w:val="0"/>
      <w:marRight w:val="0"/>
      <w:marTop w:val="0"/>
      <w:marBottom w:val="0"/>
      <w:divBdr>
        <w:top w:val="none" w:sz="0" w:space="0" w:color="auto"/>
        <w:left w:val="none" w:sz="0" w:space="0" w:color="auto"/>
        <w:bottom w:val="none" w:sz="0" w:space="0" w:color="auto"/>
        <w:right w:val="none" w:sz="0" w:space="0" w:color="auto"/>
      </w:divBdr>
    </w:div>
    <w:div w:id="1031996574">
      <w:bodyDiv w:val="1"/>
      <w:marLeft w:val="0"/>
      <w:marRight w:val="0"/>
      <w:marTop w:val="0"/>
      <w:marBottom w:val="0"/>
      <w:divBdr>
        <w:top w:val="none" w:sz="0" w:space="0" w:color="auto"/>
        <w:left w:val="none" w:sz="0" w:space="0" w:color="auto"/>
        <w:bottom w:val="none" w:sz="0" w:space="0" w:color="auto"/>
        <w:right w:val="none" w:sz="0" w:space="0" w:color="auto"/>
      </w:divBdr>
    </w:div>
    <w:div w:id="1038699184">
      <w:bodyDiv w:val="1"/>
      <w:marLeft w:val="0"/>
      <w:marRight w:val="0"/>
      <w:marTop w:val="0"/>
      <w:marBottom w:val="0"/>
      <w:divBdr>
        <w:top w:val="none" w:sz="0" w:space="0" w:color="auto"/>
        <w:left w:val="none" w:sz="0" w:space="0" w:color="auto"/>
        <w:bottom w:val="none" w:sz="0" w:space="0" w:color="auto"/>
        <w:right w:val="none" w:sz="0" w:space="0" w:color="auto"/>
      </w:divBdr>
    </w:div>
    <w:div w:id="1072972632">
      <w:bodyDiv w:val="1"/>
      <w:marLeft w:val="0"/>
      <w:marRight w:val="0"/>
      <w:marTop w:val="0"/>
      <w:marBottom w:val="0"/>
      <w:divBdr>
        <w:top w:val="none" w:sz="0" w:space="0" w:color="auto"/>
        <w:left w:val="none" w:sz="0" w:space="0" w:color="auto"/>
        <w:bottom w:val="none" w:sz="0" w:space="0" w:color="auto"/>
        <w:right w:val="none" w:sz="0" w:space="0" w:color="auto"/>
      </w:divBdr>
    </w:div>
    <w:div w:id="1074812529">
      <w:bodyDiv w:val="1"/>
      <w:marLeft w:val="0"/>
      <w:marRight w:val="0"/>
      <w:marTop w:val="0"/>
      <w:marBottom w:val="0"/>
      <w:divBdr>
        <w:top w:val="none" w:sz="0" w:space="0" w:color="auto"/>
        <w:left w:val="none" w:sz="0" w:space="0" w:color="auto"/>
        <w:bottom w:val="none" w:sz="0" w:space="0" w:color="auto"/>
        <w:right w:val="none" w:sz="0" w:space="0" w:color="auto"/>
      </w:divBdr>
    </w:div>
    <w:div w:id="1079331455">
      <w:bodyDiv w:val="1"/>
      <w:marLeft w:val="0"/>
      <w:marRight w:val="0"/>
      <w:marTop w:val="0"/>
      <w:marBottom w:val="0"/>
      <w:divBdr>
        <w:top w:val="none" w:sz="0" w:space="0" w:color="auto"/>
        <w:left w:val="none" w:sz="0" w:space="0" w:color="auto"/>
        <w:bottom w:val="none" w:sz="0" w:space="0" w:color="auto"/>
        <w:right w:val="none" w:sz="0" w:space="0" w:color="auto"/>
      </w:divBdr>
      <w:divsChild>
        <w:div w:id="76250285">
          <w:marLeft w:val="0"/>
          <w:marRight w:val="0"/>
          <w:marTop w:val="0"/>
          <w:marBottom w:val="0"/>
          <w:divBdr>
            <w:top w:val="none" w:sz="0" w:space="0" w:color="auto"/>
            <w:left w:val="none" w:sz="0" w:space="0" w:color="auto"/>
            <w:bottom w:val="none" w:sz="0" w:space="0" w:color="auto"/>
            <w:right w:val="none" w:sz="0" w:space="0" w:color="auto"/>
          </w:divBdr>
        </w:div>
        <w:div w:id="181284065">
          <w:marLeft w:val="0"/>
          <w:marRight w:val="0"/>
          <w:marTop w:val="0"/>
          <w:marBottom w:val="0"/>
          <w:divBdr>
            <w:top w:val="none" w:sz="0" w:space="0" w:color="auto"/>
            <w:left w:val="none" w:sz="0" w:space="0" w:color="auto"/>
            <w:bottom w:val="none" w:sz="0" w:space="0" w:color="auto"/>
            <w:right w:val="none" w:sz="0" w:space="0" w:color="auto"/>
          </w:divBdr>
        </w:div>
        <w:div w:id="200410008">
          <w:marLeft w:val="0"/>
          <w:marRight w:val="0"/>
          <w:marTop w:val="0"/>
          <w:marBottom w:val="0"/>
          <w:divBdr>
            <w:top w:val="none" w:sz="0" w:space="0" w:color="auto"/>
            <w:left w:val="none" w:sz="0" w:space="0" w:color="auto"/>
            <w:bottom w:val="none" w:sz="0" w:space="0" w:color="auto"/>
            <w:right w:val="none" w:sz="0" w:space="0" w:color="auto"/>
          </w:divBdr>
        </w:div>
        <w:div w:id="238903863">
          <w:marLeft w:val="0"/>
          <w:marRight w:val="0"/>
          <w:marTop w:val="0"/>
          <w:marBottom w:val="0"/>
          <w:divBdr>
            <w:top w:val="none" w:sz="0" w:space="0" w:color="auto"/>
            <w:left w:val="none" w:sz="0" w:space="0" w:color="auto"/>
            <w:bottom w:val="none" w:sz="0" w:space="0" w:color="auto"/>
            <w:right w:val="none" w:sz="0" w:space="0" w:color="auto"/>
          </w:divBdr>
        </w:div>
        <w:div w:id="307786472">
          <w:marLeft w:val="0"/>
          <w:marRight w:val="0"/>
          <w:marTop w:val="0"/>
          <w:marBottom w:val="0"/>
          <w:divBdr>
            <w:top w:val="none" w:sz="0" w:space="0" w:color="auto"/>
            <w:left w:val="none" w:sz="0" w:space="0" w:color="auto"/>
            <w:bottom w:val="none" w:sz="0" w:space="0" w:color="auto"/>
            <w:right w:val="none" w:sz="0" w:space="0" w:color="auto"/>
          </w:divBdr>
        </w:div>
        <w:div w:id="377976528">
          <w:marLeft w:val="0"/>
          <w:marRight w:val="0"/>
          <w:marTop w:val="0"/>
          <w:marBottom w:val="0"/>
          <w:divBdr>
            <w:top w:val="none" w:sz="0" w:space="0" w:color="auto"/>
            <w:left w:val="none" w:sz="0" w:space="0" w:color="auto"/>
            <w:bottom w:val="none" w:sz="0" w:space="0" w:color="auto"/>
            <w:right w:val="none" w:sz="0" w:space="0" w:color="auto"/>
          </w:divBdr>
        </w:div>
        <w:div w:id="397436934">
          <w:marLeft w:val="0"/>
          <w:marRight w:val="0"/>
          <w:marTop w:val="0"/>
          <w:marBottom w:val="0"/>
          <w:divBdr>
            <w:top w:val="none" w:sz="0" w:space="0" w:color="auto"/>
            <w:left w:val="none" w:sz="0" w:space="0" w:color="auto"/>
            <w:bottom w:val="none" w:sz="0" w:space="0" w:color="auto"/>
            <w:right w:val="none" w:sz="0" w:space="0" w:color="auto"/>
          </w:divBdr>
        </w:div>
        <w:div w:id="404841111">
          <w:marLeft w:val="0"/>
          <w:marRight w:val="0"/>
          <w:marTop w:val="0"/>
          <w:marBottom w:val="0"/>
          <w:divBdr>
            <w:top w:val="none" w:sz="0" w:space="0" w:color="auto"/>
            <w:left w:val="none" w:sz="0" w:space="0" w:color="auto"/>
            <w:bottom w:val="none" w:sz="0" w:space="0" w:color="auto"/>
            <w:right w:val="none" w:sz="0" w:space="0" w:color="auto"/>
          </w:divBdr>
        </w:div>
        <w:div w:id="492335575">
          <w:marLeft w:val="0"/>
          <w:marRight w:val="0"/>
          <w:marTop w:val="0"/>
          <w:marBottom w:val="0"/>
          <w:divBdr>
            <w:top w:val="none" w:sz="0" w:space="0" w:color="auto"/>
            <w:left w:val="none" w:sz="0" w:space="0" w:color="auto"/>
            <w:bottom w:val="none" w:sz="0" w:space="0" w:color="auto"/>
            <w:right w:val="none" w:sz="0" w:space="0" w:color="auto"/>
          </w:divBdr>
        </w:div>
        <w:div w:id="496460159">
          <w:marLeft w:val="0"/>
          <w:marRight w:val="0"/>
          <w:marTop w:val="0"/>
          <w:marBottom w:val="0"/>
          <w:divBdr>
            <w:top w:val="none" w:sz="0" w:space="0" w:color="auto"/>
            <w:left w:val="none" w:sz="0" w:space="0" w:color="auto"/>
            <w:bottom w:val="none" w:sz="0" w:space="0" w:color="auto"/>
            <w:right w:val="none" w:sz="0" w:space="0" w:color="auto"/>
          </w:divBdr>
        </w:div>
        <w:div w:id="656152628">
          <w:marLeft w:val="0"/>
          <w:marRight w:val="0"/>
          <w:marTop w:val="0"/>
          <w:marBottom w:val="0"/>
          <w:divBdr>
            <w:top w:val="none" w:sz="0" w:space="0" w:color="auto"/>
            <w:left w:val="none" w:sz="0" w:space="0" w:color="auto"/>
            <w:bottom w:val="none" w:sz="0" w:space="0" w:color="auto"/>
            <w:right w:val="none" w:sz="0" w:space="0" w:color="auto"/>
          </w:divBdr>
        </w:div>
        <w:div w:id="852917720">
          <w:marLeft w:val="0"/>
          <w:marRight w:val="0"/>
          <w:marTop w:val="0"/>
          <w:marBottom w:val="0"/>
          <w:divBdr>
            <w:top w:val="none" w:sz="0" w:space="0" w:color="auto"/>
            <w:left w:val="none" w:sz="0" w:space="0" w:color="auto"/>
            <w:bottom w:val="none" w:sz="0" w:space="0" w:color="auto"/>
            <w:right w:val="none" w:sz="0" w:space="0" w:color="auto"/>
          </w:divBdr>
        </w:div>
        <w:div w:id="886526623">
          <w:marLeft w:val="0"/>
          <w:marRight w:val="0"/>
          <w:marTop w:val="0"/>
          <w:marBottom w:val="0"/>
          <w:divBdr>
            <w:top w:val="none" w:sz="0" w:space="0" w:color="auto"/>
            <w:left w:val="none" w:sz="0" w:space="0" w:color="auto"/>
            <w:bottom w:val="none" w:sz="0" w:space="0" w:color="auto"/>
            <w:right w:val="none" w:sz="0" w:space="0" w:color="auto"/>
          </w:divBdr>
        </w:div>
        <w:div w:id="1147361291">
          <w:marLeft w:val="0"/>
          <w:marRight w:val="0"/>
          <w:marTop w:val="0"/>
          <w:marBottom w:val="0"/>
          <w:divBdr>
            <w:top w:val="none" w:sz="0" w:space="0" w:color="auto"/>
            <w:left w:val="none" w:sz="0" w:space="0" w:color="auto"/>
            <w:bottom w:val="none" w:sz="0" w:space="0" w:color="auto"/>
            <w:right w:val="none" w:sz="0" w:space="0" w:color="auto"/>
          </w:divBdr>
        </w:div>
        <w:div w:id="1152797112">
          <w:marLeft w:val="0"/>
          <w:marRight w:val="0"/>
          <w:marTop w:val="0"/>
          <w:marBottom w:val="0"/>
          <w:divBdr>
            <w:top w:val="none" w:sz="0" w:space="0" w:color="auto"/>
            <w:left w:val="none" w:sz="0" w:space="0" w:color="auto"/>
            <w:bottom w:val="none" w:sz="0" w:space="0" w:color="auto"/>
            <w:right w:val="none" w:sz="0" w:space="0" w:color="auto"/>
          </w:divBdr>
        </w:div>
        <w:div w:id="1206530672">
          <w:marLeft w:val="0"/>
          <w:marRight w:val="0"/>
          <w:marTop w:val="0"/>
          <w:marBottom w:val="0"/>
          <w:divBdr>
            <w:top w:val="none" w:sz="0" w:space="0" w:color="auto"/>
            <w:left w:val="none" w:sz="0" w:space="0" w:color="auto"/>
            <w:bottom w:val="none" w:sz="0" w:space="0" w:color="auto"/>
            <w:right w:val="none" w:sz="0" w:space="0" w:color="auto"/>
          </w:divBdr>
        </w:div>
        <w:div w:id="1209488724">
          <w:marLeft w:val="0"/>
          <w:marRight w:val="0"/>
          <w:marTop w:val="0"/>
          <w:marBottom w:val="0"/>
          <w:divBdr>
            <w:top w:val="none" w:sz="0" w:space="0" w:color="auto"/>
            <w:left w:val="none" w:sz="0" w:space="0" w:color="auto"/>
            <w:bottom w:val="none" w:sz="0" w:space="0" w:color="auto"/>
            <w:right w:val="none" w:sz="0" w:space="0" w:color="auto"/>
          </w:divBdr>
        </w:div>
        <w:div w:id="1452476159">
          <w:marLeft w:val="0"/>
          <w:marRight w:val="0"/>
          <w:marTop w:val="0"/>
          <w:marBottom w:val="0"/>
          <w:divBdr>
            <w:top w:val="none" w:sz="0" w:space="0" w:color="auto"/>
            <w:left w:val="none" w:sz="0" w:space="0" w:color="auto"/>
            <w:bottom w:val="none" w:sz="0" w:space="0" w:color="auto"/>
            <w:right w:val="none" w:sz="0" w:space="0" w:color="auto"/>
          </w:divBdr>
        </w:div>
        <w:div w:id="1460102290">
          <w:marLeft w:val="0"/>
          <w:marRight w:val="0"/>
          <w:marTop w:val="0"/>
          <w:marBottom w:val="0"/>
          <w:divBdr>
            <w:top w:val="none" w:sz="0" w:space="0" w:color="auto"/>
            <w:left w:val="none" w:sz="0" w:space="0" w:color="auto"/>
            <w:bottom w:val="none" w:sz="0" w:space="0" w:color="auto"/>
            <w:right w:val="none" w:sz="0" w:space="0" w:color="auto"/>
          </w:divBdr>
        </w:div>
        <w:div w:id="1470318453">
          <w:marLeft w:val="0"/>
          <w:marRight w:val="0"/>
          <w:marTop w:val="0"/>
          <w:marBottom w:val="0"/>
          <w:divBdr>
            <w:top w:val="none" w:sz="0" w:space="0" w:color="auto"/>
            <w:left w:val="none" w:sz="0" w:space="0" w:color="auto"/>
            <w:bottom w:val="none" w:sz="0" w:space="0" w:color="auto"/>
            <w:right w:val="none" w:sz="0" w:space="0" w:color="auto"/>
          </w:divBdr>
        </w:div>
        <w:div w:id="1537885838">
          <w:marLeft w:val="0"/>
          <w:marRight w:val="0"/>
          <w:marTop w:val="0"/>
          <w:marBottom w:val="0"/>
          <w:divBdr>
            <w:top w:val="none" w:sz="0" w:space="0" w:color="auto"/>
            <w:left w:val="none" w:sz="0" w:space="0" w:color="auto"/>
            <w:bottom w:val="none" w:sz="0" w:space="0" w:color="auto"/>
            <w:right w:val="none" w:sz="0" w:space="0" w:color="auto"/>
          </w:divBdr>
        </w:div>
        <w:div w:id="1690181762">
          <w:marLeft w:val="0"/>
          <w:marRight w:val="0"/>
          <w:marTop w:val="0"/>
          <w:marBottom w:val="0"/>
          <w:divBdr>
            <w:top w:val="none" w:sz="0" w:space="0" w:color="auto"/>
            <w:left w:val="none" w:sz="0" w:space="0" w:color="auto"/>
            <w:bottom w:val="none" w:sz="0" w:space="0" w:color="auto"/>
            <w:right w:val="none" w:sz="0" w:space="0" w:color="auto"/>
          </w:divBdr>
        </w:div>
        <w:div w:id="1729112917">
          <w:marLeft w:val="0"/>
          <w:marRight w:val="0"/>
          <w:marTop w:val="0"/>
          <w:marBottom w:val="0"/>
          <w:divBdr>
            <w:top w:val="none" w:sz="0" w:space="0" w:color="auto"/>
            <w:left w:val="none" w:sz="0" w:space="0" w:color="auto"/>
            <w:bottom w:val="none" w:sz="0" w:space="0" w:color="auto"/>
            <w:right w:val="none" w:sz="0" w:space="0" w:color="auto"/>
          </w:divBdr>
        </w:div>
        <w:div w:id="1809853491">
          <w:marLeft w:val="0"/>
          <w:marRight w:val="0"/>
          <w:marTop w:val="0"/>
          <w:marBottom w:val="0"/>
          <w:divBdr>
            <w:top w:val="none" w:sz="0" w:space="0" w:color="auto"/>
            <w:left w:val="none" w:sz="0" w:space="0" w:color="auto"/>
            <w:bottom w:val="none" w:sz="0" w:space="0" w:color="auto"/>
            <w:right w:val="none" w:sz="0" w:space="0" w:color="auto"/>
          </w:divBdr>
        </w:div>
        <w:div w:id="1975985047">
          <w:marLeft w:val="0"/>
          <w:marRight w:val="0"/>
          <w:marTop w:val="0"/>
          <w:marBottom w:val="0"/>
          <w:divBdr>
            <w:top w:val="none" w:sz="0" w:space="0" w:color="auto"/>
            <w:left w:val="none" w:sz="0" w:space="0" w:color="auto"/>
            <w:bottom w:val="none" w:sz="0" w:space="0" w:color="auto"/>
            <w:right w:val="none" w:sz="0" w:space="0" w:color="auto"/>
          </w:divBdr>
        </w:div>
        <w:div w:id="2055543131">
          <w:marLeft w:val="0"/>
          <w:marRight w:val="0"/>
          <w:marTop w:val="0"/>
          <w:marBottom w:val="0"/>
          <w:divBdr>
            <w:top w:val="none" w:sz="0" w:space="0" w:color="auto"/>
            <w:left w:val="none" w:sz="0" w:space="0" w:color="auto"/>
            <w:bottom w:val="none" w:sz="0" w:space="0" w:color="auto"/>
            <w:right w:val="none" w:sz="0" w:space="0" w:color="auto"/>
          </w:divBdr>
        </w:div>
        <w:div w:id="2137797222">
          <w:marLeft w:val="0"/>
          <w:marRight w:val="0"/>
          <w:marTop w:val="0"/>
          <w:marBottom w:val="0"/>
          <w:divBdr>
            <w:top w:val="none" w:sz="0" w:space="0" w:color="auto"/>
            <w:left w:val="none" w:sz="0" w:space="0" w:color="auto"/>
            <w:bottom w:val="none" w:sz="0" w:space="0" w:color="auto"/>
            <w:right w:val="none" w:sz="0" w:space="0" w:color="auto"/>
          </w:divBdr>
        </w:div>
        <w:div w:id="2142262489">
          <w:marLeft w:val="0"/>
          <w:marRight w:val="0"/>
          <w:marTop w:val="0"/>
          <w:marBottom w:val="0"/>
          <w:divBdr>
            <w:top w:val="none" w:sz="0" w:space="0" w:color="auto"/>
            <w:left w:val="none" w:sz="0" w:space="0" w:color="auto"/>
            <w:bottom w:val="none" w:sz="0" w:space="0" w:color="auto"/>
            <w:right w:val="none" w:sz="0" w:space="0" w:color="auto"/>
          </w:divBdr>
        </w:div>
      </w:divsChild>
    </w:div>
    <w:div w:id="1119765970">
      <w:bodyDiv w:val="1"/>
      <w:marLeft w:val="0"/>
      <w:marRight w:val="0"/>
      <w:marTop w:val="0"/>
      <w:marBottom w:val="0"/>
      <w:divBdr>
        <w:top w:val="none" w:sz="0" w:space="0" w:color="auto"/>
        <w:left w:val="none" w:sz="0" w:space="0" w:color="auto"/>
        <w:bottom w:val="none" w:sz="0" w:space="0" w:color="auto"/>
        <w:right w:val="none" w:sz="0" w:space="0" w:color="auto"/>
      </w:divBdr>
    </w:div>
    <w:div w:id="1179806170">
      <w:bodyDiv w:val="1"/>
      <w:marLeft w:val="0"/>
      <w:marRight w:val="0"/>
      <w:marTop w:val="0"/>
      <w:marBottom w:val="0"/>
      <w:divBdr>
        <w:top w:val="none" w:sz="0" w:space="0" w:color="auto"/>
        <w:left w:val="none" w:sz="0" w:space="0" w:color="auto"/>
        <w:bottom w:val="none" w:sz="0" w:space="0" w:color="auto"/>
        <w:right w:val="none" w:sz="0" w:space="0" w:color="auto"/>
      </w:divBdr>
    </w:div>
    <w:div w:id="1221597513">
      <w:bodyDiv w:val="1"/>
      <w:marLeft w:val="0"/>
      <w:marRight w:val="0"/>
      <w:marTop w:val="0"/>
      <w:marBottom w:val="0"/>
      <w:divBdr>
        <w:top w:val="none" w:sz="0" w:space="0" w:color="auto"/>
        <w:left w:val="none" w:sz="0" w:space="0" w:color="auto"/>
        <w:bottom w:val="none" w:sz="0" w:space="0" w:color="auto"/>
        <w:right w:val="none" w:sz="0" w:space="0" w:color="auto"/>
      </w:divBdr>
    </w:div>
    <w:div w:id="1386611722">
      <w:bodyDiv w:val="1"/>
      <w:marLeft w:val="0"/>
      <w:marRight w:val="0"/>
      <w:marTop w:val="0"/>
      <w:marBottom w:val="0"/>
      <w:divBdr>
        <w:top w:val="none" w:sz="0" w:space="0" w:color="auto"/>
        <w:left w:val="none" w:sz="0" w:space="0" w:color="auto"/>
        <w:bottom w:val="none" w:sz="0" w:space="0" w:color="auto"/>
        <w:right w:val="none" w:sz="0" w:space="0" w:color="auto"/>
      </w:divBdr>
    </w:div>
    <w:div w:id="1466896753">
      <w:bodyDiv w:val="1"/>
      <w:marLeft w:val="0"/>
      <w:marRight w:val="0"/>
      <w:marTop w:val="0"/>
      <w:marBottom w:val="0"/>
      <w:divBdr>
        <w:top w:val="none" w:sz="0" w:space="0" w:color="auto"/>
        <w:left w:val="none" w:sz="0" w:space="0" w:color="auto"/>
        <w:bottom w:val="none" w:sz="0" w:space="0" w:color="auto"/>
        <w:right w:val="none" w:sz="0" w:space="0" w:color="auto"/>
      </w:divBdr>
    </w:div>
    <w:div w:id="1491555619">
      <w:bodyDiv w:val="1"/>
      <w:marLeft w:val="0"/>
      <w:marRight w:val="0"/>
      <w:marTop w:val="0"/>
      <w:marBottom w:val="0"/>
      <w:divBdr>
        <w:top w:val="none" w:sz="0" w:space="0" w:color="auto"/>
        <w:left w:val="none" w:sz="0" w:space="0" w:color="auto"/>
        <w:bottom w:val="none" w:sz="0" w:space="0" w:color="auto"/>
        <w:right w:val="none" w:sz="0" w:space="0" w:color="auto"/>
      </w:divBdr>
    </w:div>
    <w:div w:id="1518421462">
      <w:bodyDiv w:val="1"/>
      <w:marLeft w:val="0"/>
      <w:marRight w:val="0"/>
      <w:marTop w:val="0"/>
      <w:marBottom w:val="0"/>
      <w:divBdr>
        <w:top w:val="none" w:sz="0" w:space="0" w:color="auto"/>
        <w:left w:val="none" w:sz="0" w:space="0" w:color="auto"/>
        <w:bottom w:val="none" w:sz="0" w:space="0" w:color="auto"/>
        <w:right w:val="none" w:sz="0" w:space="0" w:color="auto"/>
      </w:divBdr>
    </w:div>
    <w:div w:id="1544171230">
      <w:bodyDiv w:val="1"/>
      <w:marLeft w:val="0"/>
      <w:marRight w:val="0"/>
      <w:marTop w:val="0"/>
      <w:marBottom w:val="0"/>
      <w:divBdr>
        <w:top w:val="none" w:sz="0" w:space="0" w:color="auto"/>
        <w:left w:val="none" w:sz="0" w:space="0" w:color="auto"/>
        <w:bottom w:val="none" w:sz="0" w:space="0" w:color="auto"/>
        <w:right w:val="none" w:sz="0" w:space="0" w:color="auto"/>
      </w:divBdr>
    </w:div>
    <w:div w:id="1592350564">
      <w:bodyDiv w:val="1"/>
      <w:marLeft w:val="0"/>
      <w:marRight w:val="0"/>
      <w:marTop w:val="0"/>
      <w:marBottom w:val="0"/>
      <w:divBdr>
        <w:top w:val="none" w:sz="0" w:space="0" w:color="auto"/>
        <w:left w:val="none" w:sz="0" w:space="0" w:color="auto"/>
        <w:bottom w:val="none" w:sz="0" w:space="0" w:color="auto"/>
        <w:right w:val="none" w:sz="0" w:space="0" w:color="auto"/>
      </w:divBdr>
    </w:div>
    <w:div w:id="1623002167">
      <w:bodyDiv w:val="1"/>
      <w:marLeft w:val="0"/>
      <w:marRight w:val="0"/>
      <w:marTop w:val="0"/>
      <w:marBottom w:val="0"/>
      <w:divBdr>
        <w:top w:val="none" w:sz="0" w:space="0" w:color="auto"/>
        <w:left w:val="none" w:sz="0" w:space="0" w:color="auto"/>
        <w:bottom w:val="none" w:sz="0" w:space="0" w:color="auto"/>
        <w:right w:val="none" w:sz="0" w:space="0" w:color="auto"/>
      </w:divBdr>
    </w:div>
    <w:div w:id="1630280892">
      <w:bodyDiv w:val="1"/>
      <w:marLeft w:val="0"/>
      <w:marRight w:val="0"/>
      <w:marTop w:val="0"/>
      <w:marBottom w:val="0"/>
      <w:divBdr>
        <w:top w:val="none" w:sz="0" w:space="0" w:color="auto"/>
        <w:left w:val="none" w:sz="0" w:space="0" w:color="auto"/>
        <w:bottom w:val="none" w:sz="0" w:space="0" w:color="auto"/>
        <w:right w:val="none" w:sz="0" w:space="0" w:color="auto"/>
      </w:divBdr>
    </w:div>
    <w:div w:id="1630938866">
      <w:bodyDiv w:val="1"/>
      <w:marLeft w:val="0"/>
      <w:marRight w:val="0"/>
      <w:marTop w:val="0"/>
      <w:marBottom w:val="0"/>
      <w:divBdr>
        <w:top w:val="none" w:sz="0" w:space="0" w:color="auto"/>
        <w:left w:val="none" w:sz="0" w:space="0" w:color="auto"/>
        <w:bottom w:val="none" w:sz="0" w:space="0" w:color="auto"/>
        <w:right w:val="none" w:sz="0" w:space="0" w:color="auto"/>
      </w:divBdr>
    </w:div>
    <w:div w:id="1649244239">
      <w:bodyDiv w:val="1"/>
      <w:marLeft w:val="0"/>
      <w:marRight w:val="0"/>
      <w:marTop w:val="0"/>
      <w:marBottom w:val="0"/>
      <w:divBdr>
        <w:top w:val="none" w:sz="0" w:space="0" w:color="auto"/>
        <w:left w:val="none" w:sz="0" w:space="0" w:color="auto"/>
        <w:bottom w:val="none" w:sz="0" w:space="0" w:color="auto"/>
        <w:right w:val="none" w:sz="0" w:space="0" w:color="auto"/>
      </w:divBdr>
    </w:div>
    <w:div w:id="1657226431">
      <w:bodyDiv w:val="1"/>
      <w:marLeft w:val="0"/>
      <w:marRight w:val="0"/>
      <w:marTop w:val="0"/>
      <w:marBottom w:val="0"/>
      <w:divBdr>
        <w:top w:val="none" w:sz="0" w:space="0" w:color="auto"/>
        <w:left w:val="none" w:sz="0" w:space="0" w:color="auto"/>
        <w:bottom w:val="none" w:sz="0" w:space="0" w:color="auto"/>
        <w:right w:val="none" w:sz="0" w:space="0" w:color="auto"/>
      </w:divBdr>
    </w:div>
    <w:div w:id="1827891056">
      <w:bodyDiv w:val="1"/>
      <w:marLeft w:val="0"/>
      <w:marRight w:val="0"/>
      <w:marTop w:val="0"/>
      <w:marBottom w:val="0"/>
      <w:divBdr>
        <w:top w:val="none" w:sz="0" w:space="0" w:color="auto"/>
        <w:left w:val="none" w:sz="0" w:space="0" w:color="auto"/>
        <w:bottom w:val="none" w:sz="0" w:space="0" w:color="auto"/>
        <w:right w:val="none" w:sz="0" w:space="0" w:color="auto"/>
      </w:divBdr>
    </w:div>
    <w:div w:id="1833906277">
      <w:bodyDiv w:val="1"/>
      <w:marLeft w:val="0"/>
      <w:marRight w:val="0"/>
      <w:marTop w:val="0"/>
      <w:marBottom w:val="0"/>
      <w:divBdr>
        <w:top w:val="none" w:sz="0" w:space="0" w:color="auto"/>
        <w:left w:val="none" w:sz="0" w:space="0" w:color="auto"/>
        <w:bottom w:val="none" w:sz="0" w:space="0" w:color="auto"/>
        <w:right w:val="none" w:sz="0" w:space="0" w:color="auto"/>
      </w:divBdr>
    </w:div>
    <w:div w:id="1943875273">
      <w:bodyDiv w:val="1"/>
      <w:marLeft w:val="0"/>
      <w:marRight w:val="0"/>
      <w:marTop w:val="0"/>
      <w:marBottom w:val="0"/>
      <w:divBdr>
        <w:top w:val="none" w:sz="0" w:space="0" w:color="auto"/>
        <w:left w:val="none" w:sz="0" w:space="0" w:color="auto"/>
        <w:bottom w:val="none" w:sz="0" w:space="0" w:color="auto"/>
        <w:right w:val="none" w:sz="0" w:space="0" w:color="auto"/>
      </w:divBdr>
    </w:div>
    <w:div w:id="1963030347">
      <w:bodyDiv w:val="1"/>
      <w:marLeft w:val="0"/>
      <w:marRight w:val="0"/>
      <w:marTop w:val="0"/>
      <w:marBottom w:val="0"/>
      <w:divBdr>
        <w:top w:val="none" w:sz="0" w:space="0" w:color="auto"/>
        <w:left w:val="none" w:sz="0" w:space="0" w:color="auto"/>
        <w:bottom w:val="none" w:sz="0" w:space="0" w:color="auto"/>
        <w:right w:val="none" w:sz="0" w:space="0" w:color="auto"/>
      </w:divBdr>
    </w:div>
    <w:div w:id="1975410356">
      <w:bodyDiv w:val="1"/>
      <w:marLeft w:val="0"/>
      <w:marRight w:val="0"/>
      <w:marTop w:val="0"/>
      <w:marBottom w:val="0"/>
      <w:divBdr>
        <w:top w:val="none" w:sz="0" w:space="0" w:color="auto"/>
        <w:left w:val="none" w:sz="0" w:space="0" w:color="auto"/>
        <w:bottom w:val="none" w:sz="0" w:space="0" w:color="auto"/>
        <w:right w:val="none" w:sz="0" w:space="0" w:color="auto"/>
      </w:divBdr>
      <w:divsChild>
        <w:div w:id="446395406">
          <w:marLeft w:val="0"/>
          <w:marRight w:val="0"/>
          <w:marTop w:val="0"/>
          <w:marBottom w:val="0"/>
          <w:divBdr>
            <w:top w:val="none" w:sz="0" w:space="0" w:color="auto"/>
            <w:left w:val="none" w:sz="0" w:space="0" w:color="auto"/>
            <w:bottom w:val="none" w:sz="0" w:space="0" w:color="auto"/>
            <w:right w:val="none" w:sz="0" w:space="0" w:color="auto"/>
          </w:divBdr>
          <w:divsChild>
            <w:div w:id="742214142">
              <w:marLeft w:val="0"/>
              <w:marRight w:val="0"/>
              <w:marTop w:val="0"/>
              <w:marBottom w:val="0"/>
              <w:divBdr>
                <w:top w:val="none" w:sz="0" w:space="0" w:color="auto"/>
                <w:left w:val="none" w:sz="0" w:space="0" w:color="auto"/>
                <w:bottom w:val="none" w:sz="0" w:space="0" w:color="auto"/>
                <w:right w:val="none" w:sz="0" w:space="0" w:color="auto"/>
              </w:divBdr>
            </w:div>
            <w:div w:id="949705561">
              <w:marLeft w:val="0"/>
              <w:marRight w:val="0"/>
              <w:marTop w:val="0"/>
              <w:marBottom w:val="0"/>
              <w:divBdr>
                <w:top w:val="none" w:sz="0" w:space="0" w:color="auto"/>
                <w:left w:val="none" w:sz="0" w:space="0" w:color="auto"/>
                <w:bottom w:val="none" w:sz="0" w:space="0" w:color="auto"/>
                <w:right w:val="none" w:sz="0" w:space="0" w:color="auto"/>
              </w:divBdr>
            </w:div>
            <w:div w:id="1078668820">
              <w:marLeft w:val="0"/>
              <w:marRight w:val="0"/>
              <w:marTop w:val="0"/>
              <w:marBottom w:val="0"/>
              <w:divBdr>
                <w:top w:val="none" w:sz="0" w:space="0" w:color="auto"/>
                <w:left w:val="none" w:sz="0" w:space="0" w:color="auto"/>
                <w:bottom w:val="none" w:sz="0" w:space="0" w:color="auto"/>
                <w:right w:val="none" w:sz="0" w:space="0" w:color="auto"/>
              </w:divBdr>
            </w:div>
            <w:div w:id="1785617693">
              <w:marLeft w:val="0"/>
              <w:marRight w:val="0"/>
              <w:marTop w:val="0"/>
              <w:marBottom w:val="0"/>
              <w:divBdr>
                <w:top w:val="none" w:sz="0" w:space="0" w:color="auto"/>
                <w:left w:val="none" w:sz="0" w:space="0" w:color="auto"/>
                <w:bottom w:val="none" w:sz="0" w:space="0" w:color="auto"/>
                <w:right w:val="none" w:sz="0" w:space="0" w:color="auto"/>
              </w:divBdr>
            </w:div>
            <w:div w:id="1869879274">
              <w:marLeft w:val="0"/>
              <w:marRight w:val="0"/>
              <w:marTop w:val="0"/>
              <w:marBottom w:val="0"/>
              <w:divBdr>
                <w:top w:val="none" w:sz="0" w:space="0" w:color="auto"/>
                <w:left w:val="none" w:sz="0" w:space="0" w:color="auto"/>
                <w:bottom w:val="none" w:sz="0" w:space="0" w:color="auto"/>
                <w:right w:val="none" w:sz="0" w:space="0" w:color="auto"/>
              </w:divBdr>
            </w:div>
          </w:divsChild>
        </w:div>
        <w:div w:id="612906338">
          <w:marLeft w:val="0"/>
          <w:marRight w:val="0"/>
          <w:marTop w:val="0"/>
          <w:marBottom w:val="0"/>
          <w:divBdr>
            <w:top w:val="none" w:sz="0" w:space="0" w:color="auto"/>
            <w:left w:val="none" w:sz="0" w:space="0" w:color="auto"/>
            <w:bottom w:val="none" w:sz="0" w:space="0" w:color="auto"/>
            <w:right w:val="none" w:sz="0" w:space="0" w:color="auto"/>
          </w:divBdr>
          <w:divsChild>
            <w:div w:id="11032691">
              <w:marLeft w:val="0"/>
              <w:marRight w:val="0"/>
              <w:marTop w:val="0"/>
              <w:marBottom w:val="0"/>
              <w:divBdr>
                <w:top w:val="none" w:sz="0" w:space="0" w:color="auto"/>
                <w:left w:val="none" w:sz="0" w:space="0" w:color="auto"/>
                <w:bottom w:val="none" w:sz="0" w:space="0" w:color="auto"/>
                <w:right w:val="none" w:sz="0" w:space="0" w:color="auto"/>
              </w:divBdr>
            </w:div>
            <w:div w:id="57637139">
              <w:marLeft w:val="0"/>
              <w:marRight w:val="0"/>
              <w:marTop w:val="0"/>
              <w:marBottom w:val="0"/>
              <w:divBdr>
                <w:top w:val="none" w:sz="0" w:space="0" w:color="auto"/>
                <w:left w:val="none" w:sz="0" w:space="0" w:color="auto"/>
                <w:bottom w:val="none" w:sz="0" w:space="0" w:color="auto"/>
                <w:right w:val="none" w:sz="0" w:space="0" w:color="auto"/>
              </w:divBdr>
            </w:div>
            <w:div w:id="93863320">
              <w:marLeft w:val="0"/>
              <w:marRight w:val="0"/>
              <w:marTop w:val="0"/>
              <w:marBottom w:val="0"/>
              <w:divBdr>
                <w:top w:val="none" w:sz="0" w:space="0" w:color="auto"/>
                <w:left w:val="none" w:sz="0" w:space="0" w:color="auto"/>
                <w:bottom w:val="none" w:sz="0" w:space="0" w:color="auto"/>
                <w:right w:val="none" w:sz="0" w:space="0" w:color="auto"/>
              </w:divBdr>
            </w:div>
            <w:div w:id="94719255">
              <w:marLeft w:val="0"/>
              <w:marRight w:val="0"/>
              <w:marTop w:val="0"/>
              <w:marBottom w:val="0"/>
              <w:divBdr>
                <w:top w:val="none" w:sz="0" w:space="0" w:color="auto"/>
                <w:left w:val="none" w:sz="0" w:space="0" w:color="auto"/>
                <w:bottom w:val="none" w:sz="0" w:space="0" w:color="auto"/>
                <w:right w:val="none" w:sz="0" w:space="0" w:color="auto"/>
              </w:divBdr>
            </w:div>
            <w:div w:id="104270165">
              <w:marLeft w:val="0"/>
              <w:marRight w:val="0"/>
              <w:marTop w:val="0"/>
              <w:marBottom w:val="0"/>
              <w:divBdr>
                <w:top w:val="none" w:sz="0" w:space="0" w:color="auto"/>
                <w:left w:val="none" w:sz="0" w:space="0" w:color="auto"/>
                <w:bottom w:val="none" w:sz="0" w:space="0" w:color="auto"/>
                <w:right w:val="none" w:sz="0" w:space="0" w:color="auto"/>
              </w:divBdr>
            </w:div>
            <w:div w:id="189148995">
              <w:marLeft w:val="0"/>
              <w:marRight w:val="0"/>
              <w:marTop w:val="0"/>
              <w:marBottom w:val="0"/>
              <w:divBdr>
                <w:top w:val="none" w:sz="0" w:space="0" w:color="auto"/>
                <w:left w:val="none" w:sz="0" w:space="0" w:color="auto"/>
                <w:bottom w:val="none" w:sz="0" w:space="0" w:color="auto"/>
                <w:right w:val="none" w:sz="0" w:space="0" w:color="auto"/>
              </w:divBdr>
            </w:div>
            <w:div w:id="204342063">
              <w:marLeft w:val="0"/>
              <w:marRight w:val="0"/>
              <w:marTop w:val="0"/>
              <w:marBottom w:val="0"/>
              <w:divBdr>
                <w:top w:val="none" w:sz="0" w:space="0" w:color="auto"/>
                <w:left w:val="none" w:sz="0" w:space="0" w:color="auto"/>
                <w:bottom w:val="none" w:sz="0" w:space="0" w:color="auto"/>
                <w:right w:val="none" w:sz="0" w:space="0" w:color="auto"/>
              </w:divBdr>
            </w:div>
            <w:div w:id="867446712">
              <w:marLeft w:val="0"/>
              <w:marRight w:val="0"/>
              <w:marTop w:val="0"/>
              <w:marBottom w:val="0"/>
              <w:divBdr>
                <w:top w:val="none" w:sz="0" w:space="0" w:color="auto"/>
                <w:left w:val="none" w:sz="0" w:space="0" w:color="auto"/>
                <w:bottom w:val="none" w:sz="0" w:space="0" w:color="auto"/>
                <w:right w:val="none" w:sz="0" w:space="0" w:color="auto"/>
              </w:divBdr>
            </w:div>
            <w:div w:id="876697590">
              <w:marLeft w:val="0"/>
              <w:marRight w:val="0"/>
              <w:marTop w:val="0"/>
              <w:marBottom w:val="0"/>
              <w:divBdr>
                <w:top w:val="none" w:sz="0" w:space="0" w:color="auto"/>
                <w:left w:val="none" w:sz="0" w:space="0" w:color="auto"/>
                <w:bottom w:val="none" w:sz="0" w:space="0" w:color="auto"/>
                <w:right w:val="none" w:sz="0" w:space="0" w:color="auto"/>
              </w:divBdr>
            </w:div>
            <w:div w:id="879512657">
              <w:marLeft w:val="0"/>
              <w:marRight w:val="0"/>
              <w:marTop w:val="0"/>
              <w:marBottom w:val="0"/>
              <w:divBdr>
                <w:top w:val="none" w:sz="0" w:space="0" w:color="auto"/>
                <w:left w:val="none" w:sz="0" w:space="0" w:color="auto"/>
                <w:bottom w:val="none" w:sz="0" w:space="0" w:color="auto"/>
                <w:right w:val="none" w:sz="0" w:space="0" w:color="auto"/>
              </w:divBdr>
            </w:div>
            <w:div w:id="958729221">
              <w:marLeft w:val="0"/>
              <w:marRight w:val="0"/>
              <w:marTop w:val="0"/>
              <w:marBottom w:val="0"/>
              <w:divBdr>
                <w:top w:val="none" w:sz="0" w:space="0" w:color="auto"/>
                <w:left w:val="none" w:sz="0" w:space="0" w:color="auto"/>
                <w:bottom w:val="none" w:sz="0" w:space="0" w:color="auto"/>
                <w:right w:val="none" w:sz="0" w:space="0" w:color="auto"/>
              </w:divBdr>
            </w:div>
            <w:div w:id="960844299">
              <w:marLeft w:val="0"/>
              <w:marRight w:val="0"/>
              <w:marTop w:val="0"/>
              <w:marBottom w:val="0"/>
              <w:divBdr>
                <w:top w:val="none" w:sz="0" w:space="0" w:color="auto"/>
                <w:left w:val="none" w:sz="0" w:space="0" w:color="auto"/>
                <w:bottom w:val="none" w:sz="0" w:space="0" w:color="auto"/>
                <w:right w:val="none" w:sz="0" w:space="0" w:color="auto"/>
              </w:divBdr>
            </w:div>
            <w:div w:id="992489593">
              <w:marLeft w:val="0"/>
              <w:marRight w:val="0"/>
              <w:marTop w:val="0"/>
              <w:marBottom w:val="0"/>
              <w:divBdr>
                <w:top w:val="none" w:sz="0" w:space="0" w:color="auto"/>
                <w:left w:val="none" w:sz="0" w:space="0" w:color="auto"/>
                <w:bottom w:val="none" w:sz="0" w:space="0" w:color="auto"/>
                <w:right w:val="none" w:sz="0" w:space="0" w:color="auto"/>
              </w:divBdr>
            </w:div>
            <w:div w:id="1017777336">
              <w:marLeft w:val="0"/>
              <w:marRight w:val="0"/>
              <w:marTop w:val="0"/>
              <w:marBottom w:val="0"/>
              <w:divBdr>
                <w:top w:val="none" w:sz="0" w:space="0" w:color="auto"/>
                <w:left w:val="none" w:sz="0" w:space="0" w:color="auto"/>
                <w:bottom w:val="none" w:sz="0" w:space="0" w:color="auto"/>
                <w:right w:val="none" w:sz="0" w:space="0" w:color="auto"/>
              </w:divBdr>
            </w:div>
            <w:div w:id="1178542886">
              <w:marLeft w:val="0"/>
              <w:marRight w:val="0"/>
              <w:marTop w:val="0"/>
              <w:marBottom w:val="0"/>
              <w:divBdr>
                <w:top w:val="none" w:sz="0" w:space="0" w:color="auto"/>
                <w:left w:val="none" w:sz="0" w:space="0" w:color="auto"/>
                <w:bottom w:val="none" w:sz="0" w:space="0" w:color="auto"/>
                <w:right w:val="none" w:sz="0" w:space="0" w:color="auto"/>
              </w:divBdr>
            </w:div>
            <w:div w:id="1298609045">
              <w:marLeft w:val="0"/>
              <w:marRight w:val="0"/>
              <w:marTop w:val="0"/>
              <w:marBottom w:val="0"/>
              <w:divBdr>
                <w:top w:val="none" w:sz="0" w:space="0" w:color="auto"/>
                <w:left w:val="none" w:sz="0" w:space="0" w:color="auto"/>
                <w:bottom w:val="none" w:sz="0" w:space="0" w:color="auto"/>
                <w:right w:val="none" w:sz="0" w:space="0" w:color="auto"/>
              </w:divBdr>
            </w:div>
            <w:div w:id="1395548307">
              <w:marLeft w:val="0"/>
              <w:marRight w:val="0"/>
              <w:marTop w:val="0"/>
              <w:marBottom w:val="0"/>
              <w:divBdr>
                <w:top w:val="none" w:sz="0" w:space="0" w:color="auto"/>
                <w:left w:val="none" w:sz="0" w:space="0" w:color="auto"/>
                <w:bottom w:val="none" w:sz="0" w:space="0" w:color="auto"/>
                <w:right w:val="none" w:sz="0" w:space="0" w:color="auto"/>
              </w:divBdr>
            </w:div>
            <w:div w:id="1518423026">
              <w:marLeft w:val="0"/>
              <w:marRight w:val="0"/>
              <w:marTop w:val="0"/>
              <w:marBottom w:val="0"/>
              <w:divBdr>
                <w:top w:val="none" w:sz="0" w:space="0" w:color="auto"/>
                <w:left w:val="none" w:sz="0" w:space="0" w:color="auto"/>
                <w:bottom w:val="none" w:sz="0" w:space="0" w:color="auto"/>
                <w:right w:val="none" w:sz="0" w:space="0" w:color="auto"/>
              </w:divBdr>
            </w:div>
            <w:div w:id="1539976832">
              <w:marLeft w:val="0"/>
              <w:marRight w:val="0"/>
              <w:marTop w:val="0"/>
              <w:marBottom w:val="0"/>
              <w:divBdr>
                <w:top w:val="none" w:sz="0" w:space="0" w:color="auto"/>
                <w:left w:val="none" w:sz="0" w:space="0" w:color="auto"/>
                <w:bottom w:val="none" w:sz="0" w:space="0" w:color="auto"/>
                <w:right w:val="none" w:sz="0" w:space="0" w:color="auto"/>
              </w:divBdr>
            </w:div>
            <w:div w:id="1622421673">
              <w:marLeft w:val="0"/>
              <w:marRight w:val="0"/>
              <w:marTop w:val="0"/>
              <w:marBottom w:val="0"/>
              <w:divBdr>
                <w:top w:val="none" w:sz="0" w:space="0" w:color="auto"/>
                <w:left w:val="none" w:sz="0" w:space="0" w:color="auto"/>
                <w:bottom w:val="none" w:sz="0" w:space="0" w:color="auto"/>
                <w:right w:val="none" w:sz="0" w:space="0" w:color="auto"/>
              </w:divBdr>
            </w:div>
            <w:div w:id="1686712492">
              <w:marLeft w:val="0"/>
              <w:marRight w:val="0"/>
              <w:marTop w:val="0"/>
              <w:marBottom w:val="0"/>
              <w:divBdr>
                <w:top w:val="none" w:sz="0" w:space="0" w:color="auto"/>
                <w:left w:val="none" w:sz="0" w:space="0" w:color="auto"/>
                <w:bottom w:val="none" w:sz="0" w:space="0" w:color="auto"/>
                <w:right w:val="none" w:sz="0" w:space="0" w:color="auto"/>
              </w:divBdr>
            </w:div>
            <w:div w:id="1696692778">
              <w:marLeft w:val="0"/>
              <w:marRight w:val="0"/>
              <w:marTop w:val="0"/>
              <w:marBottom w:val="0"/>
              <w:divBdr>
                <w:top w:val="none" w:sz="0" w:space="0" w:color="auto"/>
                <w:left w:val="none" w:sz="0" w:space="0" w:color="auto"/>
                <w:bottom w:val="none" w:sz="0" w:space="0" w:color="auto"/>
                <w:right w:val="none" w:sz="0" w:space="0" w:color="auto"/>
              </w:divBdr>
            </w:div>
            <w:div w:id="1817867860">
              <w:marLeft w:val="0"/>
              <w:marRight w:val="0"/>
              <w:marTop w:val="0"/>
              <w:marBottom w:val="0"/>
              <w:divBdr>
                <w:top w:val="none" w:sz="0" w:space="0" w:color="auto"/>
                <w:left w:val="none" w:sz="0" w:space="0" w:color="auto"/>
                <w:bottom w:val="none" w:sz="0" w:space="0" w:color="auto"/>
                <w:right w:val="none" w:sz="0" w:space="0" w:color="auto"/>
              </w:divBdr>
            </w:div>
            <w:div w:id="1870098610">
              <w:marLeft w:val="0"/>
              <w:marRight w:val="0"/>
              <w:marTop w:val="0"/>
              <w:marBottom w:val="0"/>
              <w:divBdr>
                <w:top w:val="none" w:sz="0" w:space="0" w:color="auto"/>
                <w:left w:val="none" w:sz="0" w:space="0" w:color="auto"/>
                <w:bottom w:val="none" w:sz="0" w:space="0" w:color="auto"/>
                <w:right w:val="none" w:sz="0" w:space="0" w:color="auto"/>
              </w:divBdr>
            </w:div>
            <w:div w:id="1899390962">
              <w:marLeft w:val="0"/>
              <w:marRight w:val="0"/>
              <w:marTop w:val="0"/>
              <w:marBottom w:val="0"/>
              <w:divBdr>
                <w:top w:val="none" w:sz="0" w:space="0" w:color="auto"/>
                <w:left w:val="none" w:sz="0" w:space="0" w:color="auto"/>
                <w:bottom w:val="none" w:sz="0" w:space="0" w:color="auto"/>
                <w:right w:val="none" w:sz="0" w:space="0" w:color="auto"/>
              </w:divBdr>
            </w:div>
            <w:div w:id="1977946940">
              <w:marLeft w:val="0"/>
              <w:marRight w:val="0"/>
              <w:marTop w:val="0"/>
              <w:marBottom w:val="0"/>
              <w:divBdr>
                <w:top w:val="none" w:sz="0" w:space="0" w:color="auto"/>
                <w:left w:val="none" w:sz="0" w:space="0" w:color="auto"/>
                <w:bottom w:val="none" w:sz="0" w:space="0" w:color="auto"/>
                <w:right w:val="none" w:sz="0" w:space="0" w:color="auto"/>
              </w:divBdr>
            </w:div>
            <w:div w:id="2022664627">
              <w:marLeft w:val="0"/>
              <w:marRight w:val="0"/>
              <w:marTop w:val="0"/>
              <w:marBottom w:val="0"/>
              <w:divBdr>
                <w:top w:val="none" w:sz="0" w:space="0" w:color="auto"/>
                <w:left w:val="none" w:sz="0" w:space="0" w:color="auto"/>
                <w:bottom w:val="none" w:sz="0" w:space="0" w:color="auto"/>
                <w:right w:val="none" w:sz="0" w:space="0" w:color="auto"/>
              </w:divBdr>
            </w:div>
            <w:div w:id="2030258115">
              <w:marLeft w:val="0"/>
              <w:marRight w:val="0"/>
              <w:marTop w:val="0"/>
              <w:marBottom w:val="0"/>
              <w:divBdr>
                <w:top w:val="none" w:sz="0" w:space="0" w:color="auto"/>
                <w:left w:val="none" w:sz="0" w:space="0" w:color="auto"/>
                <w:bottom w:val="none" w:sz="0" w:space="0" w:color="auto"/>
                <w:right w:val="none" w:sz="0" w:space="0" w:color="auto"/>
              </w:divBdr>
            </w:div>
            <w:div w:id="2066558589">
              <w:marLeft w:val="0"/>
              <w:marRight w:val="0"/>
              <w:marTop w:val="0"/>
              <w:marBottom w:val="0"/>
              <w:divBdr>
                <w:top w:val="none" w:sz="0" w:space="0" w:color="auto"/>
                <w:left w:val="none" w:sz="0" w:space="0" w:color="auto"/>
                <w:bottom w:val="none" w:sz="0" w:space="0" w:color="auto"/>
                <w:right w:val="none" w:sz="0" w:space="0" w:color="auto"/>
              </w:divBdr>
            </w:div>
          </w:divsChild>
        </w:div>
        <w:div w:id="896278136">
          <w:marLeft w:val="0"/>
          <w:marRight w:val="0"/>
          <w:marTop w:val="0"/>
          <w:marBottom w:val="0"/>
          <w:divBdr>
            <w:top w:val="none" w:sz="0" w:space="0" w:color="auto"/>
            <w:left w:val="none" w:sz="0" w:space="0" w:color="auto"/>
            <w:bottom w:val="none" w:sz="0" w:space="0" w:color="auto"/>
            <w:right w:val="none" w:sz="0" w:space="0" w:color="auto"/>
          </w:divBdr>
          <w:divsChild>
            <w:div w:id="182206335">
              <w:marLeft w:val="0"/>
              <w:marRight w:val="0"/>
              <w:marTop w:val="0"/>
              <w:marBottom w:val="0"/>
              <w:divBdr>
                <w:top w:val="none" w:sz="0" w:space="0" w:color="auto"/>
                <w:left w:val="none" w:sz="0" w:space="0" w:color="auto"/>
                <w:bottom w:val="none" w:sz="0" w:space="0" w:color="auto"/>
                <w:right w:val="none" w:sz="0" w:space="0" w:color="auto"/>
              </w:divBdr>
            </w:div>
            <w:div w:id="776171525">
              <w:marLeft w:val="0"/>
              <w:marRight w:val="0"/>
              <w:marTop w:val="0"/>
              <w:marBottom w:val="0"/>
              <w:divBdr>
                <w:top w:val="none" w:sz="0" w:space="0" w:color="auto"/>
                <w:left w:val="none" w:sz="0" w:space="0" w:color="auto"/>
                <w:bottom w:val="none" w:sz="0" w:space="0" w:color="auto"/>
                <w:right w:val="none" w:sz="0" w:space="0" w:color="auto"/>
              </w:divBdr>
            </w:div>
            <w:div w:id="1657221612">
              <w:marLeft w:val="0"/>
              <w:marRight w:val="0"/>
              <w:marTop w:val="0"/>
              <w:marBottom w:val="0"/>
              <w:divBdr>
                <w:top w:val="none" w:sz="0" w:space="0" w:color="auto"/>
                <w:left w:val="none" w:sz="0" w:space="0" w:color="auto"/>
                <w:bottom w:val="none" w:sz="0" w:space="0" w:color="auto"/>
                <w:right w:val="none" w:sz="0" w:space="0" w:color="auto"/>
              </w:divBdr>
            </w:div>
            <w:div w:id="1877234755">
              <w:marLeft w:val="0"/>
              <w:marRight w:val="0"/>
              <w:marTop w:val="0"/>
              <w:marBottom w:val="0"/>
              <w:divBdr>
                <w:top w:val="none" w:sz="0" w:space="0" w:color="auto"/>
                <w:left w:val="none" w:sz="0" w:space="0" w:color="auto"/>
                <w:bottom w:val="none" w:sz="0" w:space="0" w:color="auto"/>
                <w:right w:val="none" w:sz="0" w:space="0" w:color="auto"/>
              </w:divBdr>
            </w:div>
            <w:div w:id="2091655999">
              <w:marLeft w:val="0"/>
              <w:marRight w:val="0"/>
              <w:marTop w:val="0"/>
              <w:marBottom w:val="0"/>
              <w:divBdr>
                <w:top w:val="none" w:sz="0" w:space="0" w:color="auto"/>
                <w:left w:val="none" w:sz="0" w:space="0" w:color="auto"/>
                <w:bottom w:val="none" w:sz="0" w:space="0" w:color="auto"/>
                <w:right w:val="none" w:sz="0" w:space="0" w:color="auto"/>
              </w:divBdr>
            </w:div>
          </w:divsChild>
        </w:div>
        <w:div w:id="1006709831">
          <w:marLeft w:val="0"/>
          <w:marRight w:val="0"/>
          <w:marTop w:val="0"/>
          <w:marBottom w:val="0"/>
          <w:divBdr>
            <w:top w:val="none" w:sz="0" w:space="0" w:color="auto"/>
            <w:left w:val="none" w:sz="0" w:space="0" w:color="auto"/>
            <w:bottom w:val="none" w:sz="0" w:space="0" w:color="auto"/>
            <w:right w:val="none" w:sz="0" w:space="0" w:color="auto"/>
          </w:divBdr>
          <w:divsChild>
            <w:div w:id="2140151471">
              <w:marLeft w:val="-75"/>
              <w:marRight w:val="0"/>
              <w:marTop w:val="30"/>
              <w:marBottom w:val="30"/>
              <w:divBdr>
                <w:top w:val="none" w:sz="0" w:space="0" w:color="auto"/>
                <w:left w:val="none" w:sz="0" w:space="0" w:color="auto"/>
                <w:bottom w:val="none" w:sz="0" w:space="0" w:color="auto"/>
                <w:right w:val="none" w:sz="0" w:space="0" w:color="auto"/>
              </w:divBdr>
              <w:divsChild>
                <w:div w:id="10843488">
                  <w:marLeft w:val="0"/>
                  <w:marRight w:val="0"/>
                  <w:marTop w:val="0"/>
                  <w:marBottom w:val="0"/>
                  <w:divBdr>
                    <w:top w:val="none" w:sz="0" w:space="0" w:color="auto"/>
                    <w:left w:val="none" w:sz="0" w:space="0" w:color="auto"/>
                    <w:bottom w:val="none" w:sz="0" w:space="0" w:color="auto"/>
                    <w:right w:val="none" w:sz="0" w:space="0" w:color="auto"/>
                  </w:divBdr>
                  <w:divsChild>
                    <w:div w:id="1747069117">
                      <w:marLeft w:val="0"/>
                      <w:marRight w:val="0"/>
                      <w:marTop w:val="0"/>
                      <w:marBottom w:val="0"/>
                      <w:divBdr>
                        <w:top w:val="none" w:sz="0" w:space="0" w:color="auto"/>
                        <w:left w:val="none" w:sz="0" w:space="0" w:color="auto"/>
                        <w:bottom w:val="none" w:sz="0" w:space="0" w:color="auto"/>
                        <w:right w:val="none" w:sz="0" w:space="0" w:color="auto"/>
                      </w:divBdr>
                    </w:div>
                  </w:divsChild>
                </w:div>
                <w:div w:id="23947074">
                  <w:marLeft w:val="0"/>
                  <w:marRight w:val="0"/>
                  <w:marTop w:val="0"/>
                  <w:marBottom w:val="0"/>
                  <w:divBdr>
                    <w:top w:val="none" w:sz="0" w:space="0" w:color="auto"/>
                    <w:left w:val="none" w:sz="0" w:space="0" w:color="auto"/>
                    <w:bottom w:val="none" w:sz="0" w:space="0" w:color="auto"/>
                    <w:right w:val="none" w:sz="0" w:space="0" w:color="auto"/>
                  </w:divBdr>
                  <w:divsChild>
                    <w:div w:id="91825678">
                      <w:marLeft w:val="0"/>
                      <w:marRight w:val="0"/>
                      <w:marTop w:val="0"/>
                      <w:marBottom w:val="0"/>
                      <w:divBdr>
                        <w:top w:val="none" w:sz="0" w:space="0" w:color="auto"/>
                        <w:left w:val="none" w:sz="0" w:space="0" w:color="auto"/>
                        <w:bottom w:val="none" w:sz="0" w:space="0" w:color="auto"/>
                        <w:right w:val="none" w:sz="0" w:space="0" w:color="auto"/>
                      </w:divBdr>
                    </w:div>
                  </w:divsChild>
                </w:div>
                <w:div w:id="26682649">
                  <w:marLeft w:val="0"/>
                  <w:marRight w:val="0"/>
                  <w:marTop w:val="0"/>
                  <w:marBottom w:val="0"/>
                  <w:divBdr>
                    <w:top w:val="none" w:sz="0" w:space="0" w:color="auto"/>
                    <w:left w:val="none" w:sz="0" w:space="0" w:color="auto"/>
                    <w:bottom w:val="none" w:sz="0" w:space="0" w:color="auto"/>
                    <w:right w:val="none" w:sz="0" w:space="0" w:color="auto"/>
                  </w:divBdr>
                  <w:divsChild>
                    <w:div w:id="336857472">
                      <w:marLeft w:val="0"/>
                      <w:marRight w:val="0"/>
                      <w:marTop w:val="0"/>
                      <w:marBottom w:val="0"/>
                      <w:divBdr>
                        <w:top w:val="none" w:sz="0" w:space="0" w:color="auto"/>
                        <w:left w:val="none" w:sz="0" w:space="0" w:color="auto"/>
                        <w:bottom w:val="none" w:sz="0" w:space="0" w:color="auto"/>
                        <w:right w:val="none" w:sz="0" w:space="0" w:color="auto"/>
                      </w:divBdr>
                    </w:div>
                  </w:divsChild>
                </w:div>
                <w:div w:id="78910571">
                  <w:marLeft w:val="0"/>
                  <w:marRight w:val="0"/>
                  <w:marTop w:val="0"/>
                  <w:marBottom w:val="0"/>
                  <w:divBdr>
                    <w:top w:val="none" w:sz="0" w:space="0" w:color="auto"/>
                    <w:left w:val="none" w:sz="0" w:space="0" w:color="auto"/>
                    <w:bottom w:val="none" w:sz="0" w:space="0" w:color="auto"/>
                    <w:right w:val="none" w:sz="0" w:space="0" w:color="auto"/>
                  </w:divBdr>
                  <w:divsChild>
                    <w:div w:id="1475683084">
                      <w:marLeft w:val="0"/>
                      <w:marRight w:val="0"/>
                      <w:marTop w:val="0"/>
                      <w:marBottom w:val="0"/>
                      <w:divBdr>
                        <w:top w:val="none" w:sz="0" w:space="0" w:color="auto"/>
                        <w:left w:val="none" w:sz="0" w:space="0" w:color="auto"/>
                        <w:bottom w:val="none" w:sz="0" w:space="0" w:color="auto"/>
                        <w:right w:val="none" w:sz="0" w:space="0" w:color="auto"/>
                      </w:divBdr>
                    </w:div>
                  </w:divsChild>
                </w:div>
                <w:div w:id="186791863">
                  <w:marLeft w:val="0"/>
                  <w:marRight w:val="0"/>
                  <w:marTop w:val="0"/>
                  <w:marBottom w:val="0"/>
                  <w:divBdr>
                    <w:top w:val="none" w:sz="0" w:space="0" w:color="auto"/>
                    <w:left w:val="none" w:sz="0" w:space="0" w:color="auto"/>
                    <w:bottom w:val="none" w:sz="0" w:space="0" w:color="auto"/>
                    <w:right w:val="none" w:sz="0" w:space="0" w:color="auto"/>
                  </w:divBdr>
                  <w:divsChild>
                    <w:div w:id="1565989683">
                      <w:marLeft w:val="0"/>
                      <w:marRight w:val="0"/>
                      <w:marTop w:val="0"/>
                      <w:marBottom w:val="0"/>
                      <w:divBdr>
                        <w:top w:val="none" w:sz="0" w:space="0" w:color="auto"/>
                        <w:left w:val="none" w:sz="0" w:space="0" w:color="auto"/>
                        <w:bottom w:val="none" w:sz="0" w:space="0" w:color="auto"/>
                        <w:right w:val="none" w:sz="0" w:space="0" w:color="auto"/>
                      </w:divBdr>
                    </w:div>
                  </w:divsChild>
                </w:div>
                <w:div w:id="186801083">
                  <w:marLeft w:val="0"/>
                  <w:marRight w:val="0"/>
                  <w:marTop w:val="0"/>
                  <w:marBottom w:val="0"/>
                  <w:divBdr>
                    <w:top w:val="none" w:sz="0" w:space="0" w:color="auto"/>
                    <w:left w:val="none" w:sz="0" w:space="0" w:color="auto"/>
                    <w:bottom w:val="none" w:sz="0" w:space="0" w:color="auto"/>
                    <w:right w:val="none" w:sz="0" w:space="0" w:color="auto"/>
                  </w:divBdr>
                  <w:divsChild>
                    <w:div w:id="1828327318">
                      <w:marLeft w:val="0"/>
                      <w:marRight w:val="0"/>
                      <w:marTop w:val="0"/>
                      <w:marBottom w:val="0"/>
                      <w:divBdr>
                        <w:top w:val="none" w:sz="0" w:space="0" w:color="auto"/>
                        <w:left w:val="none" w:sz="0" w:space="0" w:color="auto"/>
                        <w:bottom w:val="none" w:sz="0" w:space="0" w:color="auto"/>
                        <w:right w:val="none" w:sz="0" w:space="0" w:color="auto"/>
                      </w:divBdr>
                    </w:div>
                  </w:divsChild>
                </w:div>
                <w:div w:id="270626686">
                  <w:marLeft w:val="0"/>
                  <w:marRight w:val="0"/>
                  <w:marTop w:val="0"/>
                  <w:marBottom w:val="0"/>
                  <w:divBdr>
                    <w:top w:val="none" w:sz="0" w:space="0" w:color="auto"/>
                    <w:left w:val="none" w:sz="0" w:space="0" w:color="auto"/>
                    <w:bottom w:val="none" w:sz="0" w:space="0" w:color="auto"/>
                    <w:right w:val="none" w:sz="0" w:space="0" w:color="auto"/>
                  </w:divBdr>
                  <w:divsChild>
                    <w:div w:id="1007555409">
                      <w:marLeft w:val="0"/>
                      <w:marRight w:val="0"/>
                      <w:marTop w:val="0"/>
                      <w:marBottom w:val="0"/>
                      <w:divBdr>
                        <w:top w:val="none" w:sz="0" w:space="0" w:color="auto"/>
                        <w:left w:val="none" w:sz="0" w:space="0" w:color="auto"/>
                        <w:bottom w:val="none" w:sz="0" w:space="0" w:color="auto"/>
                        <w:right w:val="none" w:sz="0" w:space="0" w:color="auto"/>
                      </w:divBdr>
                    </w:div>
                  </w:divsChild>
                </w:div>
                <w:div w:id="570776854">
                  <w:marLeft w:val="0"/>
                  <w:marRight w:val="0"/>
                  <w:marTop w:val="0"/>
                  <w:marBottom w:val="0"/>
                  <w:divBdr>
                    <w:top w:val="none" w:sz="0" w:space="0" w:color="auto"/>
                    <w:left w:val="none" w:sz="0" w:space="0" w:color="auto"/>
                    <w:bottom w:val="none" w:sz="0" w:space="0" w:color="auto"/>
                    <w:right w:val="none" w:sz="0" w:space="0" w:color="auto"/>
                  </w:divBdr>
                  <w:divsChild>
                    <w:div w:id="2051101062">
                      <w:marLeft w:val="0"/>
                      <w:marRight w:val="0"/>
                      <w:marTop w:val="0"/>
                      <w:marBottom w:val="0"/>
                      <w:divBdr>
                        <w:top w:val="none" w:sz="0" w:space="0" w:color="auto"/>
                        <w:left w:val="none" w:sz="0" w:space="0" w:color="auto"/>
                        <w:bottom w:val="none" w:sz="0" w:space="0" w:color="auto"/>
                        <w:right w:val="none" w:sz="0" w:space="0" w:color="auto"/>
                      </w:divBdr>
                    </w:div>
                  </w:divsChild>
                </w:div>
                <w:div w:id="620502565">
                  <w:marLeft w:val="0"/>
                  <w:marRight w:val="0"/>
                  <w:marTop w:val="0"/>
                  <w:marBottom w:val="0"/>
                  <w:divBdr>
                    <w:top w:val="none" w:sz="0" w:space="0" w:color="auto"/>
                    <w:left w:val="none" w:sz="0" w:space="0" w:color="auto"/>
                    <w:bottom w:val="none" w:sz="0" w:space="0" w:color="auto"/>
                    <w:right w:val="none" w:sz="0" w:space="0" w:color="auto"/>
                  </w:divBdr>
                  <w:divsChild>
                    <w:div w:id="95902417">
                      <w:marLeft w:val="0"/>
                      <w:marRight w:val="0"/>
                      <w:marTop w:val="0"/>
                      <w:marBottom w:val="0"/>
                      <w:divBdr>
                        <w:top w:val="none" w:sz="0" w:space="0" w:color="auto"/>
                        <w:left w:val="none" w:sz="0" w:space="0" w:color="auto"/>
                        <w:bottom w:val="none" w:sz="0" w:space="0" w:color="auto"/>
                        <w:right w:val="none" w:sz="0" w:space="0" w:color="auto"/>
                      </w:divBdr>
                    </w:div>
                  </w:divsChild>
                </w:div>
                <w:div w:id="770511939">
                  <w:marLeft w:val="0"/>
                  <w:marRight w:val="0"/>
                  <w:marTop w:val="0"/>
                  <w:marBottom w:val="0"/>
                  <w:divBdr>
                    <w:top w:val="none" w:sz="0" w:space="0" w:color="auto"/>
                    <w:left w:val="none" w:sz="0" w:space="0" w:color="auto"/>
                    <w:bottom w:val="none" w:sz="0" w:space="0" w:color="auto"/>
                    <w:right w:val="none" w:sz="0" w:space="0" w:color="auto"/>
                  </w:divBdr>
                  <w:divsChild>
                    <w:div w:id="928732617">
                      <w:marLeft w:val="0"/>
                      <w:marRight w:val="0"/>
                      <w:marTop w:val="0"/>
                      <w:marBottom w:val="0"/>
                      <w:divBdr>
                        <w:top w:val="none" w:sz="0" w:space="0" w:color="auto"/>
                        <w:left w:val="none" w:sz="0" w:space="0" w:color="auto"/>
                        <w:bottom w:val="none" w:sz="0" w:space="0" w:color="auto"/>
                        <w:right w:val="none" w:sz="0" w:space="0" w:color="auto"/>
                      </w:divBdr>
                    </w:div>
                  </w:divsChild>
                </w:div>
                <w:div w:id="803237121">
                  <w:marLeft w:val="0"/>
                  <w:marRight w:val="0"/>
                  <w:marTop w:val="0"/>
                  <w:marBottom w:val="0"/>
                  <w:divBdr>
                    <w:top w:val="none" w:sz="0" w:space="0" w:color="auto"/>
                    <w:left w:val="none" w:sz="0" w:space="0" w:color="auto"/>
                    <w:bottom w:val="none" w:sz="0" w:space="0" w:color="auto"/>
                    <w:right w:val="none" w:sz="0" w:space="0" w:color="auto"/>
                  </w:divBdr>
                  <w:divsChild>
                    <w:div w:id="681009083">
                      <w:marLeft w:val="0"/>
                      <w:marRight w:val="0"/>
                      <w:marTop w:val="0"/>
                      <w:marBottom w:val="0"/>
                      <w:divBdr>
                        <w:top w:val="none" w:sz="0" w:space="0" w:color="auto"/>
                        <w:left w:val="none" w:sz="0" w:space="0" w:color="auto"/>
                        <w:bottom w:val="none" w:sz="0" w:space="0" w:color="auto"/>
                        <w:right w:val="none" w:sz="0" w:space="0" w:color="auto"/>
                      </w:divBdr>
                    </w:div>
                  </w:divsChild>
                </w:div>
                <w:div w:id="881596510">
                  <w:marLeft w:val="0"/>
                  <w:marRight w:val="0"/>
                  <w:marTop w:val="0"/>
                  <w:marBottom w:val="0"/>
                  <w:divBdr>
                    <w:top w:val="none" w:sz="0" w:space="0" w:color="auto"/>
                    <w:left w:val="none" w:sz="0" w:space="0" w:color="auto"/>
                    <w:bottom w:val="none" w:sz="0" w:space="0" w:color="auto"/>
                    <w:right w:val="none" w:sz="0" w:space="0" w:color="auto"/>
                  </w:divBdr>
                  <w:divsChild>
                    <w:div w:id="173616940">
                      <w:marLeft w:val="0"/>
                      <w:marRight w:val="0"/>
                      <w:marTop w:val="0"/>
                      <w:marBottom w:val="0"/>
                      <w:divBdr>
                        <w:top w:val="none" w:sz="0" w:space="0" w:color="auto"/>
                        <w:left w:val="none" w:sz="0" w:space="0" w:color="auto"/>
                        <w:bottom w:val="none" w:sz="0" w:space="0" w:color="auto"/>
                        <w:right w:val="none" w:sz="0" w:space="0" w:color="auto"/>
                      </w:divBdr>
                    </w:div>
                  </w:divsChild>
                </w:div>
                <w:div w:id="1008364756">
                  <w:marLeft w:val="0"/>
                  <w:marRight w:val="0"/>
                  <w:marTop w:val="0"/>
                  <w:marBottom w:val="0"/>
                  <w:divBdr>
                    <w:top w:val="none" w:sz="0" w:space="0" w:color="auto"/>
                    <w:left w:val="none" w:sz="0" w:space="0" w:color="auto"/>
                    <w:bottom w:val="none" w:sz="0" w:space="0" w:color="auto"/>
                    <w:right w:val="none" w:sz="0" w:space="0" w:color="auto"/>
                  </w:divBdr>
                  <w:divsChild>
                    <w:div w:id="965626460">
                      <w:marLeft w:val="0"/>
                      <w:marRight w:val="0"/>
                      <w:marTop w:val="0"/>
                      <w:marBottom w:val="0"/>
                      <w:divBdr>
                        <w:top w:val="none" w:sz="0" w:space="0" w:color="auto"/>
                        <w:left w:val="none" w:sz="0" w:space="0" w:color="auto"/>
                        <w:bottom w:val="none" w:sz="0" w:space="0" w:color="auto"/>
                        <w:right w:val="none" w:sz="0" w:space="0" w:color="auto"/>
                      </w:divBdr>
                    </w:div>
                  </w:divsChild>
                </w:div>
                <w:div w:id="1032192265">
                  <w:marLeft w:val="0"/>
                  <w:marRight w:val="0"/>
                  <w:marTop w:val="0"/>
                  <w:marBottom w:val="0"/>
                  <w:divBdr>
                    <w:top w:val="none" w:sz="0" w:space="0" w:color="auto"/>
                    <w:left w:val="none" w:sz="0" w:space="0" w:color="auto"/>
                    <w:bottom w:val="none" w:sz="0" w:space="0" w:color="auto"/>
                    <w:right w:val="none" w:sz="0" w:space="0" w:color="auto"/>
                  </w:divBdr>
                  <w:divsChild>
                    <w:div w:id="501161714">
                      <w:marLeft w:val="0"/>
                      <w:marRight w:val="0"/>
                      <w:marTop w:val="0"/>
                      <w:marBottom w:val="0"/>
                      <w:divBdr>
                        <w:top w:val="none" w:sz="0" w:space="0" w:color="auto"/>
                        <w:left w:val="none" w:sz="0" w:space="0" w:color="auto"/>
                        <w:bottom w:val="none" w:sz="0" w:space="0" w:color="auto"/>
                        <w:right w:val="none" w:sz="0" w:space="0" w:color="auto"/>
                      </w:divBdr>
                    </w:div>
                  </w:divsChild>
                </w:div>
                <w:div w:id="1183320835">
                  <w:marLeft w:val="0"/>
                  <w:marRight w:val="0"/>
                  <w:marTop w:val="0"/>
                  <w:marBottom w:val="0"/>
                  <w:divBdr>
                    <w:top w:val="none" w:sz="0" w:space="0" w:color="auto"/>
                    <w:left w:val="none" w:sz="0" w:space="0" w:color="auto"/>
                    <w:bottom w:val="none" w:sz="0" w:space="0" w:color="auto"/>
                    <w:right w:val="none" w:sz="0" w:space="0" w:color="auto"/>
                  </w:divBdr>
                  <w:divsChild>
                    <w:div w:id="484050960">
                      <w:marLeft w:val="0"/>
                      <w:marRight w:val="0"/>
                      <w:marTop w:val="0"/>
                      <w:marBottom w:val="0"/>
                      <w:divBdr>
                        <w:top w:val="none" w:sz="0" w:space="0" w:color="auto"/>
                        <w:left w:val="none" w:sz="0" w:space="0" w:color="auto"/>
                        <w:bottom w:val="none" w:sz="0" w:space="0" w:color="auto"/>
                        <w:right w:val="none" w:sz="0" w:space="0" w:color="auto"/>
                      </w:divBdr>
                    </w:div>
                  </w:divsChild>
                </w:div>
                <w:div w:id="1613592716">
                  <w:marLeft w:val="0"/>
                  <w:marRight w:val="0"/>
                  <w:marTop w:val="0"/>
                  <w:marBottom w:val="0"/>
                  <w:divBdr>
                    <w:top w:val="none" w:sz="0" w:space="0" w:color="auto"/>
                    <w:left w:val="none" w:sz="0" w:space="0" w:color="auto"/>
                    <w:bottom w:val="none" w:sz="0" w:space="0" w:color="auto"/>
                    <w:right w:val="none" w:sz="0" w:space="0" w:color="auto"/>
                  </w:divBdr>
                  <w:divsChild>
                    <w:div w:id="239758503">
                      <w:marLeft w:val="0"/>
                      <w:marRight w:val="0"/>
                      <w:marTop w:val="0"/>
                      <w:marBottom w:val="0"/>
                      <w:divBdr>
                        <w:top w:val="none" w:sz="0" w:space="0" w:color="auto"/>
                        <w:left w:val="none" w:sz="0" w:space="0" w:color="auto"/>
                        <w:bottom w:val="none" w:sz="0" w:space="0" w:color="auto"/>
                        <w:right w:val="none" w:sz="0" w:space="0" w:color="auto"/>
                      </w:divBdr>
                    </w:div>
                  </w:divsChild>
                </w:div>
                <w:div w:id="1663391090">
                  <w:marLeft w:val="0"/>
                  <w:marRight w:val="0"/>
                  <w:marTop w:val="0"/>
                  <w:marBottom w:val="0"/>
                  <w:divBdr>
                    <w:top w:val="none" w:sz="0" w:space="0" w:color="auto"/>
                    <w:left w:val="none" w:sz="0" w:space="0" w:color="auto"/>
                    <w:bottom w:val="none" w:sz="0" w:space="0" w:color="auto"/>
                    <w:right w:val="none" w:sz="0" w:space="0" w:color="auto"/>
                  </w:divBdr>
                  <w:divsChild>
                    <w:div w:id="1990396714">
                      <w:marLeft w:val="0"/>
                      <w:marRight w:val="0"/>
                      <w:marTop w:val="0"/>
                      <w:marBottom w:val="0"/>
                      <w:divBdr>
                        <w:top w:val="none" w:sz="0" w:space="0" w:color="auto"/>
                        <w:left w:val="none" w:sz="0" w:space="0" w:color="auto"/>
                        <w:bottom w:val="none" w:sz="0" w:space="0" w:color="auto"/>
                        <w:right w:val="none" w:sz="0" w:space="0" w:color="auto"/>
                      </w:divBdr>
                    </w:div>
                  </w:divsChild>
                </w:div>
                <w:div w:id="1678648918">
                  <w:marLeft w:val="0"/>
                  <w:marRight w:val="0"/>
                  <w:marTop w:val="0"/>
                  <w:marBottom w:val="0"/>
                  <w:divBdr>
                    <w:top w:val="none" w:sz="0" w:space="0" w:color="auto"/>
                    <w:left w:val="none" w:sz="0" w:space="0" w:color="auto"/>
                    <w:bottom w:val="none" w:sz="0" w:space="0" w:color="auto"/>
                    <w:right w:val="none" w:sz="0" w:space="0" w:color="auto"/>
                  </w:divBdr>
                  <w:divsChild>
                    <w:div w:id="752627584">
                      <w:marLeft w:val="0"/>
                      <w:marRight w:val="0"/>
                      <w:marTop w:val="0"/>
                      <w:marBottom w:val="0"/>
                      <w:divBdr>
                        <w:top w:val="none" w:sz="0" w:space="0" w:color="auto"/>
                        <w:left w:val="none" w:sz="0" w:space="0" w:color="auto"/>
                        <w:bottom w:val="none" w:sz="0" w:space="0" w:color="auto"/>
                        <w:right w:val="none" w:sz="0" w:space="0" w:color="auto"/>
                      </w:divBdr>
                    </w:div>
                  </w:divsChild>
                </w:div>
                <w:div w:id="1683047515">
                  <w:marLeft w:val="0"/>
                  <w:marRight w:val="0"/>
                  <w:marTop w:val="0"/>
                  <w:marBottom w:val="0"/>
                  <w:divBdr>
                    <w:top w:val="none" w:sz="0" w:space="0" w:color="auto"/>
                    <w:left w:val="none" w:sz="0" w:space="0" w:color="auto"/>
                    <w:bottom w:val="none" w:sz="0" w:space="0" w:color="auto"/>
                    <w:right w:val="none" w:sz="0" w:space="0" w:color="auto"/>
                  </w:divBdr>
                  <w:divsChild>
                    <w:div w:id="325135542">
                      <w:marLeft w:val="0"/>
                      <w:marRight w:val="0"/>
                      <w:marTop w:val="0"/>
                      <w:marBottom w:val="0"/>
                      <w:divBdr>
                        <w:top w:val="none" w:sz="0" w:space="0" w:color="auto"/>
                        <w:left w:val="none" w:sz="0" w:space="0" w:color="auto"/>
                        <w:bottom w:val="none" w:sz="0" w:space="0" w:color="auto"/>
                        <w:right w:val="none" w:sz="0" w:space="0" w:color="auto"/>
                      </w:divBdr>
                    </w:div>
                  </w:divsChild>
                </w:div>
                <w:div w:id="1687710868">
                  <w:marLeft w:val="0"/>
                  <w:marRight w:val="0"/>
                  <w:marTop w:val="0"/>
                  <w:marBottom w:val="0"/>
                  <w:divBdr>
                    <w:top w:val="none" w:sz="0" w:space="0" w:color="auto"/>
                    <w:left w:val="none" w:sz="0" w:space="0" w:color="auto"/>
                    <w:bottom w:val="none" w:sz="0" w:space="0" w:color="auto"/>
                    <w:right w:val="none" w:sz="0" w:space="0" w:color="auto"/>
                  </w:divBdr>
                  <w:divsChild>
                    <w:div w:id="1562518576">
                      <w:marLeft w:val="0"/>
                      <w:marRight w:val="0"/>
                      <w:marTop w:val="0"/>
                      <w:marBottom w:val="0"/>
                      <w:divBdr>
                        <w:top w:val="none" w:sz="0" w:space="0" w:color="auto"/>
                        <w:left w:val="none" w:sz="0" w:space="0" w:color="auto"/>
                        <w:bottom w:val="none" w:sz="0" w:space="0" w:color="auto"/>
                        <w:right w:val="none" w:sz="0" w:space="0" w:color="auto"/>
                      </w:divBdr>
                    </w:div>
                  </w:divsChild>
                </w:div>
                <w:div w:id="1775704499">
                  <w:marLeft w:val="0"/>
                  <w:marRight w:val="0"/>
                  <w:marTop w:val="0"/>
                  <w:marBottom w:val="0"/>
                  <w:divBdr>
                    <w:top w:val="none" w:sz="0" w:space="0" w:color="auto"/>
                    <w:left w:val="none" w:sz="0" w:space="0" w:color="auto"/>
                    <w:bottom w:val="none" w:sz="0" w:space="0" w:color="auto"/>
                    <w:right w:val="none" w:sz="0" w:space="0" w:color="auto"/>
                  </w:divBdr>
                  <w:divsChild>
                    <w:div w:id="2079203803">
                      <w:marLeft w:val="0"/>
                      <w:marRight w:val="0"/>
                      <w:marTop w:val="0"/>
                      <w:marBottom w:val="0"/>
                      <w:divBdr>
                        <w:top w:val="none" w:sz="0" w:space="0" w:color="auto"/>
                        <w:left w:val="none" w:sz="0" w:space="0" w:color="auto"/>
                        <w:bottom w:val="none" w:sz="0" w:space="0" w:color="auto"/>
                        <w:right w:val="none" w:sz="0" w:space="0" w:color="auto"/>
                      </w:divBdr>
                    </w:div>
                  </w:divsChild>
                </w:div>
                <w:div w:id="1792746557">
                  <w:marLeft w:val="0"/>
                  <w:marRight w:val="0"/>
                  <w:marTop w:val="0"/>
                  <w:marBottom w:val="0"/>
                  <w:divBdr>
                    <w:top w:val="none" w:sz="0" w:space="0" w:color="auto"/>
                    <w:left w:val="none" w:sz="0" w:space="0" w:color="auto"/>
                    <w:bottom w:val="none" w:sz="0" w:space="0" w:color="auto"/>
                    <w:right w:val="none" w:sz="0" w:space="0" w:color="auto"/>
                  </w:divBdr>
                  <w:divsChild>
                    <w:div w:id="1623076596">
                      <w:marLeft w:val="0"/>
                      <w:marRight w:val="0"/>
                      <w:marTop w:val="0"/>
                      <w:marBottom w:val="0"/>
                      <w:divBdr>
                        <w:top w:val="none" w:sz="0" w:space="0" w:color="auto"/>
                        <w:left w:val="none" w:sz="0" w:space="0" w:color="auto"/>
                        <w:bottom w:val="none" w:sz="0" w:space="0" w:color="auto"/>
                        <w:right w:val="none" w:sz="0" w:space="0" w:color="auto"/>
                      </w:divBdr>
                    </w:div>
                  </w:divsChild>
                </w:div>
                <w:div w:id="1795557199">
                  <w:marLeft w:val="0"/>
                  <w:marRight w:val="0"/>
                  <w:marTop w:val="0"/>
                  <w:marBottom w:val="0"/>
                  <w:divBdr>
                    <w:top w:val="none" w:sz="0" w:space="0" w:color="auto"/>
                    <w:left w:val="none" w:sz="0" w:space="0" w:color="auto"/>
                    <w:bottom w:val="none" w:sz="0" w:space="0" w:color="auto"/>
                    <w:right w:val="none" w:sz="0" w:space="0" w:color="auto"/>
                  </w:divBdr>
                  <w:divsChild>
                    <w:div w:id="664434672">
                      <w:marLeft w:val="0"/>
                      <w:marRight w:val="0"/>
                      <w:marTop w:val="0"/>
                      <w:marBottom w:val="0"/>
                      <w:divBdr>
                        <w:top w:val="none" w:sz="0" w:space="0" w:color="auto"/>
                        <w:left w:val="none" w:sz="0" w:space="0" w:color="auto"/>
                        <w:bottom w:val="none" w:sz="0" w:space="0" w:color="auto"/>
                        <w:right w:val="none" w:sz="0" w:space="0" w:color="auto"/>
                      </w:divBdr>
                    </w:div>
                  </w:divsChild>
                </w:div>
                <w:div w:id="1838643553">
                  <w:marLeft w:val="0"/>
                  <w:marRight w:val="0"/>
                  <w:marTop w:val="0"/>
                  <w:marBottom w:val="0"/>
                  <w:divBdr>
                    <w:top w:val="none" w:sz="0" w:space="0" w:color="auto"/>
                    <w:left w:val="none" w:sz="0" w:space="0" w:color="auto"/>
                    <w:bottom w:val="none" w:sz="0" w:space="0" w:color="auto"/>
                    <w:right w:val="none" w:sz="0" w:space="0" w:color="auto"/>
                  </w:divBdr>
                  <w:divsChild>
                    <w:div w:id="1995330835">
                      <w:marLeft w:val="0"/>
                      <w:marRight w:val="0"/>
                      <w:marTop w:val="0"/>
                      <w:marBottom w:val="0"/>
                      <w:divBdr>
                        <w:top w:val="none" w:sz="0" w:space="0" w:color="auto"/>
                        <w:left w:val="none" w:sz="0" w:space="0" w:color="auto"/>
                        <w:bottom w:val="none" w:sz="0" w:space="0" w:color="auto"/>
                        <w:right w:val="none" w:sz="0" w:space="0" w:color="auto"/>
                      </w:divBdr>
                    </w:div>
                  </w:divsChild>
                </w:div>
                <w:div w:id="1869564239">
                  <w:marLeft w:val="0"/>
                  <w:marRight w:val="0"/>
                  <w:marTop w:val="0"/>
                  <w:marBottom w:val="0"/>
                  <w:divBdr>
                    <w:top w:val="none" w:sz="0" w:space="0" w:color="auto"/>
                    <w:left w:val="none" w:sz="0" w:space="0" w:color="auto"/>
                    <w:bottom w:val="none" w:sz="0" w:space="0" w:color="auto"/>
                    <w:right w:val="none" w:sz="0" w:space="0" w:color="auto"/>
                  </w:divBdr>
                  <w:divsChild>
                    <w:div w:id="1566598958">
                      <w:marLeft w:val="0"/>
                      <w:marRight w:val="0"/>
                      <w:marTop w:val="0"/>
                      <w:marBottom w:val="0"/>
                      <w:divBdr>
                        <w:top w:val="none" w:sz="0" w:space="0" w:color="auto"/>
                        <w:left w:val="none" w:sz="0" w:space="0" w:color="auto"/>
                        <w:bottom w:val="none" w:sz="0" w:space="0" w:color="auto"/>
                        <w:right w:val="none" w:sz="0" w:space="0" w:color="auto"/>
                      </w:divBdr>
                    </w:div>
                  </w:divsChild>
                </w:div>
                <w:div w:id="1981836245">
                  <w:marLeft w:val="0"/>
                  <w:marRight w:val="0"/>
                  <w:marTop w:val="0"/>
                  <w:marBottom w:val="0"/>
                  <w:divBdr>
                    <w:top w:val="none" w:sz="0" w:space="0" w:color="auto"/>
                    <w:left w:val="none" w:sz="0" w:space="0" w:color="auto"/>
                    <w:bottom w:val="none" w:sz="0" w:space="0" w:color="auto"/>
                    <w:right w:val="none" w:sz="0" w:space="0" w:color="auto"/>
                  </w:divBdr>
                  <w:divsChild>
                    <w:div w:id="1602108683">
                      <w:marLeft w:val="0"/>
                      <w:marRight w:val="0"/>
                      <w:marTop w:val="0"/>
                      <w:marBottom w:val="0"/>
                      <w:divBdr>
                        <w:top w:val="none" w:sz="0" w:space="0" w:color="auto"/>
                        <w:left w:val="none" w:sz="0" w:space="0" w:color="auto"/>
                        <w:bottom w:val="none" w:sz="0" w:space="0" w:color="auto"/>
                        <w:right w:val="none" w:sz="0" w:space="0" w:color="auto"/>
                      </w:divBdr>
                    </w:div>
                  </w:divsChild>
                </w:div>
                <w:div w:id="2059696273">
                  <w:marLeft w:val="0"/>
                  <w:marRight w:val="0"/>
                  <w:marTop w:val="0"/>
                  <w:marBottom w:val="0"/>
                  <w:divBdr>
                    <w:top w:val="none" w:sz="0" w:space="0" w:color="auto"/>
                    <w:left w:val="none" w:sz="0" w:space="0" w:color="auto"/>
                    <w:bottom w:val="none" w:sz="0" w:space="0" w:color="auto"/>
                    <w:right w:val="none" w:sz="0" w:space="0" w:color="auto"/>
                  </w:divBdr>
                  <w:divsChild>
                    <w:div w:id="525756606">
                      <w:marLeft w:val="0"/>
                      <w:marRight w:val="0"/>
                      <w:marTop w:val="0"/>
                      <w:marBottom w:val="0"/>
                      <w:divBdr>
                        <w:top w:val="none" w:sz="0" w:space="0" w:color="auto"/>
                        <w:left w:val="none" w:sz="0" w:space="0" w:color="auto"/>
                        <w:bottom w:val="none" w:sz="0" w:space="0" w:color="auto"/>
                        <w:right w:val="none" w:sz="0" w:space="0" w:color="auto"/>
                      </w:divBdr>
                    </w:div>
                  </w:divsChild>
                </w:div>
                <w:div w:id="2061971906">
                  <w:marLeft w:val="0"/>
                  <w:marRight w:val="0"/>
                  <w:marTop w:val="0"/>
                  <w:marBottom w:val="0"/>
                  <w:divBdr>
                    <w:top w:val="none" w:sz="0" w:space="0" w:color="auto"/>
                    <w:left w:val="none" w:sz="0" w:space="0" w:color="auto"/>
                    <w:bottom w:val="none" w:sz="0" w:space="0" w:color="auto"/>
                    <w:right w:val="none" w:sz="0" w:space="0" w:color="auto"/>
                  </w:divBdr>
                  <w:divsChild>
                    <w:div w:id="1620601216">
                      <w:marLeft w:val="0"/>
                      <w:marRight w:val="0"/>
                      <w:marTop w:val="0"/>
                      <w:marBottom w:val="0"/>
                      <w:divBdr>
                        <w:top w:val="none" w:sz="0" w:space="0" w:color="auto"/>
                        <w:left w:val="none" w:sz="0" w:space="0" w:color="auto"/>
                        <w:bottom w:val="none" w:sz="0" w:space="0" w:color="auto"/>
                        <w:right w:val="none" w:sz="0" w:space="0" w:color="auto"/>
                      </w:divBdr>
                    </w:div>
                  </w:divsChild>
                </w:div>
                <w:div w:id="2073502139">
                  <w:marLeft w:val="0"/>
                  <w:marRight w:val="0"/>
                  <w:marTop w:val="0"/>
                  <w:marBottom w:val="0"/>
                  <w:divBdr>
                    <w:top w:val="none" w:sz="0" w:space="0" w:color="auto"/>
                    <w:left w:val="none" w:sz="0" w:space="0" w:color="auto"/>
                    <w:bottom w:val="none" w:sz="0" w:space="0" w:color="auto"/>
                    <w:right w:val="none" w:sz="0" w:space="0" w:color="auto"/>
                  </w:divBdr>
                  <w:divsChild>
                    <w:div w:id="103357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595311">
          <w:marLeft w:val="0"/>
          <w:marRight w:val="0"/>
          <w:marTop w:val="0"/>
          <w:marBottom w:val="0"/>
          <w:divBdr>
            <w:top w:val="none" w:sz="0" w:space="0" w:color="auto"/>
            <w:left w:val="none" w:sz="0" w:space="0" w:color="auto"/>
            <w:bottom w:val="none" w:sz="0" w:space="0" w:color="auto"/>
            <w:right w:val="none" w:sz="0" w:space="0" w:color="auto"/>
          </w:divBdr>
        </w:div>
      </w:divsChild>
    </w:div>
    <w:div w:id="2011129687">
      <w:bodyDiv w:val="1"/>
      <w:marLeft w:val="0"/>
      <w:marRight w:val="0"/>
      <w:marTop w:val="0"/>
      <w:marBottom w:val="0"/>
      <w:divBdr>
        <w:top w:val="none" w:sz="0" w:space="0" w:color="auto"/>
        <w:left w:val="none" w:sz="0" w:space="0" w:color="auto"/>
        <w:bottom w:val="none" w:sz="0" w:space="0" w:color="auto"/>
        <w:right w:val="none" w:sz="0" w:space="0" w:color="auto"/>
      </w:divBdr>
    </w:div>
    <w:div w:id="2040622236">
      <w:bodyDiv w:val="1"/>
      <w:marLeft w:val="0"/>
      <w:marRight w:val="0"/>
      <w:marTop w:val="0"/>
      <w:marBottom w:val="0"/>
      <w:divBdr>
        <w:top w:val="none" w:sz="0" w:space="0" w:color="auto"/>
        <w:left w:val="none" w:sz="0" w:space="0" w:color="auto"/>
        <w:bottom w:val="none" w:sz="0" w:space="0" w:color="auto"/>
        <w:right w:val="none" w:sz="0" w:space="0" w:color="auto"/>
      </w:divBdr>
    </w:div>
    <w:div w:id="2104254755">
      <w:bodyDiv w:val="1"/>
      <w:marLeft w:val="0"/>
      <w:marRight w:val="0"/>
      <w:marTop w:val="0"/>
      <w:marBottom w:val="0"/>
      <w:divBdr>
        <w:top w:val="none" w:sz="0" w:space="0" w:color="auto"/>
        <w:left w:val="none" w:sz="0" w:space="0" w:color="auto"/>
        <w:bottom w:val="none" w:sz="0" w:space="0" w:color="auto"/>
        <w:right w:val="none" w:sz="0" w:space="0" w:color="auto"/>
      </w:divBdr>
    </w:div>
    <w:div w:id="211027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lezaks@slipstreaminc.org" TargetMode="External"/><Relationship Id="rId5" Type="http://schemas.openxmlformats.org/officeDocument/2006/relationships/numbering" Target="numbering.xml"/><Relationship Id="rId15" Type="http://schemas.openxmlformats.org/officeDocument/2006/relationships/image" Target="media/image2.sv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www.ilsag.info/wp-content/uploads/PGL-2021-Verified-Savings-and-Cost-Effectiveness-2022-10-11.xlsx" TargetMode="External"/><Relationship Id="rId3" Type="http://schemas.openxmlformats.org/officeDocument/2006/relationships/hyperlink" Target="https://www.energycodes.gov/prototype-building-models" TargetMode="External"/><Relationship Id="rId7" Type="http://schemas.openxmlformats.org/officeDocument/2006/relationships/hyperlink" Target="https://www.ilsag.info/wp-content/uploads/NSG-2021-Verified-Savings-and-Cost-Effectiveness-2022-10-11.xlsx" TargetMode="External"/><Relationship Id="rId2" Type="http://schemas.openxmlformats.org/officeDocument/2006/relationships/hyperlink" Target="https://www.ilsag.info/wp-content/uploads/IL-TRM_Effective_010124_v12.0_Vol_4_X-Cutting_Measures_and_Attach_09222023_FINAL.pdf" TargetMode="External"/><Relationship Id="rId1" Type="http://schemas.openxmlformats.org/officeDocument/2006/relationships/hyperlink" Target="https://www.ilsag.info/wp-content/uploads/IL-TRM_Effective_01-01-24_v12.0_Vol_4_X-Cutting_Measures_and_Attach_9-18-23-Final-Redline-1.docx" TargetMode="External"/><Relationship Id="rId6" Type="http://schemas.openxmlformats.org/officeDocument/2006/relationships/hyperlink" Target="https://www.ilsag.info/wp-content/uploads/Nicor-Gas-2021-TRC-and-Program-Summary-Tables-2022-10-12-Final.xlsx" TargetMode="External"/><Relationship Id="rId5" Type="http://schemas.openxmlformats.org/officeDocument/2006/relationships/hyperlink" Target="https://www.ilsag.info/wp-content/uploads/ComEd-CY2022-Summary-Impact-Evaluation-Report-2023-08-14-Final-Revisedv2.pdf" TargetMode="External"/><Relationship Id="rId4" Type="http://schemas.openxmlformats.org/officeDocument/2006/relationships/hyperlink" Target="https://www.energycodes.gov/determinations:" TargetMode="External"/><Relationship Id="rId9" Type="http://schemas.openxmlformats.org/officeDocument/2006/relationships/hyperlink" Target="https://www.eia.gov/energyexplained/use-of-energy/commercial-buildings.php"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oleObject" Target="https://slipstreaminc2.sharepoint.com/sites/ComEdILCodeBPAdv/Shared%20Documents/Phase%202/3-5%20Evaluation%20Materials/NMB/Results/IL%20Codes%20and%20BPS%20Survey_final%20version.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'Percent Adoption'!$D$13</c:f>
              <c:strCache>
                <c:ptCount val="1"/>
                <c:pt idx="0">
                  <c:v>Residential </c:v>
                </c:pt>
              </c:strCache>
            </c:strRef>
          </c:tx>
          <c:spPr>
            <a:solidFill>
              <a:srgbClr val="9D1F62"/>
            </a:solidFill>
            <a:ln>
              <a:noFill/>
            </a:ln>
            <a:effectLst/>
          </c:spPr>
          <c:invertIfNegative val="0"/>
          <c:cat>
            <c:strRef>
              <c:f>'Percent Adoption'!$A$14:$A$18</c:f>
              <c:strCache>
                <c:ptCount val="5"/>
                <c:pt idx="0">
                  <c:v>Within in the next year</c:v>
                </c:pt>
                <c:pt idx="1">
                  <c:v>In the next 1-3 years</c:v>
                </c:pt>
                <c:pt idx="2">
                  <c:v>In the next 4-6 years</c:v>
                </c:pt>
                <c:pt idx="3">
                  <c:v>Not sure</c:v>
                </c:pt>
                <c:pt idx="4">
                  <c:v>Not considering adopting stretch codes</c:v>
                </c:pt>
              </c:strCache>
            </c:strRef>
          </c:cat>
          <c:val>
            <c:numRef>
              <c:f>'Percent Adoption'!$D$14:$D$18</c:f>
              <c:numCache>
                <c:formatCode>0%</c:formatCode>
                <c:ptCount val="5"/>
                <c:pt idx="0">
                  <c:v>8.5714285714285715E-2</c:v>
                </c:pt>
                <c:pt idx="1">
                  <c:v>0.2</c:v>
                </c:pt>
                <c:pt idx="2">
                  <c:v>5.7142857142857141E-2</c:v>
                </c:pt>
                <c:pt idx="3">
                  <c:v>0.34285714285714286</c:v>
                </c:pt>
                <c:pt idx="4">
                  <c:v>0.2857142857142857</c:v>
                </c:pt>
              </c:numCache>
            </c:numRef>
          </c:val>
          <c:extLst>
            <c:ext xmlns:c16="http://schemas.microsoft.com/office/drawing/2014/chart" uri="{C3380CC4-5D6E-409C-BE32-E72D297353CC}">
              <c16:uniqueId val="{00000000-C413-4DBF-A65F-84C946E462D9}"/>
            </c:ext>
          </c:extLst>
        </c:ser>
        <c:ser>
          <c:idx val="1"/>
          <c:order val="1"/>
          <c:tx>
            <c:strRef>
              <c:f>'Percent Adoption'!$E$13</c:f>
              <c:strCache>
                <c:ptCount val="1"/>
                <c:pt idx="0">
                  <c:v>Commercial</c:v>
                </c:pt>
              </c:strCache>
            </c:strRef>
          </c:tx>
          <c:spPr>
            <a:solidFill>
              <a:schemeClr val="accent2"/>
            </a:solidFill>
            <a:ln>
              <a:noFill/>
            </a:ln>
            <a:effectLst/>
          </c:spPr>
          <c:invertIfNegative val="0"/>
          <c:cat>
            <c:strRef>
              <c:f>'Percent Adoption'!$A$14:$A$18</c:f>
              <c:strCache>
                <c:ptCount val="5"/>
                <c:pt idx="0">
                  <c:v>Within in the next year</c:v>
                </c:pt>
                <c:pt idx="1">
                  <c:v>In the next 1-3 years</c:v>
                </c:pt>
                <c:pt idx="2">
                  <c:v>In the next 4-6 years</c:v>
                </c:pt>
                <c:pt idx="3">
                  <c:v>Not sure</c:v>
                </c:pt>
                <c:pt idx="4">
                  <c:v>Not considering adopting stretch codes</c:v>
                </c:pt>
              </c:strCache>
            </c:strRef>
          </c:cat>
          <c:val>
            <c:numRef>
              <c:f>'Percent Adoption'!$E$14:$E$18</c:f>
              <c:numCache>
                <c:formatCode>0%</c:formatCode>
                <c:ptCount val="5"/>
                <c:pt idx="0">
                  <c:v>9.0909090909090912E-2</c:v>
                </c:pt>
                <c:pt idx="1">
                  <c:v>0.12121212121212122</c:v>
                </c:pt>
                <c:pt idx="2">
                  <c:v>9.0909090909090912E-2</c:v>
                </c:pt>
                <c:pt idx="3">
                  <c:v>0.42424242424242425</c:v>
                </c:pt>
                <c:pt idx="4">
                  <c:v>0.27272727272727271</c:v>
                </c:pt>
              </c:numCache>
            </c:numRef>
          </c:val>
          <c:extLst>
            <c:ext xmlns:c16="http://schemas.microsoft.com/office/drawing/2014/chart" uri="{C3380CC4-5D6E-409C-BE32-E72D297353CC}">
              <c16:uniqueId val="{00000001-C413-4DBF-A65F-84C946E462D9}"/>
            </c:ext>
          </c:extLst>
        </c:ser>
        <c:dLbls>
          <c:showLegendKey val="0"/>
          <c:showVal val="0"/>
          <c:showCatName val="0"/>
          <c:showSerName val="0"/>
          <c:showPercent val="0"/>
          <c:showBubbleSize val="0"/>
        </c:dLbls>
        <c:gapWidth val="219"/>
        <c:overlap val="-27"/>
        <c:axId val="1499036607"/>
        <c:axId val="1499032447"/>
      </c:barChart>
      <c:catAx>
        <c:axId val="14990366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9032447"/>
        <c:crosses val="autoZero"/>
        <c:auto val="1"/>
        <c:lblAlgn val="ctr"/>
        <c:lblOffset val="100"/>
        <c:noMultiLvlLbl val="0"/>
      </c:catAx>
      <c:valAx>
        <c:axId val="149903244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90366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strRef>
              <c:f>'[IL Codes and BPS Survey_final version.xlsx]Influences'!$C$29</c:f>
              <c:strCache>
                <c:ptCount val="1"/>
                <c:pt idx="0">
                  <c:v>Residential Stretch Code</c:v>
                </c:pt>
              </c:strCache>
            </c:strRef>
          </c:tx>
          <c:spPr>
            <a:solidFill>
              <a:srgbClr val="9D1F62"/>
            </a:solidFill>
            <a:ln>
              <a:noFill/>
            </a:ln>
            <a:effectLst/>
          </c:spPr>
          <c:invertIfNegative val="0"/>
          <c:cat>
            <c:strRef>
              <c:f>'[IL Codes and BPS Survey_final version.xlsx]Influences'!$A$30:$A$36</c:f>
              <c:strCache>
                <c:ptCount val="7"/>
                <c:pt idx="0">
                  <c:v>Existing utility rebates and incentives</c:v>
                </c:pt>
                <c:pt idx="1">
                  <c:v>Availability of targeted stretch code support programs funded by utilities</c:v>
                </c:pt>
                <c:pt idx="2">
                  <c:v>Adoption by other municipalities across the state</c:v>
                </c:pt>
                <c:pt idx="3">
                  <c:v>Technical support from MEEA and Slipstream</c:v>
                </c:pt>
                <c:pt idx="4">
                  <c:v>Technical support from other nonprofits</c:v>
                </c:pt>
                <c:pt idx="5">
                  <c:v>Federal funding</c:v>
                </c:pt>
                <c:pt idx="6">
                  <c:v>Citywide carbon and energy goals</c:v>
                </c:pt>
              </c:strCache>
            </c:strRef>
          </c:cat>
          <c:val>
            <c:numRef>
              <c:f>'[IL Codes and BPS Survey_final version.xlsx]Influences'!$C$30:$C$36</c:f>
              <c:numCache>
                <c:formatCode>0.0</c:formatCode>
                <c:ptCount val="7"/>
                <c:pt idx="0">
                  <c:v>4.7826086956521738</c:v>
                </c:pt>
                <c:pt idx="1">
                  <c:v>6.3043478260869561</c:v>
                </c:pt>
                <c:pt idx="2">
                  <c:v>5.3478260869565215</c:v>
                </c:pt>
                <c:pt idx="3">
                  <c:v>5.791666666666667</c:v>
                </c:pt>
                <c:pt idx="4">
                  <c:v>5.125</c:v>
                </c:pt>
                <c:pt idx="5">
                  <c:v>5.9130434782608692</c:v>
                </c:pt>
                <c:pt idx="6">
                  <c:v>5.708333333333333</c:v>
                </c:pt>
              </c:numCache>
            </c:numRef>
          </c:val>
          <c:extLst>
            <c:ext xmlns:c16="http://schemas.microsoft.com/office/drawing/2014/chart" uri="{C3380CC4-5D6E-409C-BE32-E72D297353CC}">
              <c16:uniqueId val="{00000000-DFCC-4D69-950E-3D4B6FB6012B}"/>
            </c:ext>
          </c:extLst>
        </c:ser>
        <c:ser>
          <c:idx val="0"/>
          <c:order val="1"/>
          <c:tx>
            <c:strRef>
              <c:f>'[IL Codes and BPS Survey_final version.xlsx]Influences'!$B$29</c:f>
              <c:strCache>
                <c:ptCount val="1"/>
                <c:pt idx="0">
                  <c:v>Commercial Stretch Code</c:v>
                </c:pt>
              </c:strCache>
            </c:strRef>
          </c:tx>
          <c:spPr>
            <a:solidFill>
              <a:schemeClr val="accent3">
                <a:lumMod val="75000"/>
              </a:schemeClr>
            </a:solidFill>
            <a:ln>
              <a:noFill/>
            </a:ln>
            <a:effectLst/>
          </c:spPr>
          <c:invertIfNegative val="0"/>
          <c:cat>
            <c:strRef>
              <c:f>'[IL Codes and BPS Survey_final version.xlsx]Influences'!$A$30:$A$36</c:f>
              <c:strCache>
                <c:ptCount val="7"/>
                <c:pt idx="0">
                  <c:v>Existing utility rebates and incentives</c:v>
                </c:pt>
                <c:pt idx="1">
                  <c:v>Availability of targeted stretch code support programs funded by utilities</c:v>
                </c:pt>
                <c:pt idx="2">
                  <c:v>Adoption by other municipalities across the state</c:v>
                </c:pt>
                <c:pt idx="3">
                  <c:v>Technical support from MEEA and Slipstream</c:v>
                </c:pt>
                <c:pt idx="4">
                  <c:v>Technical support from other nonprofits</c:v>
                </c:pt>
                <c:pt idx="5">
                  <c:v>Federal funding</c:v>
                </c:pt>
                <c:pt idx="6">
                  <c:v>Citywide carbon and energy goals</c:v>
                </c:pt>
              </c:strCache>
            </c:strRef>
          </c:cat>
          <c:val>
            <c:numRef>
              <c:f>'[IL Codes and BPS Survey_final version.xlsx]Influences'!$B$30:$B$36</c:f>
              <c:numCache>
                <c:formatCode>0.0</c:formatCode>
                <c:ptCount val="7"/>
                <c:pt idx="0">
                  <c:v>4.6956521739130439</c:v>
                </c:pt>
                <c:pt idx="1">
                  <c:v>6.1304347826086953</c:v>
                </c:pt>
                <c:pt idx="2">
                  <c:v>5.4347826086956523</c:v>
                </c:pt>
                <c:pt idx="3">
                  <c:v>5.875</c:v>
                </c:pt>
                <c:pt idx="4">
                  <c:v>5</c:v>
                </c:pt>
                <c:pt idx="5">
                  <c:v>5.9565217391304346</c:v>
                </c:pt>
                <c:pt idx="6">
                  <c:v>5.666666666666667</c:v>
                </c:pt>
              </c:numCache>
            </c:numRef>
          </c:val>
          <c:extLst>
            <c:ext xmlns:c16="http://schemas.microsoft.com/office/drawing/2014/chart" uri="{C3380CC4-5D6E-409C-BE32-E72D297353CC}">
              <c16:uniqueId val="{00000001-DFCC-4D69-950E-3D4B6FB6012B}"/>
            </c:ext>
          </c:extLst>
        </c:ser>
        <c:dLbls>
          <c:showLegendKey val="0"/>
          <c:showVal val="0"/>
          <c:showCatName val="0"/>
          <c:showSerName val="0"/>
          <c:showPercent val="0"/>
          <c:showBubbleSize val="0"/>
        </c:dLbls>
        <c:gapWidth val="219"/>
        <c:overlap val="-27"/>
        <c:axId val="888980847"/>
        <c:axId val="888983343"/>
        <c:extLst>
          <c:ext xmlns:c15="http://schemas.microsoft.com/office/drawing/2012/chart" uri="{02D57815-91ED-43cb-92C2-25804820EDAC}">
            <c15:filteredBarSeries>
              <c15:ser>
                <c:idx val="2"/>
                <c:order val="2"/>
                <c:tx>
                  <c:v>BPS</c:v>
                </c:tx>
                <c:spPr>
                  <a:solidFill>
                    <a:schemeClr val="accent3"/>
                  </a:solidFill>
                  <a:ln>
                    <a:noFill/>
                  </a:ln>
                  <a:effectLst/>
                </c:spPr>
                <c:invertIfNegative val="0"/>
                <c:val>
                  <c:numRef>
                    <c:extLst>
                      <c:ext uri="{02D57815-91ED-43cb-92C2-25804820EDAC}">
                        <c15:formulaRef>
                          <c15:sqref>'[IL Codes and BPS Survey_final version.xlsx]Influences'!$D$30:$D$36</c15:sqref>
                        </c15:formulaRef>
                      </c:ext>
                    </c:extLst>
                    <c:numCache>
                      <c:formatCode>0.0</c:formatCode>
                      <c:ptCount val="7"/>
                      <c:pt idx="0">
                        <c:v>4.7777777777777777</c:v>
                      </c:pt>
                      <c:pt idx="1">
                        <c:v>6.117647058823529</c:v>
                      </c:pt>
                      <c:pt idx="2">
                        <c:v>5</c:v>
                      </c:pt>
                      <c:pt idx="3">
                        <c:v>5.5294117647058822</c:v>
                      </c:pt>
                      <c:pt idx="4">
                        <c:v>5.3529411764705879</c:v>
                      </c:pt>
                      <c:pt idx="5">
                        <c:v>5.8235294117647056</c:v>
                      </c:pt>
                      <c:pt idx="6">
                        <c:v>4.6470588235294121</c:v>
                      </c:pt>
                    </c:numCache>
                  </c:numRef>
                </c:val>
                <c:extLst>
                  <c:ext xmlns:c16="http://schemas.microsoft.com/office/drawing/2014/chart" uri="{C3380CC4-5D6E-409C-BE32-E72D297353CC}">
                    <c16:uniqueId val="{00000002-DFCC-4D69-950E-3D4B6FB6012B}"/>
                  </c:ext>
                </c:extLst>
              </c15:ser>
            </c15:filteredBarSeries>
          </c:ext>
        </c:extLst>
      </c:barChart>
      <c:catAx>
        <c:axId val="8889808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88983343"/>
        <c:crosses val="autoZero"/>
        <c:auto val="1"/>
        <c:lblAlgn val="ctr"/>
        <c:lblOffset val="100"/>
        <c:noMultiLvlLbl val="0"/>
      </c:catAx>
      <c:valAx>
        <c:axId val="888983343"/>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8889808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SlipstreamNew2022">
  <a:themeElements>
    <a:clrScheme name="SlipstreamNew2022">
      <a:dk1>
        <a:srgbClr val="021D49"/>
      </a:dk1>
      <a:lt1>
        <a:sysClr val="window" lastClr="FFFFFF"/>
      </a:lt1>
      <a:dk2>
        <a:srgbClr val="44546A"/>
      </a:dk2>
      <a:lt2>
        <a:srgbClr val="E7E6E6"/>
      </a:lt2>
      <a:accent1>
        <a:srgbClr val="1B998B"/>
      </a:accent1>
      <a:accent2>
        <a:srgbClr val="CCDB2A"/>
      </a:accent2>
      <a:accent3>
        <a:srgbClr val="F58555"/>
      </a:accent3>
      <a:accent4>
        <a:srgbClr val="9E1F61"/>
      </a:accent4>
      <a:accent5>
        <a:srgbClr val="021D49"/>
      </a:accent5>
      <a:accent6>
        <a:srgbClr val="94ECE2"/>
      </a:accent6>
      <a:hlink>
        <a:srgbClr val="9E1F6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lipstreamNew2022" id="{D955DA74-6F40-456C-8FC9-7A4BF4ACA485}" vid="{CF30ECEF-1A50-47E1-A138-844F23704F1C}"/>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7461502-0167-4068-9d44-a953353c7d26">
      <UserInfo>
        <DisplayName>Alison Lindburg - MEEA</DisplayName>
        <AccountId>76</AccountId>
        <AccountType/>
      </UserInfo>
      <UserInfo>
        <DisplayName>Maddie Koolbeck</DisplayName>
        <AccountId>36</AccountId>
        <AccountType/>
      </UserInfo>
      <UserInfo>
        <DisplayName>Jeannette LeZaks</DisplayName>
        <AccountId>15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48876604888B4409E87C5D090DB9BA5" ma:contentTypeVersion="6" ma:contentTypeDescription="Create a new document." ma:contentTypeScope="" ma:versionID="261b4fe915323940bf0d2015ae1a6173">
  <xsd:schema xmlns:xsd="http://www.w3.org/2001/XMLSchema" xmlns:xs="http://www.w3.org/2001/XMLSchema" xmlns:p="http://schemas.microsoft.com/office/2006/metadata/properties" xmlns:ns2="775546d3-6afe-485c-8f10-275bc8c7c1a1" xmlns:ns3="37461502-0167-4068-9d44-a953353c7d26" targetNamespace="http://schemas.microsoft.com/office/2006/metadata/properties" ma:root="true" ma:fieldsID="124c110cd02748c2ed28032b314932e3" ns2:_="" ns3:_="">
    <xsd:import namespace="775546d3-6afe-485c-8f10-275bc8c7c1a1"/>
    <xsd:import namespace="37461502-0167-4068-9d44-a953353c7d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5546d3-6afe-485c-8f10-275bc8c7c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461502-0167-4068-9d44-a953353c7d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C178D9-2F71-4EDE-8596-B551B0F96760}">
  <ds:schemaRefs>
    <ds:schemaRef ds:uri="http://schemas.microsoft.com/office/2006/metadata/properties"/>
    <ds:schemaRef ds:uri="http://schemas.microsoft.com/office/infopath/2007/PartnerControls"/>
    <ds:schemaRef ds:uri="37461502-0167-4068-9d44-a953353c7d26"/>
  </ds:schemaRefs>
</ds:datastoreItem>
</file>

<file path=customXml/itemProps2.xml><?xml version="1.0" encoding="utf-8"?>
<ds:datastoreItem xmlns:ds="http://schemas.openxmlformats.org/officeDocument/2006/customXml" ds:itemID="{8DB47AD6-9423-42E3-987A-5593F1A83D2F}">
  <ds:schemaRefs>
    <ds:schemaRef ds:uri="http://schemas.openxmlformats.org/officeDocument/2006/bibliography"/>
  </ds:schemaRefs>
</ds:datastoreItem>
</file>

<file path=customXml/itemProps3.xml><?xml version="1.0" encoding="utf-8"?>
<ds:datastoreItem xmlns:ds="http://schemas.openxmlformats.org/officeDocument/2006/customXml" ds:itemID="{9E2C53A1-0C1B-419D-B954-AA9800A99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5546d3-6afe-485c-8f10-275bc8c7c1a1"/>
    <ds:schemaRef ds:uri="37461502-0167-4068-9d44-a953353c7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B8C054-007B-48A2-88DB-B05A73157E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17</Pages>
  <Words>4735</Words>
  <Characters>26992</Characters>
  <Application>Microsoft Office Word</Application>
  <DocSecurity>0</DocSecurity>
  <Lines>224</Lines>
  <Paragraphs>63</Paragraphs>
  <ScaleCrop>false</ScaleCrop>
  <Company>WECC</Company>
  <LinksUpToDate>false</LinksUpToDate>
  <CharactersWithSpaces>31664</CharactersWithSpaces>
  <SharedDoc>false</SharedDoc>
  <HLinks>
    <vt:vector size="54" baseType="variant">
      <vt:variant>
        <vt:i4>458789</vt:i4>
      </vt:variant>
      <vt:variant>
        <vt:i4>0</vt:i4>
      </vt:variant>
      <vt:variant>
        <vt:i4>0</vt:i4>
      </vt:variant>
      <vt:variant>
        <vt:i4>5</vt:i4>
      </vt:variant>
      <vt:variant>
        <vt:lpwstr>mailto:jlezaks@slipstreaminc.org</vt:lpwstr>
      </vt:variant>
      <vt:variant>
        <vt:lpwstr/>
      </vt:variant>
      <vt:variant>
        <vt:i4>2687103</vt:i4>
      </vt:variant>
      <vt:variant>
        <vt:i4>21</vt:i4>
      </vt:variant>
      <vt:variant>
        <vt:i4>0</vt:i4>
      </vt:variant>
      <vt:variant>
        <vt:i4>5</vt:i4>
      </vt:variant>
      <vt:variant>
        <vt:lpwstr>https://www.ilsag.info/wp-content/uploads/PGL-2021-Verified-Savings-and-Cost-Effectiveness-2022-10-11.xlsx</vt:lpwstr>
      </vt:variant>
      <vt:variant>
        <vt:lpwstr/>
      </vt:variant>
      <vt:variant>
        <vt:i4>3997802</vt:i4>
      </vt:variant>
      <vt:variant>
        <vt:i4>18</vt:i4>
      </vt:variant>
      <vt:variant>
        <vt:i4>0</vt:i4>
      </vt:variant>
      <vt:variant>
        <vt:i4>5</vt:i4>
      </vt:variant>
      <vt:variant>
        <vt:lpwstr>https://www.ilsag.info/wp-content/uploads/NSG-2021-Verified-Savings-and-Cost-Effectiveness-2022-10-11.xlsx</vt:lpwstr>
      </vt:variant>
      <vt:variant>
        <vt:lpwstr/>
      </vt:variant>
      <vt:variant>
        <vt:i4>5308427</vt:i4>
      </vt:variant>
      <vt:variant>
        <vt:i4>15</vt:i4>
      </vt:variant>
      <vt:variant>
        <vt:i4>0</vt:i4>
      </vt:variant>
      <vt:variant>
        <vt:i4>5</vt:i4>
      </vt:variant>
      <vt:variant>
        <vt:lpwstr>https://www.ilsag.info/wp-content/uploads/Nicor-Gas-2021-TRC-and-Program-Summary-Tables-2022-10-12-Final.xlsx</vt:lpwstr>
      </vt:variant>
      <vt:variant>
        <vt:lpwstr/>
      </vt:variant>
      <vt:variant>
        <vt:i4>7012385</vt:i4>
      </vt:variant>
      <vt:variant>
        <vt:i4>12</vt:i4>
      </vt:variant>
      <vt:variant>
        <vt:i4>0</vt:i4>
      </vt:variant>
      <vt:variant>
        <vt:i4>5</vt:i4>
      </vt:variant>
      <vt:variant>
        <vt:lpwstr>https://www.ilsag.info/wp-content/uploads/ComEd-CY2022-Summary-Impact-Evaluation-Report-2023-08-14-Final-Revisedv2.pdf</vt:lpwstr>
      </vt:variant>
      <vt:variant>
        <vt:lpwstr/>
      </vt:variant>
      <vt:variant>
        <vt:i4>2228271</vt:i4>
      </vt:variant>
      <vt:variant>
        <vt:i4>9</vt:i4>
      </vt:variant>
      <vt:variant>
        <vt:i4>0</vt:i4>
      </vt:variant>
      <vt:variant>
        <vt:i4>5</vt:i4>
      </vt:variant>
      <vt:variant>
        <vt:lpwstr>https://www.energycodes.gov/determinations:</vt:lpwstr>
      </vt:variant>
      <vt:variant>
        <vt:lpwstr/>
      </vt:variant>
      <vt:variant>
        <vt:i4>1310728</vt:i4>
      </vt:variant>
      <vt:variant>
        <vt:i4>6</vt:i4>
      </vt:variant>
      <vt:variant>
        <vt:i4>0</vt:i4>
      </vt:variant>
      <vt:variant>
        <vt:i4>5</vt:i4>
      </vt:variant>
      <vt:variant>
        <vt:lpwstr>https://www.energycodes.gov/prototype-building-models</vt:lpwstr>
      </vt:variant>
      <vt:variant>
        <vt:lpwstr/>
      </vt:variant>
      <vt:variant>
        <vt:i4>3735634</vt:i4>
      </vt:variant>
      <vt:variant>
        <vt:i4>3</vt:i4>
      </vt:variant>
      <vt:variant>
        <vt:i4>0</vt:i4>
      </vt:variant>
      <vt:variant>
        <vt:i4>5</vt:i4>
      </vt:variant>
      <vt:variant>
        <vt:lpwstr>https://www.ilsag.info/wp-content/uploads/IL-TRM_Effective_010124_v12.0_Vol_4_X-Cutting_Measures_and_Attach_09222023_FINAL.pdf</vt:lpwstr>
      </vt:variant>
      <vt:variant>
        <vt:lpwstr/>
      </vt:variant>
      <vt:variant>
        <vt:i4>3342399</vt:i4>
      </vt:variant>
      <vt:variant>
        <vt:i4>0</vt:i4>
      </vt:variant>
      <vt:variant>
        <vt:i4>0</vt:i4>
      </vt:variant>
      <vt:variant>
        <vt:i4>5</vt:i4>
      </vt:variant>
      <vt:variant>
        <vt:lpwstr>https://www.ilsag.info/wp-content/uploads/IL-TRM_Effective_01-01-24_v12.0_Vol_4_X-Cutting_Measures_and_Attach_9-18-23-Final-Redline-1.docx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Felton</dc:creator>
  <cp:keywords/>
  <dc:description/>
  <cp:lastModifiedBy>Jeannette LeZaks</cp:lastModifiedBy>
  <cp:revision>147</cp:revision>
  <dcterms:created xsi:type="dcterms:W3CDTF">2024-03-28T14:44:00Z</dcterms:created>
  <dcterms:modified xsi:type="dcterms:W3CDTF">2024-06-10T20:57:00Z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Owner">
    <vt:lpwstr>1170;#Dulane Moran</vt:lpwstr>
  </property>
  <property fmtid="{D5CDD505-2E9C-101B-9397-08002B2CF9AE}" pid="3" name="MSIP_Label_c968b3d1-e05f-4796-9c23-acaf26d588cb_Name">
    <vt:lpwstr>Company Confidential Information</vt:lpwstr>
  </property>
  <property fmtid="{D5CDD505-2E9C-101B-9397-08002B2CF9AE}" pid="4" name="MSIP_Label_c968b3d1-e05f-4796-9c23-acaf26d588cb_SetDate">
    <vt:lpwstr>2022-07-19T14:48:34Z</vt:lpwstr>
  </property>
  <property fmtid="{D5CDD505-2E9C-101B-9397-08002B2CF9AE}" pid="5" name="MediaServiceImageTags">
    <vt:lpwstr/>
  </property>
  <property fmtid="{D5CDD505-2E9C-101B-9397-08002B2CF9AE}" pid="6" name="MSIP_Label_c968b3d1-e05f-4796-9c23-acaf26d588cb_SiteId">
    <vt:lpwstr>600d01fc-055f-49c6-868f-3ecfcc791773</vt:lpwstr>
  </property>
  <property fmtid="{D5CDD505-2E9C-101B-9397-08002B2CF9AE}" pid="7" name="MSIP_Label_c968b3d1-e05f-4796-9c23-acaf26d588cb_Method">
    <vt:lpwstr>Standard</vt:lpwstr>
  </property>
  <property fmtid="{D5CDD505-2E9C-101B-9397-08002B2CF9AE}" pid="8" name="Classification Level">
    <vt:lpwstr/>
  </property>
  <property fmtid="{D5CDD505-2E9C-101B-9397-08002B2CF9AE}" pid="9" name="MSIP_Label_c968b3d1-e05f-4796-9c23-acaf26d588cb_ContentBits">
    <vt:lpwstr>0</vt:lpwstr>
  </property>
  <property fmtid="{D5CDD505-2E9C-101B-9397-08002B2CF9AE}" pid="10" name="Document Status">
    <vt:lpwstr>Draft</vt:lpwstr>
  </property>
  <property fmtid="{D5CDD505-2E9C-101B-9397-08002B2CF9AE}" pid="11" name="MSIP_Label_c968b3d1-e05f-4796-9c23-acaf26d588cb_Enabled">
    <vt:lpwstr>true</vt:lpwstr>
  </property>
  <property fmtid="{D5CDD505-2E9C-101B-9397-08002B2CF9AE}" pid="12" name="af37d51591e54ee792e4452031f0e71e">
    <vt:lpwstr/>
  </property>
  <property fmtid="{D5CDD505-2E9C-101B-9397-08002B2CF9AE}" pid="13" name="MSIP_Label_c968b3d1-e05f-4796-9c23-acaf26d588cb_ActionId">
    <vt:lpwstr>52875bc8-ffd6-4b10-8981-035fc400f899</vt:lpwstr>
  </property>
  <property fmtid="{D5CDD505-2E9C-101B-9397-08002B2CF9AE}" pid="14" name="MSIP_Label_ed3826ce-7c18-471d-9596-93de5bae332e_Enabled">
    <vt:lpwstr>true</vt:lpwstr>
  </property>
  <property fmtid="{D5CDD505-2E9C-101B-9397-08002B2CF9AE}" pid="15" name="MSIP_Label_ed3826ce-7c18-471d-9596-93de5bae332e_SetDate">
    <vt:lpwstr>2023-09-11T23:15:10Z</vt:lpwstr>
  </property>
  <property fmtid="{D5CDD505-2E9C-101B-9397-08002B2CF9AE}" pid="16" name="MSIP_Label_ed3826ce-7c18-471d-9596-93de5bae332e_Method">
    <vt:lpwstr>Standard</vt:lpwstr>
  </property>
  <property fmtid="{D5CDD505-2E9C-101B-9397-08002B2CF9AE}" pid="17" name="MSIP_Label_ed3826ce-7c18-471d-9596-93de5bae332e_Name">
    <vt:lpwstr>Internal</vt:lpwstr>
  </property>
  <property fmtid="{D5CDD505-2E9C-101B-9397-08002B2CF9AE}" pid="18" name="MSIP_Label_ed3826ce-7c18-471d-9596-93de5bae332e_SiteId">
    <vt:lpwstr>c0a02e2d-1186-410a-8895-0a4a252ebf17</vt:lpwstr>
  </property>
  <property fmtid="{D5CDD505-2E9C-101B-9397-08002B2CF9AE}" pid="19" name="MSIP_Label_ed3826ce-7c18-471d-9596-93de5bae332e_ActionId">
    <vt:lpwstr>cf9f3671-f514-4d63-b02b-cef56b3b2bb1</vt:lpwstr>
  </property>
  <property fmtid="{D5CDD505-2E9C-101B-9397-08002B2CF9AE}" pid="20" name="MSIP_Label_ed3826ce-7c18-471d-9596-93de5bae332e_ContentBits">
    <vt:lpwstr>0</vt:lpwstr>
  </property>
  <property fmtid="{D5CDD505-2E9C-101B-9397-08002B2CF9AE}" pid="21" name="ContentTypeId">
    <vt:lpwstr>0x010100A48876604888B4409E87C5D090DB9BA5</vt:lpwstr>
  </property>
</Properties>
</file>