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FEC1" w14:textId="77777777" w:rsidR="00855AA6" w:rsidRDefault="00855AA6"/>
    <w:tbl>
      <w:tblPr>
        <w:tblW w:w="5000" w:type="pct"/>
        <w:jc w:val="center"/>
        <w:tblLayout w:type="fixed"/>
        <w:tblLook w:val="01E0" w:firstRow="1" w:lastRow="1" w:firstColumn="1" w:lastColumn="1" w:noHBand="0" w:noVBand="0"/>
      </w:tblPr>
      <w:tblGrid>
        <w:gridCol w:w="2790"/>
        <w:gridCol w:w="4372"/>
        <w:gridCol w:w="2198"/>
      </w:tblGrid>
      <w:tr w:rsidR="00743A79" w:rsidRPr="00FD0661" w14:paraId="5EE7FEC3" w14:textId="77777777" w:rsidTr="002D67D6">
        <w:trPr>
          <w:trHeight w:val="1152"/>
          <w:jc w:val="center"/>
        </w:trPr>
        <w:tc>
          <w:tcPr>
            <w:tcW w:w="9360" w:type="dxa"/>
            <w:gridSpan w:val="3"/>
            <w:vAlign w:val="center"/>
          </w:tcPr>
          <w:p w14:paraId="5EE7FEC2" w14:textId="77777777" w:rsidR="00855AA6" w:rsidRPr="00FD0661" w:rsidRDefault="00855AA6">
            <w:pPr>
              <w:pStyle w:val="Title"/>
              <w:rPr>
                <w:rFonts w:cs="Arial"/>
                <w:bCs/>
              </w:rPr>
            </w:pPr>
          </w:p>
        </w:tc>
      </w:tr>
      <w:tr w:rsidR="00743A79" w:rsidRPr="00FD0661" w14:paraId="5EE7FEC6" w14:textId="77777777" w:rsidTr="002D67D6">
        <w:trPr>
          <w:trHeight w:val="2114"/>
          <w:jc w:val="center"/>
        </w:trPr>
        <w:tc>
          <w:tcPr>
            <w:tcW w:w="9360" w:type="dxa"/>
            <w:gridSpan w:val="3"/>
            <w:vAlign w:val="center"/>
          </w:tcPr>
          <w:p w14:paraId="5EE7FEC4" w14:textId="77777777" w:rsidR="00855AA6" w:rsidRPr="00FD0661" w:rsidRDefault="00855AA6">
            <w:pPr>
              <w:pStyle w:val="Title"/>
              <w:rPr>
                <w:rFonts w:cs="Arial"/>
                <w:b w:val="0"/>
                <w:bCs/>
              </w:rPr>
            </w:pPr>
            <w:r w:rsidRPr="00FD0661">
              <w:rPr>
                <w:rFonts w:cs="Arial"/>
                <w:bCs/>
              </w:rPr>
              <w:t xml:space="preserve">ComEd </w:t>
            </w:r>
            <w:bookmarkStart w:id="0" w:name="Title_Program_Name"/>
            <w:r w:rsidRPr="003B3336">
              <w:rPr>
                <w:rFonts w:cs="Arial"/>
                <w:bCs/>
              </w:rPr>
              <w:t>Midstream/Upstream</w:t>
            </w:r>
            <w:bookmarkEnd w:id="0"/>
            <w:r w:rsidRPr="00FD0661">
              <w:rPr>
                <w:rFonts w:cs="Arial"/>
                <w:bCs/>
              </w:rPr>
              <w:t xml:space="preserve"> Program Impact Evaluation Report</w:t>
            </w:r>
          </w:p>
          <w:p w14:paraId="5EE7FEC5" w14:textId="77777777" w:rsidR="00855AA6" w:rsidRPr="00FD0661" w:rsidRDefault="00855AA6">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743A79" w:rsidRPr="00FD0661" w14:paraId="5EE7FECC" w14:textId="77777777" w:rsidTr="002D67D6">
        <w:trPr>
          <w:trHeight w:val="2263"/>
          <w:jc w:val="center"/>
        </w:trPr>
        <w:tc>
          <w:tcPr>
            <w:tcW w:w="9360" w:type="dxa"/>
            <w:gridSpan w:val="3"/>
          </w:tcPr>
          <w:p w14:paraId="5EE7FEC7" w14:textId="77777777" w:rsidR="00855AA6" w:rsidRPr="00FD0661" w:rsidRDefault="00855AA6">
            <w:pPr>
              <w:pStyle w:val="Preparedfor"/>
              <w:spacing w:before="0" w:after="240"/>
              <w:rPr>
                <w:rFonts w:cs="Arial"/>
              </w:rPr>
            </w:pPr>
            <w:r w:rsidRPr="00FD0661">
              <w:rPr>
                <w:rFonts w:cs="Arial"/>
              </w:rPr>
              <w:t>Prepared for:</w:t>
            </w:r>
          </w:p>
          <w:p w14:paraId="5EE7FEC8" w14:textId="77777777" w:rsidR="00855AA6" w:rsidRPr="00FD0661" w:rsidRDefault="00855AA6">
            <w:pPr>
              <w:pStyle w:val="Preparedfor"/>
              <w:rPr>
                <w:rFonts w:cs="Arial"/>
              </w:rPr>
            </w:pPr>
            <w:r w:rsidRPr="00FD0661">
              <w:rPr>
                <w:rFonts w:cs="Arial"/>
              </w:rPr>
              <w:t>ComEd</w:t>
            </w:r>
          </w:p>
          <w:p w14:paraId="5EE7FEC9" w14:textId="77777777" w:rsidR="00855AA6" w:rsidRPr="00FD0661" w:rsidRDefault="00855AA6">
            <w:pPr>
              <w:pStyle w:val="CoverClientName"/>
              <w:spacing w:after="0"/>
              <w:rPr>
                <w:rFonts w:cs="Arial"/>
                <w:sz w:val="48"/>
                <w:szCs w:val="48"/>
              </w:rPr>
            </w:pPr>
            <w:r w:rsidRPr="00FD0661">
              <w:rPr>
                <w:rFonts w:cs="Arial"/>
                <w:sz w:val="48"/>
                <w:szCs w:val="48"/>
              </w:rPr>
              <w:t>DRAFT</w:t>
            </w:r>
          </w:p>
          <w:p w14:paraId="5EE7FECA" w14:textId="77777777" w:rsidR="00855AA6" w:rsidRPr="00FD0661" w:rsidRDefault="00855AA6">
            <w:pPr>
              <w:pStyle w:val="CoverClientName"/>
              <w:spacing w:after="0"/>
              <w:rPr>
                <w:rFonts w:cs="Arial"/>
              </w:rPr>
            </w:pPr>
          </w:p>
          <w:p w14:paraId="5EE7FECB" w14:textId="0E83D9CD" w:rsidR="00855AA6" w:rsidRPr="00FD0661" w:rsidRDefault="00424343">
            <w:pPr>
              <w:pStyle w:val="CoverClientName"/>
              <w:spacing w:after="0"/>
              <w:rPr>
                <w:rFonts w:cs="Arial"/>
              </w:rPr>
            </w:pPr>
            <w:r>
              <w:rPr>
                <w:rFonts w:cs="Arial"/>
              </w:rPr>
              <w:t>February 2</w:t>
            </w:r>
            <w:r w:rsidR="006E0F8B">
              <w:rPr>
                <w:rFonts w:cs="Arial"/>
              </w:rPr>
              <w:t>8</w:t>
            </w:r>
            <w:r w:rsidR="00855AA6" w:rsidRPr="00FD0661">
              <w:rPr>
                <w:rFonts w:cs="Arial"/>
              </w:rPr>
              <w:t xml:space="preserve">, </w:t>
            </w:r>
            <w:r>
              <w:rPr>
                <w:rFonts w:cs="Arial"/>
              </w:rPr>
              <w:t>2025</w:t>
            </w:r>
          </w:p>
        </w:tc>
      </w:tr>
      <w:tr w:rsidR="00743A79" w:rsidRPr="00FD0661" w14:paraId="5EE7FED0" w14:textId="77777777" w:rsidTr="002D67D6">
        <w:trPr>
          <w:trHeight w:val="419"/>
          <w:jc w:val="center"/>
        </w:trPr>
        <w:tc>
          <w:tcPr>
            <w:tcW w:w="7162" w:type="dxa"/>
            <w:gridSpan w:val="2"/>
          </w:tcPr>
          <w:p w14:paraId="5EE7FECD" w14:textId="77777777" w:rsidR="00855AA6" w:rsidRPr="00FD0661" w:rsidRDefault="00855AA6">
            <w:pPr>
              <w:rPr>
                <w:rStyle w:val="CoverText"/>
                <w:rFonts w:cs="Arial"/>
              </w:rPr>
            </w:pPr>
          </w:p>
          <w:p w14:paraId="5EE7FECE" w14:textId="3ACC55FC" w:rsidR="00855AA6" w:rsidRPr="00FD0661" w:rsidRDefault="00855AA6">
            <w:pPr>
              <w:rPr>
                <w:rStyle w:val="CoverText"/>
                <w:rFonts w:cs="Arial"/>
              </w:rPr>
            </w:pPr>
            <w:r w:rsidRPr="00FD0661">
              <w:rPr>
                <w:rStyle w:val="CoverText"/>
                <w:rFonts w:cs="Arial"/>
              </w:rPr>
              <w:t xml:space="preserve">Prepared by: </w:t>
            </w:r>
          </w:p>
        </w:tc>
        <w:tc>
          <w:tcPr>
            <w:tcW w:w="2198" w:type="dxa"/>
          </w:tcPr>
          <w:p w14:paraId="5EE7FECF" w14:textId="77777777" w:rsidR="00855AA6" w:rsidRPr="00FD0661" w:rsidRDefault="00855AA6">
            <w:pPr>
              <w:rPr>
                <w:rStyle w:val="CoverText"/>
                <w:rFonts w:cs="Arial"/>
              </w:rPr>
            </w:pPr>
          </w:p>
        </w:tc>
      </w:tr>
      <w:tr w:rsidR="00743A79" w:rsidRPr="00FD0661" w14:paraId="5EE7FED6" w14:textId="77777777" w:rsidTr="002D67D6">
        <w:trPr>
          <w:trHeight w:val="1296"/>
          <w:jc w:val="center"/>
        </w:trPr>
        <w:tc>
          <w:tcPr>
            <w:tcW w:w="2790" w:type="dxa"/>
            <w:vAlign w:val="center"/>
          </w:tcPr>
          <w:p w14:paraId="5EE7FED1" w14:textId="584AB81C" w:rsidR="00855AA6" w:rsidRPr="00C84E9D" w:rsidRDefault="002D67D6">
            <w:pPr>
              <w:rPr>
                <w:rFonts w:ascii="Arial" w:hAnsi="Arial" w:cs="Arial"/>
                <w:noProof/>
              </w:rPr>
            </w:pPr>
            <w:r>
              <w:rPr>
                <w:rFonts w:ascii="Arial" w:hAnsi="Arial" w:cs="Arial"/>
                <w:noProof/>
              </w:rPr>
              <w:t>Amy Buege</w:t>
            </w:r>
          </w:p>
          <w:p w14:paraId="5EE7FED2" w14:textId="73342441" w:rsidR="00855AA6" w:rsidRPr="00FD0661" w:rsidRDefault="002D67D6">
            <w:pPr>
              <w:rPr>
                <w:rFonts w:ascii="Arial" w:hAnsi="Arial" w:cs="Arial"/>
                <w:bCs/>
              </w:rPr>
            </w:pPr>
            <w:r>
              <w:rPr>
                <w:rFonts w:ascii="Arial" w:hAnsi="Arial" w:cs="Arial"/>
                <w:noProof/>
              </w:rPr>
              <w:t>Verdant Associates</w:t>
            </w:r>
          </w:p>
        </w:tc>
        <w:tc>
          <w:tcPr>
            <w:tcW w:w="4372" w:type="dxa"/>
            <w:vAlign w:val="center"/>
          </w:tcPr>
          <w:p w14:paraId="350A3B3F" w14:textId="77777777" w:rsidR="002D67D6" w:rsidRDefault="002D67D6" w:rsidP="002D67D6">
            <w:pPr>
              <w:rPr>
                <w:rFonts w:ascii="Arial" w:hAnsi="Arial" w:cs="Arial"/>
                <w:noProof/>
              </w:rPr>
            </w:pPr>
            <w:r>
              <w:rPr>
                <w:rFonts w:ascii="Arial" w:hAnsi="Arial" w:cs="Arial"/>
                <w:noProof/>
              </w:rPr>
              <w:t>Elizabeth Bullard</w:t>
            </w:r>
          </w:p>
          <w:p w14:paraId="5EE7FED4" w14:textId="03222B1A" w:rsidR="00855AA6" w:rsidRPr="00FD0661" w:rsidRDefault="002D67D6" w:rsidP="002D67D6">
            <w:pPr>
              <w:rPr>
                <w:rStyle w:val="CoverText"/>
                <w:rFonts w:cs="Arial"/>
                <w:bCs/>
              </w:rPr>
            </w:pPr>
            <w:r>
              <w:rPr>
                <w:rFonts w:ascii="Arial" w:hAnsi="Arial" w:cs="Arial"/>
                <w:noProof/>
              </w:rPr>
              <w:t>Verdant Associates</w:t>
            </w:r>
          </w:p>
        </w:tc>
        <w:tc>
          <w:tcPr>
            <w:tcW w:w="2198" w:type="dxa"/>
          </w:tcPr>
          <w:p w14:paraId="5EE7FED5" w14:textId="77777777" w:rsidR="00855AA6" w:rsidRPr="00FD0661" w:rsidRDefault="00855AA6">
            <w:pPr>
              <w:pStyle w:val="PresentedBy"/>
              <w:spacing w:after="120"/>
              <w:rPr>
                <w:rStyle w:val="CoverText"/>
                <w:rFonts w:cs="Arial"/>
                <w:bCs/>
                <w:iCs/>
              </w:rPr>
            </w:pPr>
          </w:p>
        </w:tc>
      </w:tr>
      <w:tr w:rsidR="00743A79" w:rsidRPr="00FD0661" w14:paraId="5EE7FEDA" w14:textId="77777777" w:rsidTr="002D67D6">
        <w:trPr>
          <w:trHeight w:val="900"/>
          <w:jc w:val="center"/>
        </w:trPr>
        <w:tc>
          <w:tcPr>
            <w:tcW w:w="2790" w:type="dxa"/>
            <w:vAlign w:val="center"/>
          </w:tcPr>
          <w:p w14:paraId="5EE7FED7" w14:textId="20376CD3" w:rsidR="00855AA6" w:rsidRPr="00FD0661" w:rsidRDefault="00855AA6">
            <w:pPr>
              <w:pStyle w:val="PresentedBy"/>
              <w:jc w:val="center"/>
              <w:rPr>
                <w:rFonts w:cs="Arial"/>
                <w:bCs/>
                <w:color w:val="auto"/>
              </w:rPr>
            </w:pPr>
          </w:p>
        </w:tc>
        <w:tc>
          <w:tcPr>
            <w:tcW w:w="4372" w:type="dxa"/>
            <w:vAlign w:val="center"/>
          </w:tcPr>
          <w:p w14:paraId="5EE7FED8" w14:textId="77777777" w:rsidR="00855AA6" w:rsidRPr="00FD0661" w:rsidRDefault="00855AA6">
            <w:pPr>
              <w:jc w:val="center"/>
              <w:rPr>
                <w:rStyle w:val="CoverText"/>
                <w:rFonts w:cs="Arial"/>
                <w:bCs/>
              </w:rPr>
            </w:pPr>
            <w:r w:rsidRPr="00FD0661">
              <w:rPr>
                <w:rFonts w:ascii="Arial" w:hAnsi="Arial" w:cs="Arial"/>
                <w:noProof/>
              </w:rPr>
              <w:drawing>
                <wp:inline distT="0" distB="0" distL="0" distR="0" wp14:anchorId="5EE80479" wp14:editId="5EE8047A">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198" w:type="dxa"/>
            <w:vAlign w:val="center"/>
          </w:tcPr>
          <w:p w14:paraId="5EE7FED9" w14:textId="77777777" w:rsidR="00855AA6" w:rsidRPr="00FD0661" w:rsidRDefault="00855AA6">
            <w:pPr>
              <w:pStyle w:val="PresentedBy"/>
              <w:jc w:val="center"/>
              <w:rPr>
                <w:rStyle w:val="CoverText"/>
                <w:rFonts w:cs="Arial"/>
                <w:bCs/>
                <w:iCs/>
              </w:rPr>
            </w:pPr>
            <w:r w:rsidRPr="00FD0661">
              <w:rPr>
                <w:rFonts w:cs="Arial"/>
                <w:noProof/>
              </w:rPr>
              <w:drawing>
                <wp:inline distT="0" distB="0" distL="0" distR="0" wp14:anchorId="5EE8047B" wp14:editId="30EED3D1">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r>
      <w:tr w:rsidR="00743A79" w:rsidRPr="00FD0661" w14:paraId="5EE7FEDE" w14:textId="77777777" w:rsidTr="002D67D6">
        <w:trPr>
          <w:trHeight w:val="900"/>
          <w:jc w:val="center"/>
        </w:trPr>
        <w:tc>
          <w:tcPr>
            <w:tcW w:w="2790" w:type="dxa"/>
            <w:vAlign w:val="center"/>
          </w:tcPr>
          <w:p w14:paraId="5EE7FEDB" w14:textId="2F5F221A" w:rsidR="00855AA6" w:rsidRPr="00FD0661" w:rsidRDefault="00855AA6">
            <w:pPr>
              <w:pStyle w:val="PresentedBy"/>
              <w:jc w:val="center"/>
              <w:rPr>
                <w:rFonts w:cs="Arial"/>
                <w:bCs/>
                <w:color w:val="auto"/>
              </w:rPr>
            </w:pPr>
          </w:p>
        </w:tc>
        <w:tc>
          <w:tcPr>
            <w:tcW w:w="4372" w:type="dxa"/>
            <w:vAlign w:val="center"/>
          </w:tcPr>
          <w:p w14:paraId="5EE7FEDC" w14:textId="77777777" w:rsidR="00855AA6" w:rsidRPr="00FD0661" w:rsidRDefault="00855AA6">
            <w:pPr>
              <w:jc w:val="center"/>
              <w:rPr>
                <w:rStyle w:val="CoverText"/>
                <w:rFonts w:cs="Arial"/>
                <w:bCs/>
              </w:rPr>
            </w:pPr>
          </w:p>
        </w:tc>
        <w:tc>
          <w:tcPr>
            <w:tcW w:w="2198" w:type="dxa"/>
            <w:vAlign w:val="center"/>
          </w:tcPr>
          <w:p w14:paraId="5EE7FEDD" w14:textId="40B934D1" w:rsidR="00855AA6" w:rsidRPr="00FD0661" w:rsidRDefault="00855AA6">
            <w:pPr>
              <w:pStyle w:val="PresentedBy"/>
              <w:jc w:val="center"/>
              <w:rPr>
                <w:rStyle w:val="CoverText"/>
                <w:rFonts w:cs="Arial"/>
                <w:bCs/>
                <w:iCs/>
              </w:rPr>
            </w:pPr>
          </w:p>
        </w:tc>
      </w:tr>
    </w:tbl>
    <w:p w14:paraId="5EE7FEDF" w14:textId="77777777" w:rsidR="00855AA6" w:rsidRDefault="00855AA6"/>
    <w:p w14:paraId="5EE7FEE0" w14:textId="77777777" w:rsidR="00855AA6" w:rsidRDefault="00855AA6">
      <w:pPr>
        <w:suppressAutoHyphens w:val="0"/>
        <w:spacing w:before="0" w:after="0"/>
      </w:pPr>
      <w:r>
        <w:br w:type="page"/>
      </w:r>
    </w:p>
    <w:p w14:paraId="5EE7FEE1" w14:textId="77777777" w:rsidR="00855AA6" w:rsidRPr="00CE32C9" w:rsidRDefault="00855AA6">
      <w:pPr>
        <w:rPr>
          <w:rFonts w:ascii="Arial" w:hAnsi="Arial" w:cs="Arial"/>
          <w:sz w:val="20"/>
          <w:szCs w:val="20"/>
        </w:rPr>
      </w:pPr>
    </w:p>
    <w:p w14:paraId="5EE7FEE2" w14:textId="77777777" w:rsidR="00855AA6" w:rsidRPr="006C7A52" w:rsidRDefault="00855AA6">
      <w:pPr>
        <w:spacing w:before="0" w:after="0"/>
        <w:rPr>
          <w:rFonts w:ascii="Arial" w:hAnsi="Arial" w:cs="Arial"/>
          <w:b/>
          <w:bCs/>
        </w:rPr>
      </w:pPr>
      <w:r w:rsidRPr="006C7A52">
        <w:rPr>
          <w:rFonts w:ascii="Arial" w:hAnsi="Arial" w:cs="Arial"/>
          <w:b/>
          <w:bCs/>
        </w:rPr>
        <w:t>Submitted to:</w:t>
      </w:r>
    </w:p>
    <w:p w14:paraId="5EE7FEE3" w14:textId="77777777" w:rsidR="00855AA6" w:rsidRPr="006C7A52" w:rsidRDefault="00855AA6">
      <w:pPr>
        <w:spacing w:before="0" w:after="0"/>
        <w:rPr>
          <w:rFonts w:ascii="Arial" w:hAnsi="Arial" w:cs="Arial"/>
        </w:rPr>
      </w:pPr>
      <w:r w:rsidRPr="006C7A52">
        <w:rPr>
          <w:rFonts w:ascii="Arial" w:hAnsi="Arial" w:cs="Arial"/>
        </w:rPr>
        <w:t>ComEd</w:t>
      </w:r>
    </w:p>
    <w:p w14:paraId="5EE7FEE4" w14:textId="77777777" w:rsidR="00855AA6" w:rsidRPr="006C7A52" w:rsidRDefault="00855AA6">
      <w:pPr>
        <w:spacing w:before="0" w:after="0"/>
        <w:rPr>
          <w:rFonts w:ascii="Arial" w:hAnsi="Arial" w:cs="Arial"/>
        </w:rPr>
      </w:pPr>
      <w:r w:rsidRPr="006C7A52">
        <w:rPr>
          <w:rFonts w:ascii="Arial" w:hAnsi="Arial" w:cs="Arial"/>
        </w:rPr>
        <w:t>2011 Swift Drive</w:t>
      </w:r>
    </w:p>
    <w:p w14:paraId="5EE7FEE5" w14:textId="77777777" w:rsidR="00855AA6" w:rsidRPr="006C7A52" w:rsidRDefault="00855AA6">
      <w:pPr>
        <w:spacing w:before="0" w:after="0"/>
        <w:rPr>
          <w:rFonts w:ascii="Arial" w:hAnsi="Arial" w:cs="Arial"/>
        </w:rPr>
      </w:pPr>
      <w:r w:rsidRPr="006C7A52">
        <w:rPr>
          <w:rFonts w:ascii="Arial" w:hAnsi="Arial" w:cs="Arial"/>
        </w:rPr>
        <w:t>Oak Brook, IL 60523</w:t>
      </w:r>
    </w:p>
    <w:p w14:paraId="5EE7FEE6" w14:textId="77777777" w:rsidR="00855AA6" w:rsidRPr="006C7A52" w:rsidRDefault="00855AA6">
      <w:pPr>
        <w:spacing w:before="0" w:after="0"/>
        <w:rPr>
          <w:rFonts w:ascii="Arial" w:hAnsi="Arial" w:cs="Arial"/>
        </w:rPr>
      </w:pPr>
    </w:p>
    <w:p w14:paraId="5EE7FEE7" w14:textId="77777777" w:rsidR="00855AA6" w:rsidRPr="006C7A52" w:rsidRDefault="00855AA6">
      <w:pPr>
        <w:spacing w:before="0" w:after="0"/>
        <w:rPr>
          <w:rFonts w:ascii="Arial" w:hAnsi="Arial" w:cs="Arial"/>
          <w:b/>
          <w:bCs/>
        </w:rPr>
      </w:pPr>
      <w:r w:rsidRPr="006C7A52">
        <w:rPr>
          <w:rFonts w:ascii="Arial" w:hAnsi="Arial" w:cs="Arial"/>
          <w:b/>
          <w:bCs/>
        </w:rPr>
        <w:t>Submitted by:</w:t>
      </w:r>
    </w:p>
    <w:p w14:paraId="5EE7FEE8" w14:textId="77777777" w:rsidR="00855AA6" w:rsidRPr="006C7A52" w:rsidRDefault="00855AA6">
      <w:pPr>
        <w:spacing w:before="0" w:after="0"/>
        <w:rPr>
          <w:rFonts w:ascii="Arial" w:hAnsi="Arial" w:cs="Arial"/>
        </w:rPr>
      </w:pPr>
      <w:r w:rsidRPr="006C7A52">
        <w:rPr>
          <w:rFonts w:ascii="Arial" w:hAnsi="Arial" w:cs="Arial"/>
        </w:rPr>
        <w:t>Guidehouse Inc.</w:t>
      </w:r>
    </w:p>
    <w:p w14:paraId="5EE7FEE9" w14:textId="77777777" w:rsidR="00855AA6" w:rsidRPr="006C7A52" w:rsidRDefault="00855AA6">
      <w:pPr>
        <w:spacing w:before="0" w:after="0"/>
        <w:rPr>
          <w:rFonts w:ascii="Arial" w:hAnsi="Arial" w:cs="Arial"/>
        </w:rPr>
      </w:pPr>
      <w:r w:rsidRPr="006C7A52">
        <w:rPr>
          <w:rFonts w:ascii="Arial" w:hAnsi="Arial" w:cs="Arial"/>
        </w:rPr>
        <w:t>150 N. Riverside Plaza, Suite 2100</w:t>
      </w:r>
    </w:p>
    <w:p w14:paraId="5EE7FEEA" w14:textId="77777777" w:rsidR="00855AA6" w:rsidRPr="006C7A52" w:rsidRDefault="00855AA6">
      <w:pPr>
        <w:spacing w:before="0" w:after="0"/>
        <w:rPr>
          <w:rFonts w:ascii="Arial" w:hAnsi="Arial" w:cs="Arial"/>
        </w:rPr>
      </w:pPr>
      <w:r w:rsidRPr="006C7A52">
        <w:rPr>
          <w:rFonts w:ascii="Arial" w:hAnsi="Arial" w:cs="Arial"/>
        </w:rPr>
        <w:t>Chicago, IL 60606</w:t>
      </w:r>
    </w:p>
    <w:p w14:paraId="5EE7FEEB" w14:textId="77777777" w:rsidR="00855AA6" w:rsidRPr="006C7A52" w:rsidRDefault="00855AA6">
      <w:pPr>
        <w:spacing w:before="0" w:after="0"/>
        <w:rPr>
          <w:rFonts w:ascii="Arial" w:hAnsi="Arial" w:cs="Arial"/>
        </w:rPr>
      </w:pPr>
    </w:p>
    <w:p w14:paraId="5EE7FEEC" w14:textId="77777777" w:rsidR="00855AA6" w:rsidRPr="006C7A52" w:rsidRDefault="00855AA6">
      <w:pPr>
        <w:spacing w:before="0" w:after="0"/>
        <w:rPr>
          <w:rFonts w:ascii="Arial" w:hAnsi="Arial" w:cs="Arial"/>
        </w:rPr>
      </w:pPr>
    </w:p>
    <w:p w14:paraId="5EE7FEED" w14:textId="77777777" w:rsidR="00855AA6" w:rsidRPr="006C7A52" w:rsidRDefault="00855AA6">
      <w:pPr>
        <w:spacing w:before="0" w:after="0"/>
        <w:rPr>
          <w:rFonts w:ascii="Arial" w:hAnsi="Arial" w:cs="Arial"/>
        </w:rPr>
      </w:pPr>
      <w:r w:rsidRPr="006C7A52">
        <w:rPr>
          <w:rFonts w:ascii="Arial" w:hAnsi="Arial" w:cs="Arial"/>
          <w:b/>
        </w:rPr>
        <w:t>Contact:</w:t>
      </w:r>
    </w:p>
    <w:p w14:paraId="5EE7FEEE" w14:textId="77777777" w:rsidR="00855AA6" w:rsidRPr="006C7A52" w:rsidRDefault="00855AA6">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330"/>
        <w:gridCol w:w="3600"/>
      </w:tblGrid>
      <w:tr w:rsidR="00743A79" w:rsidRPr="00601FE0" w14:paraId="5EE7FEF7" w14:textId="77777777" w:rsidTr="00E35B54">
        <w:tc>
          <w:tcPr>
            <w:tcW w:w="3330" w:type="dxa"/>
          </w:tcPr>
          <w:p w14:paraId="5EE7FEEF" w14:textId="77777777" w:rsidR="00855AA6" w:rsidRPr="00424343" w:rsidRDefault="00855AA6">
            <w:pPr>
              <w:spacing w:before="0" w:after="0"/>
              <w:rPr>
                <w:rFonts w:ascii="Arial" w:hAnsi="Arial" w:cs="Arial"/>
                <w:sz w:val="21"/>
                <w:szCs w:val="21"/>
                <w:lang w:val="fr-FR"/>
              </w:rPr>
            </w:pPr>
            <w:r w:rsidRPr="00424343">
              <w:rPr>
                <w:rFonts w:ascii="Arial" w:eastAsia="Arial" w:hAnsi="Arial" w:cs="Arial"/>
                <w:sz w:val="21"/>
                <w:szCs w:val="21"/>
                <w:lang w:val="fr-FR"/>
              </w:rPr>
              <w:t>Charles Maglione, Partner</w:t>
            </w:r>
          </w:p>
          <w:p w14:paraId="5EE7FEF0" w14:textId="77777777" w:rsidR="00855AA6" w:rsidRPr="00424343" w:rsidRDefault="00855AA6">
            <w:pPr>
              <w:spacing w:before="0" w:after="0"/>
              <w:rPr>
                <w:rFonts w:ascii="Arial" w:hAnsi="Arial" w:cs="Arial"/>
                <w:sz w:val="21"/>
                <w:szCs w:val="21"/>
                <w:lang w:val="fr-FR"/>
              </w:rPr>
            </w:pPr>
            <w:r w:rsidRPr="00424343">
              <w:rPr>
                <w:rFonts w:ascii="Arial" w:eastAsia="Arial" w:hAnsi="Arial" w:cs="Arial"/>
                <w:sz w:val="21"/>
                <w:szCs w:val="21"/>
                <w:lang w:val="fr-FR"/>
              </w:rPr>
              <w:t>703.431.1983</w:t>
            </w:r>
          </w:p>
          <w:p w14:paraId="5EE7FEF1" w14:textId="77777777" w:rsidR="00855AA6" w:rsidRPr="00424343" w:rsidRDefault="00855AA6">
            <w:pPr>
              <w:spacing w:before="0" w:after="0"/>
              <w:rPr>
                <w:rFonts w:cs="Arial"/>
                <w:sz w:val="21"/>
                <w:szCs w:val="21"/>
                <w:lang w:val="fr-FR"/>
              </w:rPr>
            </w:pPr>
            <w:hyperlink r:id="rId13">
              <w:r w:rsidRPr="00424343">
                <w:rPr>
                  <w:rFonts w:ascii="Arial" w:hAnsi="Arial" w:cs="Arial"/>
                  <w:b/>
                  <w:sz w:val="21"/>
                  <w:szCs w:val="21"/>
                  <w:u w:val="single" w:color="93D500" w:themeColor="accent1"/>
                  <w:lang w:val="fr-FR"/>
                </w:rPr>
                <w:t>cmaglione@guidehouse.com</w:t>
              </w:r>
            </w:hyperlink>
          </w:p>
        </w:tc>
        <w:tc>
          <w:tcPr>
            <w:tcW w:w="3330" w:type="dxa"/>
          </w:tcPr>
          <w:p w14:paraId="5EE7FEF2" w14:textId="77777777" w:rsidR="00855AA6" w:rsidRPr="00601FE0" w:rsidRDefault="00855AA6">
            <w:pPr>
              <w:spacing w:before="0" w:after="0"/>
              <w:rPr>
                <w:rFonts w:ascii="Arial" w:hAnsi="Arial" w:cs="Arial"/>
                <w:sz w:val="21"/>
                <w:szCs w:val="21"/>
              </w:rPr>
            </w:pPr>
            <w:r w:rsidRPr="00601FE0">
              <w:rPr>
                <w:rFonts w:ascii="Arial" w:hAnsi="Arial" w:cs="Arial"/>
                <w:sz w:val="21"/>
                <w:szCs w:val="21"/>
              </w:rPr>
              <w:t>Jeff Erickson, Director</w:t>
            </w:r>
          </w:p>
          <w:p w14:paraId="5EE7FEF3" w14:textId="77777777" w:rsidR="00855AA6" w:rsidRPr="00601FE0" w:rsidRDefault="00855AA6">
            <w:pPr>
              <w:spacing w:before="0" w:after="0"/>
              <w:rPr>
                <w:rFonts w:ascii="Arial" w:hAnsi="Arial" w:cs="Arial"/>
                <w:sz w:val="21"/>
                <w:szCs w:val="21"/>
              </w:rPr>
            </w:pPr>
            <w:r w:rsidRPr="00601FE0">
              <w:rPr>
                <w:rFonts w:ascii="Arial" w:hAnsi="Arial" w:cs="Arial"/>
                <w:sz w:val="21"/>
                <w:szCs w:val="21"/>
              </w:rPr>
              <w:t>608.616.4962</w:t>
            </w:r>
          </w:p>
          <w:p w14:paraId="5EE7FEF4" w14:textId="77777777" w:rsidR="00855AA6" w:rsidRPr="00601FE0" w:rsidRDefault="00855AA6">
            <w:pPr>
              <w:spacing w:before="0" w:after="0"/>
              <w:rPr>
                <w:rFonts w:ascii="Arial" w:hAnsi="Arial" w:cs="Arial"/>
                <w:sz w:val="21"/>
                <w:szCs w:val="21"/>
                <w:u w:color="93D500" w:themeColor="accent1"/>
              </w:rPr>
            </w:pPr>
            <w:hyperlink r:id="rId14" w:history="1">
              <w:r w:rsidRPr="00601FE0">
                <w:rPr>
                  <w:rFonts w:ascii="Arial" w:hAnsi="Arial" w:cs="Arial"/>
                  <w:b/>
                  <w:sz w:val="21"/>
                  <w:szCs w:val="21"/>
                  <w:u w:val="single" w:color="93D500" w:themeColor="accent1"/>
                </w:rPr>
                <w:t>jeff.erickson@guidehouse.com</w:t>
              </w:r>
            </w:hyperlink>
          </w:p>
        </w:tc>
        <w:tc>
          <w:tcPr>
            <w:tcW w:w="3600" w:type="dxa"/>
          </w:tcPr>
          <w:p w14:paraId="5633A2FC" w14:textId="77777777" w:rsidR="005F105D" w:rsidRPr="005F105D" w:rsidRDefault="005F105D" w:rsidP="005F105D">
            <w:pPr>
              <w:spacing w:before="0" w:after="0"/>
              <w:rPr>
                <w:rFonts w:ascii="Arial" w:hAnsi="Arial" w:cs="Arial"/>
                <w:sz w:val="21"/>
                <w:szCs w:val="21"/>
              </w:rPr>
            </w:pPr>
            <w:r w:rsidRPr="005F105D">
              <w:rPr>
                <w:rFonts w:ascii="Arial" w:hAnsi="Arial" w:cs="Arial"/>
                <w:sz w:val="21"/>
                <w:szCs w:val="21"/>
              </w:rPr>
              <w:t>Nishant Mehta, Associate Director</w:t>
            </w:r>
          </w:p>
          <w:p w14:paraId="1600725E" w14:textId="77777777" w:rsidR="005F105D" w:rsidRPr="005F105D" w:rsidRDefault="005F105D" w:rsidP="005F105D">
            <w:pPr>
              <w:spacing w:before="0" w:after="0"/>
              <w:rPr>
                <w:rFonts w:ascii="Arial" w:hAnsi="Arial" w:cs="Arial"/>
                <w:sz w:val="21"/>
                <w:szCs w:val="21"/>
              </w:rPr>
            </w:pPr>
            <w:r w:rsidRPr="005F105D">
              <w:rPr>
                <w:rFonts w:ascii="Arial" w:hAnsi="Arial" w:cs="Arial"/>
                <w:sz w:val="21"/>
                <w:szCs w:val="21"/>
              </w:rPr>
              <w:t>608-616-5823</w:t>
            </w:r>
          </w:p>
          <w:p w14:paraId="2A304B4E" w14:textId="59106EFC" w:rsidR="005F105D" w:rsidRPr="005F105D" w:rsidRDefault="005F105D" w:rsidP="005F105D">
            <w:pPr>
              <w:spacing w:before="0" w:after="0"/>
              <w:rPr>
                <w:rFonts w:ascii="Arial" w:hAnsi="Arial" w:cs="Arial"/>
                <w:sz w:val="21"/>
                <w:szCs w:val="21"/>
              </w:rPr>
            </w:pPr>
            <w:r>
              <w:rPr>
                <w:rFonts w:ascii="Arial" w:hAnsi="Arial" w:cs="Arial"/>
                <w:b/>
                <w:sz w:val="21"/>
                <w:szCs w:val="21"/>
                <w:u w:val="single" w:color="93D500" w:themeColor="accent1"/>
              </w:rPr>
              <w:t>nishant.m</w:t>
            </w:r>
            <w:r w:rsidRPr="005F105D">
              <w:rPr>
                <w:rFonts w:ascii="Arial" w:hAnsi="Arial" w:cs="Arial"/>
                <w:b/>
                <w:sz w:val="21"/>
                <w:szCs w:val="21"/>
                <w:u w:val="single" w:color="93D500" w:themeColor="accent1"/>
              </w:rPr>
              <w:t>ehta@guidehouse.com</w:t>
            </w:r>
          </w:p>
          <w:p w14:paraId="5EE7FEF6" w14:textId="2529F89F" w:rsidR="00855AA6" w:rsidRPr="00601FE0" w:rsidRDefault="00855AA6">
            <w:pPr>
              <w:spacing w:before="0" w:after="0"/>
              <w:rPr>
                <w:rFonts w:ascii="Arial" w:hAnsi="Arial" w:cs="Arial"/>
                <w:sz w:val="21"/>
                <w:szCs w:val="21"/>
              </w:rPr>
            </w:pPr>
          </w:p>
        </w:tc>
      </w:tr>
    </w:tbl>
    <w:p w14:paraId="5EE7FEF8" w14:textId="77777777" w:rsidR="00855AA6" w:rsidRPr="00CE32C9" w:rsidRDefault="00855AA6">
      <w:pPr>
        <w:pStyle w:val="Contactinfo"/>
        <w:rPr>
          <w:rFonts w:cs="Arial"/>
          <w:sz w:val="20"/>
        </w:rPr>
      </w:pPr>
    </w:p>
    <w:p w14:paraId="5EE7FEF9" w14:textId="77777777" w:rsidR="00855AA6" w:rsidRPr="00CE32C9" w:rsidRDefault="00855AA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5EE7FEFA" w14:textId="77777777" w:rsidR="00855AA6" w:rsidRPr="00CE32C9" w:rsidRDefault="00855AA6">
      <w:pPr>
        <w:rPr>
          <w:rFonts w:ascii="Arial" w:hAnsi="Arial" w:cs="Arial"/>
          <w:sz w:val="20"/>
          <w:szCs w:val="20"/>
        </w:rPr>
      </w:pPr>
    </w:p>
    <w:p w14:paraId="5EE7FEFB" w14:textId="77777777" w:rsidR="00855AA6" w:rsidRDefault="00855AA6">
      <w:pPr>
        <w:suppressAutoHyphens w:val="0"/>
        <w:spacing w:before="0" w:after="0"/>
      </w:pPr>
    </w:p>
    <w:p w14:paraId="5EE7FEFC" w14:textId="77777777" w:rsidR="00855AA6" w:rsidRDefault="00855AA6">
      <w:pPr>
        <w:suppressAutoHyphens w:val="0"/>
        <w:spacing w:before="0" w:after="0"/>
        <w:rPr>
          <w:rFonts w:ascii="Arial" w:eastAsia="Calibri" w:hAnsi="Arial"/>
          <w:b/>
          <w:i/>
          <w:sz w:val="44"/>
          <w:szCs w:val="22"/>
        </w:rPr>
        <w:sectPr w:rsidR="00855AA6">
          <w:headerReference w:type="default" r:id="rId15"/>
          <w:footerReference w:type="default" r:id="rId16"/>
          <w:headerReference w:type="first" r:id="rId17"/>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EE7FEFD" w14:textId="77777777" w:rsidR="00855AA6" w:rsidRDefault="00855AA6">
      <w:pPr>
        <w:pStyle w:val="TOCHeading"/>
      </w:pPr>
      <w:r>
        <w:lastRenderedPageBreak/>
        <w:t>Table of Contents</w:t>
      </w:r>
      <w:bookmarkEnd w:id="1"/>
      <w:bookmarkEnd w:id="2"/>
    </w:p>
    <w:p w14:paraId="5EE7FEFE" w14:textId="7DA6E770" w:rsidR="00855AA6" w:rsidRDefault="00855AA6">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sidR="00E91DE8">
          <w:rPr>
            <w:noProof/>
            <w:webHidden/>
          </w:rPr>
          <w:t>1</w:t>
        </w:r>
        <w:r>
          <w:rPr>
            <w:noProof/>
            <w:webHidden/>
          </w:rPr>
          <w:fldChar w:fldCharType="end"/>
        </w:r>
      </w:hyperlink>
    </w:p>
    <w:p w14:paraId="5EE7FEFF" w14:textId="4FC06131" w:rsidR="00855AA6" w:rsidRDefault="00855AA6">
      <w:pPr>
        <w:pStyle w:val="TOC1"/>
        <w:rPr>
          <w:rFonts w:asciiTheme="minorHAnsi" w:eastAsiaTheme="minorEastAsia" w:hAnsiTheme="minorHAnsi" w:cstheme="minorBidi"/>
          <w:b w:val="0"/>
          <w:noProof/>
          <w:kern w:val="2"/>
          <w14:ligatures w14:val="standardContextual"/>
        </w:rPr>
      </w:pPr>
      <w:hyperlink w:anchor="_Toc187399542" w:history="1">
        <w:r w:rsidRPr="0096315A">
          <w:rPr>
            <w:rStyle w:val="Hyperlink"/>
            <w:noProof/>
          </w:rPr>
          <w:t>Program Savings Detail</w:t>
        </w:r>
        <w:r>
          <w:rPr>
            <w:noProof/>
            <w:webHidden/>
          </w:rPr>
          <w:tab/>
        </w:r>
        <w:r>
          <w:rPr>
            <w:noProof/>
            <w:webHidden/>
          </w:rPr>
          <w:fldChar w:fldCharType="begin"/>
        </w:r>
        <w:r>
          <w:rPr>
            <w:noProof/>
            <w:webHidden/>
          </w:rPr>
          <w:instrText xml:space="preserve"> PAGEREF _Toc187399542 \h </w:instrText>
        </w:r>
        <w:r>
          <w:rPr>
            <w:noProof/>
            <w:webHidden/>
          </w:rPr>
        </w:r>
        <w:r>
          <w:rPr>
            <w:noProof/>
            <w:webHidden/>
          </w:rPr>
          <w:fldChar w:fldCharType="separate"/>
        </w:r>
        <w:r w:rsidR="00E91DE8">
          <w:rPr>
            <w:noProof/>
            <w:webHidden/>
          </w:rPr>
          <w:t>1</w:t>
        </w:r>
        <w:r>
          <w:rPr>
            <w:noProof/>
            <w:webHidden/>
          </w:rPr>
          <w:fldChar w:fldCharType="end"/>
        </w:r>
      </w:hyperlink>
    </w:p>
    <w:p w14:paraId="5EE7FF00" w14:textId="761F7319" w:rsidR="00855AA6" w:rsidRDefault="00855AA6">
      <w:pPr>
        <w:pStyle w:val="TOC1"/>
        <w:rPr>
          <w:rFonts w:asciiTheme="minorHAnsi" w:eastAsiaTheme="minorEastAsia" w:hAnsiTheme="minorHAnsi" w:cstheme="minorBidi"/>
          <w:b w:val="0"/>
          <w:noProof/>
          <w:kern w:val="2"/>
          <w14:ligatures w14:val="standardContextual"/>
        </w:rPr>
      </w:pPr>
      <w:hyperlink w:anchor="_Toc187399543" w:history="1">
        <w:r w:rsidRPr="0096315A">
          <w:rPr>
            <w:rStyle w:val="Hyperlink"/>
            <w:noProof/>
          </w:rPr>
          <w:t>Cumulative Persisting Annual Savings</w:t>
        </w:r>
        <w:r>
          <w:rPr>
            <w:noProof/>
            <w:webHidden/>
          </w:rPr>
          <w:tab/>
        </w:r>
        <w:r>
          <w:rPr>
            <w:noProof/>
            <w:webHidden/>
          </w:rPr>
          <w:fldChar w:fldCharType="begin"/>
        </w:r>
        <w:r>
          <w:rPr>
            <w:noProof/>
            <w:webHidden/>
          </w:rPr>
          <w:instrText xml:space="preserve"> PAGEREF _Toc187399543 \h </w:instrText>
        </w:r>
        <w:r>
          <w:rPr>
            <w:noProof/>
            <w:webHidden/>
          </w:rPr>
        </w:r>
        <w:r>
          <w:rPr>
            <w:noProof/>
            <w:webHidden/>
          </w:rPr>
          <w:fldChar w:fldCharType="separate"/>
        </w:r>
        <w:r w:rsidR="00E91DE8">
          <w:rPr>
            <w:noProof/>
            <w:webHidden/>
          </w:rPr>
          <w:t>1</w:t>
        </w:r>
        <w:r>
          <w:rPr>
            <w:noProof/>
            <w:webHidden/>
          </w:rPr>
          <w:fldChar w:fldCharType="end"/>
        </w:r>
      </w:hyperlink>
    </w:p>
    <w:p w14:paraId="5EE7FF01" w14:textId="77777777" w:rsidR="00855AA6" w:rsidRDefault="00855AA6">
      <w:pPr>
        <w:pStyle w:val="GHBodytext"/>
      </w:pPr>
      <w:r>
        <w:fldChar w:fldCharType="end"/>
      </w:r>
    </w:p>
    <w:p w14:paraId="5EE7FF02" w14:textId="77777777" w:rsidR="00855AA6" w:rsidRPr="00FA4A7C" w:rsidRDefault="00855AA6">
      <w:pPr>
        <w:pStyle w:val="GHTOC"/>
      </w:pPr>
      <w:bookmarkStart w:id="3" w:name="_Toc181693456"/>
      <w:bookmarkStart w:id="4" w:name="_Toc181693477"/>
      <w:bookmarkStart w:id="5" w:name="_Toc186529826"/>
      <w:r>
        <w:t>List of Figures</w:t>
      </w:r>
      <w:bookmarkEnd w:id="3"/>
      <w:bookmarkEnd w:id="4"/>
      <w:bookmarkEnd w:id="5"/>
    </w:p>
    <w:p w14:paraId="5EE7FF03" w14:textId="0F9D4AF7" w:rsidR="00855AA6" w:rsidRDefault="00855AA6">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sidR="00E91DE8">
          <w:rPr>
            <w:noProof/>
            <w:webHidden/>
          </w:rPr>
          <w:t>3</w:t>
        </w:r>
        <w:r>
          <w:rPr>
            <w:noProof/>
            <w:webHidden/>
          </w:rPr>
          <w:fldChar w:fldCharType="end"/>
        </w:r>
      </w:hyperlink>
    </w:p>
    <w:p w14:paraId="5EE7FF04" w14:textId="77777777" w:rsidR="00855AA6" w:rsidRDefault="00855AA6">
      <w:pPr>
        <w:pStyle w:val="GHBodytext"/>
        <w:tabs>
          <w:tab w:val="right" w:pos="9360"/>
        </w:tabs>
      </w:pPr>
      <w:r>
        <w:rPr>
          <w:b/>
        </w:rPr>
        <w:fldChar w:fldCharType="end"/>
      </w:r>
    </w:p>
    <w:p w14:paraId="5EE7FF05" w14:textId="0203CCE3" w:rsidR="00855AA6" w:rsidRDefault="00855AA6">
      <w:pPr>
        <w:pStyle w:val="GHTOC"/>
      </w:pPr>
      <w:bookmarkStart w:id="6" w:name="_Toc181693457"/>
      <w:bookmarkStart w:id="7" w:name="_Toc181693478"/>
      <w:bookmarkStart w:id="8" w:name="_Toc186529827"/>
      <w:r>
        <w:t>List of Tables</w:t>
      </w:r>
      <w:bookmarkEnd w:id="6"/>
      <w:bookmarkEnd w:id="7"/>
      <w:bookmarkEnd w:id="8"/>
      <w:r>
        <w:t xml:space="preserve"> </w:t>
      </w:r>
    </w:p>
    <w:p w14:paraId="5EE7FF06" w14:textId="7424C6CC" w:rsidR="00855AA6" w:rsidRDefault="00855AA6">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sidR="00E91DE8">
          <w:rPr>
            <w:noProof/>
            <w:webHidden/>
          </w:rPr>
          <w:t>1</w:t>
        </w:r>
        <w:r>
          <w:rPr>
            <w:noProof/>
            <w:webHidden/>
          </w:rPr>
          <w:fldChar w:fldCharType="end"/>
        </w:r>
      </w:hyperlink>
    </w:p>
    <w:p w14:paraId="5EE7FF09" w14:textId="7EDD9A77" w:rsidR="00855AA6" w:rsidRDefault="00855AA6">
      <w:pPr>
        <w:pStyle w:val="TableofFigures"/>
        <w:rPr>
          <w:rFonts w:asciiTheme="minorHAnsi" w:eastAsiaTheme="minorEastAsia" w:hAnsiTheme="minorHAnsi" w:cstheme="minorBidi"/>
          <w:noProof/>
          <w:kern w:val="2"/>
          <w14:ligatures w14:val="standardContextual"/>
        </w:rPr>
      </w:pPr>
      <w:hyperlink w:anchor="_Toc187399548" w:history="1">
        <w:r w:rsidRPr="00F53DC4">
          <w:rPr>
            <w:rStyle w:val="Hyperlink"/>
            <w:noProof/>
          </w:rPr>
          <w:t>Table 4. CPAS – Electric</w:t>
        </w:r>
        <w:r>
          <w:rPr>
            <w:noProof/>
            <w:webHidden/>
          </w:rPr>
          <w:tab/>
        </w:r>
        <w:r>
          <w:rPr>
            <w:noProof/>
            <w:webHidden/>
          </w:rPr>
          <w:fldChar w:fldCharType="begin"/>
        </w:r>
        <w:r>
          <w:rPr>
            <w:noProof/>
            <w:webHidden/>
          </w:rPr>
          <w:instrText xml:space="preserve"> PAGEREF _Toc187399548 \h </w:instrText>
        </w:r>
        <w:r>
          <w:rPr>
            <w:noProof/>
            <w:webHidden/>
          </w:rPr>
        </w:r>
        <w:r>
          <w:rPr>
            <w:noProof/>
            <w:webHidden/>
          </w:rPr>
          <w:fldChar w:fldCharType="separate"/>
        </w:r>
        <w:r w:rsidR="00E91DE8">
          <w:rPr>
            <w:noProof/>
            <w:webHidden/>
          </w:rPr>
          <w:t>1</w:t>
        </w:r>
        <w:r>
          <w:rPr>
            <w:noProof/>
            <w:webHidden/>
          </w:rPr>
          <w:fldChar w:fldCharType="end"/>
        </w:r>
      </w:hyperlink>
    </w:p>
    <w:p w14:paraId="5EE7FF0C" w14:textId="77777777" w:rsidR="00855AA6" w:rsidRPr="00FA4A7C" w:rsidRDefault="00855AA6">
      <w:r>
        <w:fldChar w:fldCharType="end"/>
      </w:r>
      <w:bookmarkStart w:id="9" w:name="_Toc151371877"/>
      <w:bookmarkStart w:id="10" w:name="_Toc181693463"/>
      <w:bookmarkStart w:id="11" w:name="_Toc181693484"/>
    </w:p>
    <w:p w14:paraId="5EE7FF0D" w14:textId="77777777" w:rsidR="00855AA6" w:rsidRDefault="00855AA6">
      <w:pPr>
        <w:suppressAutoHyphens w:val="0"/>
        <w:spacing w:before="0" w:after="0"/>
        <w:rPr>
          <w:rFonts w:ascii="Arial" w:eastAsia="Calibri" w:hAnsi="Arial"/>
          <w:b/>
          <w:sz w:val="32"/>
          <w:szCs w:val="22"/>
        </w:rPr>
        <w:sectPr w:rsidR="00855AA6">
          <w:pgSz w:w="12240" w:h="15840" w:code="1"/>
          <w:pgMar w:top="1440" w:right="1440" w:bottom="1440" w:left="1440" w:header="720" w:footer="720" w:gutter="0"/>
          <w:pgNumType w:start="1"/>
          <w:cols w:space="720"/>
          <w:docGrid w:linePitch="360"/>
        </w:sectPr>
      </w:pPr>
    </w:p>
    <w:p w14:paraId="5EE7FF0E" w14:textId="77777777" w:rsidR="00855AA6" w:rsidRDefault="00855AA6">
      <w:pPr>
        <w:pStyle w:val="Heading10"/>
      </w:pPr>
      <w:bookmarkStart w:id="12" w:name="_Toc151976667"/>
      <w:bookmarkStart w:id="13" w:name="_Toc187399541"/>
      <w:bookmarkEnd w:id="9"/>
      <w:bookmarkEnd w:id="10"/>
      <w:bookmarkEnd w:id="11"/>
      <w:r>
        <w:lastRenderedPageBreak/>
        <w:t>Introduction</w:t>
      </w:r>
      <w:bookmarkEnd w:id="12"/>
      <w:bookmarkEnd w:id="13"/>
    </w:p>
    <w:p w14:paraId="5EE7FF0F" w14:textId="2A4C1EC4" w:rsidR="00855AA6" w:rsidRPr="00D937E4" w:rsidRDefault="00855AA6">
      <w:pPr>
        <w:pStyle w:val="BodyText"/>
      </w:pPr>
      <w:r w:rsidRPr="00F64B8B">
        <w:t xml:space="preserve">This report presents </w:t>
      </w:r>
      <w:r>
        <w:t>the results of the impact evaluation of the</w:t>
      </w:r>
      <w:r w:rsidR="004605E1">
        <w:t xml:space="preserve"> Midstream/Upstream </w:t>
      </w:r>
      <w:r w:rsidR="00A76268">
        <w:t>P</w:t>
      </w:r>
      <w:r>
        <w:t>rogram from the program year from January 1 to December 31, 2024 (CY2024)</w:t>
      </w:r>
      <w:r w:rsidRPr="00B52A58">
        <w:t xml:space="preserve">. </w:t>
      </w:r>
      <w:r w:rsidR="00953AE4" w:rsidRPr="00953AE4">
        <w:t>The program was designed to provide incentives to increase the market share of energy efficient products commonly sold to business customers and has two components Instant Discounts and Commercial Food Service Equipment (CFS). Instant Discounts provides an expedited, simple solution to business customers interested in purchasing high efficiency products by providing instant discounts at the point of sale. CFS works to increase the uptake of energy efficient commercial food service equipment among food service operators through a simplified administrative process, point of sale customer rebates, and upstream incentives</w:t>
      </w:r>
      <w:r>
        <w:t xml:space="preserve">. </w:t>
      </w:r>
    </w:p>
    <w:p w14:paraId="5EE7FF13" w14:textId="77777777" w:rsidR="00855AA6" w:rsidRDefault="00855AA6">
      <w:pPr>
        <w:pStyle w:val="Heading10"/>
      </w:pPr>
      <w:bookmarkStart w:id="14" w:name="_Toc151976668"/>
      <w:bookmarkStart w:id="15" w:name="_Toc187399542"/>
      <w:r>
        <w:t>Program Savings Detail</w:t>
      </w:r>
      <w:bookmarkEnd w:id="14"/>
      <w:bookmarkEnd w:id="15"/>
    </w:p>
    <w:bookmarkStart w:id="16" w:name="_Hlk117035428"/>
    <w:p w14:paraId="5EE7FF16" w14:textId="5BD1A5BC" w:rsidR="00855AA6" w:rsidRDefault="00855AA6">
      <w:pPr>
        <w:pStyle w:val="BodyText"/>
      </w:pPr>
      <w:r w:rsidRPr="008E2DD7">
        <w:fldChar w:fldCharType="begin"/>
      </w:r>
      <w:r w:rsidRPr="008E2DD7">
        <w:instrText xml:space="preserve"> REF _Ref482008337 \h </w:instrText>
      </w:r>
      <w:r>
        <w:instrText xml:space="preserve"> \* MERGEFORMAT </w:instrText>
      </w:r>
      <w:r w:rsidRPr="008E2DD7">
        <w:fldChar w:fldCharType="separate"/>
      </w:r>
      <w:r w:rsidR="00E91DE8">
        <w:t xml:space="preserve">Table </w:t>
      </w:r>
      <w:r w:rsidR="00E91DE8">
        <w:rPr>
          <w:noProof/>
        </w:rPr>
        <w:t>1</w:t>
      </w:r>
      <w:r w:rsidRPr="008E2DD7">
        <w:fldChar w:fldCharType="end"/>
      </w:r>
      <w:bookmarkEnd w:id="16"/>
      <w:r w:rsidRPr="008E2DD7">
        <w:t xml:space="preserve"> summarizes the incremental energy and demand savings the </w:t>
      </w:r>
      <w:r w:rsidR="00334F68">
        <w:t>Midstream/Upstream</w:t>
      </w:r>
      <w:r w:rsidR="00334F68" w:rsidRPr="008E2DD7">
        <w:t xml:space="preserve"> </w:t>
      </w:r>
      <w:r w:rsidRPr="008E2DD7">
        <w:t>Program achieved in CY202</w:t>
      </w:r>
      <w:r>
        <w:t>4</w:t>
      </w:r>
      <w:r w:rsidRPr="008E2DD7">
        <w:t xml:space="preserve">. The electrification savings are those resulting from </w:t>
      </w:r>
      <w:r>
        <w:t xml:space="preserve">electrification </w:t>
      </w:r>
      <w:r w:rsidRPr="008E2DD7">
        <w:t>measures.</w:t>
      </w:r>
      <w:r w:rsidRPr="008E2DD7">
        <w:rPr>
          <w:rStyle w:val="FootnoteReference"/>
        </w:rPr>
        <w:footnoteReference w:id="2"/>
      </w:r>
      <w:r w:rsidRPr="008E2DD7">
        <w:t xml:space="preserve"> </w:t>
      </w:r>
    </w:p>
    <w:p w14:paraId="5EE7FF17" w14:textId="36C6E35D" w:rsidR="00855AA6" w:rsidRDefault="00855AA6">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87399545"/>
      <w:r>
        <w:t xml:space="preserve">Table </w:t>
      </w:r>
      <w:r>
        <w:fldChar w:fldCharType="begin"/>
      </w:r>
      <w:r>
        <w:instrText>SEQ Table \* ARABIC</w:instrText>
      </w:r>
      <w:r>
        <w:fldChar w:fldCharType="separate"/>
      </w:r>
      <w:r w:rsidR="00E91DE8">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0" w:type="pct"/>
        <w:jc w:val="center"/>
        <w:tblLook w:val="0420" w:firstRow="1" w:lastRow="0" w:firstColumn="0" w:lastColumn="0" w:noHBand="0" w:noVBand="1"/>
      </w:tblPr>
      <w:tblGrid>
        <w:gridCol w:w="1984"/>
        <w:gridCol w:w="325"/>
        <w:gridCol w:w="986"/>
        <w:gridCol w:w="1071"/>
        <w:gridCol w:w="982"/>
        <w:gridCol w:w="1002"/>
        <w:gridCol w:w="1059"/>
        <w:gridCol w:w="1003"/>
        <w:gridCol w:w="948"/>
      </w:tblGrid>
      <w:tr w:rsidR="00F669DE" w14:paraId="5EE7FF21" w14:textId="77777777" w:rsidTr="43366336">
        <w:trPr>
          <w:tblHeader/>
          <w:jc w:val="center"/>
        </w:trPr>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1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5EE7FF2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F669DE" w14:paraId="5EE7FF2B" w14:textId="77777777" w:rsidTr="43366336">
        <w:trPr>
          <w:jc w:val="center"/>
        </w:trPr>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181,225,722</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182,493,037</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0.86</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10,023,068</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4,382,000</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A" w14:textId="246975C0" w:rsidR="00F669DE" w:rsidRDefault="2358A10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sidRPr="43366336">
              <w:rPr>
                <w:rFonts w:ascii="Arial" w:eastAsia="DejaVu Sans" w:hAnsi="DejaVu Sans" w:cs="DejaVu Sans"/>
                <w:color w:val="000000"/>
                <w:sz w:val="14"/>
                <w:szCs w:val="14"/>
              </w:rPr>
              <w:t>1</w:t>
            </w:r>
            <w:r w:rsidR="00F67D2F">
              <w:rPr>
                <w:rFonts w:ascii="Arial" w:eastAsia="DejaVu Sans" w:hAnsi="DejaVu Sans" w:cs="DejaVu Sans"/>
                <w:color w:val="000000"/>
                <w:sz w:val="14"/>
                <w:szCs w:val="14"/>
              </w:rPr>
              <w:t>71</w:t>
            </w:r>
            <w:r w:rsidRPr="43366336">
              <w:rPr>
                <w:rFonts w:ascii="Arial" w:eastAsia="DejaVu Sans" w:hAnsi="DejaVu Sans" w:cs="DejaVu Sans"/>
                <w:color w:val="000000"/>
                <w:sz w:val="14"/>
                <w:szCs w:val="14"/>
              </w:rPr>
              <w:t>,</w:t>
            </w:r>
            <w:r w:rsidR="00F67D2F">
              <w:rPr>
                <w:rFonts w:ascii="Arial" w:eastAsia="DejaVu Sans" w:hAnsi="DejaVu Sans" w:cs="DejaVu Sans"/>
                <w:color w:val="000000"/>
                <w:sz w:val="14"/>
                <w:szCs w:val="14"/>
              </w:rPr>
              <w:t>792</w:t>
            </w:r>
            <w:r w:rsidRPr="43366336">
              <w:rPr>
                <w:rFonts w:ascii="Arial" w:eastAsia="DejaVu Sans" w:hAnsi="DejaVu Sans" w:cs="DejaVu Sans"/>
                <w:color w:val="000000"/>
                <w:sz w:val="14"/>
                <w:szCs w:val="14"/>
              </w:rPr>
              <w:t>,</w:t>
            </w:r>
            <w:r w:rsidR="00F67D2F">
              <w:rPr>
                <w:rFonts w:ascii="Arial" w:eastAsia="DejaVu Sans" w:hAnsi="DejaVu Sans" w:cs="DejaVu Sans"/>
                <w:color w:val="000000"/>
                <w:sz w:val="14"/>
                <w:szCs w:val="14"/>
              </w:rPr>
              <w:t>432</w:t>
            </w:r>
          </w:p>
        </w:tc>
      </w:tr>
      <w:tr w:rsidR="00F669DE" w14:paraId="5EE7FF35" w14:textId="77777777" w:rsidTr="43366336">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E"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2F"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0"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1"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2"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3"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4"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F669DE" w14:paraId="5EE7FF3F" w14:textId="77777777" w:rsidTr="43366336">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6" w14:textId="6E7167C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26,880,234</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9"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26,835,947</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0.80</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C"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D"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3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21,520,860</w:t>
            </w:r>
          </w:p>
        </w:tc>
      </w:tr>
      <w:tr w:rsidR="00F669DE" w14:paraId="5EE7FF49" w14:textId="77777777" w:rsidTr="43366336">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0" w14:textId="0FA7419F"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(efficiency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2"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3"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4"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5"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7"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8"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F669DE" w14:paraId="5EE7FF53" w14:textId="77777777" w:rsidTr="43366336">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208,105,956</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209,328,984</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4F" w14:textId="49D4728B"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r w:rsidR="00851B92">
              <w:rPr>
                <w:rFonts w:ascii="Arial" w:eastAsia="DejaVu Sans" w:hAnsi="DejaVu Sans" w:cs="DejaVu Sans"/>
                <w:color w:val="000000"/>
                <w:sz w:val="14"/>
                <w:szCs w:val="14"/>
              </w:rPr>
              <w:t>92</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10,023,068</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4,382,000</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2" w14:textId="22AD43E8" w:rsidR="00F669DE" w:rsidRDefault="00851B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193,313,292</w:t>
            </w:r>
          </w:p>
        </w:tc>
      </w:tr>
      <w:tr w:rsidR="00F669DE" w14:paraId="5EE7FF5D" w14:textId="77777777" w:rsidTr="43366336">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208,105,956</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0.85</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10,023,068</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4,382,000</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193,313,292</w:t>
            </w:r>
          </w:p>
        </w:tc>
      </w:tr>
      <w:tr w:rsidR="00F669DE" w14:paraId="5EE7FF67" w14:textId="77777777" w:rsidTr="43366336">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5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36,000</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36,303</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3" w14:textId="4D3A2466"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r w:rsidR="009601C9">
              <w:rPr>
                <w:rFonts w:ascii="Arial" w:eastAsia="DejaVu Sans" w:hAnsi="DejaVu Sans" w:cs="DejaVu Sans"/>
                <w:color w:val="000000"/>
                <w:sz w:val="14"/>
                <w:szCs w:val="14"/>
              </w:rPr>
              <w:t>96</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2,307</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E7FF66" w14:textId="6302F6E9"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w:t>
            </w:r>
            <w:r w:rsidR="009601C9">
              <w:rPr>
                <w:rFonts w:ascii="Arial" w:eastAsia="DejaVu Sans" w:hAnsi="DejaVu Sans" w:cs="DejaVu Sans"/>
                <w:color w:val="000000"/>
                <w:sz w:val="14"/>
                <w:szCs w:val="14"/>
              </w:rPr>
              <w:t>5</w:t>
            </w:r>
            <w:r>
              <w:rPr>
                <w:rFonts w:ascii="Arial" w:eastAsia="DejaVu Sans" w:hAnsi="DejaVu Sans" w:cs="DejaVu Sans"/>
                <w:color w:val="000000"/>
                <w:sz w:val="14"/>
                <w:szCs w:val="14"/>
              </w:rPr>
              <w:t>,</w:t>
            </w:r>
            <w:r w:rsidR="009601C9">
              <w:rPr>
                <w:rFonts w:ascii="Arial" w:eastAsia="DejaVu Sans" w:hAnsi="DejaVu Sans" w:cs="DejaVu Sans"/>
                <w:color w:val="000000"/>
                <w:sz w:val="14"/>
                <w:szCs w:val="14"/>
              </w:rPr>
              <w:t>007</w:t>
            </w:r>
          </w:p>
        </w:tc>
      </w:tr>
      <w:tr w:rsidR="00F669DE" w14:paraId="5EE7FF71" w14:textId="77777777" w:rsidTr="43366336">
        <w:trPr>
          <w:jc w:val="center"/>
        </w:trPr>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8" w14:textId="26721852"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36,000</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40,457</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0.87</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2,307</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6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EE7FF7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35,007</w:t>
            </w:r>
          </w:p>
        </w:tc>
      </w:tr>
    </w:tbl>
    <w:p w14:paraId="5EE7FF72" w14:textId="77777777" w:rsidR="00855AA6" w:rsidRPr="0085537E" w:rsidRDefault="00855AA6">
      <w:pPr>
        <w:pStyle w:val="TableFigureNote"/>
      </w:pPr>
      <w:r w:rsidRPr="0085537E">
        <w:t>N/A = not applicable (refers to a piece of data that cannot be produced or does not apply).</w:t>
      </w:r>
    </w:p>
    <w:p w14:paraId="5EE7FF73" w14:textId="77777777" w:rsidR="00855AA6" w:rsidRDefault="00855AA6">
      <w:pPr>
        <w:pStyle w:val="TableFigureNote"/>
      </w:pPr>
      <w:r>
        <w:t xml:space="preserve">* The “Ex Ante Gross Savings" and “Verified Gross Savings" in row one (Electric Energy Savings - Direct) and row seven (Summer Peak Demand Savings) exclude gross carryover savings from CY2022 and CY2023. </w:t>
      </w:r>
    </w:p>
    <w:p w14:paraId="5EE7FF74" w14:textId="77777777" w:rsidR="00855AA6" w:rsidRDefault="00855AA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5EE7FF75" w14:textId="77777777" w:rsidR="00855AA6" w:rsidRDefault="00855AA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5EE7FF76" w14:textId="77777777" w:rsidR="00855AA6" w:rsidRDefault="00855AA6">
      <w:pPr>
        <w:pStyle w:val="TableFigureNote"/>
      </w:pPr>
      <w:r>
        <w:t>§ Gas savings converted to kWh by multiplying Therms * 29.31 (which is based on 100,000 Btu/</w:t>
      </w:r>
      <w:proofErr w:type="spellStart"/>
      <w:r>
        <w:t>Therm</w:t>
      </w:r>
      <w:proofErr w:type="spellEnd"/>
      <w:r>
        <w:t xml:space="preserve"> and 3,412 Btu/kWh). The evaluation team will determine which gas savings will be converted to kWh and counted toward ComEd's electric savings goal while producing the portfolio-wide Summary Report. </w:t>
      </w:r>
    </w:p>
    <w:p w14:paraId="5EE7FF77" w14:textId="77777777" w:rsidR="00855AA6" w:rsidRDefault="00855AA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w:t>
      </w:r>
      <w:r>
        <w:lastRenderedPageBreak/>
        <w:t xml:space="preserve">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3"/>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5EE7FF78" w14:textId="77777777" w:rsidR="00855AA6" w:rsidRDefault="00855AA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5EE7FF79" w14:textId="77777777" w:rsidR="00855AA6" w:rsidRDefault="00855AA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5EE7FF7A" w14:textId="77777777" w:rsidR="00855AA6" w:rsidRDefault="00855AA6">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4"/>
      </w:r>
    </w:p>
    <w:p w14:paraId="5EE7FF7B" w14:textId="77777777" w:rsidR="00855AA6" w:rsidRPr="008812EE" w:rsidRDefault="00855AA6">
      <w:pPr>
        <w:pStyle w:val="TableFigureSource"/>
      </w:pPr>
      <w:r w:rsidRPr="008812EE">
        <w:t>Source: Evaluation team analysis</w:t>
      </w:r>
    </w:p>
    <w:p w14:paraId="5EE80037" w14:textId="7DF66299" w:rsidR="00855AA6" w:rsidRDefault="00855AA6">
      <w:pPr>
        <w:pStyle w:val="BodyText"/>
      </w:pPr>
      <w:r>
        <w:fldChar w:fldCharType="begin"/>
      </w:r>
      <w:r>
        <w:instrText xml:space="preserve"> REF _Ref117035780 \h  \* MERGEFORMAT </w:instrText>
      </w:r>
      <w:r>
        <w:fldChar w:fldCharType="separate"/>
      </w:r>
      <w:r w:rsidR="00E91DE8">
        <w:t xml:space="preserve">Figure </w:t>
      </w:r>
      <w:r w:rsidR="00E91DE8">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 xml:space="preserve">savings. </w:t>
      </w:r>
    </w:p>
    <w:p w14:paraId="5EE80038" w14:textId="4EACF4E9" w:rsidR="00855AA6" w:rsidRDefault="00855AA6">
      <w:pPr>
        <w:pStyle w:val="Caption"/>
      </w:pPr>
      <w:bookmarkStart w:id="25" w:name="_Ref117035780"/>
      <w:bookmarkStart w:id="26" w:name="_Toc151976678"/>
      <w:bookmarkStart w:id="27" w:name="_Toc187399544"/>
      <w:r>
        <w:t xml:space="preserve">Figure </w:t>
      </w:r>
      <w:r>
        <w:fldChar w:fldCharType="begin"/>
      </w:r>
      <w:r>
        <w:instrText>SEQ Figure \* ARABIC</w:instrText>
      </w:r>
      <w:r>
        <w:fldChar w:fldCharType="separate"/>
      </w:r>
      <w:r w:rsidR="00E91DE8">
        <w:rPr>
          <w:noProof/>
        </w:rPr>
        <w:t>1</w:t>
      </w:r>
      <w:r>
        <w:fldChar w:fldCharType="end"/>
      </w:r>
      <w:bookmarkEnd w:id="25"/>
      <w:r>
        <w:t xml:space="preserve">. </w:t>
      </w:r>
      <w:r w:rsidRPr="2221D51B">
        <w:t>Verified Net Savings by Measure – Electric</w:t>
      </w:r>
      <w:bookmarkStart w:id="28" w:name="Figure_1"/>
      <w:bookmarkEnd w:id="26"/>
      <w:bookmarkEnd w:id="27"/>
      <w:bookmarkEnd w:id="28"/>
    </w:p>
    <w:p w14:paraId="5EE80039" w14:textId="77777777" w:rsidR="00F669DE" w:rsidRDefault="00855AA6">
      <w:r>
        <w:rPr>
          <w:noProof/>
        </w:rPr>
        <w:drawing>
          <wp:inline distT="0" distB="0" distL="0" distR="0" wp14:anchorId="5EE80481" wp14:editId="5EE80482">
            <wp:extent cx="59436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8" cstate="print"/>
                    <a:stretch>
                      <a:fillRect/>
                    </a:stretch>
                  </pic:blipFill>
                  <pic:spPr bwMode="auto">
                    <a:xfrm>
                      <a:off x="0" y="0"/>
                      <a:ext cx="82550" cy="38100"/>
                    </a:xfrm>
                    <a:prstGeom prst="rect">
                      <a:avLst/>
                    </a:prstGeom>
                    <a:noFill/>
                  </pic:spPr>
                </pic:pic>
              </a:graphicData>
            </a:graphic>
          </wp:inline>
        </w:drawing>
      </w:r>
    </w:p>
    <w:p w14:paraId="5EE8003A" w14:textId="77777777" w:rsidR="00855AA6" w:rsidRDefault="00855AA6">
      <w:pPr>
        <w:pStyle w:val="TableFigureSource"/>
      </w:pPr>
      <w:r w:rsidRPr="27A43C0E">
        <w:t>Source: Evaluation team analysis</w:t>
      </w:r>
    </w:p>
    <w:p w14:paraId="5EE8003B" w14:textId="77777777" w:rsidR="00855AA6" w:rsidRPr="00470CF3" w:rsidRDefault="00855AA6">
      <w:pPr>
        <w:suppressAutoHyphens w:val="0"/>
        <w:spacing w:before="0" w:after="0"/>
        <w:rPr>
          <w:rFonts w:ascii="Arial" w:hAnsi="Arial"/>
          <w:sz w:val="22"/>
          <w:szCs w:val="20"/>
        </w:rPr>
      </w:pPr>
      <w:r>
        <w:br w:type="page"/>
      </w:r>
    </w:p>
    <w:p w14:paraId="5EE8003C" w14:textId="77777777" w:rsidR="00855AA6" w:rsidRDefault="00855AA6">
      <w:pPr>
        <w:pStyle w:val="Heading10"/>
        <w:sectPr w:rsidR="00855AA6">
          <w:pgSz w:w="12240" w:h="15840" w:code="1"/>
          <w:pgMar w:top="1440" w:right="1440" w:bottom="1440" w:left="1440" w:header="720" w:footer="720" w:gutter="0"/>
          <w:pgNumType w:start="1"/>
          <w:cols w:space="720"/>
          <w:docGrid w:linePitch="360"/>
        </w:sectPr>
      </w:pPr>
      <w:bookmarkStart w:id="29" w:name="_Toc151976669"/>
      <w:bookmarkStart w:id="30" w:name="_Toc187399543"/>
    </w:p>
    <w:p w14:paraId="5EE8003D" w14:textId="77777777" w:rsidR="00855AA6" w:rsidRDefault="00855AA6">
      <w:pPr>
        <w:pStyle w:val="Heading10"/>
      </w:pPr>
      <w:r>
        <w:lastRenderedPageBreak/>
        <w:t>Cumulative Persisting Annual Savings</w:t>
      </w:r>
      <w:bookmarkEnd w:id="29"/>
      <w:bookmarkEnd w:id="30"/>
    </w:p>
    <w:p w14:paraId="5EE8003F" w14:textId="3D6F27BE" w:rsidR="00855AA6" w:rsidRDefault="00855AA6">
      <w:pPr>
        <w:pStyle w:val="BodyText"/>
      </w:pPr>
      <w:r>
        <w:fldChar w:fldCharType="begin"/>
      </w:r>
      <w:r>
        <w:instrText xml:space="preserve"> REF _Ref105417109 \h  \* MERGEFORMAT </w:instrText>
      </w:r>
      <w:r>
        <w:fldChar w:fldCharType="separate"/>
      </w:r>
      <w:r w:rsidR="00E91DE8">
        <w:t xml:space="preserve">Table </w:t>
      </w:r>
      <w:r w:rsidR="00E91DE8">
        <w:rPr>
          <w:noProof/>
        </w:rPr>
        <w:t>2</w:t>
      </w:r>
      <w:r>
        <w:fldChar w:fldCharType="end"/>
      </w:r>
      <w:r>
        <w:t xml:space="preserve"> </w:t>
      </w:r>
      <w:r w:rsidR="00E91DE8">
        <w:t xml:space="preserve">shows </w:t>
      </w:r>
      <w:r w:rsidRPr="00B52A58">
        <w:t xml:space="preserve">cumulative </w:t>
      </w:r>
      <w:r w:rsidRPr="008419F0">
        <w:t xml:space="preserve">persisting annual savings (CPAS) for the measures installed in </w:t>
      </w:r>
      <w:r>
        <w:t>CY2024.</w:t>
      </w:r>
      <w:r w:rsidRPr="008419F0">
        <w:t xml:space="preserve"> </w:t>
      </w:r>
    </w:p>
    <w:p w14:paraId="5EE80041" w14:textId="2AFCA078" w:rsidR="00855AA6" w:rsidRDefault="00855AA6">
      <w:pPr>
        <w:pStyle w:val="Caption"/>
      </w:pPr>
      <w:bookmarkStart w:id="31" w:name="_Ref105417109"/>
      <w:bookmarkStart w:id="32" w:name="_Toc159919735"/>
      <w:bookmarkStart w:id="33" w:name="_Toc187399548"/>
      <w:r>
        <w:t xml:space="preserve">Table </w:t>
      </w:r>
      <w:r>
        <w:fldChar w:fldCharType="begin"/>
      </w:r>
      <w:r>
        <w:instrText>SEQ Table \* ARABIC</w:instrText>
      </w:r>
      <w:r>
        <w:fldChar w:fldCharType="separate"/>
      </w:r>
      <w:r w:rsidR="00E91DE8">
        <w:rPr>
          <w:noProof/>
        </w:rPr>
        <w:t>2</w:t>
      </w:r>
      <w:r>
        <w:fldChar w:fldCharType="end"/>
      </w:r>
      <w:bookmarkEnd w:id="31"/>
      <w:r>
        <w:t>. CPAS – Electric</w:t>
      </w:r>
      <w:bookmarkStart w:id="34" w:name="Table_4"/>
      <w:bookmarkEnd w:id="32"/>
      <w:bookmarkEnd w:id="33"/>
      <w:bookmarkEnd w:id="34"/>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F669DE" w14:paraId="5EE80045"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EE80042"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EE8004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EE80044"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F669DE" w14:paraId="5EE80054"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4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5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5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5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5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F669DE" w14:paraId="5EE80063"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2,736,866,164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8"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9"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A"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B"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C"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D"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193,313,292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5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193,313,292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190,520,349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190,520,349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183,542,381</w:t>
            </w:r>
          </w:p>
        </w:tc>
      </w:tr>
      <w:tr w:rsidR="00F669DE" w14:paraId="5EE80072"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5"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253,222,349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494,589,366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703,682,603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879,422,392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1,056,395,177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1,171,753,506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1,094,151,296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957,358,457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6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805,384,665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741,142,342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687,997,487</w:t>
            </w:r>
          </w:p>
        </w:tc>
      </w:tr>
      <w:tr w:rsidR="00F669DE" w14:paraId="5EE80081"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2,736,866,164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253,222,349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494,589,366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703,682,603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879,422,392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1,056,395,177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1,171,753,506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1,287,464,588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1,150,671,749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995,905,014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7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931,662,691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871,539,868</w:t>
            </w:r>
          </w:p>
        </w:tc>
      </w:tr>
      <w:tr w:rsidR="00F669DE" w14:paraId="5EE80090"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3"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4"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5"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7"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8"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9"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A"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B"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2,792,943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8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6,977,968</w:t>
            </w:r>
          </w:p>
        </w:tc>
      </w:tr>
      <w:tr w:rsidR="00F669DE" w14:paraId="5EE8009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2"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3"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4"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5"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7"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8"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9"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77,602,210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136,792,839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151,973,792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64,242,323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9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53,144,855</w:t>
            </w:r>
          </w:p>
        </w:tc>
      </w:tr>
      <w:tr w:rsidR="00F669DE" w14:paraId="5EE800AE"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1"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2"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3"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4"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5"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7"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8"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77,602,210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136,792,839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154,766,735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64,242,323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0A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60,122,823</w:t>
            </w:r>
          </w:p>
        </w:tc>
      </w:tr>
    </w:tbl>
    <w:p w14:paraId="5EE800AF" w14:textId="77777777" w:rsidR="00855AA6" w:rsidRDefault="00855AA6">
      <w:pPr>
        <w:spacing w:before="0" w:after="0"/>
      </w:pPr>
      <w:bookmarkStart w:id="35" w:name="Table_4_2"/>
      <w:bookmarkEnd w:id="35"/>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F669DE" w14:paraId="5EE800BE"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0B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F669DE" w14:paraId="5EE800CD"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B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2,736,866,164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180,458,641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180,458,641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180,458,641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180,458,641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180,399,717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180,394,948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175,599,617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171,230,048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171,228,480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163,022,463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21,716,668</w:t>
            </w:r>
          </w:p>
        </w:tc>
      </w:tr>
      <w:tr w:rsidR="00F669DE" w14:paraId="5EE800D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CF"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0"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619,002,061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572,404,038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541,218,698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513,388,340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439,643,247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348,837,019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254,262,311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167,240,672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79,921,608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151,867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151,867</w:t>
            </w:r>
          </w:p>
        </w:tc>
      </w:tr>
      <w:tr w:rsidR="00F669DE" w14:paraId="5EE800EB"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D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2,736,866,164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799,460,702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752,862,679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721,677,339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693,846,981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620,042,964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529,231,967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429,861,928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338,470,720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251,150,088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163,174,329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21,868,535</w:t>
            </w:r>
          </w:p>
        </w:tc>
      </w:tr>
      <w:tr w:rsidR="00F669DE" w14:paraId="5EE800FA"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D"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E"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E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3,083,740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4,795,331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4,369,569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8,206,017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141,305,794</w:t>
            </w:r>
          </w:p>
        </w:tc>
      </w:tr>
      <w:tr w:rsidR="00F669DE" w14:paraId="5EE80109"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C"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D"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68,995,426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0F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46,598,023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31,185,340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27,830,358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73,745,093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90,806,228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94,574,708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87,021,639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87,319,064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79,769,741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0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669DE" w14:paraId="5EE80118"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0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0B"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0C"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0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72,079,166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0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46,598,023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0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31,185,340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27,830,358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73,804,018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90,810,997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99,370,039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91,391,208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87,320,632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87,975,758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1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141,305,794</w:t>
            </w:r>
          </w:p>
        </w:tc>
      </w:tr>
    </w:tbl>
    <w:p w14:paraId="5EE80119" w14:textId="77777777" w:rsidR="00855AA6" w:rsidRPr="00944D07" w:rsidRDefault="00855AA6">
      <w:pPr>
        <w:spacing w:before="0" w:after="0"/>
      </w:pPr>
      <w:bookmarkStart w:id="36" w:name="Table_4_3"/>
      <w:bookmarkEnd w:id="36"/>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F669DE" w14:paraId="5EE80128"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1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1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1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1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1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1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E8012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F669DE" w14:paraId="5EE80137"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2,736,866,164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2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669DE" w14:paraId="5EE8014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9"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A"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151,867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111,866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3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669DE" w14:paraId="5EE8015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227,159,604</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2,736,866,164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209,366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169,365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81,396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4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669DE" w14:paraId="5EE80164"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6"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7"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8"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21,659,169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5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3"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669DE" w14:paraId="5EE8017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5"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7"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40,001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87,969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6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7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7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0172"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669DE" w14:paraId="5EE80182"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4"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5"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6" w14:textId="77777777" w:rsidR="00F669DE" w:rsidRDefault="00F669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7"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21,659,169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8"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40,001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9"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87,969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A"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23,897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B"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57,499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C"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D"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E"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7F"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80"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80181" w14:textId="77777777" w:rsidR="00F669DE" w:rsidRDefault="00855AA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5EE80183" w14:textId="77777777" w:rsidR="00855AA6" w:rsidRPr="00C34E77" w:rsidRDefault="00855AA6">
      <w:pPr>
        <w:pStyle w:val="TableFigureNote"/>
      </w:pPr>
      <w:r w:rsidRPr="00C34E77">
        <w:rPr>
          <w:rFonts w:eastAsiaTheme="minorEastAsia"/>
        </w:rPr>
        <w:t>† Lifetime savings are the sum of CPAS savings through the EUL.</w:t>
      </w:r>
    </w:p>
    <w:p w14:paraId="5EE80184" w14:textId="77777777" w:rsidR="00855AA6" w:rsidRDefault="00855AA6">
      <w:pPr>
        <w:pStyle w:val="TableFigureNote"/>
        <w:keepNext w:val="0"/>
        <w:rPr>
          <w:rFonts w:eastAsiaTheme="minorEastAsia"/>
        </w:rPr>
      </w:pPr>
      <w:r w:rsidRPr="00C34E77">
        <w:rPr>
          <w:rFonts w:eastAsiaTheme="minorEastAsia"/>
        </w:rPr>
        <w:t xml:space="preserve">‡ Historical savings go back to CY2018. </w:t>
      </w:r>
    </w:p>
    <w:p w14:paraId="5EE80185" w14:textId="77777777" w:rsidR="00855AA6" w:rsidRPr="00C34E77" w:rsidRDefault="00855AA6">
      <w:pPr>
        <w:pStyle w:val="TableFigureNote"/>
      </w:pPr>
      <w:r w:rsidRPr="00C34E77">
        <w:rPr>
          <w:rFonts w:eastAsiaTheme="minorEastAsia"/>
        </w:rPr>
        <w:t>§ Incremental expiring savings are equal to CPAS Yn-1 - CPAS Yn.</w:t>
      </w:r>
    </w:p>
    <w:p w14:paraId="5EE80186" w14:textId="77777777" w:rsidR="00855AA6" w:rsidRPr="00C34E77" w:rsidRDefault="00855AA6">
      <w:pPr>
        <w:pStyle w:val="TableFigureNote"/>
      </w:pPr>
      <w:r w:rsidRPr="00C34E77">
        <w:rPr>
          <w:rFonts w:eastAsiaTheme="minorEastAsia"/>
        </w:rPr>
        <w:t>|| Historic incremental expiring savings are equal to Historic CPAS Yn-1 – Historic CPAS Yn.</w:t>
      </w:r>
    </w:p>
    <w:p w14:paraId="5EE80187" w14:textId="77777777" w:rsidR="00855AA6" w:rsidRPr="00C34E77" w:rsidRDefault="00855AA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5EE80188" w14:textId="77777777" w:rsidR="00855AA6" w:rsidRDefault="00855AA6">
      <w:pPr>
        <w:pStyle w:val="TableFigureSource"/>
      </w:pPr>
      <w:r w:rsidRPr="00B361A6">
        <w:t>Source: Evaluation team analysis</w:t>
      </w:r>
    </w:p>
    <w:p w14:paraId="5EE80476" w14:textId="77777777" w:rsidR="00855AA6" w:rsidRPr="00BB1B40" w:rsidRDefault="00855AA6">
      <w:pPr>
        <w:pStyle w:val="BodyText"/>
      </w:pPr>
    </w:p>
    <w:sectPr w:rsidR="00855AA6" w:rsidRPr="00BB1B40">
      <w:headerReference w:type="default" r:id="rId19"/>
      <w:footerReference w:type="default" r:id="rId20"/>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E8B8" w14:textId="77777777" w:rsidR="00DB637F" w:rsidRDefault="00DB637F">
      <w:pPr>
        <w:spacing w:before="0" w:after="0"/>
      </w:pPr>
      <w:r>
        <w:separator/>
      </w:r>
    </w:p>
  </w:endnote>
  <w:endnote w:type="continuationSeparator" w:id="0">
    <w:p w14:paraId="23EF2591" w14:textId="77777777" w:rsidR="00DB637F" w:rsidRDefault="00DB637F">
      <w:pPr>
        <w:spacing w:before="0" w:after="0"/>
      </w:pPr>
      <w:r>
        <w:continuationSeparator/>
      </w:r>
    </w:p>
  </w:endnote>
  <w:endnote w:type="continuationNotice" w:id="1">
    <w:p w14:paraId="7398E5DA" w14:textId="77777777" w:rsidR="00DB637F" w:rsidRDefault="00DB63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43A79" w:rsidRPr="00582062" w14:paraId="5EE8048B" w14:textId="77777777">
      <w:trPr>
        <w:trHeight w:val="144"/>
        <w:jc w:val="center"/>
      </w:trPr>
      <w:tc>
        <w:tcPr>
          <w:tcW w:w="7200" w:type="dxa"/>
          <w:tcBorders>
            <w:top w:val="single" w:sz="8" w:space="0" w:color="8C8C8C"/>
            <w:left w:val="nil"/>
            <w:bottom w:val="nil"/>
          </w:tcBorders>
        </w:tcPr>
        <w:p w14:paraId="5EE80489" w14:textId="77777777" w:rsidR="00855AA6" w:rsidRPr="00582062" w:rsidRDefault="00855AA6">
          <w:pPr>
            <w:pStyle w:val="Footer"/>
            <w:spacing w:before="120"/>
            <w:rPr>
              <w:sz w:val="2"/>
              <w:szCs w:val="2"/>
            </w:rPr>
          </w:pPr>
        </w:p>
      </w:tc>
      <w:tc>
        <w:tcPr>
          <w:tcW w:w="2880" w:type="dxa"/>
          <w:tcBorders>
            <w:top w:val="single" w:sz="8" w:space="0" w:color="8C8C8C"/>
          </w:tcBorders>
        </w:tcPr>
        <w:p w14:paraId="5EE8048A" w14:textId="77777777" w:rsidR="00855AA6" w:rsidRPr="00582062" w:rsidRDefault="00855AA6">
          <w:pPr>
            <w:pStyle w:val="Footer"/>
            <w:spacing w:before="120"/>
            <w:jc w:val="right"/>
            <w:rPr>
              <w:sz w:val="2"/>
              <w:szCs w:val="2"/>
            </w:rPr>
          </w:pPr>
        </w:p>
      </w:tc>
    </w:tr>
    <w:tr w:rsidR="00743A79" w:rsidRPr="00EA2FA5" w14:paraId="5EE8048E" w14:textId="77777777">
      <w:trPr>
        <w:trHeight w:val="195"/>
        <w:jc w:val="center"/>
      </w:trPr>
      <w:tc>
        <w:tcPr>
          <w:tcW w:w="7200" w:type="dxa"/>
          <w:tcBorders>
            <w:top w:val="nil"/>
            <w:left w:val="nil"/>
          </w:tcBorders>
          <w:vAlign w:val="center"/>
        </w:tcPr>
        <w:p w14:paraId="5EE8048C" w14:textId="77777777" w:rsidR="00855AA6" w:rsidRPr="0075421C" w:rsidRDefault="00855AA6">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5EE8048D" w14:textId="77777777" w:rsidR="00855AA6" w:rsidRPr="0075421C" w:rsidRDefault="00855AA6">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EE8048F" w14:textId="77777777" w:rsidR="00855AA6" w:rsidRPr="000C64C5" w:rsidRDefault="00855AA6">
    <w:pPr>
      <w:pStyle w:val="Footer"/>
      <w:ind w:right="360"/>
      <w:rPr>
        <w:sz w:val="2"/>
        <w:szCs w:val="2"/>
      </w:rPr>
    </w:pPr>
  </w:p>
  <w:p w14:paraId="5EE80490" w14:textId="77777777" w:rsidR="00855AA6" w:rsidRPr="008B6585" w:rsidRDefault="00855AA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743A79" w:rsidRPr="00582062" w14:paraId="5EE80498" w14:textId="77777777">
      <w:trPr>
        <w:trHeight w:val="144"/>
        <w:jc w:val="center"/>
      </w:trPr>
      <w:tc>
        <w:tcPr>
          <w:tcW w:w="7200" w:type="dxa"/>
          <w:tcBorders>
            <w:top w:val="single" w:sz="8" w:space="0" w:color="8C8C8C"/>
            <w:left w:val="nil"/>
            <w:bottom w:val="nil"/>
          </w:tcBorders>
        </w:tcPr>
        <w:p w14:paraId="5EE80496" w14:textId="77777777" w:rsidR="00855AA6" w:rsidRPr="00582062" w:rsidRDefault="00855AA6">
          <w:pPr>
            <w:pStyle w:val="Footer"/>
            <w:spacing w:before="120"/>
            <w:rPr>
              <w:sz w:val="2"/>
              <w:szCs w:val="2"/>
            </w:rPr>
          </w:pPr>
        </w:p>
      </w:tc>
      <w:tc>
        <w:tcPr>
          <w:tcW w:w="2880" w:type="dxa"/>
          <w:tcBorders>
            <w:top w:val="single" w:sz="8" w:space="0" w:color="8C8C8C"/>
          </w:tcBorders>
        </w:tcPr>
        <w:p w14:paraId="5EE80497" w14:textId="77777777" w:rsidR="00855AA6" w:rsidRPr="00582062" w:rsidRDefault="00855AA6">
          <w:pPr>
            <w:pStyle w:val="Footer"/>
            <w:spacing w:before="120"/>
            <w:jc w:val="right"/>
            <w:rPr>
              <w:sz w:val="2"/>
              <w:szCs w:val="2"/>
            </w:rPr>
          </w:pPr>
        </w:p>
      </w:tc>
    </w:tr>
    <w:tr w:rsidR="00743A79" w:rsidRPr="00EA2FA5" w14:paraId="5EE8049B" w14:textId="77777777">
      <w:trPr>
        <w:trHeight w:val="195"/>
        <w:jc w:val="center"/>
      </w:trPr>
      <w:tc>
        <w:tcPr>
          <w:tcW w:w="7200" w:type="dxa"/>
          <w:tcBorders>
            <w:top w:val="nil"/>
            <w:left w:val="nil"/>
          </w:tcBorders>
          <w:vAlign w:val="center"/>
        </w:tcPr>
        <w:p w14:paraId="5EE80499" w14:textId="77777777" w:rsidR="00855AA6" w:rsidRPr="0075421C" w:rsidRDefault="00855AA6">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5EE8049A" w14:textId="77777777" w:rsidR="00855AA6" w:rsidRPr="0075421C" w:rsidRDefault="00855AA6">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EE8049C" w14:textId="77777777" w:rsidR="00855AA6" w:rsidRPr="000C64C5" w:rsidRDefault="00855AA6">
    <w:pPr>
      <w:pStyle w:val="Footer"/>
      <w:ind w:right="360"/>
      <w:rPr>
        <w:sz w:val="2"/>
        <w:szCs w:val="2"/>
      </w:rPr>
    </w:pPr>
  </w:p>
  <w:p w14:paraId="5EE8049D" w14:textId="77777777" w:rsidR="00855AA6" w:rsidRPr="008B6585" w:rsidRDefault="00855AA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15D7" w14:textId="77777777" w:rsidR="00DB637F" w:rsidRDefault="00DB637F">
      <w:pPr>
        <w:spacing w:before="0" w:after="0"/>
      </w:pPr>
      <w:r>
        <w:separator/>
      </w:r>
    </w:p>
  </w:footnote>
  <w:footnote w:type="continuationSeparator" w:id="0">
    <w:p w14:paraId="61370A30" w14:textId="77777777" w:rsidR="00DB637F" w:rsidRDefault="00DB637F">
      <w:pPr>
        <w:spacing w:before="0" w:after="0"/>
      </w:pPr>
      <w:r>
        <w:continuationSeparator/>
      </w:r>
    </w:p>
  </w:footnote>
  <w:footnote w:type="continuationNotice" w:id="1">
    <w:p w14:paraId="5C2F19B3" w14:textId="77777777" w:rsidR="00DB637F" w:rsidRDefault="00DB637F">
      <w:pPr>
        <w:spacing w:before="0" w:after="0"/>
      </w:pPr>
    </w:p>
  </w:footnote>
  <w:footnote w:id="2">
    <w:p w14:paraId="5EE804A5" w14:textId="77777777" w:rsidR="00855AA6" w:rsidRDefault="00855AA6">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3">
    <w:p w14:paraId="5EE804A6" w14:textId="77777777" w:rsidR="00855AA6" w:rsidRDefault="00855AA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4">
    <w:p w14:paraId="5EE804A7" w14:textId="77777777" w:rsidR="00855AA6" w:rsidRDefault="00855AA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743A79" w14:paraId="5EE80487" w14:textId="77777777">
      <w:trPr>
        <w:jc w:val="center"/>
      </w:trPr>
      <w:tc>
        <w:tcPr>
          <w:tcW w:w="2880" w:type="dxa"/>
          <w:vAlign w:val="center"/>
        </w:tcPr>
        <w:p w14:paraId="5EE80485" w14:textId="77777777" w:rsidR="00855AA6" w:rsidRPr="006A71F6" w:rsidRDefault="00855AA6">
          <w:pPr>
            <w:pStyle w:val="Header"/>
          </w:pPr>
          <w:r>
            <w:rPr>
              <w:noProof/>
            </w:rPr>
            <w:drawing>
              <wp:inline distT="0" distB="0" distL="0" distR="0" wp14:anchorId="5EE8049E" wp14:editId="5EE8049F">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5EE80486" w14:textId="56995B70" w:rsidR="00855AA6" w:rsidRDefault="00855AA6">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9601C9">
            <w:rPr>
              <w:bCs/>
              <w:noProof/>
            </w:rPr>
            <w:t>ComEd Midstream/Upstream Program Impact Evaluation Report</w:t>
          </w:r>
          <w:r>
            <w:rPr>
              <w:bCs/>
              <w:noProof/>
            </w:rPr>
            <w:fldChar w:fldCharType="end"/>
          </w:r>
        </w:p>
      </w:tc>
    </w:tr>
  </w:tbl>
  <w:p w14:paraId="5EE80488" w14:textId="77777777" w:rsidR="00855AA6" w:rsidRPr="00B21048" w:rsidRDefault="00855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0491" w14:textId="77777777" w:rsidR="00855AA6" w:rsidRDefault="00855AA6">
    <w:pPr>
      <w:pStyle w:val="Header"/>
    </w:pPr>
    <w:r>
      <w:rPr>
        <w:noProof/>
      </w:rPr>
      <w:drawing>
        <wp:anchor distT="0" distB="0" distL="114300" distR="114300" simplePos="0" relativeHeight="251658240" behindDoc="0" locked="0" layoutInCell="1" allowOverlap="1" wp14:anchorId="5EE804A0" wp14:editId="5EE804A1">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743A79" w14:paraId="5EE80494" w14:textId="77777777">
      <w:trPr>
        <w:jc w:val="center"/>
      </w:trPr>
      <w:tc>
        <w:tcPr>
          <w:tcW w:w="2880" w:type="dxa"/>
          <w:vAlign w:val="center"/>
        </w:tcPr>
        <w:p w14:paraId="5EE80492" w14:textId="77777777" w:rsidR="00855AA6" w:rsidRPr="006A71F6" w:rsidRDefault="00855AA6">
          <w:pPr>
            <w:pStyle w:val="Header"/>
          </w:pPr>
          <w:r>
            <w:rPr>
              <w:noProof/>
            </w:rPr>
            <w:drawing>
              <wp:inline distT="0" distB="0" distL="0" distR="0" wp14:anchorId="5EE804A2" wp14:editId="5EE804A3">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5EE80493" w14:textId="3D9FF439" w:rsidR="00855AA6" w:rsidRDefault="00855AA6">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F67D2F">
            <w:rPr>
              <w:bCs/>
              <w:noProof/>
            </w:rPr>
            <w:t>ComEd Midstream/Upstream Program Impact Evaluation Report</w:t>
          </w:r>
          <w:r>
            <w:rPr>
              <w:bCs/>
              <w:noProof/>
            </w:rPr>
            <w:fldChar w:fldCharType="end"/>
          </w:r>
        </w:p>
      </w:tc>
    </w:tr>
  </w:tbl>
  <w:p w14:paraId="5EE80495" w14:textId="77777777" w:rsidR="00855AA6" w:rsidRPr="00B21048" w:rsidRDefault="0085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DE"/>
    <w:rsid w:val="0009372C"/>
    <w:rsid w:val="000B41F5"/>
    <w:rsid w:val="000C01B4"/>
    <w:rsid w:val="001149FF"/>
    <w:rsid w:val="001E1CE4"/>
    <w:rsid w:val="002D67D6"/>
    <w:rsid w:val="00324B8F"/>
    <w:rsid w:val="00334F68"/>
    <w:rsid w:val="003A0528"/>
    <w:rsid w:val="003A4745"/>
    <w:rsid w:val="004125FC"/>
    <w:rsid w:val="00424343"/>
    <w:rsid w:val="004605E1"/>
    <w:rsid w:val="004701DB"/>
    <w:rsid w:val="00470B67"/>
    <w:rsid w:val="004A607E"/>
    <w:rsid w:val="004F1DD7"/>
    <w:rsid w:val="004F51B8"/>
    <w:rsid w:val="00585366"/>
    <w:rsid w:val="005F105D"/>
    <w:rsid w:val="006310F5"/>
    <w:rsid w:val="00652D8D"/>
    <w:rsid w:val="00671ED1"/>
    <w:rsid w:val="006D0AB8"/>
    <w:rsid w:val="006E0F8B"/>
    <w:rsid w:val="006F702D"/>
    <w:rsid w:val="00713FAC"/>
    <w:rsid w:val="00743A79"/>
    <w:rsid w:val="0076557D"/>
    <w:rsid w:val="007A797F"/>
    <w:rsid w:val="007B1276"/>
    <w:rsid w:val="007B1C6A"/>
    <w:rsid w:val="007C11C4"/>
    <w:rsid w:val="00851B92"/>
    <w:rsid w:val="00855AA6"/>
    <w:rsid w:val="00861618"/>
    <w:rsid w:val="00874DBA"/>
    <w:rsid w:val="008A74F1"/>
    <w:rsid w:val="008F673A"/>
    <w:rsid w:val="00943AF4"/>
    <w:rsid w:val="00953AE4"/>
    <w:rsid w:val="009601C9"/>
    <w:rsid w:val="00991C71"/>
    <w:rsid w:val="00A63403"/>
    <w:rsid w:val="00A76268"/>
    <w:rsid w:val="00AC6B57"/>
    <w:rsid w:val="00AF169B"/>
    <w:rsid w:val="00B20C95"/>
    <w:rsid w:val="00B22D30"/>
    <w:rsid w:val="00C25F49"/>
    <w:rsid w:val="00CB1702"/>
    <w:rsid w:val="00D25E98"/>
    <w:rsid w:val="00D40F53"/>
    <w:rsid w:val="00D576A8"/>
    <w:rsid w:val="00D80DD7"/>
    <w:rsid w:val="00DB637F"/>
    <w:rsid w:val="00E35B54"/>
    <w:rsid w:val="00E872DD"/>
    <w:rsid w:val="00E91DE8"/>
    <w:rsid w:val="00F54880"/>
    <w:rsid w:val="00F669DE"/>
    <w:rsid w:val="00F67D2F"/>
    <w:rsid w:val="00FA6471"/>
    <w:rsid w:val="2358A101"/>
    <w:rsid w:val="34520153"/>
    <w:rsid w:val="4336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FEC1"/>
  <w15:docId w15:val="{EDC2598F-396F-47C5-A7D3-BF2EB6AB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 w:id="1297758952">
      <w:bodyDiv w:val="1"/>
      <w:marLeft w:val="0"/>
      <w:marRight w:val="0"/>
      <w:marTop w:val="0"/>
      <w:marBottom w:val="0"/>
      <w:divBdr>
        <w:top w:val="none" w:sz="0" w:space="0" w:color="auto"/>
        <w:left w:val="none" w:sz="0" w:space="0" w:color="auto"/>
        <w:bottom w:val="none" w:sz="0" w:space="0" w:color="auto"/>
        <w:right w:val="none" w:sz="0" w:space="0" w:color="auto"/>
      </w:divBdr>
    </w:div>
    <w:div w:id="138498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glione@guidehouse.com"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erickson@guidehous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8528-2E6A-4EEA-853F-6A024FEF5A90}">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sharepoint/v3"/>
    <ds:schemaRef ds:uri="http://purl.org/dc/terms/"/>
    <ds:schemaRef ds:uri="dd860c49-519f-4fad-a9e7-096243cb3a9a"/>
    <ds:schemaRef ds:uri="ad755eef-71ec-496f-ab18-a3e771bfb4a9"/>
    <ds:schemaRef ds:uri="http://purl.org/dc/dcmitype/"/>
  </ds:schemaRefs>
</ds:datastoreItem>
</file>

<file path=customXml/itemProps2.xml><?xml version="1.0" encoding="utf-8"?>
<ds:datastoreItem xmlns:ds="http://schemas.openxmlformats.org/officeDocument/2006/customXml" ds:itemID="{E186381C-CBB5-4032-9E9F-E1206F61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4.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docMetadata/LabelInfo.xml><?xml version="1.0" encoding="utf-8"?>
<clbl:labelList xmlns:clbl="http://schemas.microsoft.com/office/2020/mipLabelMetadata">
  <clbl:label id="{7efd950c-944d-404f-b6bf-71cb7e06b360}" enabled="1" method="Standard" siteId="{bfa12df7-47f4-4a99-a8ad-1209e99b84fe}" removed="0"/>
</clbl:labelList>
</file>

<file path=docProps/app.xml><?xml version="1.0" encoding="utf-8"?>
<Properties xmlns="http://schemas.openxmlformats.org/officeDocument/2006/extended-properties" xmlns:vt="http://schemas.openxmlformats.org/officeDocument/2006/docPropsVTypes">
  <Template>Normal</Template>
  <TotalTime>102</TotalTime>
  <Pages>6</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11114</CharactersWithSpaces>
  <SharedDoc>false</SharedDoc>
  <HLinks>
    <vt:vector size="48" baseType="variant">
      <vt:variant>
        <vt:i4>1114170</vt:i4>
      </vt:variant>
      <vt:variant>
        <vt:i4>44</vt:i4>
      </vt:variant>
      <vt:variant>
        <vt:i4>0</vt:i4>
      </vt:variant>
      <vt:variant>
        <vt:i4>5</vt:i4>
      </vt:variant>
      <vt:variant>
        <vt:lpwstr/>
      </vt:variant>
      <vt:variant>
        <vt:lpwstr>_Toc187399548</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Kumar Chittory (CWR)</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Kumar Chittory</cp:lastModifiedBy>
  <cp:revision>52</cp:revision>
  <dcterms:created xsi:type="dcterms:W3CDTF">2025-02-21T21:35:00Z</dcterms:created>
  <dcterms:modified xsi:type="dcterms:W3CDTF">2025-02-28T17:29:00Z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