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88" w:type="dxa"/>
        <w:tblLook w:val="00A0" w:firstRow="1" w:lastRow="0" w:firstColumn="1" w:lastColumn="0" w:noHBand="0" w:noVBand="0"/>
      </w:tblPr>
      <w:tblGrid>
        <w:gridCol w:w="826"/>
        <w:gridCol w:w="8390"/>
      </w:tblGrid>
      <w:tr w:rsidR="009759C1" w:rsidRPr="00E67068" w14:paraId="71BF0C89" w14:textId="77777777" w:rsidTr="00C22F67">
        <w:tc>
          <w:tcPr>
            <w:tcW w:w="826" w:type="dxa"/>
          </w:tcPr>
          <w:p w14:paraId="533C6C03" w14:textId="77777777" w:rsidR="009759C1" w:rsidRPr="00E67068" w:rsidRDefault="009759C1" w:rsidP="009759C1">
            <w:pPr>
              <w:pStyle w:val="StyleMemoFrameLeft-018cm"/>
              <w:rPr>
                <w:rFonts w:asciiTheme="minorHAnsi" w:hAnsiTheme="minorHAnsi" w:cstheme="minorHAnsi"/>
              </w:rPr>
            </w:pPr>
            <w:r w:rsidRPr="00E67068">
              <w:rPr>
                <w:rFonts w:asciiTheme="minorHAnsi" w:hAnsiTheme="minorHAnsi" w:cstheme="minorHAnsi"/>
              </w:rPr>
              <w:t>To:</w:t>
            </w:r>
          </w:p>
        </w:tc>
        <w:tc>
          <w:tcPr>
            <w:tcW w:w="8390" w:type="dxa"/>
          </w:tcPr>
          <w:p w14:paraId="26D7F2C7" w14:textId="487EB942" w:rsidR="00E4472A" w:rsidRPr="00E67068" w:rsidRDefault="00DA2227" w:rsidP="009759C1">
            <w:pPr>
              <w:pStyle w:val="MemoFrame"/>
              <w:rPr>
                <w:rFonts w:asciiTheme="minorHAnsi" w:hAnsiTheme="minorHAnsi" w:cstheme="minorHAnsi"/>
                <w:b w:val="0"/>
                <w:bCs/>
                <w:szCs w:val="20"/>
              </w:rPr>
            </w:pPr>
            <w:r w:rsidRPr="00E67068">
              <w:rPr>
                <w:rFonts w:asciiTheme="minorHAnsi" w:hAnsiTheme="minorHAnsi" w:cstheme="minorHAnsi"/>
                <w:b w:val="0"/>
                <w:bCs/>
                <w:szCs w:val="20"/>
              </w:rPr>
              <w:t>Erin Daughton</w:t>
            </w:r>
            <w:r>
              <w:rPr>
                <w:rFonts w:asciiTheme="minorHAnsi" w:hAnsiTheme="minorHAnsi" w:cstheme="minorHAnsi"/>
                <w:b w:val="0"/>
                <w:bCs/>
                <w:szCs w:val="20"/>
              </w:rPr>
              <w:t>,</w:t>
            </w:r>
            <w:r w:rsidRPr="00E67068">
              <w:rPr>
                <w:rFonts w:asciiTheme="minorHAnsi" w:hAnsiTheme="minorHAnsi" w:cstheme="minorHAnsi"/>
                <w:b w:val="0"/>
                <w:bCs/>
                <w:szCs w:val="20"/>
              </w:rPr>
              <w:t xml:space="preserve"> </w:t>
            </w:r>
            <w:r w:rsidR="002C0827">
              <w:rPr>
                <w:rFonts w:asciiTheme="minorHAnsi" w:hAnsiTheme="minorHAnsi" w:cstheme="minorHAnsi"/>
                <w:b w:val="0"/>
                <w:bCs/>
                <w:szCs w:val="20"/>
              </w:rPr>
              <w:t>Jim</w:t>
            </w:r>
            <w:r w:rsidRPr="00E67068">
              <w:rPr>
                <w:rFonts w:asciiTheme="minorHAnsi" w:hAnsiTheme="minorHAnsi" w:cstheme="minorHAnsi"/>
                <w:b w:val="0"/>
                <w:bCs/>
                <w:szCs w:val="20"/>
              </w:rPr>
              <w:t xml:space="preserve"> Fay</w:t>
            </w:r>
            <w:r>
              <w:rPr>
                <w:rFonts w:asciiTheme="minorHAnsi" w:hAnsiTheme="minorHAnsi" w:cstheme="minorHAnsi"/>
                <w:b w:val="0"/>
                <w:bCs/>
                <w:szCs w:val="20"/>
              </w:rPr>
              <w:t>,</w:t>
            </w:r>
            <w:r w:rsidRPr="00E67068">
              <w:rPr>
                <w:rFonts w:asciiTheme="minorHAnsi" w:hAnsiTheme="minorHAnsi" w:cstheme="minorHAnsi"/>
                <w:b w:val="0"/>
                <w:bCs/>
                <w:szCs w:val="20"/>
              </w:rPr>
              <w:t xml:space="preserve"> </w:t>
            </w:r>
            <w:r w:rsidR="002F69E5" w:rsidRPr="00E67068">
              <w:rPr>
                <w:rFonts w:asciiTheme="minorHAnsi" w:hAnsiTheme="minorHAnsi" w:cstheme="minorHAnsi"/>
                <w:b w:val="0"/>
                <w:bCs/>
                <w:szCs w:val="20"/>
              </w:rPr>
              <w:t>Vince</w:t>
            </w:r>
            <w:r w:rsidR="00E4472A" w:rsidRPr="00E67068">
              <w:rPr>
                <w:rFonts w:asciiTheme="minorHAnsi" w:hAnsiTheme="minorHAnsi" w:cstheme="minorHAnsi"/>
                <w:b w:val="0"/>
                <w:bCs/>
                <w:szCs w:val="20"/>
              </w:rPr>
              <w:t xml:space="preserve"> Gutierrez</w:t>
            </w:r>
            <w:r>
              <w:rPr>
                <w:rFonts w:asciiTheme="minorHAnsi" w:hAnsiTheme="minorHAnsi" w:cstheme="minorHAnsi"/>
                <w:b w:val="0"/>
                <w:bCs/>
                <w:szCs w:val="20"/>
              </w:rPr>
              <w:t xml:space="preserve">, </w:t>
            </w:r>
            <w:r w:rsidR="002F69E5" w:rsidRPr="00E67068">
              <w:rPr>
                <w:rFonts w:asciiTheme="minorHAnsi" w:hAnsiTheme="minorHAnsi" w:cstheme="minorHAnsi"/>
                <w:b w:val="0"/>
                <w:bCs/>
                <w:szCs w:val="20"/>
              </w:rPr>
              <w:t>Molly Lunn,</w:t>
            </w:r>
            <w:r w:rsidR="00E4472A" w:rsidRPr="00E67068">
              <w:rPr>
                <w:rFonts w:asciiTheme="minorHAnsi" w:hAnsiTheme="minorHAnsi" w:cstheme="minorHAnsi"/>
                <w:b w:val="0"/>
                <w:bCs/>
                <w:szCs w:val="20"/>
              </w:rPr>
              <w:t xml:space="preserve"> </w:t>
            </w:r>
            <w:r w:rsidRPr="00E67068">
              <w:rPr>
                <w:rFonts w:asciiTheme="minorHAnsi" w:hAnsiTheme="minorHAnsi" w:cstheme="minorHAnsi"/>
                <w:b w:val="0"/>
                <w:bCs/>
                <w:szCs w:val="20"/>
              </w:rPr>
              <w:t>Rebecca McNish, Jacob Stoll</w:t>
            </w:r>
            <w:r w:rsidR="00E4472A" w:rsidRPr="00E67068">
              <w:rPr>
                <w:rFonts w:asciiTheme="minorHAnsi" w:hAnsiTheme="minorHAnsi" w:cstheme="minorHAnsi"/>
                <w:b w:val="0"/>
                <w:bCs/>
                <w:szCs w:val="20"/>
              </w:rPr>
              <w:t xml:space="preserve">, </w:t>
            </w:r>
            <w:r w:rsidR="002F69E5" w:rsidRPr="00E67068">
              <w:rPr>
                <w:rFonts w:asciiTheme="minorHAnsi" w:hAnsiTheme="minorHAnsi" w:cstheme="minorHAnsi"/>
                <w:b w:val="0"/>
                <w:bCs/>
                <w:szCs w:val="20"/>
              </w:rPr>
              <w:t>ComEd</w:t>
            </w:r>
          </w:p>
          <w:p w14:paraId="469FB292" w14:textId="6F705CD9" w:rsidR="00E4472A" w:rsidRPr="00E67068" w:rsidRDefault="002F69E5" w:rsidP="009759C1">
            <w:pPr>
              <w:pStyle w:val="MemoFrame"/>
              <w:rPr>
                <w:rFonts w:asciiTheme="minorHAnsi" w:hAnsiTheme="minorHAnsi" w:cstheme="minorHAnsi"/>
                <w:b w:val="0"/>
                <w:bCs/>
                <w:szCs w:val="20"/>
              </w:rPr>
            </w:pPr>
            <w:r w:rsidRPr="00E67068">
              <w:rPr>
                <w:rFonts w:asciiTheme="minorHAnsi" w:hAnsiTheme="minorHAnsi" w:cstheme="minorHAnsi"/>
                <w:b w:val="0"/>
                <w:bCs/>
                <w:szCs w:val="20"/>
              </w:rPr>
              <w:t xml:space="preserve">Jennifer Morris, </w:t>
            </w:r>
            <w:r w:rsidR="00E4472A" w:rsidRPr="00E67068">
              <w:rPr>
                <w:rFonts w:asciiTheme="minorHAnsi" w:hAnsiTheme="minorHAnsi" w:cstheme="minorHAnsi"/>
                <w:b w:val="0"/>
                <w:bCs/>
                <w:szCs w:val="20"/>
              </w:rPr>
              <w:t>Illinois Commerce Commission</w:t>
            </w:r>
            <w:r w:rsidRPr="00E67068">
              <w:rPr>
                <w:rFonts w:asciiTheme="minorHAnsi" w:hAnsiTheme="minorHAnsi" w:cstheme="minorHAnsi"/>
                <w:b w:val="0"/>
                <w:bCs/>
                <w:szCs w:val="20"/>
              </w:rPr>
              <w:t xml:space="preserve"> </w:t>
            </w:r>
          </w:p>
          <w:p w14:paraId="1CD6BEE9" w14:textId="0133FB66" w:rsidR="00E4472A" w:rsidRPr="00E67068" w:rsidRDefault="002F69E5" w:rsidP="009759C1">
            <w:pPr>
              <w:pStyle w:val="MemoFrame"/>
              <w:rPr>
                <w:rFonts w:asciiTheme="minorHAnsi" w:hAnsiTheme="minorHAnsi" w:cstheme="minorHAnsi"/>
                <w:b w:val="0"/>
                <w:bCs/>
                <w:szCs w:val="20"/>
              </w:rPr>
            </w:pPr>
            <w:r w:rsidRPr="00E67068">
              <w:rPr>
                <w:rFonts w:asciiTheme="minorHAnsi" w:hAnsiTheme="minorHAnsi" w:cstheme="minorHAnsi"/>
                <w:b w:val="0"/>
                <w:bCs/>
                <w:szCs w:val="20"/>
              </w:rPr>
              <w:t>Celia Johnson</w:t>
            </w:r>
            <w:r w:rsidR="00E4472A" w:rsidRPr="00E67068">
              <w:rPr>
                <w:rFonts w:asciiTheme="minorHAnsi" w:hAnsiTheme="minorHAnsi" w:cstheme="minorHAnsi"/>
                <w:b w:val="0"/>
                <w:bCs/>
                <w:szCs w:val="20"/>
              </w:rPr>
              <w:t>,</w:t>
            </w:r>
            <w:r w:rsidRPr="00E67068">
              <w:rPr>
                <w:rFonts w:asciiTheme="minorHAnsi" w:hAnsiTheme="minorHAnsi" w:cstheme="minorHAnsi"/>
                <w:b w:val="0"/>
                <w:bCs/>
                <w:szCs w:val="20"/>
              </w:rPr>
              <w:t xml:space="preserve"> </w:t>
            </w:r>
            <w:r w:rsidR="00E4472A" w:rsidRPr="00E67068">
              <w:rPr>
                <w:rFonts w:asciiTheme="minorHAnsi" w:hAnsiTheme="minorHAnsi" w:cstheme="minorHAnsi"/>
                <w:b w:val="0"/>
                <w:bCs/>
                <w:szCs w:val="20"/>
              </w:rPr>
              <w:t>Stakeholder Advisory Group Facilitator</w:t>
            </w:r>
          </w:p>
          <w:p w14:paraId="5008840F" w14:textId="7EC669D3" w:rsidR="009759C1" w:rsidRPr="00E67068" w:rsidRDefault="00E07842" w:rsidP="009759C1">
            <w:pPr>
              <w:pStyle w:val="MemoFrame"/>
              <w:rPr>
                <w:rFonts w:asciiTheme="minorHAnsi" w:hAnsiTheme="minorHAnsi" w:cstheme="minorHAnsi"/>
                <w:b w:val="0"/>
                <w:bCs/>
                <w:szCs w:val="20"/>
              </w:rPr>
            </w:pPr>
            <w:r w:rsidRPr="00E67068">
              <w:rPr>
                <w:rFonts w:asciiTheme="minorHAnsi" w:hAnsiTheme="minorHAnsi" w:cstheme="minorHAnsi"/>
                <w:b w:val="0"/>
                <w:bCs/>
                <w:szCs w:val="20"/>
              </w:rPr>
              <w:t>Illinois Stakeholder Advisory Group</w:t>
            </w:r>
            <w:r w:rsidR="002F69E5" w:rsidRPr="00E67068">
              <w:rPr>
                <w:rFonts w:asciiTheme="minorHAnsi" w:hAnsiTheme="minorHAnsi" w:cstheme="minorHAnsi"/>
                <w:b w:val="0"/>
                <w:bCs/>
                <w:szCs w:val="20"/>
              </w:rPr>
              <w:t xml:space="preserve"> Non-Energy Impact Working Group</w:t>
            </w:r>
          </w:p>
        </w:tc>
      </w:tr>
      <w:tr w:rsidR="00E67068" w:rsidRPr="00E67068" w14:paraId="7138C758" w14:textId="77777777" w:rsidTr="00C22F67">
        <w:tc>
          <w:tcPr>
            <w:tcW w:w="826" w:type="dxa"/>
          </w:tcPr>
          <w:p w14:paraId="73CB235D" w14:textId="77777777" w:rsidR="00E67068" w:rsidRDefault="00E67068" w:rsidP="00E67068">
            <w:pPr>
              <w:pStyle w:val="MemoFrame"/>
              <w:ind w:left="-90"/>
              <w:rPr>
                <w:rFonts w:asciiTheme="minorHAnsi" w:hAnsiTheme="minorHAnsi" w:cstheme="minorHAnsi"/>
                <w:szCs w:val="20"/>
              </w:rPr>
            </w:pPr>
          </w:p>
        </w:tc>
        <w:tc>
          <w:tcPr>
            <w:tcW w:w="8390" w:type="dxa"/>
          </w:tcPr>
          <w:p w14:paraId="531895D4" w14:textId="77777777" w:rsidR="00E67068" w:rsidRDefault="00E67068" w:rsidP="009759C1">
            <w:pPr>
              <w:pStyle w:val="MemoFrame"/>
              <w:rPr>
                <w:rFonts w:asciiTheme="minorHAnsi" w:hAnsiTheme="minorHAnsi" w:cstheme="minorHAnsi"/>
                <w:b w:val="0"/>
                <w:bCs/>
                <w:szCs w:val="20"/>
              </w:rPr>
            </w:pPr>
          </w:p>
        </w:tc>
      </w:tr>
      <w:tr w:rsidR="009759C1" w:rsidRPr="00E67068" w14:paraId="1C4D2C05" w14:textId="77777777" w:rsidTr="00C22F67">
        <w:tc>
          <w:tcPr>
            <w:tcW w:w="826" w:type="dxa"/>
          </w:tcPr>
          <w:p w14:paraId="4950E2D9" w14:textId="3A8563B2" w:rsidR="009759C1" w:rsidRPr="00E67068" w:rsidRDefault="00E67068" w:rsidP="00E67068">
            <w:pPr>
              <w:pStyle w:val="MemoFrame"/>
              <w:ind w:left="-90"/>
              <w:rPr>
                <w:rFonts w:asciiTheme="minorHAnsi" w:hAnsiTheme="minorHAnsi" w:cstheme="minorHAnsi"/>
                <w:szCs w:val="20"/>
              </w:rPr>
            </w:pPr>
            <w:r>
              <w:rPr>
                <w:rFonts w:asciiTheme="minorHAnsi" w:hAnsiTheme="minorHAnsi" w:cstheme="minorHAnsi"/>
                <w:szCs w:val="20"/>
              </w:rPr>
              <w:t>CC:</w:t>
            </w:r>
          </w:p>
        </w:tc>
        <w:tc>
          <w:tcPr>
            <w:tcW w:w="8390" w:type="dxa"/>
          </w:tcPr>
          <w:p w14:paraId="3F1B7B12" w14:textId="60650B71" w:rsidR="009759C1" w:rsidRPr="00E67068" w:rsidRDefault="00E67068" w:rsidP="009759C1">
            <w:pPr>
              <w:pStyle w:val="MemoFrame"/>
              <w:rPr>
                <w:rFonts w:asciiTheme="minorHAnsi" w:hAnsiTheme="minorHAnsi" w:cstheme="minorHAnsi"/>
                <w:b w:val="0"/>
                <w:bCs/>
                <w:szCs w:val="20"/>
              </w:rPr>
            </w:pPr>
            <w:r>
              <w:rPr>
                <w:rFonts w:asciiTheme="minorHAnsi" w:hAnsiTheme="minorHAnsi" w:cstheme="minorHAnsi"/>
                <w:b w:val="0"/>
                <w:bCs/>
                <w:szCs w:val="20"/>
              </w:rPr>
              <w:t>Jeff Erickson, Randy Gunn, Guidehouse</w:t>
            </w:r>
          </w:p>
        </w:tc>
      </w:tr>
      <w:tr w:rsidR="00E67068" w:rsidRPr="00E67068" w14:paraId="2C2F29CD" w14:textId="77777777" w:rsidTr="00C22F67">
        <w:tc>
          <w:tcPr>
            <w:tcW w:w="826" w:type="dxa"/>
          </w:tcPr>
          <w:p w14:paraId="118226E6" w14:textId="77777777" w:rsidR="00E67068" w:rsidRDefault="00E67068" w:rsidP="00E67068">
            <w:pPr>
              <w:pStyle w:val="MemoFrame"/>
              <w:ind w:left="-90"/>
              <w:rPr>
                <w:rFonts w:asciiTheme="minorHAnsi" w:hAnsiTheme="minorHAnsi" w:cstheme="minorHAnsi"/>
                <w:szCs w:val="20"/>
              </w:rPr>
            </w:pPr>
          </w:p>
        </w:tc>
        <w:tc>
          <w:tcPr>
            <w:tcW w:w="8390" w:type="dxa"/>
          </w:tcPr>
          <w:p w14:paraId="491B022C" w14:textId="77777777" w:rsidR="00E67068" w:rsidRDefault="00E67068" w:rsidP="009759C1">
            <w:pPr>
              <w:pStyle w:val="MemoFrame"/>
              <w:rPr>
                <w:rFonts w:asciiTheme="minorHAnsi" w:hAnsiTheme="minorHAnsi" w:cstheme="minorHAnsi"/>
                <w:b w:val="0"/>
                <w:bCs/>
                <w:szCs w:val="20"/>
              </w:rPr>
            </w:pPr>
          </w:p>
        </w:tc>
      </w:tr>
      <w:tr w:rsidR="009759C1" w:rsidRPr="00E67068" w14:paraId="12E9F2EE" w14:textId="77777777" w:rsidTr="00C22F67">
        <w:tc>
          <w:tcPr>
            <w:tcW w:w="826" w:type="dxa"/>
          </w:tcPr>
          <w:p w14:paraId="579E846C" w14:textId="77777777" w:rsidR="009759C1" w:rsidRPr="00E67068" w:rsidRDefault="009759C1" w:rsidP="009759C1">
            <w:pPr>
              <w:pStyle w:val="StyleMemoFrameLeft-018cm"/>
              <w:rPr>
                <w:rFonts w:asciiTheme="minorHAnsi" w:hAnsiTheme="minorHAnsi" w:cstheme="minorHAnsi"/>
              </w:rPr>
            </w:pPr>
            <w:r w:rsidRPr="00E67068">
              <w:rPr>
                <w:rFonts w:asciiTheme="minorHAnsi" w:hAnsiTheme="minorHAnsi" w:cstheme="minorHAnsi"/>
              </w:rPr>
              <w:t>From:</w:t>
            </w:r>
          </w:p>
        </w:tc>
        <w:tc>
          <w:tcPr>
            <w:tcW w:w="8390" w:type="dxa"/>
          </w:tcPr>
          <w:p w14:paraId="31A21FCA" w14:textId="18971767" w:rsidR="00E4472A" w:rsidRPr="00E67068" w:rsidRDefault="00214461" w:rsidP="009759C1">
            <w:pPr>
              <w:pStyle w:val="MemoFrame"/>
              <w:rPr>
                <w:rFonts w:asciiTheme="minorHAnsi" w:hAnsiTheme="minorHAnsi" w:cstheme="minorHAnsi"/>
                <w:b w:val="0"/>
                <w:bCs/>
                <w:szCs w:val="20"/>
              </w:rPr>
            </w:pPr>
            <w:r w:rsidRPr="00E67068">
              <w:rPr>
                <w:rFonts w:asciiTheme="minorHAnsi" w:hAnsiTheme="minorHAnsi" w:cstheme="minorHAnsi"/>
                <w:b w:val="0"/>
                <w:bCs/>
                <w:szCs w:val="20"/>
              </w:rPr>
              <w:t>Patricia Plympton</w:t>
            </w:r>
            <w:r w:rsidR="002F69E5" w:rsidRPr="00E67068">
              <w:rPr>
                <w:rFonts w:asciiTheme="minorHAnsi" w:hAnsiTheme="minorHAnsi" w:cstheme="minorHAnsi"/>
                <w:b w:val="0"/>
                <w:bCs/>
                <w:szCs w:val="20"/>
              </w:rPr>
              <w:t xml:space="preserve">, Guidehouse </w:t>
            </w:r>
          </w:p>
          <w:p w14:paraId="6A28D59B" w14:textId="536120D4" w:rsidR="009759C1" w:rsidRPr="00E67068" w:rsidRDefault="00777F22" w:rsidP="009759C1">
            <w:pPr>
              <w:pStyle w:val="MemoFrame"/>
              <w:rPr>
                <w:rFonts w:asciiTheme="minorHAnsi" w:hAnsiTheme="minorHAnsi" w:cstheme="minorHAnsi"/>
                <w:b w:val="0"/>
                <w:bCs/>
                <w:szCs w:val="20"/>
              </w:rPr>
            </w:pPr>
            <w:r>
              <w:rPr>
                <w:rFonts w:asciiTheme="minorHAnsi" w:hAnsiTheme="minorHAnsi" w:cstheme="minorHAnsi"/>
                <w:b w:val="0"/>
                <w:bCs/>
                <w:szCs w:val="20"/>
              </w:rPr>
              <w:t xml:space="preserve">Dr. </w:t>
            </w:r>
            <w:r w:rsidR="002F69E5" w:rsidRPr="00E67068">
              <w:rPr>
                <w:rFonts w:asciiTheme="minorHAnsi" w:hAnsiTheme="minorHAnsi" w:cstheme="minorHAnsi"/>
                <w:b w:val="0"/>
                <w:bCs/>
                <w:szCs w:val="20"/>
              </w:rPr>
              <w:t>Katherine Johnson, Johnson Consulting</w:t>
            </w:r>
            <w:r w:rsidR="00E22E34">
              <w:rPr>
                <w:rFonts w:asciiTheme="minorHAnsi" w:hAnsiTheme="minorHAnsi" w:cstheme="minorHAnsi"/>
                <w:b w:val="0"/>
                <w:bCs/>
                <w:szCs w:val="20"/>
              </w:rPr>
              <w:t xml:space="preserve"> Group</w:t>
            </w:r>
          </w:p>
          <w:p w14:paraId="774AFD72" w14:textId="286372D1" w:rsidR="00214461" w:rsidRPr="00E67068" w:rsidRDefault="00214461" w:rsidP="009759C1">
            <w:pPr>
              <w:pStyle w:val="MemoFrame"/>
              <w:rPr>
                <w:rFonts w:asciiTheme="minorHAnsi" w:hAnsiTheme="minorHAnsi" w:cstheme="minorHAnsi"/>
                <w:b w:val="0"/>
                <w:bCs/>
                <w:szCs w:val="20"/>
              </w:rPr>
            </w:pPr>
          </w:p>
        </w:tc>
      </w:tr>
      <w:tr w:rsidR="009759C1" w:rsidRPr="00E67068" w14:paraId="33AA2EF2" w14:textId="77777777" w:rsidTr="00C22F67">
        <w:tc>
          <w:tcPr>
            <w:tcW w:w="826" w:type="dxa"/>
          </w:tcPr>
          <w:p w14:paraId="34195952" w14:textId="77777777" w:rsidR="009759C1" w:rsidRPr="00E67068" w:rsidRDefault="009759C1" w:rsidP="009759C1">
            <w:pPr>
              <w:pStyle w:val="MemoFrame"/>
              <w:rPr>
                <w:rFonts w:asciiTheme="minorHAnsi" w:hAnsiTheme="minorHAnsi" w:cstheme="minorHAnsi"/>
                <w:szCs w:val="20"/>
              </w:rPr>
            </w:pPr>
          </w:p>
        </w:tc>
        <w:tc>
          <w:tcPr>
            <w:tcW w:w="8390" w:type="dxa"/>
          </w:tcPr>
          <w:p w14:paraId="4B8475DB" w14:textId="77777777" w:rsidR="009759C1" w:rsidRPr="00E67068" w:rsidRDefault="009759C1" w:rsidP="009759C1">
            <w:pPr>
              <w:pStyle w:val="MemoFrame"/>
              <w:rPr>
                <w:rFonts w:asciiTheme="minorHAnsi" w:hAnsiTheme="minorHAnsi" w:cstheme="minorHAnsi"/>
                <w:b w:val="0"/>
                <w:bCs/>
                <w:szCs w:val="20"/>
              </w:rPr>
            </w:pPr>
          </w:p>
        </w:tc>
      </w:tr>
      <w:tr w:rsidR="009759C1" w:rsidRPr="00E67068" w14:paraId="1B64707D" w14:textId="77777777" w:rsidTr="00C22F67">
        <w:tc>
          <w:tcPr>
            <w:tcW w:w="826" w:type="dxa"/>
          </w:tcPr>
          <w:p w14:paraId="22D7D255" w14:textId="77777777" w:rsidR="009759C1" w:rsidRPr="00E67068" w:rsidRDefault="009759C1" w:rsidP="009759C1">
            <w:pPr>
              <w:pStyle w:val="StyleMemoFrameLeft-018cm"/>
              <w:rPr>
                <w:rFonts w:asciiTheme="minorHAnsi" w:hAnsiTheme="minorHAnsi" w:cstheme="minorHAnsi"/>
              </w:rPr>
            </w:pPr>
            <w:r w:rsidRPr="00E67068">
              <w:rPr>
                <w:rFonts w:asciiTheme="minorHAnsi" w:hAnsiTheme="minorHAnsi" w:cstheme="minorHAnsi"/>
              </w:rPr>
              <w:t>Date:</w:t>
            </w:r>
          </w:p>
        </w:tc>
        <w:tc>
          <w:tcPr>
            <w:tcW w:w="8390" w:type="dxa"/>
          </w:tcPr>
          <w:p w14:paraId="4CACC73E" w14:textId="3610284B" w:rsidR="009759C1" w:rsidRPr="00E67068" w:rsidRDefault="00C14BDF" w:rsidP="009759C1">
            <w:pPr>
              <w:pStyle w:val="MemoFrame"/>
              <w:rPr>
                <w:rFonts w:asciiTheme="minorHAnsi" w:hAnsiTheme="minorHAnsi" w:cstheme="minorHAnsi"/>
                <w:b w:val="0"/>
                <w:bCs/>
                <w:szCs w:val="20"/>
              </w:rPr>
            </w:pPr>
            <w:r w:rsidRPr="00E67068">
              <w:rPr>
                <w:rFonts w:asciiTheme="minorHAnsi" w:hAnsiTheme="minorHAnsi" w:cstheme="minorHAnsi"/>
                <w:b w:val="0"/>
                <w:bCs/>
                <w:szCs w:val="20"/>
              </w:rPr>
              <w:t xml:space="preserve">April </w:t>
            </w:r>
            <w:r w:rsidR="00A64E10" w:rsidRPr="00E67068">
              <w:rPr>
                <w:rFonts w:asciiTheme="minorHAnsi" w:hAnsiTheme="minorHAnsi" w:cstheme="minorHAnsi"/>
                <w:b w:val="0"/>
                <w:bCs/>
                <w:szCs w:val="20"/>
              </w:rPr>
              <w:t>30</w:t>
            </w:r>
            <w:r w:rsidRPr="00E67068">
              <w:rPr>
                <w:rFonts w:asciiTheme="minorHAnsi" w:hAnsiTheme="minorHAnsi" w:cstheme="minorHAnsi"/>
                <w:b w:val="0"/>
                <w:bCs/>
                <w:szCs w:val="20"/>
              </w:rPr>
              <w:t>, 2020</w:t>
            </w:r>
          </w:p>
        </w:tc>
      </w:tr>
      <w:tr w:rsidR="009759C1" w:rsidRPr="00E67068" w14:paraId="2D43C376" w14:textId="77777777" w:rsidTr="00C22F67">
        <w:tc>
          <w:tcPr>
            <w:tcW w:w="826" w:type="dxa"/>
          </w:tcPr>
          <w:p w14:paraId="773C3284" w14:textId="77777777" w:rsidR="009759C1" w:rsidRPr="00E67068" w:rsidRDefault="009759C1" w:rsidP="009759C1">
            <w:pPr>
              <w:pStyle w:val="MemoFrame"/>
              <w:rPr>
                <w:rFonts w:asciiTheme="minorHAnsi" w:hAnsiTheme="minorHAnsi" w:cstheme="minorHAnsi"/>
                <w:szCs w:val="20"/>
              </w:rPr>
            </w:pPr>
          </w:p>
        </w:tc>
        <w:tc>
          <w:tcPr>
            <w:tcW w:w="8390" w:type="dxa"/>
          </w:tcPr>
          <w:p w14:paraId="5B6ADA41" w14:textId="251F3970" w:rsidR="009759C1" w:rsidRPr="00E67068" w:rsidRDefault="009759C1" w:rsidP="009759C1">
            <w:pPr>
              <w:pStyle w:val="MemoFrame"/>
              <w:rPr>
                <w:rFonts w:asciiTheme="minorHAnsi" w:hAnsiTheme="minorHAnsi" w:cstheme="minorHAnsi"/>
                <w:b w:val="0"/>
                <w:bCs/>
                <w:szCs w:val="20"/>
              </w:rPr>
            </w:pPr>
          </w:p>
        </w:tc>
      </w:tr>
      <w:tr w:rsidR="009759C1" w:rsidRPr="00E67068" w14:paraId="20A5BAA6" w14:textId="77777777" w:rsidTr="00C22F67">
        <w:tc>
          <w:tcPr>
            <w:tcW w:w="826" w:type="dxa"/>
          </w:tcPr>
          <w:p w14:paraId="1BAE4329" w14:textId="77777777" w:rsidR="009759C1" w:rsidRPr="00E67068" w:rsidRDefault="009759C1" w:rsidP="009759C1">
            <w:pPr>
              <w:pStyle w:val="StyleMemoFrameLeft-018cm"/>
              <w:rPr>
                <w:rFonts w:asciiTheme="minorHAnsi" w:hAnsiTheme="minorHAnsi" w:cstheme="minorHAnsi"/>
              </w:rPr>
            </w:pPr>
            <w:r w:rsidRPr="00E67068">
              <w:rPr>
                <w:rFonts w:asciiTheme="minorHAnsi" w:hAnsiTheme="minorHAnsi" w:cstheme="minorHAnsi"/>
              </w:rPr>
              <w:t>Re:</w:t>
            </w:r>
          </w:p>
        </w:tc>
        <w:tc>
          <w:tcPr>
            <w:tcW w:w="8390" w:type="dxa"/>
          </w:tcPr>
          <w:p w14:paraId="075345B4" w14:textId="7E0406C5" w:rsidR="009759C1" w:rsidRPr="00E67068" w:rsidRDefault="009759C1" w:rsidP="009759C1">
            <w:pPr>
              <w:pStyle w:val="MemoFrame"/>
              <w:rPr>
                <w:rFonts w:asciiTheme="minorHAnsi" w:hAnsiTheme="minorHAnsi" w:cstheme="minorHAnsi"/>
                <w:b w:val="0"/>
                <w:bCs/>
                <w:szCs w:val="20"/>
              </w:rPr>
            </w:pPr>
            <w:r w:rsidRPr="00E67068">
              <w:rPr>
                <w:rFonts w:asciiTheme="minorHAnsi" w:hAnsiTheme="minorHAnsi" w:cstheme="minorHAnsi"/>
                <w:b w:val="0"/>
                <w:bCs/>
                <w:szCs w:val="20"/>
              </w:rPr>
              <w:t>Review of States</w:t>
            </w:r>
            <w:r w:rsidR="00587AFC" w:rsidRPr="00E67068">
              <w:rPr>
                <w:rFonts w:asciiTheme="minorHAnsi" w:hAnsiTheme="minorHAnsi" w:cstheme="minorHAnsi"/>
                <w:b w:val="0"/>
                <w:bCs/>
                <w:szCs w:val="20"/>
              </w:rPr>
              <w:t>’ Methodologies to include Monetized Non-Energy Impacts in Cost-Effectiveness Tests</w:t>
            </w:r>
          </w:p>
        </w:tc>
      </w:tr>
    </w:tbl>
    <w:p w14:paraId="10F624E2" w14:textId="487F26EC" w:rsidR="002F21D4" w:rsidRPr="00F73372" w:rsidRDefault="002F21D4" w:rsidP="00F73372">
      <w:pPr>
        <w:pStyle w:val="Heading1"/>
      </w:pPr>
      <w:r w:rsidRPr="00F73372">
        <w:t>Introduction</w:t>
      </w:r>
    </w:p>
    <w:p w14:paraId="5FFD6821" w14:textId="3385FFDF" w:rsidR="00BF4661" w:rsidRDefault="00BF4661" w:rsidP="00BF4661">
      <w:pPr>
        <w:rPr>
          <w:szCs w:val="20"/>
        </w:rPr>
      </w:pPr>
      <w:r w:rsidRPr="00263CF7">
        <w:rPr>
          <w:szCs w:val="20"/>
        </w:rPr>
        <w:t xml:space="preserve">In December 2016, the Illinois General Assembly passed the Future Energy Jobs Act, which contains language on including </w:t>
      </w:r>
      <w:r w:rsidR="00AF5417">
        <w:rPr>
          <w:szCs w:val="20"/>
        </w:rPr>
        <w:t xml:space="preserve">additional </w:t>
      </w:r>
      <w:r w:rsidR="00587AFC">
        <w:rPr>
          <w:szCs w:val="20"/>
        </w:rPr>
        <w:t>non-energy benefits (now described as non-energy impacts</w:t>
      </w:r>
      <w:r w:rsidR="00E275E1">
        <w:rPr>
          <w:szCs w:val="20"/>
        </w:rPr>
        <w:t xml:space="preserve"> (NEIs)</w:t>
      </w:r>
      <w:r w:rsidR="00587AFC">
        <w:rPr>
          <w:szCs w:val="20"/>
        </w:rPr>
        <w:t>)</w:t>
      </w:r>
      <w:r w:rsidRPr="00263CF7">
        <w:rPr>
          <w:szCs w:val="20"/>
        </w:rPr>
        <w:t xml:space="preserve"> in energy efficiency programs’ total resource cost </w:t>
      </w:r>
      <w:r w:rsidR="00AF5417">
        <w:rPr>
          <w:szCs w:val="20"/>
        </w:rPr>
        <w:t xml:space="preserve">(TRC) </w:t>
      </w:r>
      <w:r w:rsidRPr="00263CF7">
        <w:rPr>
          <w:szCs w:val="20"/>
        </w:rPr>
        <w:t>tests</w:t>
      </w:r>
      <w:r w:rsidR="00F44A1E">
        <w:rPr>
          <w:rStyle w:val="FootnoteReference"/>
          <w:szCs w:val="20"/>
        </w:rPr>
        <w:footnoteReference w:id="1"/>
      </w:r>
      <w:r w:rsidR="0090092B">
        <w:rPr>
          <w:szCs w:val="20"/>
        </w:rPr>
        <w:t>.</w:t>
      </w:r>
    </w:p>
    <w:p w14:paraId="2E2CBC7C" w14:textId="0547ADDA" w:rsidR="00E275E1" w:rsidRPr="00F73372" w:rsidRDefault="00E275E1" w:rsidP="00BF4661">
      <w:pPr>
        <w:rPr>
          <w:i/>
          <w:iCs/>
          <w:szCs w:val="20"/>
        </w:rPr>
      </w:pPr>
    </w:p>
    <w:p w14:paraId="51E785FC" w14:textId="1C85EE23" w:rsidR="00E275E1" w:rsidRDefault="00E275E1" w:rsidP="00F73372">
      <w:pPr>
        <w:ind w:left="720" w:right="630"/>
        <w:rPr>
          <w:i/>
          <w:iCs/>
          <w:szCs w:val="20"/>
        </w:rPr>
      </w:pPr>
      <w:r w:rsidRPr="00E275E1">
        <w:rPr>
          <w:i/>
          <w:iCs/>
          <w:szCs w:val="20"/>
        </w:rPr>
        <w:t>“A total resource cost test compares the sum of avoided electric utility costs, representing the benefits that accrue to the system and participant in the delivery of those efficiency measures and including avoided costs associated with reduced use of natural gas or other fuels, avoided costs associated with reduced water consumption, and avoided costs associated with reduced operation and maintenance costs, as well as other quantifiable social benefits…”.</w:t>
      </w:r>
    </w:p>
    <w:p w14:paraId="590D797F" w14:textId="74FAF398" w:rsidR="004E4A03" w:rsidRPr="00656F75" w:rsidRDefault="004E4A03" w:rsidP="00E275E1">
      <w:pPr>
        <w:rPr>
          <w:szCs w:val="20"/>
        </w:rPr>
      </w:pPr>
    </w:p>
    <w:p w14:paraId="07D5B7A2" w14:textId="77777777" w:rsidR="00656F75" w:rsidRPr="00656F75" w:rsidRDefault="004E4A03" w:rsidP="00656F75">
      <w:pPr>
        <w:rPr>
          <w:szCs w:val="20"/>
        </w:rPr>
      </w:pPr>
      <w:r w:rsidRPr="00656F75">
        <w:rPr>
          <w:szCs w:val="20"/>
        </w:rPr>
        <w:t xml:space="preserve">FEJA also contains language regarding </w:t>
      </w:r>
      <w:r w:rsidR="00656F75" w:rsidRPr="00656F75">
        <w:rPr>
          <w:szCs w:val="20"/>
        </w:rPr>
        <w:t>not requiring income eligible programs to meet the TRC test:</w:t>
      </w:r>
    </w:p>
    <w:p w14:paraId="6A1385A3" w14:textId="77777777" w:rsidR="00656F75" w:rsidRDefault="00656F75" w:rsidP="00656F75">
      <w:pPr>
        <w:rPr>
          <w:i/>
          <w:iCs/>
          <w:szCs w:val="20"/>
        </w:rPr>
      </w:pPr>
    </w:p>
    <w:p w14:paraId="037B2AB7" w14:textId="2D44F7BC" w:rsidR="00E275E1" w:rsidRDefault="00656F75" w:rsidP="00F73372">
      <w:pPr>
        <w:ind w:left="720" w:right="630"/>
        <w:rPr>
          <w:i/>
          <w:iCs/>
          <w:szCs w:val="20"/>
        </w:rPr>
      </w:pPr>
      <w:r w:rsidRPr="00656F75">
        <w:rPr>
          <w:i/>
          <w:iCs/>
          <w:szCs w:val="20"/>
        </w:rPr>
        <w:t>Demonstrate that its overall portfolio of</w:t>
      </w:r>
      <w:r>
        <w:rPr>
          <w:i/>
          <w:iCs/>
          <w:szCs w:val="20"/>
        </w:rPr>
        <w:t xml:space="preserve"> </w:t>
      </w:r>
      <w:r w:rsidRPr="00656F75">
        <w:rPr>
          <w:i/>
          <w:iCs/>
          <w:szCs w:val="20"/>
        </w:rPr>
        <w:t>measures, not including low-income programs described in</w:t>
      </w:r>
      <w:r>
        <w:rPr>
          <w:i/>
          <w:iCs/>
          <w:szCs w:val="20"/>
        </w:rPr>
        <w:t xml:space="preserve"> </w:t>
      </w:r>
      <w:r w:rsidRPr="00656F75">
        <w:rPr>
          <w:i/>
          <w:iCs/>
          <w:szCs w:val="20"/>
        </w:rPr>
        <w:t>subsection (c) of this Section, is cost-effective using the</w:t>
      </w:r>
      <w:r>
        <w:rPr>
          <w:i/>
          <w:iCs/>
          <w:szCs w:val="20"/>
        </w:rPr>
        <w:t xml:space="preserve"> </w:t>
      </w:r>
      <w:r w:rsidRPr="00656F75">
        <w:rPr>
          <w:i/>
          <w:iCs/>
          <w:szCs w:val="20"/>
        </w:rPr>
        <w:t>total resource cost test</w:t>
      </w:r>
      <w:r>
        <w:rPr>
          <w:i/>
          <w:iCs/>
          <w:szCs w:val="20"/>
        </w:rPr>
        <w:t>.</w:t>
      </w:r>
    </w:p>
    <w:p w14:paraId="49E0BC31" w14:textId="77777777" w:rsidR="00656F75" w:rsidRPr="00E275E1" w:rsidRDefault="00656F75" w:rsidP="00656F75">
      <w:pPr>
        <w:ind w:left="720"/>
        <w:rPr>
          <w:szCs w:val="20"/>
        </w:rPr>
      </w:pPr>
    </w:p>
    <w:p w14:paraId="47451918" w14:textId="3C11FBA5" w:rsidR="00AD6857" w:rsidRDefault="00656F75" w:rsidP="00AD6857">
      <w:pPr>
        <w:keepNext/>
        <w:rPr>
          <w:rFonts w:ascii="Times New Roman" w:hAnsi="Times New Roman"/>
          <w:color w:val="auto"/>
          <w:szCs w:val="20"/>
        </w:rPr>
      </w:pPr>
      <w:r>
        <w:t>Currently, t</w:t>
      </w:r>
      <w:r w:rsidR="00AD6857">
        <w:t>he Illinois Technical Reference Manual</w:t>
      </w:r>
      <w:r w:rsidR="00F44A1E">
        <w:rPr>
          <w:rStyle w:val="FootnoteReference"/>
        </w:rPr>
        <w:footnoteReference w:id="2"/>
      </w:r>
      <w:r w:rsidR="00AD6857">
        <w:t xml:space="preserve"> (TRM) includes several deemed </w:t>
      </w:r>
      <w:r w:rsidR="003C7C15">
        <w:t>monetized</w:t>
      </w:r>
      <w:r w:rsidR="00AD6857">
        <w:t xml:space="preserve"> values </w:t>
      </w:r>
      <w:r w:rsidR="003C7C15">
        <w:t xml:space="preserve">for </w:t>
      </w:r>
      <w:r w:rsidR="00AD6857">
        <w:t xml:space="preserve">societal, utility </w:t>
      </w:r>
      <w:r w:rsidR="003C7C15">
        <w:t xml:space="preserve">and participant </w:t>
      </w:r>
      <w:r w:rsidR="00AD6857">
        <w:t>NE</w:t>
      </w:r>
      <w:r w:rsidR="009155C8">
        <w:t>I</w:t>
      </w:r>
      <w:r w:rsidR="00AD6857">
        <w:t>s. The NE</w:t>
      </w:r>
      <w:r w:rsidR="009155C8">
        <w:t>I</w:t>
      </w:r>
      <w:r w:rsidR="00AD6857">
        <w:t xml:space="preserve"> values are linked to state or federal sources and </w:t>
      </w:r>
      <w:r w:rsidR="00AD6857">
        <w:lastRenderedPageBreak/>
        <w:t>were added to the TRM via a stakeholder vetting process. The TRM quantifies the following NE</w:t>
      </w:r>
      <w:r w:rsidR="00786B90">
        <w:t>I</w:t>
      </w:r>
      <w:r w:rsidR="00AD6857">
        <w:t xml:space="preserve">s to include in </w:t>
      </w:r>
      <w:r w:rsidR="00786B90">
        <w:t>TRC</w:t>
      </w:r>
      <w:r w:rsidR="00AD6857">
        <w:t xml:space="preserve"> tests:</w:t>
      </w:r>
    </w:p>
    <w:p w14:paraId="40E0938C" w14:textId="77777777" w:rsidR="00AD6857" w:rsidRDefault="00AD6857" w:rsidP="00AD6857"/>
    <w:p w14:paraId="7B75D0CC" w14:textId="10936940" w:rsidR="003C7C15" w:rsidRDefault="003C7C15" w:rsidP="00364684">
      <w:pPr>
        <w:pStyle w:val="ListBullet"/>
        <w:numPr>
          <w:ilvl w:val="0"/>
          <w:numId w:val="6"/>
        </w:numPr>
        <w:rPr>
          <w:rFonts w:asciiTheme="minorHAnsi" w:hAnsiTheme="minorHAnsi" w:cstheme="minorHAnsi"/>
          <w:sz w:val="20"/>
        </w:rPr>
      </w:pPr>
      <w:r w:rsidRPr="00736582">
        <w:rPr>
          <w:rFonts w:asciiTheme="minorHAnsi" w:hAnsiTheme="minorHAnsi" w:cstheme="minorHAnsi"/>
          <w:b/>
          <w:bCs/>
          <w:sz w:val="20"/>
        </w:rPr>
        <w:t>Societal: Avoided use of water (water savings) from energy efficiency programs:</w:t>
      </w:r>
      <w:r w:rsidRPr="00736582">
        <w:rPr>
          <w:rFonts w:asciiTheme="minorHAnsi" w:hAnsiTheme="minorHAnsi" w:cstheme="minorHAnsi"/>
          <w:sz w:val="20"/>
        </w:rPr>
        <w:t xml:space="preserve"> Water savings are based on measurements consistent with federal standards. The value of the savings is determined by what Illinois customers would have paid for the water saved.</w:t>
      </w:r>
    </w:p>
    <w:p w14:paraId="02397773" w14:textId="77777777" w:rsidR="00736582" w:rsidRPr="00736582" w:rsidRDefault="00736582" w:rsidP="004168ED">
      <w:pPr>
        <w:pStyle w:val="ListBullet"/>
        <w:numPr>
          <w:ilvl w:val="0"/>
          <w:numId w:val="0"/>
        </w:numPr>
        <w:ind w:left="360"/>
        <w:rPr>
          <w:rFonts w:asciiTheme="minorHAnsi" w:hAnsiTheme="minorHAnsi" w:cstheme="minorHAnsi"/>
          <w:sz w:val="20"/>
        </w:rPr>
      </w:pPr>
    </w:p>
    <w:p w14:paraId="6D2364EA" w14:textId="19CA27B0" w:rsidR="003C7C15" w:rsidRDefault="003C7C15" w:rsidP="00364684">
      <w:pPr>
        <w:pStyle w:val="ListBullet"/>
        <w:numPr>
          <w:ilvl w:val="0"/>
          <w:numId w:val="6"/>
        </w:numPr>
        <w:rPr>
          <w:rFonts w:asciiTheme="minorHAnsi" w:hAnsiTheme="minorHAnsi" w:cstheme="minorHAnsi"/>
          <w:sz w:val="20"/>
        </w:rPr>
      </w:pPr>
      <w:r w:rsidRPr="00736582">
        <w:rPr>
          <w:rFonts w:asciiTheme="minorHAnsi" w:hAnsiTheme="minorHAnsi" w:cstheme="minorHAnsi"/>
          <w:b/>
          <w:bCs/>
          <w:sz w:val="20"/>
        </w:rPr>
        <w:t>Utility: Avoided environmental costs:</w:t>
      </w:r>
      <w:r w:rsidRPr="00736582">
        <w:rPr>
          <w:rFonts w:asciiTheme="minorHAnsi" w:hAnsiTheme="minorHAnsi" w:cstheme="minorHAnsi"/>
          <w:sz w:val="20"/>
        </w:rPr>
        <w:t xml:space="preserve"> Environmental costs are the dollar per kilowatt-hour ($/kWh) quantification of the benefits ComEd has achieved by generating electricity from renewable sources rather than conventional electric generation from coal or gas-fired plants. This NE</w:t>
      </w:r>
      <w:r w:rsidR="003B11A6">
        <w:rPr>
          <w:rFonts w:asciiTheme="minorHAnsi" w:hAnsiTheme="minorHAnsi" w:cstheme="minorHAnsi"/>
          <w:sz w:val="20"/>
        </w:rPr>
        <w:t>I</w:t>
      </w:r>
      <w:r w:rsidRPr="00736582">
        <w:rPr>
          <w:rFonts w:asciiTheme="minorHAnsi" w:hAnsiTheme="minorHAnsi" w:cstheme="minorHAnsi"/>
          <w:sz w:val="20"/>
        </w:rPr>
        <w:t xml:space="preserve"> includes the dollar value of reduced carbon emissions associated with switching to renewable energy sources. These values are based on the Energy Information Administration’s (EIA’s) </w:t>
      </w:r>
      <w:r w:rsidRPr="00736582">
        <w:rPr>
          <w:rFonts w:asciiTheme="minorHAnsi" w:hAnsiTheme="minorHAnsi" w:cstheme="minorHAnsi"/>
          <w:i/>
          <w:iCs/>
          <w:sz w:val="20"/>
        </w:rPr>
        <w:t>Annual Energy Outlook 2020</w:t>
      </w:r>
      <w:r w:rsidRPr="00736582">
        <w:rPr>
          <w:rFonts w:asciiTheme="minorHAnsi" w:hAnsiTheme="minorHAnsi" w:cstheme="minorHAnsi"/>
          <w:sz w:val="20"/>
        </w:rPr>
        <w:t xml:space="preserve"> report</w:t>
      </w:r>
      <w:r w:rsidR="00F44A1E">
        <w:rPr>
          <w:rStyle w:val="FootnoteReference"/>
          <w:rFonts w:cstheme="minorHAnsi"/>
          <w:sz w:val="20"/>
        </w:rPr>
        <w:footnoteReference w:id="3"/>
      </w:r>
      <w:r w:rsidRPr="00736582">
        <w:rPr>
          <w:rFonts w:asciiTheme="minorHAnsi" w:hAnsiTheme="minorHAnsi" w:cstheme="minorHAnsi"/>
          <w:sz w:val="20"/>
        </w:rPr>
        <w:t>.</w:t>
      </w:r>
    </w:p>
    <w:p w14:paraId="07AB6C88" w14:textId="77777777" w:rsidR="00F73372" w:rsidRPr="00736582" w:rsidRDefault="00F73372" w:rsidP="00F73372">
      <w:pPr>
        <w:pStyle w:val="ListBullet"/>
        <w:numPr>
          <w:ilvl w:val="0"/>
          <w:numId w:val="0"/>
        </w:numPr>
        <w:rPr>
          <w:rFonts w:asciiTheme="minorHAnsi" w:hAnsiTheme="minorHAnsi" w:cstheme="minorHAnsi"/>
          <w:sz w:val="20"/>
        </w:rPr>
      </w:pPr>
    </w:p>
    <w:p w14:paraId="028935EF" w14:textId="258328C5" w:rsidR="00AD6857" w:rsidRPr="00736582" w:rsidRDefault="003C7C15" w:rsidP="00364684">
      <w:pPr>
        <w:pStyle w:val="ListBullet"/>
        <w:numPr>
          <w:ilvl w:val="0"/>
          <w:numId w:val="6"/>
        </w:numPr>
        <w:rPr>
          <w:rFonts w:asciiTheme="minorHAnsi" w:hAnsiTheme="minorHAnsi" w:cstheme="minorHAnsi"/>
          <w:sz w:val="20"/>
        </w:rPr>
      </w:pPr>
      <w:r w:rsidRPr="00736582">
        <w:rPr>
          <w:rFonts w:asciiTheme="minorHAnsi" w:hAnsiTheme="minorHAnsi" w:cstheme="minorHAnsi"/>
          <w:b/>
          <w:bCs/>
          <w:sz w:val="20"/>
        </w:rPr>
        <w:t xml:space="preserve">Participant: </w:t>
      </w:r>
      <w:r w:rsidR="00AD6857" w:rsidRPr="00736582">
        <w:rPr>
          <w:rFonts w:asciiTheme="minorHAnsi" w:hAnsiTheme="minorHAnsi" w:cstheme="minorHAnsi"/>
          <w:b/>
          <w:bCs/>
          <w:sz w:val="20"/>
        </w:rPr>
        <w:t>Reduced O&amp;M costs:</w:t>
      </w:r>
      <w:r w:rsidR="00AD6857" w:rsidRPr="00736582">
        <w:rPr>
          <w:rFonts w:asciiTheme="minorHAnsi" w:hAnsiTheme="minorHAnsi" w:cstheme="minorHAnsi"/>
          <w:sz w:val="20"/>
        </w:rPr>
        <w:t xml:space="preserve"> This is a deemed value based on the estimated savings from reduced labor and materials that occur once a building has received energy efficiency improvements. For example, switching to longer-lived lighting reduces the number of times custodial personnel must replaces light fixtures.</w:t>
      </w:r>
    </w:p>
    <w:p w14:paraId="74DDD225" w14:textId="7CD3B9BB" w:rsidR="002C0143" w:rsidRDefault="002C0143" w:rsidP="00BF4661">
      <w:pPr>
        <w:rPr>
          <w:szCs w:val="20"/>
        </w:rPr>
      </w:pPr>
    </w:p>
    <w:p w14:paraId="4AC4E82B" w14:textId="62EDFD77" w:rsidR="00866ABC" w:rsidRDefault="00AD6857" w:rsidP="00866ABC">
      <w:pPr>
        <w:rPr>
          <w:szCs w:val="20"/>
        </w:rPr>
      </w:pPr>
      <w:r>
        <w:rPr>
          <w:szCs w:val="20"/>
        </w:rPr>
        <w:t xml:space="preserve">Following FEJA’s passage, </w:t>
      </w:r>
      <w:r w:rsidR="00866ABC" w:rsidRPr="00263CF7">
        <w:rPr>
          <w:szCs w:val="20"/>
        </w:rPr>
        <w:t>ComEd and the</w:t>
      </w:r>
      <w:r w:rsidR="00786B90">
        <w:rPr>
          <w:szCs w:val="20"/>
        </w:rPr>
        <w:t xml:space="preserve"> Illinois Stakeholder Advisory Group</w:t>
      </w:r>
      <w:r w:rsidR="00866ABC" w:rsidRPr="00263CF7">
        <w:rPr>
          <w:szCs w:val="20"/>
        </w:rPr>
        <w:t xml:space="preserve"> </w:t>
      </w:r>
      <w:r w:rsidR="00786B90">
        <w:rPr>
          <w:szCs w:val="20"/>
        </w:rPr>
        <w:t>(</w:t>
      </w:r>
      <w:r w:rsidR="00866ABC" w:rsidRPr="00263CF7">
        <w:rPr>
          <w:szCs w:val="20"/>
        </w:rPr>
        <w:t>SAG</w:t>
      </w:r>
      <w:r w:rsidR="00786B90">
        <w:rPr>
          <w:szCs w:val="20"/>
        </w:rPr>
        <w:t>)</w:t>
      </w:r>
      <w:r w:rsidR="00866ABC" w:rsidRPr="00263CF7">
        <w:rPr>
          <w:szCs w:val="20"/>
        </w:rPr>
        <w:t xml:space="preserve"> </w:t>
      </w:r>
      <w:r w:rsidR="00A64E10">
        <w:rPr>
          <w:szCs w:val="20"/>
        </w:rPr>
        <w:t>prioritized</w:t>
      </w:r>
      <w:r w:rsidR="00866ABC">
        <w:rPr>
          <w:szCs w:val="20"/>
        </w:rPr>
        <w:t xml:space="preserve"> </w:t>
      </w:r>
      <w:r w:rsidR="00866ABC" w:rsidRPr="00263CF7">
        <w:rPr>
          <w:szCs w:val="20"/>
        </w:rPr>
        <w:t xml:space="preserve">researching </w:t>
      </w:r>
      <w:r w:rsidR="00866ABC">
        <w:rPr>
          <w:szCs w:val="20"/>
        </w:rPr>
        <w:t>NEIs</w:t>
      </w:r>
      <w:r>
        <w:rPr>
          <w:szCs w:val="20"/>
        </w:rPr>
        <w:t xml:space="preserve"> </w:t>
      </w:r>
      <w:r w:rsidR="00866ABC">
        <w:rPr>
          <w:szCs w:val="20"/>
        </w:rPr>
        <w:t xml:space="preserve">associated with the </w:t>
      </w:r>
      <w:r w:rsidR="00866ABC" w:rsidRPr="00263CF7">
        <w:rPr>
          <w:szCs w:val="20"/>
        </w:rPr>
        <w:t xml:space="preserve">income eligible </w:t>
      </w:r>
      <w:r w:rsidR="00866ABC">
        <w:rPr>
          <w:szCs w:val="20"/>
        </w:rPr>
        <w:t xml:space="preserve">energy efficiency </w:t>
      </w:r>
      <w:r w:rsidR="00866ABC" w:rsidRPr="00263CF7">
        <w:rPr>
          <w:szCs w:val="20"/>
        </w:rPr>
        <w:t xml:space="preserve">programs because substantial </w:t>
      </w:r>
      <w:r w:rsidR="00866ABC">
        <w:rPr>
          <w:szCs w:val="20"/>
        </w:rPr>
        <w:t>NEIs</w:t>
      </w:r>
      <w:r w:rsidR="00866ABC" w:rsidRPr="00263CF7">
        <w:rPr>
          <w:szCs w:val="20"/>
        </w:rPr>
        <w:t xml:space="preserve"> are typically associated with these programs</w:t>
      </w:r>
      <w:r w:rsidR="00866ABC">
        <w:rPr>
          <w:szCs w:val="20"/>
        </w:rPr>
        <w:t xml:space="preserve">. </w:t>
      </w:r>
      <w:r w:rsidR="00866ABC" w:rsidRPr="00263CF7">
        <w:rPr>
          <w:szCs w:val="20"/>
        </w:rPr>
        <w:t xml:space="preserve">This </w:t>
      </w:r>
      <w:r>
        <w:rPr>
          <w:szCs w:val="20"/>
        </w:rPr>
        <w:t>prioritization</w:t>
      </w:r>
      <w:r w:rsidR="00866ABC">
        <w:rPr>
          <w:szCs w:val="20"/>
        </w:rPr>
        <w:t xml:space="preserve"> </w:t>
      </w:r>
      <w:r w:rsidR="00866ABC" w:rsidRPr="00263CF7">
        <w:rPr>
          <w:szCs w:val="20"/>
        </w:rPr>
        <w:t xml:space="preserve">is captured in the </w:t>
      </w:r>
      <w:r w:rsidR="00866ABC">
        <w:rPr>
          <w:szCs w:val="20"/>
        </w:rPr>
        <w:t xml:space="preserve">ComEd </w:t>
      </w:r>
      <w:r w:rsidR="00866ABC" w:rsidRPr="00263CF7">
        <w:rPr>
          <w:szCs w:val="20"/>
        </w:rPr>
        <w:t>2018–2021 Energy Efficiency and Demand Response Plan Settlement Stipulation</w:t>
      </w:r>
      <w:r w:rsidR="00F44A1E">
        <w:rPr>
          <w:rStyle w:val="FootnoteReference"/>
          <w:szCs w:val="20"/>
        </w:rPr>
        <w:footnoteReference w:id="4"/>
      </w:r>
      <w:r w:rsidR="00866ABC">
        <w:rPr>
          <w:szCs w:val="20"/>
        </w:rPr>
        <w:t>.</w:t>
      </w:r>
    </w:p>
    <w:p w14:paraId="795E9076" w14:textId="77777777" w:rsidR="00866ABC" w:rsidRPr="00263CF7" w:rsidRDefault="00866ABC" w:rsidP="00866ABC">
      <w:pPr>
        <w:rPr>
          <w:szCs w:val="20"/>
        </w:rPr>
      </w:pPr>
    </w:p>
    <w:p w14:paraId="098ED5C5" w14:textId="71557336" w:rsidR="00786B90" w:rsidRDefault="00786B90" w:rsidP="00247C2C">
      <w:pPr>
        <w:ind w:left="720" w:right="540"/>
      </w:pPr>
      <w:r>
        <w:rPr>
          <w:i/>
          <w:iCs/>
        </w:rPr>
        <w:t>ComEd agrees to work in good faith to consult and reach consensus with the Income-Qualified Advisory Committee on issues of importance to the Committee, including but not limited to the following: Development of program information and practices for Income-Qualified programs, including the identification and reflection of non-energy benefits (“NEBs”) such as comfort, health and safety, reduced tenant turnover, reduced shut-offs, reduction in revenue collection costs, and lower energy burden in Income-Qualified measures and programs.</w:t>
      </w:r>
    </w:p>
    <w:p w14:paraId="1AD7657A" w14:textId="77777777" w:rsidR="00786B90" w:rsidRPr="00736582" w:rsidRDefault="00786B90" w:rsidP="00786B90">
      <w:pPr>
        <w:rPr>
          <w:rFonts w:asciiTheme="minorHAnsi" w:hAnsiTheme="minorHAnsi" w:cstheme="minorHAnsi"/>
          <w:szCs w:val="20"/>
        </w:rPr>
      </w:pPr>
    </w:p>
    <w:p w14:paraId="42326CBF" w14:textId="1CEDF130" w:rsidR="00786B90" w:rsidRPr="00736582" w:rsidRDefault="009155C8" w:rsidP="00786B90">
      <w:pPr>
        <w:rPr>
          <w:rFonts w:asciiTheme="minorHAnsi" w:hAnsiTheme="minorHAnsi" w:cstheme="minorHAnsi"/>
          <w:szCs w:val="20"/>
        </w:rPr>
      </w:pPr>
      <w:r w:rsidRPr="00736582">
        <w:rPr>
          <w:rFonts w:asciiTheme="minorHAnsi" w:hAnsiTheme="minorHAnsi" w:cstheme="minorHAnsi"/>
          <w:szCs w:val="20"/>
        </w:rPr>
        <w:t>Prior to FEJA’s passage, t</w:t>
      </w:r>
      <w:r w:rsidR="00786B90" w:rsidRPr="00736582">
        <w:rPr>
          <w:rFonts w:asciiTheme="minorHAnsi" w:hAnsiTheme="minorHAnsi" w:cstheme="minorHAnsi"/>
          <w:szCs w:val="20"/>
        </w:rPr>
        <w:t>he SAG considered expanding the number of NEIs included in the TRM but did not reach consensus.</w:t>
      </w:r>
      <w:r w:rsidR="00786B90" w:rsidRPr="00736582">
        <w:rPr>
          <w:rStyle w:val="FootnoteReference"/>
          <w:rFonts w:asciiTheme="minorHAnsi" w:hAnsiTheme="minorHAnsi" w:cstheme="minorHAnsi"/>
          <w:szCs w:val="20"/>
        </w:rPr>
        <w:t xml:space="preserve"> </w:t>
      </w:r>
      <w:r w:rsidR="00786B90" w:rsidRPr="00736582">
        <w:rPr>
          <w:rFonts w:asciiTheme="minorHAnsi" w:hAnsiTheme="minorHAnsi" w:cstheme="minorHAnsi"/>
          <w:szCs w:val="20"/>
        </w:rPr>
        <w:t>Stakeholders provided the following feedback on including additional NE</w:t>
      </w:r>
      <w:r w:rsidRPr="00736582">
        <w:rPr>
          <w:rFonts w:asciiTheme="minorHAnsi" w:hAnsiTheme="minorHAnsi" w:cstheme="minorHAnsi"/>
          <w:szCs w:val="20"/>
        </w:rPr>
        <w:t>I</w:t>
      </w:r>
      <w:r w:rsidR="00786B90" w:rsidRPr="00736582">
        <w:rPr>
          <w:rFonts w:asciiTheme="minorHAnsi" w:hAnsiTheme="minorHAnsi" w:cstheme="minorHAnsi"/>
          <w:szCs w:val="20"/>
        </w:rPr>
        <w:t>s in the TRM:</w:t>
      </w:r>
    </w:p>
    <w:p w14:paraId="2382A2B8" w14:textId="77777777" w:rsidR="00786B90" w:rsidRPr="00736582" w:rsidRDefault="00786B90" w:rsidP="00786B90">
      <w:pPr>
        <w:rPr>
          <w:rFonts w:asciiTheme="minorHAnsi" w:hAnsiTheme="minorHAnsi" w:cstheme="minorHAnsi"/>
          <w:szCs w:val="20"/>
        </w:rPr>
      </w:pPr>
    </w:p>
    <w:p w14:paraId="65A943AF" w14:textId="4212A29A" w:rsidR="00786B90" w:rsidRPr="00736582" w:rsidRDefault="00786B90" w:rsidP="00364684">
      <w:pPr>
        <w:pStyle w:val="ListBullet"/>
        <w:numPr>
          <w:ilvl w:val="0"/>
          <w:numId w:val="6"/>
        </w:numPr>
        <w:rPr>
          <w:rFonts w:asciiTheme="minorHAnsi" w:hAnsiTheme="minorHAnsi" w:cstheme="minorHAnsi"/>
          <w:sz w:val="20"/>
        </w:rPr>
      </w:pPr>
      <w:r w:rsidRPr="00736582">
        <w:rPr>
          <w:rFonts w:asciiTheme="minorHAnsi" w:hAnsiTheme="minorHAnsi" w:cstheme="minorHAnsi"/>
          <w:sz w:val="20"/>
        </w:rPr>
        <w:t>Base calculations for NE</w:t>
      </w:r>
      <w:r w:rsidR="009155C8" w:rsidRPr="00736582">
        <w:rPr>
          <w:rFonts w:asciiTheme="minorHAnsi" w:hAnsiTheme="minorHAnsi" w:cstheme="minorHAnsi"/>
          <w:sz w:val="20"/>
        </w:rPr>
        <w:t>I</w:t>
      </w:r>
      <w:r w:rsidRPr="00736582">
        <w:rPr>
          <w:rFonts w:asciiTheme="minorHAnsi" w:hAnsiTheme="minorHAnsi" w:cstheme="minorHAnsi"/>
          <w:sz w:val="20"/>
        </w:rPr>
        <w:t>s on reputable studies.</w:t>
      </w:r>
    </w:p>
    <w:p w14:paraId="29967E6C" w14:textId="3E459E58" w:rsidR="00786B90" w:rsidRPr="00736582" w:rsidRDefault="00786B90" w:rsidP="00364684">
      <w:pPr>
        <w:pStyle w:val="ListBullet"/>
        <w:numPr>
          <w:ilvl w:val="0"/>
          <w:numId w:val="6"/>
        </w:numPr>
        <w:rPr>
          <w:rFonts w:asciiTheme="minorHAnsi" w:hAnsiTheme="minorHAnsi" w:cstheme="minorHAnsi"/>
          <w:sz w:val="20"/>
        </w:rPr>
      </w:pPr>
      <w:r w:rsidRPr="00736582">
        <w:rPr>
          <w:rFonts w:asciiTheme="minorHAnsi" w:hAnsiTheme="minorHAnsi" w:cstheme="minorHAnsi"/>
          <w:sz w:val="20"/>
        </w:rPr>
        <w:t>Ensure NE</w:t>
      </w:r>
      <w:r w:rsidR="009155C8" w:rsidRPr="00736582">
        <w:rPr>
          <w:rFonts w:asciiTheme="minorHAnsi" w:hAnsiTheme="minorHAnsi" w:cstheme="minorHAnsi"/>
          <w:sz w:val="20"/>
        </w:rPr>
        <w:t>I</w:t>
      </w:r>
      <w:r w:rsidRPr="00736582">
        <w:rPr>
          <w:rFonts w:asciiTheme="minorHAnsi" w:hAnsiTheme="minorHAnsi" w:cstheme="minorHAnsi"/>
          <w:sz w:val="20"/>
        </w:rPr>
        <w:t>s quantities are reproducible.</w:t>
      </w:r>
    </w:p>
    <w:p w14:paraId="0D7CB3A7" w14:textId="79C84079" w:rsidR="00786B90" w:rsidRPr="00736582" w:rsidRDefault="00786B90" w:rsidP="00364684">
      <w:pPr>
        <w:pStyle w:val="ListBullet"/>
        <w:numPr>
          <w:ilvl w:val="0"/>
          <w:numId w:val="6"/>
        </w:numPr>
        <w:rPr>
          <w:rFonts w:asciiTheme="minorHAnsi" w:hAnsiTheme="minorHAnsi" w:cstheme="minorHAnsi"/>
          <w:sz w:val="20"/>
        </w:rPr>
      </w:pPr>
      <w:r w:rsidRPr="00736582">
        <w:rPr>
          <w:rFonts w:asciiTheme="minorHAnsi" w:hAnsiTheme="minorHAnsi" w:cstheme="minorHAnsi"/>
          <w:sz w:val="20"/>
        </w:rPr>
        <w:t>Establish a logical connection between the NE</w:t>
      </w:r>
      <w:r w:rsidR="009155C8" w:rsidRPr="00736582">
        <w:rPr>
          <w:rFonts w:asciiTheme="minorHAnsi" w:hAnsiTheme="minorHAnsi" w:cstheme="minorHAnsi"/>
          <w:sz w:val="20"/>
        </w:rPr>
        <w:t>I</w:t>
      </w:r>
      <w:r w:rsidRPr="00736582">
        <w:rPr>
          <w:rFonts w:asciiTheme="minorHAnsi" w:hAnsiTheme="minorHAnsi" w:cstheme="minorHAnsi"/>
          <w:sz w:val="20"/>
        </w:rPr>
        <w:t xml:space="preserve">s and the related energy efficiency measures. </w:t>
      </w:r>
    </w:p>
    <w:p w14:paraId="0404CCE9" w14:textId="4B781EBD" w:rsidR="00786B90" w:rsidRPr="00736582" w:rsidRDefault="00786B90" w:rsidP="00364684">
      <w:pPr>
        <w:pStyle w:val="ListBullet"/>
        <w:numPr>
          <w:ilvl w:val="0"/>
          <w:numId w:val="6"/>
        </w:numPr>
        <w:rPr>
          <w:rFonts w:asciiTheme="minorHAnsi" w:hAnsiTheme="minorHAnsi" w:cstheme="minorHAnsi"/>
          <w:sz w:val="20"/>
        </w:rPr>
      </w:pPr>
      <w:r w:rsidRPr="00736582">
        <w:rPr>
          <w:rFonts w:asciiTheme="minorHAnsi" w:hAnsiTheme="minorHAnsi" w:cstheme="minorHAnsi"/>
          <w:sz w:val="20"/>
        </w:rPr>
        <w:t>Quantify both negative and positive NE</w:t>
      </w:r>
      <w:r w:rsidR="009155C8" w:rsidRPr="00736582">
        <w:rPr>
          <w:rFonts w:asciiTheme="minorHAnsi" w:hAnsiTheme="minorHAnsi" w:cstheme="minorHAnsi"/>
          <w:sz w:val="20"/>
        </w:rPr>
        <w:t>I</w:t>
      </w:r>
      <w:r w:rsidRPr="00736582">
        <w:rPr>
          <w:rFonts w:asciiTheme="minorHAnsi" w:hAnsiTheme="minorHAnsi" w:cstheme="minorHAnsi"/>
          <w:sz w:val="20"/>
        </w:rPr>
        <w:t>s.</w:t>
      </w:r>
    </w:p>
    <w:p w14:paraId="4735C5CF" w14:textId="6F4A8E9C" w:rsidR="00786B90" w:rsidRPr="00736582" w:rsidRDefault="00786B90" w:rsidP="00364684">
      <w:pPr>
        <w:pStyle w:val="ListBullet"/>
        <w:numPr>
          <w:ilvl w:val="0"/>
          <w:numId w:val="6"/>
        </w:numPr>
        <w:rPr>
          <w:rFonts w:asciiTheme="minorHAnsi" w:hAnsiTheme="minorHAnsi" w:cstheme="minorHAnsi"/>
          <w:sz w:val="20"/>
        </w:rPr>
      </w:pPr>
      <w:r w:rsidRPr="00736582">
        <w:rPr>
          <w:rFonts w:asciiTheme="minorHAnsi" w:hAnsiTheme="minorHAnsi" w:cstheme="minorHAnsi"/>
          <w:sz w:val="20"/>
        </w:rPr>
        <w:t>Use Illinois-specific data rather than a generic adder.</w:t>
      </w:r>
      <w:r w:rsidR="00F44A1E">
        <w:rPr>
          <w:rStyle w:val="FootnoteReference"/>
          <w:rFonts w:cstheme="minorHAnsi"/>
          <w:sz w:val="20"/>
        </w:rPr>
        <w:footnoteReference w:id="5"/>
      </w:r>
      <w:r w:rsidRPr="00736582">
        <w:rPr>
          <w:rFonts w:asciiTheme="minorHAnsi" w:hAnsiTheme="minorHAnsi" w:cstheme="minorHAnsi"/>
          <w:sz w:val="20"/>
        </w:rPr>
        <w:t xml:space="preserve"> </w:t>
      </w:r>
    </w:p>
    <w:p w14:paraId="697C8E5D" w14:textId="77777777" w:rsidR="009155C8" w:rsidRDefault="009155C8" w:rsidP="009155C8">
      <w:pPr>
        <w:pStyle w:val="ListBullet"/>
        <w:numPr>
          <w:ilvl w:val="0"/>
          <w:numId w:val="0"/>
        </w:numPr>
        <w:ind w:left="720"/>
      </w:pPr>
    </w:p>
    <w:p w14:paraId="29BAFF26" w14:textId="29BD2D7A" w:rsidR="007C2A1E" w:rsidRDefault="009155C8" w:rsidP="00BF4661">
      <w:pPr>
        <w:rPr>
          <w:szCs w:val="20"/>
        </w:rPr>
      </w:pPr>
      <w:r>
        <w:rPr>
          <w:szCs w:val="20"/>
        </w:rPr>
        <w:t>Beginning in 2017,</w:t>
      </w:r>
      <w:r w:rsidR="002C0143">
        <w:rPr>
          <w:szCs w:val="20"/>
        </w:rPr>
        <w:t xml:space="preserve"> Guidehouse, on behalf of ComEd, conducted research to quantify and monetize </w:t>
      </w:r>
      <w:r w:rsidR="007C2A1E">
        <w:rPr>
          <w:szCs w:val="20"/>
        </w:rPr>
        <w:t>societal, utility and participant NEIs</w:t>
      </w:r>
      <w:r w:rsidR="002C0143">
        <w:rPr>
          <w:szCs w:val="20"/>
        </w:rPr>
        <w:t xml:space="preserve"> associated </w:t>
      </w:r>
      <w:r w:rsidR="003C7C15">
        <w:rPr>
          <w:szCs w:val="20"/>
        </w:rPr>
        <w:t xml:space="preserve">with </w:t>
      </w:r>
      <w:r w:rsidR="002C0143">
        <w:rPr>
          <w:szCs w:val="20"/>
        </w:rPr>
        <w:t xml:space="preserve">ComEd’s energy </w:t>
      </w:r>
      <w:r w:rsidR="00866ABC">
        <w:rPr>
          <w:szCs w:val="20"/>
        </w:rPr>
        <w:t>efficiency</w:t>
      </w:r>
      <w:r w:rsidR="002C0143">
        <w:rPr>
          <w:szCs w:val="20"/>
        </w:rPr>
        <w:t xml:space="preserve"> programs</w:t>
      </w:r>
      <w:r w:rsidR="00AA217F">
        <w:rPr>
          <w:szCs w:val="20"/>
        </w:rPr>
        <w:t xml:space="preserve">. </w:t>
      </w:r>
      <w:r w:rsidR="007C2A1E">
        <w:rPr>
          <w:szCs w:val="20"/>
        </w:rPr>
        <w:t xml:space="preserve">While societal NEIs are associated with all programs in ComEd’s portfolio, utility and participant NEIs are </w:t>
      </w:r>
      <w:r w:rsidR="007C2A1E">
        <w:rPr>
          <w:szCs w:val="20"/>
        </w:rPr>
        <w:lastRenderedPageBreak/>
        <w:t xml:space="preserve">associated with two comprehensive income eligible programs. </w:t>
      </w:r>
      <w:r w:rsidR="00AA217F">
        <w:rPr>
          <w:szCs w:val="20"/>
        </w:rPr>
        <w:t xml:space="preserve">Guidehouse </w:t>
      </w:r>
      <w:r w:rsidR="007C2A1E">
        <w:rPr>
          <w:szCs w:val="20"/>
        </w:rPr>
        <w:t xml:space="preserve">developed an NEI research plan and </w:t>
      </w:r>
      <w:r w:rsidR="00AA217F">
        <w:rPr>
          <w:szCs w:val="20"/>
        </w:rPr>
        <w:t xml:space="preserve">incorporated the feedback </w:t>
      </w:r>
      <w:r w:rsidR="007C2A1E">
        <w:rPr>
          <w:szCs w:val="20"/>
        </w:rPr>
        <w:t xml:space="preserve">listed above </w:t>
      </w:r>
      <w:r w:rsidR="00AA217F">
        <w:rPr>
          <w:szCs w:val="20"/>
        </w:rPr>
        <w:t>from the earlier SAG NEI working group</w:t>
      </w:r>
      <w:r w:rsidR="002C0143">
        <w:rPr>
          <w:szCs w:val="20"/>
        </w:rPr>
        <w:t xml:space="preserve">. </w:t>
      </w:r>
    </w:p>
    <w:p w14:paraId="5986716B" w14:textId="15B9F662" w:rsidR="007C2A1E" w:rsidRDefault="007C2A1E" w:rsidP="00BF4661">
      <w:pPr>
        <w:rPr>
          <w:szCs w:val="20"/>
        </w:rPr>
      </w:pPr>
    </w:p>
    <w:p w14:paraId="680FF10A" w14:textId="776987C8" w:rsidR="007C2A1E" w:rsidRDefault="007C2A1E" w:rsidP="007C2A1E">
      <w:pPr>
        <w:spacing w:line="240" w:lineRule="exact"/>
        <w:rPr>
          <w:rFonts w:cs="Arial"/>
          <w:szCs w:val="20"/>
        </w:rPr>
      </w:pPr>
      <w:r>
        <w:rPr>
          <w:rFonts w:cs="Arial"/>
          <w:szCs w:val="20"/>
        </w:rPr>
        <w:t>Guidehouse used the following</w:t>
      </w:r>
      <w:r w:rsidR="00686968">
        <w:rPr>
          <w:rFonts w:cs="Arial"/>
          <w:szCs w:val="20"/>
        </w:rPr>
        <w:t xml:space="preserve"> research </w:t>
      </w:r>
      <w:r w:rsidR="004168ED">
        <w:rPr>
          <w:rFonts w:cs="Arial"/>
          <w:szCs w:val="20"/>
        </w:rPr>
        <w:t>methods:</w:t>
      </w:r>
      <w:r>
        <w:rPr>
          <w:rFonts w:cs="Arial"/>
          <w:szCs w:val="20"/>
        </w:rPr>
        <w:t xml:space="preserve"> </w:t>
      </w:r>
    </w:p>
    <w:p w14:paraId="469EFC33" w14:textId="77777777" w:rsidR="007C2A1E" w:rsidRDefault="007C2A1E" w:rsidP="007C2A1E">
      <w:pPr>
        <w:spacing w:line="240" w:lineRule="exact"/>
        <w:rPr>
          <w:rFonts w:cs="Arial"/>
          <w:szCs w:val="20"/>
        </w:rPr>
      </w:pPr>
    </w:p>
    <w:p w14:paraId="5C3E1C1F" w14:textId="7EFC49EA" w:rsidR="007C2A1E" w:rsidRPr="00686968" w:rsidRDefault="007C2A1E" w:rsidP="007C2A1E">
      <w:pPr>
        <w:spacing w:after="120" w:line="240" w:lineRule="exact"/>
        <w:contextualSpacing/>
        <w:rPr>
          <w:rFonts w:cs="Arial"/>
          <w:szCs w:val="20"/>
          <w:u w:val="single"/>
        </w:rPr>
      </w:pPr>
      <w:r w:rsidRPr="00686968">
        <w:rPr>
          <w:rFonts w:cs="Arial"/>
          <w:szCs w:val="20"/>
          <w:u w:val="single"/>
        </w:rPr>
        <w:t>Societal NEI</w:t>
      </w:r>
      <w:r w:rsidR="00686968" w:rsidRPr="00686968">
        <w:rPr>
          <w:rFonts w:cs="Arial"/>
          <w:szCs w:val="20"/>
          <w:u w:val="single"/>
        </w:rPr>
        <w:t>s</w:t>
      </w:r>
    </w:p>
    <w:p w14:paraId="55C9CB2B" w14:textId="645478FC" w:rsidR="007C2A1E" w:rsidRDefault="004168ED" w:rsidP="00364684">
      <w:pPr>
        <w:pStyle w:val="ListParagraph"/>
        <w:numPr>
          <w:ilvl w:val="0"/>
          <w:numId w:val="2"/>
        </w:numPr>
        <w:spacing w:after="120" w:line="240" w:lineRule="exact"/>
        <w:contextualSpacing/>
        <w:rPr>
          <w:rFonts w:cs="Arial"/>
          <w:szCs w:val="20"/>
        </w:rPr>
      </w:pPr>
      <w:r>
        <w:rPr>
          <w:rFonts w:cs="Arial"/>
          <w:szCs w:val="20"/>
        </w:rPr>
        <w:t>Quantify and monetize societal health NEIs u</w:t>
      </w:r>
      <w:r w:rsidR="007C2A1E">
        <w:rPr>
          <w:rFonts w:cs="Arial"/>
          <w:szCs w:val="20"/>
        </w:rPr>
        <w:t xml:space="preserve">sing regional-specific power generation emissions data from the </w:t>
      </w:r>
      <w:r>
        <w:rPr>
          <w:rFonts w:cs="Arial"/>
          <w:szCs w:val="20"/>
        </w:rPr>
        <w:t xml:space="preserve">U.S. </w:t>
      </w:r>
      <w:r w:rsidR="007C2A1E">
        <w:rPr>
          <w:rFonts w:cs="Arial"/>
          <w:szCs w:val="20"/>
        </w:rPr>
        <w:t>E</w:t>
      </w:r>
      <w:r>
        <w:rPr>
          <w:rFonts w:cs="Arial"/>
          <w:szCs w:val="20"/>
        </w:rPr>
        <w:t xml:space="preserve">nvironmental </w:t>
      </w:r>
      <w:r w:rsidR="007C2A1E">
        <w:rPr>
          <w:rFonts w:cs="Arial"/>
          <w:szCs w:val="20"/>
        </w:rPr>
        <w:t>P</w:t>
      </w:r>
      <w:r>
        <w:rPr>
          <w:rFonts w:cs="Arial"/>
          <w:szCs w:val="20"/>
        </w:rPr>
        <w:t xml:space="preserve">rotection </w:t>
      </w:r>
      <w:r w:rsidR="007C2A1E">
        <w:rPr>
          <w:rFonts w:cs="Arial"/>
          <w:szCs w:val="20"/>
        </w:rPr>
        <w:t>A</w:t>
      </w:r>
      <w:r>
        <w:rPr>
          <w:rFonts w:cs="Arial"/>
          <w:szCs w:val="20"/>
        </w:rPr>
        <w:t>gency’s</w:t>
      </w:r>
      <w:r w:rsidR="007C2A1E">
        <w:rPr>
          <w:rFonts w:cs="Arial"/>
          <w:szCs w:val="20"/>
        </w:rPr>
        <w:t xml:space="preserve"> Avoided Emissions and Generation Tool (AVERT) and Co-Benefits Risk Assessment (COBRA) </w:t>
      </w:r>
      <w:r>
        <w:rPr>
          <w:rFonts w:cs="Arial"/>
          <w:szCs w:val="20"/>
        </w:rPr>
        <w:t>model</w:t>
      </w:r>
      <w:r w:rsidR="007C2A1E">
        <w:rPr>
          <w:rFonts w:cs="Arial"/>
          <w:szCs w:val="20"/>
        </w:rPr>
        <w:t>.</w:t>
      </w:r>
    </w:p>
    <w:p w14:paraId="39841EC4" w14:textId="0DCFA29E" w:rsidR="007C2A1E" w:rsidRPr="00686968" w:rsidRDefault="007C2A1E" w:rsidP="007C2A1E">
      <w:pPr>
        <w:spacing w:after="120" w:line="240" w:lineRule="exact"/>
        <w:contextualSpacing/>
        <w:rPr>
          <w:rFonts w:cs="Arial"/>
          <w:szCs w:val="20"/>
          <w:u w:val="single"/>
        </w:rPr>
      </w:pPr>
      <w:r w:rsidRPr="00686968">
        <w:rPr>
          <w:rFonts w:cs="Arial"/>
          <w:szCs w:val="20"/>
          <w:u w:val="single"/>
        </w:rPr>
        <w:t>Utility NEI</w:t>
      </w:r>
      <w:r w:rsidR="00686968" w:rsidRPr="00686968">
        <w:rPr>
          <w:rFonts w:cs="Arial"/>
          <w:szCs w:val="20"/>
          <w:u w:val="single"/>
        </w:rPr>
        <w:t>s</w:t>
      </w:r>
    </w:p>
    <w:p w14:paraId="1C9D1F7F" w14:textId="21FD94C4" w:rsidR="007C2A1E" w:rsidRDefault="004168ED" w:rsidP="00364684">
      <w:pPr>
        <w:pStyle w:val="ListParagraph"/>
        <w:numPr>
          <w:ilvl w:val="0"/>
          <w:numId w:val="2"/>
        </w:numPr>
        <w:spacing w:after="120" w:line="240" w:lineRule="exact"/>
        <w:contextualSpacing/>
        <w:rPr>
          <w:rFonts w:cs="Arial"/>
          <w:szCs w:val="20"/>
        </w:rPr>
      </w:pPr>
      <w:r>
        <w:rPr>
          <w:rFonts w:cs="Arial"/>
          <w:szCs w:val="20"/>
        </w:rPr>
        <w:t>Quantify and monetize utility NEIs us</w:t>
      </w:r>
      <w:r w:rsidR="007C2A1E">
        <w:rPr>
          <w:rFonts w:cs="Arial"/>
          <w:szCs w:val="20"/>
        </w:rPr>
        <w:t>ing ComEd payment history for participants in two income eligible programs</w:t>
      </w:r>
      <w:r>
        <w:rPr>
          <w:rFonts w:cs="Arial"/>
          <w:szCs w:val="20"/>
        </w:rPr>
        <w:t xml:space="preserve"> by </w:t>
      </w:r>
      <w:r w:rsidR="007C2A1E">
        <w:rPr>
          <w:rFonts w:cs="Arial"/>
          <w:szCs w:val="20"/>
        </w:rPr>
        <w:t>conduct</w:t>
      </w:r>
      <w:r>
        <w:rPr>
          <w:rFonts w:cs="Arial"/>
          <w:szCs w:val="20"/>
        </w:rPr>
        <w:t>ing</w:t>
      </w:r>
      <w:r w:rsidR="007C2A1E">
        <w:rPr>
          <w:rFonts w:cs="Arial"/>
          <w:szCs w:val="20"/>
        </w:rPr>
        <w:t xml:space="preserve"> </w:t>
      </w:r>
      <w:r>
        <w:rPr>
          <w:rFonts w:cs="Arial"/>
          <w:szCs w:val="20"/>
        </w:rPr>
        <w:t xml:space="preserve">a </w:t>
      </w:r>
      <w:r w:rsidR="007C2A1E">
        <w:rPr>
          <w:rFonts w:cs="Arial"/>
          <w:szCs w:val="20"/>
        </w:rPr>
        <w:t>regression-based analysis.</w:t>
      </w:r>
    </w:p>
    <w:p w14:paraId="52CDF9E4" w14:textId="77777777" w:rsidR="007C2A1E" w:rsidRDefault="007C2A1E" w:rsidP="007C2A1E">
      <w:pPr>
        <w:pStyle w:val="ListParagraph"/>
        <w:spacing w:after="120" w:line="240" w:lineRule="exact"/>
        <w:contextualSpacing/>
        <w:rPr>
          <w:rFonts w:cs="Arial"/>
          <w:szCs w:val="20"/>
        </w:rPr>
      </w:pPr>
    </w:p>
    <w:p w14:paraId="42F886DB" w14:textId="719E4549" w:rsidR="007C2A1E" w:rsidRPr="00686968" w:rsidRDefault="007C2A1E" w:rsidP="007C2A1E">
      <w:pPr>
        <w:spacing w:after="120" w:line="240" w:lineRule="exact"/>
        <w:contextualSpacing/>
        <w:rPr>
          <w:rFonts w:cs="Arial"/>
          <w:szCs w:val="20"/>
          <w:u w:val="single"/>
        </w:rPr>
      </w:pPr>
      <w:r w:rsidRPr="00686968">
        <w:rPr>
          <w:rFonts w:cs="Arial"/>
          <w:szCs w:val="20"/>
          <w:u w:val="single"/>
        </w:rPr>
        <w:t>Participant NEI</w:t>
      </w:r>
      <w:r w:rsidR="00686968" w:rsidRPr="00686968">
        <w:rPr>
          <w:rFonts w:cs="Arial"/>
          <w:szCs w:val="20"/>
          <w:u w:val="single"/>
        </w:rPr>
        <w:t>s</w:t>
      </w:r>
    </w:p>
    <w:p w14:paraId="535A5008" w14:textId="062684B5" w:rsidR="007C2A1E" w:rsidRDefault="004168ED" w:rsidP="00364684">
      <w:pPr>
        <w:pStyle w:val="ListParagraph"/>
        <w:numPr>
          <w:ilvl w:val="0"/>
          <w:numId w:val="2"/>
        </w:numPr>
        <w:spacing w:after="120" w:line="240" w:lineRule="exact"/>
        <w:contextualSpacing/>
        <w:rPr>
          <w:rFonts w:cs="Arial"/>
          <w:szCs w:val="20"/>
        </w:rPr>
      </w:pPr>
      <w:r>
        <w:rPr>
          <w:rFonts w:cs="Arial"/>
          <w:szCs w:val="20"/>
        </w:rPr>
        <w:t>Quantify participant health and productivity NEIs associated with two income eligible programs u</w:t>
      </w:r>
      <w:r w:rsidR="007C2A1E">
        <w:rPr>
          <w:rFonts w:cs="Arial"/>
          <w:szCs w:val="20"/>
        </w:rPr>
        <w:t xml:space="preserve">sing </w:t>
      </w:r>
      <w:r>
        <w:rPr>
          <w:rFonts w:cs="Arial"/>
          <w:szCs w:val="20"/>
        </w:rPr>
        <w:t xml:space="preserve">a </w:t>
      </w:r>
      <w:r w:rsidR="007C2A1E">
        <w:rPr>
          <w:rFonts w:cs="Arial"/>
          <w:szCs w:val="20"/>
        </w:rPr>
        <w:t xml:space="preserve">participant survey </w:t>
      </w:r>
      <w:r>
        <w:rPr>
          <w:rFonts w:cs="Arial"/>
          <w:szCs w:val="20"/>
        </w:rPr>
        <w:t>based on</w:t>
      </w:r>
      <w:r w:rsidR="007C2A1E">
        <w:rPr>
          <w:rFonts w:cs="Arial"/>
          <w:szCs w:val="20"/>
        </w:rPr>
        <w:t xml:space="preserve"> questions </w:t>
      </w:r>
      <w:r w:rsidR="009F409A">
        <w:rPr>
          <w:rFonts w:cs="Arial"/>
          <w:szCs w:val="20"/>
        </w:rPr>
        <w:t>from</w:t>
      </w:r>
      <w:r w:rsidR="007C2A1E">
        <w:rPr>
          <w:rFonts w:cs="Arial"/>
          <w:szCs w:val="20"/>
        </w:rPr>
        <w:t xml:space="preserve"> </w:t>
      </w:r>
      <w:r w:rsidR="00D762E3">
        <w:rPr>
          <w:rFonts w:cs="Arial"/>
          <w:szCs w:val="20"/>
        </w:rPr>
        <w:t xml:space="preserve">a </w:t>
      </w:r>
      <w:r w:rsidR="007C2A1E">
        <w:rPr>
          <w:rFonts w:cs="Arial"/>
          <w:szCs w:val="20"/>
        </w:rPr>
        <w:t xml:space="preserve">national </w:t>
      </w:r>
      <w:r>
        <w:rPr>
          <w:rFonts w:cs="Arial"/>
          <w:szCs w:val="20"/>
        </w:rPr>
        <w:t xml:space="preserve">U.S. Department of Energy </w:t>
      </w:r>
      <w:r w:rsidR="009F409A">
        <w:rPr>
          <w:rFonts w:cs="Arial"/>
          <w:szCs w:val="20"/>
        </w:rPr>
        <w:t xml:space="preserve">(DOE) </w:t>
      </w:r>
      <w:r>
        <w:rPr>
          <w:rFonts w:cs="Arial"/>
          <w:szCs w:val="20"/>
        </w:rPr>
        <w:t xml:space="preserve">Weatherization </w:t>
      </w:r>
      <w:r w:rsidR="007C2A1E">
        <w:rPr>
          <w:rFonts w:cs="Arial"/>
          <w:szCs w:val="20"/>
        </w:rPr>
        <w:t>A</w:t>
      </w:r>
      <w:r>
        <w:rPr>
          <w:rFonts w:cs="Arial"/>
          <w:szCs w:val="20"/>
        </w:rPr>
        <w:t xml:space="preserve">ssistance </w:t>
      </w:r>
      <w:r w:rsidR="007C2A1E">
        <w:rPr>
          <w:rFonts w:cs="Arial"/>
          <w:szCs w:val="20"/>
        </w:rPr>
        <w:t>P</w:t>
      </w:r>
      <w:r>
        <w:rPr>
          <w:rFonts w:cs="Arial"/>
          <w:szCs w:val="20"/>
        </w:rPr>
        <w:t>rogram</w:t>
      </w:r>
      <w:r w:rsidR="009F409A">
        <w:rPr>
          <w:rFonts w:cs="Arial"/>
          <w:szCs w:val="20"/>
        </w:rPr>
        <w:t xml:space="preserve"> (WAP) study</w:t>
      </w:r>
      <w:r>
        <w:rPr>
          <w:rFonts w:cs="Arial"/>
          <w:szCs w:val="20"/>
        </w:rPr>
        <w:t>. [Surveys will begin when ComEd resumes program implementation.]</w:t>
      </w:r>
    </w:p>
    <w:p w14:paraId="1A2DBF48" w14:textId="4CBE6971" w:rsidR="007C2A1E" w:rsidRPr="00686968" w:rsidRDefault="004168ED" w:rsidP="00364684">
      <w:pPr>
        <w:pStyle w:val="ListParagraph"/>
        <w:numPr>
          <w:ilvl w:val="0"/>
          <w:numId w:val="2"/>
        </w:numPr>
        <w:spacing w:after="120" w:line="240" w:lineRule="exact"/>
        <w:contextualSpacing/>
        <w:rPr>
          <w:rFonts w:cs="Arial"/>
          <w:szCs w:val="20"/>
        </w:rPr>
      </w:pPr>
      <w:r>
        <w:rPr>
          <w:rFonts w:cs="Arial"/>
          <w:szCs w:val="20"/>
        </w:rPr>
        <w:t>Monetize participant health NEIs u</w:t>
      </w:r>
      <w:r w:rsidR="007C2A1E">
        <w:rPr>
          <w:rFonts w:cs="Arial"/>
          <w:szCs w:val="20"/>
        </w:rPr>
        <w:t xml:space="preserve">sing </w:t>
      </w:r>
      <w:r>
        <w:rPr>
          <w:rFonts w:cs="Arial"/>
          <w:szCs w:val="20"/>
        </w:rPr>
        <w:t>data from a hospital network in northern Illinois. Monetize participant productivity NEIs using av</w:t>
      </w:r>
      <w:r w:rsidR="007C2A1E">
        <w:rPr>
          <w:rFonts w:cs="Arial"/>
          <w:szCs w:val="20"/>
        </w:rPr>
        <w:t>erage hour</w:t>
      </w:r>
      <w:r>
        <w:rPr>
          <w:rFonts w:cs="Arial"/>
          <w:szCs w:val="20"/>
        </w:rPr>
        <w:t>ly</w:t>
      </w:r>
      <w:r w:rsidR="007C2A1E">
        <w:rPr>
          <w:rFonts w:cs="Arial"/>
          <w:szCs w:val="20"/>
        </w:rPr>
        <w:t>-wage information for Illinois</w:t>
      </w:r>
      <w:r w:rsidR="007C2A1E">
        <w:rPr>
          <w:rStyle w:val="FootnoteReference"/>
          <w:rFonts w:cs="Arial"/>
          <w:szCs w:val="20"/>
        </w:rPr>
        <w:footnoteReference w:id="6"/>
      </w:r>
      <w:r w:rsidR="007C2A1E">
        <w:rPr>
          <w:rFonts w:cs="Arial"/>
          <w:szCs w:val="20"/>
        </w:rPr>
        <w:t xml:space="preserve"> as well as lost productivity per year in Illinois due to sleep problems </w:t>
      </w:r>
      <w:r w:rsidR="007C2A1E">
        <w:rPr>
          <w:rStyle w:val="FootnoteReference"/>
          <w:rFonts w:cs="Arial"/>
          <w:szCs w:val="20"/>
        </w:rPr>
        <w:footnoteReference w:id="7"/>
      </w:r>
      <w:r w:rsidR="007C2A1E">
        <w:rPr>
          <w:rFonts w:cs="Arial"/>
          <w:szCs w:val="20"/>
        </w:rPr>
        <w:t>.</w:t>
      </w:r>
    </w:p>
    <w:p w14:paraId="4262FB17" w14:textId="77777777" w:rsidR="007C2A1E" w:rsidRDefault="007C2A1E" w:rsidP="00BF4661">
      <w:pPr>
        <w:rPr>
          <w:szCs w:val="20"/>
        </w:rPr>
      </w:pPr>
    </w:p>
    <w:p w14:paraId="1D1E9587" w14:textId="05DB1FE3" w:rsidR="00866ABC" w:rsidRDefault="002C0143" w:rsidP="00BF4661">
      <w:pPr>
        <w:rPr>
          <w:szCs w:val="20"/>
        </w:rPr>
      </w:pPr>
      <w:r>
        <w:rPr>
          <w:szCs w:val="20"/>
        </w:rPr>
        <w:t xml:space="preserve">At the May 5, 2020 SAG NEI Working Group meeting we will present our early findings from our </w:t>
      </w:r>
      <w:r w:rsidR="00866ABC">
        <w:rPr>
          <w:szCs w:val="20"/>
        </w:rPr>
        <w:t>societal</w:t>
      </w:r>
      <w:r>
        <w:rPr>
          <w:szCs w:val="20"/>
        </w:rPr>
        <w:t xml:space="preserve"> and </w:t>
      </w:r>
      <w:r w:rsidR="00794C04">
        <w:rPr>
          <w:szCs w:val="20"/>
        </w:rPr>
        <w:t>utility</w:t>
      </w:r>
      <w:r>
        <w:rPr>
          <w:szCs w:val="20"/>
        </w:rPr>
        <w:t xml:space="preserve"> NEI research and provide an update on the planned participant NEI research.</w:t>
      </w:r>
      <w:r w:rsidR="00866ABC">
        <w:rPr>
          <w:szCs w:val="20"/>
        </w:rPr>
        <w:t xml:space="preserve"> </w:t>
      </w:r>
    </w:p>
    <w:p w14:paraId="77777B94" w14:textId="77777777" w:rsidR="00866ABC" w:rsidRDefault="00866ABC" w:rsidP="00BF4661">
      <w:pPr>
        <w:rPr>
          <w:szCs w:val="20"/>
        </w:rPr>
      </w:pPr>
    </w:p>
    <w:p w14:paraId="56C191B8" w14:textId="520E8656" w:rsidR="003B6C34" w:rsidRDefault="00866ABC" w:rsidP="003C7C15">
      <w:pPr>
        <w:rPr>
          <w:szCs w:val="20"/>
        </w:rPr>
      </w:pPr>
      <w:r>
        <w:rPr>
          <w:szCs w:val="20"/>
        </w:rPr>
        <w:t xml:space="preserve">Determining how to use the results of </w:t>
      </w:r>
      <w:r w:rsidR="00AA217F">
        <w:rPr>
          <w:szCs w:val="20"/>
        </w:rPr>
        <w:t>the</w:t>
      </w:r>
      <w:r>
        <w:rPr>
          <w:szCs w:val="20"/>
        </w:rPr>
        <w:t xml:space="preserve"> NEI research in ComEd’s</w:t>
      </w:r>
      <w:r w:rsidR="003C7C15">
        <w:rPr>
          <w:szCs w:val="20"/>
        </w:rPr>
        <w:t xml:space="preserve"> programs’ TRC</w:t>
      </w:r>
      <w:r>
        <w:rPr>
          <w:szCs w:val="20"/>
        </w:rPr>
        <w:t xml:space="preserve"> tests is the next step</w:t>
      </w:r>
      <w:r w:rsidR="003C7C15">
        <w:rPr>
          <w:szCs w:val="20"/>
        </w:rPr>
        <w:t xml:space="preserve"> in this process</w:t>
      </w:r>
      <w:r>
        <w:rPr>
          <w:szCs w:val="20"/>
        </w:rPr>
        <w:t xml:space="preserve">. This memo presents the methodologies and values </w:t>
      </w:r>
      <w:r w:rsidR="006E129F">
        <w:rPr>
          <w:szCs w:val="20"/>
        </w:rPr>
        <w:t>used in</w:t>
      </w:r>
      <w:r>
        <w:rPr>
          <w:szCs w:val="20"/>
        </w:rPr>
        <w:t xml:space="preserve"> other states to include monetized NEIs in their cost-effectiveness tests </w:t>
      </w:r>
      <w:r w:rsidR="00AA217F">
        <w:rPr>
          <w:szCs w:val="20"/>
        </w:rPr>
        <w:t xml:space="preserve">and planning </w:t>
      </w:r>
      <w:r w:rsidR="00794C04">
        <w:rPr>
          <w:szCs w:val="20"/>
        </w:rPr>
        <w:t>processes and</w:t>
      </w:r>
      <w:r>
        <w:rPr>
          <w:szCs w:val="20"/>
        </w:rPr>
        <w:t xml:space="preserve"> offers recommendations for ComEd’s and SAG’s consideration.  </w:t>
      </w:r>
    </w:p>
    <w:p w14:paraId="4490AB0C" w14:textId="6540BC2F" w:rsidR="006E129F" w:rsidRDefault="006E129F" w:rsidP="006E129F">
      <w:pPr>
        <w:pStyle w:val="Heading1"/>
      </w:pPr>
      <w:r>
        <w:t>NEIs in Other States’ Cost-Effectiveness Tests</w:t>
      </w:r>
      <w:r w:rsidR="00E44338">
        <w:t xml:space="preserve"> and Planning Activities</w:t>
      </w:r>
    </w:p>
    <w:p w14:paraId="647E2C0A" w14:textId="515CA647" w:rsidR="000E0FB8" w:rsidRDefault="00686968" w:rsidP="009759C1">
      <w:pPr>
        <w:spacing w:line="240" w:lineRule="exact"/>
        <w:rPr>
          <w:rFonts w:cs="Arial"/>
          <w:szCs w:val="20"/>
        </w:rPr>
      </w:pPr>
      <w:r>
        <w:rPr>
          <w:rFonts w:cs="Arial"/>
          <w:szCs w:val="20"/>
        </w:rPr>
        <w:t xml:space="preserve">Guidehouse conducted a literature search and industry interviews to determine which states used similar research methodologies to quantify and monetize NEIs </w:t>
      </w:r>
      <w:r w:rsidR="00777F22">
        <w:rPr>
          <w:rFonts w:cs="Arial"/>
          <w:szCs w:val="20"/>
        </w:rPr>
        <w:t>for</w:t>
      </w:r>
      <w:r>
        <w:rPr>
          <w:rFonts w:cs="Arial"/>
          <w:szCs w:val="20"/>
        </w:rPr>
        <w:t xml:space="preserve"> cost-effectiveness tests </w:t>
      </w:r>
      <w:r w:rsidR="007C4EDF">
        <w:rPr>
          <w:rFonts w:cs="Arial"/>
          <w:szCs w:val="20"/>
        </w:rPr>
        <w:t>and program plans as</w:t>
      </w:r>
      <w:r>
        <w:rPr>
          <w:rFonts w:cs="Arial"/>
          <w:szCs w:val="20"/>
        </w:rPr>
        <w:t xml:space="preserve"> the research we are conducting on behalf of ComEd. </w:t>
      </w:r>
      <w:r w:rsidR="0034271D" w:rsidRPr="00826E22">
        <w:rPr>
          <w:rFonts w:cs="Arial"/>
          <w:szCs w:val="20"/>
        </w:rPr>
        <w:t xml:space="preserve">In addition to Illinois, </w:t>
      </w:r>
      <w:r w:rsidR="003B6C34">
        <w:rPr>
          <w:rFonts w:cs="Arial"/>
          <w:szCs w:val="20"/>
        </w:rPr>
        <w:t>eleven</w:t>
      </w:r>
      <w:r w:rsidR="0034271D" w:rsidRPr="00826E22">
        <w:rPr>
          <w:rFonts w:cs="Arial"/>
          <w:szCs w:val="20"/>
        </w:rPr>
        <w:t xml:space="preserve"> states use monetized </w:t>
      </w:r>
      <w:r w:rsidR="003B6C34">
        <w:rPr>
          <w:rFonts w:cs="Arial"/>
          <w:szCs w:val="20"/>
        </w:rPr>
        <w:t>NEIs</w:t>
      </w:r>
      <w:r w:rsidR="0034271D" w:rsidRPr="00826E22">
        <w:rPr>
          <w:rFonts w:cs="Arial"/>
          <w:szCs w:val="20"/>
        </w:rPr>
        <w:t xml:space="preserve"> in their cost-effectiveness tests: </w:t>
      </w:r>
      <w:r w:rsidR="003B6C34">
        <w:rPr>
          <w:rFonts w:cs="Arial"/>
          <w:szCs w:val="20"/>
        </w:rPr>
        <w:t>Arizona</w:t>
      </w:r>
      <w:r w:rsidR="0034271D" w:rsidRPr="00826E22">
        <w:rPr>
          <w:rFonts w:cs="Arial"/>
          <w:szCs w:val="20"/>
        </w:rPr>
        <w:t xml:space="preserve">, </w:t>
      </w:r>
      <w:r w:rsidR="003B6C34">
        <w:rPr>
          <w:rFonts w:cs="Arial"/>
          <w:szCs w:val="20"/>
        </w:rPr>
        <w:t>Delaware</w:t>
      </w:r>
      <w:r w:rsidR="0034271D" w:rsidRPr="00826E22">
        <w:rPr>
          <w:rFonts w:cs="Arial"/>
          <w:szCs w:val="20"/>
        </w:rPr>
        <w:t xml:space="preserve">, </w:t>
      </w:r>
      <w:r w:rsidR="003B6C34">
        <w:rPr>
          <w:rFonts w:cs="Arial"/>
          <w:szCs w:val="20"/>
        </w:rPr>
        <w:t>District of Columbia</w:t>
      </w:r>
      <w:r w:rsidR="0034271D" w:rsidRPr="00826E22">
        <w:rPr>
          <w:rFonts w:cs="Arial"/>
          <w:szCs w:val="20"/>
        </w:rPr>
        <w:t xml:space="preserve">, </w:t>
      </w:r>
      <w:r w:rsidR="003B6C34">
        <w:rPr>
          <w:rFonts w:cs="Arial"/>
          <w:szCs w:val="20"/>
        </w:rPr>
        <w:t>Maryland</w:t>
      </w:r>
      <w:r w:rsidR="0034271D" w:rsidRPr="00826E22">
        <w:rPr>
          <w:rFonts w:cs="Arial"/>
          <w:szCs w:val="20"/>
        </w:rPr>
        <w:t xml:space="preserve">, </w:t>
      </w:r>
      <w:r w:rsidR="003B6C34">
        <w:rPr>
          <w:rFonts w:cs="Arial"/>
          <w:szCs w:val="20"/>
        </w:rPr>
        <w:t>Massachusetts, Minnesota</w:t>
      </w:r>
      <w:r w:rsidR="0034271D" w:rsidRPr="00826E22">
        <w:rPr>
          <w:rFonts w:cs="Arial"/>
          <w:szCs w:val="20"/>
        </w:rPr>
        <w:t xml:space="preserve">, </w:t>
      </w:r>
      <w:r w:rsidR="003B6C34">
        <w:rPr>
          <w:rFonts w:cs="Arial"/>
          <w:szCs w:val="20"/>
        </w:rPr>
        <w:t>New York</w:t>
      </w:r>
      <w:r w:rsidR="0034271D" w:rsidRPr="00826E22">
        <w:rPr>
          <w:rFonts w:cs="Arial"/>
          <w:szCs w:val="20"/>
        </w:rPr>
        <w:t xml:space="preserve">, </w:t>
      </w:r>
      <w:r w:rsidR="003B6C34">
        <w:rPr>
          <w:rFonts w:cs="Arial"/>
          <w:szCs w:val="20"/>
        </w:rPr>
        <w:t>Rhode Island</w:t>
      </w:r>
      <w:r w:rsidR="0034271D" w:rsidRPr="00826E22">
        <w:rPr>
          <w:rFonts w:cs="Arial"/>
          <w:szCs w:val="20"/>
        </w:rPr>
        <w:t xml:space="preserve">, </w:t>
      </w:r>
      <w:r w:rsidR="003B6C34">
        <w:rPr>
          <w:rFonts w:cs="Arial"/>
          <w:szCs w:val="20"/>
        </w:rPr>
        <w:t>Vermont</w:t>
      </w:r>
      <w:r w:rsidR="0034271D" w:rsidRPr="00826E22">
        <w:rPr>
          <w:rFonts w:cs="Arial"/>
          <w:szCs w:val="20"/>
        </w:rPr>
        <w:t xml:space="preserve">, </w:t>
      </w:r>
      <w:r w:rsidR="003B6C34">
        <w:rPr>
          <w:rFonts w:cs="Arial"/>
          <w:szCs w:val="20"/>
        </w:rPr>
        <w:t>Washington</w:t>
      </w:r>
      <w:r w:rsidR="0058419B" w:rsidRPr="00826E22">
        <w:rPr>
          <w:rFonts w:cs="Arial"/>
          <w:szCs w:val="20"/>
        </w:rPr>
        <w:t xml:space="preserve">, </w:t>
      </w:r>
      <w:r w:rsidR="003B6C34">
        <w:rPr>
          <w:rFonts w:cs="Arial"/>
          <w:szCs w:val="20"/>
        </w:rPr>
        <w:t>and Wisconsin</w:t>
      </w:r>
      <w:r w:rsidR="00DA2227">
        <w:rPr>
          <w:rStyle w:val="FootnoteReference"/>
          <w:rFonts w:cs="Arial"/>
          <w:szCs w:val="20"/>
        </w:rPr>
        <w:footnoteReference w:id="8"/>
      </w:r>
      <w:r w:rsidR="0034271D" w:rsidRPr="00826E22">
        <w:rPr>
          <w:rFonts w:cs="Arial"/>
          <w:szCs w:val="20"/>
        </w:rPr>
        <w:t xml:space="preserve">. </w:t>
      </w:r>
      <w:r w:rsidR="008204CC">
        <w:rPr>
          <w:rFonts w:cs="Arial"/>
          <w:szCs w:val="20"/>
        </w:rPr>
        <w:t>Guidehouse selected the states that use region-specific or state-specific research to quantify and monetize NEIs to use in cost-effectiveness</w:t>
      </w:r>
      <w:r w:rsidR="00541E16">
        <w:rPr>
          <w:rFonts w:cs="Arial"/>
          <w:szCs w:val="20"/>
        </w:rPr>
        <w:t xml:space="preserve"> (C/E)</w:t>
      </w:r>
      <w:r w:rsidR="008204CC">
        <w:rPr>
          <w:rFonts w:cs="Arial"/>
          <w:szCs w:val="20"/>
        </w:rPr>
        <w:t xml:space="preserve"> tests or program plan</w:t>
      </w:r>
      <w:r w:rsidR="00777F22">
        <w:rPr>
          <w:rFonts w:cs="Arial"/>
          <w:szCs w:val="20"/>
        </w:rPr>
        <w:t>s</w:t>
      </w:r>
      <w:r w:rsidR="008204CC">
        <w:rPr>
          <w:rFonts w:cs="Arial"/>
          <w:szCs w:val="20"/>
        </w:rPr>
        <w:t xml:space="preserve">, as shown in Table 1. </w:t>
      </w:r>
    </w:p>
    <w:p w14:paraId="7152EA48" w14:textId="14F2C3F8" w:rsidR="008F75AB" w:rsidRDefault="008F75AB" w:rsidP="009759C1">
      <w:pPr>
        <w:spacing w:line="240" w:lineRule="exact"/>
        <w:rPr>
          <w:rFonts w:cs="Arial"/>
          <w:szCs w:val="20"/>
        </w:rPr>
      </w:pPr>
    </w:p>
    <w:p w14:paraId="0F2F793A" w14:textId="57AD2B2D" w:rsidR="008F75AB" w:rsidRDefault="008F75AB" w:rsidP="008F75AB">
      <w:pPr>
        <w:pStyle w:val="Caption"/>
        <w:rPr>
          <w:rFonts w:cs="Arial"/>
        </w:rPr>
      </w:pPr>
      <w:r>
        <w:lastRenderedPageBreak/>
        <w:t xml:space="preserve">Table </w:t>
      </w:r>
      <w:fldSimple w:instr=" SEQ Table \* ARABIC ">
        <w:r w:rsidR="00777F22">
          <w:rPr>
            <w:noProof/>
          </w:rPr>
          <w:t>1</w:t>
        </w:r>
      </w:fldSimple>
      <w:r>
        <w:t xml:space="preserve">. </w:t>
      </w:r>
      <w:r w:rsidR="002B6B2A">
        <w:t>Examples of States’ Use of Quantified and Monetized NEIs</w:t>
      </w:r>
    </w:p>
    <w:tbl>
      <w:tblPr>
        <w:tblStyle w:val="EnergyTable"/>
        <w:tblW w:w="0" w:type="auto"/>
        <w:tblLook w:val="04A0" w:firstRow="1" w:lastRow="0" w:firstColumn="1" w:lastColumn="0" w:noHBand="0" w:noVBand="1"/>
      </w:tblPr>
      <w:tblGrid>
        <w:gridCol w:w="2247"/>
        <w:gridCol w:w="2247"/>
        <w:gridCol w:w="2248"/>
        <w:gridCol w:w="2248"/>
      </w:tblGrid>
      <w:tr w:rsidR="008204CC" w:rsidRPr="00D5342F" w14:paraId="5CF11B3E" w14:textId="77777777" w:rsidTr="008F5E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tcPr>
          <w:p w14:paraId="6B7201A6" w14:textId="77777777" w:rsidR="008204CC" w:rsidRPr="00D5342F" w:rsidRDefault="008204CC" w:rsidP="008F5E41">
            <w:pPr>
              <w:keepNext/>
              <w:spacing w:line="240" w:lineRule="exact"/>
              <w:rPr>
                <w:rFonts w:cs="Arial"/>
                <w:color w:val="FFFFFF" w:themeColor="background2"/>
                <w:szCs w:val="20"/>
              </w:rPr>
            </w:pPr>
            <w:r w:rsidRPr="00D5342F">
              <w:rPr>
                <w:rFonts w:cs="Arial"/>
                <w:color w:val="FFFFFF" w:themeColor="background2"/>
                <w:szCs w:val="20"/>
              </w:rPr>
              <w:t>States</w:t>
            </w:r>
          </w:p>
        </w:tc>
        <w:tc>
          <w:tcPr>
            <w:tcW w:w="2247" w:type="dxa"/>
          </w:tcPr>
          <w:p w14:paraId="0FB6386A" w14:textId="2E8CF5AE" w:rsidR="008204CC" w:rsidRPr="00D5342F" w:rsidRDefault="008204CC" w:rsidP="008F5E41">
            <w:pPr>
              <w:keepNext/>
              <w:spacing w:line="240" w:lineRule="exact"/>
              <w:cnfStyle w:val="100000000000" w:firstRow="1" w:lastRow="0" w:firstColumn="0" w:lastColumn="0" w:oddVBand="0" w:evenVBand="0" w:oddHBand="0" w:evenHBand="0" w:firstRowFirstColumn="0" w:firstRowLastColumn="0" w:lastRowFirstColumn="0" w:lastRowLastColumn="0"/>
              <w:rPr>
                <w:rFonts w:cs="Arial"/>
                <w:color w:val="FFFFFF" w:themeColor="background2"/>
                <w:szCs w:val="20"/>
              </w:rPr>
            </w:pPr>
            <w:r w:rsidRPr="00D5342F">
              <w:rPr>
                <w:rFonts w:cs="Arial"/>
                <w:color w:val="FFFFFF" w:themeColor="background2"/>
                <w:szCs w:val="20"/>
              </w:rPr>
              <w:t>Societal</w:t>
            </w:r>
            <w:r>
              <w:rPr>
                <w:rFonts w:cs="Arial"/>
                <w:color w:val="FFFFFF" w:themeColor="background2"/>
                <w:szCs w:val="20"/>
              </w:rPr>
              <w:t xml:space="preserve"> NEIs Included in</w:t>
            </w:r>
            <w:r w:rsidR="002B6B2A">
              <w:rPr>
                <w:rFonts w:cs="Arial"/>
                <w:color w:val="FFFFFF" w:themeColor="background2"/>
                <w:szCs w:val="20"/>
              </w:rPr>
              <w:t>:</w:t>
            </w:r>
          </w:p>
        </w:tc>
        <w:tc>
          <w:tcPr>
            <w:tcW w:w="2248" w:type="dxa"/>
          </w:tcPr>
          <w:p w14:paraId="5C9EFEC4" w14:textId="70B9D492" w:rsidR="008204CC" w:rsidRPr="00D5342F" w:rsidRDefault="008204CC" w:rsidP="008F5E41">
            <w:pPr>
              <w:keepNext/>
              <w:spacing w:line="240" w:lineRule="exact"/>
              <w:cnfStyle w:val="100000000000" w:firstRow="1" w:lastRow="0" w:firstColumn="0" w:lastColumn="0" w:oddVBand="0" w:evenVBand="0" w:oddHBand="0" w:evenHBand="0" w:firstRowFirstColumn="0" w:firstRowLastColumn="0" w:lastRowFirstColumn="0" w:lastRowLastColumn="0"/>
              <w:rPr>
                <w:rFonts w:cs="Arial"/>
                <w:color w:val="FFFFFF" w:themeColor="background2"/>
                <w:szCs w:val="20"/>
              </w:rPr>
            </w:pPr>
            <w:r>
              <w:rPr>
                <w:rFonts w:cs="Arial"/>
                <w:color w:val="FFFFFF" w:themeColor="background2"/>
                <w:szCs w:val="20"/>
              </w:rPr>
              <w:t>Utility NEIs Included in</w:t>
            </w:r>
            <w:r w:rsidR="002B6B2A">
              <w:rPr>
                <w:rFonts w:cs="Arial"/>
                <w:color w:val="FFFFFF" w:themeColor="background2"/>
                <w:szCs w:val="20"/>
              </w:rPr>
              <w:t>:</w:t>
            </w:r>
          </w:p>
        </w:tc>
        <w:tc>
          <w:tcPr>
            <w:tcW w:w="2248" w:type="dxa"/>
          </w:tcPr>
          <w:p w14:paraId="5AA09140" w14:textId="241CE65E" w:rsidR="008204CC" w:rsidRPr="00D5342F" w:rsidRDefault="008204CC" w:rsidP="008F5E41">
            <w:pPr>
              <w:keepNext/>
              <w:spacing w:line="240" w:lineRule="exact"/>
              <w:cnfStyle w:val="100000000000" w:firstRow="1" w:lastRow="0" w:firstColumn="0" w:lastColumn="0" w:oddVBand="0" w:evenVBand="0" w:oddHBand="0" w:evenHBand="0" w:firstRowFirstColumn="0" w:firstRowLastColumn="0" w:lastRowFirstColumn="0" w:lastRowLastColumn="0"/>
              <w:rPr>
                <w:rFonts w:cs="Arial"/>
                <w:color w:val="FFFFFF" w:themeColor="background2"/>
                <w:szCs w:val="20"/>
              </w:rPr>
            </w:pPr>
            <w:r>
              <w:rPr>
                <w:rFonts w:cs="Arial"/>
                <w:color w:val="FFFFFF" w:themeColor="background2"/>
                <w:szCs w:val="20"/>
              </w:rPr>
              <w:t>Participant NEIs included in</w:t>
            </w:r>
            <w:r w:rsidR="002B6B2A">
              <w:rPr>
                <w:rFonts w:cs="Arial"/>
                <w:color w:val="FFFFFF" w:themeColor="background2"/>
                <w:szCs w:val="20"/>
              </w:rPr>
              <w:t>:</w:t>
            </w:r>
          </w:p>
        </w:tc>
      </w:tr>
      <w:tr w:rsidR="008204CC" w14:paraId="0621C5DB" w14:textId="77777777" w:rsidTr="008F5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tcPr>
          <w:p w14:paraId="28AEEEF2" w14:textId="77777777" w:rsidR="008204CC" w:rsidRDefault="008204CC" w:rsidP="008F5E41">
            <w:pPr>
              <w:keepNext/>
              <w:spacing w:line="240" w:lineRule="exact"/>
              <w:rPr>
                <w:rFonts w:cs="Arial"/>
                <w:szCs w:val="20"/>
              </w:rPr>
            </w:pPr>
            <w:r>
              <w:rPr>
                <w:rFonts w:cs="Arial"/>
                <w:szCs w:val="20"/>
              </w:rPr>
              <w:t>Wisconsin</w:t>
            </w:r>
          </w:p>
        </w:tc>
        <w:tc>
          <w:tcPr>
            <w:tcW w:w="2247" w:type="dxa"/>
          </w:tcPr>
          <w:p w14:paraId="5A117016" w14:textId="77777777" w:rsidR="008204CC" w:rsidRDefault="008204CC" w:rsidP="008F5E41">
            <w:pPr>
              <w:keepNext/>
              <w:spacing w:line="240" w:lineRule="exac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C/E Tests</w:t>
            </w:r>
          </w:p>
        </w:tc>
        <w:tc>
          <w:tcPr>
            <w:tcW w:w="2248" w:type="dxa"/>
          </w:tcPr>
          <w:p w14:paraId="6A05E258" w14:textId="77777777" w:rsidR="008204CC" w:rsidRDefault="008204CC" w:rsidP="008F5E41">
            <w:pPr>
              <w:keepNext/>
              <w:spacing w:line="240" w:lineRule="exact"/>
              <w:cnfStyle w:val="000000100000" w:firstRow="0" w:lastRow="0" w:firstColumn="0" w:lastColumn="0" w:oddVBand="0" w:evenVBand="0" w:oddHBand="1" w:evenHBand="0" w:firstRowFirstColumn="0" w:firstRowLastColumn="0" w:lastRowFirstColumn="0" w:lastRowLastColumn="0"/>
              <w:rPr>
                <w:rFonts w:cs="Arial"/>
                <w:szCs w:val="20"/>
              </w:rPr>
            </w:pPr>
          </w:p>
        </w:tc>
        <w:tc>
          <w:tcPr>
            <w:tcW w:w="2248" w:type="dxa"/>
          </w:tcPr>
          <w:p w14:paraId="7EC92873" w14:textId="77777777" w:rsidR="008204CC" w:rsidRDefault="008204CC" w:rsidP="008F5E41">
            <w:pPr>
              <w:keepNext/>
              <w:spacing w:line="240" w:lineRule="exact"/>
              <w:cnfStyle w:val="000000100000" w:firstRow="0" w:lastRow="0" w:firstColumn="0" w:lastColumn="0" w:oddVBand="0" w:evenVBand="0" w:oddHBand="1" w:evenHBand="0" w:firstRowFirstColumn="0" w:firstRowLastColumn="0" w:lastRowFirstColumn="0" w:lastRowLastColumn="0"/>
              <w:rPr>
                <w:rFonts w:cs="Arial"/>
                <w:szCs w:val="20"/>
              </w:rPr>
            </w:pPr>
          </w:p>
        </w:tc>
      </w:tr>
      <w:tr w:rsidR="008204CC" w14:paraId="582420FB" w14:textId="77777777" w:rsidTr="008F5E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tcPr>
          <w:p w14:paraId="58B0229F" w14:textId="77777777" w:rsidR="008204CC" w:rsidRDefault="008204CC" w:rsidP="008F5E41">
            <w:pPr>
              <w:keepNext/>
              <w:spacing w:line="240" w:lineRule="exact"/>
              <w:rPr>
                <w:rFonts w:cs="Arial"/>
                <w:szCs w:val="20"/>
              </w:rPr>
            </w:pPr>
            <w:r>
              <w:rPr>
                <w:rFonts w:cs="Arial"/>
                <w:szCs w:val="20"/>
              </w:rPr>
              <w:t>Idaho</w:t>
            </w:r>
          </w:p>
        </w:tc>
        <w:tc>
          <w:tcPr>
            <w:tcW w:w="2247" w:type="dxa"/>
          </w:tcPr>
          <w:p w14:paraId="782D1336" w14:textId="77777777" w:rsidR="008204CC" w:rsidRDefault="008204CC" w:rsidP="008F5E41">
            <w:pPr>
              <w:keepNext/>
              <w:spacing w:line="240" w:lineRule="exact"/>
              <w:cnfStyle w:val="000000010000" w:firstRow="0" w:lastRow="0" w:firstColumn="0" w:lastColumn="0" w:oddVBand="0" w:evenVBand="0" w:oddHBand="0" w:evenHBand="1" w:firstRowFirstColumn="0" w:firstRowLastColumn="0" w:lastRowFirstColumn="0" w:lastRowLastColumn="0"/>
              <w:rPr>
                <w:rFonts w:cs="Arial"/>
                <w:szCs w:val="20"/>
              </w:rPr>
            </w:pPr>
            <w:r>
              <w:rPr>
                <w:rFonts w:cs="Arial"/>
                <w:szCs w:val="20"/>
              </w:rPr>
              <w:t>EE Program Planning</w:t>
            </w:r>
          </w:p>
        </w:tc>
        <w:tc>
          <w:tcPr>
            <w:tcW w:w="2248" w:type="dxa"/>
          </w:tcPr>
          <w:p w14:paraId="7446FC92" w14:textId="77777777" w:rsidR="008204CC" w:rsidRDefault="008204CC" w:rsidP="008F5E41">
            <w:pPr>
              <w:keepNext/>
              <w:spacing w:line="240" w:lineRule="exact"/>
              <w:cnfStyle w:val="000000010000" w:firstRow="0" w:lastRow="0" w:firstColumn="0" w:lastColumn="0" w:oddVBand="0" w:evenVBand="0" w:oddHBand="0" w:evenHBand="1" w:firstRowFirstColumn="0" w:firstRowLastColumn="0" w:lastRowFirstColumn="0" w:lastRowLastColumn="0"/>
              <w:rPr>
                <w:rFonts w:cs="Arial"/>
                <w:szCs w:val="20"/>
              </w:rPr>
            </w:pPr>
          </w:p>
        </w:tc>
        <w:tc>
          <w:tcPr>
            <w:tcW w:w="2248" w:type="dxa"/>
          </w:tcPr>
          <w:p w14:paraId="625453EA" w14:textId="77777777" w:rsidR="008204CC" w:rsidRDefault="008204CC" w:rsidP="008F5E41">
            <w:pPr>
              <w:keepNext/>
              <w:spacing w:line="240" w:lineRule="exact"/>
              <w:cnfStyle w:val="000000010000" w:firstRow="0" w:lastRow="0" w:firstColumn="0" w:lastColumn="0" w:oddVBand="0" w:evenVBand="0" w:oddHBand="0" w:evenHBand="1" w:firstRowFirstColumn="0" w:firstRowLastColumn="0" w:lastRowFirstColumn="0" w:lastRowLastColumn="0"/>
              <w:rPr>
                <w:rFonts w:cs="Arial"/>
                <w:szCs w:val="20"/>
              </w:rPr>
            </w:pPr>
          </w:p>
        </w:tc>
      </w:tr>
      <w:tr w:rsidR="008204CC" w14:paraId="3D510BE4" w14:textId="77777777" w:rsidTr="008F5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tcPr>
          <w:p w14:paraId="7D122960" w14:textId="77777777" w:rsidR="008204CC" w:rsidRDefault="008204CC" w:rsidP="008F5E41">
            <w:pPr>
              <w:keepNext/>
              <w:spacing w:line="240" w:lineRule="exact"/>
              <w:rPr>
                <w:rFonts w:cs="Arial"/>
                <w:szCs w:val="20"/>
              </w:rPr>
            </w:pPr>
            <w:r>
              <w:rPr>
                <w:rFonts w:cs="Arial"/>
                <w:szCs w:val="20"/>
              </w:rPr>
              <w:t>Washington</w:t>
            </w:r>
          </w:p>
        </w:tc>
        <w:tc>
          <w:tcPr>
            <w:tcW w:w="2247" w:type="dxa"/>
          </w:tcPr>
          <w:p w14:paraId="3CCA532B" w14:textId="77777777" w:rsidR="008204CC" w:rsidRDefault="008204CC" w:rsidP="008F5E41">
            <w:pPr>
              <w:keepNext/>
              <w:spacing w:line="240" w:lineRule="exac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EE Program Planning</w:t>
            </w:r>
          </w:p>
        </w:tc>
        <w:tc>
          <w:tcPr>
            <w:tcW w:w="2248" w:type="dxa"/>
          </w:tcPr>
          <w:p w14:paraId="38E565DF" w14:textId="77777777" w:rsidR="008204CC" w:rsidRDefault="008204CC" w:rsidP="008F5E41">
            <w:pPr>
              <w:keepNext/>
              <w:spacing w:line="240" w:lineRule="exact"/>
              <w:cnfStyle w:val="000000100000" w:firstRow="0" w:lastRow="0" w:firstColumn="0" w:lastColumn="0" w:oddVBand="0" w:evenVBand="0" w:oddHBand="1" w:evenHBand="0" w:firstRowFirstColumn="0" w:firstRowLastColumn="0" w:lastRowFirstColumn="0" w:lastRowLastColumn="0"/>
              <w:rPr>
                <w:rFonts w:cs="Arial"/>
                <w:szCs w:val="20"/>
              </w:rPr>
            </w:pPr>
          </w:p>
        </w:tc>
        <w:tc>
          <w:tcPr>
            <w:tcW w:w="2248" w:type="dxa"/>
          </w:tcPr>
          <w:p w14:paraId="53820044" w14:textId="77777777" w:rsidR="008204CC" w:rsidRDefault="008204CC" w:rsidP="008F5E41">
            <w:pPr>
              <w:keepNext/>
              <w:spacing w:line="240" w:lineRule="exact"/>
              <w:cnfStyle w:val="000000100000" w:firstRow="0" w:lastRow="0" w:firstColumn="0" w:lastColumn="0" w:oddVBand="0" w:evenVBand="0" w:oddHBand="1" w:evenHBand="0" w:firstRowFirstColumn="0" w:firstRowLastColumn="0" w:lastRowFirstColumn="0" w:lastRowLastColumn="0"/>
              <w:rPr>
                <w:rFonts w:cs="Arial"/>
                <w:szCs w:val="20"/>
              </w:rPr>
            </w:pPr>
          </w:p>
        </w:tc>
      </w:tr>
      <w:tr w:rsidR="008204CC" w14:paraId="31CB8001" w14:textId="77777777" w:rsidTr="008F5E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tcPr>
          <w:p w14:paraId="694205D6" w14:textId="77777777" w:rsidR="008204CC" w:rsidRDefault="008204CC" w:rsidP="008F5E41">
            <w:pPr>
              <w:keepNext/>
              <w:spacing w:line="240" w:lineRule="exact"/>
              <w:rPr>
                <w:rFonts w:cs="Arial"/>
                <w:szCs w:val="20"/>
              </w:rPr>
            </w:pPr>
            <w:r>
              <w:rPr>
                <w:rFonts w:cs="Arial"/>
                <w:szCs w:val="20"/>
              </w:rPr>
              <w:t>Maryland</w:t>
            </w:r>
          </w:p>
        </w:tc>
        <w:tc>
          <w:tcPr>
            <w:tcW w:w="2247" w:type="dxa"/>
          </w:tcPr>
          <w:p w14:paraId="24E6E50B" w14:textId="77777777" w:rsidR="008204CC" w:rsidRDefault="008204CC" w:rsidP="008F5E41">
            <w:pPr>
              <w:keepNext/>
              <w:spacing w:line="240" w:lineRule="exact"/>
              <w:cnfStyle w:val="000000010000" w:firstRow="0" w:lastRow="0" w:firstColumn="0" w:lastColumn="0" w:oddVBand="0" w:evenVBand="0" w:oddHBand="0" w:evenHBand="1" w:firstRowFirstColumn="0" w:firstRowLastColumn="0" w:lastRowFirstColumn="0" w:lastRowLastColumn="0"/>
              <w:rPr>
                <w:rFonts w:cs="Arial"/>
                <w:szCs w:val="20"/>
              </w:rPr>
            </w:pPr>
          </w:p>
        </w:tc>
        <w:tc>
          <w:tcPr>
            <w:tcW w:w="2248" w:type="dxa"/>
          </w:tcPr>
          <w:p w14:paraId="48EDABF7" w14:textId="77777777" w:rsidR="008204CC" w:rsidRDefault="008204CC" w:rsidP="008F5E41">
            <w:pPr>
              <w:keepNext/>
              <w:spacing w:line="240" w:lineRule="exact"/>
              <w:cnfStyle w:val="000000010000" w:firstRow="0" w:lastRow="0" w:firstColumn="0" w:lastColumn="0" w:oddVBand="0" w:evenVBand="0" w:oddHBand="0" w:evenHBand="1" w:firstRowFirstColumn="0" w:firstRowLastColumn="0" w:lastRowFirstColumn="0" w:lastRowLastColumn="0"/>
              <w:rPr>
                <w:rFonts w:cs="Arial"/>
                <w:szCs w:val="20"/>
              </w:rPr>
            </w:pPr>
            <w:r>
              <w:rPr>
                <w:rFonts w:cs="Arial"/>
                <w:szCs w:val="20"/>
              </w:rPr>
              <w:t>C/E Tests</w:t>
            </w:r>
          </w:p>
        </w:tc>
        <w:tc>
          <w:tcPr>
            <w:tcW w:w="2248" w:type="dxa"/>
          </w:tcPr>
          <w:p w14:paraId="60EAFBD2" w14:textId="77777777" w:rsidR="008204CC" w:rsidRDefault="008204CC" w:rsidP="008F5E41">
            <w:pPr>
              <w:keepNext/>
              <w:spacing w:line="240" w:lineRule="exact"/>
              <w:cnfStyle w:val="000000010000" w:firstRow="0" w:lastRow="0" w:firstColumn="0" w:lastColumn="0" w:oddVBand="0" w:evenVBand="0" w:oddHBand="0" w:evenHBand="1" w:firstRowFirstColumn="0" w:firstRowLastColumn="0" w:lastRowFirstColumn="0" w:lastRowLastColumn="0"/>
              <w:rPr>
                <w:rFonts w:cs="Arial"/>
                <w:szCs w:val="20"/>
              </w:rPr>
            </w:pPr>
            <w:r>
              <w:rPr>
                <w:rFonts w:cs="Arial"/>
                <w:szCs w:val="20"/>
              </w:rPr>
              <w:t>C/E Tests</w:t>
            </w:r>
          </w:p>
        </w:tc>
      </w:tr>
      <w:tr w:rsidR="008204CC" w14:paraId="5106D0F5" w14:textId="77777777" w:rsidTr="008F5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tcPr>
          <w:p w14:paraId="66FA8299" w14:textId="77777777" w:rsidR="008204CC" w:rsidRDefault="008204CC" w:rsidP="008F5E41">
            <w:pPr>
              <w:keepNext/>
              <w:spacing w:line="240" w:lineRule="exact"/>
              <w:rPr>
                <w:rFonts w:cs="Arial"/>
                <w:szCs w:val="20"/>
              </w:rPr>
            </w:pPr>
            <w:r>
              <w:rPr>
                <w:rFonts w:cs="Arial"/>
                <w:szCs w:val="20"/>
              </w:rPr>
              <w:t>Massachusetts</w:t>
            </w:r>
          </w:p>
        </w:tc>
        <w:tc>
          <w:tcPr>
            <w:tcW w:w="2247" w:type="dxa"/>
          </w:tcPr>
          <w:p w14:paraId="3371186D" w14:textId="77777777" w:rsidR="008204CC" w:rsidRDefault="008204CC" w:rsidP="008F5E41">
            <w:pPr>
              <w:keepNext/>
              <w:spacing w:line="240" w:lineRule="exact"/>
              <w:cnfStyle w:val="000000100000" w:firstRow="0" w:lastRow="0" w:firstColumn="0" w:lastColumn="0" w:oddVBand="0" w:evenVBand="0" w:oddHBand="1" w:evenHBand="0" w:firstRowFirstColumn="0" w:firstRowLastColumn="0" w:lastRowFirstColumn="0" w:lastRowLastColumn="0"/>
              <w:rPr>
                <w:rFonts w:cs="Arial"/>
                <w:szCs w:val="20"/>
              </w:rPr>
            </w:pPr>
          </w:p>
        </w:tc>
        <w:tc>
          <w:tcPr>
            <w:tcW w:w="2248" w:type="dxa"/>
          </w:tcPr>
          <w:p w14:paraId="14C2D635" w14:textId="77777777" w:rsidR="008204CC" w:rsidRDefault="008204CC" w:rsidP="008F5E41">
            <w:pPr>
              <w:keepNext/>
              <w:spacing w:line="240" w:lineRule="exac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C/E Tests</w:t>
            </w:r>
          </w:p>
        </w:tc>
        <w:tc>
          <w:tcPr>
            <w:tcW w:w="2248" w:type="dxa"/>
          </w:tcPr>
          <w:p w14:paraId="11A0631C" w14:textId="77777777" w:rsidR="008204CC" w:rsidRDefault="008204CC" w:rsidP="008F5E41">
            <w:pPr>
              <w:keepNext/>
              <w:spacing w:line="240" w:lineRule="exac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C/E Tests</w:t>
            </w:r>
          </w:p>
        </w:tc>
      </w:tr>
      <w:tr w:rsidR="008204CC" w14:paraId="6B435D47" w14:textId="77777777" w:rsidTr="008F5E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tcPr>
          <w:p w14:paraId="0D8B3228" w14:textId="77777777" w:rsidR="008204CC" w:rsidRDefault="008204CC" w:rsidP="008F5E41">
            <w:pPr>
              <w:keepNext/>
              <w:spacing w:line="240" w:lineRule="exact"/>
              <w:rPr>
                <w:rFonts w:cs="Arial"/>
                <w:szCs w:val="20"/>
              </w:rPr>
            </w:pPr>
            <w:r>
              <w:rPr>
                <w:rFonts w:cs="Arial"/>
                <w:szCs w:val="20"/>
              </w:rPr>
              <w:t>Rhode Island</w:t>
            </w:r>
          </w:p>
        </w:tc>
        <w:tc>
          <w:tcPr>
            <w:tcW w:w="2247" w:type="dxa"/>
          </w:tcPr>
          <w:p w14:paraId="300FD245" w14:textId="77777777" w:rsidR="008204CC" w:rsidRDefault="008204CC" w:rsidP="008F5E41">
            <w:pPr>
              <w:keepNext/>
              <w:spacing w:line="240" w:lineRule="exact"/>
              <w:cnfStyle w:val="000000010000" w:firstRow="0" w:lastRow="0" w:firstColumn="0" w:lastColumn="0" w:oddVBand="0" w:evenVBand="0" w:oddHBand="0" w:evenHBand="1" w:firstRowFirstColumn="0" w:firstRowLastColumn="0" w:lastRowFirstColumn="0" w:lastRowLastColumn="0"/>
              <w:rPr>
                <w:rFonts w:cs="Arial"/>
                <w:szCs w:val="20"/>
              </w:rPr>
            </w:pPr>
          </w:p>
        </w:tc>
        <w:tc>
          <w:tcPr>
            <w:tcW w:w="2248" w:type="dxa"/>
          </w:tcPr>
          <w:p w14:paraId="6A025B35" w14:textId="77777777" w:rsidR="008204CC" w:rsidRDefault="008204CC" w:rsidP="008F5E41">
            <w:pPr>
              <w:keepNext/>
              <w:spacing w:line="240" w:lineRule="exact"/>
              <w:cnfStyle w:val="000000010000" w:firstRow="0" w:lastRow="0" w:firstColumn="0" w:lastColumn="0" w:oddVBand="0" w:evenVBand="0" w:oddHBand="0" w:evenHBand="1" w:firstRowFirstColumn="0" w:firstRowLastColumn="0" w:lastRowFirstColumn="0" w:lastRowLastColumn="0"/>
              <w:rPr>
                <w:rFonts w:cs="Arial"/>
                <w:szCs w:val="20"/>
              </w:rPr>
            </w:pPr>
            <w:r>
              <w:rPr>
                <w:rFonts w:cs="Arial"/>
                <w:szCs w:val="20"/>
              </w:rPr>
              <w:t>C/E Tests</w:t>
            </w:r>
          </w:p>
        </w:tc>
        <w:tc>
          <w:tcPr>
            <w:tcW w:w="2248" w:type="dxa"/>
          </w:tcPr>
          <w:p w14:paraId="7771FEA8" w14:textId="77777777" w:rsidR="008204CC" w:rsidRDefault="008204CC" w:rsidP="008F5E41">
            <w:pPr>
              <w:keepNext/>
              <w:spacing w:line="240" w:lineRule="exact"/>
              <w:cnfStyle w:val="000000010000" w:firstRow="0" w:lastRow="0" w:firstColumn="0" w:lastColumn="0" w:oddVBand="0" w:evenVBand="0" w:oddHBand="0" w:evenHBand="1" w:firstRowFirstColumn="0" w:firstRowLastColumn="0" w:lastRowFirstColumn="0" w:lastRowLastColumn="0"/>
              <w:rPr>
                <w:rFonts w:cs="Arial"/>
                <w:szCs w:val="20"/>
              </w:rPr>
            </w:pPr>
            <w:r>
              <w:rPr>
                <w:rFonts w:cs="Arial"/>
                <w:szCs w:val="20"/>
              </w:rPr>
              <w:t>C/E Tests</w:t>
            </w:r>
          </w:p>
        </w:tc>
      </w:tr>
    </w:tbl>
    <w:p w14:paraId="53B54056" w14:textId="010E8A02" w:rsidR="008204CC" w:rsidRDefault="00541E16" w:rsidP="009759C1">
      <w:pPr>
        <w:spacing w:line="240" w:lineRule="exact"/>
        <w:rPr>
          <w:i/>
          <w:iCs/>
          <w:sz w:val="16"/>
          <w:szCs w:val="16"/>
        </w:rPr>
      </w:pPr>
      <w:r w:rsidRPr="00541E16">
        <w:rPr>
          <w:i/>
          <w:iCs/>
          <w:sz w:val="16"/>
          <w:szCs w:val="16"/>
        </w:rPr>
        <w:t>Source: Guidehouse analysis</w:t>
      </w:r>
    </w:p>
    <w:p w14:paraId="25D11AB6" w14:textId="61FA837F" w:rsidR="00541E16" w:rsidRDefault="00541E16" w:rsidP="009759C1">
      <w:pPr>
        <w:spacing w:line="240" w:lineRule="exact"/>
        <w:rPr>
          <w:i/>
          <w:iCs/>
          <w:sz w:val="16"/>
          <w:szCs w:val="16"/>
        </w:rPr>
      </w:pPr>
    </w:p>
    <w:p w14:paraId="62937A23" w14:textId="7EC3EC7D" w:rsidR="00541E16" w:rsidRPr="00541E16" w:rsidRDefault="00541E16" w:rsidP="009759C1">
      <w:pPr>
        <w:spacing w:line="240" w:lineRule="exact"/>
        <w:rPr>
          <w:rFonts w:cs="Arial"/>
          <w:i/>
          <w:iCs/>
          <w:sz w:val="16"/>
          <w:szCs w:val="16"/>
        </w:rPr>
      </w:pPr>
      <w:r>
        <w:rPr>
          <w:rFonts w:cs="Arial"/>
          <w:szCs w:val="20"/>
        </w:rPr>
        <w:t>Wisconsin uses region-specific research to quantify and monetize societal NEIs to use in their cost-effectiveness tests. In addition, two states use region-specific research to quantify and monetize societal NEIs to use in their planning processes —Idaho and Washington. Three states use state-specific or region-specific research to quantify and monetize utility and participant NEIs to use in their cost-effectiveness tests: Maryland, Massachusetts, Rhode Island.  The following describes the individual state methodologies and NEI values used in cost-effectiveness tests and utility program plans.</w:t>
      </w:r>
    </w:p>
    <w:p w14:paraId="07524889" w14:textId="06A5AFE2" w:rsidR="009759C1" w:rsidRPr="00247C2C" w:rsidRDefault="009759C1" w:rsidP="00247C2C">
      <w:pPr>
        <w:pStyle w:val="Heading2"/>
      </w:pPr>
      <w:r w:rsidRPr="00247C2C">
        <w:t>SOCIETAL NEIs</w:t>
      </w:r>
    </w:p>
    <w:p w14:paraId="2F7945E2" w14:textId="2EBE795D" w:rsidR="00C41865" w:rsidRDefault="009759C1" w:rsidP="00DF109E">
      <w:r w:rsidRPr="009759C1">
        <w:t xml:space="preserve">The EPA developed </w:t>
      </w:r>
      <w:r w:rsidR="00DF109E">
        <w:t>two tools that estimate the monetary benefits of reduced emissions from fossil-fuel based electricity generation</w:t>
      </w:r>
      <w:r w:rsidR="00C41865">
        <w:t xml:space="preserve">: </w:t>
      </w:r>
      <w:r w:rsidR="00247C2C">
        <w:t>AVoided Emissions and geneRation Tool</w:t>
      </w:r>
      <w:r w:rsidR="00541E16">
        <w:t xml:space="preserve"> (AVERT</w:t>
      </w:r>
      <w:r w:rsidR="00247C2C">
        <w:t xml:space="preserve">) </w:t>
      </w:r>
      <w:r w:rsidR="00C41865">
        <w:t xml:space="preserve">and </w:t>
      </w:r>
      <w:r w:rsidR="00160B44" w:rsidRPr="00C41865">
        <w:t>CO-Benefits Risk Assessment</w:t>
      </w:r>
      <w:r w:rsidR="00541E16">
        <w:t xml:space="preserve"> (COBRA</w:t>
      </w:r>
      <w:r w:rsidR="00160B44" w:rsidRPr="00C41865">
        <w:t>)</w:t>
      </w:r>
      <w:r w:rsidR="00DF109E">
        <w:t>. AVERT translates the energy impacts of energy efficiency programs into emission reductions (</w:t>
      </w:r>
      <w:r w:rsidR="00541E16">
        <w:t xml:space="preserve">i.e. reduced </w:t>
      </w:r>
      <w:r w:rsidR="00DF109E">
        <w:t xml:space="preserve">PM2.5, NOx, SO2, and CO2). AVERT </w:t>
      </w:r>
      <w:r w:rsidR="00C41865">
        <w:t xml:space="preserve">was first released in 2014 and </w:t>
      </w:r>
      <w:r w:rsidR="00DF109E">
        <w:t>has been thoroughly reviewed, well documented and tested. EPA has</w:t>
      </w:r>
      <w:r w:rsidR="00C41865">
        <w:t>:</w:t>
      </w:r>
    </w:p>
    <w:p w14:paraId="31C3CB03" w14:textId="77777777" w:rsidR="00C41865" w:rsidRDefault="00C41865" w:rsidP="00DF109E"/>
    <w:p w14:paraId="7C259908" w14:textId="77777777" w:rsidR="00C41865" w:rsidRDefault="00DF109E" w:rsidP="00364684">
      <w:pPr>
        <w:pStyle w:val="ListParagraph"/>
        <w:numPr>
          <w:ilvl w:val="0"/>
          <w:numId w:val="7"/>
        </w:numPr>
      </w:pPr>
      <w:r>
        <w:t>Conducted external and internal peer reviews.</w:t>
      </w:r>
    </w:p>
    <w:p w14:paraId="0B2C24D8" w14:textId="7EC81544" w:rsidR="00C41865" w:rsidRDefault="00DF109E" w:rsidP="00364684">
      <w:pPr>
        <w:pStyle w:val="ListParagraph"/>
        <w:numPr>
          <w:ilvl w:val="0"/>
          <w:numId w:val="7"/>
        </w:numPr>
      </w:pPr>
      <w:r>
        <w:t xml:space="preserve">Benchmarked AVERT against </w:t>
      </w:r>
      <w:r w:rsidR="00D762E3">
        <w:t xml:space="preserve">an </w:t>
      </w:r>
      <w:r>
        <w:t>industry standard electric power</w:t>
      </w:r>
      <w:r w:rsidR="00C41865">
        <w:t xml:space="preserve"> </w:t>
      </w:r>
      <w:r>
        <w:t>sector model – PROSYM.</w:t>
      </w:r>
    </w:p>
    <w:p w14:paraId="43D05D1B" w14:textId="0E350C01" w:rsidR="00DF109E" w:rsidRDefault="00DF109E" w:rsidP="00364684">
      <w:pPr>
        <w:pStyle w:val="ListParagraph"/>
        <w:numPr>
          <w:ilvl w:val="0"/>
          <w:numId w:val="7"/>
        </w:numPr>
      </w:pPr>
      <w:r>
        <w:t xml:space="preserve">Worked with states to beta-tested </w:t>
      </w:r>
      <w:r w:rsidR="00D762E3">
        <w:t xml:space="preserve">the </w:t>
      </w:r>
      <w:r>
        <w:t>tool for functionality,</w:t>
      </w:r>
      <w:r w:rsidR="00C41865">
        <w:t xml:space="preserve"> </w:t>
      </w:r>
      <w:r>
        <w:t>appropriate uses, and clarity of user manual.</w:t>
      </w:r>
      <w:r w:rsidR="00C41865">
        <w:rPr>
          <w:rStyle w:val="FootnoteReference"/>
        </w:rPr>
        <w:footnoteReference w:id="9"/>
      </w:r>
    </w:p>
    <w:p w14:paraId="09AE58E0" w14:textId="77777777" w:rsidR="00C41865" w:rsidRDefault="00C41865" w:rsidP="00C41865"/>
    <w:p w14:paraId="2B90B013" w14:textId="324DA960" w:rsidR="00C41865" w:rsidRDefault="00C41865" w:rsidP="00C41865">
      <w:r>
        <w:t xml:space="preserve">The COBRA </w:t>
      </w:r>
      <w:r w:rsidRPr="00C41865">
        <w:t>model</w:t>
      </w:r>
      <w:r>
        <w:t xml:space="preserve"> </w:t>
      </w:r>
      <w:r w:rsidR="000556B5">
        <w:t xml:space="preserve">was </w:t>
      </w:r>
      <w:r w:rsidR="007C4EDF">
        <w:t xml:space="preserve">updated in 2017 to </w:t>
      </w:r>
      <w:r>
        <w:t xml:space="preserve">use the emissions reductions results from AVERT to estimate changes in health outcomes. COBRA </w:t>
      </w:r>
      <w:r w:rsidRPr="00C41865">
        <w:t>quantif</w:t>
      </w:r>
      <w:r>
        <w:t>ies</w:t>
      </w:r>
      <w:r w:rsidRPr="00C41865">
        <w:t xml:space="preserve"> changes in air quality, calculat</w:t>
      </w:r>
      <w:r>
        <w:t>es</w:t>
      </w:r>
      <w:r w:rsidRPr="00C41865">
        <w:t xml:space="preserve"> </w:t>
      </w:r>
      <w:r w:rsidR="00541E16">
        <w:t xml:space="preserve">the </w:t>
      </w:r>
      <w:r w:rsidRPr="00C41865">
        <w:t>change</w:t>
      </w:r>
      <w:r>
        <w:t>s</w:t>
      </w:r>
      <w:r w:rsidRPr="00C41865">
        <w:t xml:space="preserve"> in health outcomes, and calculat</w:t>
      </w:r>
      <w:r>
        <w:t>es</w:t>
      </w:r>
      <w:r w:rsidRPr="00C41865">
        <w:t xml:space="preserve"> monetary values</w:t>
      </w:r>
      <w:r>
        <w:t xml:space="preserve"> associated with the changes in health outcomes</w:t>
      </w:r>
      <w:r w:rsidRPr="00C41865">
        <w:t>. COBRA is a peer reviewed screening tool that establishes the air quality, human health, and associated economic impacts of various state- and county-level emission reduction scenarios.</w:t>
      </w:r>
      <w:r w:rsidR="000556B5">
        <w:rPr>
          <w:rStyle w:val="FootnoteReference"/>
        </w:rPr>
        <w:footnoteReference w:id="10"/>
      </w:r>
      <w:r>
        <w:t xml:space="preserve"> </w:t>
      </w:r>
    </w:p>
    <w:p w14:paraId="4206FB6E" w14:textId="77777777" w:rsidR="00C41865" w:rsidRDefault="00C41865" w:rsidP="00DF109E"/>
    <w:p w14:paraId="1CA18E91" w14:textId="77777777" w:rsidR="009759C1" w:rsidRPr="009759C1" w:rsidRDefault="009759C1" w:rsidP="009759C1"/>
    <w:p w14:paraId="7CE7251E" w14:textId="17091A24" w:rsidR="009759C1" w:rsidRDefault="00D034F8" w:rsidP="009759C1">
      <w:r>
        <w:t>T</w:t>
      </w:r>
      <w:r w:rsidR="009759C1" w:rsidRPr="009759C1">
        <w:t>he following figure</w:t>
      </w:r>
      <w:r w:rsidR="000556B5">
        <w:t>s</w:t>
      </w:r>
      <w:r w:rsidR="009759C1" w:rsidRPr="009759C1">
        <w:t xml:space="preserve"> illustrate th</w:t>
      </w:r>
      <w:r w:rsidR="000556B5">
        <w:t>e</w:t>
      </w:r>
      <w:r w:rsidR="009759C1" w:rsidRPr="009759C1">
        <w:t xml:space="preserve"> modeling process</w:t>
      </w:r>
      <w:r w:rsidR="000556B5">
        <w:t>es for AVERT</w:t>
      </w:r>
      <w:r w:rsidR="00EA29B1">
        <w:rPr>
          <w:rStyle w:val="FootnoteReference"/>
        </w:rPr>
        <w:footnoteReference w:id="11"/>
      </w:r>
      <w:r w:rsidR="000556B5">
        <w:t xml:space="preserve"> and COBRA</w:t>
      </w:r>
      <w:r w:rsidR="00EA29B1">
        <w:rPr>
          <w:rStyle w:val="FootnoteReference"/>
        </w:rPr>
        <w:footnoteReference w:id="12"/>
      </w:r>
      <w:r w:rsidR="009759C1" w:rsidRPr="009759C1">
        <w:t xml:space="preserve">. </w:t>
      </w:r>
    </w:p>
    <w:p w14:paraId="4BE41F61" w14:textId="0994A8A1" w:rsidR="002B6B2A" w:rsidRDefault="002B6B2A" w:rsidP="009759C1"/>
    <w:p w14:paraId="0C6DC6DD" w14:textId="65BF7656" w:rsidR="002B6B2A" w:rsidRDefault="002B6B2A" w:rsidP="002B6B2A">
      <w:pPr>
        <w:pStyle w:val="Caption"/>
        <w:rPr>
          <w:rFonts w:cs="Arial"/>
        </w:rPr>
      </w:pPr>
      <w:r>
        <w:t>Figure 1.  AVERT Modules and Inputs</w:t>
      </w:r>
    </w:p>
    <w:p w14:paraId="2715DA8B" w14:textId="77777777" w:rsidR="002B6B2A" w:rsidRDefault="002B6B2A" w:rsidP="009759C1"/>
    <w:p w14:paraId="591C7AF8" w14:textId="34A67195" w:rsidR="000556B5" w:rsidRDefault="000556B5" w:rsidP="009759C1"/>
    <w:p w14:paraId="706033C6" w14:textId="198C3C3E" w:rsidR="000556B5" w:rsidRPr="009759C1" w:rsidRDefault="000556B5" w:rsidP="009759C1">
      <w:r>
        <w:rPr>
          <w:noProof/>
        </w:rPr>
        <w:drawing>
          <wp:inline distT="0" distB="0" distL="0" distR="0" wp14:anchorId="33EFCEB9" wp14:editId="3CC255BD">
            <wp:extent cx="5715000" cy="2755900"/>
            <wp:effectExtent l="0" t="0" r="0" b="6350"/>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ert-flowchart-1.png"/>
                    <pic:cNvPicPr/>
                  </pic:nvPicPr>
                  <pic:blipFill>
                    <a:blip r:embed="rId11"/>
                    <a:stretch>
                      <a:fillRect/>
                    </a:stretch>
                  </pic:blipFill>
                  <pic:spPr>
                    <a:xfrm>
                      <a:off x="0" y="0"/>
                      <a:ext cx="5715000" cy="2755900"/>
                    </a:xfrm>
                    <a:prstGeom prst="rect">
                      <a:avLst/>
                    </a:prstGeom>
                  </pic:spPr>
                </pic:pic>
              </a:graphicData>
            </a:graphic>
          </wp:inline>
        </w:drawing>
      </w:r>
    </w:p>
    <w:p w14:paraId="0EB251BE" w14:textId="770CD1D9" w:rsidR="002B6B2A" w:rsidRDefault="009759C1" w:rsidP="002B6B2A">
      <w:pPr>
        <w:pStyle w:val="Caption"/>
        <w:rPr>
          <w:rFonts w:cs="Arial"/>
        </w:rPr>
      </w:pPr>
      <w:r>
        <w:t xml:space="preserve"> </w:t>
      </w:r>
      <w:r w:rsidR="002B6B2A">
        <w:t>Figure 2.  COBRA Inputs and Outputs</w:t>
      </w:r>
    </w:p>
    <w:p w14:paraId="510512FC" w14:textId="266E7CC9" w:rsidR="009759C1" w:rsidRDefault="009759C1" w:rsidP="00A16701">
      <w:pPr>
        <w:jc w:val="center"/>
      </w:pPr>
      <w:r>
        <w:rPr>
          <w:noProof/>
        </w:rPr>
        <w:drawing>
          <wp:inline distT="0" distB="0" distL="0" distR="0" wp14:anchorId="6EDE6FDD" wp14:editId="667662A6">
            <wp:extent cx="5486400" cy="3534410"/>
            <wp:effectExtent l="0" t="0" r="0" b="8890"/>
            <wp:docPr id="1" name="Picture 1"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486400" cy="3534410"/>
                    </a:xfrm>
                    <a:prstGeom prst="rect">
                      <a:avLst/>
                    </a:prstGeom>
                  </pic:spPr>
                </pic:pic>
              </a:graphicData>
            </a:graphic>
          </wp:inline>
        </w:drawing>
      </w:r>
    </w:p>
    <w:p w14:paraId="77B5FDE3" w14:textId="473AF6E2" w:rsidR="009759C1" w:rsidRDefault="009759C1" w:rsidP="009759C1"/>
    <w:p w14:paraId="05B12001" w14:textId="7FABF77B" w:rsidR="009759C1" w:rsidRPr="00826E22" w:rsidRDefault="009759C1" w:rsidP="009759C1">
      <w:pPr>
        <w:rPr>
          <w:rFonts w:cs="Arial"/>
          <w:color w:val="auto"/>
          <w:szCs w:val="20"/>
        </w:rPr>
      </w:pPr>
      <w:r w:rsidRPr="00826E22">
        <w:rPr>
          <w:rFonts w:cs="Arial"/>
          <w:szCs w:val="20"/>
        </w:rPr>
        <w:lastRenderedPageBreak/>
        <w:t>COBRA estimates the number of health inciden</w:t>
      </w:r>
      <w:r w:rsidR="00552942">
        <w:rPr>
          <w:rFonts w:cs="Arial"/>
          <w:szCs w:val="20"/>
        </w:rPr>
        <w:t>t</w:t>
      </w:r>
      <w:r w:rsidRPr="00826E22">
        <w:rPr>
          <w:rFonts w:cs="Arial"/>
          <w:szCs w:val="20"/>
        </w:rPr>
        <w:t>s avoided and the related economic value for the following conditions:</w:t>
      </w:r>
    </w:p>
    <w:p w14:paraId="77257A6F" w14:textId="77777777" w:rsidR="009759C1" w:rsidRPr="00826E22" w:rsidRDefault="009759C1" w:rsidP="009759C1">
      <w:pPr>
        <w:rPr>
          <w:rFonts w:cs="Arial"/>
          <w:szCs w:val="20"/>
        </w:rPr>
      </w:pPr>
    </w:p>
    <w:p w14:paraId="73D6FDBD" w14:textId="77777777" w:rsidR="009759C1" w:rsidRPr="00826E22" w:rsidRDefault="009759C1" w:rsidP="00364684">
      <w:pPr>
        <w:pStyle w:val="ListParagraph"/>
        <w:numPr>
          <w:ilvl w:val="0"/>
          <w:numId w:val="3"/>
        </w:numPr>
        <w:spacing w:after="120" w:line="256" w:lineRule="auto"/>
        <w:contextualSpacing/>
        <w:rPr>
          <w:rFonts w:eastAsia="Times New Roman" w:cs="Arial"/>
          <w:szCs w:val="20"/>
        </w:rPr>
      </w:pPr>
      <w:r w:rsidRPr="00826E22">
        <w:rPr>
          <w:rFonts w:eastAsia="Times New Roman" w:cs="Arial"/>
          <w:szCs w:val="20"/>
        </w:rPr>
        <w:t>Infant and Adult Mortality</w:t>
      </w:r>
    </w:p>
    <w:p w14:paraId="19D140F6" w14:textId="77777777" w:rsidR="009759C1" w:rsidRPr="00826E22" w:rsidRDefault="009759C1" w:rsidP="00364684">
      <w:pPr>
        <w:pStyle w:val="ListParagraph"/>
        <w:numPr>
          <w:ilvl w:val="0"/>
          <w:numId w:val="3"/>
        </w:numPr>
        <w:spacing w:after="120" w:line="256" w:lineRule="auto"/>
        <w:contextualSpacing/>
        <w:rPr>
          <w:rFonts w:eastAsia="Times New Roman" w:cs="Arial"/>
          <w:szCs w:val="20"/>
        </w:rPr>
      </w:pPr>
      <w:r w:rsidRPr="00826E22">
        <w:rPr>
          <w:rFonts w:eastAsia="Times New Roman" w:cs="Arial"/>
          <w:szCs w:val="20"/>
        </w:rPr>
        <w:t xml:space="preserve">Non-fatal Heart Attacks </w:t>
      </w:r>
    </w:p>
    <w:p w14:paraId="0BB5D63E" w14:textId="62141324" w:rsidR="009759C1" w:rsidRPr="00826E22" w:rsidRDefault="009759C1" w:rsidP="00364684">
      <w:pPr>
        <w:pStyle w:val="ListParagraph"/>
        <w:numPr>
          <w:ilvl w:val="0"/>
          <w:numId w:val="3"/>
        </w:numPr>
        <w:spacing w:after="120" w:line="256" w:lineRule="auto"/>
        <w:contextualSpacing/>
        <w:rPr>
          <w:rFonts w:eastAsia="Times New Roman" w:cs="Arial"/>
          <w:szCs w:val="20"/>
        </w:rPr>
      </w:pPr>
      <w:r w:rsidRPr="00826E22">
        <w:rPr>
          <w:rFonts w:eastAsia="Times New Roman" w:cs="Arial"/>
          <w:szCs w:val="20"/>
        </w:rPr>
        <w:t>Hospital Admissions related to Respiratory</w:t>
      </w:r>
      <w:r w:rsidR="00EB01D2">
        <w:rPr>
          <w:rFonts w:eastAsia="Times New Roman" w:cs="Arial"/>
          <w:szCs w:val="20"/>
        </w:rPr>
        <w:t xml:space="preserve"> </w:t>
      </w:r>
      <w:r w:rsidRPr="00826E22">
        <w:rPr>
          <w:rFonts w:eastAsia="Times New Roman" w:cs="Arial"/>
          <w:szCs w:val="20"/>
        </w:rPr>
        <w:t>and Cardiovascular Conditions</w:t>
      </w:r>
    </w:p>
    <w:p w14:paraId="59E8B6D4" w14:textId="6F15C76F" w:rsidR="009759C1" w:rsidRPr="00826E22" w:rsidRDefault="009759C1" w:rsidP="00364684">
      <w:pPr>
        <w:pStyle w:val="ListParagraph"/>
        <w:numPr>
          <w:ilvl w:val="0"/>
          <w:numId w:val="3"/>
        </w:numPr>
        <w:spacing w:after="120" w:line="256" w:lineRule="auto"/>
        <w:contextualSpacing/>
        <w:rPr>
          <w:rFonts w:eastAsia="Times New Roman" w:cs="Arial"/>
          <w:szCs w:val="20"/>
        </w:rPr>
      </w:pPr>
      <w:r w:rsidRPr="00826E22">
        <w:rPr>
          <w:rFonts w:eastAsia="Times New Roman" w:cs="Arial"/>
          <w:szCs w:val="20"/>
        </w:rPr>
        <w:t>Acute Bronchitis</w:t>
      </w:r>
    </w:p>
    <w:p w14:paraId="4FBAC698" w14:textId="007DB9B7" w:rsidR="009759C1" w:rsidRPr="00826E22" w:rsidRDefault="009759C1" w:rsidP="00364684">
      <w:pPr>
        <w:pStyle w:val="ListParagraph"/>
        <w:numPr>
          <w:ilvl w:val="0"/>
          <w:numId w:val="3"/>
        </w:numPr>
        <w:spacing w:after="120" w:line="256" w:lineRule="auto"/>
        <w:contextualSpacing/>
        <w:rPr>
          <w:rFonts w:eastAsia="Times New Roman" w:cs="Arial"/>
          <w:szCs w:val="20"/>
        </w:rPr>
      </w:pPr>
      <w:r w:rsidRPr="00826E22">
        <w:rPr>
          <w:rFonts w:eastAsia="Times New Roman" w:cs="Arial"/>
          <w:szCs w:val="20"/>
        </w:rPr>
        <w:t xml:space="preserve">Upper and Lower Respiratory Symptoms, </w:t>
      </w:r>
    </w:p>
    <w:p w14:paraId="4B619E6B" w14:textId="77777777" w:rsidR="009759C1" w:rsidRPr="00826E22" w:rsidRDefault="009759C1" w:rsidP="00364684">
      <w:pPr>
        <w:pStyle w:val="ListParagraph"/>
        <w:numPr>
          <w:ilvl w:val="0"/>
          <w:numId w:val="3"/>
        </w:numPr>
        <w:spacing w:after="120" w:line="256" w:lineRule="auto"/>
        <w:contextualSpacing/>
        <w:rPr>
          <w:rFonts w:eastAsia="Times New Roman" w:cs="Arial"/>
          <w:szCs w:val="20"/>
        </w:rPr>
      </w:pPr>
      <w:r w:rsidRPr="00826E22">
        <w:rPr>
          <w:rFonts w:eastAsia="Times New Roman" w:cs="Arial"/>
          <w:szCs w:val="20"/>
        </w:rPr>
        <w:t>Asthma Exacerbations (attacks, shortness of breath, &amp; wheezing</w:t>
      </w:r>
    </w:p>
    <w:p w14:paraId="7B07499B" w14:textId="1D9980F3" w:rsidR="009759C1" w:rsidRPr="00826E22" w:rsidRDefault="009759C1" w:rsidP="00364684">
      <w:pPr>
        <w:pStyle w:val="ListParagraph"/>
        <w:numPr>
          <w:ilvl w:val="0"/>
          <w:numId w:val="3"/>
        </w:numPr>
        <w:spacing w:after="120" w:line="256" w:lineRule="auto"/>
        <w:contextualSpacing/>
        <w:rPr>
          <w:rFonts w:eastAsia="Times New Roman" w:cs="Arial"/>
          <w:szCs w:val="20"/>
        </w:rPr>
      </w:pPr>
      <w:r w:rsidRPr="00826E22">
        <w:rPr>
          <w:rFonts w:eastAsia="Times New Roman" w:cs="Arial"/>
          <w:szCs w:val="20"/>
        </w:rPr>
        <w:t>Asthma Emergency Room visits</w:t>
      </w:r>
      <w:r w:rsidR="004455B1" w:rsidRPr="00826E22">
        <w:rPr>
          <w:rFonts w:eastAsia="Times New Roman" w:cs="Arial"/>
          <w:szCs w:val="20"/>
        </w:rPr>
        <w:t xml:space="preserve"> </w:t>
      </w:r>
    </w:p>
    <w:p w14:paraId="619FBE3C" w14:textId="24F4B9B4" w:rsidR="009759C1" w:rsidRPr="00826E22" w:rsidRDefault="009759C1" w:rsidP="00364684">
      <w:pPr>
        <w:pStyle w:val="ListParagraph"/>
        <w:numPr>
          <w:ilvl w:val="0"/>
          <w:numId w:val="3"/>
        </w:numPr>
        <w:spacing w:after="120" w:line="256" w:lineRule="auto"/>
        <w:contextualSpacing/>
        <w:rPr>
          <w:rFonts w:eastAsia="Times New Roman" w:cs="Arial"/>
          <w:szCs w:val="20"/>
        </w:rPr>
      </w:pPr>
      <w:r w:rsidRPr="00826E22">
        <w:rPr>
          <w:rFonts w:eastAsia="Times New Roman" w:cs="Arial"/>
          <w:szCs w:val="20"/>
        </w:rPr>
        <w:t>Minor Restricted Activity Days</w:t>
      </w:r>
    </w:p>
    <w:p w14:paraId="4851F89C" w14:textId="376755A8" w:rsidR="009759C1" w:rsidRPr="00826E22" w:rsidRDefault="009759C1" w:rsidP="00364684">
      <w:pPr>
        <w:pStyle w:val="ListParagraph"/>
        <w:widowControl w:val="0"/>
        <w:numPr>
          <w:ilvl w:val="0"/>
          <w:numId w:val="3"/>
        </w:numPr>
        <w:autoSpaceDE w:val="0"/>
        <w:autoSpaceDN w:val="0"/>
        <w:adjustRightInd w:val="0"/>
        <w:spacing w:after="120" w:line="240" w:lineRule="exact"/>
        <w:contextualSpacing/>
        <w:rPr>
          <w:rFonts w:eastAsiaTheme="minorEastAsia" w:cs="Arial"/>
          <w:szCs w:val="20"/>
        </w:rPr>
      </w:pPr>
      <w:r w:rsidRPr="00826E22">
        <w:rPr>
          <w:rFonts w:eastAsia="Times New Roman" w:cs="Arial"/>
          <w:szCs w:val="20"/>
        </w:rPr>
        <w:t xml:space="preserve">Work Loss Days </w:t>
      </w:r>
    </w:p>
    <w:p w14:paraId="124DEEFE" w14:textId="1B96D569" w:rsidR="00826E22" w:rsidRPr="00826E22" w:rsidRDefault="00826E22" w:rsidP="00826E22">
      <w:pPr>
        <w:widowControl w:val="0"/>
        <w:autoSpaceDE w:val="0"/>
        <w:autoSpaceDN w:val="0"/>
        <w:adjustRightInd w:val="0"/>
        <w:spacing w:after="120" w:line="240" w:lineRule="exact"/>
        <w:contextualSpacing/>
        <w:rPr>
          <w:rFonts w:eastAsiaTheme="minorEastAsia" w:cs="Arial"/>
          <w:szCs w:val="20"/>
        </w:rPr>
      </w:pPr>
      <w:r w:rsidRPr="00826E22">
        <w:rPr>
          <w:rFonts w:eastAsiaTheme="minorEastAsia" w:cs="Arial"/>
          <w:szCs w:val="20"/>
        </w:rPr>
        <w:t xml:space="preserve">Note, these estimates are calculated separately as Societal </w:t>
      </w:r>
      <w:r w:rsidR="00EA29B1">
        <w:rPr>
          <w:rFonts w:eastAsiaTheme="minorEastAsia" w:cs="Arial"/>
          <w:szCs w:val="20"/>
        </w:rPr>
        <w:t>NEIs</w:t>
      </w:r>
      <w:r w:rsidRPr="00826E22">
        <w:rPr>
          <w:rFonts w:eastAsiaTheme="minorEastAsia" w:cs="Arial"/>
          <w:szCs w:val="20"/>
        </w:rPr>
        <w:t xml:space="preserve">, so they are benefits that </w:t>
      </w:r>
      <w:r w:rsidR="00855B4C" w:rsidRPr="00826E22">
        <w:rPr>
          <w:rFonts w:eastAsiaTheme="minorEastAsia" w:cs="Arial"/>
          <w:szCs w:val="20"/>
        </w:rPr>
        <w:t>accrue</w:t>
      </w:r>
      <w:r w:rsidRPr="00826E22">
        <w:rPr>
          <w:rFonts w:eastAsiaTheme="minorEastAsia" w:cs="Arial"/>
          <w:szCs w:val="20"/>
        </w:rPr>
        <w:t xml:space="preserve"> in addition to the Participant </w:t>
      </w:r>
      <w:r w:rsidR="000556B5">
        <w:rPr>
          <w:rFonts w:eastAsiaTheme="minorEastAsia" w:cs="Arial"/>
          <w:szCs w:val="20"/>
        </w:rPr>
        <w:t>NEIs</w:t>
      </w:r>
      <w:r w:rsidRPr="00826E22">
        <w:rPr>
          <w:rFonts w:eastAsiaTheme="minorEastAsia" w:cs="Arial"/>
          <w:szCs w:val="20"/>
        </w:rPr>
        <w:t xml:space="preserve"> </w:t>
      </w:r>
      <w:r w:rsidR="000556B5">
        <w:rPr>
          <w:rFonts w:eastAsiaTheme="minorEastAsia" w:cs="Arial"/>
          <w:szCs w:val="20"/>
        </w:rPr>
        <w:t>associated with</w:t>
      </w:r>
      <w:r w:rsidRPr="00826E22">
        <w:rPr>
          <w:rFonts w:eastAsiaTheme="minorEastAsia" w:cs="Arial"/>
          <w:szCs w:val="20"/>
        </w:rPr>
        <w:t xml:space="preserve"> ComEd’s </w:t>
      </w:r>
      <w:r w:rsidR="000556B5">
        <w:rPr>
          <w:rFonts w:eastAsiaTheme="minorEastAsia" w:cs="Arial"/>
          <w:szCs w:val="20"/>
        </w:rPr>
        <w:t xml:space="preserve">income eligible </w:t>
      </w:r>
      <w:r w:rsidRPr="00826E22">
        <w:rPr>
          <w:rFonts w:eastAsiaTheme="minorEastAsia" w:cs="Arial"/>
          <w:szCs w:val="20"/>
        </w:rPr>
        <w:t xml:space="preserve">programs. </w:t>
      </w:r>
    </w:p>
    <w:p w14:paraId="0BBB5955" w14:textId="77777777" w:rsidR="009759C1" w:rsidRPr="00771500" w:rsidRDefault="009759C1" w:rsidP="009759C1">
      <w:pPr>
        <w:widowControl w:val="0"/>
        <w:autoSpaceDE w:val="0"/>
        <w:autoSpaceDN w:val="0"/>
        <w:adjustRightInd w:val="0"/>
        <w:spacing w:line="240" w:lineRule="exact"/>
        <w:rPr>
          <w:rFonts w:cs="Arial"/>
          <w:szCs w:val="20"/>
        </w:rPr>
      </w:pPr>
    </w:p>
    <w:p w14:paraId="53474529" w14:textId="641BBCE4" w:rsidR="00D034F8" w:rsidRPr="00D034F8" w:rsidRDefault="00144AF2" w:rsidP="00D034F8">
      <w:r>
        <w:t xml:space="preserve">Since 2016, </w:t>
      </w:r>
      <w:r w:rsidR="00D034F8">
        <w:t xml:space="preserve">Wisconsin utilities have used </w:t>
      </w:r>
      <w:r w:rsidR="0089613C">
        <w:t xml:space="preserve">the societal NEI results from </w:t>
      </w:r>
      <w:r w:rsidR="00D034F8">
        <w:t xml:space="preserve">AVERT in their cost-effectiveness tests </w:t>
      </w:r>
      <w:r w:rsidR="0089613C">
        <w:t xml:space="preserve">by including the monetized emissions reductions in the </w:t>
      </w:r>
      <w:r w:rsidR="00094E74">
        <w:t>TRC</w:t>
      </w:r>
      <w:r w:rsidR="0089613C">
        <w:t xml:space="preserve"> tests</w:t>
      </w:r>
      <w:r w:rsidR="0089613C">
        <w:rPr>
          <w:rStyle w:val="FootnoteReference"/>
        </w:rPr>
        <w:footnoteReference w:id="13"/>
      </w:r>
      <w:r>
        <w:t xml:space="preserve"> as shown in Table 2.</w:t>
      </w:r>
      <w:r w:rsidR="0089613C">
        <w:t xml:space="preserve"> </w:t>
      </w:r>
    </w:p>
    <w:p w14:paraId="70351FB1" w14:textId="77777777" w:rsidR="00D034F8" w:rsidRPr="00291133" w:rsidRDefault="00D034F8" w:rsidP="00D034F8">
      <w:pPr>
        <w:widowControl w:val="0"/>
        <w:autoSpaceDE w:val="0"/>
        <w:autoSpaceDN w:val="0"/>
        <w:adjustRightInd w:val="0"/>
        <w:spacing w:line="240" w:lineRule="exact"/>
        <w:rPr>
          <w:rFonts w:cs="Arial"/>
          <w:color w:val="53575A" w:themeColor="text1"/>
          <w:szCs w:val="20"/>
        </w:rPr>
      </w:pPr>
    </w:p>
    <w:p w14:paraId="410DB56C" w14:textId="77777777" w:rsidR="00D034F8" w:rsidRPr="00073294" w:rsidRDefault="00D034F8" w:rsidP="00D034F8">
      <w:pPr>
        <w:widowControl w:val="0"/>
        <w:autoSpaceDE w:val="0"/>
        <w:autoSpaceDN w:val="0"/>
        <w:adjustRightInd w:val="0"/>
        <w:spacing w:line="240" w:lineRule="exact"/>
        <w:rPr>
          <w:rFonts w:cs="Arial"/>
          <w:szCs w:val="20"/>
        </w:rPr>
      </w:pPr>
    </w:p>
    <w:p w14:paraId="45F5CE45" w14:textId="28C79D81" w:rsidR="00D034F8" w:rsidRDefault="00D034F8" w:rsidP="00D034F8">
      <w:pPr>
        <w:keepNext/>
        <w:spacing w:after="120"/>
        <w:jc w:val="center"/>
        <w:rPr>
          <w:rFonts w:eastAsia="Arial"/>
          <w:b/>
          <w:bCs/>
          <w:color w:val="93D500"/>
          <w:szCs w:val="20"/>
        </w:rPr>
      </w:pPr>
      <w:r w:rsidRPr="00073294">
        <w:rPr>
          <w:rFonts w:eastAsia="Arial"/>
          <w:b/>
          <w:bCs/>
          <w:color w:val="93D500"/>
          <w:szCs w:val="20"/>
        </w:rPr>
        <w:t xml:space="preserve">Table </w:t>
      </w:r>
      <w:r w:rsidR="008F5E41">
        <w:rPr>
          <w:rFonts w:eastAsia="Arial"/>
          <w:b/>
          <w:bCs/>
          <w:color w:val="93D500"/>
          <w:szCs w:val="20"/>
        </w:rPr>
        <w:t>2</w:t>
      </w:r>
      <w:r w:rsidRPr="00073294">
        <w:rPr>
          <w:rFonts w:eastAsia="Arial"/>
          <w:b/>
          <w:bCs/>
          <w:color w:val="93D500"/>
          <w:szCs w:val="20"/>
        </w:rPr>
        <w:t xml:space="preserve">. </w:t>
      </w:r>
      <w:r>
        <w:rPr>
          <w:rFonts w:eastAsia="Arial"/>
          <w:b/>
          <w:bCs/>
          <w:color w:val="93D500"/>
          <w:szCs w:val="20"/>
        </w:rPr>
        <w:t xml:space="preserve"> </w:t>
      </w:r>
      <w:r w:rsidR="008F5E41">
        <w:rPr>
          <w:rFonts w:eastAsia="Arial"/>
          <w:b/>
          <w:bCs/>
          <w:color w:val="93D500"/>
          <w:szCs w:val="20"/>
        </w:rPr>
        <w:t xml:space="preserve">Monetized Societal NEIs </w:t>
      </w:r>
      <w:r w:rsidR="00E4540D">
        <w:rPr>
          <w:rFonts w:eastAsia="Arial"/>
          <w:b/>
          <w:bCs/>
          <w:color w:val="93D500"/>
          <w:szCs w:val="20"/>
        </w:rPr>
        <w:t xml:space="preserve">from AVERT </w:t>
      </w:r>
      <w:r w:rsidR="008F5E41">
        <w:rPr>
          <w:rFonts w:eastAsia="Arial"/>
          <w:b/>
          <w:bCs/>
          <w:color w:val="93D500"/>
          <w:szCs w:val="20"/>
        </w:rPr>
        <w:t>used in Wisconsin Utilities’ Cost-effectiveness Tests</w:t>
      </w:r>
      <w:r>
        <w:rPr>
          <w:rFonts w:eastAsia="Arial"/>
          <w:b/>
          <w:bCs/>
          <w:color w:val="93D500"/>
          <w:szCs w:val="20"/>
        </w:rPr>
        <w:t xml:space="preserve"> </w:t>
      </w:r>
    </w:p>
    <w:tbl>
      <w:tblPr>
        <w:tblStyle w:val="EnergyTable"/>
        <w:tblW w:w="0" w:type="auto"/>
        <w:tblLook w:val="04A0" w:firstRow="1" w:lastRow="0" w:firstColumn="1" w:lastColumn="0" w:noHBand="0" w:noVBand="1"/>
      </w:tblPr>
      <w:tblGrid>
        <w:gridCol w:w="2247"/>
        <w:gridCol w:w="2247"/>
        <w:gridCol w:w="2248"/>
        <w:gridCol w:w="2248"/>
      </w:tblGrid>
      <w:tr w:rsidR="008F5E41" w:rsidRPr="00D5342F" w14:paraId="4881C5C8" w14:textId="77777777" w:rsidTr="008F5E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tcPr>
          <w:p w14:paraId="6C7A236C" w14:textId="4D181816" w:rsidR="008F5E41" w:rsidRPr="00D5342F" w:rsidRDefault="008F5E41" w:rsidP="008F5E41">
            <w:pPr>
              <w:keepNext/>
              <w:spacing w:line="240" w:lineRule="exact"/>
              <w:rPr>
                <w:rFonts w:cs="Arial"/>
                <w:color w:val="FFFFFF" w:themeColor="background2"/>
                <w:szCs w:val="20"/>
              </w:rPr>
            </w:pPr>
            <w:r w:rsidRPr="008F5E41">
              <w:rPr>
                <w:rFonts w:cs="Arial"/>
                <w:color w:val="FFFFFF" w:themeColor="background2"/>
                <w:szCs w:val="20"/>
              </w:rPr>
              <w:t>Program Year</w:t>
            </w:r>
          </w:p>
        </w:tc>
        <w:tc>
          <w:tcPr>
            <w:tcW w:w="2247" w:type="dxa"/>
          </w:tcPr>
          <w:p w14:paraId="24ADD116" w14:textId="4058D0BF" w:rsidR="008F5E41" w:rsidRPr="00D5342F" w:rsidRDefault="008F5E41" w:rsidP="008F5E41">
            <w:pPr>
              <w:keepNext/>
              <w:spacing w:line="240" w:lineRule="exact"/>
              <w:cnfStyle w:val="100000000000" w:firstRow="1" w:lastRow="0" w:firstColumn="0" w:lastColumn="0" w:oddVBand="0" w:evenVBand="0" w:oddHBand="0" w:evenHBand="0" w:firstRowFirstColumn="0" w:firstRowLastColumn="0" w:lastRowFirstColumn="0" w:lastRowLastColumn="0"/>
              <w:rPr>
                <w:rFonts w:cs="Arial"/>
                <w:color w:val="FFFFFF" w:themeColor="background2"/>
                <w:szCs w:val="20"/>
              </w:rPr>
            </w:pPr>
            <w:r w:rsidRPr="008F5E41">
              <w:rPr>
                <w:rFonts w:cs="Arial"/>
                <w:color w:val="FFFFFF" w:themeColor="background2"/>
                <w:szCs w:val="20"/>
              </w:rPr>
              <w:t>Residential</w:t>
            </w:r>
            <w:r>
              <w:rPr>
                <w:rFonts w:cs="Arial"/>
                <w:color w:val="FFFFFF" w:themeColor="background2"/>
                <w:szCs w:val="20"/>
              </w:rPr>
              <w:t xml:space="preserve"> Programs’ </w:t>
            </w:r>
            <w:r w:rsidR="00E4540D">
              <w:rPr>
                <w:rFonts w:cs="Arial"/>
                <w:color w:val="FFFFFF" w:themeColor="background2"/>
                <w:szCs w:val="20"/>
              </w:rPr>
              <w:t xml:space="preserve">Societal </w:t>
            </w:r>
            <w:r>
              <w:rPr>
                <w:rFonts w:cs="Arial"/>
                <w:color w:val="FFFFFF" w:themeColor="background2"/>
                <w:szCs w:val="20"/>
              </w:rPr>
              <w:t>NEIs</w:t>
            </w:r>
          </w:p>
        </w:tc>
        <w:tc>
          <w:tcPr>
            <w:tcW w:w="2248" w:type="dxa"/>
          </w:tcPr>
          <w:p w14:paraId="3B3AED5E" w14:textId="650CE77C" w:rsidR="008F5E41" w:rsidRPr="00D5342F" w:rsidRDefault="008F5E41" w:rsidP="008F5E41">
            <w:pPr>
              <w:keepNext/>
              <w:spacing w:line="240" w:lineRule="exact"/>
              <w:cnfStyle w:val="100000000000" w:firstRow="1" w:lastRow="0" w:firstColumn="0" w:lastColumn="0" w:oddVBand="0" w:evenVBand="0" w:oddHBand="0" w:evenHBand="0" w:firstRowFirstColumn="0" w:firstRowLastColumn="0" w:lastRowFirstColumn="0" w:lastRowLastColumn="0"/>
              <w:rPr>
                <w:rFonts w:cs="Arial"/>
                <w:color w:val="FFFFFF" w:themeColor="background2"/>
                <w:szCs w:val="20"/>
              </w:rPr>
            </w:pPr>
            <w:r w:rsidRPr="008F5E41">
              <w:rPr>
                <w:rFonts w:cs="Arial"/>
                <w:color w:val="FFFFFF" w:themeColor="background2"/>
                <w:szCs w:val="20"/>
              </w:rPr>
              <w:t>Non</w:t>
            </w:r>
            <w:r w:rsidR="00E4540D">
              <w:rPr>
                <w:rFonts w:cs="Arial"/>
                <w:color w:val="FFFFFF" w:themeColor="background2"/>
                <w:szCs w:val="20"/>
              </w:rPr>
              <w:t>-</w:t>
            </w:r>
            <w:r w:rsidRPr="008F5E41">
              <w:rPr>
                <w:rFonts w:cs="Arial"/>
                <w:color w:val="FFFFFF" w:themeColor="background2"/>
                <w:szCs w:val="20"/>
              </w:rPr>
              <w:t>Residential</w:t>
            </w:r>
            <w:r>
              <w:rPr>
                <w:rFonts w:cs="Arial"/>
                <w:color w:val="FFFFFF" w:themeColor="background2"/>
                <w:szCs w:val="20"/>
              </w:rPr>
              <w:t xml:space="preserve"> Programs</w:t>
            </w:r>
            <w:r w:rsidR="00E4540D">
              <w:rPr>
                <w:rFonts w:cs="Arial"/>
                <w:color w:val="FFFFFF" w:themeColor="background2"/>
                <w:szCs w:val="20"/>
              </w:rPr>
              <w:t>’ Societal NEIs</w:t>
            </w:r>
          </w:p>
        </w:tc>
        <w:tc>
          <w:tcPr>
            <w:tcW w:w="2248" w:type="dxa"/>
          </w:tcPr>
          <w:p w14:paraId="5EB107B6" w14:textId="3A6B97B9" w:rsidR="008F5E41" w:rsidRPr="00D5342F" w:rsidRDefault="00E4540D" w:rsidP="008F5E41">
            <w:pPr>
              <w:keepNext/>
              <w:spacing w:line="240" w:lineRule="exact"/>
              <w:cnfStyle w:val="100000000000" w:firstRow="1" w:lastRow="0" w:firstColumn="0" w:lastColumn="0" w:oddVBand="0" w:evenVBand="0" w:oddHBand="0" w:evenHBand="0" w:firstRowFirstColumn="0" w:firstRowLastColumn="0" w:lastRowFirstColumn="0" w:lastRowLastColumn="0"/>
              <w:rPr>
                <w:rFonts w:cs="Arial"/>
                <w:color w:val="FFFFFF" w:themeColor="background2"/>
                <w:szCs w:val="20"/>
              </w:rPr>
            </w:pPr>
            <w:r>
              <w:rPr>
                <w:rFonts w:cs="Arial"/>
                <w:color w:val="FFFFFF" w:themeColor="background2"/>
                <w:szCs w:val="20"/>
              </w:rPr>
              <w:t>Total</w:t>
            </w:r>
            <w:r w:rsidR="008F5E41">
              <w:rPr>
                <w:rFonts w:cs="Arial"/>
                <w:color w:val="FFFFFF" w:themeColor="background2"/>
                <w:szCs w:val="20"/>
              </w:rPr>
              <w:t>:</w:t>
            </w:r>
          </w:p>
        </w:tc>
      </w:tr>
      <w:tr w:rsidR="00E4540D" w14:paraId="5D7AB653" w14:textId="77777777" w:rsidTr="005D45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vAlign w:val="top"/>
          </w:tcPr>
          <w:p w14:paraId="358D5C61" w14:textId="172A619B" w:rsidR="00E4540D" w:rsidRDefault="00E4540D" w:rsidP="00E4540D">
            <w:pPr>
              <w:keepNext/>
              <w:spacing w:line="240" w:lineRule="exact"/>
              <w:rPr>
                <w:rFonts w:cs="Arial"/>
                <w:szCs w:val="20"/>
              </w:rPr>
            </w:pPr>
            <w:r w:rsidRPr="00D74B05">
              <w:t xml:space="preserve">  CY2015 Emissions Benefits</w:t>
            </w:r>
          </w:p>
        </w:tc>
        <w:tc>
          <w:tcPr>
            <w:tcW w:w="2247" w:type="dxa"/>
            <w:vAlign w:val="top"/>
          </w:tcPr>
          <w:p w14:paraId="0B1DBD19" w14:textId="27C78899" w:rsidR="00E4540D" w:rsidRDefault="00E4540D" w:rsidP="00E4540D">
            <w:pPr>
              <w:keepNext/>
              <w:spacing w:line="240" w:lineRule="exact"/>
              <w:cnfStyle w:val="000000100000" w:firstRow="0" w:lastRow="0" w:firstColumn="0" w:lastColumn="0" w:oddVBand="0" w:evenVBand="0" w:oddHBand="1" w:evenHBand="0" w:firstRowFirstColumn="0" w:firstRowLastColumn="0" w:lastRowFirstColumn="0" w:lastRowLastColumn="0"/>
              <w:rPr>
                <w:rFonts w:cs="Arial"/>
                <w:szCs w:val="20"/>
              </w:rPr>
            </w:pPr>
            <w:r w:rsidRPr="004D5C68">
              <w:t>$25,235,521</w:t>
            </w:r>
          </w:p>
        </w:tc>
        <w:tc>
          <w:tcPr>
            <w:tcW w:w="2248" w:type="dxa"/>
            <w:vAlign w:val="top"/>
          </w:tcPr>
          <w:p w14:paraId="0EEC22FB" w14:textId="61F2DEC2" w:rsidR="00E4540D" w:rsidRDefault="00E4540D" w:rsidP="00E4540D">
            <w:pPr>
              <w:keepNext/>
              <w:spacing w:line="240" w:lineRule="exact"/>
              <w:cnfStyle w:val="000000100000" w:firstRow="0" w:lastRow="0" w:firstColumn="0" w:lastColumn="0" w:oddVBand="0" w:evenVBand="0" w:oddHBand="1" w:evenHBand="0" w:firstRowFirstColumn="0" w:firstRowLastColumn="0" w:lastRowFirstColumn="0" w:lastRowLastColumn="0"/>
              <w:rPr>
                <w:rFonts w:cs="Arial"/>
                <w:szCs w:val="20"/>
              </w:rPr>
            </w:pPr>
            <w:r w:rsidRPr="00CF0FEF">
              <w:t>$85,344,610</w:t>
            </w:r>
          </w:p>
        </w:tc>
        <w:tc>
          <w:tcPr>
            <w:tcW w:w="2248" w:type="dxa"/>
            <w:vAlign w:val="top"/>
          </w:tcPr>
          <w:p w14:paraId="1406A1D2" w14:textId="6B88AC35" w:rsidR="00E4540D" w:rsidRDefault="00E4540D" w:rsidP="00E4540D">
            <w:pPr>
              <w:keepNext/>
              <w:spacing w:line="240" w:lineRule="exact"/>
              <w:cnfStyle w:val="000000100000" w:firstRow="0" w:lastRow="0" w:firstColumn="0" w:lastColumn="0" w:oddVBand="0" w:evenVBand="0" w:oddHBand="1" w:evenHBand="0" w:firstRowFirstColumn="0" w:firstRowLastColumn="0" w:lastRowFirstColumn="0" w:lastRowLastColumn="0"/>
              <w:rPr>
                <w:rFonts w:cs="Arial"/>
                <w:szCs w:val="20"/>
              </w:rPr>
            </w:pPr>
            <w:r w:rsidRPr="00E47252">
              <w:t>$110,581,131</w:t>
            </w:r>
          </w:p>
        </w:tc>
      </w:tr>
      <w:tr w:rsidR="00E4540D" w14:paraId="25625065" w14:textId="77777777" w:rsidTr="005D45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vAlign w:val="top"/>
          </w:tcPr>
          <w:p w14:paraId="47B18178" w14:textId="4FEF2491" w:rsidR="00E4540D" w:rsidRDefault="00E4540D" w:rsidP="00E4540D">
            <w:pPr>
              <w:keepNext/>
              <w:spacing w:line="240" w:lineRule="exact"/>
              <w:rPr>
                <w:rFonts w:cs="Arial"/>
                <w:szCs w:val="20"/>
              </w:rPr>
            </w:pPr>
            <w:r w:rsidRPr="00D74B05">
              <w:t>CY2016 Emissions Benefits</w:t>
            </w:r>
          </w:p>
        </w:tc>
        <w:tc>
          <w:tcPr>
            <w:tcW w:w="2247" w:type="dxa"/>
            <w:vAlign w:val="top"/>
          </w:tcPr>
          <w:p w14:paraId="7FC0A0F9" w14:textId="2CD0265B" w:rsidR="00E4540D" w:rsidRDefault="00E4540D" w:rsidP="00E4540D">
            <w:pPr>
              <w:keepNext/>
              <w:spacing w:line="240" w:lineRule="exact"/>
              <w:cnfStyle w:val="000000010000" w:firstRow="0" w:lastRow="0" w:firstColumn="0" w:lastColumn="0" w:oddVBand="0" w:evenVBand="0" w:oddHBand="0" w:evenHBand="1" w:firstRowFirstColumn="0" w:firstRowLastColumn="0" w:lastRowFirstColumn="0" w:lastRowLastColumn="0"/>
              <w:rPr>
                <w:rFonts w:cs="Arial"/>
                <w:szCs w:val="20"/>
              </w:rPr>
            </w:pPr>
            <w:r w:rsidRPr="004D5C68">
              <w:t>$33, 448, 073</w:t>
            </w:r>
          </w:p>
        </w:tc>
        <w:tc>
          <w:tcPr>
            <w:tcW w:w="2248" w:type="dxa"/>
            <w:vAlign w:val="top"/>
          </w:tcPr>
          <w:p w14:paraId="1BEC5C22" w14:textId="3D5894F0" w:rsidR="00E4540D" w:rsidRDefault="00E4540D" w:rsidP="00E4540D">
            <w:pPr>
              <w:keepNext/>
              <w:spacing w:line="240" w:lineRule="exact"/>
              <w:cnfStyle w:val="000000010000" w:firstRow="0" w:lastRow="0" w:firstColumn="0" w:lastColumn="0" w:oddVBand="0" w:evenVBand="0" w:oddHBand="0" w:evenHBand="1" w:firstRowFirstColumn="0" w:firstRowLastColumn="0" w:lastRowFirstColumn="0" w:lastRowLastColumn="0"/>
              <w:rPr>
                <w:rFonts w:cs="Arial"/>
                <w:szCs w:val="20"/>
              </w:rPr>
            </w:pPr>
            <w:r w:rsidRPr="00CF0FEF">
              <w:t>$70,655, 200</w:t>
            </w:r>
          </w:p>
        </w:tc>
        <w:tc>
          <w:tcPr>
            <w:tcW w:w="2248" w:type="dxa"/>
            <w:vAlign w:val="top"/>
          </w:tcPr>
          <w:p w14:paraId="55973893" w14:textId="75435C5F" w:rsidR="00E4540D" w:rsidRDefault="00E4540D" w:rsidP="00E4540D">
            <w:pPr>
              <w:keepNext/>
              <w:spacing w:line="240" w:lineRule="exact"/>
              <w:cnfStyle w:val="000000010000" w:firstRow="0" w:lastRow="0" w:firstColumn="0" w:lastColumn="0" w:oddVBand="0" w:evenVBand="0" w:oddHBand="0" w:evenHBand="1" w:firstRowFirstColumn="0" w:firstRowLastColumn="0" w:lastRowFirstColumn="0" w:lastRowLastColumn="0"/>
              <w:rPr>
                <w:rFonts w:cs="Arial"/>
                <w:szCs w:val="20"/>
              </w:rPr>
            </w:pPr>
            <w:r w:rsidRPr="00E47252">
              <w:t>$104,103,273</w:t>
            </w:r>
          </w:p>
        </w:tc>
      </w:tr>
      <w:tr w:rsidR="00E4540D" w14:paraId="24E73D7F" w14:textId="77777777" w:rsidTr="005D45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vAlign w:val="top"/>
          </w:tcPr>
          <w:p w14:paraId="47B3093C" w14:textId="245A9D6D" w:rsidR="00E4540D" w:rsidRDefault="00E4540D" w:rsidP="00E4540D">
            <w:pPr>
              <w:keepNext/>
              <w:spacing w:line="240" w:lineRule="exact"/>
              <w:rPr>
                <w:rFonts w:cs="Arial"/>
                <w:szCs w:val="20"/>
              </w:rPr>
            </w:pPr>
            <w:r w:rsidRPr="00D74B05">
              <w:t>CY2017 Emissions Benefits</w:t>
            </w:r>
          </w:p>
        </w:tc>
        <w:tc>
          <w:tcPr>
            <w:tcW w:w="2247" w:type="dxa"/>
            <w:vAlign w:val="top"/>
          </w:tcPr>
          <w:p w14:paraId="3A7614C5" w14:textId="30116E77" w:rsidR="00E4540D" w:rsidRDefault="00E4540D" w:rsidP="00E4540D">
            <w:pPr>
              <w:keepNext/>
              <w:spacing w:line="240" w:lineRule="exact"/>
              <w:cnfStyle w:val="000000100000" w:firstRow="0" w:lastRow="0" w:firstColumn="0" w:lastColumn="0" w:oddVBand="0" w:evenVBand="0" w:oddHBand="1" w:evenHBand="0" w:firstRowFirstColumn="0" w:firstRowLastColumn="0" w:lastRowFirstColumn="0" w:lastRowLastColumn="0"/>
              <w:rPr>
                <w:rFonts w:cs="Arial"/>
                <w:szCs w:val="20"/>
              </w:rPr>
            </w:pPr>
            <w:r w:rsidRPr="004D5C68">
              <w:t>$27,784,615</w:t>
            </w:r>
          </w:p>
        </w:tc>
        <w:tc>
          <w:tcPr>
            <w:tcW w:w="2248" w:type="dxa"/>
            <w:vAlign w:val="top"/>
          </w:tcPr>
          <w:p w14:paraId="5F079877" w14:textId="0A569A93" w:rsidR="00E4540D" w:rsidRDefault="00E4540D" w:rsidP="00E4540D">
            <w:pPr>
              <w:keepNext/>
              <w:spacing w:line="240" w:lineRule="exact"/>
              <w:cnfStyle w:val="000000100000" w:firstRow="0" w:lastRow="0" w:firstColumn="0" w:lastColumn="0" w:oddVBand="0" w:evenVBand="0" w:oddHBand="1" w:evenHBand="0" w:firstRowFirstColumn="0" w:firstRowLastColumn="0" w:lastRowFirstColumn="0" w:lastRowLastColumn="0"/>
              <w:rPr>
                <w:rFonts w:cs="Arial"/>
                <w:szCs w:val="20"/>
              </w:rPr>
            </w:pPr>
            <w:r w:rsidRPr="00CF0FEF">
              <w:t>$72,107,782</w:t>
            </w:r>
          </w:p>
        </w:tc>
        <w:tc>
          <w:tcPr>
            <w:tcW w:w="2248" w:type="dxa"/>
            <w:vAlign w:val="top"/>
          </w:tcPr>
          <w:p w14:paraId="4170F156" w14:textId="343B90BD" w:rsidR="00E4540D" w:rsidRDefault="00E4540D" w:rsidP="00E4540D">
            <w:pPr>
              <w:keepNext/>
              <w:spacing w:line="240" w:lineRule="exact"/>
              <w:cnfStyle w:val="000000100000" w:firstRow="0" w:lastRow="0" w:firstColumn="0" w:lastColumn="0" w:oddVBand="0" w:evenVBand="0" w:oddHBand="1" w:evenHBand="0" w:firstRowFirstColumn="0" w:firstRowLastColumn="0" w:lastRowFirstColumn="0" w:lastRowLastColumn="0"/>
              <w:rPr>
                <w:rFonts w:cs="Arial"/>
                <w:szCs w:val="20"/>
              </w:rPr>
            </w:pPr>
            <w:r w:rsidRPr="00E47252">
              <w:t>$99,892,397</w:t>
            </w:r>
          </w:p>
        </w:tc>
      </w:tr>
    </w:tbl>
    <w:p w14:paraId="5E2A831F" w14:textId="5D3318B2" w:rsidR="008F5E41" w:rsidRDefault="008F5E41" w:rsidP="008F5E41">
      <w:pPr>
        <w:spacing w:line="240" w:lineRule="exact"/>
        <w:rPr>
          <w:i/>
          <w:iCs/>
          <w:sz w:val="16"/>
          <w:szCs w:val="16"/>
        </w:rPr>
      </w:pPr>
      <w:r w:rsidRPr="00541E16">
        <w:rPr>
          <w:i/>
          <w:iCs/>
          <w:sz w:val="16"/>
          <w:szCs w:val="16"/>
        </w:rPr>
        <w:t xml:space="preserve">Source: </w:t>
      </w:r>
      <w:r w:rsidR="00E4540D" w:rsidRPr="00E4540D">
        <w:rPr>
          <w:i/>
          <w:iCs/>
          <w:sz w:val="16"/>
          <w:szCs w:val="16"/>
        </w:rPr>
        <w:t>Focus on Energy CY2016 Program Evaluation Appendix from portfolio-level modeling within AVERT; and Focus on Energy CY2017 Program Evaluation</w:t>
      </w:r>
    </w:p>
    <w:p w14:paraId="44BF0542" w14:textId="6F397BC8" w:rsidR="008F5E41" w:rsidRDefault="008F5E41" w:rsidP="00D034F8">
      <w:pPr>
        <w:keepNext/>
        <w:spacing w:after="120"/>
        <w:jc w:val="center"/>
        <w:rPr>
          <w:rFonts w:eastAsia="Arial" w:cs="Arial"/>
          <w:b/>
          <w:bCs/>
          <w:color w:val="93D500"/>
          <w:szCs w:val="20"/>
        </w:rPr>
      </w:pPr>
    </w:p>
    <w:p w14:paraId="530D9831" w14:textId="0C47482C" w:rsidR="00E4540D" w:rsidRPr="00E4540D" w:rsidRDefault="00D034F8" w:rsidP="00E4540D">
      <w:r>
        <w:t>I</w:t>
      </w:r>
      <w:r w:rsidR="00E4540D">
        <w:t xml:space="preserve">n addition, </w:t>
      </w:r>
      <w:r w:rsidR="00794E45">
        <w:t>Avista Utilities</w:t>
      </w:r>
      <w:r w:rsidR="00E4540D">
        <w:t xml:space="preserve"> in I</w:t>
      </w:r>
      <w:r>
        <w:t>daho and Washington use</w:t>
      </w:r>
      <w:r w:rsidR="00794E45">
        <w:t>d</w:t>
      </w:r>
      <w:r>
        <w:t xml:space="preserve"> </w:t>
      </w:r>
      <w:r w:rsidR="00996067">
        <w:t xml:space="preserve">COBRA in their energy efficiency program planning. </w:t>
      </w:r>
      <w:r w:rsidR="00E4540D" w:rsidRPr="00E4540D">
        <w:rPr>
          <w:rFonts w:cs="Arial"/>
          <w:szCs w:val="20"/>
        </w:rPr>
        <w:t>Following the protocols set forth by the Northwest Power and Conservation Council’s (NPWCC)’s Northwest Technical Forum (NTF), Avis</w:t>
      </w:r>
      <w:r w:rsidR="00E4540D">
        <w:rPr>
          <w:rFonts w:cs="Arial"/>
          <w:szCs w:val="20"/>
        </w:rPr>
        <w:t>t</w:t>
      </w:r>
      <w:r w:rsidR="00E4540D" w:rsidRPr="00E4540D">
        <w:rPr>
          <w:rFonts w:cs="Arial"/>
          <w:szCs w:val="20"/>
        </w:rPr>
        <w:t xml:space="preserve">a </w:t>
      </w:r>
      <w:r w:rsidR="00996067">
        <w:rPr>
          <w:rFonts w:cs="Arial"/>
          <w:szCs w:val="20"/>
        </w:rPr>
        <w:t xml:space="preserve">Utilities </w:t>
      </w:r>
      <w:r w:rsidR="00E4540D" w:rsidRPr="00E4540D">
        <w:rPr>
          <w:rFonts w:cs="Arial"/>
          <w:szCs w:val="20"/>
        </w:rPr>
        <w:t>used COBRA to monetize the health benefits of reducing wood stove usage</w:t>
      </w:r>
      <w:r w:rsidR="00E4540D" w:rsidRPr="00E4540D">
        <w:rPr>
          <w:rFonts w:cs="Arial"/>
          <w:szCs w:val="20"/>
          <w:vertAlign w:val="superscript"/>
        </w:rPr>
        <w:footnoteReference w:id="14"/>
      </w:r>
      <w:r w:rsidR="00094E74">
        <w:rPr>
          <w:rStyle w:val="FootnoteReference"/>
          <w:rFonts w:cs="Arial"/>
          <w:szCs w:val="20"/>
        </w:rPr>
        <w:footnoteReference w:id="15"/>
      </w:r>
      <w:r w:rsidR="00E4540D" w:rsidRPr="00E4540D">
        <w:rPr>
          <w:rFonts w:cs="Arial"/>
          <w:szCs w:val="20"/>
        </w:rPr>
        <w:t xml:space="preserve">. These values </w:t>
      </w:r>
      <w:r w:rsidR="00996067">
        <w:rPr>
          <w:rFonts w:cs="Arial"/>
          <w:szCs w:val="20"/>
        </w:rPr>
        <w:t xml:space="preserve">were included </w:t>
      </w:r>
      <w:r w:rsidR="00E4540D" w:rsidRPr="00E4540D">
        <w:rPr>
          <w:rFonts w:cs="Arial"/>
          <w:szCs w:val="20"/>
        </w:rPr>
        <w:t xml:space="preserve">in </w:t>
      </w:r>
      <w:r w:rsidR="00996067">
        <w:rPr>
          <w:rFonts w:cs="Arial"/>
          <w:szCs w:val="20"/>
        </w:rPr>
        <w:t>Avista Utilities’</w:t>
      </w:r>
      <w:r w:rsidR="00E4540D" w:rsidRPr="00E4540D">
        <w:rPr>
          <w:rFonts w:cs="Arial"/>
          <w:szCs w:val="20"/>
        </w:rPr>
        <w:t xml:space="preserve"> Biennial Conservation Plan presented to the Washington Utilities and Transportation Commission</w:t>
      </w:r>
      <w:r w:rsidR="00E4540D" w:rsidRPr="00E4540D">
        <w:rPr>
          <w:rFonts w:cs="Arial"/>
          <w:szCs w:val="20"/>
          <w:vertAlign w:val="superscript"/>
        </w:rPr>
        <w:footnoteReference w:id="16"/>
      </w:r>
      <w:r w:rsidR="00E4540D" w:rsidRPr="00E4540D">
        <w:rPr>
          <w:rFonts w:cs="Arial"/>
          <w:szCs w:val="20"/>
        </w:rPr>
        <w:t>.</w:t>
      </w:r>
    </w:p>
    <w:p w14:paraId="2D5ED17F" w14:textId="41AD9372" w:rsidR="009759C1" w:rsidRDefault="00160B44" w:rsidP="009759C1">
      <w:pPr>
        <w:widowControl w:val="0"/>
        <w:autoSpaceDE w:val="0"/>
        <w:autoSpaceDN w:val="0"/>
        <w:adjustRightInd w:val="0"/>
        <w:spacing w:line="240" w:lineRule="exact"/>
        <w:rPr>
          <w:rFonts w:cs="Arial"/>
          <w:szCs w:val="20"/>
        </w:rPr>
      </w:pPr>
      <w:r>
        <w:rPr>
          <w:rFonts w:cs="Arial"/>
          <w:szCs w:val="20"/>
        </w:rPr>
        <w:fldChar w:fldCharType="begin"/>
      </w:r>
      <w:r>
        <w:rPr>
          <w:rFonts w:cs="Arial"/>
          <w:szCs w:val="20"/>
        </w:rPr>
        <w:instrText xml:space="preserve"> REF _Ref39173482 \h </w:instrText>
      </w:r>
      <w:r>
        <w:rPr>
          <w:rFonts w:cs="Arial"/>
          <w:szCs w:val="20"/>
        </w:rPr>
      </w:r>
      <w:r>
        <w:rPr>
          <w:rFonts w:cs="Arial"/>
          <w:szCs w:val="20"/>
        </w:rPr>
        <w:fldChar w:fldCharType="separate"/>
      </w:r>
      <w:r w:rsidR="00777F22">
        <w:t xml:space="preserve">Table </w:t>
      </w:r>
      <w:r>
        <w:rPr>
          <w:rFonts w:cs="Arial"/>
          <w:szCs w:val="20"/>
        </w:rPr>
        <w:fldChar w:fldCharType="end"/>
      </w:r>
      <w:r w:rsidR="00777F22">
        <w:rPr>
          <w:rFonts w:cs="Arial"/>
          <w:szCs w:val="20"/>
        </w:rPr>
        <w:t xml:space="preserve">3 </w:t>
      </w:r>
      <w:r w:rsidR="00771500">
        <w:rPr>
          <w:rFonts w:cs="Arial"/>
          <w:szCs w:val="20"/>
        </w:rPr>
        <w:t xml:space="preserve">summarizes these </w:t>
      </w:r>
      <w:r w:rsidR="00996067">
        <w:rPr>
          <w:rFonts w:cs="Arial"/>
          <w:szCs w:val="20"/>
        </w:rPr>
        <w:t>values</w:t>
      </w:r>
      <w:r w:rsidR="00771500">
        <w:rPr>
          <w:rFonts w:cs="Arial"/>
          <w:szCs w:val="20"/>
        </w:rPr>
        <w:t>.</w:t>
      </w:r>
    </w:p>
    <w:p w14:paraId="63554309" w14:textId="77777777" w:rsidR="00160B44" w:rsidRPr="00826E22" w:rsidRDefault="00160B44" w:rsidP="009759C1">
      <w:pPr>
        <w:widowControl w:val="0"/>
        <w:autoSpaceDE w:val="0"/>
        <w:autoSpaceDN w:val="0"/>
        <w:adjustRightInd w:val="0"/>
        <w:spacing w:line="240" w:lineRule="exact"/>
        <w:rPr>
          <w:rFonts w:ascii="Times New Roman" w:hAnsi="Times New Roman"/>
          <w:szCs w:val="20"/>
        </w:rPr>
      </w:pPr>
    </w:p>
    <w:p w14:paraId="1CB01DA7" w14:textId="41F12C25" w:rsidR="00826E22" w:rsidRDefault="00826E22" w:rsidP="00826E22">
      <w:pPr>
        <w:pStyle w:val="Caption"/>
        <w:rPr>
          <w:rFonts w:cs="Arial"/>
        </w:rPr>
      </w:pPr>
      <w:bookmarkStart w:id="1" w:name="_Ref39173482"/>
      <w:r>
        <w:t xml:space="preserve">Table </w:t>
      </w:r>
      <w:bookmarkEnd w:id="1"/>
      <w:r w:rsidR="00996067">
        <w:t>3</w:t>
      </w:r>
      <w:r>
        <w:t xml:space="preserve">. </w:t>
      </w:r>
      <w:r w:rsidR="00996067">
        <w:t>Monetized</w:t>
      </w:r>
      <w:r w:rsidR="008D7865">
        <w:t xml:space="preserve"> Societal </w:t>
      </w:r>
      <w:r w:rsidR="00996067">
        <w:t xml:space="preserve">NEIs from </w:t>
      </w:r>
      <w:r w:rsidR="008D7865">
        <w:t xml:space="preserve">COBRA </w:t>
      </w:r>
      <w:r w:rsidR="00996067">
        <w:t>used in Idaho and Washington Utilities’ Plans</w:t>
      </w:r>
    </w:p>
    <w:tbl>
      <w:tblPr>
        <w:tblStyle w:val="EnergyTable"/>
        <w:tblW w:w="2419" w:type="pct"/>
        <w:tblLook w:val="04A0" w:firstRow="1" w:lastRow="0" w:firstColumn="1" w:lastColumn="0" w:noHBand="0" w:noVBand="1"/>
      </w:tblPr>
      <w:tblGrid>
        <w:gridCol w:w="1846"/>
        <w:gridCol w:w="2508"/>
      </w:tblGrid>
      <w:tr w:rsidR="008D7865" w14:paraId="54461B6C" w14:textId="77777777" w:rsidTr="009960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noWrap/>
            <w:hideMark/>
          </w:tcPr>
          <w:p w14:paraId="2B6E47B7" w14:textId="49D7B96A" w:rsidR="008D7865" w:rsidRDefault="00EA185F" w:rsidP="005827F3">
            <w:pPr>
              <w:keepNext/>
              <w:jc w:val="left"/>
              <w:rPr>
                <w:rFonts w:ascii="Arial Narrow" w:hAnsi="Arial Narrow"/>
                <w:color w:val="FFFFFF" w:themeColor="background1"/>
              </w:rPr>
            </w:pPr>
            <w:r w:rsidRPr="00EA185F">
              <w:rPr>
                <w:rFonts w:ascii="Arial Narrow" w:hAnsi="Arial Narrow"/>
                <w:bCs/>
                <w:color w:val="FFFFFF" w:themeColor="background1"/>
                <w:szCs w:val="20"/>
              </w:rPr>
              <w:t>Societal</w:t>
            </w:r>
            <w:r>
              <w:rPr>
                <w:rFonts w:ascii="Arial Narrow" w:hAnsi="Arial Narrow"/>
                <w:bCs/>
                <w:color w:val="FFFFFF" w:themeColor="background1"/>
                <w:szCs w:val="20"/>
              </w:rPr>
              <w:t xml:space="preserve"> NEI</w:t>
            </w:r>
          </w:p>
        </w:tc>
        <w:tc>
          <w:tcPr>
            <w:tcW w:w="0" w:type="pct"/>
            <w:noWrap/>
            <w:hideMark/>
          </w:tcPr>
          <w:p w14:paraId="40C20C3A" w14:textId="67438E01" w:rsidR="008D7865" w:rsidRPr="005827F3" w:rsidRDefault="00327FEA" w:rsidP="00996067">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rPr>
            </w:pPr>
            <w:r w:rsidRPr="005827F3">
              <w:rPr>
                <w:rFonts w:ascii="Arial Narrow" w:hAnsi="Arial Narrow"/>
                <w:color w:val="FFFFFF" w:themeColor="background1"/>
              </w:rPr>
              <w:t xml:space="preserve">Idaho and </w:t>
            </w:r>
            <w:r w:rsidR="00CE1214" w:rsidRPr="005827F3">
              <w:rPr>
                <w:rFonts w:ascii="Arial Narrow" w:hAnsi="Arial Narrow"/>
                <w:color w:val="FFFFFF" w:themeColor="background1"/>
              </w:rPr>
              <w:t>Washington</w:t>
            </w:r>
          </w:p>
        </w:tc>
      </w:tr>
      <w:tr w:rsidR="008D7865" w14:paraId="5DE9150D" w14:textId="77777777" w:rsidTr="009960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noWrap/>
            <w:hideMark/>
          </w:tcPr>
          <w:p w14:paraId="08D31680" w14:textId="73F0E3A2" w:rsidR="008D7865" w:rsidRDefault="008D7865" w:rsidP="005827F3">
            <w:pPr>
              <w:keepNext/>
              <w:jc w:val="left"/>
              <w:rPr>
                <w:rFonts w:ascii="Arial Narrow" w:hAnsi="Arial Narrow"/>
                <w:szCs w:val="20"/>
              </w:rPr>
            </w:pPr>
            <w:r>
              <w:rPr>
                <w:rFonts w:ascii="Arial Narrow" w:hAnsi="Arial Narrow"/>
                <w:szCs w:val="20"/>
              </w:rPr>
              <w:t>Reduced PM</w:t>
            </w:r>
            <w:r w:rsidRPr="008D7865">
              <w:rPr>
                <w:rFonts w:ascii="Arial Narrow" w:hAnsi="Arial Narrow"/>
                <w:szCs w:val="20"/>
                <w:vertAlign w:val="subscript"/>
              </w:rPr>
              <w:t>2</w:t>
            </w:r>
            <w:r w:rsidR="00EA185F">
              <w:rPr>
                <w:rFonts w:ascii="Arial Narrow" w:hAnsi="Arial Narrow"/>
                <w:szCs w:val="20"/>
                <w:vertAlign w:val="subscript"/>
              </w:rPr>
              <w:t>.</w:t>
            </w:r>
            <w:r w:rsidRPr="008D7865">
              <w:rPr>
                <w:rFonts w:ascii="Arial Narrow" w:hAnsi="Arial Narrow"/>
                <w:szCs w:val="20"/>
                <w:vertAlign w:val="subscript"/>
              </w:rPr>
              <w:t>5</w:t>
            </w:r>
          </w:p>
        </w:tc>
        <w:tc>
          <w:tcPr>
            <w:tcW w:w="0" w:type="pct"/>
            <w:noWrap/>
            <w:hideMark/>
          </w:tcPr>
          <w:p w14:paraId="2512DE67" w14:textId="77777777" w:rsidR="008D7865" w:rsidRDefault="008D7865" w:rsidP="00996067">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p>
        </w:tc>
      </w:tr>
      <w:tr w:rsidR="008D7865" w14:paraId="3C11FCB2" w14:textId="77777777" w:rsidTr="009960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noWrap/>
          </w:tcPr>
          <w:p w14:paraId="62686774" w14:textId="79FB9119" w:rsidR="008D7865" w:rsidRDefault="008D7865" w:rsidP="005827F3">
            <w:pPr>
              <w:keepNext/>
              <w:jc w:val="left"/>
              <w:rPr>
                <w:rFonts w:ascii="Arial Narrow" w:hAnsi="Arial Narrow"/>
                <w:szCs w:val="20"/>
              </w:rPr>
            </w:pPr>
            <w:r>
              <w:rPr>
                <w:rFonts w:ascii="Arial Narrow" w:hAnsi="Arial Narrow"/>
                <w:szCs w:val="20"/>
              </w:rPr>
              <w:t>Low</w:t>
            </w:r>
            <w:r w:rsidR="00996067">
              <w:rPr>
                <w:rFonts w:ascii="Arial Narrow" w:hAnsi="Arial Narrow"/>
                <w:szCs w:val="20"/>
              </w:rPr>
              <w:t xml:space="preserve"> Estimate</w:t>
            </w:r>
          </w:p>
          <w:p w14:paraId="7E1AE978" w14:textId="1FFEC0AB" w:rsidR="008D7865" w:rsidRDefault="008D7865" w:rsidP="00996067">
            <w:pPr>
              <w:keepNext/>
              <w:jc w:val="left"/>
              <w:rPr>
                <w:rFonts w:ascii="Arial Narrow" w:hAnsi="Arial Narrow"/>
                <w:szCs w:val="20"/>
              </w:rPr>
            </w:pPr>
            <w:r>
              <w:rPr>
                <w:rFonts w:ascii="Arial Narrow" w:hAnsi="Arial Narrow"/>
                <w:szCs w:val="20"/>
              </w:rPr>
              <w:t>High</w:t>
            </w:r>
            <w:r w:rsidR="00996067">
              <w:rPr>
                <w:rFonts w:ascii="Arial Narrow" w:hAnsi="Arial Narrow"/>
                <w:szCs w:val="20"/>
              </w:rPr>
              <w:t xml:space="preserve"> Estimate</w:t>
            </w:r>
          </w:p>
        </w:tc>
        <w:tc>
          <w:tcPr>
            <w:tcW w:w="0" w:type="pct"/>
            <w:noWrap/>
          </w:tcPr>
          <w:p w14:paraId="6B667628" w14:textId="666722C5" w:rsidR="008D7865" w:rsidRDefault="008D7865" w:rsidP="00996067">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Pr>
                <w:rFonts w:ascii="Arial Narrow" w:hAnsi="Arial Narrow"/>
                <w:szCs w:val="20"/>
              </w:rPr>
              <w:t>$</w:t>
            </w:r>
            <w:r w:rsidR="001A25FC">
              <w:rPr>
                <w:rFonts w:ascii="Arial Narrow" w:hAnsi="Arial Narrow"/>
                <w:szCs w:val="20"/>
              </w:rPr>
              <w:t>0</w:t>
            </w:r>
            <w:r>
              <w:rPr>
                <w:rFonts w:ascii="Arial Narrow" w:hAnsi="Arial Narrow"/>
                <w:szCs w:val="20"/>
              </w:rPr>
              <w:t>.02</w:t>
            </w:r>
            <w:r w:rsidR="00EA185F">
              <w:rPr>
                <w:rFonts w:ascii="Arial Narrow" w:hAnsi="Arial Narrow"/>
                <w:szCs w:val="20"/>
              </w:rPr>
              <w:t>/kWh</w:t>
            </w:r>
          </w:p>
          <w:p w14:paraId="697B9135" w14:textId="6CB3653D" w:rsidR="008D7865" w:rsidRDefault="008D7865" w:rsidP="00996067">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Pr>
                <w:rFonts w:ascii="Arial Narrow" w:hAnsi="Arial Narrow"/>
                <w:szCs w:val="20"/>
              </w:rPr>
              <w:t>$0.24</w:t>
            </w:r>
            <w:r w:rsidR="00EA185F">
              <w:rPr>
                <w:rFonts w:ascii="Arial Narrow" w:hAnsi="Arial Narrow"/>
                <w:szCs w:val="20"/>
              </w:rPr>
              <w:t>/kWh</w:t>
            </w:r>
          </w:p>
        </w:tc>
      </w:tr>
    </w:tbl>
    <w:p w14:paraId="51D96A6A" w14:textId="0BDF1EC4" w:rsidR="00826E22" w:rsidRPr="00996067" w:rsidRDefault="00EB01D2" w:rsidP="00996067">
      <w:pPr>
        <w:pStyle w:val="Source"/>
      </w:pPr>
      <w:r w:rsidRPr="00996067">
        <w:t xml:space="preserve"> </w:t>
      </w:r>
      <w:r w:rsidR="008D7865" w:rsidRPr="00996067">
        <w:t>Source</w:t>
      </w:r>
      <w:r w:rsidR="00996067" w:rsidRPr="00996067">
        <w:t>s</w:t>
      </w:r>
      <w:r w:rsidR="008D7865" w:rsidRPr="00996067">
        <w:t xml:space="preserve">: </w:t>
      </w:r>
      <w:r w:rsidR="00996067" w:rsidRPr="00996067">
        <w:t xml:space="preserve">Abt Associates 2018, Human Health Benefits of Reducing Residential Wood Smoke Emissions in Avista Corporation’s Service Territory – Final Report.” and </w:t>
      </w:r>
      <w:bookmarkStart w:id="2" w:name="_Hlk39190327"/>
      <w:r w:rsidR="00996067" w:rsidRPr="00996067">
        <w:t>DeYoung 2017</w:t>
      </w:r>
      <w:bookmarkEnd w:id="2"/>
      <w:r w:rsidR="00996067" w:rsidRPr="00996067">
        <w:t>, ACEEE Energy Efficiency</w:t>
      </w:r>
    </w:p>
    <w:p w14:paraId="30EB8D11" w14:textId="49242021" w:rsidR="009759C1" w:rsidRDefault="009759C1" w:rsidP="009759C1">
      <w:pPr>
        <w:pStyle w:val="Heading1"/>
        <w:rPr>
          <w:rFonts w:ascii="Arial Bold" w:eastAsiaTheme="minorEastAsia" w:hAnsi="Arial Bold" w:hint="eastAsia"/>
          <w:szCs w:val="28"/>
        </w:rPr>
      </w:pPr>
      <w:r>
        <w:rPr>
          <w:rFonts w:eastAsiaTheme="minorEastAsia"/>
        </w:rPr>
        <w:t>Utility NEIs</w:t>
      </w:r>
    </w:p>
    <w:p w14:paraId="578F9307" w14:textId="4A36B851" w:rsidR="009759C1" w:rsidRDefault="009759C1" w:rsidP="009759C1">
      <w:pPr>
        <w:rPr>
          <w:rFonts w:eastAsia="Arial" w:cs="Arial"/>
          <w:szCs w:val="20"/>
        </w:rPr>
      </w:pPr>
      <w:r w:rsidRPr="00771500">
        <w:rPr>
          <w:rFonts w:eastAsia="Arial" w:cs="Arial"/>
          <w:szCs w:val="20"/>
        </w:rPr>
        <w:t>The utility NE</w:t>
      </w:r>
      <w:r w:rsidR="00C63902" w:rsidRPr="00771500">
        <w:rPr>
          <w:rFonts w:eastAsia="Arial" w:cs="Arial"/>
          <w:szCs w:val="20"/>
        </w:rPr>
        <w:t>I</w:t>
      </w:r>
      <w:r w:rsidRPr="00771500">
        <w:rPr>
          <w:rFonts w:eastAsia="Arial" w:cs="Arial"/>
          <w:szCs w:val="20"/>
        </w:rPr>
        <w:t xml:space="preserve">s include benefits associated with the </w:t>
      </w:r>
      <w:r w:rsidR="00C63902" w:rsidRPr="00771500">
        <w:rPr>
          <w:rFonts w:eastAsia="Arial" w:cs="Arial"/>
          <w:szCs w:val="20"/>
        </w:rPr>
        <w:t xml:space="preserve">reduced </w:t>
      </w:r>
      <w:r w:rsidR="00EA29B1">
        <w:rPr>
          <w:rFonts w:eastAsia="Arial" w:cs="Arial"/>
          <w:szCs w:val="20"/>
        </w:rPr>
        <w:t xml:space="preserve">arrearages, </w:t>
      </w:r>
      <w:r w:rsidRPr="00771500">
        <w:rPr>
          <w:rFonts w:eastAsia="Arial" w:cs="Arial"/>
          <w:szCs w:val="20"/>
        </w:rPr>
        <w:t xml:space="preserve">utility </w:t>
      </w:r>
      <w:r w:rsidR="00C63902" w:rsidRPr="00771500">
        <w:rPr>
          <w:rFonts w:eastAsia="Arial" w:cs="Arial"/>
          <w:szCs w:val="20"/>
        </w:rPr>
        <w:t xml:space="preserve">disconnection notices and actual disconnects and reconnects as well as reduced participation in </w:t>
      </w:r>
      <w:r w:rsidR="00EA29B1">
        <w:rPr>
          <w:rFonts w:eastAsia="Arial" w:cs="Arial"/>
          <w:szCs w:val="20"/>
        </w:rPr>
        <w:t xml:space="preserve">programs such as </w:t>
      </w:r>
      <w:r w:rsidR="00C63902" w:rsidRPr="00771500">
        <w:rPr>
          <w:rFonts w:eastAsia="Arial" w:cs="Arial"/>
          <w:szCs w:val="20"/>
        </w:rPr>
        <w:t>ComEd CARES (i.e.</w:t>
      </w:r>
      <w:r w:rsidR="0090747D">
        <w:rPr>
          <w:rFonts w:eastAsia="Arial" w:cs="Arial"/>
          <w:szCs w:val="20"/>
        </w:rPr>
        <w:t>,</w:t>
      </w:r>
      <w:r w:rsidR="00C63902" w:rsidRPr="00771500">
        <w:rPr>
          <w:rFonts w:eastAsia="Arial" w:cs="Arial"/>
          <w:szCs w:val="20"/>
        </w:rPr>
        <w:t xml:space="preserve"> </w:t>
      </w:r>
      <w:r w:rsidR="00EA29B1">
        <w:rPr>
          <w:rFonts w:eastAsia="Arial" w:cs="Arial"/>
          <w:szCs w:val="20"/>
        </w:rPr>
        <w:t xml:space="preserve">alternative </w:t>
      </w:r>
      <w:r w:rsidR="00C63902" w:rsidRPr="00771500">
        <w:rPr>
          <w:rFonts w:eastAsia="Arial" w:cs="Arial"/>
          <w:szCs w:val="20"/>
        </w:rPr>
        <w:t>payment plans and bill forgiveness).</w:t>
      </w:r>
      <w:r w:rsidRPr="00771500">
        <w:rPr>
          <w:rFonts w:eastAsia="Arial" w:cs="Arial"/>
          <w:szCs w:val="20"/>
        </w:rPr>
        <w:t xml:space="preserve"> </w:t>
      </w:r>
    </w:p>
    <w:p w14:paraId="0411D54F" w14:textId="3B30E076" w:rsidR="0090747D" w:rsidRDefault="0090747D" w:rsidP="009759C1">
      <w:pPr>
        <w:rPr>
          <w:rFonts w:eastAsia="Arial" w:cs="Arial"/>
          <w:szCs w:val="20"/>
        </w:rPr>
      </w:pPr>
    </w:p>
    <w:p w14:paraId="6BB1689E" w14:textId="0A8A0F73" w:rsidR="009759C1" w:rsidRPr="00771500" w:rsidRDefault="00EA29B1" w:rsidP="009759C1">
      <w:pPr>
        <w:spacing w:line="240" w:lineRule="exact"/>
        <w:rPr>
          <w:rFonts w:cs="Arial"/>
          <w:szCs w:val="20"/>
        </w:rPr>
      </w:pPr>
      <w:r>
        <w:rPr>
          <w:rFonts w:cs="Arial"/>
          <w:szCs w:val="20"/>
        </w:rPr>
        <w:t>Three</w:t>
      </w:r>
      <w:r w:rsidR="009759C1" w:rsidRPr="00E93CE1">
        <w:rPr>
          <w:rFonts w:cs="Arial"/>
          <w:szCs w:val="20"/>
        </w:rPr>
        <w:t xml:space="preserve"> states </w:t>
      </w:r>
      <w:r>
        <w:rPr>
          <w:rFonts w:cs="Arial"/>
          <w:szCs w:val="20"/>
        </w:rPr>
        <w:t xml:space="preserve">quantified and </w:t>
      </w:r>
      <w:r w:rsidR="009759C1" w:rsidRPr="00E93CE1">
        <w:rPr>
          <w:rFonts w:cs="Arial"/>
          <w:szCs w:val="20"/>
        </w:rPr>
        <w:t xml:space="preserve">monetized </w:t>
      </w:r>
      <w:r>
        <w:rPr>
          <w:rFonts w:cs="Arial"/>
          <w:szCs w:val="20"/>
        </w:rPr>
        <w:t>utility NEIs and used these values</w:t>
      </w:r>
      <w:r w:rsidR="00E93CE1">
        <w:rPr>
          <w:rFonts w:cs="Arial"/>
          <w:szCs w:val="20"/>
        </w:rPr>
        <w:t xml:space="preserve"> in their cost-effectiveness tests, as shown in </w:t>
      </w:r>
      <w:r w:rsidR="00CB217E">
        <w:rPr>
          <w:rFonts w:cs="Arial"/>
          <w:szCs w:val="20"/>
        </w:rPr>
        <w:t xml:space="preserve">Table </w:t>
      </w:r>
      <w:r w:rsidR="00996067">
        <w:rPr>
          <w:rFonts w:cs="Arial"/>
          <w:szCs w:val="20"/>
        </w:rPr>
        <w:t>4</w:t>
      </w:r>
      <w:r w:rsidR="0088225D">
        <w:rPr>
          <w:rStyle w:val="FootnoteReference"/>
          <w:rFonts w:cs="Arial"/>
          <w:szCs w:val="20"/>
        </w:rPr>
        <w:footnoteReference w:id="17"/>
      </w:r>
      <w:r w:rsidR="0088225D">
        <w:rPr>
          <w:rStyle w:val="FootnoteReference"/>
          <w:rFonts w:cs="Arial"/>
          <w:szCs w:val="20"/>
        </w:rPr>
        <w:footnoteReference w:id="18"/>
      </w:r>
      <w:r w:rsidR="00996067">
        <w:rPr>
          <w:rFonts w:cs="Arial"/>
          <w:szCs w:val="20"/>
        </w:rPr>
        <w:t>.</w:t>
      </w:r>
      <w:r w:rsidR="00E93CE1">
        <w:rPr>
          <w:rFonts w:cs="Arial"/>
          <w:szCs w:val="20"/>
        </w:rPr>
        <w:t xml:space="preserve"> </w:t>
      </w:r>
      <w:r w:rsidR="00E93CE1" w:rsidRPr="00E93CE1">
        <w:rPr>
          <w:rFonts w:cs="Arial"/>
          <w:szCs w:val="20"/>
        </w:rPr>
        <w:t>M</w:t>
      </w:r>
      <w:r w:rsidR="00841720" w:rsidRPr="00841720">
        <w:rPr>
          <w:rFonts w:cs="Arial"/>
          <w:szCs w:val="20"/>
        </w:rPr>
        <w:t xml:space="preserve">aryland monetized reduced customer arrearages for </w:t>
      </w:r>
      <w:r w:rsidR="00841720">
        <w:rPr>
          <w:rFonts w:cs="Arial"/>
          <w:szCs w:val="20"/>
        </w:rPr>
        <w:t>income eligible</w:t>
      </w:r>
      <w:r w:rsidR="00841720" w:rsidRPr="00841720">
        <w:rPr>
          <w:rFonts w:cs="Arial"/>
          <w:szCs w:val="20"/>
        </w:rPr>
        <w:t xml:space="preserve"> customers</w:t>
      </w:r>
      <w:r w:rsidR="00996067">
        <w:rPr>
          <w:rFonts w:cs="Arial"/>
          <w:szCs w:val="20"/>
        </w:rPr>
        <w:t>.</w:t>
      </w:r>
      <w:r w:rsidR="00996067">
        <w:rPr>
          <w:rStyle w:val="FootnoteReference"/>
          <w:rFonts w:cs="Arial"/>
          <w:szCs w:val="20"/>
        </w:rPr>
        <w:footnoteReference w:id="19"/>
      </w:r>
      <w:r w:rsidR="001B2865">
        <w:rPr>
          <w:rFonts w:cs="Arial"/>
          <w:szCs w:val="20"/>
        </w:rPr>
        <w:t xml:space="preserve"> </w:t>
      </w:r>
      <w:r w:rsidR="009759C1" w:rsidRPr="00E93CE1">
        <w:rPr>
          <w:rFonts w:cs="Arial"/>
          <w:szCs w:val="20"/>
        </w:rPr>
        <w:t xml:space="preserve">Massachusetts developed a robust set of monetized </w:t>
      </w:r>
      <w:r w:rsidR="003B6C34">
        <w:rPr>
          <w:rFonts w:cs="Arial"/>
          <w:szCs w:val="20"/>
        </w:rPr>
        <w:t>u</w:t>
      </w:r>
      <w:r w:rsidR="009759C1" w:rsidRPr="00E93CE1">
        <w:rPr>
          <w:rFonts w:cs="Arial"/>
          <w:szCs w:val="20"/>
        </w:rPr>
        <w:t>tility NEIs</w:t>
      </w:r>
      <w:r w:rsidR="003B6C34">
        <w:rPr>
          <w:rFonts w:cs="Arial"/>
          <w:szCs w:val="20"/>
        </w:rPr>
        <w:t xml:space="preserve"> by </w:t>
      </w:r>
      <w:r w:rsidR="003B6C34" w:rsidRPr="00263CF7">
        <w:rPr>
          <w:rFonts w:cs="Arial"/>
          <w:szCs w:val="20"/>
        </w:rPr>
        <w:t>conduct</w:t>
      </w:r>
      <w:r w:rsidR="00552942">
        <w:rPr>
          <w:rFonts w:cs="Arial"/>
          <w:szCs w:val="20"/>
        </w:rPr>
        <w:t>ing</w:t>
      </w:r>
      <w:r w:rsidR="003B6C34" w:rsidRPr="00263CF7">
        <w:rPr>
          <w:rFonts w:cs="Arial"/>
          <w:szCs w:val="20"/>
        </w:rPr>
        <w:t xml:space="preserve"> primary research </w:t>
      </w:r>
      <w:r w:rsidR="003B6C34">
        <w:rPr>
          <w:rFonts w:cs="Arial"/>
          <w:szCs w:val="20"/>
        </w:rPr>
        <w:t>with income eligible program participants</w:t>
      </w:r>
      <w:r w:rsidR="00CB217E">
        <w:rPr>
          <w:rStyle w:val="FootnoteReference"/>
          <w:rFonts w:cs="Arial"/>
          <w:szCs w:val="20"/>
        </w:rPr>
        <w:footnoteReference w:id="20"/>
      </w:r>
      <w:r w:rsidR="003B6C34">
        <w:rPr>
          <w:rFonts w:cs="Arial"/>
          <w:szCs w:val="20"/>
        </w:rPr>
        <w:t>.</w:t>
      </w:r>
      <w:r w:rsidR="003B6C34" w:rsidRPr="00263CF7">
        <w:rPr>
          <w:rFonts w:cs="Arial"/>
          <w:szCs w:val="20"/>
        </w:rPr>
        <w:t xml:space="preserve"> </w:t>
      </w:r>
      <w:r w:rsidR="00841720">
        <w:rPr>
          <w:rFonts w:cs="Arial"/>
          <w:szCs w:val="20"/>
        </w:rPr>
        <w:t xml:space="preserve">Rhode Island </w:t>
      </w:r>
      <w:r>
        <w:rPr>
          <w:rFonts w:cs="Arial"/>
          <w:szCs w:val="20"/>
        </w:rPr>
        <w:t xml:space="preserve">modified values from </w:t>
      </w:r>
      <w:r w:rsidR="001B2865">
        <w:rPr>
          <w:rFonts w:cs="Arial"/>
          <w:szCs w:val="20"/>
        </w:rPr>
        <w:t xml:space="preserve">its statewide TRM </w:t>
      </w:r>
      <w:r>
        <w:rPr>
          <w:rFonts w:cs="Arial"/>
          <w:szCs w:val="20"/>
        </w:rPr>
        <w:t xml:space="preserve">and </w:t>
      </w:r>
      <w:r w:rsidR="00841720" w:rsidRPr="00841720">
        <w:rPr>
          <w:rFonts w:cs="Arial"/>
          <w:szCs w:val="20"/>
        </w:rPr>
        <w:t xml:space="preserve">established monetized values for </w:t>
      </w:r>
      <w:r w:rsidR="00E07842">
        <w:rPr>
          <w:rFonts w:cs="Arial"/>
          <w:szCs w:val="20"/>
        </w:rPr>
        <w:t xml:space="preserve">utility </w:t>
      </w:r>
      <w:r w:rsidR="00841720" w:rsidRPr="00841720">
        <w:rPr>
          <w:rFonts w:cs="Arial"/>
          <w:szCs w:val="20"/>
        </w:rPr>
        <w:t xml:space="preserve">NEIs associated with reduced arrearages, </w:t>
      </w:r>
      <w:r w:rsidR="00E07842">
        <w:rPr>
          <w:rFonts w:cs="Arial"/>
          <w:szCs w:val="20"/>
        </w:rPr>
        <w:t>disconnections</w:t>
      </w:r>
      <w:r w:rsidR="00841720" w:rsidRPr="00841720">
        <w:rPr>
          <w:rFonts w:cs="Arial"/>
          <w:szCs w:val="20"/>
        </w:rPr>
        <w:t xml:space="preserve"> and reconnections for </w:t>
      </w:r>
      <w:r w:rsidR="00E07842">
        <w:rPr>
          <w:rFonts w:cs="Arial"/>
          <w:szCs w:val="20"/>
        </w:rPr>
        <w:t>their</w:t>
      </w:r>
      <w:r w:rsidR="00841720" w:rsidRPr="00841720">
        <w:rPr>
          <w:rFonts w:cs="Arial"/>
          <w:szCs w:val="20"/>
        </w:rPr>
        <w:t xml:space="preserve"> income eligible programs. These values are reported in the state’s TRM</w:t>
      </w:r>
      <w:r w:rsidR="00E07842">
        <w:rPr>
          <w:rFonts w:cs="Arial"/>
          <w:szCs w:val="20"/>
        </w:rPr>
        <w:t xml:space="preserve"> and included in Rhode Island’s state-specific cost-benefit test</w:t>
      </w:r>
      <w:r w:rsidR="00CB217E">
        <w:rPr>
          <w:rStyle w:val="FootnoteReference"/>
          <w:rFonts w:cs="Arial"/>
          <w:szCs w:val="20"/>
        </w:rPr>
        <w:footnoteReference w:id="21"/>
      </w:r>
      <w:r w:rsidR="00CB217E">
        <w:rPr>
          <w:rFonts w:cs="Arial"/>
          <w:szCs w:val="20"/>
        </w:rPr>
        <w:t>.</w:t>
      </w:r>
    </w:p>
    <w:p w14:paraId="1AEECADC" w14:textId="77777777" w:rsidR="009759C1" w:rsidRDefault="009759C1" w:rsidP="009759C1">
      <w:pPr>
        <w:spacing w:line="240" w:lineRule="exact"/>
        <w:rPr>
          <w:rFonts w:eastAsiaTheme="minorEastAsia" w:cs="Arial"/>
          <w:sz w:val="22"/>
          <w:szCs w:val="22"/>
        </w:rPr>
      </w:pPr>
    </w:p>
    <w:p w14:paraId="10076485" w14:textId="74CDA038" w:rsidR="009759C1" w:rsidRDefault="009759C1" w:rsidP="009759C1">
      <w:pPr>
        <w:pStyle w:val="Caption"/>
        <w:rPr>
          <w:rFonts w:cs="Arial"/>
        </w:rPr>
      </w:pPr>
      <w:bookmarkStart w:id="5" w:name="_Ref39173631"/>
      <w:r>
        <w:t xml:space="preserve">Table </w:t>
      </w:r>
      <w:bookmarkEnd w:id="5"/>
      <w:r w:rsidR="00CB217E">
        <w:t>4</w:t>
      </w:r>
      <w:r>
        <w:t xml:space="preserve">. </w:t>
      </w:r>
      <w:r w:rsidR="00266799">
        <w:t xml:space="preserve">Examples of </w:t>
      </w:r>
      <w:r>
        <w:t xml:space="preserve">Monetized Utility NEIs </w:t>
      </w:r>
      <w:r w:rsidR="009F409A">
        <w:t>Used in Cost-Effectiveness Tests</w:t>
      </w:r>
      <w:r w:rsidR="00266799">
        <w:t xml:space="preserve"> – Per Household</w:t>
      </w:r>
    </w:p>
    <w:tbl>
      <w:tblPr>
        <w:tblStyle w:val="EnergyTable"/>
        <w:tblW w:w="5000" w:type="pct"/>
        <w:tblLayout w:type="fixed"/>
        <w:tblLook w:val="04A0" w:firstRow="1" w:lastRow="0" w:firstColumn="1" w:lastColumn="0" w:noHBand="0" w:noVBand="1"/>
      </w:tblPr>
      <w:tblGrid>
        <w:gridCol w:w="3962"/>
        <w:gridCol w:w="1348"/>
        <w:gridCol w:w="1442"/>
        <w:gridCol w:w="1258"/>
        <w:gridCol w:w="990"/>
      </w:tblGrid>
      <w:tr w:rsidR="00160B44" w14:paraId="354E2DDE" w14:textId="77777777" w:rsidTr="00160B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pct"/>
            <w:noWrap/>
            <w:hideMark/>
          </w:tcPr>
          <w:p w14:paraId="06A8042F" w14:textId="2B6D261A" w:rsidR="009759C1" w:rsidRPr="00160B44" w:rsidRDefault="00EA185F" w:rsidP="00160B44">
            <w:pPr>
              <w:keepNext/>
              <w:jc w:val="left"/>
              <w:rPr>
                <w:rFonts w:ascii="Arial Narrow" w:hAnsi="Arial Narrow"/>
                <w:bCs/>
                <w:color w:val="FFFFFF" w:themeColor="background1"/>
              </w:rPr>
            </w:pPr>
            <w:r w:rsidRPr="00160B44">
              <w:rPr>
                <w:rFonts w:ascii="Arial Narrow" w:hAnsi="Arial Narrow"/>
                <w:bCs/>
                <w:color w:val="FFFFFF" w:themeColor="background1"/>
              </w:rPr>
              <w:t xml:space="preserve">Utility </w:t>
            </w:r>
            <w:r w:rsidR="009759C1" w:rsidRPr="00160B44">
              <w:rPr>
                <w:rFonts w:ascii="Arial Narrow" w:hAnsi="Arial Narrow"/>
                <w:bCs/>
                <w:color w:val="FFFFFF" w:themeColor="background1"/>
              </w:rPr>
              <w:t xml:space="preserve">NEI </w:t>
            </w:r>
            <w:r w:rsidR="00160B44" w:rsidRPr="00160B44">
              <w:rPr>
                <w:rFonts w:ascii="Arial Narrow" w:hAnsi="Arial Narrow"/>
                <w:bCs/>
                <w:color w:val="FFFFFF" w:themeColor="background1"/>
              </w:rPr>
              <w:t>T</w:t>
            </w:r>
            <w:r w:rsidRPr="00160B44">
              <w:rPr>
                <w:rFonts w:ascii="Arial Narrow" w:hAnsi="Arial Narrow"/>
                <w:bCs/>
                <w:color w:val="FFFFFF" w:themeColor="background1"/>
              </w:rPr>
              <w:t>ype</w:t>
            </w:r>
          </w:p>
        </w:tc>
        <w:tc>
          <w:tcPr>
            <w:tcW w:w="749" w:type="pct"/>
            <w:noWrap/>
            <w:hideMark/>
          </w:tcPr>
          <w:p w14:paraId="76B52596" w14:textId="77777777" w:rsidR="009759C1" w:rsidRPr="00160B44" w:rsidRDefault="009759C1" w:rsidP="00160B44">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bCs/>
                <w:color w:val="FFFFFF" w:themeColor="background1"/>
              </w:rPr>
            </w:pPr>
            <w:r w:rsidRPr="00160B44">
              <w:rPr>
                <w:rFonts w:ascii="Arial Narrow" w:hAnsi="Arial Narrow"/>
                <w:bCs/>
                <w:color w:val="FFFFFF" w:themeColor="background1"/>
              </w:rPr>
              <w:t>Maryland</w:t>
            </w:r>
          </w:p>
        </w:tc>
        <w:tc>
          <w:tcPr>
            <w:tcW w:w="801" w:type="pct"/>
            <w:noWrap/>
            <w:hideMark/>
          </w:tcPr>
          <w:p w14:paraId="1E6FD345" w14:textId="77777777" w:rsidR="009759C1" w:rsidRPr="00160B44" w:rsidRDefault="009759C1" w:rsidP="00160B44">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bCs/>
                <w:color w:val="FFFFFF" w:themeColor="background1"/>
              </w:rPr>
            </w:pPr>
            <w:r w:rsidRPr="00160B44">
              <w:rPr>
                <w:rFonts w:ascii="Arial Narrow" w:hAnsi="Arial Narrow"/>
                <w:bCs/>
                <w:color w:val="FFFFFF" w:themeColor="background1"/>
              </w:rPr>
              <w:t>Massachusetts</w:t>
            </w:r>
          </w:p>
        </w:tc>
        <w:tc>
          <w:tcPr>
            <w:tcW w:w="699" w:type="pct"/>
            <w:noWrap/>
            <w:hideMark/>
          </w:tcPr>
          <w:p w14:paraId="4308C792" w14:textId="77777777" w:rsidR="009759C1" w:rsidRPr="00160B44" w:rsidRDefault="009759C1" w:rsidP="00160B44">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bCs/>
                <w:color w:val="FFFFFF" w:themeColor="background1"/>
              </w:rPr>
            </w:pPr>
            <w:r w:rsidRPr="00160B44">
              <w:rPr>
                <w:rFonts w:ascii="Arial Narrow" w:hAnsi="Arial Narrow"/>
                <w:bCs/>
                <w:color w:val="FFFFFF" w:themeColor="background1"/>
              </w:rPr>
              <w:t>Rhode Island</w:t>
            </w:r>
          </w:p>
        </w:tc>
        <w:tc>
          <w:tcPr>
            <w:tcW w:w="550" w:type="pct"/>
            <w:noWrap/>
            <w:hideMark/>
          </w:tcPr>
          <w:p w14:paraId="42DD0D25" w14:textId="77777777" w:rsidR="009759C1" w:rsidRPr="00160B44" w:rsidRDefault="009759C1" w:rsidP="00160B44">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bCs/>
                <w:color w:val="FFFFFF" w:themeColor="background1"/>
              </w:rPr>
            </w:pPr>
            <w:r w:rsidRPr="00160B44">
              <w:rPr>
                <w:rFonts w:ascii="Arial Narrow" w:hAnsi="Arial Narrow"/>
                <w:bCs/>
                <w:color w:val="FFFFFF" w:themeColor="background1"/>
              </w:rPr>
              <w:t>Average</w:t>
            </w:r>
          </w:p>
        </w:tc>
      </w:tr>
      <w:tr w:rsidR="00EA185F" w14:paraId="0A635AB1" w14:textId="77777777" w:rsidTr="00160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pct"/>
            <w:noWrap/>
            <w:hideMark/>
          </w:tcPr>
          <w:p w14:paraId="6BB3CB35" w14:textId="77777777" w:rsidR="009759C1" w:rsidRDefault="009759C1" w:rsidP="00C14BDF">
            <w:pPr>
              <w:keepNext/>
              <w:jc w:val="left"/>
              <w:rPr>
                <w:rFonts w:ascii="Arial Narrow" w:hAnsi="Arial Narrow"/>
                <w:szCs w:val="20"/>
              </w:rPr>
            </w:pPr>
            <w:r>
              <w:rPr>
                <w:rFonts w:ascii="Arial Narrow" w:hAnsi="Arial Narrow"/>
                <w:szCs w:val="20"/>
              </w:rPr>
              <w:t>Financial and Accounting</w:t>
            </w:r>
          </w:p>
        </w:tc>
        <w:tc>
          <w:tcPr>
            <w:tcW w:w="749" w:type="pct"/>
            <w:noWrap/>
            <w:hideMark/>
          </w:tcPr>
          <w:p w14:paraId="6B8795EE" w14:textId="77777777" w:rsidR="009759C1" w:rsidRDefault="009759C1" w:rsidP="00160B44">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Pr>
                <w:rFonts w:ascii="Arial Narrow" w:hAnsi="Arial Narrow"/>
                <w:szCs w:val="20"/>
              </w:rPr>
              <w:t>$2.55-$25.00</w:t>
            </w:r>
          </w:p>
        </w:tc>
        <w:tc>
          <w:tcPr>
            <w:tcW w:w="801" w:type="pct"/>
            <w:noWrap/>
            <w:hideMark/>
          </w:tcPr>
          <w:p w14:paraId="4B8FB808" w14:textId="77777777" w:rsidR="009759C1" w:rsidRDefault="009759C1" w:rsidP="00160B44">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Pr>
                <w:rFonts w:ascii="Arial Narrow" w:hAnsi="Arial Narrow"/>
                <w:szCs w:val="20"/>
              </w:rPr>
              <w:t>2.61-$39.90</w:t>
            </w:r>
          </w:p>
        </w:tc>
        <w:tc>
          <w:tcPr>
            <w:tcW w:w="699" w:type="pct"/>
            <w:noWrap/>
            <w:hideMark/>
          </w:tcPr>
          <w:p w14:paraId="6393EC63" w14:textId="77777777" w:rsidR="009759C1" w:rsidRDefault="009759C1" w:rsidP="00160B44">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Pr>
                <w:rFonts w:ascii="Arial Narrow" w:hAnsi="Arial Narrow"/>
                <w:szCs w:val="20"/>
              </w:rPr>
              <w:t>$2.62-$3.74</w:t>
            </w:r>
          </w:p>
        </w:tc>
        <w:tc>
          <w:tcPr>
            <w:tcW w:w="550" w:type="pct"/>
            <w:noWrap/>
            <w:hideMark/>
          </w:tcPr>
          <w:p w14:paraId="3CE077DE" w14:textId="77777777" w:rsidR="009759C1" w:rsidRDefault="009759C1" w:rsidP="00160B44">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Pr>
                <w:rFonts w:ascii="Arial Narrow" w:hAnsi="Arial Narrow"/>
                <w:szCs w:val="20"/>
              </w:rPr>
              <w:t>$13.00</w:t>
            </w:r>
          </w:p>
        </w:tc>
      </w:tr>
      <w:tr w:rsidR="00EA185F" w14:paraId="337C37CC" w14:textId="77777777" w:rsidTr="00160B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pct"/>
            <w:noWrap/>
            <w:hideMark/>
          </w:tcPr>
          <w:p w14:paraId="209AE004" w14:textId="77777777" w:rsidR="009759C1" w:rsidRDefault="009759C1" w:rsidP="00C14BDF">
            <w:pPr>
              <w:keepNext/>
              <w:jc w:val="left"/>
              <w:rPr>
                <w:rFonts w:ascii="Arial Narrow" w:hAnsi="Arial Narrow"/>
                <w:szCs w:val="20"/>
              </w:rPr>
            </w:pPr>
            <w:r>
              <w:rPr>
                <w:rFonts w:ascii="Arial Narrow" w:hAnsi="Arial Narrow"/>
                <w:szCs w:val="20"/>
              </w:rPr>
              <w:t>Carrying Costs on Arrearages</w:t>
            </w:r>
          </w:p>
        </w:tc>
        <w:tc>
          <w:tcPr>
            <w:tcW w:w="749" w:type="pct"/>
            <w:noWrap/>
            <w:hideMark/>
          </w:tcPr>
          <w:p w14:paraId="7090B744" w14:textId="77777777" w:rsidR="009759C1" w:rsidRDefault="009759C1" w:rsidP="00160B44">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p>
        </w:tc>
        <w:tc>
          <w:tcPr>
            <w:tcW w:w="801" w:type="pct"/>
            <w:noWrap/>
            <w:hideMark/>
          </w:tcPr>
          <w:p w14:paraId="7AD3A648" w14:textId="77777777" w:rsidR="009759C1" w:rsidRDefault="009759C1" w:rsidP="00160B44">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Pr>
                <w:rFonts w:ascii="Arial Narrow" w:hAnsi="Arial Narrow"/>
                <w:szCs w:val="20"/>
              </w:rPr>
              <w:t>$1.50-$4.00</w:t>
            </w:r>
          </w:p>
        </w:tc>
        <w:tc>
          <w:tcPr>
            <w:tcW w:w="699" w:type="pct"/>
            <w:noWrap/>
            <w:hideMark/>
          </w:tcPr>
          <w:p w14:paraId="249F1EA8" w14:textId="77777777" w:rsidR="009759C1" w:rsidRDefault="009759C1" w:rsidP="00160B44">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p>
        </w:tc>
        <w:tc>
          <w:tcPr>
            <w:tcW w:w="550" w:type="pct"/>
            <w:noWrap/>
            <w:hideMark/>
          </w:tcPr>
          <w:p w14:paraId="0767C84F" w14:textId="77777777" w:rsidR="009759C1" w:rsidRDefault="009759C1" w:rsidP="00160B44">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Pr>
                <w:rFonts w:ascii="Arial Narrow" w:hAnsi="Arial Narrow"/>
                <w:szCs w:val="20"/>
              </w:rPr>
              <w:t>$2.50</w:t>
            </w:r>
          </w:p>
        </w:tc>
      </w:tr>
      <w:tr w:rsidR="00EA185F" w14:paraId="182DCA3A" w14:textId="77777777" w:rsidTr="00160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pct"/>
            <w:noWrap/>
            <w:hideMark/>
          </w:tcPr>
          <w:p w14:paraId="3F755052" w14:textId="4D550BAE" w:rsidR="009759C1" w:rsidRDefault="009759C1" w:rsidP="00C14BDF">
            <w:pPr>
              <w:keepNext/>
              <w:jc w:val="left"/>
              <w:rPr>
                <w:rFonts w:ascii="Arial Narrow" w:hAnsi="Arial Narrow"/>
                <w:szCs w:val="20"/>
              </w:rPr>
            </w:pPr>
            <w:r>
              <w:rPr>
                <w:rFonts w:ascii="Arial Narrow" w:hAnsi="Arial Narrow"/>
                <w:szCs w:val="20"/>
              </w:rPr>
              <w:t xml:space="preserve">Reduced </w:t>
            </w:r>
            <w:r w:rsidR="00E93CE1">
              <w:rPr>
                <w:rFonts w:ascii="Arial Narrow" w:hAnsi="Arial Narrow"/>
                <w:szCs w:val="20"/>
              </w:rPr>
              <w:t>income eligible</w:t>
            </w:r>
            <w:r>
              <w:rPr>
                <w:rFonts w:ascii="Arial Narrow" w:hAnsi="Arial Narrow"/>
                <w:szCs w:val="20"/>
              </w:rPr>
              <w:t xml:space="preserve"> </w:t>
            </w:r>
            <w:r w:rsidR="00EA185F">
              <w:rPr>
                <w:rFonts w:ascii="Arial Narrow" w:hAnsi="Arial Narrow"/>
                <w:szCs w:val="20"/>
              </w:rPr>
              <w:t>participation in alternative payment programs</w:t>
            </w:r>
          </w:p>
        </w:tc>
        <w:tc>
          <w:tcPr>
            <w:tcW w:w="749" w:type="pct"/>
            <w:noWrap/>
            <w:hideMark/>
          </w:tcPr>
          <w:p w14:paraId="12973102" w14:textId="77777777" w:rsidR="009759C1" w:rsidRDefault="009759C1" w:rsidP="00160B44">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p>
        </w:tc>
        <w:tc>
          <w:tcPr>
            <w:tcW w:w="801" w:type="pct"/>
            <w:noWrap/>
            <w:hideMark/>
          </w:tcPr>
          <w:p w14:paraId="4D3FDDB0" w14:textId="77777777" w:rsidR="009759C1" w:rsidRDefault="009759C1" w:rsidP="00160B44">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Pr>
                <w:rFonts w:ascii="Arial Narrow" w:hAnsi="Arial Narrow"/>
                <w:szCs w:val="20"/>
              </w:rPr>
              <w:t>$3.00-$25.00</w:t>
            </w:r>
          </w:p>
        </w:tc>
        <w:tc>
          <w:tcPr>
            <w:tcW w:w="699" w:type="pct"/>
            <w:noWrap/>
            <w:hideMark/>
          </w:tcPr>
          <w:p w14:paraId="2628791D" w14:textId="77777777" w:rsidR="009759C1" w:rsidRDefault="009759C1" w:rsidP="00160B44">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p>
        </w:tc>
        <w:tc>
          <w:tcPr>
            <w:tcW w:w="550" w:type="pct"/>
            <w:noWrap/>
            <w:hideMark/>
          </w:tcPr>
          <w:p w14:paraId="79BB0EA5" w14:textId="77777777" w:rsidR="009759C1" w:rsidRDefault="009759C1" w:rsidP="00160B44">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Pr>
                <w:rFonts w:ascii="Arial Narrow" w:hAnsi="Arial Narrow"/>
                <w:szCs w:val="20"/>
              </w:rPr>
              <w:t>$13.00</w:t>
            </w:r>
          </w:p>
        </w:tc>
      </w:tr>
      <w:tr w:rsidR="00EA185F" w14:paraId="653C1FA8" w14:textId="77777777" w:rsidTr="00160B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pct"/>
            <w:noWrap/>
            <w:hideMark/>
          </w:tcPr>
          <w:p w14:paraId="2FB3D755" w14:textId="17DE3B1B" w:rsidR="009759C1" w:rsidRDefault="00EA185F" w:rsidP="00C14BDF">
            <w:pPr>
              <w:keepNext/>
              <w:jc w:val="left"/>
              <w:rPr>
                <w:rFonts w:ascii="Arial Narrow" w:hAnsi="Arial Narrow"/>
                <w:szCs w:val="20"/>
              </w:rPr>
            </w:pPr>
            <w:r>
              <w:rPr>
                <w:rFonts w:ascii="Arial Narrow" w:hAnsi="Arial Narrow"/>
                <w:szCs w:val="20"/>
              </w:rPr>
              <w:t>Disconnections</w:t>
            </w:r>
            <w:r w:rsidR="009759C1">
              <w:rPr>
                <w:rFonts w:ascii="Arial Narrow" w:hAnsi="Arial Narrow"/>
                <w:szCs w:val="20"/>
              </w:rPr>
              <w:t>/reconnect</w:t>
            </w:r>
            <w:r>
              <w:rPr>
                <w:rFonts w:ascii="Arial Narrow" w:hAnsi="Arial Narrow"/>
                <w:szCs w:val="20"/>
              </w:rPr>
              <w:t>ions</w:t>
            </w:r>
          </w:p>
        </w:tc>
        <w:tc>
          <w:tcPr>
            <w:tcW w:w="749" w:type="pct"/>
            <w:noWrap/>
            <w:hideMark/>
          </w:tcPr>
          <w:p w14:paraId="21589D90" w14:textId="77777777" w:rsidR="009759C1" w:rsidRDefault="009759C1" w:rsidP="00160B44">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p>
        </w:tc>
        <w:tc>
          <w:tcPr>
            <w:tcW w:w="801" w:type="pct"/>
            <w:noWrap/>
            <w:hideMark/>
          </w:tcPr>
          <w:p w14:paraId="5FA1744D" w14:textId="77777777" w:rsidR="009759C1" w:rsidRDefault="009759C1" w:rsidP="00160B44">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Pr>
                <w:rFonts w:ascii="Arial Narrow" w:hAnsi="Arial Narrow"/>
                <w:szCs w:val="20"/>
              </w:rPr>
              <w:t>$0.10-$3.65</w:t>
            </w:r>
          </w:p>
        </w:tc>
        <w:tc>
          <w:tcPr>
            <w:tcW w:w="699" w:type="pct"/>
            <w:noWrap/>
            <w:hideMark/>
          </w:tcPr>
          <w:p w14:paraId="4FF7A9C1" w14:textId="77777777" w:rsidR="009759C1" w:rsidRDefault="009759C1" w:rsidP="00160B44">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p>
        </w:tc>
        <w:tc>
          <w:tcPr>
            <w:tcW w:w="550" w:type="pct"/>
            <w:noWrap/>
            <w:hideMark/>
          </w:tcPr>
          <w:p w14:paraId="6B382DA6" w14:textId="77777777" w:rsidR="009759C1" w:rsidRDefault="009759C1" w:rsidP="00160B44">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Pr>
                <w:rFonts w:ascii="Arial Narrow" w:hAnsi="Arial Narrow"/>
                <w:szCs w:val="20"/>
              </w:rPr>
              <w:t>$0.65</w:t>
            </w:r>
          </w:p>
        </w:tc>
      </w:tr>
      <w:tr w:rsidR="00EA185F" w14:paraId="27CDD678" w14:textId="77777777" w:rsidTr="00160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pct"/>
            <w:noWrap/>
            <w:hideMark/>
          </w:tcPr>
          <w:p w14:paraId="4E974EAA" w14:textId="77777777" w:rsidR="009759C1" w:rsidRDefault="009759C1" w:rsidP="00C14BDF">
            <w:pPr>
              <w:keepNext/>
              <w:jc w:val="left"/>
              <w:rPr>
                <w:rFonts w:ascii="Arial Narrow" w:hAnsi="Arial Narrow"/>
                <w:szCs w:val="20"/>
              </w:rPr>
            </w:pPr>
            <w:r>
              <w:rPr>
                <w:rFonts w:ascii="Arial Narrow" w:hAnsi="Arial Narrow"/>
                <w:szCs w:val="20"/>
              </w:rPr>
              <w:t>Notices</w:t>
            </w:r>
          </w:p>
        </w:tc>
        <w:tc>
          <w:tcPr>
            <w:tcW w:w="749" w:type="pct"/>
            <w:noWrap/>
            <w:hideMark/>
          </w:tcPr>
          <w:p w14:paraId="1DB1B969" w14:textId="77777777" w:rsidR="009759C1" w:rsidRDefault="009759C1" w:rsidP="00160B44">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p>
        </w:tc>
        <w:tc>
          <w:tcPr>
            <w:tcW w:w="801" w:type="pct"/>
            <w:noWrap/>
            <w:hideMark/>
          </w:tcPr>
          <w:p w14:paraId="4622A8F7" w14:textId="77777777" w:rsidR="009759C1" w:rsidRDefault="009759C1" w:rsidP="00160B44">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Pr>
                <w:rFonts w:ascii="Arial Narrow" w:hAnsi="Arial Narrow"/>
                <w:szCs w:val="20"/>
              </w:rPr>
              <w:t>$0.05-$1.50</w:t>
            </w:r>
          </w:p>
        </w:tc>
        <w:tc>
          <w:tcPr>
            <w:tcW w:w="699" w:type="pct"/>
            <w:noWrap/>
            <w:hideMark/>
          </w:tcPr>
          <w:p w14:paraId="3AB8F1EF" w14:textId="77777777" w:rsidR="009759C1" w:rsidRDefault="009759C1" w:rsidP="00160B44">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p>
        </w:tc>
        <w:tc>
          <w:tcPr>
            <w:tcW w:w="550" w:type="pct"/>
            <w:noWrap/>
            <w:hideMark/>
          </w:tcPr>
          <w:p w14:paraId="64262E5F" w14:textId="77777777" w:rsidR="009759C1" w:rsidRDefault="009759C1" w:rsidP="00160B44">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Pr>
                <w:rFonts w:ascii="Arial Narrow" w:hAnsi="Arial Narrow"/>
                <w:szCs w:val="20"/>
              </w:rPr>
              <w:t>$0.60</w:t>
            </w:r>
          </w:p>
        </w:tc>
      </w:tr>
      <w:tr w:rsidR="00EA185F" w14:paraId="0FA871E4" w14:textId="77777777" w:rsidTr="00160B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pct"/>
            <w:noWrap/>
            <w:hideMark/>
          </w:tcPr>
          <w:p w14:paraId="1EA978E9" w14:textId="77777777" w:rsidR="009759C1" w:rsidRDefault="009759C1" w:rsidP="00C14BDF">
            <w:pPr>
              <w:keepNext/>
              <w:jc w:val="left"/>
              <w:rPr>
                <w:rFonts w:ascii="Arial Narrow" w:hAnsi="Arial Narrow"/>
                <w:szCs w:val="20"/>
              </w:rPr>
            </w:pPr>
            <w:r>
              <w:rPr>
                <w:rFonts w:ascii="Arial Narrow" w:hAnsi="Arial Narrow"/>
                <w:szCs w:val="20"/>
              </w:rPr>
              <w:t>Customer calls/collections</w:t>
            </w:r>
          </w:p>
        </w:tc>
        <w:tc>
          <w:tcPr>
            <w:tcW w:w="749" w:type="pct"/>
            <w:noWrap/>
            <w:hideMark/>
          </w:tcPr>
          <w:p w14:paraId="669048C6" w14:textId="77777777" w:rsidR="009759C1" w:rsidRDefault="009759C1" w:rsidP="00160B44">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p>
        </w:tc>
        <w:tc>
          <w:tcPr>
            <w:tcW w:w="801" w:type="pct"/>
            <w:noWrap/>
            <w:hideMark/>
          </w:tcPr>
          <w:p w14:paraId="4844D4BB" w14:textId="77777777" w:rsidR="009759C1" w:rsidRDefault="009759C1" w:rsidP="00160B44">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Pr>
                <w:rFonts w:ascii="Arial Narrow" w:hAnsi="Arial Narrow"/>
                <w:szCs w:val="20"/>
              </w:rPr>
              <w:t>$0.40-$1.50</w:t>
            </w:r>
          </w:p>
        </w:tc>
        <w:tc>
          <w:tcPr>
            <w:tcW w:w="699" w:type="pct"/>
            <w:noWrap/>
            <w:hideMark/>
          </w:tcPr>
          <w:p w14:paraId="13A1ECFE" w14:textId="77777777" w:rsidR="009759C1" w:rsidRDefault="009759C1" w:rsidP="00160B44">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p>
        </w:tc>
        <w:tc>
          <w:tcPr>
            <w:tcW w:w="550" w:type="pct"/>
            <w:noWrap/>
            <w:hideMark/>
          </w:tcPr>
          <w:p w14:paraId="460D84B2" w14:textId="412B3880" w:rsidR="009759C1" w:rsidRDefault="009759C1" w:rsidP="00160B44">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Pr>
                <w:rFonts w:ascii="Arial Narrow" w:hAnsi="Arial Narrow"/>
                <w:szCs w:val="20"/>
              </w:rPr>
              <w:t>$0.90</w:t>
            </w:r>
          </w:p>
        </w:tc>
      </w:tr>
    </w:tbl>
    <w:p w14:paraId="4C25E768" w14:textId="2584D49F" w:rsidR="009759C1" w:rsidRDefault="009759C1" w:rsidP="00160B44">
      <w:pPr>
        <w:pStyle w:val="Source"/>
      </w:pPr>
      <w:r>
        <w:t>Source</w:t>
      </w:r>
      <w:r w:rsidR="009F409A">
        <w:t>s</w:t>
      </w:r>
      <w:r>
        <w:t>: Malone et al, 2019; NEEP 201</w:t>
      </w:r>
      <w:r w:rsidR="0088225D">
        <w:t>7</w:t>
      </w:r>
      <w:r>
        <w:t>.</w:t>
      </w:r>
    </w:p>
    <w:p w14:paraId="0C8D010B" w14:textId="2FECB1A2" w:rsidR="009759C1" w:rsidRDefault="009759C1" w:rsidP="009759C1">
      <w:pPr>
        <w:pStyle w:val="Heading1"/>
      </w:pPr>
      <w:bookmarkStart w:id="6" w:name="x"/>
      <w:r>
        <w:t xml:space="preserve">Participant </w:t>
      </w:r>
      <w:bookmarkEnd w:id="6"/>
      <w:r>
        <w:t>NEIs</w:t>
      </w:r>
    </w:p>
    <w:p w14:paraId="45F23B20" w14:textId="5D573AE6" w:rsidR="009759C1" w:rsidRDefault="0036494E" w:rsidP="009759C1">
      <w:pPr>
        <w:spacing w:line="240" w:lineRule="exact"/>
        <w:rPr>
          <w:rFonts w:cs="Arial"/>
          <w:color w:val="auto"/>
          <w:szCs w:val="20"/>
        </w:rPr>
      </w:pPr>
      <w:r>
        <w:rPr>
          <w:rFonts w:cs="Arial"/>
          <w:szCs w:val="20"/>
        </w:rPr>
        <w:t xml:space="preserve">Participant NEIs include reduced medical costs associated with </w:t>
      </w:r>
      <w:r w:rsidR="009F409A">
        <w:rPr>
          <w:rFonts w:cs="Arial"/>
          <w:szCs w:val="20"/>
        </w:rPr>
        <w:t xml:space="preserve">reduced </w:t>
      </w:r>
      <w:r>
        <w:rPr>
          <w:rFonts w:cs="Arial"/>
          <w:szCs w:val="20"/>
        </w:rPr>
        <w:t xml:space="preserve">asthma </w:t>
      </w:r>
      <w:r w:rsidR="00266799">
        <w:rPr>
          <w:rFonts w:cs="Arial"/>
          <w:szCs w:val="20"/>
        </w:rPr>
        <w:t>symptoms</w:t>
      </w:r>
      <w:r>
        <w:rPr>
          <w:rFonts w:cs="Arial"/>
          <w:szCs w:val="20"/>
        </w:rPr>
        <w:t xml:space="preserve"> and thermal stress as well as reduced missed days of work. The </w:t>
      </w:r>
      <w:r w:rsidRPr="00263CF7">
        <w:rPr>
          <w:rFonts w:cs="Arial"/>
          <w:szCs w:val="20"/>
        </w:rPr>
        <w:t xml:space="preserve">U.S. Department of Energy’s (DOE) </w:t>
      </w:r>
      <w:r>
        <w:rPr>
          <w:rFonts w:cs="Arial"/>
          <w:szCs w:val="20"/>
        </w:rPr>
        <w:lastRenderedPageBreak/>
        <w:t>conducted a national assessment of the participant NEIs associated with</w:t>
      </w:r>
      <w:r w:rsidRPr="00263CF7">
        <w:rPr>
          <w:rFonts w:cs="Arial"/>
          <w:szCs w:val="20"/>
        </w:rPr>
        <w:t xml:space="preserve"> its Weatherization Assistance Program (WAP).</w:t>
      </w:r>
      <w:r>
        <w:rPr>
          <w:rFonts w:cs="Arial"/>
          <w:szCs w:val="20"/>
        </w:rPr>
        <w:t xml:space="preserve"> The DOE WAP </w:t>
      </w:r>
      <w:r w:rsidR="00266799">
        <w:rPr>
          <w:rFonts w:cs="Arial"/>
          <w:szCs w:val="20"/>
        </w:rPr>
        <w:t>assessment</w:t>
      </w:r>
      <w:r>
        <w:rPr>
          <w:rFonts w:cs="Arial"/>
          <w:szCs w:val="20"/>
        </w:rPr>
        <w:t xml:space="preserve"> included a comprehensive participant survey which participants completed before participation and one year following participation</w:t>
      </w:r>
      <w:r w:rsidR="00266799">
        <w:rPr>
          <w:rStyle w:val="FootnoteReference"/>
          <w:rFonts w:cs="Arial"/>
          <w:szCs w:val="20"/>
        </w:rPr>
        <w:footnoteReference w:id="22"/>
      </w:r>
      <w:r>
        <w:rPr>
          <w:rFonts w:cs="Arial"/>
          <w:szCs w:val="20"/>
        </w:rPr>
        <w:t>. Three states</w:t>
      </w:r>
      <w:r w:rsidR="00364684">
        <w:rPr>
          <w:rFonts w:cs="Arial"/>
          <w:szCs w:val="20"/>
        </w:rPr>
        <w:t>—</w:t>
      </w:r>
      <w:r w:rsidR="00364684" w:rsidRPr="00263CF7">
        <w:rPr>
          <w:rFonts w:cs="Arial"/>
          <w:szCs w:val="20"/>
        </w:rPr>
        <w:t>Maryland, Massachusetts and Rhode Island</w:t>
      </w:r>
      <w:r w:rsidR="00364684">
        <w:rPr>
          <w:rFonts w:cs="Arial"/>
          <w:szCs w:val="20"/>
        </w:rPr>
        <w:t>—</w:t>
      </w:r>
      <w:r>
        <w:rPr>
          <w:rFonts w:cs="Arial"/>
          <w:szCs w:val="20"/>
        </w:rPr>
        <w:t>used the same methodology to conduct participant NEI studies which quantified and monetized values used in cost-effectiveness tests.</w:t>
      </w:r>
      <w:r w:rsidR="00364684">
        <w:rPr>
          <w:rFonts w:cs="Arial"/>
          <w:szCs w:val="20"/>
        </w:rPr>
        <w:t xml:space="preserve"> Table </w:t>
      </w:r>
      <w:r w:rsidR="00266799">
        <w:rPr>
          <w:rFonts w:cs="Arial"/>
          <w:szCs w:val="20"/>
        </w:rPr>
        <w:t>5</w:t>
      </w:r>
      <w:r w:rsidR="000F3907">
        <w:rPr>
          <w:rFonts w:cs="Arial"/>
          <w:szCs w:val="20"/>
        </w:rPr>
        <w:t xml:space="preserve"> </w:t>
      </w:r>
      <w:r w:rsidR="00364684">
        <w:rPr>
          <w:rFonts w:cs="Arial"/>
          <w:szCs w:val="20"/>
        </w:rPr>
        <w:t>shows the participant NEI values per household</w:t>
      </w:r>
      <w:r w:rsidR="00B66E4E" w:rsidRPr="00B66E4E">
        <w:rPr>
          <w:rStyle w:val="FootnoteReference"/>
          <w:color w:val="auto"/>
        </w:rPr>
        <w:footnoteReference w:id="23"/>
      </w:r>
      <w:r w:rsidR="00B66E4E" w:rsidRPr="00B66E4E">
        <w:rPr>
          <w:rStyle w:val="FootnoteReference"/>
          <w:color w:val="auto"/>
        </w:rPr>
        <w:footnoteReference w:id="24"/>
      </w:r>
      <w:r w:rsidR="00B66E4E" w:rsidRPr="00B66E4E">
        <w:rPr>
          <w:rStyle w:val="FootnoteReference"/>
          <w:color w:val="auto"/>
        </w:rPr>
        <w:footnoteReference w:id="25"/>
      </w:r>
      <w:r w:rsidR="00364684" w:rsidRPr="00B66E4E">
        <w:rPr>
          <w:rFonts w:cs="Arial"/>
          <w:color w:val="auto"/>
          <w:szCs w:val="20"/>
        </w:rPr>
        <w:t>.</w:t>
      </w:r>
    </w:p>
    <w:p w14:paraId="767B8050" w14:textId="7AF67971" w:rsidR="00B66E4E" w:rsidRDefault="00B66E4E" w:rsidP="009759C1">
      <w:pPr>
        <w:spacing w:line="240" w:lineRule="exact"/>
        <w:rPr>
          <w:rFonts w:cs="Arial"/>
          <w:color w:val="auto"/>
          <w:szCs w:val="20"/>
        </w:rPr>
      </w:pPr>
    </w:p>
    <w:p w14:paraId="2D8D02EB" w14:textId="77777777" w:rsidR="00B66E4E" w:rsidRDefault="00B66E4E" w:rsidP="00B66E4E">
      <w:pPr>
        <w:pStyle w:val="ListParagraph"/>
        <w:widowControl w:val="0"/>
        <w:numPr>
          <w:ilvl w:val="0"/>
          <w:numId w:val="4"/>
        </w:numPr>
        <w:autoSpaceDE w:val="0"/>
        <w:autoSpaceDN w:val="0"/>
        <w:adjustRightInd w:val="0"/>
        <w:spacing w:before="120" w:line="240" w:lineRule="exact"/>
        <w:contextualSpacing/>
        <w:rPr>
          <w:rFonts w:cs="Arial"/>
          <w:szCs w:val="20"/>
        </w:rPr>
      </w:pPr>
      <w:r>
        <w:rPr>
          <w:rFonts w:cs="Arial"/>
          <w:b/>
          <w:szCs w:val="20"/>
        </w:rPr>
        <w:t xml:space="preserve">Maryland </w:t>
      </w:r>
      <w:r>
        <w:rPr>
          <w:rFonts w:cs="Arial"/>
          <w:bCs/>
          <w:szCs w:val="20"/>
        </w:rPr>
        <w:t>conducted primary research to monetize participant NEIs, which were subsequently approved by the Maryland Public Service Commission. The Investor-Owned Utilities in Maryland also include monetized participant benefits of $30 per year for insulation and duct sealing associated with the Home Performance with ENERGY STAR Program.</w:t>
      </w:r>
      <w:r>
        <w:rPr>
          <w:rStyle w:val="FootnoteReference"/>
          <w:rFonts w:cs="Arial"/>
          <w:bCs/>
          <w:szCs w:val="20"/>
        </w:rPr>
        <w:footnoteReference w:id="26"/>
      </w:r>
      <w:r>
        <w:rPr>
          <w:rFonts w:cs="Arial"/>
          <w:bCs/>
          <w:szCs w:val="20"/>
        </w:rPr>
        <w:t xml:space="preserve"> </w:t>
      </w:r>
      <w:r>
        <w:rPr>
          <w:rStyle w:val="FootnoteReference"/>
          <w:rFonts w:cs="Arial"/>
          <w:bCs/>
          <w:szCs w:val="20"/>
        </w:rPr>
        <w:footnoteReference w:id="27"/>
      </w:r>
      <w:r>
        <w:rPr>
          <w:rFonts w:cs="Arial"/>
          <w:szCs w:val="20"/>
        </w:rPr>
        <w:t xml:space="preserve"> </w:t>
      </w:r>
    </w:p>
    <w:p w14:paraId="15B5B376" w14:textId="77777777" w:rsidR="00B66E4E" w:rsidRPr="000F3907" w:rsidRDefault="00B66E4E" w:rsidP="00B66E4E">
      <w:pPr>
        <w:pStyle w:val="ListParagraph"/>
        <w:widowControl w:val="0"/>
        <w:numPr>
          <w:ilvl w:val="0"/>
          <w:numId w:val="4"/>
        </w:numPr>
        <w:autoSpaceDE w:val="0"/>
        <w:autoSpaceDN w:val="0"/>
        <w:adjustRightInd w:val="0"/>
        <w:spacing w:before="120" w:line="240" w:lineRule="exact"/>
        <w:contextualSpacing/>
        <w:rPr>
          <w:rFonts w:cs="Arial"/>
          <w:szCs w:val="20"/>
        </w:rPr>
      </w:pPr>
      <w:r w:rsidRPr="000F3907">
        <w:rPr>
          <w:rFonts w:cs="Arial"/>
          <w:b/>
          <w:szCs w:val="20"/>
        </w:rPr>
        <w:t xml:space="preserve">Massachusetts </w:t>
      </w:r>
      <w:r w:rsidRPr="000F3907">
        <w:rPr>
          <w:rFonts w:cs="Arial"/>
          <w:szCs w:val="20"/>
        </w:rPr>
        <w:t>conducted primary research to determine the participant NEIs associated with income eligible programs including reduced effects of asthma, cold- and heat-related thermal stress, missed days of work, deaths, and fire damage</w:t>
      </w:r>
      <w:r>
        <w:rPr>
          <w:rStyle w:val="FootnoteReference"/>
          <w:rFonts w:cs="Arial"/>
          <w:szCs w:val="20"/>
        </w:rPr>
        <w:footnoteReference w:id="28"/>
      </w:r>
      <w:r w:rsidRPr="000F3907">
        <w:rPr>
          <w:rFonts w:cs="Arial"/>
          <w:szCs w:val="20"/>
        </w:rPr>
        <w:t>. These monetized values are provided in the statewide TRM. M</w:t>
      </w:r>
      <w:r>
        <w:rPr>
          <w:rFonts w:cs="Arial"/>
          <w:szCs w:val="20"/>
        </w:rPr>
        <w:t>assachusetts utilities</w:t>
      </w:r>
      <w:r w:rsidRPr="000F3907">
        <w:rPr>
          <w:rFonts w:cs="Arial"/>
          <w:szCs w:val="20"/>
        </w:rPr>
        <w:t xml:space="preserve"> include these monetized values in their programs’ TRC tests.</w:t>
      </w:r>
      <w:r>
        <w:rPr>
          <w:rStyle w:val="FootnoteReference"/>
          <w:rFonts w:cs="Arial"/>
          <w:szCs w:val="20"/>
        </w:rPr>
        <w:footnoteReference w:id="29"/>
      </w:r>
    </w:p>
    <w:p w14:paraId="76B27148" w14:textId="77777777" w:rsidR="00B66E4E" w:rsidRDefault="00B66E4E" w:rsidP="00B66E4E">
      <w:pPr>
        <w:pStyle w:val="ListParagraph"/>
        <w:widowControl w:val="0"/>
        <w:numPr>
          <w:ilvl w:val="0"/>
          <w:numId w:val="4"/>
        </w:numPr>
        <w:autoSpaceDE w:val="0"/>
        <w:autoSpaceDN w:val="0"/>
        <w:adjustRightInd w:val="0"/>
        <w:spacing w:before="120" w:line="240" w:lineRule="exact"/>
        <w:contextualSpacing/>
        <w:rPr>
          <w:rFonts w:cs="Arial"/>
          <w:szCs w:val="20"/>
        </w:rPr>
      </w:pPr>
      <w:r>
        <w:rPr>
          <w:rFonts w:cs="Arial"/>
          <w:b/>
          <w:szCs w:val="20"/>
        </w:rPr>
        <w:t>Rhode Island</w:t>
      </w:r>
      <w:r>
        <w:rPr>
          <w:rFonts w:cs="Arial"/>
          <w:szCs w:val="20"/>
        </w:rPr>
        <w:t xml:space="preserve"> monetized specific health benefits such as fewer colds and viruses, improved indoor air quality and ease of maintaining healthy relative humidity from weatherization. These monetized values are provided in the statewide TRM. Rhode Island includes these values in its state specific cost-benefit test</w:t>
      </w:r>
      <w:r>
        <w:rPr>
          <w:rStyle w:val="FootnoteReference"/>
          <w:rFonts w:cs="Arial"/>
          <w:szCs w:val="20"/>
        </w:rPr>
        <w:footnoteReference w:id="30"/>
      </w:r>
    </w:p>
    <w:p w14:paraId="5C9DD1F8" w14:textId="77777777" w:rsidR="00B66E4E" w:rsidRDefault="00B66E4E" w:rsidP="009759C1">
      <w:pPr>
        <w:spacing w:line="240" w:lineRule="exact"/>
        <w:rPr>
          <w:rFonts w:cs="Arial"/>
          <w:szCs w:val="20"/>
        </w:rPr>
      </w:pPr>
    </w:p>
    <w:p w14:paraId="713ABC30" w14:textId="77777777" w:rsidR="00A612E0" w:rsidRDefault="00A612E0" w:rsidP="009759C1">
      <w:pPr>
        <w:spacing w:line="240" w:lineRule="exact"/>
        <w:rPr>
          <w:rFonts w:eastAsiaTheme="minorEastAsia" w:cs="Arial"/>
          <w:szCs w:val="20"/>
        </w:rPr>
      </w:pPr>
    </w:p>
    <w:p w14:paraId="4C093424" w14:textId="20155968" w:rsidR="00A612E0" w:rsidRPr="00160B44" w:rsidRDefault="00A612E0" w:rsidP="00A612E0">
      <w:pPr>
        <w:pStyle w:val="Caption"/>
        <w:rPr>
          <w:rFonts w:cs="Arial"/>
          <w:b w:val="0"/>
          <w:bCs w:val="0"/>
        </w:rPr>
      </w:pPr>
      <w:r>
        <w:t xml:space="preserve">Table </w:t>
      </w:r>
      <w:r w:rsidR="00266799">
        <w:t>5</w:t>
      </w:r>
      <w:r>
        <w:t>. Examples of Monetized Participant Health NEIs- Per Household</w:t>
      </w:r>
    </w:p>
    <w:tbl>
      <w:tblPr>
        <w:tblStyle w:val="EnergyTable"/>
        <w:tblW w:w="5000" w:type="pct"/>
        <w:tblLook w:val="04A0" w:firstRow="1" w:lastRow="0" w:firstColumn="1" w:lastColumn="0" w:noHBand="0" w:noVBand="1"/>
      </w:tblPr>
      <w:tblGrid>
        <w:gridCol w:w="2622"/>
        <w:gridCol w:w="1948"/>
        <w:gridCol w:w="1712"/>
        <w:gridCol w:w="1501"/>
        <w:gridCol w:w="1217"/>
      </w:tblGrid>
      <w:tr w:rsidR="00C14BDF" w14:paraId="1077952A" w14:textId="77777777" w:rsidTr="00160B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7" w:type="pct"/>
            <w:noWrap/>
            <w:hideMark/>
          </w:tcPr>
          <w:p w14:paraId="5679D73E" w14:textId="64EC377E" w:rsidR="009759C1" w:rsidRPr="00160B44" w:rsidRDefault="009759C1" w:rsidP="00C14BDF">
            <w:pPr>
              <w:jc w:val="left"/>
              <w:rPr>
                <w:rFonts w:ascii="Arial Narrow" w:hAnsi="Arial Narrow"/>
                <w:bCs/>
                <w:color w:val="F2F2F2" w:themeColor="background1" w:themeShade="F2"/>
                <w:szCs w:val="20"/>
              </w:rPr>
            </w:pPr>
            <w:r w:rsidRPr="00160B44">
              <w:rPr>
                <w:rFonts w:ascii="Arial Narrow" w:hAnsi="Arial Narrow"/>
                <w:b w:val="0"/>
                <w:bCs/>
                <w:color w:val="F2F2F2" w:themeColor="background1" w:themeShade="F2"/>
                <w:szCs w:val="20"/>
              </w:rPr>
              <w:t xml:space="preserve">Participant </w:t>
            </w:r>
            <w:r w:rsidR="00E07842" w:rsidRPr="00160B44">
              <w:rPr>
                <w:rFonts w:ascii="Arial Narrow" w:hAnsi="Arial Narrow"/>
                <w:b w:val="0"/>
                <w:bCs/>
                <w:color w:val="F2F2F2" w:themeColor="background1" w:themeShade="F2"/>
                <w:szCs w:val="20"/>
              </w:rPr>
              <w:t>NEI type</w:t>
            </w:r>
          </w:p>
        </w:tc>
        <w:tc>
          <w:tcPr>
            <w:tcW w:w="1082" w:type="pct"/>
            <w:noWrap/>
            <w:hideMark/>
          </w:tcPr>
          <w:p w14:paraId="1B4358D7" w14:textId="77777777" w:rsidR="009759C1" w:rsidRPr="00160B44" w:rsidRDefault="009759C1" w:rsidP="00C14BDF">
            <w:pPr>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2F2F2" w:themeColor="background1" w:themeShade="F2"/>
                <w:szCs w:val="20"/>
              </w:rPr>
            </w:pPr>
            <w:r w:rsidRPr="00160B44">
              <w:rPr>
                <w:rFonts w:ascii="Arial Narrow" w:hAnsi="Arial Narrow"/>
                <w:b w:val="0"/>
                <w:bCs/>
                <w:color w:val="F2F2F2" w:themeColor="background1" w:themeShade="F2"/>
                <w:szCs w:val="20"/>
              </w:rPr>
              <w:t>Maryland</w:t>
            </w:r>
          </w:p>
        </w:tc>
        <w:tc>
          <w:tcPr>
            <w:tcW w:w="951" w:type="pct"/>
            <w:noWrap/>
            <w:hideMark/>
          </w:tcPr>
          <w:p w14:paraId="01B3F87E" w14:textId="77777777" w:rsidR="009759C1" w:rsidRPr="00160B44" w:rsidRDefault="009759C1" w:rsidP="00C14BDF">
            <w:pPr>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2F2F2" w:themeColor="background1" w:themeShade="F2"/>
                <w:szCs w:val="20"/>
              </w:rPr>
            </w:pPr>
            <w:r w:rsidRPr="00160B44">
              <w:rPr>
                <w:rFonts w:ascii="Arial Narrow" w:hAnsi="Arial Narrow"/>
                <w:b w:val="0"/>
                <w:bCs/>
                <w:color w:val="F2F2F2" w:themeColor="background1" w:themeShade="F2"/>
                <w:szCs w:val="20"/>
              </w:rPr>
              <w:t>Massachusetts</w:t>
            </w:r>
          </w:p>
        </w:tc>
        <w:tc>
          <w:tcPr>
            <w:tcW w:w="834" w:type="pct"/>
            <w:noWrap/>
            <w:hideMark/>
          </w:tcPr>
          <w:p w14:paraId="705098B7" w14:textId="77777777" w:rsidR="009759C1" w:rsidRPr="00160B44" w:rsidRDefault="009759C1" w:rsidP="00C14BDF">
            <w:pPr>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2F2F2" w:themeColor="background1" w:themeShade="F2"/>
                <w:szCs w:val="20"/>
              </w:rPr>
            </w:pPr>
            <w:r w:rsidRPr="00160B44">
              <w:rPr>
                <w:rFonts w:ascii="Arial Narrow" w:hAnsi="Arial Narrow"/>
                <w:b w:val="0"/>
                <w:bCs/>
                <w:color w:val="F2F2F2" w:themeColor="background1" w:themeShade="F2"/>
                <w:szCs w:val="20"/>
              </w:rPr>
              <w:t>Rhode Island</w:t>
            </w:r>
          </w:p>
        </w:tc>
        <w:tc>
          <w:tcPr>
            <w:tcW w:w="676" w:type="pct"/>
            <w:noWrap/>
            <w:hideMark/>
          </w:tcPr>
          <w:p w14:paraId="5EFFA55C" w14:textId="77777777" w:rsidR="009759C1" w:rsidRPr="00160B44" w:rsidRDefault="009759C1" w:rsidP="00C14BDF">
            <w:pPr>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2F2F2" w:themeColor="background1" w:themeShade="F2"/>
                <w:szCs w:val="20"/>
              </w:rPr>
            </w:pPr>
            <w:r w:rsidRPr="00160B44">
              <w:rPr>
                <w:rFonts w:ascii="Arial Narrow" w:hAnsi="Arial Narrow"/>
                <w:b w:val="0"/>
                <w:bCs/>
                <w:color w:val="F2F2F2" w:themeColor="background1" w:themeShade="F2"/>
                <w:szCs w:val="20"/>
              </w:rPr>
              <w:t>Average</w:t>
            </w:r>
          </w:p>
        </w:tc>
      </w:tr>
      <w:tr w:rsidR="009759C1" w14:paraId="1FBEF4CB" w14:textId="77777777" w:rsidTr="00160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7" w:type="pct"/>
            <w:noWrap/>
            <w:hideMark/>
          </w:tcPr>
          <w:p w14:paraId="56A21E75" w14:textId="77777777" w:rsidR="009759C1" w:rsidRPr="00160B44" w:rsidRDefault="009759C1" w:rsidP="009F409A">
            <w:pPr>
              <w:jc w:val="left"/>
              <w:rPr>
                <w:rFonts w:ascii="Arial Narrow" w:hAnsi="Arial Narrow"/>
                <w:szCs w:val="20"/>
              </w:rPr>
            </w:pPr>
            <w:r w:rsidRPr="00160B44">
              <w:rPr>
                <w:rFonts w:ascii="Arial Narrow" w:hAnsi="Arial Narrow"/>
                <w:szCs w:val="20"/>
              </w:rPr>
              <w:t>Comfort</w:t>
            </w:r>
          </w:p>
        </w:tc>
        <w:tc>
          <w:tcPr>
            <w:tcW w:w="1082" w:type="pct"/>
            <w:noWrap/>
            <w:hideMark/>
          </w:tcPr>
          <w:p w14:paraId="2477632B" w14:textId="77777777" w:rsidR="009759C1" w:rsidRPr="00160B44" w:rsidRDefault="009759C1" w:rsidP="00C14BDF">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160B44">
              <w:rPr>
                <w:rFonts w:ascii="Arial Narrow" w:hAnsi="Arial Narrow"/>
                <w:szCs w:val="20"/>
              </w:rPr>
              <w:t>$26.00-$105.00</w:t>
            </w:r>
          </w:p>
        </w:tc>
        <w:tc>
          <w:tcPr>
            <w:tcW w:w="951" w:type="pct"/>
            <w:noWrap/>
            <w:hideMark/>
          </w:tcPr>
          <w:p w14:paraId="13243B58" w14:textId="77777777" w:rsidR="009759C1" w:rsidRPr="00160B44" w:rsidRDefault="009759C1" w:rsidP="00C14BDF">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160B44">
              <w:rPr>
                <w:rFonts w:ascii="Arial Narrow" w:hAnsi="Arial Narrow"/>
                <w:szCs w:val="20"/>
              </w:rPr>
              <w:t>$31.00-$125.00</w:t>
            </w:r>
          </w:p>
        </w:tc>
        <w:tc>
          <w:tcPr>
            <w:tcW w:w="834" w:type="pct"/>
            <w:noWrap/>
            <w:hideMark/>
          </w:tcPr>
          <w:p w14:paraId="700566D3" w14:textId="77777777" w:rsidR="009759C1" w:rsidRPr="00160B44" w:rsidRDefault="009759C1" w:rsidP="00C14BDF">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160B44">
              <w:rPr>
                <w:rFonts w:ascii="Arial Narrow" w:hAnsi="Arial Narrow"/>
                <w:szCs w:val="20"/>
              </w:rPr>
              <w:t>$1.42-$125.00</w:t>
            </w:r>
          </w:p>
        </w:tc>
        <w:tc>
          <w:tcPr>
            <w:tcW w:w="676" w:type="pct"/>
            <w:noWrap/>
            <w:hideMark/>
          </w:tcPr>
          <w:p w14:paraId="1A468DE9" w14:textId="77777777" w:rsidR="009759C1" w:rsidRPr="00160B44" w:rsidRDefault="009759C1" w:rsidP="00C14BDF">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160B44">
              <w:rPr>
                <w:rFonts w:ascii="Arial Narrow" w:hAnsi="Arial Narrow"/>
                <w:szCs w:val="20"/>
              </w:rPr>
              <w:t xml:space="preserve">$69.00 </w:t>
            </w:r>
          </w:p>
        </w:tc>
      </w:tr>
      <w:tr w:rsidR="009759C1" w14:paraId="32BFC7B7" w14:textId="77777777" w:rsidTr="00160B44">
        <w:trPr>
          <w:cnfStyle w:val="000000010000" w:firstRow="0" w:lastRow="0" w:firstColumn="0" w:lastColumn="0" w:oddVBand="0" w:evenVBand="0" w:oddHBand="0" w:evenHBand="1"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57" w:type="pct"/>
            <w:noWrap/>
            <w:hideMark/>
          </w:tcPr>
          <w:p w14:paraId="7BC1DEB8" w14:textId="77777777" w:rsidR="009759C1" w:rsidRPr="00160B44" w:rsidRDefault="009759C1" w:rsidP="009F409A">
            <w:pPr>
              <w:jc w:val="left"/>
              <w:rPr>
                <w:rFonts w:ascii="Arial Narrow" w:hAnsi="Arial Narrow"/>
                <w:szCs w:val="20"/>
              </w:rPr>
            </w:pPr>
            <w:r w:rsidRPr="00160B44">
              <w:rPr>
                <w:rFonts w:ascii="Arial Narrow" w:hAnsi="Arial Narrow"/>
                <w:szCs w:val="20"/>
              </w:rPr>
              <w:t>Health &amp; Safety</w:t>
            </w:r>
          </w:p>
        </w:tc>
        <w:tc>
          <w:tcPr>
            <w:tcW w:w="1082" w:type="pct"/>
            <w:noWrap/>
            <w:hideMark/>
          </w:tcPr>
          <w:p w14:paraId="578A23EA" w14:textId="77777777" w:rsidR="009759C1" w:rsidRPr="00160B44" w:rsidRDefault="009759C1" w:rsidP="00C14BDF">
            <w:pPr>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160B44">
              <w:rPr>
                <w:rFonts w:ascii="Arial Narrow" w:hAnsi="Arial Narrow"/>
                <w:szCs w:val="20"/>
              </w:rPr>
              <w:t>$3.02-$100.50</w:t>
            </w:r>
          </w:p>
        </w:tc>
        <w:tc>
          <w:tcPr>
            <w:tcW w:w="951" w:type="pct"/>
            <w:noWrap/>
            <w:hideMark/>
          </w:tcPr>
          <w:p w14:paraId="6990B793" w14:textId="77777777" w:rsidR="009759C1" w:rsidRPr="00160B44" w:rsidRDefault="009759C1" w:rsidP="00C14BDF">
            <w:pPr>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160B44">
              <w:rPr>
                <w:rFonts w:ascii="Arial Narrow" w:hAnsi="Arial Narrow"/>
                <w:szCs w:val="20"/>
              </w:rPr>
              <w:t>$4.00-$45.00</w:t>
            </w:r>
          </w:p>
        </w:tc>
        <w:tc>
          <w:tcPr>
            <w:tcW w:w="834" w:type="pct"/>
            <w:noWrap/>
            <w:hideMark/>
          </w:tcPr>
          <w:p w14:paraId="6FDF6DFF" w14:textId="77777777" w:rsidR="009759C1" w:rsidRPr="00160B44" w:rsidRDefault="009759C1" w:rsidP="00C14BDF">
            <w:pPr>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160B44">
              <w:rPr>
                <w:rFonts w:ascii="Arial Narrow" w:hAnsi="Arial Narrow"/>
                <w:szCs w:val="20"/>
              </w:rPr>
              <w:t>$0.13-$45.00</w:t>
            </w:r>
          </w:p>
        </w:tc>
        <w:tc>
          <w:tcPr>
            <w:tcW w:w="676" w:type="pct"/>
            <w:noWrap/>
            <w:hideMark/>
          </w:tcPr>
          <w:p w14:paraId="698BC98B" w14:textId="77777777" w:rsidR="009759C1" w:rsidRPr="00160B44" w:rsidRDefault="009759C1" w:rsidP="00C14BDF">
            <w:pPr>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160B44">
              <w:rPr>
                <w:rFonts w:ascii="Arial Narrow" w:hAnsi="Arial Narrow"/>
                <w:szCs w:val="20"/>
              </w:rPr>
              <w:t xml:space="preserve">$33.00 </w:t>
            </w:r>
          </w:p>
        </w:tc>
      </w:tr>
      <w:tr w:rsidR="00E07842" w14:paraId="5930F19A" w14:textId="77777777" w:rsidTr="00160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7" w:type="pct"/>
            <w:noWrap/>
          </w:tcPr>
          <w:p w14:paraId="053C92E5" w14:textId="216AEEB1" w:rsidR="00E07842" w:rsidRPr="00160B44" w:rsidRDefault="00E07842" w:rsidP="009F409A">
            <w:pPr>
              <w:jc w:val="left"/>
              <w:rPr>
                <w:rFonts w:ascii="Arial Narrow" w:hAnsi="Arial Narrow"/>
                <w:szCs w:val="20"/>
              </w:rPr>
            </w:pPr>
            <w:r w:rsidRPr="00160B44">
              <w:rPr>
                <w:rFonts w:ascii="Arial Narrow" w:hAnsi="Arial Narrow"/>
                <w:szCs w:val="20"/>
              </w:rPr>
              <w:t>Reduced missed days of work</w:t>
            </w:r>
          </w:p>
        </w:tc>
        <w:tc>
          <w:tcPr>
            <w:tcW w:w="1082" w:type="pct"/>
            <w:noWrap/>
          </w:tcPr>
          <w:p w14:paraId="7FDC1ABA" w14:textId="77777777" w:rsidR="00E07842" w:rsidRPr="00160B44" w:rsidRDefault="00E07842" w:rsidP="00C14BDF">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p>
        </w:tc>
        <w:tc>
          <w:tcPr>
            <w:tcW w:w="951" w:type="pct"/>
            <w:noWrap/>
          </w:tcPr>
          <w:p w14:paraId="39FA52F9" w14:textId="5A81CFA6" w:rsidR="00E07842" w:rsidRPr="00160B44" w:rsidRDefault="007D5140" w:rsidP="00C14BDF">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160B44">
              <w:rPr>
                <w:rFonts w:ascii="Arial Narrow" w:hAnsi="Arial Narrow"/>
                <w:szCs w:val="20"/>
              </w:rPr>
              <w:t>$149.45</w:t>
            </w:r>
          </w:p>
        </w:tc>
        <w:tc>
          <w:tcPr>
            <w:tcW w:w="834" w:type="pct"/>
            <w:noWrap/>
          </w:tcPr>
          <w:p w14:paraId="534DE89B" w14:textId="77777777" w:rsidR="00E07842" w:rsidRPr="00160B44" w:rsidRDefault="00E07842" w:rsidP="00C14BDF">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p>
        </w:tc>
        <w:tc>
          <w:tcPr>
            <w:tcW w:w="676" w:type="pct"/>
            <w:noWrap/>
          </w:tcPr>
          <w:p w14:paraId="6EE16D74" w14:textId="77777777" w:rsidR="00E07842" w:rsidRPr="00160B44" w:rsidRDefault="00E07842" w:rsidP="00C14BDF">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p>
        </w:tc>
      </w:tr>
    </w:tbl>
    <w:p w14:paraId="025D98BE" w14:textId="3EE88040" w:rsidR="009759C1" w:rsidRDefault="009759C1" w:rsidP="009759C1">
      <w:pPr>
        <w:pStyle w:val="Source"/>
      </w:pPr>
      <w:r>
        <w:t xml:space="preserve">Sources: </w:t>
      </w:r>
      <w:r w:rsidR="007D5140">
        <w:t>Three</w:t>
      </w:r>
      <w:r w:rsidR="007D5140" w:rsidRPr="007D5140">
        <w:rPr>
          <w:rFonts w:cs="Times New Roman (Body CS)"/>
          <w:vertAlign w:val="superscript"/>
        </w:rPr>
        <w:t>3</w:t>
      </w:r>
      <w:r w:rsidR="007D5140">
        <w:rPr>
          <w:rFonts w:cs="Times New Roman (Body CS)"/>
          <w:vertAlign w:val="superscript"/>
        </w:rPr>
        <w:t xml:space="preserve"> </w:t>
      </w:r>
      <w:r w:rsidR="009F409A">
        <w:t xml:space="preserve">and NMR Group 2018; </w:t>
      </w:r>
      <w:r w:rsidR="00ED319E">
        <w:t>Malone et al</w:t>
      </w:r>
      <w:r>
        <w:t xml:space="preserve"> 2019; NEEP 201</w:t>
      </w:r>
      <w:r w:rsidR="00B66E4E">
        <w:t>7</w:t>
      </w:r>
      <w:r>
        <w:t>.</w:t>
      </w:r>
    </w:p>
    <w:p w14:paraId="231E48A6" w14:textId="10972E9D" w:rsidR="003C64A3" w:rsidRDefault="003C64A3">
      <w:pPr>
        <w:rPr>
          <w:rFonts w:eastAsiaTheme="minorHAnsi" w:cstheme="minorBidi"/>
          <w:i/>
          <w:color w:val="auto"/>
          <w:sz w:val="16"/>
          <w:szCs w:val="20"/>
        </w:rPr>
      </w:pPr>
      <w:r>
        <w:br w:type="page"/>
      </w:r>
    </w:p>
    <w:p w14:paraId="144F78E6" w14:textId="0217188C" w:rsidR="009759C1" w:rsidRDefault="009759C1" w:rsidP="00364684">
      <w:pPr>
        <w:pStyle w:val="Heading1"/>
      </w:pPr>
      <w:r>
        <w:lastRenderedPageBreak/>
        <w:t>Recommendations</w:t>
      </w:r>
    </w:p>
    <w:p w14:paraId="1D1C658E" w14:textId="40CEC5A7" w:rsidR="00855B4C" w:rsidRDefault="00855B4C" w:rsidP="00565DAC">
      <w:pPr>
        <w:rPr>
          <w:rFonts w:eastAsiaTheme="minorEastAsia"/>
        </w:rPr>
      </w:pPr>
      <w:r>
        <w:rPr>
          <w:rFonts w:eastAsiaTheme="minorEastAsia"/>
        </w:rPr>
        <w:t xml:space="preserve">Based on our review of the current </w:t>
      </w:r>
      <w:r w:rsidR="0090092B">
        <w:rPr>
          <w:rFonts w:eastAsiaTheme="minorEastAsia"/>
        </w:rPr>
        <w:t>practices that other states use to include monetized NEIs in cost-effectiveness tests</w:t>
      </w:r>
      <w:r>
        <w:rPr>
          <w:rFonts w:eastAsiaTheme="minorEastAsia"/>
        </w:rPr>
        <w:t xml:space="preserve">, we submit the following recommendations for </w:t>
      </w:r>
      <w:r w:rsidR="00BA4C5A">
        <w:rPr>
          <w:rFonts w:eastAsiaTheme="minorEastAsia"/>
        </w:rPr>
        <w:t xml:space="preserve">ComEd’s and </w:t>
      </w:r>
      <w:r>
        <w:rPr>
          <w:rFonts w:eastAsiaTheme="minorEastAsia"/>
        </w:rPr>
        <w:t>SAG’s consideration:</w:t>
      </w:r>
    </w:p>
    <w:p w14:paraId="2C20283A" w14:textId="77777777" w:rsidR="00855B4C" w:rsidRDefault="00855B4C" w:rsidP="00565DAC">
      <w:pPr>
        <w:rPr>
          <w:rFonts w:eastAsiaTheme="minorEastAsia"/>
        </w:rPr>
      </w:pPr>
    </w:p>
    <w:p w14:paraId="3DE73B96" w14:textId="10F7E4F0" w:rsidR="00855B4C" w:rsidRPr="00EA080A" w:rsidRDefault="00855B4C" w:rsidP="00A16701">
      <w:pPr>
        <w:pStyle w:val="Finding"/>
      </w:pPr>
      <w:r w:rsidRPr="00A16701">
        <w:rPr>
          <w:b/>
          <w:bCs/>
        </w:rPr>
        <w:t>Recommendation #1:</w:t>
      </w:r>
      <w:r w:rsidR="00EB01D2">
        <w:t xml:space="preserve"> </w:t>
      </w:r>
      <w:r w:rsidR="0090092B" w:rsidRPr="00EA080A">
        <w:t xml:space="preserve">Include </w:t>
      </w:r>
      <w:r w:rsidR="00D034F8">
        <w:t xml:space="preserve">monetized Societal NEIs </w:t>
      </w:r>
      <w:r w:rsidR="0090092B" w:rsidRPr="00EA080A">
        <w:t xml:space="preserve">results from </w:t>
      </w:r>
      <w:r w:rsidR="00D034F8">
        <w:t xml:space="preserve">a </w:t>
      </w:r>
      <w:r w:rsidR="0090092B" w:rsidRPr="00EA080A">
        <w:t>COBRA analysis in ComEd portfolio program</w:t>
      </w:r>
      <w:r w:rsidR="00EA080A" w:rsidRPr="00EA080A">
        <w:t>s’</w:t>
      </w:r>
      <w:r w:rsidR="0090092B" w:rsidRPr="00EA080A">
        <w:t xml:space="preserve"> TRC</w:t>
      </w:r>
      <w:r w:rsidR="00EA080A" w:rsidRPr="00EA080A">
        <w:t xml:space="preserve"> tests</w:t>
      </w:r>
      <w:r w:rsidR="0090092B" w:rsidRPr="00EA080A">
        <w:t xml:space="preserve">. </w:t>
      </w:r>
    </w:p>
    <w:p w14:paraId="189FBD8F" w14:textId="77777777" w:rsidR="00855B4C" w:rsidRPr="00EA080A" w:rsidRDefault="00855B4C" w:rsidP="00A16701">
      <w:pPr>
        <w:pStyle w:val="Finding"/>
      </w:pPr>
    </w:p>
    <w:p w14:paraId="5A39EB8D" w14:textId="1BCCBB53" w:rsidR="00855B4C" w:rsidRPr="00EA080A" w:rsidRDefault="00855B4C" w:rsidP="00A16701">
      <w:pPr>
        <w:pStyle w:val="Finding"/>
      </w:pPr>
      <w:r w:rsidRPr="00A16701">
        <w:rPr>
          <w:b/>
          <w:bCs/>
        </w:rPr>
        <w:t>Recommendation #2</w:t>
      </w:r>
      <w:r w:rsidRPr="00EA080A">
        <w:t xml:space="preserve">: </w:t>
      </w:r>
      <w:r w:rsidR="00EA080A" w:rsidRPr="00EA080A">
        <w:t xml:space="preserve">Include monetized </w:t>
      </w:r>
      <w:r w:rsidR="00D034F8">
        <w:t>U</w:t>
      </w:r>
      <w:r w:rsidR="00EA080A" w:rsidRPr="00EA080A">
        <w:t>tility NEIs associated with ComEd’s Income Eligible Multifamily</w:t>
      </w:r>
      <w:r w:rsidR="00EB01D2">
        <w:t xml:space="preserve"> </w:t>
      </w:r>
      <w:r w:rsidR="00EB01D2" w:rsidRPr="00EA080A">
        <w:t>–</w:t>
      </w:r>
      <w:r w:rsidR="00EB01D2">
        <w:t xml:space="preserve"> </w:t>
      </w:r>
      <w:r w:rsidR="00EA080A" w:rsidRPr="00EA080A">
        <w:t>Retrofit program and Single-Family – Retrofit program</w:t>
      </w:r>
      <w:r w:rsidR="00EA080A">
        <w:t xml:space="preserve"> in th</w:t>
      </w:r>
      <w:r w:rsidR="00BA4C5A">
        <w:t>e</w:t>
      </w:r>
      <w:r w:rsidR="00EA080A">
        <w:t>se programs’ TRC tests</w:t>
      </w:r>
      <w:r w:rsidR="00EA080A" w:rsidRPr="00EA080A">
        <w:t>.</w:t>
      </w:r>
      <w:r w:rsidRPr="00EA080A">
        <w:t xml:space="preserve"> </w:t>
      </w:r>
    </w:p>
    <w:p w14:paraId="575FDFCC" w14:textId="4FF9BB36" w:rsidR="00855B4C" w:rsidRPr="00EA080A" w:rsidRDefault="00855B4C" w:rsidP="00A16701">
      <w:pPr>
        <w:pStyle w:val="Finding"/>
      </w:pPr>
    </w:p>
    <w:p w14:paraId="04BA6C41" w14:textId="2E4090E9" w:rsidR="00C63902" w:rsidRPr="00EA080A" w:rsidRDefault="00855B4C" w:rsidP="00A16701">
      <w:pPr>
        <w:pStyle w:val="Finding"/>
      </w:pPr>
      <w:r w:rsidRPr="00A16701">
        <w:rPr>
          <w:b/>
          <w:bCs/>
        </w:rPr>
        <w:t>Recommendation #3</w:t>
      </w:r>
      <w:r w:rsidRPr="00EA080A">
        <w:t xml:space="preserve">: </w:t>
      </w:r>
      <w:r w:rsidR="00EA080A" w:rsidRPr="00EA080A">
        <w:t xml:space="preserve">When availability and if statistically significant, </w:t>
      </w:r>
      <w:r w:rsidR="00EA185F">
        <w:t>include</w:t>
      </w:r>
      <w:r w:rsidR="00EA080A" w:rsidRPr="00EA080A">
        <w:t xml:space="preserve"> the monetized </w:t>
      </w:r>
      <w:r w:rsidR="00D034F8">
        <w:t>P</w:t>
      </w:r>
      <w:r w:rsidR="00EA080A" w:rsidRPr="00EA080A">
        <w:t xml:space="preserve">articipant NEIs associated with ComEd’s Income Eligible Multifamily </w:t>
      </w:r>
      <w:r w:rsidR="00EB01D2" w:rsidRPr="00EA080A">
        <w:t>–</w:t>
      </w:r>
      <w:r w:rsidR="00EB01D2">
        <w:t xml:space="preserve"> </w:t>
      </w:r>
      <w:r w:rsidR="00EA080A" w:rsidRPr="00EA080A">
        <w:t>Retrofit program and Single-Family – Retrofit program in th</w:t>
      </w:r>
      <w:r w:rsidR="00BA4C5A">
        <w:t>e</w:t>
      </w:r>
      <w:r w:rsidR="00EA080A" w:rsidRPr="00EA080A">
        <w:t>se programs’ TRC tests.</w:t>
      </w:r>
    </w:p>
    <w:p w14:paraId="31B8273E" w14:textId="77777777" w:rsidR="00CF2D10" w:rsidRPr="00CF2D10" w:rsidRDefault="00CF2D10" w:rsidP="00CF2D10"/>
    <w:p w14:paraId="10328BE7" w14:textId="77777777" w:rsidR="00786B90" w:rsidRDefault="00786B90" w:rsidP="009759C1">
      <w:pPr>
        <w:spacing w:before="120" w:line="240" w:lineRule="exact"/>
        <w:ind w:left="720" w:hanging="720"/>
        <w:rPr>
          <w:rFonts w:cs="Arial"/>
          <w:szCs w:val="20"/>
        </w:rPr>
      </w:pPr>
    </w:p>
    <w:p w14:paraId="04D18050" w14:textId="74343EA0" w:rsidR="00BF4661" w:rsidRDefault="00BF4661" w:rsidP="009759C1">
      <w:pPr>
        <w:widowControl w:val="0"/>
        <w:autoSpaceDE w:val="0"/>
        <w:autoSpaceDN w:val="0"/>
        <w:adjustRightInd w:val="0"/>
        <w:spacing w:before="120" w:line="240" w:lineRule="exact"/>
        <w:ind w:left="720" w:hanging="720"/>
        <w:rPr>
          <w:rFonts w:eastAsiaTheme="minorEastAsia" w:cs="Arial"/>
          <w:i/>
          <w:iCs/>
          <w:szCs w:val="20"/>
        </w:rPr>
      </w:pPr>
    </w:p>
    <w:sectPr w:rsidR="00BF4661" w:rsidSect="003B5FD8">
      <w:headerReference w:type="default" r:id="rId13"/>
      <w:headerReference w:type="first" r:id="rId14"/>
      <w:footerReference w:type="first" r:id="rId15"/>
      <w:pgSz w:w="12240" w:h="15840" w:code="1"/>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F8508" w14:textId="77777777" w:rsidR="008F5E41" w:rsidRDefault="008F5E41" w:rsidP="006E129F">
      <w:r>
        <w:separator/>
      </w:r>
    </w:p>
  </w:endnote>
  <w:endnote w:type="continuationSeparator" w:id="0">
    <w:p w14:paraId="1C424045" w14:textId="77777777" w:rsidR="008F5E41" w:rsidRDefault="008F5E41" w:rsidP="006E1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rial Bold">
    <w:altName w:val="Arial"/>
    <w:panose1 w:val="020B0704020202020204"/>
    <w:charset w:val="00"/>
    <w:family w:val="roman"/>
    <w:notTrueType/>
    <w:pitch w:val="default"/>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06DAC" w14:textId="77777777" w:rsidR="008F5E41" w:rsidRDefault="008F5E41" w:rsidP="00CB04D3">
    <w:pPr>
      <w:pStyle w:val="Footer"/>
      <w:ind w:firstLine="720"/>
    </w:pPr>
  </w:p>
  <w:p w14:paraId="5A4C4E01" w14:textId="77777777" w:rsidR="008F5E41" w:rsidRDefault="008F5E41" w:rsidP="00CB04D3">
    <w:pPr>
      <w:pStyle w:val="Footer"/>
      <w:ind w:firstLine="720"/>
    </w:pPr>
  </w:p>
  <w:p w14:paraId="3C595321" w14:textId="77777777" w:rsidR="008F5E41" w:rsidRDefault="008F5E41" w:rsidP="00CB04D3">
    <w:pPr>
      <w:pStyle w:val="Footer"/>
      <w:ind w:firstLine="720"/>
    </w:pPr>
  </w:p>
  <w:p w14:paraId="49D6FFDD" w14:textId="77777777" w:rsidR="008F5E41" w:rsidRDefault="008F5E41" w:rsidP="00CB04D3">
    <w:pPr>
      <w:pStyle w:val="Footer"/>
      <w:ind w:firstLine="720"/>
    </w:pPr>
  </w:p>
  <w:p w14:paraId="5822AA2F" w14:textId="77777777" w:rsidR="008F5E41" w:rsidRDefault="008F5E41" w:rsidP="00CB04D3">
    <w:pPr>
      <w:pStyle w:val="Footer"/>
      <w:ind w:firstLine="720"/>
    </w:pPr>
  </w:p>
  <w:p w14:paraId="44E7B24D" w14:textId="77777777" w:rsidR="008F5E41" w:rsidRDefault="008F5E41" w:rsidP="00CB04D3">
    <w:pPr>
      <w:pStyle w:val="Footer"/>
      <w:ind w:firstLine="720"/>
    </w:pPr>
  </w:p>
  <w:p w14:paraId="07B01D07" w14:textId="77777777" w:rsidR="008F5E41" w:rsidRDefault="008F5E41" w:rsidP="00CB04D3">
    <w:pPr>
      <w:pStyle w:val="Footer"/>
      <w:ind w:firstLine="720"/>
    </w:pPr>
    <w:r>
      <w:rPr>
        <w:noProof/>
      </w:rPr>
      <mc:AlternateContent>
        <mc:Choice Requires="wps">
          <w:drawing>
            <wp:anchor distT="0" distB="0" distL="114300" distR="114300" simplePos="0" relativeHeight="251658240" behindDoc="0" locked="0" layoutInCell="1" allowOverlap="1" wp14:anchorId="61F48C93" wp14:editId="7DC1C0E9">
              <wp:simplePos x="0" y="0"/>
              <wp:positionH relativeFrom="column">
                <wp:posOffset>-591185</wp:posOffset>
              </wp:positionH>
              <wp:positionV relativeFrom="paragraph">
                <wp:posOffset>-747395</wp:posOffset>
              </wp:positionV>
              <wp:extent cx="1811655" cy="956310"/>
              <wp:effectExtent l="0" t="0" r="0" b="635"/>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9563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5138456" w14:textId="77777777" w:rsidR="008F5E41" w:rsidRDefault="008F5E41" w:rsidP="003B0439">
                          <w:pPr>
                            <w:pStyle w:val="FooterAddress"/>
                          </w:pPr>
                          <w:r>
                            <w:t>150 N. Riverside Plaza</w:t>
                          </w:r>
                        </w:p>
                        <w:p w14:paraId="78C895F4" w14:textId="77777777" w:rsidR="008F5E41" w:rsidRDefault="008F5E41" w:rsidP="003B0439">
                          <w:pPr>
                            <w:pStyle w:val="FooterAddress"/>
                          </w:pPr>
                          <w:r>
                            <w:t>Chicago, IL 60606</w:t>
                          </w:r>
                        </w:p>
                        <w:p w14:paraId="422DB31E" w14:textId="77777777" w:rsidR="008F5E41" w:rsidRPr="00A94D41" w:rsidRDefault="008F5E41" w:rsidP="003B0439">
                          <w:pPr>
                            <w:pStyle w:val="FooterAddress"/>
                          </w:pPr>
                          <w:r>
                            <w:t>guidehouse</w:t>
                          </w:r>
                          <w:r w:rsidRPr="00A94D41">
                            <w:t>.com</w:t>
                          </w:r>
                        </w:p>
                        <w:p w14:paraId="6E3D5AF1" w14:textId="77777777" w:rsidR="008F5E41" w:rsidRPr="00B06FC9" w:rsidRDefault="008F5E41" w:rsidP="003B0439">
                          <w:pPr>
                            <w:pStyle w:val="FooterAddress"/>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48C93" id="_x0000_t202" coordsize="21600,21600" o:spt="202" path="m,l,21600r21600,l21600,xe">
              <v:stroke joinstyle="miter"/>
              <v:path gradientshapeok="t" o:connecttype="rect"/>
            </v:shapetype>
            <v:shape id="Text Box 29" o:spid="_x0000_s1026" type="#_x0000_t202" style="position:absolute;left:0;text-align:left;margin-left:-46.55pt;margin-top:-58.85pt;width:142.65pt;height:7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2ITRgIAAEYEAAAOAAAAZHJzL2Uyb0RvYy54bWysU9tu2zAMfR+wfxD07vpSx4mNOkUuzTCg&#10;uwDtPkCR5diYLWqSUrsr9u+j5KTLtrdhL4IkkofkOeTN7dh35Elo04IsaXwVUSIkh6qVh5J+edwF&#10;C0qMZbJiHUhR0mdh6O3y7ZubQRUigQa6SmiCINIUgyppY60qwtDwRvTMXIESEo016J5ZfOpDWGk2&#10;IHrfhUkUZeEAulIauDAGf7eTkS49fl0Lbj/VtRGWdCXF2qw/tT/37gyXN6w4aKaalp/KYP9QRc9a&#10;iUlfobbMMnLU7V9Qfcs1GKjtFYc+hLpuufA9YDdx9Ec3Dw1TwveC5Bj1SpP5f7D849NnTdqqpBkl&#10;kvUo0aMYLVnDSJLc0TMoU6DXg0I/O+I/yuxbNeoe+FdDJGwaJg9ipTUMjWAVlhe7yPAidMIxDmQ/&#10;fIAK87CjBQ801rp33CEbBNFRpudXaVwt3KVcxHE2m1HC0ZbPsuvYaxey4hyttLHvBPTEXUqqUXqP&#10;zp7ujXXVsOLs4pJJ2LVd5+Xv5G8f6Dj9YG4MdTZXhVfzJY/yu8XdIg3SJLsL0qiqgtVukwbZLp7P&#10;ttfbzWYb/5im6iIoTtJoneTBLlvMg7ROZ0E+jxZBFOfrPIvSPN3ufBCmPif15Dm+JubsuB9PYuyh&#10;ekYaNUzDjMuHlwb0d0oGHOSSmm9HpgUl3XuJUuRxmrrJ9490Nk/woS8t+0sLkxyhSmopma4bO23L&#10;Uen20GCmSXwJK5Svbj2zTuepqpPoOKye8NNiuW24fHuvX+u//AkAAP//AwBQSwMEFAAGAAgAAAAh&#10;ADHvVR/gAAAACwEAAA8AAABkcnMvZG93bnJldi54bWxMj01PwzAMhu9I+w+RJ3HbknbAaFd3QiCu&#10;IMaHtFvWeG1F41RNtpZ/T3aCmy0/ev28xXaynTjT4FvHCMlSgSCunGm5Rvh4f17cg/BBs9GdY0L4&#10;IQ/bcnZV6Ny4kd/ovAu1iCHsc43QhNDnUvqqIav90vXE8XZ0g9UhrkMtzaDHGG47mSp1J61uOX5o&#10;dE+PDVXfu5NF+Hw57r9u1Gv9ZG/70U1Kss0k4vV8etiACDSFPxgu+lEdyuh0cCc2XnQIi2yVRDQO&#10;SbJeg7ggWZqCOCCs0gxkWcj/HcpfAAAA//8DAFBLAQItABQABgAIAAAAIQC2gziS/gAAAOEBAAAT&#10;AAAAAAAAAAAAAAAAAAAAAABbQ29udGVudF9UeXBlc10ueG1sUEsBAi0AFAAGAAgAAAAhADj9If/W&#10;AAAAlAEAAAsAAAAAAAAAAAAAAAAALwEAAF9yZWxzLy5yZWxzUEsBAi0AFAAGAAgAAAAhAM43YhNG&#10;AgAARgQAAA4AAAAAAAAAAAAAAAAALgIAAGRycy9lMm9Eb2MueG1sUEsBAi0AFAAGAAgAAAAhADHv&#10;VR/gAAAACwEAAA8AAAAAAAAAAAAAAAAAoAQAAGRycy9kb3ducmV2LnhtbFBLBQYAAAAABAAEAPMA&#10;AACtBQAAAAA=&#10;" filled="f" stroked="f">
              <v:textbox>
                <w:txbxContent>
                  <w:p w14:paraId="25138456" w14:textId="77777777" w:rsidR="008F5E41" w:rsidRDefault="008F5E41" w:rsidP="003B0439">
                    <w:pPr>
                      <w:pStyle w:val="FooterAddress"/>
                    </w:pPr>
                    <w:r>
                      <w:t>150 N. Riverside Plaza</w:t>
                    </w:r>
                  </w:p>
                  <w:p w14:paraId="78C895F4" w14:textId="77777777" w:rsidR="008F5E41" w:rsidRDefault="008F5E41" w:rsidP="003B0439">
                    <w:pPr>
                      <w:pStyle w:val="FooterAddress"/>
                    </w:pPr>
                    <w:r>
                      <w:t>Chicago, IL 60606</w:t>
                    </w:r>
                  </w:p>
                  <w:p w14:paraId="422DB31E" w14:textId="77777777" w:rsidR="008F5E41" w:rsidRPr="00A94D41" w:rsidRDefault="008F5E41" w:rsidP="003B0439">
                    <w:pPr>
                      <w:pStyle w:val="FooterAddress"/>
                    </w:pPr>
                    <w:r>
                      <w:t>guidehouse</w:t>
                    </w:r>
                    <w:r w:rsidRPr="00A94D41">
                      <w:t>.com</w:t>
                    </w:r>
                  </w:p>
                  <w:p w14:paraId="6E3D5AF1" w14:textId="77777777" w:rsidR="008F5E41" w:rsidRPr="00B06FC9" w:rsidRDefault="008F5E41" w:rsidP="003B0439">
                    <w:pPr>
                      <w:pStyle w:val="FooterAddress"/>
                      <w:rPr>
                        <w:rFonts w:ascii="Arial Narrow" w:hAnsi="Arial Narrow"/>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D129EDD" wp14:editId="1E652D46">
              <wp:simplePos x="0" y="0"/>
              <wp:positionH relativeFrom="column">
                <wp:posOffset>549275</wp:posOffset>
              </wp:positionH>
              <wp:positionV relativeFrom="paragraph">
                <wp:posOffset>8627745</wp:posOffset>
              </wp:positionV>
              <wp:extent cx="1935480" cy="956310"/>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11BC86B" w14:textId="77777777" w:rsidR="008F5E41" w:rsidRDefault="008F5E41" w:rsidP="00CB04D3">
                          <w:pPr>
                            <w:rPr>
                              <w:rFonts w:ascii="Arial Narrow" w:hAnsi="Arial Narrow"/>
                              <w:color w:val="6F6754"/>
                              <w:sz w:val="16"/>
                            </w:rPr>
                          </w:pPr>
                          <w:r>
                            <w:rPr>
                              <w:rFonts w:ascii="Arial Narrow" w:hAnsi="Arial Narrow"/>
                              <w:color w:val="6F6754"/>
                              <w:sz w:val="16"/>
                            </w:rPr>
                            <w:t>Address #1 ## Long Street</w:t>
                          </w:r>
                        </w:p>
                        <w:p w14:paraId="61E4750E" w14:textId="77777777" w:rsidR="008F5E41" w:rsidRDefault="008F5E41" w:rsidP="00CB04D3">
                          <w:pPr>
                            <w:rPr>
                              <w:rFonts w:ascii="Arial Narrow" w:hAnsi="Arial Narrow"/>
                              <w:color w:val="6F6754"/>
                              <w:sz w:val="16"/>
                            </w:rPr>
                          </w:pPr>
                          <w:r>
                            <w:rPr>
                              <w:rFonts w:ascii="Arial Narrow" w:hAnsi="Arial Narrow"/>
                              <w:color w:val="6F6754"/>
                              <w:sz w:val="16"/>
                            </w:rPr>
                            <w:t>Suite ## | City, ST #####</w:t>
                          </w:r>
                        </w:p>
                        <w:p w14:paraId="146B7F2B" w14:textId="6AF6354A" w:rsidR="008F5E41" w:rsidRDefault="008F5E41" w:rsidP="00CB04D3">
                          <w:pPr>
                            <w:rPr>
                              <w:rFonts w:ascii="Arial Narrow" w:hAnsi="Arial Narrow"/>
                              <w:color w:val="6F6754"/>
                              <w:sz w:val="16"/>
                            </w:rPr>
                          </w:pPr>
                          <w:r>
                            <w:rPr>
                              <w:rFonts w:ascii="Arial Narrow" w:hAnsi="Arial Narrow"/>
                              <w:color w:val="6F6754"/>
                              <w:sz w:val="16"/>
                            </w:rPr>
                            <w:t>000.000.0000 main</w:t>
                          </w:r>
                        </w:p>
                        <w:p w14:paraId="7AFA495E" w14:textId="51E772F3" w:rsidR="008F5E41" w:rsidRDefault="008F5E41" w:rsidP="00CB04D3">
                          <w:pPr>
                            <w:rPr>
                              <w:rFonts w:ascii="Arial Narrow" w:hAnsi="Arial Narrow"/>
                              <w:color w:val="6F6754"/>
                              <w:sz w:val="16"/>
                            </w:rPr>
                          </w:pPr>
                          <w:r>
                            <w:rPr>
                              <w:rFonts w:ascii="Arial Narrow" w:hAnsi="Arial Narrow"/>
                              <w:color w:val="6F6754"/>
                              <w:sz w:val="16"/>
                            </w:rPr>
                            <w:t>000.000.0000 fax</w:t>
                          </w:r>
                        </w:p>
                        <w:p w14:paraId="6EDD968E" w14:textId="77777777" w:rsidR="008F5E41" w:rsidRDefault="008F5E41"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29EDD" id="Text Box 17" o:spid="_x0000_s1027" type="#_x0000_t202" style="position:absolute;left:0;text-align:left;margin-left:43.25pt;margin-top:679.35pt;width:152.4pt;height:7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uMSgIAAE0EAAAOAAAAZHJzL2Uyb0RvYy54bWysVNtu2zAMfR+wfxD07tpOlcQ26hRt0gwD&#10;ugvQ7gMUWY6N2aImKbW7Yf8+Sm7SbHsb9mJIInlInkP66nrsO/IkjW1BlTS9SCiRSkDVqn1Jvzxu&#10;o4wS67iqeAdKlvRZWnq9evvmatCFnEEDXSUNQRBli0GXtHFOF3FsRSN7bi9AS4XGGkzPHV7NPq4M&#10;HxC97+JZkiziAUylDQhpLb5uJiNdBfy6lsJ9qmsrHelKirW58DXhu/PfeHXFi73humnFSxn8H6ro&#10;easw6Qlqwx0nB9P+BdW3woCF2l0I6GOo61bI0AN2kyZ/dPPQcC1DL0iO1Sea7P+DFR+fPhvSViWd&#10;U6J4jxI9ytGRWxhJuvT0DNoW6PWg0c+N+I4yh1atvgfx1RIF64arvbwxBoZG8grLS31kfBY64VgP&#10;shs+QIV5+MFBABpr03vukA2C6CjT80kaX4vwKfPLOcvQJNCWzxeXadAu5sUxWhvr3knoiT+U1KD0&#10;AZ0/3Vvnq+HF0cUnU7Btuy7I36nfHtBxesHcGOptvoqg5o88ye+yu4xFbLa4i1hSVdHNds2ixTZd&#10;zjeXm/V6k/6cpuosKJ2x5HaWR9tFtoxYzeZRvkyyKEnz23yRsJxttiEIUx+TBvI8XxNzbtyNQabA&#10;rCd2B9UzsmlgmmncQTw0YL5TMuA8l9R+O3AjKeneK1QkTxnzCxAubL6c4cWcW3bnFq4EQpXUUTId&#10;125amoM27b7BTNMMKLhBFes2EPxa1Yv2OLOB95f98ktxfg9er3+B1S8AAAD//wMAUEsDBBQABgAI&#10;AAAAIQDsUPHU3wAAAAwBAAAPAAAAZHJzL2Rvd25yZXYueG1sTI/BTsMwDIbvSLxDZCRuLBmloy1N&#10;JwTiCtpgk7hljddWNE7VZGt5e8wJjv796ffncj27XpxxDJ0nDcuFAoFUe9tRo+Hj/eUmAxGiIWt6&#10;T6jhGwOsq8uL0hTWT7TB8zY2gksoFEZDG+NQSBnqFp0JCz8g8e7oR2cij2Mj7WgmLne9vFVqJZ3p&#10;iC+0ZsCnFuuv7clp2L0eP/d36q15dukw+VlJcrnU+vpqfnwAEXGOfzD86rM6VOx08CeyQfQaslXK&#10;JOdJmt2DYCLJlwmIA0epyhOQVSn/P1H9AAAA//8DAFBLAQItABQABgAIAAAAIQC2gziS/gAAAOEB&#10;AAATAAAAAAAAAAAAAAAAAAAAAABbQ29udGVudF9UeXBlc10ueG1sUEsBAi0AFAAGAAgAAAAhADj9&#10;If/WAAAAlAEAAAsAAAAAAAAAAAAAAAAALwEAAF9yZWxzLy5yZWxzUEsBAi0AFAAGAAgAAAAhAMS+&#10;G4xKAgAATQQAAA4AAAAAAAAAAAAAAAAALgIAAGRycy9lMm9Eb2MueG1sUEsBAi0AFAAGAAgAAAAh&#10;AOxQ8dTfAAAADAEAAA8AAAAAAAAAAAAAAAAApAQAAGRycy9kb3ducmV2LnhtbFBLBQYAAAAABAAE&#10;APMAAACwBQAAAAA=&#10;" filled="f" stroked="f">
              <v:textbox>
                <w:txbxContent>
                  <w:p w14:paraId="411BC86B" w14:textId="77777777" w:rsidR="008F5E41" w:rsidRDefault="008F5E41" w:rsidP="00CB04D3">
                    <w:pPr>
                      <w:rPr>
                        <w:rFonts w:ascii="Arial Narrow" w:hAnsi="Arial Narrow"/>
                        <w:color w:val="6F6754"/>
                        <w:sz w:val="16"/>
                      </w:rPr>
                    </w:pPr>
                    <w:r>
                      <w:rPr>
                        <w:rFonts w:ascii="Arial Narrow" w:hAnsi="Arial Narrow"/>
                        <w:color w:val="6F6754"/>
                        <w:sz w:val="16"/>
                      </w:rPr>
                      <w:t>Address #1 ## Long Street</w:t>
                    </w:r>
                  </w:p>
                  <w:p w14:paraId="61E4750E" w14:textId="77777777" w:rsidR="008F5E41" w:rsidRDefault="008F5E41" w:rsidP="00CB04D3">
                    <w:pPr>
                      <w:rPr>
                        <w:rFonts w:ascii="Arial Narrow" w:hAnsi="Arial Narrow"/>
                        <w:color w:val="6F6754"/>
                        <w:sz w:val="16"/>
                      </w:rPr>
                    </w:pPr>
                    <w:r>
                      <w:rPr>
                        <w:rFonts w:ascii="Arial Narrow" w:hAnsi="Arial Narrow"/>
                        <w:color w:val="6F6754"/>
                        <w:sz w:val="16"/>
                      </w:rPr>
                      <w:t>Suite ## | City, ST #####</w:t>
                    </w:r>
                  </w:p>
                  <w:p w14:paraId="146B7F2B" w14:textId="6AF6354A" w:rsidR="008F5E41" w:rsidRDefault="008F5E41" w:rsidP="00CB04D3">
                    <w:pPr>
                      <w:rPr>
                        <w:rFonts w:ascii="Arial Narrow" w:hAnsi="Arial Narrow"/>
                        <w:color w:val="6F6754"/>
                        <w:sz w:val="16"/>
                      </w:rPr>
                    </w:pPr>
                    <w:r>
                      <w:rPr>
                        <w:rFonts w:ascii="Arial Narrow" w:hAnsi="Arial Narrow"/>
                        <w:color w:val="6F6754"/>
                        <w:sz w:val="16"/>
                      </w:rPr>
                      <w:t>000.000.0000 main</w:t>
                    </w:r>
                  </w:p>
                  <w:p w14:paraId="7AFA495E" w14:textId="51E772F3" w:rsidR="008F5E41" w:rsidRDefault="008F5E41" w:rsidP="00CB04D3">
                    <w:pPr>
                      <w:rPr>
                        <w:rFonts w:ascii="Arial Narrow" w:hAnsi="Arial Narrow"/>
                        <w:color w:val="6F6754"/>
                        <w:sz w:val="16"/>
                      </w:rPr>
                    </w:pPr>
                    <w:r>
                      <w:rPr>
                        <w:rFonts w:ascii="Arial Narrow" w:hAnsi="Arial Narrow"/>
                        <w:color w:val="6F6754"/>
                        <w:sz w:val="16"/>
                      </w:rPr>
                      <w:t>000.000.0000 fax</w:t>
                    </w:r>
                  </w:p>
                  <w:p w14:paraId="6EDD968E" w14:textId="77777777" w:rsidR="008F5E41" w:rsidRDefault="008F5E41"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A86979E" wp14:editId="0873634A">
              <wp:simplePos x="0" y="0"/>
              <wp:positionH relativeFrom="column">
                <wp:posOffset>549275</wp:posOffset>
              </wp:positionH>
              <wp:positionV relativeFrom="paragraph">
                <wp:posOffset>8627745</wp:posOffset>
              </wp:positionV>
              <wp:extent cx="1935480" cy="956310"/>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6135F7C" w14:textId="77777777" w:rsidR="008F5E41" w:rsidRDefault="008F5E41" w:rsidP="00CB04D3">
                          <w:pPr>
                            <w:rPr>
                              <w:rFonts w:ascii="Arial Narrow" w:hAnsi="Arial Narrow"/>
                              <w:color w:val="6F6754"/>
                              <w:sz w:val="16"/>
                            </w:rPr>
                          </w:pPr>
                          <w:r>
                            <w:rPr>
                              <w:rFonts w:ascii="Arial Narrow" w:hAnsi="Arial Narrow"/>
                              <w:color w:val="6F6754"/>
                              <w:sz w:val="16"/>
                            </w:rPr>
                            <w:t>Address #1 ## Long Street</w:t>
                          </w:r>
                        </w:p>
                        <w:p w14:paraId="0042D125" w14:textId="77777777" w:rsidR="008F5E41" w:rsidRDefault="008F5E41" w:rsidP="00CB04D3">
                          <w:pPr>
                            <w:rPr>
                              <w:rFonts w:ascii="Arial Narrow" w:hAnsi="Arial Narrow"/>
                              <w:color w:val="6F6754"/>
                              <w:sz w:val="16"/>
                            </w:rPr>
                          </w:pPr>
                          <w:r>
                            <w:rPr>
                              <w:rFonts w:ascii="Arial Narrow" w:hAnsi="Arial Narrow"/>
                              <w:color w:val="6F6754"/>
                              <w:sz w:val="16"/>
                            </w:rPr>
                            <w:t>Suite ## | City, ST #####</w:t>
                          </w:r>
                        </w:p>
                        <w:p w14:paraId="1E5E3BA8" w14:textId="0667CF4B" w:rsidR="008F5E41" w:rsidRDefault="008F5E41" w:rsidP="00CB04D3">
                          <w:pPr>
                            <w:rPr>
                              <w:rFonts w:ascii="Arial Narrow" w:hAnsi="Arial Narrow"/>
                              <w:color w:val="6F6754"/>
                              <w:sz w:val="16"/>
                            </w:rPr>
                          </w:pPr>
                          <w:r>
                            <w:rPr>
                              <w:rFonts w:ascii="Arial Narrow" w:hAnsi="Arial Narrow"/>
                              <w:color w:val="6F6754"/>
                              <w:sz w:val="16"/>
                            </w:rPr>
                            <w:t>000.000.0000 main</w:t>
                          </w:r>
                        </w:p>
                        <w:p w14:paraId="20234CE3" w14:textId="1F8122D8" w:rsidR="008F5E41" w:rsidRDefault="008F5E41" w:rsidP="00CB04D3">
                          <w:pPr>
                            <w:rPr>
                              <w:rFonts w:ascii="Arial Narrow" w:hAnsi="Arial Narrow"/>
                              <w:color w:val="6F6754"/>
                              <w:sz w:val="16"/>
                            </w:rPr>
                          </w:pPr>
                          <w:r>
                            <w:rPr>
                              <w:rFonts w:ascii="Arial Narrow" w:hAnsi="Arial Narrow"/>
                              <w:color w:val="6F6754"/>
                              <w:sz w:val="16"/>
                            </w:rPr>
                            <w:t>000.000.0000 fax</w:t>
                          </w:r>
                        </w:p>
                        <w:p w14:paraId="054972D1" w14:textId="77777777" w:rsidR="008F5E41" w:rsidRDefault="008F5E41"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6979E" id="_x0000_s1028" type="#_x0000_t202" style="position:absolute;left:0;text-align:left;margin-left:43.25pt;margin-top:679.35pt;width:152.4pt;height:7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7csSgIAAE0EAAAOAAAAZHJzL2Uyb0RvYy54bWysVNtu2zAMfR+wfxD07vpS5WKjTtEmzTCg&#10;uwDtPkCR5diYLWqSUrsr9u+j5KTLtrdhL4YkkofkOaSvrse+I0/S2BZUSdOLhBKpBFSt2pf0y+M2&#10;WlJiHVcV70DJkj5LS69Xb99cDbqQGTTQVdIQBFG2GHRJG+d0EcdWNLLn9gK0VGiswfTc4dXs48rw&#10;AdH7Ls6SZB4PYCptQEhr8XUzGekq4Ne1FO5TXVvpSFdSrM2Frwnfnf/Gqyte7A3XTSuOZfB/qKLn&#10;rcKkr1Ab7jg5mPYvqL4VBizU7kJAH0Ndt0KGHrCbNPmjm4eGaxl6QXKsfqXJ/j9Y8fHpsyFtVVJG&#10;ieI9SvQoR0duYSTpwtMzaFug14NGPzfiO8ocWrX6HsRXSxSsG6728sYYGBrJKywv9ZHxWeiEYz3I&#10;bvgAFebhBwcBaKxN77lDNgiio0zPr9L4WoRPmV/O2BJNAm35bH6ZBu1iXpyitbHunYSe+ENJDUof&#10;0PnTvXW+Gl6cXHwyBdu264L8nfrtAR2nF8yNod7mqwhqvuRJfre8W7KIZfO7iCVVFd1s1yyab9PF&#10;bHO5Wa836Y9pqs6C0owlt1kebefLRcRqNovyRbKMkjS/zecJy9lmG4Iw9SlpIM/zNTHnxt0YZMpO&#10;muygekY2DUwzjTuIhwbMd0oGnOeS2m8HbiQl3XuFiuQpY34BwoXNFhlezLlld27hSiBUSR0l03Ht&#10;pqU5aNPuG8w0zYCCG1SxbgPBXu6pqqP2OLOB9+N++aU4vwevX3+B1U8AAAD//wMAUEsDBBQABgAI&#10;AAAAIQDsUPHU3wAAAAwBAAAPAAAAZHJzL2Rvd25yZXYueG1sTI/BTsMwDIbvSLxDZCRuLBmloy1N&#10;JwTiCtpgk7hljddWNE7VZGt5e8wJjv796ffncj27XpxxDJ0nDcuFAoFUe9tRo+Hj/eUmAxGiIWt6&#10;T6jhGwOsq8uL0hTWT7TB8zY2gksoFEZDG+NQSBnqFp0JCz8g8e7oR2cij2Mj7WgmLne9vFVqJZ3p&#10;iC+0ZsCnFuuv7clp2L0eP/d36q15dukw+VlJcrnU+vpqfnwAEXGOfzD86rM6VOx08CeyQfQaslXK&#10;JOdJmt2DYCLJlwmIA0epyhOQVSn/P1H9AAAA//8DAFBLAQItABQABgAIAAAAIQC2gziS/gAAAOEB&#10;AAATAAAAAAAAAAAAAAAAAAAAAABbQ29udGVudF9UeXBlc10ueG1sUEsBAi0AFAAGAAgAAAAhADj9&#10;If/WAAAAlAEAAAsAAAAAAAAAAAAAAAAALwEAAF9yZWxzLy5yZWxzUEsBAi0AFAAGAAgAAAAhACIf&#10;tyxKAgAATQQAAA4AAAAAAAAAAAAAAAAALgIAAGRycy9lMm9Eb2MueG1sUEsBAi0AFAAGAAgAAAAh&#10;AOxQ8dTfAAAADAEAAA8AAAAAAAAAAAAAAAAApAQAAGRycy9kb3ducmV2LnhtbFBLBQYAAAAABAAE&#10;APMAAACwBQAAAAA=&#10;" filled="f" stroked="f">
              <v:textbox>
                <w:txbxContent>
                  <w:p w14:paraId="16135F7C" w14:textId="77777777" w:rsidR="008F5E41" w:rsidRDefault="008F5E41" w:rsidP="00CB04D3">
                    <w:pPr>
                      <w:rPr>
                        <w:rFonts w:ascii="Arial Narrow" w:hAnsi="Arial Narrow"/>
                        <w:color w:val="6F6754"/>
                        <w:sz w:val="16"/>
                      </w:rPr>
                    </w:pPr>
                    <w:r>
                      <w:rPr>
                        <w:rFonts w:ascii="Arial Narrow" w:hAnsi="Arial Narrow"/>
                        <w:color w:val="6F6754"/>
                        <w:sz w:val="16"/>
                      </w:rPr>
                      <w:t>Address #1 ## Long Street</w:t>
                    </w:r>
                  </w:p>
                  <w:p w14:paraId="0042D125" w14:textId="77777777" w:rsidR="008F5E41" w:rsidRDefault="008F5E41" w:rsidP="00CB04D3">
                    <w:pPr>
                      <w:rPr>
                        <w:rFonts w:ascii="Arial Narrow" w:hAnsi="Arial Narrow"/>
                        <w:color w:val="6F6754"/>
                        <w:sz w:val="16"/>
                      </w:rPr>
                    </w:pPr>
                    <w:r>
                      <w:rPr>
                        <w:rFonts w:ascii="Arial Narrow" w:hAnsi="Arial Narrow"/>
                        <w:color w:val="6F6754"/>
                        <w:sz w:val="16"/>
                      </w:rPr>
                      <w:t>Suite ## | City, ST #####</w:t>
                    </w:r>
                  </w:p>
                  <w:p w14:paraId="1E5E3BA8" w14:textId="0667CF4B" w:rsidR="008F5E41" w:rsidRDefault="008F5E41" w:rsidP="00CB04D3">
                    <w:pPr>
                      <w:rPr>
                        <w:rFonts w:ascii="Arial Narrow" w:hAnsi="Arial Narrow"/>
                        <w:color w:val="6F6754"/>
                        <w:sz w:val="16"/>
                      </w:rPr>
                    </w:pPr>
                    <w:r>
                      <w:rPr>
                        <w:rFonts w:ascii="Arial Narrow" w:hAnsi="Arial Narrow"/>
                        <w:color w:val="6F6754"/>
                        <w:sz w:val="16"/>
                      </w:rPr>
                      <w:t>000.000.0000 main</w:t>
                    </w:r>
                  </w:p>
                  <w:p w14:paraId="20234CE3" w14:textId="1F8122D8" w:rsidR="008F5E41" w:rsidRDefault="008F5E41" w:rsidP="00CB04D3">
                    <w:pPr>
                      <w:rPr>
                        <w:rFonts w:ascii="Arial Narrow" w:hAnsi="Arial Narrow"/>
                        <w:color w:val="6F6754"/>
                        <w:sz w:val="16"/>
                      </w:rPr>
                    </w:pPr>
                    <w:r>
                      <w:rPr>
                        <w:rFonts w:ascii="Arial Narrow" w:hAnsi="Arial Narrow"/>
                        <w:color w:val="6F6754"/>
                        <w:sz w:val="16"/>
                      </w:rPr>
                      <w:t>000.000.0000 fax</w:t>
                    </w:r>
                  </w:p>
                  <w:p w14:paraId="054972D1" w14:textId="77777777" w:rsidR="008F5E41" w:rsidRDefault="008F5E41"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DB4CE05" wp14:editId="2C50823D">
              <wp:simplePos x="0" y="0"/>
              <wp:positionH relativeFrom="column">
                <wp:posOffset>549275</wp:posOffset>
              </wp:positionH>
              <wp:positionV relativeFrom="paragraph">
                <wp:posOffset>8627745</wp:posOffset>
              </wp:positionV>
              <wp:extent cx="1935480" cy="95631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E81CD0C" w14:textId="77777777" w:rsidR="008F5E41" w:rsidRDefault="008F5E41" w:rsidP="00CB04D3">
                          <w:pPr>
                            <w:rPr>
                              <w:rFonts w:ascii="Arial Narrow" w:hAnsi="Arial Narrow"/>
                              <w:color w:val="6F6754"/>
                              <w:sz w:val="16"/>
                            </w:rPr>
                          </w:pPr>
                          <w:r>
                            <w:rPr>
                              <w:rFonts w:ascii="Arial Narrow" w:hAnsi="Arial Narrow"/>
                              <w:color w:val="6F6754"/>
                              <w:sz w:val="16"/>
                            </w:rPr>
                            <w:t>Address #1 ## Long Street</w:t>
                          </w:r>
                        </w:p>
                        <w:p w14:paraId="04A43AED" w14:textId="77777777" w:rsidR="008F5E41" w:rsidRDefault="008F5E41" w:rsidP="00CB04D3">
                          <w:pPr>
                            <w:rPr>
                              <w:rFonts w:ascii="Arial Narrow" w:hAnsi="Arial Narrow"/>
                              <w:color w:val="6F6754"/>
                              <w:sz w:val="16"/>
                            </w:rPr>
                          </w:pPr>
                          <w:r>
                            <w:rPr>
                              <w:rFonts w:ascii="Arial Narrow" w:hAnsi="Arial Narrow"/>
                              <w:color w:val="6F6754"/>
                              <w:sz w:val="16"/>
                            </w:rPr>
                            <w:t>Suite ## | City, ST #####</w:t>
                          </w:r>
                        </w:p>
                        <w:p w14:paraId="2B75496D" w14:textId="1CC4A6E1" w:rsidR="008F5E41" w:rsidRDefault="008F5E41" w:rsidP="00CB04D3">
                          <w:pPr>
                            <w:rPr>
                              <w:rFonts w:ascii="Arial Narrow" w:hAnsi="Arial Narrow"/>
                              <w:color w:val="6F6754"/>
                              <w:sz w:val="16"/>
                            </w:rPr>
                          </w:pPr>
                          <w:r>
                            <w:rPr>
                              <w:rFonts w:ascii="Arial Narrow" w:hAnsi="Arial Narrow"/>
                              <w:color w:val="6F6754"/>
                              <w:sz w:val="16"/>
                            </w:rPr>
                            <w:t>000.000.0000 main</w:t>
                          </w:r>
                        </w:p>
                        <w:p w14:paraId="4D8E9E55" w14:textId="013D9CD3" w:rsidR="008F5E41" w:rsidRDefault="008F5E41" w:rsidP="00CB04D3">
                          <w:pPr>
                            <w:rPr>
                              <w:rFonts w:ascii="Arial Narrow" w:hAnsi="Arial Narrow"/>
                              <w:color w:val="6F6754"/>
                              <w:sz w:val="16"/>
                            </w:rPr>
                          </w:pPr>
                          <w:r>
                            <w:rPr>
                              <w:rFonts w:ascii="Arial Narrow" w:hAnsi="Arial Narrow"/>
                              <w:color w:val="6F6754"/>
                              <w:sz w:val="16"/>
                            </w:rPr>
                            <w:t>000.000.0000 fax</w:t>
                          </w:r>
                        </w:p>
                        <w:p w14:paraId="735D0482" w14:textId="77777777" w:rsidR="008F5E41" w:rsidRDefault="008F5E41"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4CE05" id="_x0000_s1029" type="#_x0000_t202" style="position:absolute;left:0;text-align:left;margin-left:43.25pt;margin-top:679.35pt;width:152.4pt;height:7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nzzSQIAAE0EAAAOAAAAZHJzL2Uyb0RvYy54bWysVNtu2zAMfR+wfxD07tpOlIuNOkVzGwZ0&#10;F6DdByiyHBuzRU1SanfF/n2UnHbZ9jbsxZBE8pA8h/T1zdC15FEa24AqaHqVUCKVgLJRx4J+edhH&#10;S0qs46rkLShZ0Cdp6c3q7ZvrXudyAjW0pTQEQZTNe13Q2jmdx7EVtey4vQItFRorMB13eDXHuDS8&#10;R/SujSdJMo97MKU2IKS1+LodjXQV8KtKCvepqqx0pC0o1ubC14TvwX/j1TXPj4bruhHnMvg/VNHx&#10;RmHSV6gtd5ycTPMXVNcIAxYqdyWgi6GqGiFDD9hNmvzRzX3NtQy9IDlWv9Jk/x+s+Pj42ZCmLOiU&#10;EsU7lOhBDo6sYSDpwtPTa5uj171GPzfgO8ocWrX6DsRXSxRsaq6O8tYY6GvJSywv9ZHxReiIYz3I&#10;of8AJebhJwcBaKhM57lDNgiio0xPr9L4WoRPmU1nbIkmgbZsNp+mQbuY5y/R2lj3TkJH/KGgBqUP&#10;6PzxzjpfDc9fXHwyBfumbYP8rfrtAR3HF8yNod7mqwhqPmdJtlvulixik/kuYklZRrf7DYvm+3Qx&#10;2063m802/TFO1UVQOmHJepJF+/lyEbGKzaJskSyjJM3W2TxhGdvuQxCmfkkayPN8jcy54TCcZTpr&#10;coDyCdk0MM407iAeajDfKelxngtqv524kZS07xUqkqWM+QUIFzZbTPBiLi2HSwtXAqEK6igZjxs3&#10;Ls1Jm+ZYY6ZxBhTcoopVEwj2co9VnbXHmQ28n/fLL8XlPXj9+gusfgIAAP//AwBQSwMEFAAGAAgA&#10;AAAhAOxQ8dTfAAAADAEAAA8AAABkcnMvZG93bnJldi54bWxMj8FOwzAMhu9IvENkJG4sGaWjLU0n&#10;BOIK2mCTuGWN11Y0TtVka3l7zAmO/v3p9+dyPbtenHEMnScNy4UCgVR721Gj4eP95SYDEaIha3pP&#10;qOEbA6yry4vSFNZPtMHzNjaCSygURkMb41BIGeoWnQkLPyDx7uhHZyKPYyPtaCYud728VWolnemI&#10;L7RmwKcW66/tyWnYvR4/93fqrXl26TD5WUlyudT6+mp+fAARcY5/MPzqszpU7HTwJ7JB9BqyVcok&#10;50ma3YNgIsmXCYgDR6nKE5BVKf8/Uf0AAAD//wMAUEsBAi0AFAAGAAgAAAAhALaDOJL+AAAA4QEA&#10;ABMAAAAAAAAAAAAAAAAAAAAAAFtDb250ZW50X1R5cGVzXS54bWxQSwECLQAUAAYACAAAACEAOP0h&#10;/9YAAACUAQAACwAAAAAAAAAAAAAAAAAvAQAAX3JlbHMvLnJlbHNQSwECLQAUAAYACAAAACEAFhp8&#10;80kCAABNBAAADgAAAAAAAAAAAAAAAAAuAgAAZHJzL2Uyb0RvYy54bWxQSwECLQAUAAYACAAAACEA&#10;7FDx1N8AAAAMAQAADwAAAAAAAAAAAAAAAACjBAAAZHJzL2Rvd25yZXYueG1sUEsFBgAAAAAEAAQA&#10;8wAAAK8FAAAAAA==&#10;" filled="f" stroked="f">
              <v:textbox>
                <w:txbxContent>
                  <w:p w14:paraId="6E81CD0C" w14:textId="77777777" w:rsidR="008F5E41" w:rsidRDefault="008F5E41" w:rsidP="00CB04D3">
                    <w:pPr>
                      <w:rPr>
                        <w:rFonts w:ascii="Arial Narrow" w:hAnsi="Arial Narrow"/>
                        <w:color w:val="6F6754"/>
                        <w:sz w:val="16"/>
                      </w:rPr>
                    </w:pPr>
                    <w:r>
                      <w:rPr>
                        <w:rFonts w:ascii="Arial Narrow" w:hAnsi="Arial Narrow"/>
                        <w:color w:val="6F6754"/>
                        <w:sz w:val="16"/>
                      </w:rPr>
                      <w:t>Address #1 ## Long Street</w:t>
                    </w:r>
                  </w:p>
                  <w:p w14:paraId="04A43AED" w14:textId="77777777" w:rsidR="008F5E41" w:rsidRDefault="008F5E41" w:rsidP="00CB04D3">
                    <w:pPr>
                      <w:rPr>
                        <w:rFonts w:ascii="Arial Narrow" w:hAnsi="Arial Narrow"/>
                        <w:color w:val="6F6754"/>
                        <w:sz w:val="16"/>
                      </w:rPr>
                    </w:pPr>
                    <w:r>
                      <w:rPr>
                        <w:rFonts w:ascii="Arial Narrow" w:hAnsi="Arial Narrow"/>
                        <w:color w:val="6F6754"/>
                        <w:sz w:val="16"/>
                      </w:rPr>
                      <w:t>Suite ## | City, ST #####</w:t>
                    </w:r>
                  </w:p>
                  <w:p w14:paraId="2B75496D" w14:textId="1CC4A6E1" w:rsidR="008F5E41" w:rsidRDefault="008F5E41" w:rsidP="00CB04D3">
                    <w:pPr>
                      <w:rPr>
                        <w:rFonts w:ascii="Arial Narrow" w:hAnsi="Arial Narrow"/>
                        <w:color w:val="6F6754"/>
                        <w:sz w:val="16"/>
                      </w:rPr>
                    </w:pPr>
                    <w:r>
                      <w:rPr>
                        <w:rFonts w:ascii="Arial Narrow" w:hAnsi="Arial Narrow"/>
                        <w:color w:val="6F6754"/>
                        <w:sz w:val="16"/>
                      </w:rPr>
                      <w:t>000.000.0000 main</w:t>
                    </w:r>
                  </w:p>
                  <w:p w14:paraId="4D8E9E55" w14:textId="013D9CD3" w:rsidR="008F5E41" w:rsidRDefault="008F5E41" w:rsidP="00CB04D3">
                    <w:pPr>
                      <w:rPr>
                        <w:rFonts w:ascii="Arial Narrow" w:hAnsi="Arial Narrow"/>
                        <w:color w:val="6F6754"/>
                        <w:sz w:val="16"/>
                      </w:rPr>
                    </w:pPr>
                    <w:r>
                      <w:rPr>
                        <w:rFonts w:ascii="Arial Narrow" w:hAnsi="Arial Narrow"/>
                        <w:color w:val="6F6754"/>
                        <w:sz w:val="16"/>
                      </w:rPr>
                      <w:t>000.000.0000 fax</w:t>
                    </w:r>
                  </w:p>
                  <w:p w14:paraId="735D0482" w14:textId="77777777" w:rsidR="008F5E41" w:rsidRDefault="008F5E41"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7A131A2" wp14:editId="6DF9D4A9">
              <wp:simplePos x="0" y="0"/>
              <wp:positionH relativeFrom="column">
                <wp:posOffset>549275</wp:posOffset>
              </wp:positionH>
              <wp:positionV relativeFrom="paragraph">
                <wp:posOffset>8627745</wp:posOffset>
              </wp:positionV>
              <wp:extent cx="1935480" cy="95631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24DD620" w14:textId="77777777" w:rsidR="008F5E41" w:rsidRDefault="008F5E41" w:rsidP="00CB04D3">
                          <w:pPr>
                            <w:rPr>
                              <w:rFonts w:ascii="Arial Narrow" w:hAnsi="Arial Narrow"/>
                              <w:color w:val="6F6754"/>
                              <w:sz w:val="16"/>
                            </w:rPr>
                          </w:pPr>
                          <w:r>
                            <w:rPr>
                              <w:rFonts w:ascii="Arial Narrow" w:hAnsi="Arial Narrow"/>
                              <w:color w:val="6F6754"/>
                              <w:sz w:val="16"/>
                            </w:rPr>
                            <w:t>Address #1 ## Long Street</w:t>
                          </w:r>
                        </w:p>
                        <w:p w14:paraId="7F1C4005" w14:textId="77777777" w:rsidR="008F5E41" w:rsidRDefault="008F5E41" w:rsidP="00CB04D3">
                          <w:pPr>
                            <w:rPr>
                              <w:rFonts w:ascii="Arial Narrow" w:hAnsi="Arial Narrow"/>
                              <w:color w:val="6F6754"/>
                              <w:sz w:val="16"/>
                            </w:rPr>
                          </w:pPr>
                          <w:r>
                            <w:rPr>
                              <w:rFonts w:ascii="Arial Narrow" w:hAnsi="Arial Narrow"/>
                              <w:color w:val="6F6754"/>
                              <w:sz w:val="16"/>
                            </w:rPr>
                            <w:t>Suite ## | City, ST #####</w:t>
                          </w:r>
                        </w:p>
                        <w:p w14:paraId="79D0FB13" w14:textId="67535020" w:rsidR="008F5E41" w:rsidRDefault="008F5E41" w:rsidP="00CB04D3">
                          <w:pPr>
                            <w:rPr>
                              <w:rFonts w:ascii="Arial Narrow" w:hAnsi="Arial Narrow"/>
                              <w:color w:val="6F6754"/>
                              <w:sz w:val="16"/>
                            </w:rPr>
                          </w:pPr>
                          <w:r>
                            <w:rPr>
                              <w:rFonts w:ascii="Arial Narrow" w:hAnsi="Arial Narrow"/>
                              <w:color w:val="6F6754"/>
                              <w:sz w:val="16"/>
                            </w:rPr>
                            <w:t>000.000.0000 main</w:t>
                          </w:r>
                        </w:p>
                        <w:p w14:paraId="613CF106" w14:textId="65498C4A" w:rsidR="008F5E41" w:rsidRDefault="008F5E41" w:rsidP="00CB04D3">
                          <w:pPr>
                            <w:rPr>
                              <w:rFonts w:ascii="Arial Narrow" w:hAnsi="Arial Narrow"/>
                              <w:color w:val="6F6754"/>
                              <w:sz w:val="16"/>
                            </w:rPr>
                          </w:pPr>
                          <w:r>
                            <w:rPr>
                              <w:rFonts w:ascii="Arial Narrow" w:hAnsi="Arial Narrow"/>
                              <w:color w:val="6F6754"/>
                              <w:sz w:val="16"/>
                            </w:rPr>
                            <w:t>000.000.0000 fax</w:t>
                          </w:r>
                        </w:p>
                        <w:p w14:paraId="79F76D62" w14:textId="77777777" w:rsidR="008F5E41" w:rsidRDefault="008F5E41"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131A2" id="_x0000_s1030" type="#_x0000_t202" style="position:absolute;left:0;text-align:left;margin-left:43.25pt;margin-top:679.35pt;width:152.4pt;height:7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dWSgIAAE0EAAAOAAAAZHJzL2Uyb0RvYy54bWysVNtu2zAMfR+wfxD07vpS5WKjTtEmzTCg&#10;uwDtPkCR5diYLWqSUrsr9u+j5KTLtrdhL4YkkofkOaSvrse+I0/S2BZUSdOLhBKpBFSt2pf0y+M2&#10;WlJiHVcV70DJkj5LS69Xb99cDbqQGTTQVdIQBFG2GHRJG+d0EcdWNLLn9gK0VGiswfTc4dXs48rw&#10;AdH7Ls6SZB4PYCptQEhr8XUzGekq4Ne1FO5TXVvpSFdSrM2Frwnfnf/Gqyte7A3XTSuOZfB/qKLn&#10;rcKkr1Ab7jg5mPYvqL4VBizU7kJAH0Ndt0KGHrCbNPmjm4eGaxl6QXKsfqXJ/j9Y8fHpsyFtVdKM&#10;EsV7lOhRjo7cwkjShadn0LZArweNfm7Ed5Q5tGr1PYivlihYN1zt5Y0xMDSSV1he6iPjs9AJx3qQ&#10;3fABKszDDw4C0Fib3nOHbBBER5meX6XxtQifMr+csSWaBNry2fwyDdrFvDhFa2PdOwk98YeSGpQ+&#10;oPOne+t8Nbw4ufhkCrZt1wX5O/XbAzpOL5gbQ73NVxHUfMmT/G55t2QRy+Z3EUuqKrrZrlk036aL&#10;2eZys15v0h/TVJ0FpRlLbrM82s6Xi4jVbBbli2QZJWl+m88TlrPNNgRh6lPSQJ7na2LOjbsxyMRO&#10;muygekY2DUwzjTuIhwbMd0oGnOeS2m8HbiQl3XuFiuQpY34BwoXNFhlezLlld27hSiBUSR0l03Ht&#10;pqU5aNPuG8w0zYCCG1SxbgPBXu6pqqP2OLOB9+N++aU4vwevX3+B1U8AAAD//wMAUEsDBBQABgAI&#10;AAAAIQDsUPHU3wAAAAwBAAAPAAAAZHJzL2Rvd25yZXYueG1sTI/BTsMwDIbvSLxDZCRuLBmloy1N&#10;JwTiCtpgk7hljddWNE7VZGt5e8wJjv796ffncj27XpxxDJ0nDcuFAoFUe9tRo+Hj/eUmAxGiIWt6&#10;T6jhGwOsq8uL0hTWT7TB8zY2gksoFEZDG+NQSBnqFp0JCz8g8e7oR2cij2Mj7WgmLne9vFVqJZ3p&#10;iC+0ZsCnFuuv7clp2L0eP/d36q15dukw+VlJcrnU+vpqfnwAEXGOfzD86rM6VOx08CeyQfQaslXK&#10;JOdJmt2DYCLJlwmIA0epyhOQVSn/P1H9AAAA//8DAFBLAQItABQABgAIAAAAIQC2gziS/gAAAOEB&#10;AAATAAAAAAAAAAAAAAAAAAAAAABbQ29udGVudF9UeXBlc10ueG1sUEsBAi0AFAAGAAgAAAAhADj9&#10;If/WAAAAlAEAAAsAAAAAAAAAAAAAAAAALwEAAF9yZWxzLy5yZWxzUEsBAi0AFAAGAAgAAAAhAPKN&#10;51ZKAgAATQQAAA4AAAAAAAAAAAAAAAAALgIAAGRycy9lMm9Eb2MueG1sUEsBAi0AFAAGAAgAAAAh&#10;AOxQ8dTfAAAADAEAAA8AAAAAAAAAAAAAAAAApAQAAGRycy9kb3ducmV2LnhtbFBLBQYAAAAABAAE&#10;APMAAACwBQAAAAA=&#10;" filled="f" stroked="f">
              <v:textbox>
                <w:txbxContent>
                  <w:p w14:paraId="024DD620" w14:textId="77777777" w:rsidR="008F5E41" w:rsidRDefault="008F5E41" w:rsidP="00CB04D3">
                    <w:pPr>
                      <w:rPr>
                        <w:rFonts w:ascii="Arial Narrow" w:hAnsi="Arial Narrow"/>
                        <w:color w:val="6F6754"/>
                        <w:sz w:val="16"/>
                      </w:rPr>
                    </w:pPr>
                    <w:r>
                      <w:rPr>
                        <w:rFonts w:ascii="Arial Narrow" w:hAnsi="Arial Narrow"/>
                        <w:color w:val="6F6754"/>
                        <w:sz w:val="16"/>
                      </w:rPr>
                      <w:t>Address #1 ## Long Street</w:t>
                    </w:r>
                  </w:p>
                  <w:p w14:paraId="7F1C4005" w14:textId="77777777" w:rsidR="008F5E41" w:rsidRDefault="008F5E41" w:rsidP="00CB04D3">
                    <w:pPr>
                      <w:rPr>
                        <w:rFonts w:ascii="Arial Narrow" w:hAnsi="Arial Narrow"/>
                        <w:color w:val="6F6754"/>
                        <w:sz w:val="16"/>
                      </w:rPr>
                    </w:pPr>
                    <w:r>
                      <w:rPr>
                        <w:rFonts w:ascii="Arial Narrow" w:hAnsi="Arial Narrow"/>
                        <w:color w:val="6F6754"/>
                        <w:sz w:val="16"/>
                      </w:rPr>
                      <w:t>Suite ## | City, ST #####</w:t>
                    </w:r>
                  </w:p>
                  <w:p w14:paraId="79D0FB13" w14:textId="67535020" w:rsidR="008F5E41" w:rsidRDefault="008F5E41" w:rsidP="00CB04D3">
                    <w:pPr>
                      <w:rPr>
                        <w:rFonts w:ascii="Arial Narrow" w:hAnsi="Arial Narrow"/>
                        <w:color w:val="6F6754"/>
                        <w:sz w:val="16"/>
                      </w:rPr>
                    </w:pPr>
                    <w:r>
                      <w:rPr>
                        <w:rFonts w:ascii="Arial Narrow" w:hAnsi="Arial Narrow"/>
                        <w:color w:val="6F6754"/>
                        <w:sz w:val="16"/>
                      </w:rPr>
                      <w:t>000.000.0000 main</w:t>
                    </w:r>
                  </w:p>
                  <w:p w14:paraId="613CF106" w14:textId="65498C4A" w:rsidR="008F5E41" w:rsidRDefault="008F5E41" w:rsidP="00CB04D3">
                    <w:pPr>
                      <w:rPr>
                        <w:rFonts w:ascii="Arial Narrow" w:hAnsi="Arial Narrow"/>
                        <w:color w:val="6F6754"/>
                        <w:sz w:val="16"/>
                      </w:rPr>
                    </w:pPr>
                    <w:r>
                      <w:rPr>
                        <w:rFonts w:ascii="Arial Narrow" w:hAnsi="Arial Narrow"/>
                        <w:color w:val="6F6754"/>
                        <w:sz w:val="16"/>
                      </w:rPr>
                      <w:t>000.000.0000 fax</w:t>
                    </w:r>
                  </w:p>
                  <w:p w14:paraId="79F76D62" w14:textId="77777777" w:rsidR="008F5E41" w:rsidRDefault="008F5E41"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AAE7F" w14:textId="77777777" w:rsidR="008F5E41" w:rsidRDefault="008F5E41" w:rsidP="006E129F">
      <w:r>
        <w:separator/>
      </w:r>
    </w:p>
  </w:footnote>
  <w:footnote w:type="continuationSeparator" w:id="0">
    <w:p w14:paraId="2DB04B53" w14:textId="77777777" w:rsidR="008F5E41" w:rsidRDefault="008F5E41" w:rsidP="006E129F">
      <w:r>
        <w:continuationSeparator/>
      </w:r>
    </w:p>
  </w:footnote>
  <w:footnote w:id="1">
    <w:p w14:paraId="36B5CC5A" w14:textId="6937EFFC" w:rsidR="008F5E41" w:rsidRDefault="008F5E41">
      <w:pPr>
        <w:pStyle w:val="FootnoteText"/>
      </w:pPr>
      <w:r>
        <w:rPr>
          <w:rStyle w:val="FootnoteReference"/>
        </w:rPr>
        <w:footnoteRef/>
      </w:r>
      <w:r>
        <w:t xml:space="preserve"> </w:t>
      </w:r>
      <w:r w:rsidRPr="00F44A1E">
        <w:t xml:space="preserve">FEJA (Illinois Future Energy Jobs Act). Public Act 099-0906. </w:t>
      </w:r>
      <w:hyperlink r:id="rId1" w:history="1">
        <w:r w:rsidRPr="008941DC">
          <w:rPr>
            <w:rStyle w:val="Hyperlink"/>
          </w:rPr>
          <w:t>www.ilga.gov/legislation/publicacts/99/PDF/099-0906.pdf</w:t>
        </w:r>
      </w:hyperlink>
      <w:r w:rsidRPr="008941DC">
        <w:t>.</w:t>
      </w:r>
      <w:r w:rsidRPr="00F44A1E">
        <w:t xml:space="preserve"> (passed December 7, 2016).</w:t>
      </w:r>
    </w:p>
  </w:footnote>
  <w:footnote w:id="2">
    <w:p w14:paraId="18EFB0BA" w14:textId="17B2B4E7" w:rsidR="008F5E41" w:rsidRDefault="008F5E41" w:rsidP="00F44A1E">
      <w:pPr>
        <w:pStyle w:val="FooterAddress"/>
      </w:pPr>
      <w:r>
        <w:rPr>
          <w:rStyle w:val="FootnoteReference"/>
        </w:rPr>
        <w:footnoteRef/>
      </w:r>
      <w:r>
        <w:t xml:space="preserve"> IL SAG</w:t>
      </w:r>
      <w:r w:rsidRPr="00F44A1E">
        <w:t xml:space="preserve">. Illinois Statewide Technical Reference Manual for Energy Efficiency, Version 8.0.  Illinois Commerce Commission. Springfield: IL. </w:t>
      </w:r>
      <w:hyperlink r:id="rId2" w:history="1">
        <w:r w:rsidRPr="008941DC">
          <w:rPr>
            <w:rStyle w:val="Hyperlink"/>
          </w:rPr>
          <w:t>s3.amazonaws.com/ilsag/2020_IL-TRM_Version_8.0_dated_October-17-2019_Final_Volumes_1-4_Compiled.pdf</w:t>
        </w:r>
      </w:hyperlink>
      <w:r>
        <w:rPr>
          <w:rStyle w:val="Hyperlink"/>
        </w:rPr>
        <w:t>.</w:t>
      </w:r>
    </w:p>
  </w:footnote>
  <w:footnote w:id="3">
    <w:p w14:paraId="7B614C7F" w14:textId="358593D9" w:rsidR="008F5E41" w:rsidRDefault="008F5E41" w:rsidP="00F44A1E">
      <w:pPr>
        <w:pStyle w:val="FooterAddress"/>
      </w:pPr>
      <w:r>
        <w:rPr>
          <w:rStyle w:val="FootnoteReference"/>
        </w:rPr>
        <w:footnoteRef/>
      </w:r>
      <w:r>
        <w:t xml:space="preserve"> </w:t>
      </w:r>
      <w:r w:rsidRPr="00F44A1E">
        <w:t xml:space="preserve">EIA (Energy Information Administration). 2020. Annual Energy Outlook 2020. Washington, DC: EIA. </w:t>
      </w:r>
      <w:hyperlink r:id="rId3" w:history="1">
        <w:r w:rsidRPr="008941DC">
          <w:rPr>
            <w:rStyle w:val="Hyperlink"/>
          </w:rPr>
          <w:t>www.eia.gov/pressroom/presentations/sieminski_12162013.pdf</w:t>
        </w:r>
      </w:hyperlink>
      <w:r w:rsidRPr="008941DC">
        <w:t xml:space="preserve">. </w:t>
      </w:r>
    </w:p>
  </w:footnote>
  <w:footnote w:id="4">
    <w:p w14:paraId="5F219CDD" w14:textId="55D3D0DD" w:rsidR="008F5E41" w:rsidRDefault="008F5E41" w:rsidP="00F44A1E">
      <w:pPr>
        <w:pStyle w:val="FooterAddress"/>
      </w:pPr>
      <w:r>
        <w:rPr>
          <w:rStyle w:val="FootnoteReference"/>
        </w:rPr>
        <w:footnoteRef/>
      </w:r>
      <w:r>
        <w:t xml:space="preserve"> </w:t>
      </w:r>
      <w:r w:rsidRPr="00F44A1E">
        <w:t>ComEd. 2017. Commonwealth Edison Company’s 2018-2021 Energy Efficiency and Demand Response Plan. Docket No. 17-0312, June 30. Springfield, IL: Illinois Commerce Commission (ICC).</w:t>
      </w:r>
      <w:r>
        <w:t xml:space="preserve"> </w:t>
      </w:r>
      <w:hyperlink r:id="rId4" w:history="1">
        <w:r w:rsidRPr="008941DC">
          <w:rPr>
            <w:rStyle w:val="Hyperlink"/>
          </w:rPr>
          <w:t>www.icc.illinois.gov/docket/files.aspx?no=17-0312&amp;docId=254601</w:t>
        </w:r>
      </w:hyperlink>
      <w:r>
        <w:t>.</w:t>
      </w:r>
    </w:p>
  </w:footnote>
  <w:footnote w:id="5">
    <w:p w14:paraId="1A4DDE27" w14:textId="04281D9D" w:rsidR="008F5E41" w:rsidRDefault="008F5E41">
      <w:pPr>
        <w:pStyle w:val="FootnoteText"/>
      </w:pPr>
      <w:r>
        <w:rPr>
          <w:rStyle w:val="FootnoteReference"/>
        </w:rPr>
        <w:footnoteRef/>
      </w:r>
      <w:r>
        <w:t xml:space="preserve"> </w:t>
      </w:r>
      <w:r w:rsidRPr="00464B56">
        <w:t xml:space="preserve">IL SAG (Illinois Stakeholder Advisory Group). 2016. Documentation of TAC Review of Non-Energy Benefits - Memorandum to Technical Advisory Committee. Springfield, IL: </w:t>
      </w:r>
      <w:hyperlink r:id="rId5" w:history="1">
        <w:r>
          <w:rPr>
            <w:rStyle w:val="Hyperlink"/>
          </w:rPr>
          <w:t>s3.amazonaws.com/ilsag/IL-TAC_Documentation-of-TAC-Review-of-Non-Energy-Benefits_Memo_02-09-2016.pdf</w:t>
        </w:r>
      </w:hyperlink>
      <w:r>
        <w:t xml:space="preserve">. </w:t>
      </w:r>
    </w:p>
  </w:footnote>
  <w:footnote w:id="6">
    <w:p w14:paraId="3A462BD9" w14:textId="72CE409E" w:rsidR="008F5E41" w:rsidRDefault="008F5E41" w:rsidP="007C2A1E">
      <w:pPr>
        <w:pStyle w:val="FootnoteText"/>
      </w:pPr>
      <w:r>
        <w:rPr>
          <w:rStyle w:val="FootnoteReference"/>
        </w:rPr>
        <w:footnoteRef/>
      </w:r>
      <w:r>
        <w:t xml:space="preserve"> </w:t>
      </w:r>
      <w:hyperlink r:id="rId6" w:history="1">
        <w:r>
          <w:rPr>
            <w:rStyle w:val="Hyperlink"/>
          </w:rPr>
          <w:t>https://www.bls.gov/regions/midwest/news-release/occupationalemploymentandwages_chicago.htm</w:t>
        </w:r>
      </w:hyperlink>
      <w:r>
        <w:t xml:space="preserve"> </w:t>
      </w:r>
      <w:r w:rsidRPr="007C4EDF">
        <w:rPr>
          <w:rStyle w:val="Hyperlink"/>
          <w:rFonts w:asciiTheme="minorHAnsi" w:hAnsiTheme="minorHAnsi" w:cstheme="minorHAnsi"/>
          <w:color w:val="auto"/>
          <w:szCs w:val="16"/>
          <w:u w:val="none"/>
        </w:rPr>
        <w:t>Accessed April 30, 2020</w:t>
      </w:r>
      <w:r>
        <w:rPr>
          <w:rStyle w:val="Hyperlink"/>
          <w:rFonts w:asciiTheme="minorHAnsi" w:hAnsiTheme="minorHAnsi" w:cstheme="minorHAnsi"/>
          <w:color w:val="auto"/>
          <w:szCs w:val="16"/>
          <w:u w:val="none"/>
        </w:rPr>
        <w:t>.</w:t>
      </w:r>
    </w:p>
  </w:footnote>
  <w:footnote w:id="7">
    <w:p w14:paraId="310CF521" w14:textId="6D91F3E4" w:rsidR="008F5E41" w:rsidRPr="00736582" w:rsidRDefault="008F5E41" w:rsidP="00DA2227">
      <w:pPr>
        <w:pStyle w:val="FooterAddress"/>
        <w:rPr>
          <w:rFonts w:asciiTheme="minorHAnsi" w:hAnsiTheme="minorHAnsi" w:cstheme="minorHAnsi"/>
          <w:color w:val="auto"/>
          <w:szCs w:val="16"/>
        </w:rPr>
      </w:pPr>
      <w:r>
        <w:rPr>
          <w:rStyle w:val="FootnoteReference"/>
        </w:rPr>
        <w:footnoteRef/>
      </w:r>
      <w:r w:rsidRPr="002A504D">
        <w:rPr>
          <w:rFonts w:asciiTheme="minorHAnsi" w:hAnsiTheme="minorHAnsi" w:cstheme="minorHAnsi"/>
          <w:szCs w:val="16"/>
        </w:rPr>
        <w:t xml:space="preserve"> </w:t>
      </w:r>
      <w:hyperlink r:id="rId7" w:history="1">
        <w:r w:rsidRPr="00DA2227">
          <w:rPr>
            <w:rStyle w:val="Hyperlink"/>
          </w:rPr>
          <w:t>https://www.ncbi.nlm.nih.gov/pmc/articles/PMC5627640/</w:t>
        </w:r>
      </w:hyperlink>
      <w:r w:rsidRPr="00DA2227">
        <w:rPr>
          <w:rStyle w:val="Hyperlink"/>
        </w:rPr>
        <w:t xml:space="preserve"> </w:t>
      </w:r>
      <w:r w:rsidRPr="00DA2227">
        <w:rPr>
          <w:rStyle w:val="Hyperlink"/>
          <w:color w:val="auto"/>
          <w:u w:val="none"/>
        </w:rPr>
        <w:t>Accessed April 30, 2020</w:t>
      </w:r>
      <w:r>
        <w:rPr>
          <w:rStyle w:val="Hyperlink"/>
          <w:color w:val="auto"/>
          <w:u w:val="none"/>
        </w:rPr>
        <w:t>.</w:t>
      </w:r>
    </w:p>
  </w:footnote>
  <w:footnote w:id="8">
    <w:p w14:paraId="2A2E682D" w14:textId="49A6B944" w:rsidR="008F5E41" w:rsidRDefault="008F5E41">
      <w:pPr>
        <w:pStyle w:val="FootnoteText"/>
      </w:pPr>
      <w:r>
        <w:rPr>
          <w:rStyle w:val="FootnoteReference"/>
        </w:rPr>
        <w:footnoteRef/>
      </w:r>
      <w:r>
        <w:t xml:space="preserve"> </w:t>
      </w:r>
      <w:r w:rsidRPr="00DA2227">
        <w:t>Database of State Efficiency Screening Practices (DSESP), 2</w:t>
      </w:r>
      <w:r w:rsidR="00777F22">
        <w:t>020</w:t>
      </w:r>
      <w:r w:rsidRPr="00DA2227">
        <w:t xml:space="preserve">. “National Energy Efficiency Screening Project, </w:t>
      </w:r>
      <w:hyperlink r:id="rId8" w:history="1">
        <w:r>
          <w:rPr>
            <w:rStyle w:val="Hyperlink"/>
          </w:rPr>
          <w:t>https://nationalefficiencyscreening.org/</w:t>
        </w:r>
      </w:hyperlink>
      <w:r w:rsidRPr="00DA2227">
        <w:t xml:space="preserve"> Accessed</w:t>
      </w:r>
      <w:r>
        <w:t>: April 4, 2</w:t>
      </w:r>
      <w:r w:rsidRPr="00DA2227">
        <w:t>020.</w:t>
      </w:r>
    </w:p>
  </w:footnote>
  <w:footnote w:id="9">
    <w:p w14:paraId="523FC53F" w14:textId="0E4DCFA3" w:rsidR="008F5E41" w:rsidRPr="00CF2D10" w:rsidRDefault="008F5E41" w:rsidP="0089613C">
      <w:pPr>
        <w:pStyle w:val="FooterAddress"/>
        <w:rPr>
          <w:sz w:val="18"/>
          <w:szCs w:val="18"/>
        </w:rPr>
      </w:pPr>
      <w:r w:rsidRPr="0011660D">
        <w:rPr>
          <w:rStyle w:val="FootnoteReference"/>
          <w:szCs w:val="16"/>
        </w:rPr>
        <w:footnoteRef/>
      </w:r>
      <w:r w:rsidRPr="00CF2D10">
        <w:rPr>
          <w:sz w:val="18"/>
          <w:szCs w:val="18"/>
        </w:rPr>
        <w:t xml:space="preserve"> </w:t>
      </w:r>
      <w:hyperlink r:id="rId9" w:history="1">
        <w:r w:rsidRPr="002B6B2A">
          <w:rPr>
            <w:rStyle w:val="Hyperlink"/>
            <w:szCs w:val="16"/>
          </w:rPr>
          <w:t>https://www.epa.gov/sites/production/files/2019-05/documents/avert_overview_and_training_05-20-19_508.pdf</w:t>
        </w:r>
      </w:hyperlink>
      <w:r w:rsidRPr="00CF2D10">
        <w:rPr>
          <w:sz w:val="18"/>
          <w:szCs w:val="18"/>
        </w:rPr>
        <w:t xml:space="preserve">. </w:t>
      </w:r>
      <w:r w:rsidRPr="002B6B2A">
        <w:t>Accessed: April 30, 2020.</w:t>
      </w:r>
    </w:p>
  </w:footnote>
  <w:footnote w:id="10">
    <w:p w14:paraId="4EDF51B0" w14:textId="7F4BBFDF" w:rsidR="008F5E41" w:rsidRPr="00CF2D10" w:rsidRDefault="008F5E41" w:rsidP="0089613C">
      <w:pPr>
        <w:pStyle w:val="FooterAddress"/>
        <w:rPr>
          <w:sz w:val="18"/>
          <w:szCs w:val="18"/>
        </w:rPr>
      </w:pPr>
      <w:r w:rsidRPr="0011660D">
        <w:rPr>
          <w:rStyle w:val="FootnoteReference"/>
          <w:szCs w:val="16"/>
        </w:rPr>
        <w:footnoteRef/>
      </w:r>
      <w:r w:rsidRPr="002B6B2A">
        <w:t xml:space="preserve"> </w:t>
      </w:r>
      <w:hyperlink r:id="rId10" w:history="1">
        <w:r w:rsidRPr="002B6B2A">
          <w:rPr>
            <w:rStyle w:val="Hyperlink"/>
            <w:szCs w:val="16"/>
          </w:rPr>
          <w:t>https://www.epa.gov/statelocalenergy/how-cobra-works</w:t>
        </w:r>
      </w:hyperlink>
      <w:r w:rsidRPr="002B6B2A">
        <w:t xml:space="preserve">. Accessed: April 30, 2020.  </w:t>
      </w:r>
    </w:p>
  </w:footnote>
  <w:footnote w:id="11">
    <w:p w14:paraId="1B4D6E4C" w14:textId="0A891D49" w:rsidR="008F5E41" w:rsidRPr="00D034F8" w:rsidRDefault="008F5E41" w:rsidP="0089613C">
      <w:pPr>
        <w:pStyle w:val="FooterAddress"/>
      </w:pPr>
      <w:r w:rsidRPr="00D034F8">
        <w:rPr>
          <w:rStyle w:val="FootnoteReference"/>
          <w:szCs w:val="16"/>
        </w:rPr>
        <w:footnoteRef/>
      </w:r>
      <w:r w:rsidRPr="00D034F8">
        <w:t xml:space="preserve"> </w:t>
      </w:r>
      <w:hyperlink r:id="rId11" w:history="1">
        <w:r w:rsidRPr="00D034F8">
          <w:rPr>
            <w:rStyle w:val="Hyperlink"/>
            <w:szCs w:val="16"/>
          </w:rPr>
          <w:t>https://www.epa.gov/statelocalenergy/avert-tutorial-how-avert-works</w:t>
        </w:r>
      </w:hyperlink>
      <w:r w:rsidRPr="00D034F8">
        <w:t xml:space="preserve"> Accessed: April 30, 2020.</w:t>
      </w:r>
    </w:p>
  </w:footnote>
  <w:footnote w:id="12">
    <w:p w14:paraId="5357A7FE" w14:textId="77777777" w:rsidR="008F5E41" w:rsidRPr="00D034F8" w:rsidRDefault="008F5E41" w:rsidP="0089613C">
      <w:pPr>
        <w:pStyle w:val="FooterAddress"/>
      </w:pPr>
      <w:r w:rsidRPr="00D034F8">
        <w:rPr>
          <w:rStyle w:val="FootnoteReference"/>
          <w:szCs w:val="16"/>
        </w:rPr>
        <w:footnoteRef/>
      </w:r>
      <w:r w:rsidRPr="00D034F8">
        <w:t xml:space="preserve"> DeYoung, R. 2017. “Public Health Benefits of Energy Efficiency Programs,” ACEEE National Conference as Energy Efficiency as a Resource, on behalf of the Environmental Protection Agency; (</w:t>
      </w:r>
      <w:hyperlink r:id="rId12" w:history="1">
        <w:r w:rsidRPr="00D034F8">
          <w:rPr>
            <w:rStyle w:val="Hyperlink"/>
            <w:szCs w:val="16"/>
          </w:rPr>
          <w:t>https://www.aceee.org/sites/default/files/pdf/conferences/eer/2017/DeYoung_Session2D_EER17_Oct_31.pdf</w:t>
        </w:r>
      </w:hyperlink>
      <w:r w:rsidRPr="00D034F8">
        <w:rPr>
          <w:u w:val="single"/>
        </w:rPr>
        <w:t>)</w:t>
      </w:r>
    </w:p>
    <w:p w14:paraId="0E1CFE2B" w14:textId="5948A7BB" w:rsidR="008F5E41" w:rsidRPr="00CF2D10" w:rsidRDefault="008F5E41" w:rsidP="00EA29B1">
      <w:pPr>
        <w:widowControl w:val="0"/>
        <w:autoSpaceDE w:val="0"/>
        <w:autoSpaceDN w:val="0"/>
        <w:adjustRightInd w:val="0"/>
        <w:spacing w:line="240" w:lineRule="exact"/>
        <w:rPr>
          <w:rFonts w:cs="Arial"/>
          <w:sz w:val="18"/>
          <w:szCs w:val="18"/>
        </w:rPr>
      </w:pPr>
    </w:p>
    <w:p w14:paraId="3142DC39" w14:textId="4BB58786" w:rsidR="008F5E41" w:rsidRDefault="008F5E41">
      <w:pPr>
        <w:pStyle w:val="FootnoteText"/>
      </w:pPr>
    </w:p>
  </w:footnote>
  <w:footnote w:id="13">
    <w:p w14:paraId="255FC4E0" w14:textId="53DEF33D" w:rsidR="008F5E41" w:rsidRPr="0089613C" w:rsidRDefault="008F5E41">
      <w:pPr>
        <w:pStyle w:val="FootnoteText"/>
        <w:rPr>
          <w:szCs w:val="16"/>
        </w:rPr>
      </w:pPr>
      <w:r>
        <w:rPr>
          <w:rStyle w:val="FootnoteReference"/>
        </w:rPr>
        <w:footnoteRef/>
      </w:r>
      <w:r>
        <w:t xml:space="preserve"> </w:t>
      </w:r>
      <w:hyperlink r:id="rId13" w:history="1">
        <w:r w:rsidRPr="0089613C">
          <w:rPr>
            <w:rStyle w:val="Hyperlink"/>
            <w:rFonts w:cstheme="minorHAnsi"/>
            <w:szCs w:val="16"/>
          </w:rPr>
          <w:t>https://www.focusonenergy.com/sites/default/files/Wisconsin Focus on Energy CY 2016 Appendices.pdf</w:t>
        </w:r>
      </w:hyperlink>
      <w:r w:rsidRPr="0089613C">
        <w:rPr>
          <w:rFonts w:cstheme="minorHAnsi"/>
          <w:szCs w:val="16"/>
        </w:rPr>
        <w:t xml:space="preserve"> </w:t>
      </w:r>
      <w:r>
        <w:rPr>
          <w:rFonts w:cstheme="minorHAnsi"/>
          <w:szCs w:val="16"/>
        </w:rPr>
        <w:t xml:space="preserve">and </w:t>
      </w:r>
      <w:hyperlink r:id="rId14" w:history="1">
        <w:r w:rsidRPr="008F5E41">
          <w:rPr>
            <w:rStyle w:val="Hyperlink"/>
            <w:rFonts w:cstheme="minorHAnsi"/>
            <w:szCs w:val="16"/>
          </w:rPr>
          <w:t>https://www.focusonenergy.com/sites/default/files/WI%20FOE%202015%20to%202016%20Econ%20Impact%20Report-%20Final.pdf</w:t>
        </w:r>
      </w:hyperlink>
    </w:p>
  </w:footnote>
  <w:footnote w:id="14">
    <w:p w14:paraId="163B5A8C" w14:textId="1BE9B058" w:rsidR="00E4540D" w:rsidRPr="00094E74" w:rsidRDefault="00E4540D" w:rsidP="00094E74">
      <w:pPr>
        <w:pStyle w:val="FooterAddress"/>
      </w:pPr>
      <w:r w:rsidRPr="0011660D">
        <w:rPr>
          <w:rStyle w:val="FootnoteReference"/>
          <w:rFonts w:eastAsiaTheme="minorHAnsi" w:cstheme="minorBidi"/>
          <w:szCs w:val="20"/>
        </w:rPr>
        <w:footnoteRef/>
      </w:r>
      <w:r w:rsidRPr="00094E74">
        <w:t xml:space="preserve"> </w:t>
      </w:r>
      <w:bookmarkStart w:id="0" w:name="_Hlk39185930"/>
      <w:r w:rsidRPr="00094E74">
        <w:t xml:space="preserve">Abt Associates 2018, Human Health Benefits of Reducing Residential Wood Smoke Emissions in Avista Corporation’s Service Territory – Final Report.” and DeYoung 2017, ACEEE Energy Efficiency </w:t>
      </w:r>
      <w:bookmarkEnd w:id="0"/>
    </w:p>
  </w:footnote>
  <w:footnote w:id="15">
    <w:p w14:paraId="25A87BDB" w14:textId="6D117BE8" w:rsidR="00094E74" w:rsidRPr="00094E74" w:rsidRDefault="00094E74" w:rsidP="00094E74">
      <w:pPr>
        <w:pStyle w:val="FooterAddress"/>
      </w:pPr>
      <w:r w:rsidRPr="0011660D">
        <w:rPr>
          <w:rStyle w:val="FootnoteReference"/>
          <w:rFonts w:eastAsiaTheme="minorHAnsi" w:cstheme="minorBidi"/>
          <w:szCs w:val="20"/>
        </w:rPr>
        <w:footnoteRef/>
      </w:r>
      <w:r w:rsidRPr="00094E74">
        <w:t xml:space="preserve"> DeYoung, R. 2017.</w:t>
      </w:r>
    </w:p>
  </w:footnote>
  <w:footnote w:id="16">
    <w:p w14:paraId="7E0D746A" w14:textId="741C0DE9" w:rsidR="00E4540D" w:rsidRPr="00094E74" w:rsidRDefault="00E4540D" w:rsidP="00094E74">
      <w:pPr>
        <w:pStyle w:val="FooterAddress"/>
      </w:pPr>
      <w:r w:rsidRPr="0011660D">
        <w:rPr>
          <w:rStyle w:val="FootnoteReference"/>
          <w:rFonts w:eastAsiaTheme="minorHAnsi" w:cstheme="minorBidi"/>
          <w:szCs w:val="20"/>
        </w:rPr>
        <w:footnoteRef/>
      </w:r>
      <w:r w:rsidRPr="00094E74">
        <w:t xml:space="preserve"> Avista Utilities 2017, “Public Comments in Docket UE-171091 (Avista Utilities proposal for Achievable Conservation Potential and the 2018-2019 Biennial Conservation Plan), November 28. </w:t>
      </w:r>
      <w:hyperlink r:id="rId15" w:history="1">
        <w:r w:rsidRPr="00094E74">
          <w:rPr>
            <w:rStyle w:val="Hyperlink"/>
            <w:color w:val="000000"/>
            <w:u w:val="none"/>
          </w:rPr>
          <w:t>https://www.utc.wa.gov/Pages/Default.aspx</w:t>
        </w:r>
      </w:hyperlink>
      <w:r w:rsidR="00794E45" w:rsidRPr="00094E74">
        <w:t xml:space="preserve"> </w:t>
      </w:r>
    </w:p>
  </w:footnote>
  <w:footnote w:id="17">
    <w:p w14:paraId="16807F43" w14:textId="53E81C14" w:rsidR="0088225D" w:rsidRDefault="0088225D">
      <w:pPr>
        <w:pStyle w:val="FootnoteText"/>
      </w:pPr>
      <w:r>
        <w:rPr>
          <w:rStyle w:val="FootnoteReference"/>
        </w:rPr>
        <w:footnoteRef/>
      </w:r>
      <w:r>
        <w:t xml:space="preserve"> </w:t>
      </w:r>
      <w:bookmarkStart w:id="3" w:name="_Hlk39187654"/>
      <w:r w:rsidRPr="00CB217E">
        <w:t>Northeast Energy Efficiency Partnership (NEEP), 201</w:t>
      </w:r>
      <w:r>
        <w:t>7</w:t>
      </w:r>
      <w:r w:rsidRPr="00CB217E">
        <w:t xml:space="preserve">. </w:t>
      </w:r>
      <w:r w:rsidRPr="00CB217E">
        <w:rPr>
          <w:i/>
        </w:rPr>
        <w:t>“</w:t>
      </w:r>
      <w:r w:rsidRPr="0088225D">
        <w:rPr>
          <w:i/>
        </w:rPr>
        <w:t>Non-Energy Impacts Approaches and Values: an</w:t>
      </w:r>
      <w:r>
        <w:rPr>
          <w:i/>
        </w:rPr>
        <w:t xml:space="preserve"> </w:t>
      </w:r>
      <w:r w:rsidRPr="0088225D">
        <w:rPr>
          <w:i/>
        </w:rPr>
        <w:t>Examination of the Northeast, Mid-Atlantic, and</w:t>
      </w:r>
      <w:r>
        <w:rPr>
          <w:i/>
        </w:rPr>
        <w:t xml:space="preserve"> </w:t>
      </w:r>
      <w:r w:rsidRPr="0088225D">
        <w:rPr>
          <w:i/>
        </w:rPr>
        <w:t>Beyond</w:t>
      </w:r>
      <w:r>
        <w:rPr>
          <w:i/>
        </w:rPr>
        <w:t>”</w:t>
      </w:r>
      <w:r w:rsidRPr="00CB217E">
        <w:t>.</w:t>
      </w:r>
      <w:bookmarkEnd w:id="3"/>
      <w:r w:rsidRPr="0088225D">
        <w:rPr>
          <w:rFonts w:eastAsia="Times New Roman" w:cs="Times New Roman"/>
          <w:color w:val="000000"/>
          <w:sz w:val="20"/>
          <w:szCs w:val="24"/>
        </w:rPr>
        <w:t xml:space="preserve"> </w:t>
      </w:r>
      <w:hyperlink r:id="rId16" w:history="1">
        <w:r w:rsidRPr="0088225D">
          <w:rPr>
            <w:rStyle w:val="Hyperlink"/>
          </w:rPr>
          <w:t>https://neep.org/sites/default/files/resources/NEI%20Final%20Report%20for%20NH%20updated%2010.4.17.pdf</w:t>
        </w:r>
      </w:hyperlink>
    </w:p>
  </w:footnote>
  <w:footnote w:id="18">
    <w:p w14:paraId="6D7F5CA2" w14:textId="231BCA47" w:rsidR="0088225D" w:rsidRDefault="0088225D">
      <w:pPr>
        <w:pStyle w:val="FootnoteText"/>
      </w:pPr>
      <w:r>
        <w:rPr>
          <w:rStyle w:val="FootnoteReference"/>
        </w:rPr>
        <w:footnoteRef/>
      </w:r>
      <w:r>
        <w:t xml:space="preserve"> </w:t>
      </w:r>
      <w:r w:rsidRPr="00CB217E">
        <w:t xml:space="preserve">Malone, E. Woolf, T, &amp; Letendre, S. 2019. </w:t>
      </w:r>
      <w:r w:rsidRPr="00CB217E">
        <w:rPr>
          <w:i/>
        </w:rPr>
        <w:t>“New Hampshire Cost-Effectiveness Review: Application of the National Standard Practice Manual to New Hampshire,”</w:t>
      </w:r>
      <w:r w:rsidRPr="00CB217E">
        <w:t xml:space="preserve"> New Hampshire Evaluation, Measurement &amp; Verification (EM&amp;V) Working Group. October 14</w:t>
      </w:r>
      <w:r>
        <w:t>.</w:t>
      </w:r>
    </w:p>
  </w:footnote>
  <w:footnote w:id="19">
    <w:p w14:paraId="3357FF50" w14:textId="0E6156A5" w:rsidR="00996067" w:rsidRPr="00094E74" w:rsidRDefault="00996067" w:rsidP="00094E74">
      <w:pPr>
        <w:pStyle w:val="FooterAddress"/>
      </w:pPr>
      <w:r w:rsidRPr="00B66E4E">
        <w:rPr>
          <w:rStyle w:val="FootnoteReference"/>
          <w:rFonts w:eastAsiaTheme="minorHAnsi" w:cstheme="minorBidi"/>
          <w:szCs w:val="20"/>
        </w:rPr>
        <w:footnoteRef/>
      </w:r>
      <w:r w:rsidRPr="00094E74">
        <w:t xml:space="preserve"> </w:t>
      </w:r>
      <w:bookmarkStart w:id="4" w:name="_Hlk39186407"/>
      <w:r w:rsidR="00CB217E" w:rsidRPr="00094E74">
        <w:t>DSESP 20</w:t>
      </w:r>
      <w:r w:rsidR="00777F22" w:rsidRPr="00094E74">
        <w:t>20</w:t>
      </w:r>
      <w:r w:rsidR="00CB217E" w:rsidRPr="00094E74">
        <w:t>. Accessed: April 2</w:t>
      </w:r>
      <w:r w:rsidR="00777F22" w:rsidRPr="00094E74">
        <w:t>4</w:t>
      </w:r>
      <w:r w:rsidR="00CB217E" w:rsidRPr="00094E74">
        <w:t>,</w:t>
      </w:r>
      <w:r w:rsidR="00777F22" w:rsidRPr="00094E74">
        <w:t xml:space="preserve"> </w:t>
      </w:r>
      <w:r w:rsidR="00CB217E" w:rsidRPr="00094E74">
        <w:t>2020.</w:t>
      </w:r>
      <w:bookmarkEnd w:id="4"/>
    </w:p>
  </w:footnote>
  <w:footnote w:id="20">
    <w:p w14:paraId="52F4FA5A" w14:textId="0F88879F" w:rsidR="00CB217E" w:rsidRDefault="00CB217E" w:rsidP="00B66E4E">
      <w:pPr>
        <w:pStyle w:val="FooterAddress"/>
      </w:pPr>
      <w:r w:rsidRPr="00B66E4E">
        <w:rPr>
          <w:rStyle w:val="FootnoteReference"/>
          <w:rFonts w:eastAsiaTheme="minorHAnsi" w:cstheme="minorBidi"/>
          <w:szCs w:val="20"/>
        </w:rPr>
        <w:footnoteRef/>
      </w:r>
      <w:r w:rsidRPr="00094E74">
        <w:t xml:space="preserve"> Three</w:t>
      </w:r>
      <w:r w:rsidRPr="00B66E4E">
        <w:rPr>
          <w:vertAlign w:val="superscript"/>
        </w:rPr>
        <w:t>3</w:t>
      </w:r>
      <w:r w:rsidRPr="00094E74">
        <w:t xml:space="preserve"> and NMR Group, 2018. “Low-Income Multifamily Health- and Safety-Related NEIs Study (TXC 50) Preliminary Findings Report Final Preliminary Findings Report.” Massachusetts Program Administrators October 15. </w:t>
      </w:r>
    </w:p>
  </w:footnote>
  <w:footnote w:id="21">
    <w:p w14:paraId="31D6F00D" w14:textId="12E55C44" w:rsidR="00CB217E" w:rsidRDefault="00CB217E">
      <w:pPr>
        <w:pStyle w:val="FootnoteText"/>
      </w:pPr>
      <w:r>
        <w:rPr>
          <w:rStyle w:val="FootnoteReference"/>
        </w:rPr>
        <w:footnoteRef/>
      </w:r>
      <w:r>
        <w:t xml:space="preserve"> </w:t>
      </w:r>
      <w:r w:rsidRPr="00CB217E">
        <w:t>DSESP, 20</w:t>
      </w:r>
      <w:r w:rsidR="00777F22">
        <w:t>20</w:t>
      </w:r>
      <w:r w:rsidRPr="00CB217E">
        <w:t xml:space="preserve">. </w:t>
      </w:r>
      <w:r w:rsidRPr="00777F22">
        <w:t>A</w:t>
      </w:r>
      <w:r w:rsidRPr="00CB217E">
        <w:t>ccessed: April 26,</w:t>
      </w:r>
      <w:r w:rsidR="00777F22">
        <w:t xml:space="preserve"> </w:t>
      </w:r>
      <w:r w:rsidRPr="00CB217E">
        <w:t>2020.</w:t>
      </w:r>
    </w:p>
  </w:footnote>
  <w:footnote w:id="22">
    <w:p w14:paraId="2E8E5DC2" w14:textId="260A8D89" w:rsidR="00266799" w:rsidRDefault="00266799">
      <w:pPr>
        <w:pStyle w:val="FootnoteText"/>
      </w:pPr>
      <w:r>
        <w:rPr>
          <w:rStyle w:val="FootnoteReference"/>
        </w:rPr>
        <w:footnoteRef/>
      </w:r>
      <w:r>
        <w:t xml:space="preserve"> </w:t>
      </w:r>
      <w:r w:rsidRPr="00266799">
        <w:t>Oak Ridge National Laboratory 2014., “</w:t>
      </w:r>
      <w:r w:rsidRPr="00266799">
        <w:rPr>
          <w:i/>
          <w:iCs/>
        </w:rPr>
        <w:t>Weatherization Works- Summary of Findings from the Retrospective Evaluation of the Department of Energy’s Weatherization Assistance Program, Managed by UT-Battelle for the US Department of Energy.”</w:t>
      </w:r>
      <w:r w:rsidRPr="00266799">
        <w:t xml:space="preserve"> (DOE WAP Study 2014) September. </w:t>
      </w:r>
      <w:hyperlink r:id="rId17" w:history="1">
        <w:r w:rsidRPr="00266799">
          <w:rPr>
            <w:rStyle w:val="Hyperlink"/>
          </w:rPr>
          <w:t>https://www.energy.gov/eere/wap/downloads/weatherization-assistance-program-national-evaluation</w:t>
        </w:r>
      </w:hyperlink>
      <w:r>
        <w:t>. Accessed: April 24, 2020.</w:t>
      </w:r>
    </w:p>
  </w:footnote>
  <w:footnote w:id="23">
    <w:p w14:paraId="06626556" w14:textId="7DA01490" w:rsidR="00B66E4E" w:rsidRDefault="00B66E4E" w:rsidP="00B66E4E">
      <w:pPr>
        <w:pStyle w:val="FootnoteText"/>
      </w:pPr>
      <w:r>
        <w:rPr>
          <w:rStyle w:val="FootnoteReference"/>
        </w:rPr>
        <w:footnoteRef/>
      </w:r>
      <w:r>
        <w:t xml:space="preserve"> </w:t>
      </w:r>
      <w:r w:rsidRPr="00094E74">
        <w:t>Three</w:t>
      </w:r>
      <w:r w:rsidRPr="00B66E4E">
        <w:rPr>
          <w:vertAlign w:val="superscript"/>
        </w:rPr>
        <w:t>3</w:t>
      </w:r>
      <w:r w:rsidRPr="00094E74">
        <w:t xml:space="preserve"> and NMR Group, 2018.</w:t>
      </w:r>
    </w:p>
  </w:footnote>
  <w:footnote w:id="24">
    <w:p w14:paraId="07D642ED" w14:textId="2F8795AD" w:rsidR="00B66E4E" w:rsidRDefault="00B66E4E" w:rsidP="00B66E4E">
      <w:pPr>
        <w:pStyle w:val="FootnoteText"/>
      </w:pPr>
      <w:r>
        <w:rPr>
          <w:rStyle w:val="FootnoteReference"/>
        </w:rPr>
        <w:footnoteRef/>
      </w:r>
      <w:r>
        <w:t xml:space="preserve"> Malone et al, 2019.</w:t>
      </w:r>
    </w:p>
  </w:footnote>
  <w:footnote w:id="25">
    <w:p w14:paraId="38B33B57" w14:textId="0A266237" w:rsidR="00B66E4E" w:rsidRDefault="00B66E4E" w:rsidP="00B66E4E">
      <w:pPr>
        <w:pStyle w:val="FootnoteText"/>
      </w:pPr>
      <w:r>
        <w:rPr>
          <w:rStyle w:val="FootnoteReference"/>
        </w:rPr>
        <w:footnoteRef/>
      </w:r>
      <w:r>
        <w:t xml:space="preserve"> </w:t>
      </w:r>
      <w:bookmarkStart w:id="7" w:name="_Hlk39187789"/>
      <w:bookmarkStart w:id="8" w:name="_Hlk39186284"/>
      <w:r>
        <w:t>NEEP</w:t>
      </w:r>
      <w:r w:rsidRPr="009F409A">
        <w:t>, 201</w:t>
      </w:r>
      <w:r>
        <w:t>7</w:t>
      </w:r>
      <w:r w:rsidRPr="009F409A">
        <w:t xml:space="preserve">. </w:t>
      </w:r>
      <w:bookmarkEnd w:id="7"/>
      <w:bookmarkEnd w:id="8"/>
    </w:p>
  </w:footnote>
  <w:footnote w:id="26">
    <w:p w14:paraId="36B0D8EF" w14:textId="6FB78A75" w:rsidR="00B66E4E" w:rsidRDefault="00B66E4E" w:rsidP="00B66E4E">
      <w:pPr>
        <w:pStyle w:val="FootnoteText"/>
      </w:pPr>
      <w:r>
        <w:rPr>
          <w:rStyle w:val="FootnoteReference"/>
        </w:rPr>
        <w:footnoteRef/>
      </w:r>
      <w:r>
        <w:t xml:space="preserve"> Ibid</w:t>
      </w:r>
      <w:r w:rsidRPr="00CB217E">
        <w:t>.</w:t>
      </w:r>
    </w:p>
  </w:footnote>
  <w:footnote w:id="27">
    <w:p w14:paraId="397F1361" w14:textId="77777777" w:rsidR="00B66E4E" w:rsidRDefault="00B66E4E" w:rsidP="00B66E4E">
      <w:pPr>
        <w:pStyle w:val="FootnoteText"/>
      </w:pPr>
      <w:r>
        <w:rPr>
          <w:rStyle w:val="FootnoteReference"/>
        </w:rPr>
        <w:footnoteRef/>
      </w:r>
      <w:r>
        <w:t xml:space="preserve"> </w:t>
      </w:r>
      <w:r w:rsidRPr="00CB217E">
        <w:t>DSESP, 20</w:t>
      </w:r>
      <w:r>
        <w:t>20</w:t>
      </w:r>
      <w:r w:rsidRPr="00CB217E">
        <w:t xml:space="preserve">. </w:t>
      </w:r>
      <w:r w:rsidRPr="00777F22">
        <w:t>A</w:t>
      </w:r>
      <w:r w:rsidRPr="00CB217E">
        <w:t>ccessed: April 26,</w:t>
      </w:r>
      <w:r>
        <w:t xml:space="preserve"> </w:t>
      </w:r>
      <w:r w:rsidRPr="00CB217E">
        <w:t>2020.</w:t>
      </w:r>
    </w:p>
  </w:footnote>
  <w:footnote w:id="28">
    <w:p w14:paraId="5B173FD0" w14:textId="77777777" w:rsidR="00B66E4E" w:rsidRDefault="00B66E4E" w:rsidP="00B66E4E">
      <w:pPr>
        <w:pStyle w:val="FootnoteText"/>
      </w:pPr>
      <w:r>
        <w:rPr>
          <w:rStyle w:val="FootnoteReference"/>
        </w:rPr>
        <w:footnoteRef/>
      </w:r>
      <w:r>
        <w:t xml:space="preserve"> </w:t>
      </w:r>
      <w:r w:rsidRPr="009F409A">
        <w:t>Three</w:t>
      </w:r>
      <w:r w:rsidRPr="009F409A">
        <w:rPr>
          <w:vertAlign w:val="superscript"/>
        </w:rPr>
        <w:t xml:space="preserve">3 </w:t>
      </w:r>
      <w:r w:rsidRPr="009F409A">
        <w:t>and NMR Group, 2018.</w:t>
      </w:r>
    </w:p>
  </w:footnote>
  <w:footnote w:id="29">
    <w:p w14:paraId="25F7E4A8" w14:textId="77777777" w:rsidR="00B66E4E" w:rsidRDefault="00B66E4E" w:rsidP="00B66E4E">
      <w:pPr>
        <w:pStyle w:val="FootnoteText"/>
      </w:pPr>
      <w:r>
        <w:rPr>
          <w:rStyle w:val="FootnoteReference"/>
        </w:rPr>
        <w:footnoteRef/>
      </w:r>
      <w:r>
        <w:t xml:space="preserve"> </w:t>
      </w:r>
      <w:r w:rsidRPr="00CB217E">
        <w:t>DSESP, 20</w:t>
      </w:r>
      <w:r>
        <w:t>20</w:t>
      </w:r>
      <w:r w:rsidRPr="00CB217E">
        <w:t xml:space="preserve">. </w:t>
      </w:r>
      <w:r w:rsidRPr="00777F22">
        <w:t>A</w:t>
      </w:r>
      <w:r w:rsidRPr="00CB217E">
        <w:t>ccessed: April 26,</w:t>
      </w:r>
      <w:r>
        <w:t xml:space="preserve"> </w:t>
      </w:r>
      <w:r w:rsidRPr="00CB217E">
        <w:t>2020.</w:t>
      </w:r>
    </w:p>
  </w:footnote>
  <w:footnote w:id="30">
    <w:p w14:paraId="320BCF8F" w14:textId="77777777" w:rsidR="00B66E4E" w:rsidRDefault="00B66E4E" w:rsidP="00B66E4E">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A23B1" w14:textId="77777777" w:rsidR="00BA4C5A" w:rsidRDefault="00BA4C5A">
    <w:pPr>
      <w:pStyle w:val="Header"/>
      <w:rPr>
        <w:rFonts w:cs="Arial"/>
        <w:bCs/>
      </w:rPr>
    </w:pPr>
    <w:r w:rsidRPr="00BA4C5A">
      <w:rPr>
        <w:rFonts w:cs="Arial"/>
        <w:bCs/>
      </w:rPr>
      <w:t xml:space="preserve">Review of States’ Methodologies to include Monetized Non-Energy Impacts in Cost-Effectiveness Tests </w:t>
    </w:r>
  </w:p>
  <w:p w14:paraId="7297F3C9" w14:textId="6717C269" w:rsidR="008F5E41" w:rsidRPr="00247C2C" w:rsidRDefault="008F5E41">
    <w:pPr>
      <w:pStyle w:val="Header"/>
      <w:rPr>
        <w:rFonts w:cs="Arial"/>
        <w:szCs w:val="18"/>
      </w:rPr>
    </w:pPr>
    <w:r w:rsidRPr="00247C2C">
      <w:rPr>
        <w:rFonts w:cs="Arial"/>
        <w:szCs w:val="18"/>
      </w:rPr>
      <w:t>April 30, 2020</w:t>
    </w:r>
  </w:p>
  <w:p w14:paraId="4A706CD1" w14:textId="77777777" w:rsidR="008F5E41" w:rsidRPr="00F73372" w:rsidRDefault="008F5E41">
    <w:pPr>
      <w:pStyle w:val="Header"/>
      <w:rPr>
        <w:rFonts w:cs="Arial"/>
        <w:szCs w:val="18"/>
      </w:rPr>
    </w:pPr>
    <w:r w:rsidRPr="00247C2C">
      <w:rPr>
        <w:rFonts w:cs="Arial"/>
        <w:szCs w:val="18"/>
      </w:rPr>
      <w:t xml:space="preserve">Page </w:t>
    </w:r>
    <w:r w:rsidRPr="00247C2C">
      <w:rPr>
        <w:rFonts w:cs="Arial"/>
        <w:szCs w:val="18"/>
      </w:rPr>
      <w:fldChar w:fldCharType="begin"/>
    </w:r>
    <w:r w:rsidRPr="00247C2C">
      <w:rPr>
        <w:rFonts w:cs="Arial"/>
        <w:szCs w:val="18"/>
      </w:rPr>
      <w:instrText xml:space="preserve"> PAGE </w:instrText>
    </w:r>
    <w:r w:rsidRPr="00247C2C">
      <w:rPr>
        <w:rFonts w:cs="Arial"/>
        <w:szCs w:val="18"/>
      </w:rPr>
      <w:fldChar w:fldCharType="separate"/>
    </w:r>
    <w:r w:rsidRPr="00247C2C">
      <w:rPr>
        <w:rFonts w:cs="Arial"/>
        <w:noProof/>
        <w:szCs w:val="18"/>
      </w:rPr>
      <w:t>2</w:t>
    </w:r>
    <w:r w:rsidRPr="00247C2C">
      <w:rPr>
        <w:rFonts w:cs="Arial"/>
        <w:szCs w:val="18"/>
      </w:rPr>
      <w:fldChar w:fldCharType="end"/>
    </w:r>
    <w:r w:rsidRPr="00F73372">
      <w:rPr>
        <w:rFonts w:cs="Arial"/>
        <w:szCs w:val="18"/>
      </w:rPr>
      <w:t xml:space="preserve"> of </w:t>
    </w:r>
    <w:r w:rsidRPr="00247C2C">
      <w:rPr>
        <w:rFonts w:cs="Arial"/>
        <w:szCs w:val="18"/>
      </w:rPr>
      <w:fldChar w:fldCharType="begin"/>
    </w:r>
    <w:r w:rsidRPr="00247C2C">
      <w:rPr>
        <w:rFonts w:cs="Arial"/>
        <w:szCs w:val="18"/>
      </w:rPr>
      <w:instrText xml:space="preserve"> NUMPAGES </w:instrText>
    </w:r>
    <w:r w:rsidRPr="00247C2C">
      <w:rPr>
        <w:rFonts w:cs="Arial"/>
        <w:szCs w:val="18"/>
      </w:rPr>
      <w:fldChar w:fldCharType="separate"/>
    </w:r>
    <w:r w:rsidRPr="00247C2C">
      <w:rPr>
        <w:rFonts w:cs="Arial"/>
        <w:noProof/>
        <w:szCs w:val="18"/>
      </w:rPr>
      <w:t>1</w:t>
    </w:r>
    <w:r w:rsidRPr="00247C2C">
      <w:rPr>
        <w:rFonts w:cs="Arial"/>
        <w:szCs w:val="18"/>
      </w:rPr>
      <w:fldChar w:fldCharType="end"/>
    </w:r>
  </w:p>
  <w:p w14:paraId="560B5F12" w14:textId="77777777" w:rsidR="008F5E41" w:rsidRDefault="008F5E41">
    <w:pPr>
      <w:pStyle w:val="Header"/>
      <w:rPr>
        <w:szCs w:val="18"/>
      </w:rPr>
    </w:pPr>
  </w:p>
  <w:p w14:paraId="0D4B2AE1" w14:textId="77777777" w:rsidR="008F5E41" w:rsidRDefault="008F5E41">
    <w:pPr>
      <w:pStyle w:val="Header"/>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AD168" w14:textId="77777777" w:rsidR="008F5E41" w:rsidRDefault="008F5E41">
    <w:pPr>
      <w:pStyle w:val="Header"/>
      <w:spacing w:line="200" w:lineRule="exact"/>
    </w:pPr>
    <w:r>
      <w:rPr>
        <w:noProof/>
      </w:rPr>
      <w:drawing>
        <wp:anchor distT="0" distB="0" distL="114300" distR="114300" simplePos="0" relativeHeight="251680768" behindDoc="0" locked="0" layoutInCell="1" allowOverlap="1" wp14:anchorId="475B99D3" wp14:editId="20290D6B">
          <wp:simplePos x="0" y="0"/>
          <wp:positionH relativeFrom="column">
            <wp:posOffset>-509270</wp:posOffset>
          </wp:positionH>
          <wp:positionV relativeFrom="page">
            <wp:posOffset>638810</wp:posOffset>
          </wp:positionV>
          <wp:extent cx="1562100" cy="396240"/>
          <wp:effectExtent l="0" t="0" r="0" b="3810"/>
          <wp:wrapSquare wrapText="bothSides"/>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62100" cy="396240"/>
                  </a:xfrm>
                  <a:prstGeom prst="rect">
                    <a:avLst/>
                  </a:prstGeom>
                </pic:spPr>
              </pic:pic>
            </a:graphicData>
          </a:graphic>
        </wp:anchor>
      </w:drawing>
    </w:r>
  </w:p>
  <w:p w14:paraId="6FD04624" w14:textId="77777777" w:rsidR="008F5E41" w:rsidRDefault="008F5E41">
    <w:pPr>
      <w:pStyle w:val="Header"/>
      <w:spacing w:line="200" w:lineRule="exact"/>
    </w:pPr>
  </w:p>
  <w:p w14:paraId="241FB83C" w14:textId="77777777" w:rsidR="008F5E41" w:rsidRDefault="008F5E41">
    <w:pPr>
      <w:pStyle w:val="Header"/>
      <w:spacing w:line="200" w:lineRule="exact"/>
    </w:pPr>
  </w:p>
  <w:p w14:paraId="6FEB91A9" w14:textId="77777777" w:rsidR="008F5E41" w:rsidRDefault="008F5E41">
    <w:pPr>
      <w:pStyle w:val="Header"/>
      <w:spacing w:line="200" w:lineRule="exact"/>
    </w:pPr>
  </w:p>
  <w:p w14:paraId="3B40059E" w14:textId="77777777" w:rsidR="008F5E41" w:rsidRDefault="008F5E41">
    <w:pPr>
      <w:pStyle w:val="Header"/>
      <w:spacing w:line="200" w:lineRule="exact"/>
    </w:pPr>
  </w:p>
  <w:p w14:paraId="222456BE" w14:textId="77777777" w:rsidR="008F5E41" w:rsidRDefault="008F5E41">
    <w:pPr>
      <w:pStyle w:val="Header"/>
      <w:spacing w:line="200" w:lineRule="exact"/>
    </w:pPr>
  </w:p>
  <w:p w14:paraId="6720706B" w14:textId="77777777" w:rsidR="008F5E41" w:rsidRDefault="008F5E41">
    <w:pPr>
      <w:pStyle w:val="Header"/>
      <w:spacing w:line="200" w:lineRule="exact"/>
    </w:pPr>
  </w:p>
  <w:p w14:paraId="628597F4" w14:textId="77777777" w:rsidR="008F5E41" w:rsidRDefault="008F5E41">
    <w:pPr>
      <w:pStyle w:val="Header"/>
      <w:spacing w:line="200" w:lineRule="exact"/>
    </w:pPr>
  </w:p>
  <w:p w14:paraId="3A2358BD" w14:textId="77777777" w:rsidR="008F5E41" w:rsidRDefault="008F5E41">
    <w:pPr>
      <w:pStyle w:val="Header"/>
      <w:spacing w:line="200" w:lineRule="exact"/>
    </w:pPr>
  </w:p>
  <w:p w14:paraId="7910101E" w14:textId="77777777" w:rsidR="008F5E41" w:rsidRDefault="008F5E41">
    <w:pPr>
      <w:pStyle w:val="Header"/>
      <w:spacing w:line="200" w:lineRule="exact"/>
    </w:pPr>
  </w:p>
  <w:p w14:paraId="78473758" w14:textId="77777777" w:rsidR="008F5E41" w:rsidRPr="00632022" w:rsidRDefault="008F5E41" w:rsidP="0010536E">
    <w:pPr>
      <w:pStyle w:val="MemorandumHeader"/>
    </w:pPr>
    <w:r w:rsidRPr="00632022">
      <w:t>Memorandum</w:t>
    </w:r>
  </w:p>
  <w:p w14:paraId="5F233343" w14:textId="77777777" w:rsidR="008F5E41" w:rsidRDefault="008F5E41">
    <w:pPr>
      <w:pStyle w:val="Header"/>
      <w:spacing w:line="200" w:lineRule="exact"/>
    </w:pPr>
  </w:p>
  <w:p w14:paraId="64727AC3" w14:textId="77777777" w:rsidR="008F5E41" w:rsidRDefault="008F5E41">
    <w:pPr>
      <w:pStyle w:val="Header"/>
      <w:spacing w:line="200" w:lineRule="exact"/>
    </w:pPr>
  </w:p>
  <w:p w14:paraId="16DC7A7C" w14:textId="77777777" w:rsidR="008F5E41" w:rsidRDefault="008F5E41">
    <w:pPr>
      <w:pStyle w:val="Heade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CC245AE"/>
    <w:lvl w:ilvl="0">
      <w:numFmt w:val="decimal"/>
      <w:pStyle w:val="Bullet-ItalicIndent"/>
      <w:lvlText w:val="*"/>
      <w:lvlJc w:val="left"/>
    </w:lvl>
  </w:abstractNum>
  <w:abstractNum w:abstractNumId="1" w15:restartNumberingAfterBreak="0">
    <w:nsid w:val="0D8B3AF7"/>
    <w:multiLevelType w:val="hybridMultilevel"/>
    <w:tmpl w:val="AD309FB6"/>
    <w:lvl w:ilvl="0" w:tplc="97BED0D0">
      <w:start w:val="1"/>
      <w:numFmt w:val="bullet"/>
      <w:pStyle w:val="List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4F7995"/>
    <w:multiLevelType w:val="hybridMultilevel"/>
    <w:tmpl w:val="3BD4989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 w15:restartNumberingAfterBreak="0">
    <w:nsid w:val="486509F2"/>
    <w:multiLevelType w:val="hybridMultilevel"/>
    <w:tmpl w:val="2D3CA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90F6A57"/>
    <w:multiLevelType w:val="hybridMultilevel"/>
    <w:tmpl w:val="AED4746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5936443F"/>
    <w:multiLevelType w:val="hybridMultilevel"/>
    <w:tmpl w:val="BDC25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1"/>
  </w:num>
  <w:num w:numId="7">
    <w:abstractNumId w:val="2"/>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4"/>
  <w:drawingGridVerticalSpacing w:val="144"/>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98"/>
    <w:rsid w:val="00037E1F"/>
    <w:rsid w:val="00040B7F"/>
    <w:rsid w:val="000556B5"/>
    <w:rsid w:val="000567D5"/>
    <w:rsid w:val="00094E74"/>
    <w:rsid w:val="000E0FB8"/>
    <w:rsid w:val="000F3718"/>
    <w:rsid w:val="000F3907"/>
    <w:rsid w:val="0010536E"/>
    <w:rsid w:val="0011660D"/>
    <w:rsid w:val="00142F91"/>
    <w:rsid w:val="00144AF2"/>
    <w:rsid w:val="001468E7"/>
    <w:rsid w:val="00160B44"/>
    <w:rsid w:val="001677FB"/>
    <w:rsid w:val="001A25FC"/>
    <w:rsid w:val="001B2865"/>
    <w:rsid w:val="00214461"/>
    <w:rsid w:val="0022124E"/>
    <w:rsid w:val="002359E5"/>
    <w:rsid w:val="00247C2C"/>
    <w:rsid w:val="00263CF7"/>
    <w:rsid w:val="00266799"/>
    <w:rsid w:val="002810AC"/>
    <w:rsid w:val="002A6ADD"/>
    <w:rsid w:val="002B6B2A"/>
    <w:rsid w:val="002C0143"/>
    <w:rsid w:val="002C0827"/>
    <w:rsid w:val="002D4C44"/>
    <w:rsid w:val="002F21D4"/>
    <w:rsid w:val="002F69E5"/>
    <w:rsid w:val="00305A6D"/>
    <w:rsid w:val="00317161"/>
    <w:rsid w:val="00327FEA"/>
    <w:rsid w:val="0034271D"/>
    <w:rsid w:val="00346E10"/>
    <w:rsid w:val="00364684"/>
    <w:rsid w:val="0036494E"/>
    <w:rsid w:val="00372847"/>
    <w:rsid w:val="003901D7"/>
    <w:rsid w:val="003B0439"/>
    <w:rsid w:val="003B11A6"/>
    <w:rsid w:val="003B5FD8"/>
    <w:rsid w:val="003B6C34"/>
    <w:rsid w:val="003C4054"/>
    <w:rsid w:val="003C64A3"/>
    <w:rsid w:val="003C7C15"/>
    <w:rsid w:val="003E08AA"/>
    <w:rsid w:val="004110E5"/>
    <w:rsid w:val="004120DD"/>
    <w:rsid w:val="004168ED"/>
    <w:rsid w:val="0043520C"/>
    <w:rsid w:val="004455B1"/>
    <w:rsid w:val="00464B56"/>
    <w:rsid w:val="004B1459"/>
    <w:rsid w:val="004B2CC1"/>
    <w:rsid w:val="004E4A03"/>
    <w:rsid w:val="00521A0F"/>
    <w:rsid w:val="00540F05"/>
    <w:rsid w:val="00541E16"/>
    <w:rsid w:val="0054377B"/>
    <w:rsid w:val="00546E4D"/>
    <w:rsid w:val="005508BF"/>
    <w:rsid w:val="00552942"/>
    <w:rsid w:val="00565DAC"/>
    <w:rsid w:val="005809E3"/>
    <w:rsid w:val="005827F3"/>
    <w:rsid w:val="0058419B"/>
    <w:rsid w:val="00587AFC"/>
    <w:rsid w:val="00591E98"/>
    <w:rsid w:val="00622DA3"/>
    <w:rsid w:val="00632022"/>
    <w:rsid w:val="00656F75"/>
    <w:rsid w:val="00686968"/>
    <w:rsid w:val="006E129F"/>
    <w:rsid w:val="006F3913"/>
    <w:rsid w:val="00720789"/>
    <w:rsid w:val="00736582"/>
    <w:rsid w:val="007502EC"/>
    <w:rsid w:val="00754BF5"/>
    <w:rsid w:val="00771500"/>
    <w:rsid w:val="00777F22"/>
    <w:rsid w:val="00786B90"/>
    <w:rsid w:val="00794C04"/>
    <w:rsid w:val="00794E45"/>
    <w:rsid w:val="007C040E"/>
    <w:rsid w:val="007C2A1E"/>
    <w:rsid w:val="007C4EDF"/>
    <w:rsid w:val="007D5140"/>
    <w:rsid w:val="007E3FFE"/>
    <w:rsid w:val="007F1BB1"/>
    <w:rsid w:val="00803AE3"/>
    <w:rsid w:val="008113B5"/>
    <w:rsid w:val="008204CC"/>
    <w:rsid w:val="00826E22"/>
    <w:rsid w:val="00841720"/>
    <w:rsid w:val="008534A4"/>
    <w:rsid w:val="00855B4C"/>
    <w:rsid w:val="008622E6"/>
    <w:rsid w:val="00866ABC"/>
    <w:rsid w:val="00877C11"/>
    <w:rsid w:val="0088225D"/>
    <w:rsid w:val="0089613C"/>
    <w:rsid w:val="008D7865"/>
    <w:rsid w:val="008F1D78"/>
    <w:rsid w:val="008F5B16"/>
    <w:rsid w:val="008F5E41"/>
    <w:rsid w:val="008F75AB"/>
    <w:rsid w:val="0090092B"/>
    <w:rsid w:val="0090747D"/>
    <w:rsid w:val="009155C8"/>
    <w:rsid w:val="0094756F"/>
    <w:rsid w:val="00961CF0"/>
    <w:rsid w:val="009759C1"/>
    <w:rsid w:val="00996067"/>
    <w:rsid w:val="009A47B7"/>
    <w:rsid w:val="009A556C"/>
    <w:rsid w:val="009D624C"/>
    <w:rsid w:val="009F409A"/>
    <w:rsid w:val="009F5B2B"/>
    <w:rsid w:val="00A16701"/>
    <w:rsid w:val="00A51010"/>
    <w:rsid w:val="00A612E0"/>
    <w:rsid w:val="00A64E10"/>
    <w:rsid w:val="00A65ADC"/>
    <w:rsid w:val="00A94D41"/>
    <w:rsid w:val="00AA217F"/>
    <w:rsid w:val="00AD6857"/>
    <w:rsid w:val="00AF0183"/>
    <w:rsid w:val="00AF5417"/>
    <w:rsid w:val="00B06FC9"/>
    <w:rsid w:val="00B53DB2"/>
    <w:rsid w:val="00B66E4E"/>
    <w:rsid w:val="00B73821"/>
    <w:rsid w:val="00BA4C5A"/>
    <w:rsid w:val="00BA7A8F"/>
    <w:rsid w:val="00BE6133"/>
    <w:rsid w:val="00BF4661"/>
    <w:rsid w:val="00C14BDF"/>
    <w:rsid w:val="00C22F67"/>
    <w:rsid w:val="00C41865"/>
    <w:rsid w:val="00C63902"/>
    <w:rsid w:val="00C64934"/>
    <w:rsid w:val="00CA063B"/>
    <w:rsid w:val="00CB04D3"/>
    <w:rsid w:val="00CB217E"/>
    <w:rsid w:val="00CD6801"/>
    <w:rsid w:val="00CE1214"/>
    <w:rsid w:val="00CE7646"/>
    <w:rsid w:val="00CF2D10"/>
    <w:rsid w:val="00D03412"/>
    <w:rsid w:val="00D034F8"/>
    <w:rsid w:val="00D045CE"/>
    <w:rsid w:val="00D163C2"/>
    <w:rsid w:val="00D432D7"/>
    <w:rsid w:val="00D618C4"/>
    <w:rsid w:val="00D70578"/>
    <w:rsid w:val="00D762E3"/>
    <w:rsid w:val="00DA2227"/>
    <w:rsid w:val="00DA46FB"/>
    <w:rsid w:val="00DF109E"/>
    <w:rsid w:val="00DF1A64"/>
    <w:rsid w:val="00E07842"/>
    <w:rsid w:val="00E14833"/>
    <w:rsid w:val="00E22E34"/>
    <w:rsid w:val="00E275E1"/>
    <w:rsid w:val="00E44338"/>
    <w:rsid w:val="00E4472A"/>
    <w:rsid w:val="00E4540D"/>
    <w:rsid w:val="00E67068"/>
    <w:rsid w:val="00E93CE1"/>
    <w:rsid w:val="00EA080A"/>
    <w:rsid w:val="00EA185F"/>
    <w:rsid w:val="00EA29B1"/>
    <w:rsid w:val="00EB01D2"/>
    <w:rsid w:val="00ED319E"/>
    <w:rsid w:val="00ED614F"/>
    <w:rsid w:val="00ED79A8"/>
    <w:rsid w:val="00EE59E6"/>
    <w:rsid w:val="00F44A1E"/>
    <w:rsid w:val="00F46FB8"/>
    <w:rsid w:val="00F61978"/>
    <w:rsid w:val="00F73372"/>
    <w:rsid w:val="00F76F04"/>
    <w:rsid w:val="00FB0F9E"/>
    <w:rsid w:val="00FF6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A4F75F7"/>
  <w15:docId w15:val="{64130E76-64BB-47D7-8ED0-15A517B0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2" w:qFormat="1"/>
    <w:lsdException w:name="heading 3" w:uiPriority="2"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372"/>
    <w:rPr>
      <w:rFonts w:ascii="Arial" w:hAnsi="Arial"/>
      <w:color w:val="000000"/>
      <w:szCs w:val="24"/>
    </w:rPr>
  </w:style>
  <w:style w:type="paragraph" w:styleId="Heading1">
    <w:name w:val="heading 1"/>
    <w:basedOn w:val="Normal"/>
    <w:next w:val="Normal"/>
    <w:link w:val="Heading1Char"/>
    <w:qFormat/>
    <w:rsid w:val="00E67068"/>
    <w:pPr>
      <w:keepNext/>
      <w:spacing w:before="360" w:after="120"/>
      <w:contextualSpacing/>
      <w:outlineLvl w:val="0"/>
    </w:pPr>
    <w:rPr>
      <w:rFonts w:eastAsiaTheme="minorHAnsi" w:cs="Arial"/>
      <w:b/>
      <w:bCs/>
      <w:smallCaps/>
      <w:color w:val="93D500" w:themeColor="accent1"/>
      <w:kern w:val="28"/>
      <w:position w:val="6"/>
      <w:sz w:val="28"/>
      <w:szCs w:val="26"/>
    </w:rPr>
  </w:style>
  <w:style w:type="paragraph" w:styleId="Heading2">
    <w:name w:val="heading 2"/>
    <w:basedOn w:val="Normal"/>
    <w:next w:val="Normal"/>
    <w:link w:val="Heading2Char"/>
    <w:uiPriority w:val="2"/>
    <w:qFormat/>
    <w:rsid w:val="00E67068"/>
    <w:pPr>
      <w:keepNext/>
      <w:spacing w:before="360" w:after="240"/>
      <w:contextualSpacing/>
      <w:outlineLvl w:val="1"/>
    </w:pPr>
    <w:rPr>
      <w:rFonts w:eastAsiaTheme="minorHAnsi" w:cs="Arial"/>
      <w:b/>
      <w:bCs/>
      <w:iCs/>
      <w:color w:val="0093C9"/>
      <w:sz w:val="26"/>
      <w:szCs w:val="28"/>
    </w:rPr>
  </w:style>
  <w:style w:type="paragraph" w:styleId="Heading3">
    <w:name w:val="heading 3"/>
    <w:basedOn w:val="Normal"/>
    <w:next w:val="Normal"/>
    <w:link w:val="Heading3Char"/>
    <w:uiPriority w:val="2"/>
    <w:qFormat/>
    <w:rsid w:val="00E67068"/>
    <w:pPr>
      <w:keepNext/>
      <w:spacing w:before="360" w:after="240"/>
      <w:contextualSpacing/>
      <w:outlineLvl w:val="2"/>
    </w:pPr>
    <w:rPr>
      <w:rFonts w:eastAsiaTheme="minorHAnsi" w:cs="Arial"/>
      <w:b/>
      <w:bCs/>
      <w:color w:val="863399" w:themeColor="accent5"/>
      <w:szCs w:val="26"/>
    </w:rPr>
  </w:style>
  <w:style w:type="paragraph" w:styleId="Heading4">
    <w:name w:val="heading 4"/>
    <w:basedOn w:val="Normal"/>
    <w:next w:val="Normal"/>
    <w:qFormat/>
    <w:rsid w:val="00E67068"/>
    <w:pPr>
      <w:keepNext/>
      <w:spacing w:line="200" w:lineRule="exact"/>
      <w:jc w:val="right"/>
      <w:outlineLvl w:val="3"/>
    </w:pPr>
    <w:rPr>
      <w:rFonts w:ascii="Arial Narrow" w:hAnsi="Arial Narrow"/>
      <w:b/>
      <w:bCs/>
    </w:rPr>
  </w:style>
  <w:style w:type="paragraph" w:styleId="Heading5">
    <w:name w:val="heading 5"/>
    <w:basedOn w:val="Normal"/>
    <w:next w:val="Normal"/>
    <w:qFormat/>
    <w:rsid w:val="00E67068"/>
    <w:pPr>
      <w:keepNext/>
      <w:outlineLvl w:val="4"/>
    </w:pPr>
    <w:rPr>
      <w:rFonts w:cs="Arial"/>
      <w:b/>
      <w:bCs/>
      <w:i/>
      <w:iCs/>
    </w:rPr>
  </w:style>
  <w:style w:type="paragraph" w:styleId="Heading6">
    <w:name w:val="heading 6"/>
    <w:basedOn w:val="Normal"/>
    <w:next w:val="Normal"/>
    <w:link w:val="Heading6Char"/>
    <w:uiPriority w:val="9"/>
    <w:semiHidden/>
    <w:unhideWhenUsed/>
    <w:qFormat/>
    <w:rsid w:val="00E67068"/>
    <w:pPr>
      <w:keepNext/>
      <w:keepLines/>
      <w:spacing w:before="200"/>
      <w:outlineLvl w:val="5"/>
    </w:pPr>
    <w:rPr>
      <w:rFonts w:eastAsiaTheme="majorEastAsia" w:cstheme="majorBidi"/>
      <w:i/>
      <w:iCs/>
      <w:color w:val="486A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67068"/>
    <w:pPr>
      <w:jc w:val="both"/>
    </w:pPr>
    <w:rPr>
      <w:szCs w:val="20"/>
    </w:rPr>
  </w:style>
  <w:style w:type="paragraph" w:styleId="BodyText2">
    <w:name w:val="Body Text 2"/>
    <w:basedOn w:val="Normal"/>
    <w:semiHidden/>
    <w:rsid w:val="00E67068"/>
    <w:rPr>
      <w:b/>
      <w:szCs w:val="20"/>
    </w:rPr>
  </w:style>
  <w:style w:type="paragraph" w:styleId="Header">
    <w:name w:val="header"/>
    <w:basedOn w:val="Normal"/>
    <w:semiHidden/>
    <w:rsid w:val="00E67068"/>
    <w:pPr>
      <w:tabs>
        <w:tab w:val="center" w:pos="4320"/>
        <w:tab w:val="right" w:pos="8640"/>
      </w:tabs>
    </w:pPr>
    <w:rPr>
      <w:szCs w:val="20"/>
    </w:rPr>
  </w:style>
  <w:style w:type="character" w:styleId="Hyperlink">
    <w:name w:val="Hyperlink"/>
    <w:basedOn w:val="DefaultParagraphFont"/>
    <w:qFormat/>
    <w:rsid w:val="00E67068"/>
    <w:rPr>
      <w:color w:val="0000FF"/>
      <w:u w:val="single"/>
    </w:rPr>
  </w:style>
  <w:style w:type="paragraph" w:styleId="Footer">
    <w:name w:val="footer"/>
    <w:basedOn w:val="Normal"/>
    <w:semiHidden/>
    <w:rsid w:val="00E67068"/>
    <w:pPr>
      <w:tabs>
        <w:tab w:val="center" w:pos="4320"/>
        <w:tab w:val="right" w:pos="8640"/>
      </w:tabs>
    </w:pPr>
  </w:style>
  <w:style w:type="paragraph" w:customStyle="1" w:styleId="Bullet-ItalicIndent">
    <w:name w:val="Bullet - Italic Indent"/>
    <w:basedOn w:val="Normal"/>
    <w:rsid w:val="00E67068"/>
    <w:pPr>
      <w:numPr>
        <w:numId w:val="8"/>
      </w:numPr>
      <w:tabs>
        <w:tab w:val="left" w:pos="360"/>
        <w:tab w:val="left" w:pos="720"/>
        <w:tab w:val="left" w:pos="1080"/>
        <w:tab w:val="left" w:pos="1440"/>
        <w:tab w:val="left" w:pos="1800"/>
        <w:tab w:val="left" w:pos="2160"/>
        <w:tab w:val="left" w:pos="2520"/>
        <w:tab w:val="left" w:pos="2880"/>
        <w:tab w:val="left" w:pos="3240"/>
        <w:tab w:val="left" w:pos="3600"/>
      </w:tabs>
      <w:spacing w:after="120" w:line="214" w:lineRule="auto"/>
      <w:jc w:val="both"/>
    </w:pPr>
    <w:rPr>
      <w:noProof/>
      <w:sz w:val="22"/>
    </w:rPr>
  </w:style>
  <w:style w:type="paragraph" w:customStyle="1" w:styleId="P4">
    <w:name w:val="P4"/>
    <w:basedOn w:val="Normal"/>
    <w:rsid w:val="00E67068"/>
    <w:pPr>
      <w:tabs>
        <w:tab w:val="left" w:pos="360"/>
        <w:tab w:val="left" w:pos="720"/>
        <w:tab w:val="left" w:pos="1080"/>
        <w:tab w:val="left" w:pos="1440"/>
        <w:tab w:val="left" w:pos="1800"/>
        <w:tab w:val="left" w:pos="2160"/>
        <w:tab w:val="left" w:pos="2520"/>
        <w:tab w:val="left" w:pos="2880"/>
        <w:tab w:val="left" w:pos="3240"/>
        <w:tab w:val="center" w:pos="3600"/>
      </w:tabs>
      <w:spacing w:after="120"/>
      <w:ind w:left="360"/>
      <w:outlineLvl w:val="1"/>
    </w:pPr>
    <w:rPr>
      <w:noProof/>
      <w:sz w:val="22"/>
    </w:rPr>
  </w:style>
  <w:style w:type="paragraph" w:customStyle="1" w:styleId="ProposalText">
    <w:name w:val="Proposal Text"/>
    <w:basedOn w:val="Normal"/>
    <w:rsid w:val="00E67068"/>
    <w:pPr>
      <w:tabs>
        <w:tab w:val="left" w:pos="360"/>
        <w:tab w:val="left" w:pos="720"/>
        <w:tab w:val="left" w:pos="1080"/>
        <w:tab w:val="left" w:pos="1440"/>
        <w:tab w:val="left" w:pos="1800"/>
        <w:tab w:val="left" w:pos="2160"/>
        <w:tab w:val="left" w:pos="2520"/>
        <w:tab w:val="left" w:pos="2880"/>
        <w:tab w:val="left" w:pos="3240"/>
        <w:tab w:val="left" w:pos="3600"/>
      </w:tabs>
      <w:spacing w:after="120"/>
      <w:jc w:val="both"/>
    </w:pPr>
    <w:rPr>
      <w:sz w:val="22"/>
    </w:rPr>
  </w:style>
  <w:style w:type="paragraph" w:styleId="BodyTextIndent">
    <w:name w:val="Body Text Indent"/>
    <w:basedOn w:val="Normal"/>
    <w:semiHidden/>
    <w:rsid w:val="00E67068"/>
    <w:pPr>
      <w:spacing w:after="120"/>
      <w:ind w:left="360"/>
    </w:pPr>
  </w:style>
  <w:style w:type="paragraph" w:styleId="Salutation">
    <w:name w:val="Salutation"/>
    <w:basedOn w:val="Normal"/>
    <w:next w:val="Normal"/>
    <w:semiHidden/>
    <w:rsid w:val="00E67068"/>
    <w:pPr>
      <w:tabs>
        <w:tab w:val="left" w:pos="360"/>
        <w:tab w:val="left" w:pos="720"/>
        <w:tab w:val="left" w:pos="1080"/>
        <w:tab w:val="left" w:pos="1440"/>
        <w:tab w:val="left" w:pos="1800"/>
        <w:tab w:val="left" w:pos="2160"/>
        <w:tab w:val="left" w:pos="2520"/>
        <w:tab w:val="left" w:pos="2880"/>
        <w:tab w:val="left" w:pos="3240"/>
        <w:tab w:val="left" w:pos="3600"/>
      </w:tabs>
      <w:jc w:val="both"/>
    </w:pPr>
    <w:rPr>
      <w:rFonts w:ascii="Times New Roman" w:hAnsi="Times New Roman"/>
      <w:sz w:val="22"/>
      <w:szCs w:val="20"/>
    </w:rPr>
  </w:style>
  <w:style w:type="paragraph" w:styleId="Closing">
    <w:name w:val="Closing"/>
    <w:basedOn w:val="Normal"/>
    <w:semiHidden/>
    <w:rsid w:val="00E67068"/>
    <w:pPr>
      <w:tabs>
        <w:tab w:val="left" w:pos="360"/>
        <w:tab w:val="left" w:pos="720"/>
        <w:tab w:val="left" w:pos="1080"/>
        <w:tab w:val="left" w:pos="1440"/>
        <w:tab w:val="left" w:pos="1800"/>
        <w:tab w:val="left" w:pos="2160"/>
        <w:tab w:val="left" w:pos="2520"/>
        <w:tab w:val="left" w:pos="2880"/>
        <w:tab w:val="left" w:pos="3240"/>
        <w:tab w:val="left" w:pos="3600"/>
      </w:tabs>
      <w:ind w:left="4320"/>
      <w:jc w:val="both"/>
    </w:pPr>
    <w:rPr>
      <w:rFonts w:ascii="Times New Roman" w:hAnsi="Times New Roman"/>
      <w:sz w:val="22"/>
      <w:szCs w:val="20"/>
    </w:rPr>
  </w:style>
  <w:style w:type="paragraph" w:customStyle="1" w:styleId="InsideAddress">
    <w:name w:val="Inside Address"/>
    <w:basedOn w:val="Normal"/>
    <w:rsid w:val="00E67068"/>
    <w:pPr>
      <w:tabs>
        <w:tab w:val="left" w:pos="360"/>
        <w:tab w:val="left" w:pos="720"/>
        <w:tab w:val="left" w:pos="1080"/>
        <w:tab w:val="left" w:pos="1440"/>
        <w:tab w:val="left" w:pos="1800"/>
        <w:tab w:val="left" w:pos="2160"/>
        <w:tab w:val="left" w:pos="2520"/>
        <w:tab w:val="left" w:pos="2880"/>
        <w:tab w:val="left" w:pos="3240"/>
        <w:tab w:val="left" w:pos="3600"/>
      </w:tabs>
      <w:jc w:val="both"/>
    </w:pPr>
    <w:rPr>
      <w:sz w:val="22"/>
      <w:szCs w:val="20"/>
    </w:rPr>
  </w:style>
  <w:style w:type="paragraph" w:styleId="Signature">
    <w:name w:val="Signature"/>
    <w:basedOn w:val="Normal"/>
    <w:semiHidden/>
    <w:rsid w:val="00E67068"/>
    <w:pPr>
      <w:tabs>
        <w:tab w:val="left" w:pos="360"/>
        <w:tab w:val="left" w:pos="720"/>
        <w:tab w:val="left" w:pos="1080"/>
        <w:tab w:val="left" w:pos="1440"/>
        <w:tab w:val="left" w:pos="1800"/>
        <w:tab w:val="left" w:pos="2160"/>
        <w:tab w:val="left" w:pos="2520"/>
        <w:tab w:val="left" w:pos="2880"/>
        <w:tab w:val="left" w:pos="3240"/>
        <w:tab w:val="left" w:pos="3600"/>
      </w:tabs>
      <w:ind w:left="4320"/>
      <w:jc w:val="both"/>
    </w:pPr>
    <w:rPr>
      <w:rFonts w:ascii="Times New Roman" w:hAnsi="Times New Roman"/>
      <w:sz w:val="22"/>
      <w:szCs w:val="20"/>
    </w:rPr>
  </w:style>
  <w:style w:type="paragraph" w:customStyle="1" w:styleId="ReferenceLine">
    <w:name w:val="Reference Line"/>
    <w:basedOn w:val="BodyText"/>
    <w:rsid w:val="00E67068"/>
    <w:pPr>
      <w:ind w:right="-630"/>
      <w:jc w:val="left"/>
    </w:pPr>
    <w:rPr>
      <w:sz w:val="24"/>
    </w:rPr>
  </w:style>
  <w:style w:type="paragraph" w:customStyle="1" w:styleId="MemoFrame">
    <w:name w:val="Memo Frame"/>
    <w:basedOn w:val="Normal"/>
    <w:rsid w:val="00E67068"/>
    <w:rPr>
      <w:b/>
    </w:rPr>
  </w:style>
  <w:style w:type="paragraph" w:styleId="BalloonText">
    <w:name w:val="Balloon Text"/>
    <w:basedOn w:val="Normal"/>
    <w:link w:val="BalloonTextChar"/>
    <w:uiPriority w:val="99"/>
    <w:semiHidden/>
    <w:unhideWhenUsed/>
    <w:rsid w:val="00E67068"/>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67068"/>
    <w:rPr>
      <w:rFonts w:ascii="Lucida Grande" w:hAnsi="Lucida Grande" w:cs="Lucida Grande"/>
      <w:color w:val="000000"/>
      <w:szCs w:val="18"/>
    </w:rPr>
  </w:style>
  <w:style w:type="character" w:customStyle="1" w:styleId="Heading6Char">
    <w:name w:val="Heading 6 Char"/>
    <w:basedOn w:val="DefaultParagraphFont"/>
    <w:link w:val="Heading6"/>
    <w:uiPriority w:val="9"/>
    <w:semiHidden/>
    <w:rsid w:val="00E67068"/>
    <w:rPr>
      <w:rFonts w:ascii="Arial" w:eastAsiaTheme="majorEastAsia" w:hAnsi="Arial" w:cstheme="majorBidi"/>
      <w:i/>
      <w:iCs/>
      <w:color w:val="486A00" w:themeColor="accent1" w:themeShade="7F"/>
      <w:szCs w:val="24"/>
    </w:rPr>
  </w:style>
  <w:style w:type="paragraph" w:customStyle="1" w:styleId="MemorandumHeader">
    <w:name w:val="Memorandum Header"/>
    <w:basedOn w:val="Heading5"/>
    <w:autoRedefine/>
    <w:qFormat/>
    <w:rsid w:val="00E67068"/>
    <w:pPr>
      <w:spacing w:line="200" w:lineRule="exact"/>
      <w:ind w:hanging="270"/>
    </w:pPr>
    <w:rPr>
      <w:i w:val="0"/>
      <w:iCs w:val="0"/>
      <w:sz w:val="22"/>
      <w:szCs w:val="22"/>
    </w:rPr>
  </w:style>
  <w:style w:type="paragraph" w:customStyle="1" w:styleId="FooterAddress">
    <w:name w:val="Footer Address"/>
    <w:basedOn w:val="Normal"/>
    <w:autoRedefine/>
    <w:qFormat/>
    <w:rsid w:val="00E67068"/>
    <w:rPr>
      <w:rFonts w:cs="Arial"/>
      <w:sz w:val="16"/>
    </w:rPr>
  </w:style>
  <w:style w:type="paragraph" w:customStyle="1" w:styleId="StyleMemoFrameLeft-018cm">
    <w:name w:val="Style Memo Frame + Left:  -0.18 cm"/>
    <w:basedOn w:val="MemoFrame"/>
    <w:rsid w:val="00E67068"/>
    <w:pPr>
      <w:ind w:left="-101"/>
    </w:pPr>
    <w:rPr>
      <w:bCs/>
      <w:szCs w:val="20"/>
    </w:rPr>
  </w:style>
  <w:style w:type="paragraph" w:styleId="Caption">
    <w:name w:val="caption"/>
    <w:basedOn w:val="Normal"/>
    <w:next w:val="Normal"/>
    <w:link w:val="CaptionChar"/>
    <w:uiPriority w:val="35"/>
    <w:qFormat/>
    <w:rsid w:val="00E67068"/>
    <w:pPr>
      <w:keepNext/>
      <w:spacing w:after="120"/>
      <w:jc w:val="center"/>
    </w:pPr>
    <w:rPr>
      <w:rFonts w:eastAsiaTheme="minorHAnsi" w:cstheme="minorBidi"/>
      <w:b/>
      <w:bCs/>
      <w:color w:val="93D500" w:themeColor="accent1"/>
      <w:szCs w:val="20"/>
    </w:rPr>
  </w:style>
  <w:style w:type="paragraph" w:styleId="FootnoteText">
    <w:name w:val="footnote text"/>
    <w:basedOn w:val="Normal"/>
    <w:link w:val="FootnoteTextChar"/>
    <w:uiPriority w:val="99"/>
    <w:rsid w:val="00E67068"/>
    <w:pPr>
      <w:keepLines/>
    </w:pPr>
    <w:rPr>
      <w:rFonts w:eastAsiaTheme="minorHAnsi" w:cstheme="minorBidi"/>
      <w:color w:val="auto"/>
      <w:sz w:val="16"/>
      <w:szCs w:val="20"/>
    </w:rPr>
  </w:style>
  <w:style w:type="character" w:customStyle="1" w:styleId="FootnoteTextChar">
    <w:name w:val="Footnote Text Char"/>
    <w:basedOn w:val="DefaultParagraphFont"/>
    <w:link w:val="FootnoteText"/>
    <w:uiPriority w:val="99"/>
    <w:rsid w:val="00E67068"/>
    <w:rPr>
      <w:rFonts w:ascii="Arial" w:eastAsiaTheme="minorHAnsi" w:hAnsi="Arial" w:cstheme="minorBidi"/>
      <w:sz w:val="16"/>
    </w:rPr>
  </w:style>
  <w:style w:type="character" w:styleId="FootnoteReference">
    <w:name w:val="footnote reference"/>
    <w:aliases w:val="Footnote_Reference"/>
    <w:basedOn w:val="DefaultParagraphFont"/>
    <w:uiPriority w:val="99"/>
    <w:rsid w:val="00E67068"/>
    <w:rPr>
      <w:rFonts w:ascii="Arial" w:hAnsi="Arial"/>
      <w:color w:val="53575A" w:themeColor="text1"/>
      <w:vertAlign w:val="superscript"/>
    </w:rPr>
  </w:style>
  <w:style w:type="paragraph" w:styleId="ListParagraph">
    <w:name w:val="List Paragraph"/>
    <w:basedOn w:val="Normal"/>
    <w:link w:val="ListParagraphChar"/>
    <w:uiPriority w:val="34"/>
    <w:qFormat/>
    <w:rsid w:val="00E67068"/>
    <w:pPr>
      <w:ind w:left="720"/>
    </w:pPr>
    <w:rPr>
      <w:rFonts w:eastAsiaTheme="minorHAnsi" w:cstheme="minorBidi"/>
      <w:color w:val="auto"/>
      <w:szCs w:val="22"/>
    </w:rPr>
  </w:style>
  <w:style w:type="table" w:customStyle="1" w:styleId="EnergyTable">
    <w:name w:val="Energy Table"/>
    <w:basedOn w:val="TableNormal"/>
    <w:uiPriority w:val="99"/>
    <w:qFormat/>
    <w:rsid w:val="00E67068"/>
    <w:pPr>
      <w:spacing w:before="40" w:after="40"/>
      <w:jc w:val="center"/>
    </w:pPr>
    <w:rPr>
      <w:rFonts w:ascii="Arial" w:hAnsi="Arial"/>
    </w:rPr>
    <w:tblPr>
      <w:tblStyleRowBandSize w:val="1"/>
      <w:jc w:val="center"/>
      <w:tblBorders>
        <w:bottom w:val="single" w:sz="8" w:space="0" w:color="53575A" w:themeColor="text2"/>
        <w:insideH w:val="single" w:sz="4" w:space="0" w:color="DBDDDE"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53575A" w:themeFill="text2"/>
      </w:tcPr>
    </w:tblStylePr>
    <w:tblStylePr w:type="lastRow">
      <w:pPr>
        <w:jc w:val="center"/>
      </w:pPr>
      <w:rPr>
        <w:rFonts w:ascii="Consolas" w:hAnsi="Consolas"/>
        <w:b/>
      </w:rPr>
      <w:tblPr/>
      <w:tcPr>
        <w:tcBorders>
          <w:top w:val="double" w:sz="4" w:space="0" w:color="545759"/>
          <w:bottom w:val="single" w:sz="4" w:space="0" w:color="545759"/>
        </w:tcBorders>
      </w:tcPr>
    </w:tblStylePr>
    <w:tblStylePr w:type="firstCol">
      <w:rPr>
        <w:rFonts w:ascii="Arial Bold" w:hAnsi="Arial Bold"/>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customStyle="1" w:styleId="Source">
    <w:name w:val="Source"/>
    <w:basedOn w:val="Normal"/>
    <w:link w:val="SourceChar"/>
    <w:qFormat/>
    <w:rsid w:val="00E67068"/>
    <w:rPr>
      <w:rFonts w:eastAsiaTheme="minorHAnsi" w:cstheme="minorBidi"/>
      <w:i/>
      <w:color w:val="auto"/>
      <w:sz w:val="16"/>
      <w:szCs w:val="20"/>
    </w:rPr>
  </w:style>
  <w:style w:type="character" w:customStyle="1" w:styleId="SourceChar">
    <w:name w:val="Source Char"/>
    <w:basedOn w:val="DefaultParagraphFont"/>
    <w:link w:val="Source"/>
    <w:rsid w:val="00E67068"/>
    <w:rPr>
      <w:rFonts w:ascii="Arial" w:eastAsiaTheme="minorHAnsi" w:hAnsi="Arial" w:cstheme="minorBidi"/>
      <w:i/>
      <w:sz w:val="16"/>
    </w:rPr>
  </w:style>
  <w:style w:type="character" w:customStyle="1" w:styleId="CaptionChar">
    <w:name w:val="Caption Char"/>
    <w:basedOn w:val="DefaultParagraphFont"/>
    <w:link w:val="Caption"/>
    <w:uiPriority w:val="35"/>
    <w:rsid w:val="00E67068"/>
    <w:rPr>
      <w:rFonts w:ascii="Arial" w:eastAsiaTheme="minorHAnsi" w:hAnsi="Arial" w:cstheme="minorBidi"/>
      <w:b/>
      <w:bCs/>
      <w:color w:val="93D500" w:themeColor="accent1"/>
    </w:rPr>
  </w:style>
  <w:style w:type="character" w:customStyle="1" w:styleId="ListParagraphChar">
    <w:name w:val="List Paragraph Char"/>
    <w:basedOn w:val="DefaultParagraphFont"/>
    <w:link w:val="ListParagraph"/>
    <w:uiPriority w:val="34"/>
    <w:locked/>
    <w:rsid w:val="00E67068"/>
    <w:rPr>
      <w:rFonts w:ascii="Arial" w:eastAsiaTheme="minorHAnsi" w:hAnsi="Arial" w:cstheme="minorBidi"/>
      <w:szCs w:val="22"/>
    </w:rPr>
  </w:style>
  <w:style w:type="paragraph" w:customStyle="1" w:styleId="GraphFootnote">
    <w:name w:val="Graph Footnote"/>
    <w:basedOn w:val="Normal"/>
    <w:next w:val="Normal"/>
    <w:uiPriority w:val="99"/>
    <w:qFormat/>
    <w:rsid w:val="00E67068"/>
    <w:rPr>
      <w:rFonts w:ascii="Arial Narrow" w:hAnsi="Arial Narrow" w:cstheme="minorBidi"/>
      <w:color w:val="auto"/>
    </w:rPr>
  </w:style>
  <w:style w:type="character" w:customStyle="1" w:styleId="Heading1Char">
    <w:name w:val="Heading 1 Char"/>
    <w:basedOn w:val="DefaultParagraphFont"/>
    <w:link w:val="Heading1"/>
    <w:rsid w:val="00E67068"/>
    <w:rPr>
      <w:rFonts w:ascii="Arial" w:eastAsiaTheme="minorHAnsi" w:hAnsi="Arial" w:cs="Arial"/>
      <w:b/>
      <w:bCs/>
      <w:smallCaps/>
      <w:color w:val="93D500" w:themeColor="accent1"/>
      <w:kern w:val="28"/>
      <w:position w:val="6"/>
      <w:sz w:val="28"/>
      <w:szCs w:val="26"/>
    </w:rPr>
  </w:style>
  <w:style w:type="character" w:customStyle="1" w:styleId="Heading2Char">
    <w:name w:val="Heading 2 Char"/>
    <w:basedOn w:val="DefaultParagraphFont"/>
    <w:link w:val="Heading2"/>
    <w:uiPriority w:val="2"/>
    <w:rsid w:val="00E67068"/>
    <w:rPr>
      <w:rFonts w:ascii="Arial" w:eastAsiaTheme="minorHAnsi" w:hAnsi="Arial" w:cs="Arial"/>
      <w:b/>
      <w:bCs/>
      <w:iCs/>
      <w:color w:val="0093C9"/>
      <w:sz w:val="26"/>
      <w:szCs w:val="28"/>
    </w:rPr>
  </w:style>
  <w:style w:type="character" w:customStyle="1" w:styleId="Heading3Char">
    <w:name w:val="Heading 3 Char"/>
    <w:basedOn w:val="DefaultParagraphFont"/>
    <w:link w:val="Heading3"/>
    <w:uiPriority w:val="2"/>
    <w:rsid w:val="00E67068"/>
    <w:rPr>
      <w:rFonts w:ascii="Arial" w:eastAsiaTheme="minorHAnsi" w:hAnsi="Arial" w:cs="Arial"/>
      <w:b/>
      <w:bCs/>
      <w:color w:val="863399" w:themeColor="accent5"/>
      <w:szCs w:val="26"/>
    </w:rPr>
  </w:style>
  <w:style w:type="paragraph" w:styleId="CommentText">
    <w:name w:val="annotation text"/>
    <w:basedOn w:val="Normal"/>
    <w:link w:val="CommentTextChar"/>
    <w:uiPriority w:val="99"/>
    <w:semiHidden/>
    <w:unhideWhenUsed/>
    <w:rsid w:val="009759C1"/>
    <w:rPr>
      <w:rFonts w:ascii="Times New Roman" w:eastAsiaTheme="minorEastAsia" w:hAnsi="Times New Roman"/>
      <w:color w:val="auto"/>
      <w:szCs w:val="20"/>
    </w:rPr>
  </w:style>
  <w:style w:type="character" w:customStyle="1" w:styleId="CommentTextChar">
    <w:name w:val="Comment Text Char"/>
    <w:basedOn w:val="DefaultParagraphFont"/>
    <w:link w:val="CommentText"/>
    <w:uiPriority w:val="99"/>
    <w:semiHidden/>
    <w:rsid w:val="009759C1"/>
    <w:rPr>
      <w:rFonts w:eastAsiaTheme="minorEastAsia"/>
    </w:rPr>
  </w:style>
  <w:style w:type="character" w:styleId="CommentReference">
    <w:name w:val="annotation reference"/>
    <w:basedOn w:val="DefaultParagraphFont"/>
    <w:uiPriority w:val="99"/>
    <w:semiHidden/>
    <w:unhideWhenUsed/>
    <w:rsid w:val="009759C1"/>
    <w:rPr>
      <w:sz w:val="16"/>
      <w:szCs w:val="16"/>
    </w:rPr>
  </w:style>
  <w:style w:type="table" w:styleId="TableGrid">
    <w:name w:val="Table Grid"/>
    <w:basedOn w:val="TableNormal"/>
    <w:uiPriority w:val="1"/>
    <w:rsid w:val="009759C1"/>
    <w:rPr>
      <w:rFonts w:asciiTheme="minorHAnsi" w:eastAsiaTheme="minorEastAsia" w:hAnsiTheme="minorHAnsi" w:cstheme="minorBidi"/>
      <w:sz w:val="18"/>
      <w:szCs w:val="18"/>
      <w:lang w:eastAsia="ja-JP"/>
    </w:rPr>
    <w:tblPr>
      <w:tblInd w:w="0" w:type="nil"/>
      <w:tblBorders>
        <w:top w:val="single" w:sz="4" w:space="0" w:color="53575A" w:themeColor="text1"/>
        <w:left w:val="single" w:sz="4" w:space="0" w:color="53575A" w:themeColor="text1"/>
        <w:bottom w:val="single" w:sz="4" w:space="0" w:color="53575A" w:themeColor="text1"/>
        <w:right w:val="single" w:sz="4" w:space="0" w:color="53575A" w:themeColor="text1"/>
        <w:insideH w:val="single" w:sz="4" w:space="0" w:color="53575A" w:themeColor="text1"/>
        <w:insideV w:val="single" w:sz="4" w:space="0" w:color="53575A" w:themeColor="text1"/>
      </w:tblBorders>
    </w:tblPr>
  </w:style>
  <w:style w:type="paragraph" w:styleId="CommentSubject">
    <w:name w:val="annotation subject"/>
    <w:basedOn w:val="CommentText"/>
    <w:next w:val="CommentText"/>
    <w:link w:val="CommentSubjectChar"/>
    <w:uiPriority w:val="99"/>
    <w:semiHidden/>
    <w:unhideWhenUsed/>
    <w:rsid w:val="00C14BDF"/>
    <w:rPr>
      <w:rFonts w:ascii="Arial" w:eastAsia="Times New Roman" w:hAnsi="Arial"/>
      <w:b/>
      <w:bCs/>
      <w:color w:val="000000"/>
    </w:rPr>
  </w:style>
  <w:style w:type="character" w:customStyle="1" w:styleId="CommentSubjectChar">
    <w:name w:val="Comment Subject Char"/>
    <w:basedOn w:val="CommentTextChar"/>
    <w:link w:val="CommentSubject"/>
    <w:uiPriority w:val="99"/>
    <w:semiHidden/>
    <w:rsid w:val="00C14BDF"/>
    <w:rPr>
      <w:rFonts w:ascii="Arial" w:eastAsiaTheme="minorEastAsia" w:hAnsi="Arial"/>
      <w:b/>
      <w:bCs/>
      <w:color w:val="000000"/>
    </w:rPr>
  </w:style>
  <w:style w:type="character" w:styleId="UnresolvedMention">
    <w:name w:val="Unresolved Mention"/>
    <w:basedOn w:val="DefaultParagraphFont"/>
    <w:uiPriority w:val="99"/>
    <w:semiHidden/>
    <w:unhideWhenUsed/>
    <w:rsid w:val="005809E3"/>
    <w:rPr>
      <w:color w:val="605E5C"/>
      <w:shd w:val="clear" w:color="auto" w:fill="E1DFDD"/>
    </w:rPr>
  </w:style>
  <w:style w:type="paragraph" w:styleId="ListBullet">
    <w:name w:val="List Bullet"/>
    <w:aliases w:val="Bullets"/>
    <w:basedOn w:val="Normal"/>
    <w:uiPriority w:val="4"/>
    <w:qFormat/>
    <w:rsid w:val="00BF4661"/>
    <w:pPr>
      <w:numPr>
        <w:numId w:val="5"/>
      </w:numPr>
      <w:contextualSpacing/>
    </w:pPr>
    <w:rPr>
      <w:rFonts w:ascii="Times New Roman" w:hAnsi="Times New Roman"/>
      <w:color w:val="auto"/>
      <w:sz w:val="24"/>
      <w:szCs w:val="20"/>
    </w:rPr>
  </w:style>
  <w:style w:type="character" w:styleId="FollowedHyperlink">
    <w:name w:val="FollowedHyperlink"/>
    <w:basedOn w:val="DefaultParagraphFont"/>
    <w:uiPriority w:val="99"/>
    <w:semiHidden/>
    <w:unhideWhenUsed/>
    <w:rsid w:val="00826E22"/>
    <w:rPr>
      <w:color w:val="638C1C" w:themeColor="followedHyperlink"/>
      <w:u w:val="single"/>
    </w:rPr>
  </w:style>
  <w:style w:type="paragraph" w:styleId="Revision">
    <w:name w:val="Revision"/>
    <w:hidden/>
    <w:uiPriority w:val="99"/>
    <w:semiHidden/>
    <w:rsid w:val="00263CF7"/>
    <w:rPr>
      <w:rFonts w:ascii="Arial" w:hAnsi="Arial"/>
      <w:color w:val="000000"/>
      <w:szCs w:val="24"/>
    </w:rPr>
  </w:style>
  <w:style w:type="paragraph" w:customStyle="1" w:styleId="Finding">
    <w:name w:val="Finding"/>
    <w:basedOn w:val="Normal"/>
    <w:link w:val="FindingChar"/>
    <w:qFormat/>
    <w:rsid w:val="00160B44"/>
    <w:pPr>
      <w:ind w:left="1080" w:hanging="360"/>
      <w:contextualSpacing/>
    </w:pPr>
    <w:rPr>
      <w:rFonts w:eastAsiaTheme="minorHAnsi" w:cstheme="minorBidi"/>
      <w:color w:val="auto"/>
      <w:szCs w:val="22"/>
    </w:rPr>
  </w:style>
  <w:style w:type="character" w:customStyle="1" w:styleId="FindingChar">
    <w:name w:val="Finding Char"/>
    <w:basedOn w:val="DefaultParagraphFont"/>
    <w:link w:val="Finding"/>
    <w:rsid w:val="00160B44"/>
    <w:rPr>
      <w:rFonts w:ascii="Arial" w:eastAsiaTheme="minorHAnsi" w:hAnsi="Arial"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19751">
      <w:bodyDiv w:val="1"/>
      <w:marLeft w:val="0"/>
      <w:marRight w:val="0"/>
      <w:marTop w:val="0"/>
      <w:marBottom w:val="0"/>
      <w:divBdr>
        <w:top w:val="none" w:sz="0" w:space="0" w:color="auto"/>
        <w:left w:val="none" w:sz="0" w:space="0" w:color="auto"/>
        <w:bottom w:val="none" w:sz="0" w:space="0" w:color="auto"/>
        <w:right w:val="none" w:sz="0" w:space="0" w:color="auto"/>
      </w:divBdr>
    </w:div>
    <w:div w:id="325518539">
      <w:bodyDiv w:val="1"/>
      <w:marLeft w:val="0"/>
      <w:marRight w:val="0"/>
      <w:marTop w:val="0"/>
      <w:marBottom w:val="0"/>
      <w:divBdr>
        <w:top w:val="none" w:sz="0" w:space="0" w:color="auto"/>
        <w:left w:val="none" w:sz="0" w:space="0" w:color="auto"/>
        <w:bottom w:val="none" w:sz="0" w:space="0" w:color="auto"/>
        <w:right w:val="none" w:sz="0" w:space="0" w:color="auto"/>
      </w:divBdr>
    </w:div>
    <w:div w:id="410280390">
      <w:bodyDiv w:val="1"/>
      <w:marLeft w:val="0"/>
      <w:marRight w:val="0"/>
      <w:marTop w:val="0"/>
      <w:marBottom w:val="0"/>
      <w:divBdr>
        <w:top w:val="none" w:sz="0" w:space="0" w:color="auto"/>
        <w:left w:val="none" w:sz="0" w:space="0" w:color="auto"/>
        <w:bottom w:val="none" w:sz="0" w:space="0" w:color="auto"/>
        <w:right w:val="none" w:sz="0" w:space="0" w:color="auto"/>
      </w:divBdr>
    </w:div>
    <w:div w:id="470249744">
      <w:bodyDiv w:val="1"/>
      <w:marLeft w:val="0"/>
      <w:marRight w:val="0"/>
      <w:marTop w:val="0"/>
      <w:marBottom w:val="0"/>
      <w:divBdr>
        <w:top w:val="none" w:sz="0" w:space="0" w:color="auto"/>
        <w:left w:val="none" w:sz="0" w:space="0" w:color="auto"/>
        <w:bottom w:val="none" w:sz="0" w:space="0" w:color="auto"/>
        <w:right w:val="none" w:sz="0" w:space="0" w:color="auto"/>
      </w:divBdr>
    </w:div>
    <w:div w:id="528031988">
      <w:bodyDiv w:val="1"/>
      <w:marLeft w:val="0"/>
      <w:marRight w:val="0"/>
      <w:marTop w:val="0"/>
      <w:marBottom w:val="0"/>
      <w:divBdr>
        <w:top w:val="none" w:sz="0" w:space="0" w:color="auto"/>
        <w:left w:val="none" w:sz="0" w:space="0" w:color="auto"/>
        <w:bottom w:val="none" w:sz="0" w:space="0" w:color="auto"/>
        <w:right w:val="none" w:sz="0" w:space="0" w:color="auto"/>
      </w:divBdr>
    </w:div>
    <w:div w:id="674723873">
      <w:bodyDiv w:val="1"/>
      <w:marLeft w:val="0"/>
      <w:marRight w:val="0"/>
      <w:marTop w:val="0"/>
      <w:marBottom w:val="0"/>
      <w:divBdr>
        <w:top w:val="none" w:sz="0" w:space="0" w:color="auto"/>
        <w:left w:val="none" w:sz="0" w:space="0" w:color="auto"/>
        <w:bottom w:val="none" w:sz="0" w:space="0" w:color="auto"/>
        <w:right w:val="none" w:sz="0" w:space="0" w:color="auto"/>
      </w:divBdr>
      <w:divsChild>
        <w:div w:id="1930386092">
          <w:marLeft w:val="274"/>
          <w:marRight w:val="0"/>
          <w:marTop w:val="60"/>
          <w:marBottom w:val="0"/>
          <w:divBdr>
            <w:top w:val="none" w:sz="0" w:space="0" w:color="auto"/>
            <w:left w:val="none" w:sz="0" w:space="0" w:color="auto"/>
            <w:bottom w:val="none" w:sz="0" w:space="0" w:color="auto"/>
            <w:right w:val="none" w:sz="0" w:space="0" w:color="auto"/>
          </w:divBdr>
        </w:div>
        <w:div w:id="348264793">
          <w:marLeft w:val="994"/>
          <w:marRight w:val="0"/>
          <w:marTop w:val="60"/>
          <w:marBottom w:val="0"/>
          <w:divBdr>
            <w:top w:val="none" w:sz="0" w:space="0" w:color="auto"/>
            <w:left w:val="none" w:sz="0" w:space="0" w:color="auto"/>
            <w:bottom w:val="none" w:sz="0" w:space="0" w:color="auto"/>
            <w:right w:val="none" w:sz="0" w:space="0" w:color="auto"/>
          </w:divBdr>
        </w:div>
        <w:div w:id="800535853">
          <w:marLeft w:val="994"/>
          <w:marRight w:val="0"/>
          <w:marTop w:val="60"/>
          <w:marBottom w:val="0"/>
          <w:divBdr>
            <w:top w:val="none" w:sz="0" w:space="0" w:color="auto"/>
            <w:left w:val="none" w:sz="0" w:space="0" w:color="auto"/>
            <w:bottom w:val="none" w:sz="0" w:space="0" w:color="auto"/>
            <w:right w:val="none" w:sz="0" w:space="0" w:color="auto"/>
          </w:divBdr>
        </w:div>
      </w:divsChild>
    </w:div>
    <w:div w:id="807288351">
      <w:bodyDiv w:val="1"/>
      <w:marLeft w:val="0"/>
      <w:marRight w:val="0"/>
      <w:marTop w:val="0"/>
      <w:marBottom w:val="0"/>
      <w:divBdr>
        <w:top w:val="none" w:sz="0" w:space="0" w:color="auto"/>
        <w:left w:val="none" w:sz="0" w:space="0" w:color="auto"/>
        <w:bottom w:val="none" w:sz="0" w:space="0" w:color="auto"/>
        <w:right w:val="none" w:sz="0" w:space="0" w:color="auto"/>
      </w:divBdr>
    </w:div>
    <w:div w:id="950355115">
      <w:bodyDiv w:val="1"/>
      <w:marLeft w:val="0"/>
      <w:marRight w:val="0"/>
      <w:marTop w:val="0"/>
      <w:marBottom w:val="0"/>
      <w:divBdr>
        <w:top w:val="none" w:sz="0" w:space="0" w:color="auto"/>
        <w:left w:val="none" w:sz="0" w:space="0" w:color="auto"/>
        <w:bottom w:val="none" w:sz="0" w:space="0" w:color="auto"/>
        <w:right w:val="none" w:sz="0" w:space="0" w:color="auto"/>
      </w:divBdr>
    </w:div>
    <w:div w:id="1003632203">
      <w:bodyDiv w:val="1"/>
      <w:marLeft w:val="0"/>
      <w:marRight w:val="0"/>
      <w:marTop w:val="0"/>
      <w:marBottom w:val="0"/>
      <w:divBdr>
        <w:top w:val="none" w:sz="0" w:space="0" w:color="auto"/>
        <w:left w:val="none" w:sz="0" w:space="0" w:color="auto"/>
        <w:bottom w:val="none" w:sz="0" w:space="0" w:color="auto"/>
        <w:right w:val="none" w:sz="0" w:space="0" w:color="auto"/>
      </w:divBdr>
    </w:div>
    <w:div w:id="1362778848">
      <w:bodyDiv w:val="1"/>
      <w:marLeft w:val="0"/>
      <w:marRight w:val="0"/>
      <w:marTop w:val="0"/>
      <w:marBottom w:val="0"/>
      <w:divBdr>
        <w:top w:val="none" w:sz="0" w:space="0" w:color="auto"/>
        <w:left w:val="none" w:sz="0" w:space="0" w:color="auto"/>
        <w:bottom w:val="none" w:sz="0" w:space="0" w:color="auto"/>
        <w:right w:val="none" w:sz="0" w:space="0" w:color="auto"/>
      </w:divBdr>
    </w:div>
    <w:div w:id="1701515735">
      <w:bodyDiv w:val="1"/>
      <w:marLeft w:val="0"/>
      <w:marRight w:val="0"/>
      <w:marTop w:val="0"/>
      <w:marBottom w:val="0"/>
      <w:divBdr>
        <w:top w:val="none" w:sz="0" w:space="0" w:color="auto"/>
        <w:left w:val="none" w:sz="0" w:space="0" w:color="auto"/>
        <w:bottom w:val="none" w:sz="0" w:space="0" w:color="auto"/>
        <w:right w:val="none" w:sz="0" w:space="0" w:color="auto"/>
      </w:divBdr>
    </w:div>
    <w:div w:id="183796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nationalefficiencyscreening.org/" TargetMode="External"/><Relationship Id="rId13" Type="http://schemas.openxmlformats.org/officeDocument/2006/relationships/hyperlink" Target="https://www.focusonenergy.com/sites/default/files/Wisconsin%20Focus%20on%20Energy%20CY%202016%20Appendices.pdf" TargetMode="External"/><Relationship Id="rId3" Type="http://schemas.openxmlformats.org/officeDocument/2006/relationships/hyperlink" Target="http://www.eia.gov/pressroom/presentations/sieminski_12162013.pdf" TargetMode="External"/><Relationship Id="rId7" Type="http://schemas.openxmlformats.org/officeDocument/2006/relationships/hyperlink" Target="https://www.ncbi.nlm.nih.gov/pmc/articles/PMC5627640/" TargetMode="External"/><Relationship Id="rId12" Type="http://schemas.openxmlformats.org/officeDocument/2006/relationships/hyperlink" Target="https://www.aceee.org/sites/default/files/pdf/conferences/eer/2017/DeYoung_Session2D_EER17_Oct_31.pdf" TargetMode="External"/><Relationship Id="rId17" Type="http://schemas.openxmlformats.org/officeDocument/2006/relationships/hyperlink" Target="https://www.energy.gov/eere/wap/downloads/weatherization-assistance-program-national-evaluation" TargetMode="External"/><Relationship Id="rId2" Type="http://schemas.openxmlformats.org/officeDocument/2006/relationships/hyperlink" Target="https://s3.amazonaws.com/ilsag/2020_IL-TRM_Version_8.0_dated_October-17-2019_Final_Volumes_1-4_Compiled.pdf" TargetMode="External"/><Relationship Id="rId16" Type="http://schemas.openxmlformats.org/officeDocument/2006/relationships/hyperlink" Target="https://neep.org/sites/default/files/resources/NEI%20Final%20Report%20for%20NH%20updated%2010.4.17.pdf" TargetMode="External"/><Relationship Id="rId1" Type="http://schemas.openxmlformats.org/officeDocument/2006/relationships/hyperlink" Target="http://www.ilga.gov/legislation/publicacts/99/PDF/099-0906.pdf" TargetMode="External"/><Relationship Id="rId6" Type="http://schemas.openxmlformats.org/officeDocument/2006/relationships/hyperlink" Target="https://www.bls.gov/regions/midwest/news-release/occupationalemploymentandwages_chicago.htm" TargetMode="External"/><Relationship Id="rId11" Type="http://schemas.openxmlformats.org/officeDocument/2006/relationships/hyperlink" Target="https://www.epa.gov/statelocalenergy/avert-tutorial-how-avert-works" TargetMode="External"/><Relationship Id="rId5" Type="http://schemas.openxmlformats.org/officeDocument/2006/relationships/hyperlink" Target="https://s3.amazonaws.com/ilsag/IL-TAC_Documentation-of-TAC-Review-of-Non-Energy-Benefits_Memo_02-09-2016.pdf" TargetMode="External"/><Relationship Id="rId15" Type="http://schemas.openxmlformats.org/officeDocument/2006/relationships/hyperlink" Target="https://www.utc.wa.gov/Pages/Default.aspx" TargetMode="External"/><Relationship Id="rId10" Type="http://schemas.openxmlformats.org/officeDocument/2006/relationships/hyperlink" Target="https://www.epa.gov/statelocalenergy/how-cobra-works" TargetMode="External"/><Relationship Id="rId4" Type="http://schemas.openxmlformats.org/officeDocument/2006/relationships/hyperlink" Target="http://www.icc.illinois.gov/docket/files.aspx?no=17-0312&amp;docId=254601" TargetMode="External"/><Relationship Id="rId9" Type="http://schemas.openxmlformats.org/officeDocument/2006/relationships/hyperlink" Target="https://www.epa.gov/sites/production/files/2019-05/documents/avert_overview_and_training_05-20-19_508.pdf" TargetMode="External"/><Relationship Id="rId14" Type="http://schemas.openxmlformats.org/officeDocument/2006/relationships/hyperlink" Target="https://www.focusonenergy.com/sites/default/files/WI%20FOE%202015%20to%202016%20Econ%20Impact%20Report-%20Final.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Navigant Color Palette_Word">
  <a:themeElements>
    <a:clrScheme name="NavigantColorPalette">
      <a:dk1>
        <a:srgbClr val="53575A"/>
      </a:dk1>
      <a:lt1>
        <a:srgbClr val="FFFFFF"/>
      </a:lt1>
      <a:dk2>
        <a:srgbClr val="53575A"/>
      </a:dk2>
      <a:lt2>
        <a:srgbClr val="FFFFFF"/>
      </a:lt2>
      <a:accent1>
        <a:srgbClr val="93D500"/>
      </a:accent1>
      <a:accent2>
        <a:srgbClr val="638C1C"/>
      </a:accent2>
      <a:accent3>
        <a:srgbClr val="53575A"/>
      </a:accent3>
      <a:accent4>
        <a:srgbClr val="095540"/>
      </a:accent4>
      <a:accent5>
        <a:srgbClr val="863399"/>
      </a:accent5>
      <a:accent6>
        <a:srgbClr val="0069A7"/>
      </a:accent6>
      <a:hlink>
        <a:srgbClr val="93D500"/>
      </a:hlink>
      <a:folHlink>
        <a:srgbClr val="638C1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9E4CC8FA0FD34A88BE0C380B684BAB" ma:contentTypeVersion="10" ma:contentTypeDescription="Create a new document." ma:contentTypeScope="" ma:versionID="f890aeb844cf6e9ce28b67625203f3af">
  <xsd:schema xmlns:xsd="http://www.w3.org/2001/XMLSchema" xmlns:xs="http://www.w3.org/2001/XMLSchema" xmlns:p="http://schemas.microsoft.com/office/2006/metadata/properties" xmlns:ns3="765227eb-2557-40de-b741-36f4bef2b5cf" targetNamespace="http://schemas.microsoft.com/office/2006/metadata/properties" ma:root="true" ma:fieldsID="db1bb154309f27afb910f7fbccc6c9bd" ns3:_="">
    <xsd:import namespace="765227eb-2557-40de-b741-36f4bef2b5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227eb-2557-40de-b741-36f4bef2b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BF390-C24C-486E-A7DD-342357954B58}">
  <ds:schemaRefs>
    <ds:schemaRef ds:uri="http://schemas.microsoft.com/sharepoint/v3/contenttype/forms"/>
  </ds:schemaRefs>
</ds:datastoreItem>
</file>

<file path=customXml/itemProps2.xml><?xml version="1.0" encoding="utf-8"?>
<ds:datastoreItem xmlns:ds="http://schemas.openxmlformats.org/officeDocument/2006/customXml" ds:itemID="{EFD93F32-DCAB-437D-8022-5D5B42100F9B}">
  <ds:schemaRefs>
    <ds:schemaRef ds:uri="http://schemas.microsoft.com/office/2006/metadata/properties"/>
    <ds:schemaRef ds:uri="http://purl.org/dc/dcmitype/"/>
    <ds:schemaRef ds:uri="http://schemas.microsoft.com/office/infopath/2007/PartnerControls"/>
    <ds:schemaRef ds:uri="http://purl.org/dc/elements/1.1/"/>
    <ds:schemaRef ds:uri="http://www.w3.org/XML/1998/namespace"/>
    <ds:schemaRef ds:uri="http://schemas.microsoft.com/office/2006/documentManagement/types"/>
    <ds:schemaRef ds:uri="http://purl.org/dc/terms/"/>
    <ds:schemaRef ds:uri="http://schemas.openxmlformats.org/package/2006/metadata/core-properties"/>
    <ds:schemaRef ds:uri="765227eb-2557-40de-b741-36f4bef2b5cf"/>
  </ds:schemaRefs>
</ds:datastoreItem>
</file>

<file path=customXml/itemProps3.xml><?xml version="1.0" encoding="utf-8"?>
<ds:datastoreItem xmlns:ds="http://schemas.openxmlformats.org/officeDocument/2006/customXml" ds:itemID="{7AACD8B2-D038-4675-BB72-2C5C039CE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227eb-2557-40de-b741-36f4bef2b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5AD3C2-3677-41DB-85F3-7F9A7D490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2227</Words>
  <Characters>13977</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June 20, 2001</vt:lpstr>
    </vt:vector>
  </TitlesOfParts>
  <Company>VisionTrust</Company>
  <LinksUpToDate>false</LinksUpToDate>
  <CharactersWithSpaces>16172</CharactersWithSpaces>
  <SharedDoc>false</SharedDoc>
  <HLinks>
    <vt:vector size="6" baseType="variant">
      <vt:variant>
        <vt:i4>4522068</vt:i4>
      </vt:variant>
      <vt:variant>
        <vt:i4>-1</vt:i4>
      </vt:variant>
      <vt:variant>
        <vt:i4>2076</vt:i4>
      </vt:variant>
      <vt:variant>
        <vt:i4>1</vt:i4>
      </vt:variant>
      <vt:variant>
        <vt:lpwstr>M_logo_cmyk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 2001</dc:title>
  <dc:subject/>
  <dc:creator>Mary Thony</dc:creator>
  <cp:keywords/>
  <dc:description/>
  <cp:lastModifiedBy>Celia</cp:lastModifiedBy>
  <cp:revision>2</cp:revision>
  <cp:lastPrinted>2020-05-01T05:18:00Z</cp:lastPrinted>
  <dcterms:created xsi:type="dcterms:W3CDTF">2020-05-01T19:46:00Z</dcterms:created>
  <dcterms:modified xsi:type="dcterms:W3CDTF">2020-05-01T19:46:00Z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0x010100E99E4CC8FA0FD34A88BE0C380B684BAB</vt:lpwstr>
  </property>
</Properties>
</file>