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5.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05F03" w14:textId="730D4E6F" w:rsidR="004663B2" w:rsidRPr="0008416F" w:rsidRDefault="004663B2" w:rsidP="0008416F">
      <w:pPr>
        <w:spacing w:after="120"/>
        <w:jc w:val="center"/>
        <w:rPr>
          <w:rFonts w:ascii="MS Reference Sans Serif" w:hAnsi="MS Reference Sans Serif"/>
          <w:b/>
          <w:color w:val="587E39"/>
          <w:spacing w:val="20"/>
          <w:sz w:val="28"/>
        </w:rPr>
      </w:pPr>
      <w:r>
        <w:rPr>
          <w:rFonts w:ascii="MS Reference Sans Serif" w:hAnsi="MS Reference Sans Serif"/>
          <w:b/>
          <w:noProof/>
          <w:color w:val="587E39"/>
          <w:spacing w:val="20"/>
          <w:sz w:val="20"/>
        </w:rPr>
        <mc:AlternateContent>
          <mc:Choice Requires="wps">
            <w:drawing>
              <wp:anchor distT="0" distB="0" distL="114300" distR="114300" simplePos="0" relativeHeight="251658241" behindDoc="0" locked="0" layoutInCell="1" allowOverlap="1" wp14:anchorId="3A9E50DF" wp14:editId="5BE4F463">
                <wp:simplePos x="0" y="0"/>
                <wp:positionH relativeFrom="column">
                  <wp:posOffset>19050</wp:posOffset>
                </wp:positionH>
                <wp:positionV relativeFrom="paragraph">
                  <wp:posOffset>209550</wp:posOffset>
                </wp:positionV>
                <wp:extent cx="5876925" cy="19050"/>
                <wp:effectExtent l="19050" t="19050" r="28575" b="19050"/>
                <wp:wrapNone/>
                <wp:docPr id="6" name="Straight Connector 6"/>
                <wp:cNvGraphicFramePr/>
                <a:graphic xmlns:a="http://schemas.openxmlformats.org/drawingml/2006/main">
                  <a:graphicData uri="http://schemas.microsoft.com/office/word/2010/wordprocessingShape">
                    <wps:wsp>
                      <wps:cNvCnPr/>
                      <wps:spPr>
                        <a:xfrm flipV="1">
                          <a:off x="0" y="0"/>
                          <a:ext cx="5876925" cy="19050"/>
                        </a:xfrm>
                        <a:prstGeom prst="line">
                          <a:avLst/>
                        </a:prstGeom>
                        <a:ln w="28575">
                          <a:solidFill>
                            <a:srgbClr val="587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0A625"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6.5pt" to="464.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" strokecolor="#587e39" strokeweight="2.25pt">
                <v:stroke joinstyle="miter"/>
              </v:line>
            </w:pict>
          </mc:Fallback>
        </mc:AlternateContent>
      </w:r>
    </w:p>
    <w:p w14:paraId="383E9AD0" w14:textId="2CBD0ED9" w:rsidR="0008416F" w:rsidRPr="0008416F" w:rsidRDefault="0008416F" w:rsidP="008D3DE5">
      <w:pPr>
        <w:spacing w:after="120"/>
        <w:ind w:left="1440" w:hanging="1440"/>
        <w:rPr>
          <w:rFonts w:ascii="MS Reference Sans Serif" w:hAnsi="MS Reference Sans Serif"/>
          <w:b/>
          <w:color w:val="587E39"/>
          <w:spacing w:val="20"/>
          <w:sz w:val="20"/>
        </w:rPr>
      </w:pPr>
      <w:r w:rsidRPr="0008416F">
        <w:rPr>
          <w:rFonts w:ascii="MS Reference Sans Serif" w:hAnsi="MS Reference Sans Serif"/>
          <w:b/>
          <w:color w:val="587E39"/>
          <w:spacing w:val="20"/>
          <w:sz w:val="20"/>
        </w:rPr>
        <w:t>To:</w:t>
      </w:r>
      <w:r w:rsidRPr="0008416F">
        <w:rPr>
          <w:rFonts w:ascii="MS Reference Sans Serif" w:hAnsi="MS Reference Sans Serif"/>
          <w:b/>
          <w:color w:val="587E39"/>
          <w:spacing w:val="20"/>
          <w:sz w:val="20"/>
        </w:rPr>
        <w:tab/>
      </w:r>
      <w:r w:rsidR="00C12D7D">
        <w:rPr>
          <w:rFonts w:ascii="MS Reference Sans Serif" w:hAnsi="MS Reference Sans Serif"/>
          <w:color w:val="6D6E71"/>
          <w:spacing w:val="20"/>
          <w:sz w:val="20"/>
        </w:rPr>
        <w:t xml:space="preserve">Rick </w:t>
      </w:r>
      <w:proofErr w:type="spellStart"/>
      <w:r w:rsidR="00C12D7D">
        <w:rPr>
          <w:rFonts w:ascii="MS Reference Sans Serif" w:hAnsi="MS Reference Sans Serif"/>
          <w:color w:val="6D6E71"/>
          <w:spacing w:val="20"/>
          <w:sz w:val="20"/>
        </w:rPr>
        <w:t>Ton</w:t>
      </w:r>
      <w:r w:rsidR="00B41A54">
        <w:rPr>
          <w:rFonts w:ascii="MS Reference Sans Serif" w:hAnsi="MS Reference Sans Serif"/>
          <w:color w:val="6D6E71"/>
          <w:spacing w:val="20"/>
          <w:sz w:val="20"/>
        </w:rPr>
        <w:t>ie</w:t>
      </w:r>
      <w:r w:rsidR="00C12D7D">
        <w:rPr>
          <w:rFonts w:ascii="MS Reference Sans Serif" w:hAnsi="MS Reference Sans Serif"/>
          <w:color w:val="6D6E71"/>
          <w:spacing w:val="20"/>
          <w:sz w:val="20"/>
        </w:rPr>
        <w:t>lli</w:t>
      </w:r>
      <w:proofErr w:type="spellEnd"/>
      <w:r w:rsidR="00C12D7D">
        <w:rPr>
          <w:rFonts w:ascii="MS Reference Sans Serif" w:hAnsi="MS Reference Sans Serif"/>
          <w:color w:val="6D6E71"/>
          <w:spacing w:val="20"/>
          <w:sz w:val="20"/>
        </w:rPr>
        <w:t xml:space="preserve">, Jim Fay, </w:t>
      </w:r>
      <w:r w:rsidR="00F83D14">
        <w:rPr>
          <w:rFonts w:ascii="MS Reference Sans Serif" w:hAnsi="MS Reference Sans Serif"/>
          <w:color w:val="6D6E71"/>
          <w:spacing w:val="20"/>
          <w:sz w:val="20"/>
        </w:rPr>
        <w:t>Vincent G</w:t>
      </w:r>
      <w:r w:rsidR="006A5D6E">
        <w:rPr>
          <w:rFonts w:ascii="MS Reference Sans Serif" w:hAnsi="MS Reference Sans Serif"/>
          <w:color w:val="6D6E71"/>
          <w:spacing w:val="20"/>
          <w:sz w:val="20"/>
        </w:rPr>
        <w:t xml:space="preserve">utierrez </w:t>
      </w:r>
      <w:r w:rsidR="00C12D7D">
        <w:rPr>
          <w:rFonts w:ascii="MS Reference Sans Serif" w:hAnsi="MS Reference Sans Serif"/>
          <w:color w:val="6D6E71"/>
          <w:spacing w:val="20"/>
          <w:sz w:val="20"/>
        </w:rPr>
        <w:t>ComEd</w:t>
      </w:r>
    </w:p>
    <w:p w14:paraId="03D33729" w14:textId="46A2A35A" w:rsidR="0008416F" w:rsidRPr="0008416F" w:rsidRDefault="0008416F" w:rsidP="008D3DE5">
      <w:pPr>
        <w:spacing w:after="120"/>
        <w:ind w:left="1440" w:hanging="1440"/>
        <w:rPr>
          <w:rFonts w:ascii="MS Reference Sans Serif" w:hAnsi="MS Reference Sans Serif"/>
          <w:b/>
          <w:color w:val="587E39"/>
          <w:spacing w:val="20"/>
          <w:sz w:val="20"/>
        </w:rPr>
      </w:pPr>
      <w:r w:rsidRPr="0008416F">
        <w:rPr>
          <w:rFonts w:ascii="MS Reference Sans Serif" w:hAnsi="MS Reference Sans Serif"/>
          <w:b/>
          <w:color w:val="587E39"/>
          <w:spacing w:val="20"/>
          <w:sz w:val="20"/>
        </w:rPr>
        <w:t>From:</w:t>
      </w:r>
      <w:r w:rsidRPr="0008416F">
        <w:rPr>
          <w:rFonts w:ascii="MS Reference Sans Serif" w:hAnsi="MS Reference Sans Serif"/>
          <w:b/>
          <w:color w:val="587E39"/>
          <w:spacing w:val="20"/>
          <w:sz w:val="20"/>
        </w:rPr>
        <w:tab/>
      </w:r>
      <w:r w:rsidR="00C12D7D">
        <w:rPr>
          <w:rFonts w:ascii="MS Reference Sans Serif" w:hAnsi="MS Reference Sans Serif"/>
          <w:color w:val="6D6E71"/>
          <w:spacing w:val="20"/>
          <w:sz w:val="20"/>
        </w:rPr>
        <w:t>Joe Van Clock, Noah Lieb</w:t>
      </w:r>
      <w:r w:rsidR="00516857">
        <w:rPr>
          <w:rFonts w:ascii="MS Reference Sans Serif" w:hAnsi="MS Reference Sans Serif"/>
          <w:color w:val="6D6E71"/>
          <w:spacing w:val="20"/>
          <w:sz w:val="20"/>
        </w:rPr>
        <w:t>, Apex Analytics</w:t>
      </w:r>
      <w:r w:rsidR="00F10AD2">
        <w:rPr>
          <w:rFonts w:ascii="MS Reference Sans Serif" w:hAnsi="MS Reference Sans Serif"/>
          <w:color w:val="6D6E71"/>
          <w:spacing w:val="20"/>
          <w:sz w:val="20"/>
        </w:rPr>
        <w:t xml:space="preserve"> </w:t>
      </w:r>
    </w:p>
    <w:p w14:paraId="7A5E00CD" w14:textId="31143262" w:rsidR="0008416F" w:rsidRPr="0008416F" w:rsidRDefault="0008416F" w:rsidP="008D3DE5">
      <w:pPr>
        <w:spacing w:after="120"/>
        <w:ind w:left="1440" w:hanging="1440"/>
        <w:rPr>
          <w:rFonts w:ascii="MS Reference Sans Serif" w:hAnsi="MS Reference Sans Serif"/>
          <w:color w:val="6D6E71"/>
          <w:spacing w:val="20"/>
          <w:sz w:val="20"/>
        </w:rPr>
      </w:pPr>
      <w:r w:rsidRPr="0008416F">
        <w:rPr>
          <w:rFonts w:ascii="MS Reference Sans Serif" w:hAnsi="MS Reference Sans Serif"/>
          <w:b/>
          <w:color w:val="587E39"/>
          <w:spacing w:val="20"/>
          <w:sz w:val="20"/>
        </w:rPr>
        <w:t>Subject:</w:t>
      </w:r>
      <w:r w:rsidRPr="0008416F">
        <w:rPr>
          <w:rFonts w:ascii="MS Reference Sans Serif" w:hAnsi="MS Reference Sans Serif"/>
          <w:b/>
          <w:color w:val="587E39"/>
          <w:spacing w:val="20"/>
          <w:sz w:val="20"/>
        </w:rPr>
        <w:tab/>
      </w:r>
      <w:r w:rsidR="00C12D7D">
        <w:rPr>
          <w:rFonts w:ascii="MS Reference Sans Serif" w:hAnsi="MS Reference Sans Serif"/>
          <w:color w:val="6D6E71"/>
          <w:spacing w:val="20"/>
          <w:sz w:val="20"/>
        </w:rPr>
        <w:t>ESRPP Baseline Forecast</w:t>
      </w:r>
    </w:p>
    <w:p w14:paraId="60770293" w14:textId="24BE08B7" w:rsidR="0008416F" w:rsidRDefault="0008416F" w:rsidP="008D3DE5">
      <w:pPr>
        <w:spacing w:after="120"/>
        <w:ind w:left="1440" w:hanging="1440"/>
        <w:rPr>
          <w:rFonts w:ascii="MS Reference Sans Serif" w:hAnsi="MS Reference Sans Serif"/>
          <w:color w:val="6D6E71"/>
          <w:spacing w:val="20"/>
          <w:sz w:val="20"/>
        </w:rPr>
      </w:pPr>
      <w:r w:rsidRPr="0008416F">
        <w:rPr>
          <w:rFonts w:ascii="MS Reference Sans Serif" w:hAnsi="MS Reference Sans Serif"/>
          <w:b/>
          <w:color w:val="587E39"/>
          <w:spacing w:val="20"/>
          <w:sz w:val="20"/>
        </w:rPr>
        <w:t>Date:</w:t>
      </w:r>
      <w:r w:rsidRPr="0008416F">
        <w:rPr>
          <w:rFonts w:ascii="MS Reference Sans Serif" w:hAnsi="MS Reference Sans Serif"/>
          <w:b/>
          <w:color w:val="587E39"/>
          <w:spacing w:val="20"/>
          <w:sz w:val="20"/>
        </w:rPr>
        <w:tab/>
      </w:r>
      <w:r w:rsidR="005D1260">
        <w:rPr>
          <w:rFonts w:ascii="MS Reference Sans Serif" w:hAnsi="MS Reference Sans Serif"/>
          <w:color w:val="6D6E71"/>
          <w:spacing w:val="20"/>
          <w:sz w:val="20"/>
        </w:rPr>
        <w:t>February</w:t>
      </w:r>
      <w:r w:rsidR="00B456F1">
        <w:rPr>
          <w:rFonts w:ascii="MS Reference Sans Serif" w:hAnsi="MS Reference Sans Serif"/>
          <w:color w:val="6D6E71"/>
          <w:spacing w:val="20"/>
          <w:sz w:val="20"/>
        </w:rPr>
        <w:t xml:space="preserve"> </w:t>
      </w:r>
      <w:r w:rsidR="005D1260">
        <w:rPr>
          <w:rFonts w:ascii="MS Reference Sans Serif" w:hAnsi="MS Reference Sans Serif"/>
          <w:color w:val="6D6E71"/>
          <w:spacing w:val="20"/>
          <w:sz w:val="20"/>
        </w:rPr>
        <w:t>6</w:t>
      </w:r>
      <w:r w:rsidR="00516857">
        <w:rPr>
          <w:rFonts w:ascii="MS Reference Sans Serif" w:hAnsi="MS Reference Sans Serif"/>
          <w:color w:val="6D6E71"/>
          <w:spacing w:val="20"/>
          <w:sz w:val="20"/>
        </w:rPr>
        <w:t xml:space="preserve">, </w:t>
      </w:r>
      <w:r w:rsidR="00B456F1">
        <w:rPr>
          <w:rFonts w:ascii="MS Reference Sans Serif" w:hAnsi="MS Reference Sans Serif"/>
          <w:color w:val="6D6E71"/>
          <w:spacing w:val="20"/>
          <w:sz w:val="20"/>
        </w:rPr>
        <w:t>2023</w:t>
      </w:r>
    </w:p>
    <w:p w14:paraId="65B94217" w14:textId="77777777" w:rsidR="000A73FA" w:rsidRDefault="00721F47" w:rsidP="000A73FA">
      <w:pPr>
        <w:spacing w:after="120"/>
      </w:pPr>
      <w:r>
        <w:rPr>
          <w:rFonts w:ascii="MS Reference Sans Serif" w:hAnsi="MS Reference Sans Serif"/>
          <w:b/>
          <w:noProof/>
          <w:color w:val="587E39"/>
          <w:spacing w:val="20"/>
          <w:sz w:val="20"/>
        </w:rPr>
        <mc:AlternateContent>
          <mc:Choice Requires="wps">
            <w:drawing>
              <wp:anchor distT="0" distB="0" distL="114300" distR="114300" simplePos="0" relativeHeight="251658240" behindDoc="0" locked="0" layoutInCell="1" allowOverlap="1" wp14:anchorId="35CBBBE7" wp14:editId="454393AE">
                <wp:simplePos x="0" y="0"/>
                <wp:positionH relativeFrom="column">
                  <wp:posOffset>0</wp:posOffset>
                </wp:positionH>
                <wp:positionV relativeFrom="paragraph">
                  <wp:posOffset>8890</wp:posOffset>
                </wp:positionV>
                <wp:extent cx="5876925" cy="19050"/>
                <wp:effectExtent l="19050" t="19050" r="28575" b="19050"/>
                <wp:wrapNone/>
                <wp:docPr id="3" name="Straight Connector 3"/>
                <wp:cNvGraphicFramePr/>
                <a:graphic xmlns:a="http://schemas.openxmlformats.org/drawingml/2006/main">
                  <a:graphicData uri="http://schemas.microsoft.com/office/word/2010/wordprocessingShape">
                    <wps:wsp>
                      <wps:cNvCnPr/>
                      <wps:spPr>
                        <a:xfrm flipV="1">
                          <a:off x="0" y="0"/>
                          <a:ext cx="5876925" cy="19050"/>
                        </a:xfrm>
                        <a:prstGeom prst="line">
                          <a:avLst/>
                        </a:prstGeom>
                        <a:ln w="28575">
                          <a:solidFill>
                            <a:srgbClr val="587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22533"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pt" to="46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" strokecolor="#587e39" strokeweight="2.25pt">
                <v:stroke joinstyle="miter"/>
              </v:line>
            </w:pict>
          </mc:Fallback>
        </mc:AlternateContent>
      </w:r>
    </w:p>
    <w:p w14:paraId="3FFF3B39" w14:textId="64FF42C0" w:rsidR="009D798C" w:rsidRDefault="00C726D3" w:rsidP="00DC7AD6">
      <w:pPr>
        <w:pStyle w:val="TextMain"/>
      </w:pPr>
      <w:r w:rsidRPr="00C726D3">
        <w:t xml:space="preserve">This memo </w:t>
      </w:r>
      <w:r w:rsidR="00014E25">
        <w:t>summarizes assumptions underlying</w:t>
      </w:r>
      <w:r w:rsidRPr="00C726D3">
        <w:t xml:space="preserve"> </w:t>
      </w:r>
      <w:r w:rsidR="00B41A54">
        <w:t>Apex Analytics</w:t>
      </w:r>
      <w:r w:rsidR="00896940">
        <w:t>’</w:t>
      </w:r>
      <w:r w:rsidR="00B41A54">
        <w:t xml:space="preserve"> </w:t>
      </w:r>
      <w:r w:rsidR="00F26F44">
        <w:t xml:space="preserve">forecast for the </w:t>
      </w:r>
      <w:r w:rsidR="00910A50">
        <w:t xml:space="preserve">naturally occurring </w:t>
      </w:r>
      <w:r w:rsidR="0087031F">
        <w:t xml:space="preserve">(non-program) </w:t>
      </w:r>
      <w:r w:rsidR="00910A50">
        <w:t xml:space="preserve">baseline </w:t>
      </w:r>
      <w:r w:rsidR="0087031F">
        <w:t xml:space="preserve">market share </w:t>
      </w:r>
      <w:r w:rsidR="00F26F44">
        <w:t xml:space="preserve">for </w:t>
      </w:r>
      <w:r w:rsidR="0005391E">
        <w:t>ENERGY STAR</w:t>
      </w:r>
      <w:r w:rsidR="0005391E" w:rsidRPr="00D84FCF">
        <w:rPr>
          <w:vertAlign w:val="superscript"/>
        </w:rPr>
        <w:t>®</w:t>
      </w:r>
      <w:r w:rsidR="0005391E">
        <w:t xml:space="preserve"> </w:t>
      </w:r>
      <w:r w:rsidR="00B1747F">
        <w:t xml:space="preserve">Most Efficient </w:t>
      </w:r>
      <w:r w:rsidR="0087031F">
        <w:t>refrigerator</w:t>
      </w:r>
      <w:r w:rsidR="00AA780E">
        <w:t>s</w:t>
      </w:r>
      <w:r w:rsidR="0087031F">
        <w:t xml:space="preserve"> and </w:t>
      </w:r>
      <w:r w:rsidR="00B1747F">
        <w:t xml:space="preserve">ENERGY STAR </w:t>
      </w:r>
      <w:r w:rsidR="002E2AB7">
        <w:t>clothes washers</w:t>
      </w:r>
      <w:r w:rsidR="00F26F44">
        <w:t>.</w:t>
      </w:r>
      <w:r w:rsidR="002E2AB7">
        <w:t xml:space="preserve"> </w:t>
      </w:r>
      <w:r w:rsidR="009D798C">
        <w:t xml:space="preserve">Estimates of baseline and with-program uptake are provided in </w:t>
      </w:r>
      <w:r w:rsidR="00755E59">
        <w:t xml:space="preserve">the “Apex Unit Volume and Savings Forecast” spreadsheet that accompanies this memo. </w:t>
      </w:r>
    </w:p>
    <w:p w14:paraId="56DA53F9" w14:textId="010CD3A6" w:rsidR="00C726D3" w:rsidRDefault="002E2AB7" w:rsidP="00DC7AD6">
      <w:pPr>
        <w:pStyle w:val="TextMain"/>
      </w:pPr>
      <w:r>
        <w:t xml:space="preserve">ComEd currently offers </w:t>
      </w:r>
      <w:r w:rsidR="003E10C9">
        <w:t xml:space="preserve">incentive for these two products </w:t>
      </w:r>
      <w:r>
        <w:t>through their ESRPP participation</w:t>
      </w:r>
      <w:r w:rsidR="007A7CDF">
        <w:t xml:space="preserve"> and targets two</w:t>
      </w:r>
      <w:r w:rsidR="00AC6331">
        <w:t xml:space="preserve"> </w:t>
      </w:r>
      <w:r w:rsidR="007A7CDF">
        <w:t>tiers within each product category, a basic tier and a higher efficiency tier. For clothes washers, ComEd incentivizes top-load washers</w:t>
      </w:r>
      <w:r w:rsidR="00090286">
        <w:t xml:space="preserve"> only</w:t>
      </w:r>
      <w:r w:rsidR="007A7CDF">
        <w:t xml:space="preserve">, consistent with NEEA. ComEd incentivizes two </w:t>
      </w:r>
      <w:r w:rsidR="00090286">
        <w:t xml:space="preserve">clothes </w:t>
      </w:r>
      <w:proofErr w:type="gramStart"/>
      <w:r w:rsidR="00090286">
        <w:t>washers</w:t>
      </w:r>
      <w:proofErr w:type="gramEnd"/>
      <w:r w:rsidR="00090286">
        <w:t xml:space="preserve"> </w:t>
      </w:r>
      <w:r w:rsidR="007A7CDF">
        <w:t xml:space="preserve">tiers, a </w:t>
      </w:r>
      <w:r w:rsidR="00F74516">
        <w:t xml:space="preserve">basic </w:t>
      </w:r>
      <w:r w:rsidR="007A7CDF">
        <w:t xml:space="preserve">tier of </w:t>
      </w:r>
      <w:r w:rsidR="00F74516">
        <w:t xml:space="preserve">standard </w:t>
      </w:r>
      <w:r w:rsidR="007A7CDF">
        <w:t>ENERGY STAR</w:t>
      </w:r>
      <w:r w:rsidR="007A7CDF" w:rsidRPr="00D84FCF">
        <w:rPr>
          <w:vertAlign w:val="superscript"/>
        </w:rPr>
        <w:t>®</w:t>
      </w:r>
      <w:r w:rsidR="007A7CDF">
        <w:rPr>
          <w:vertAlign w:val="superscript"/>
        </w:rPr>
        <w:t xml:space="preserve"> </w:t>
      </w:r>
      <w:r w:rsidR="00897C9B">
        <w:t>(ES) m</w:t>
      </w:r>
      <w:r w:rsidR="007A7CDF">
        <w:t>odels and an advanced higher efficiency tier of ENERGY STAR</w:t>
      </w:r>
      <w:r w:rsidR="007A7CDF" w:rsidRPr="00D84FCF">
        <w:rPr>
          <w:vertAlign w:val="superscript"/>
        </w:rPr>
        <w:t>®</w:t>
      </w:r>
      <w:r w:rsidR="007A7CDF">
        <w:t xml:space="preserve"> </w:t>
      </w:r>
      <w:r w:rsidR="00B1747F">
        <w:t>M</w:t>
      </w:r>
      <w:r w:rsidR="007A7CDF">
        <w:t xml:space="preserve">ost </w:t>
      </w:r>
      <w:r w:rsidR="00B1747F">
        <w:t>E</w:t>
      </w:r>
      <w:r w:rsidR="007A7CDF">
        <w:t>fficient</w:t>
      </w:r>
      <w:r w:rsidR="00897C9B">
        <w:t xml:space="preserve"> (ESME)</w:t>
      </w:r>
      <w:r w:rsidR="007A7CDF">
        <w:t>. ComEd also incentivizes high efficiency ENERGY STAR</w:t>
      </w:r>
      <w:r w:rsidR="007A7CDF" w:rsidRPr="00D84FCF">
        <w:rPr>
          <w:vertAlign w:val="superscript"/>
        </w:rPr>
        <w:t>®</w:t>
      </w:r>
      <w:r w:rsidR="007A7CDF">
        <w:t xml:space="preserve"> refrigerators but does not distinguish between different model types for program qualifying criteria. ComEd incentivizes two refrigerator tiers, </w:t>
      </w:r>
      <w:r w:rsidR="008970AF">
        <w:t xml:space="preserve">a </w:t>
      </w:r>
      <w:r w:rsidR="00897C9B">
        <w:t xml:space="preserve">basic </w:t>
      </w:r>
      <w:r w:rsidR="007A7CDF">
        <w:t>tier of ENERGY STAR</w:t>
      </w:r>
      <w:r w:rsidR="007A7CDF" w:rsidRPr="00D84FCF">
        <w:rPr>
          <w:vertAlign w:val="superscript"/>
        </w:rPr>
        <w:t>®</w:t>
      </w:r>
      <w:r w:rsidR="007A7CDF">
        <w:rPr>
          <w:vertAlign w:val="superscript"/>
        </w:rPr>
        <w:t xml:space="preserve"> </w:t>
      </w:r>
      <w:r w:rsidR="007A7CDF">
        <w:t xml:space="preserve">most efficient </w:t>
      </w:r>
      <w:r w:rsidR="008970AF">
        <w:t xml:space="preserve">(ESME) </w:t>
      </w:r>
      <w:r w:rsidR="007A7CDF">
        <w:t xml:space="preserve">models and an advanced efficiency tier of Emerging Tech Award </w:t>
      </w:r>
      <w:r w:rsidR="008970AF">
        <w:t xml:space="preserve">(ETA) </w:t>
      </w:r>
      <w:r w:rsidR="007A7CDF">
        <w:t xml:space="preserve">models. </w:t>
      </w:r>
      <w:r w:rsidR="00831F28">
        <w:t xml:space="preserve">It should be noted that </w:t>
      </w:r>
      <w:r w:rsidR="007E3257">
        <w:t xml:space="preserve">incentive levels are the same across tiers for both products, set at $8/unit. </w:t>
      </w:r>
    </w:p>
    <w:p w14:paraId="724E2122" w14:textId="73B319FD" w:rsidR="00C15017" w:rsidRDefault="006B259F" w:rsidP="00C15017">
      <w:pPr>
        <w:pStyle w:val="Heading1"/>
      </w:pPr>
      <w:r>
        <w:t>Background</w:t>
      </w:r>
    </w:p>
    <w:p w14:paraId="363755F8" w14:textId="22515305" w:rsidR="00096DC1" w:rsidRDefault="00096DC1" w:rsidP="00096DC1">
      <w:pPr>
        <w:pStyle w:val="TextMain"/>
      </w:pPr>
      <w:r>
        <w:t xml:space="preserve">In spring 2020, ComEd joined </w:t>
      </w:r>
      <w:r w:rsidR="00AC6331">
        <w:t>ESRPP</w:t>
      </w:r>
      <w:r>
        <w:t xml:space="preserve">, a national market transformation initiative designed to drive increasing energy efficiency for various appliance categories. Evaluation of the program will be performed by </w:t>
      </w:r>
      <w:proofErr w:type="spellStart"/>
      <w:r>
        <w:t>Guidehouse</w:t>
      </w:r>
      <w:proofErr w:type="spellEnd"/>
      <w:r>
        <w:t xml:space="preserve"> following IL TRM v. 9.0 Volume 4, Attachment C: Framework for Counting Market Transformation Savings in Illinois, which was created in anticipation of ComEd and other Illinois utilities introducing MT programs into their energy efficiency portfolios.</w:t>
      </w:r>
    </w:p>
    <w:p w14:paraId="3B2C4299" w14:textId="77777777" w:rsidR="00096DC1" w:rsidRDefault="00096DC1" w:rsidP="00096DC1">
      <w:pPr>
        <w:pStyle w:val="TextMain"/>
      </w:pPr>
      <w:r>
        <w:t xml:space="preserve">An examination of the program for 2020 was performed by </w:t>
      </w:r>
      <w:proofErr w:type="spellStart"/>
      <w:r>
        <w:t>Guidehouse</w:t>
      </w:r>
      <w:proofErr w:type="spellEnd"/>
      <w:r>
        <w:t xml:space="preserve">, but results were preliminary only and not reflective of future evaluation methods and procedures. 2021 represents the first full-year evaluation of </w:t>
      </w:r>
      <w:proofErr w:type="spellStart"/>
      <w:r>
        <w:t>ComEd’s</w:t>
      </w:r>
      <w:proofErr w:type="spellEnd"/>
      <w:r>
        <w:t xml:space="preserve"> involvement in RPP, and conversations with </w:t>
      </w:r>
      <w:proofErr w:type="spellStart"/>
      <w:r>
        <w:t>Guidehouse</w:t>
      </w:r>
      <w:proofErr w:type="spellEnd"/>
      <w:r>
        <w:t xml:space="preserve"> and stakeholders have been taking place for the last several months regarding the application of the TRM framework to program evaluation. </w:t>
      </w:r>
      <w:proofErr w:type="spellStart"/>
      <w:r>
        <w:t>ComEd’s</w:t>
      </w:r>
      <w:proofErr w:type="spellEnd"/>
      <w:r>
        <w:t xml:space="preserve"> RPP participation is the first instance of an Illinois utility attempting to claim savings under this framework. The outcome of this evaluation plan has long-term significance for </w:t>
      </w:r>
      <w:proofErr w:type="spellStart"/>
      <w:r>
        <w:t>ComEd’s</w:t>
      </w:r>
      <w:proofErr w:type="spellEnd"/>
      <w:r>
        <w:t xml:space="preserve"> ability to meet savings goals, as establishment of a predictable MT savings methodology is paramount to decision-making about future program involvement.</w:t>
      </w:r>
    </w:p>
    <w:p w14:paraId="1810291B" w14:textId="349933CD" w:rsidR="002147B3" w:rsidRDefault="00096DC1" w:rsidP="00096DC1">
      <w:pPr>
        <w:pStyle w:val="TextMain"/>
      </w:pPr>
      <w:r>
        <w:t xml:space="preserve">ComEd </w:t>
      </w:r>
      <w:r w:rsidR="00280075">
        <w:t>sought</w:t>
      </w:r>
      <w:r>
        <w:t xml:space="preserve"> expert support </w:t>
      </w:r>
      <w:r w:rsidR="00280075">
        <w:t>establishing a</w:t>
      </w:r>
      <w:r>
        <w:t xml:space="preserve"> natural market baseline, as well as in developing a </w:t>
      </w:r>
      <w:r w:rsidR="003F7613">
        <w:t xml:space="preserve">forecast </w:t>
      </w:r>
      <w:r>
        <w:t>for its RPP involvement (current product categories include clothes washers and refrigerators)</w:t>
      </w:r>
      <w:r w:rsidR="003C2D4E">
        <w:t>.</w:t>
      </w:r>
      <w:r w:rsidR="00A50AF4">
        <w:t xml:space="preserve"> </w:t>
      </w:r>
      <w:r w:rsidR="006E5024">
        <w:t>Th</w:t>
      </w:r>
      <w:r w:rsidR="00AF3E5D">
        <w:t xml:space="preserve">is memo proposes an initial natural market baseline forecast based on the best </w:t>
      </w:r>
      <w:r w:rsidR="00DA2AEE">
        <w:t xml:space="preserve">data available </w:t>
      </w:r>
      <w:r w:rsidR="0052648D">
        <w:t xml:space="preserve">to ComEd and Apex at the time the </w:t>
      </w:r>
      <w:r w:rsidR="00836636">
        <w:t xml:space="preserve">memo was drafted. </w:t>
      </w:r>
      <w:r w:rsidR="00146082">
        <w:t xml:space="preserve">Additional data and market insights may help to refine this </w:t>
      </w:r>
      <w:r w:rsidR="00497CE4">
        <w:t xml:space="preserve">forecast. </w:t>
      </w:r>
      <w:r w:rsidR="00F772A5">
        <w:t xml:space="preserve">Call-out tables are </w:t>
      </w:r>
      <w:r w:rsidR="00F772A5">
        <w:lastRenderedPageBreak/>
        <w:t>i</w:t>
      </w:r>
      <w:r w:rsidR="00A50AF4">
        <w:t xml:space="preserve">ncluded throughout the memo </w:t>
      </w:r>
      <w:r w:rsidR="00F772A5">
        <w:t>detail</w:t>
      </w:r>
      <w:r w:rsidR="00915979">
        <w:t>ing</w:t>
      </w:r>
      <w:r w:rsidR="00F772A5">
        <w:t xml:space="preserve"> outstanding </w:t>
      </w:r>
      <w:r w:rsidR="00A50AF4">
        <w:t>research questions and the implications to the baseline assumptions.</w:t>
      </w:r>
      <w:r w:rsidR="00DC2691">
        <w:t xml:space="preserve"> </w:t>
      </w:r>
      <w:r w:rsidR="00474723">
        <w:t>A</w:t>
      </w:r>
      <w:r w:rsidR="00DC2691">
        <w:t xml:space="preserve">dditional research areas are also consolidated and summarized </w:t>
      </w:r>
      <w:r w:rsidR="001240CC">
        <w:t xml:space="preserve">at </w:t>
      </w:r>
      <w:r w:rsidR="00DC2691">
        <w:t xml:space="preserve">the </w:t>
      </w:r>
      <w:r w:rsidR="001240CC">
        <w:t xml:space="preserve">end of the </w:t>
      </w:r>
      <w:r w:rsidR="00DC2691">
        <w:t>memo</w:t>
      </w:r>
      <w:r w:rsidR="001240CC">
        <w:t>.</w:t>
      </w:r>
    </w:p>
    <w:p w14:paraId="5062FEB3" w14:textId="0F2AE66D" w:rsidR="00AA75E0" w:rsidRDefault="00763326" w:rsidP="006B259F">
      <w:pPr>
        <w:pStyle w:val="Heading1"/>
      </w:pPr>
      <w:bookmarkStart w:id="0" w:name="_Baseline_Estimates"/>
      <w:bookmarkEnd w:id="0"/>
      <w:r>
        <w:t>Baseline Estimates</w:t>
      </w:r>
    </w:p>
    <w:p w14:paraId="7BD6A78E" w14:textId="437D1340" w:rsidR="00763326" w:rsidRPr="00763326" w:rsidRDefault="00763326" w:rsidP="000B1844">
      <w:pPr>
        <w:pStyle w:val="Heading2"/>
      </w:pPr>
      <w:r>
        <w:t>General Approach</w:t>
      </w:r>
    </w:p>
    <w:p w14:paraId="351D3308" w14:textId="772C3634" w:rsidR="00AA75E0" w:rsidRDefault="00514A5C" w:rsidP="00AA75E0">
      <w:pPr>
        <w:pStyle w:val="TextMain"/>
      </w:pPr>
      <w:r w:rsidRPr="00514A5C">
        <w:t>Apex estimated natural mar</w:t>
      </w:r>
      <w:r w:rsidRPr="000B1844">
        <w:t xml:space="preserve">ket </w:t>
      </w:r>
      <w:r>
        <w:t>baseline ma</w:t>
      </w:r>
      <w:r w:rsidR="00AA3E4A">
        <w:t xml:space="preserve">rket shares for RPP products that reflect anticipated uptake of </w:t>
      </w:r>
      <w:r w:rsidR="005907F6">
        <w:t>products meeting RPP qualification criteria in the absence of</w:t>
      </w:r>
      <w:r w:rsidR="002D78A8">
        <w:t xml:space="preserve"> either RPP or </w:t>
      </w:r>
      <w:proofErr w:type="spellStart"/>
      <w:r w:rsidR="002D78A8">
        <w:t>ComEd’s</w:t>
      </w:r>
      <w:proofErr w:type="spellEnd"/>
      <w:r w:rsidR="002D78A8">
        <w:t xml:space="preserve"> downstream </w:t>
      </w:r>
      <w:r w:rsidR="008C6E44">
        <w:t>Retail Appliance</w:t>
      </w:r>
      <w:r w:rsidR="002D78A8">
        <w:t xml:space="preserve"> Program. </w:t>
      </w:r>
      <w:r w:rsidR="00084AB5">
        <w:t>The forecasting</w:t>
      </w:r>
      <w:r w:rsidR="00AA2DF7">
        <w:t xml:space="preserve"> approach </w:t>
      </w:r>
      <w:r w:rsidR="00084AB5">
        <w:t>described below is</w:t>
      </w:r>
      <w:r w:rsidR="00AA2DF7">
        <w:t xml:space="preserve"> agnostic of baseline market conditions: </w:t>
      </w:r>
      <w:r w:rsidR="0018650B">
        <w:t xml:space="preserve">it can accommodate </w:t>
      </w:r>
      <w:r w:rsidR="007D4F03">
        <w:t xml:space="preserve">either an increasing </w:t>
      </w:r>
      <w:r w:rsidR="00AB1519">
        <w:t xml:space="preserve">or a decreasing baseline market share of efficient </w:t>
      </w:r>
      <w:r w:rsidR="00A56E72">
        <w:t xml:space="preserve">products and does not assume </w:t>
      </w:r>
      <w:r w:rsidR="005A147A">
        <w:t xml:space="preserve">that </w:t>
      </w:r>
      <w:r w:rsidR="00F663F0">
        <w:t xml:space="preserve">efficient </w:t>
      </w:r>
      <w:r w:rsidR="005A147A">
        <w:t xml:space="preserve">market shares </w:t>
      </w:r>
      <w:r w:rsidR="00F663F0">
        <w:t xml:space="preserve">will naturally increase. </w:t>
      </w:r>
      <w:r w:rsidR="006514F5">
        <w:t xml:space="preserve"> </w:t>
      </w:r>
    </w:p>
    <w:tbl>
      <w:tblPr>
        <w:tblStyle w:val="TableGrid"/>
        <w:tblW w:w="0" w:type="auto"/>
        <w:tblLook w:val="04A0" w:firstRow="1" w:lastRow="0" w:firstColumn="1" w:lastColumn="0" w:noHBand="0" w:noVBand="1"/>
      </w:tblPr>
      <w:tblGrid>
        <w:gridCol w:w="4675"/>
        <w:gridCol w:w="4675"/>
      </w:tblGrid>
      <w:tr w:rsidR="00EA5DC7" w14:paraId="140081AC" w14:textId="77777777" w:rsidTr="006E7DF9">
        <w:tc>
          <w:tcPr>
            <w:tcW w:w="4675" w:type="dxa"/>
            <w:shd w:val="clear" w:color="auto" w:fill="009FC2" w:themeFill="accent3"/>
          </w:tcPr>
          <w:p w14:paraId="38B9B9E1" w14:textId="1146EFA4" w:rsidR="00EA5DC7" w:rsidRPr="006E7DF9" w:rsidRDefault="00EA5DC7" w:rsidP="00AA75E0">
            <w:pPr>
              <w:pStyle w:val="TextMain"/>
              <w:rPr>
                <w:b/>
                <w:bCs/>
                <w:color w:val="FFFFFF" w:themeColor="background1"/>
              </w:rPr>
            </w:pPr>
            <w:r w:rsidRPr="006E7DF9">
              <w:rPr>
                <w:b/>
                <w:bCs/>
                <w:color w:val="FFFFFF" w:themeColor="background1"/>
              </w:rPr>
              <w:t>Future Research</w:t>
            </w:r>
            <w:r w:rsidR="00DF6A5B">
              <w:rPr>
                <w:b/>
                <w:bCs/>
                <w:color w:val="FFFFFF" w:themeColor="background1"/>
              </w:rPr>
              <w:t xml:space="preserve"> Question</w:t>
            </w:r>
          </w:p>
        </w:tc>
        <w:tc>
          <w:tcPr>
            <w:tcW w:w="4675" w:type="dxa"/>
            <w:shd w:val="clear" w:color="auto" w:fill="009FC2" w:themeFill="accent3"/>
          </w:tcPr>
          <w:p w14:paraId="481CCD65" w14:textId="4036D475" w:rsidR="00EA5DC7" w:rsidRPr="006E7DF9" w:rsidRDefault="00EA5DC7" w:rsidP="00AA75E0">
            <w:pPr>
              <w:pStyle w:val="TextMain"/>
              <w:rPr>
                <w:b/>
                <w:bCs/>
                <w:color w:val="FFFFFF" w:themeColor="background1"/>
              </w:rPr>
            </w:pPr>
            <w:r w:rsidRPr="006E7DF9">
              <w:rPr>
                <w:b/>
                <w:bCs/>
                <w:color w:val="FFFFFF" w:themeColor="background1"/>
              </w:rPr>
              <w:t>Baseline Implications</w:t>
            </w:r>
          </w:p>
        </w:tc>
      </w:tr>
      <w:tr w:rsidR="00EA5DC7" w14:paraId="6B64882D" w14:textId="77777777" w:rsidTr="00EA5DC7">
        <w:tc>
          <w:tcPr>
            <w:tcW w:w="4675" w:type="dxa"/>
          </w:tcPr>
          <w:p w14:paraId="727B5F20" w14:textId="76286F02" w:rsidR="00EA5DC7" w:rsidRDefault="007161B9" w:rsidP="00AA75E0">
            <w:pPr>
              <w:pStyle w:val="TextMain"/>
            </w:pPr>
            <w:r>
              <w:t>Should a baseline forecast</w:t>
            </w:r>
            <w:r w:rsidR="00EA5DC7" w:rsidRPr="00EA5DC7">
              <w:t xml:space="preserve"> assume that the natural state of appliance markets is for the market share of products meeting ENERGY STAR and/or above ENERGY STAR efficiency tiers to increase</w:t>
            </w:r>
            <w:r w:rsidR="00375F79">
              <w:t>?</w:t>
            </w:r>
          </w:p>
        </w:tc>
        <w:tc>
          <w:tcPr>
            <w:tcW w:w="4675" w:type="dxa"/>
          </w:tcPr>
          <w:p w14:paraId="01FD3EF2" w14:textId="50155484" w:rsidR="00EA5DC7" w:rsidRDefault="00217247" w:rsidP="00AA75E0">
            <w:pPr>
              <w:pStyle w:val="TextMain"/>
            </w:pPr>
            <w:r>
              <w:t xml:space="preserve">If there is natural market pressure for efficient market shares to increase in a baseline condition, </w:t>
            </w:r>
            <w:r w:rsidR="00F675D6">
              <w:t xml:space="preserve">it may be necessary to reconsider aspects of this baseline approach, including the decision to </w:t>
            </w:r>
            <w:r w:rsidR="001A41F4">
              <w:t xml:space="preserve">flatten the baseline forecast in Phase 2. </w:t>
            </w:r>
            <w:r w:rsidR="00AD101E">
              <w:t xml:space="preserve"> </w:t>
            </w:r>
          </w:p>
        </w:tc>
      </w:tr>
    </w:tbl>
    <w:p w14:paraId="1B7D3AA0" w14:textId="160892FD" w:rsidR="0004566E" w:rsidRDefault="0004566E" w:rsidP="00AA75E0">
      <w:pPr>
        <w:pStyle w:val="TextMain"/>
      </w:pPr>
    </w:p>
    <w:p w14:paraId="2F1892E9" w14:textId="474F2933" w:rsidR="00D3206E" w:rsidRDefault="001F0E91" w:rsidP="006E7DF9">
      <w:pPr>
        <w:pStyle w:val="TextMain"/>
      </w:pPr>
      <w:bookmarkStart w:id="1" w:name="_Ref112069932"/>
      <w:r>
        <w:t>These baselines consist of estimates of market trends across a series of distinct phases, each of which are based on different assumptions about the market.</w:t>
      </w:r>
      <w:r w:rsidR="008409CD">
        <w:rPr>
          <w:rStyle w:val="FootnoteReference"/>
        </w:rPr>
        <w:footnoteReference w:id="2"/>
      </w:r>
      <w:r>
        <w:t xml:space="preserve"> </w:t>
      </w:r>
      <w:r>
        <w:fldChar w:fldCharType="begin"/>
      </w:r>
      <w:r>
        <w:instrText xml:space="preserve"> REF _Ref112069932 \h </w:instrText>
      </w:r>
      <w:r>
        <w:fldChar w:fldCharType="separate"/>
      </w:r>
      <w:r>
        <w:t xml:space="preserve">Table </w:t>
      </w:r>
      <w:r>
        <w:rPr>
          <w:noProof/>
        </w:rPr>
        <w:t>1</w:t>
      </w:r>
      <w:r>
        <w:fldChar w:fldCharType="end"/>
      </w:r>
      <w:r>
        <w:t xml:space="preserve"> summarizes these phases and the assumptions that go into our market share predictions for each phase. We briefly describe each phase following the table. </w:t>
      </w:r>
    </w:p>
    <w:p w14:paraId="57FAC0AE" w14:textId="2612822C" w:rsidR="00620B2D" w:rsidRDefault="00620B2D" w:rsidP="000B1844">
      <w:pPr>
        <w:pStyle w:val="Caption"/>
      </w:pPr>
      <w:r>
        <w:t xml:space="preserve">Table </w:t>
      </w:r>
      <w:r w:rsidR="00767138">
        <w:fldChar w:fldCharType="begin"/>
      </w:r>
      <w:r w:rsidR="00767138">
        <w:instrText xml:space="preserve"> SEQ Table \* ARABIC </w:instrText>
      </w:r>
      <w:r w:rsidR="00767138">
        <w:fldChar w:fldCharType="separate"/>
      </w:r>
      <w:r w:rsidR="00790AD0">
        <w:rPr>
          <w:noProof/>
        </w:rPr>
        <w:t>1</w:t>
      </w:r>
      <w:r w:rsidR="00767138">
        <w:rPr>
          <w:noProof/>
        </w:rPr>
        <w:fldChar w:fldCharType="end"/>
      </w:r>
      <w:bookmarkEnd w:id="1"/>
      <w:r>
        <w:t>: Baseline Estimation Phases</w:t>
      </w:r>
    </w:p>
    <w:tbl>
      <w:tblPr>
        <w:tblStyle w:val="ApexTable"/>
        <w:tblW w:w="0" w:type="auto"/>
        <w:tblLook w:val="04A0" w:firstRow="1" w:lastRow="0" w:firstColumn="1" w:lastColumn="0" w:noHBand="0" w:noVBand="1"/>
      </w:tblPr>
      <w:tblGrid>
        <w:gridCol w:w="808"/>
        <w:gridCol w:w="3599"/>
        <w:gridCol w:w="2558"/>
        <w:gridCol w:w="2389"/>
      </w:tblGrid>
      <w:tr w:rsidR="00F75106" w14:paraId="29671759" w14:textId="77777777" w:rsidTr="009556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dxa"/>
          </w:tcPr>
          <w:p w14:paraId="7D1FD7C5" w14:textId="09D487C3" w:rsidR="00F75106" w:rsidRDefault="00F75106" w:rsidP="00AA75E0">
            <w:pPr>
              <w:pStyle w:val="TextMain"/>
            </w:pPr>
            <w:r>
              <w:t>Phase</w:t>
            </w:r>
          </w:p>
        </w:tc>
        <w:tc>
          <w:tcPr>
            <w:tcW w:w="3599" w:type="dxa"/>
          </w:tcPr>
          <w:p w14:paraId="49A58B57" w14:textId="1C382ED7" w:rsidR="00F75106" w:rsidRDefault="00F75106" w:rsidP="00AA75E0">
            <w:pPr>
              <w:pStyle w:val="TextMain"/>
              <w:cnfStyle w:val="100000000000" w:firstRow="1" w:lastRow="0" w:firstColumn="0" w:lastColumn="0" w:oddVBand="0" w:evenVBand="0" w:oddHBand="0" w:evenHBand="0" w:firstRowFirstColumn="0" w:firstRowLastColumn="0" w:lastRowFirstColumn="0" w:lastRowLastColumn="0"/>
            </w:pPr>
            <w:r>
              <w:t>Timing</w:t>
            </w:r>
          </w:p>
        </w:tc>
        <w:tc>
          <w:tcPr>
            <w:tcW w:w="2558" w:type="dxa"/>
          </w:tcPr>
          <w:p w14:paraId="6EDF5C4C" w14:textId="7C9A6AF6" w:rsidR="00F75106" w:rsidRDefault="00F75106" w:rsidP="00AA75E0">
            <w:pPr>
              <w:pStyle w:val="TextMain"/>
              <w:cnfStyle w:val="100000000000" w:firstRow="1" w:lastRow="0" w:firstColumn="0" w:lastColumn="0" w:oddVBand="0" w:evenVBand="0" w:oddHBand="0" w:evenHBand="0" w:firstRowFirstColumn="0" w:firstRowLastColumn="0" w:lastRowFirstColumn="0" w:lastRowLastColumn="0"/>
            </w:pPr>
            <w:r>
              <w:t>Key Assumptions</w:t>
            </w:r>
          </w:p>
        </w:tc>
        <w:tc>
          <w:tcPr>
            <w:tcW w:w="2389" w:type="dxa"/>
          </w:tcPr>
          <w:p w14:paraId="09E4CBB2" w14:textId="32240306" w:rsidR="00F75106" w:rsidRDefault="00F75106" w:rsidP="00AA75E0">
            <w:pPr>
              <w:pStyle w:val="TextMain"/>
              <w:cnfStyle w:val="100000000000" w:firstRow="1" w:lastRow="0" w:firstColumn="0" w:lastColumn="0" w:oddVBand="0" w:evenVBand="0" w:oddHBand="0" w:evenHBand="0" w:firstRowFirstColumn="0" w:firstRowLastColumn="0" w:lastRowFirstColumn="0" w:lastRowLastColumn="0"/>
            </w:pPr>
            <w:r>
              <w:t>Impact on Market</w:t>
            </w:r>
          </w:p>
        </w:tc>
      </w:tr>
      <w:tr w:rsidR="00F75106" w14:paraId="3FE574F4" w14:textId="77777777" w:rsidTr="009556DC">
        <w:tc>
          <w:tcPr>
            <w:cnfStyle w:val="001000000000" w:firstRow="0" w:lastRow="0" w:firstColumn="1" w:lastColumn="0" w:oddVBand="0" w:evenVBand="0" w:oddHBand="0" w:evenHBand="0" w:firstRowFirstColumn="0" w:firstRowLastColumn="0" w:lastRowFirstColumn="0" w:lastRowLastColumn="0"/>
            <w:tcW w:w="808" w:type="dxa"/>
          </w:tcPr>
          <w:p w14:paraId="72F78732" w14:textId="6FDF7EA3" w:rsidR="00F75106" w:rsidRDefault="00F75106" w:rsidP="00AA75E0">
            <w:pPr>
              <w:pStyle w:val="TextMain"/>
            </w:pPr>
            <w:r>
              <w:t>1</w:t>
            </w:r>
          </w:p>
        </w:tc>
        <w:tc>
          <w:tcPr>
            <w:tcW w:w="3599" w:type="dxa"/>
          </w:tcPr>
          <w:p w14:paraId="1D0A8F83" w14:textId="249C02A9" w:rsidR="00F75106" w:rsidRDefault="00131A5B" w:rsidP="00AA75E0">
            <w:pPr>
              <w:pStyle w:val="TextMain"/>
              <w:cnfStyle w:val="000000000000" w:firstRow="0" w:lastRow="0" w:firstColumn="0" w:lastColumn="0" w:oddVBand="0" w:evenVBand="0" w:oddHBand="0" w:evenHBand="0" w:firstRowFirstColumn="0" w:firstRowLastColumn="0" w:lastRowFirstColumn="0" w:lastRowLastColumn="0"/>
            </w:pPr>
            <w:r>
              <w:t xml:space="preserve">Forecast period begins </w:t>
            </w:r>
            <w:r w:rsidR="00B16940">
              <w:t xml:space="preserve">when ComEd incentives first offered; </w:t>
            </w:r>
            <w:r w:rsidR="000355D8">
              <w:t>Phase 1 is up</w:t>
            </w:r>
            <w:r w:rsidR="007567EA">
              <w:t xml:space="preserve"> to first 3 years of forecast period</w:t>
            </w:r>
            <w:r w:rsidR="00BA681C">
              <w:t xml:space="preserve"> </w:t>
            </w:r>
          </w:p>
        </w:tc>
        <w:tc>
          <w:tcPr>
            <w:tcW w:w="2558" w:type="dxa"/>
          </w:tcPr>
          <w:p w14:paraId="3930624B" w14:textId="323F8DB7" w:rsidR="00F75106" w:rsidRDefault="007567EA" w:rsidP="00AA75E0">
            <w:pPr>
              <w:pStyle w:val="TextMain"/>
              <w:cnfStyle w:val="000000000000" w:firstRow="0" w:lastRow="0" w:firstColumn="0" w:lastColumn="0" w:oddVBand="0" w:evenVBand="0" w:oddHBand="0" w:evenHBand="0" w:firstRowFirstColumn="0" w:firstRowLastColumn="0" w:lastRowFirstColumn="0" w:lastRowLastColumn="0"/>
            </w:pPr>
            <w:r>
              <w:t xml:space="preserve">Market share will continue trajectory </w:t>
            </w:r>
            <w:r w:rsidR="00F81BDA">
              <w:t xml:space="preserve">observed during baseline period. </w:t>
            </w:r>
            <w:r>
              <w:t xml:space="preserve"> </w:t>
            </w:r>
          </w:p>
        </w:tc>
        <w:tc>
          <w:tcPr>
            <w:tcW w:w="2389" w:type="dxa"/>
          </w:tcPr>
          <w:p w14:paraId="10379896" w14:textId="63630734" w:rsidR="00F75106" w:rsidRDefault="00F81BDA" w:rsidP="00AA75E0">
            <w:pPr>
              <w:pStyle w:val="TextMain"/>
              <w:cnfStyle w:val="000000000000" w:firstRow="0" w:lastRow="0" w:firstColumn="0" w:lastColumn="0" w:oddVBand="0" w:evenVBand="0" w:oddHBand="0" w:evenHBand="0" w:firstRowFirstColumn="0" w:firstRowLastColumn="0" w:lastRowFirstColumn="0" w:lastRowLastColumn="0"/>
            </w:pPr>
            <w:r>
              <w:t xml:space="preserve">Continued linear trend of market share change. </w:t>
            </w:r>
          </w:p>
        </w:tc>
      </w:tr>
      <w:tr w:rsidR="00F75106" w14:paraId="5211C0E3" w14:textId="77777777" w:rsidTr="009556DC">
        <w:tc>
          <w:tcPr>
            <w:cnfStyle w:val="001000000000" w:firstRow="0" w:lastRow="0" w:firstColumn="1" w:lastColumn="0" w:oddVBand="0" w:evenVBand="0" w:oddHBand="0" w:evenHBand="0" w:firstRowFirstColumn="0" w:firstRowLastColumn="0" w:lastRowFirstColumn="0" w:lastRowLastColumn="0"/>
            <w:tcW w:w="808" w:type="dxa"/>
          </w:tcPr>
          <w:p w14:paraId="60C492E6" w14:textId="500A6B5D" w:rsidR="00F75106" w:rsidRDefault="00F81BDA" w:rsidP="00AA75E0">
            <w:pPr>
              <w:pStyle w:val="TextMain"/>
            </w:pPr>
            <w:r>
              <w:t>2</w:t>
            </w:r>
          </w:p>
        </w:tc>
        <w:tc>
          <w:tcPr>
            <w:tcW w:w="3599" w:type="dxa"/>
          </w:tcPr>
          <w:p w14:paraId="70446EB9" w14:textId="12110F50" w:rsidR="00F75106" w:rsidRDefault="00C559C8" w:rsidP="00AA75E0">
            <w:pPr>
              <w:pStyle w:val="TextMain"/>
              <w:cnfStyle w:val="000000000000" w:firstRow="0" w:lastRow="0" w:firstColumn="0" w:lastColumn="0" w:oddVBand="0" w:evenVBand="0" w:oddHBand="0" w:evenHBand="0" w:firstRowFirstColumn="0" w:firstRowLastColumn="0" w:lastRowFirstColumn="0" w:lastRowLastColumn="0"/>
            </w:pPr>
            <w:r>
              <w:t>3 years after beginning of forecast period to first anticipated standard/</w:t>
            </w:r>
            <w:r w:rsidR="00784371">
              <w:t xml:space="preserve"> </w:t>
            </w:r>
            <w:r>
              <w:t>specification change</w:t>
            </w:r>
          </w:p>
        </w:tc>
        <w:tc>
          <w:tcPr>
            <w:tcW w:w="2558" w:type="dxa"/>
          </w:tcPr>
          <w:p w14:paraId="0C58A200" w14:textId="45925AA1" w:rsidR="00F75106" w:rsidRDefault="00C559C8" w:rsidP="00AA75E0">
            <w:pPr>
              <w:pStyle w:val="TextMain"/>
              <w:cnfStyle w:val="000000000000" w:firstRow="0" w:lastRow="0" w:firstColumn="0" w:lastColumn="0" w:oddVBand="0" w:evenVBand="0" w:oddHBand="0" w:evenHBand="0" w:firstRowFirstColumn="0" w:firstRowLastColumn="0" w:lastRowFirstColumn="0" w:lastRowLastColumn="0"/>
            </w:pPr>
            <w:r>
              <w:t xml:space="preserve">Market share will </w:t>
            </w:r>
            <w:r w:rsidR="00C96D62">
              <w:t>stabilize.</w:t>
            </w:r>
          </w:p>
        </w:tc>
        <w:tc>
          <w:tcPr>
            <w:tcW w:w="2389" w:type="dxa"/>
          </w:tcPr>
          <w:p w14:paraId="3F4B97F7" w14:textId="21C6D329" w:rsidR="00F75106" w:rsidRDefault="00C96D62" w:rsidP="00AA75E0">
            <w:pPr>
              <w:pStyle w:val="TextMain"/>
              <w:cnfStyle w:val="000000000000" w:firstRow="0" w:lastRow="0" w:firstColumn="0" w:lastColumn="0" w:oddVBand="0" w:evenVBand="0" w:oddHBand="0" w:evenHBand="0" w:firstRowFirstColumn="0" w:firstRowLastColumn="0" w:lastRowFirstColumn="0" w:lastRowLastColumn="0"/>
            </w:pPr>
            <w:r>
              <w:t xml:space="preserve">No additional change in market share. </w:t>
            </w:r>
          </w:p>
        </w:tc>
      </w:tr>
      <w:tr w:rsidR="00F75106" w14:paraId="44E20EC9" w14:textId="77777777" w:rsidTr="009556DC">
        <w:tc>
          <w:tcPr>
            <w:cnfStyle w:val="001000000000" w:firstRow="0" w:lastRow="0" w:firstColumn="1" w:lastColumn="0" w:oddVBand="0" w:evenVBand="0" w:oddHBand="0" w:evenHBand="0" w:firstRowFirstColumn="0" w:firstRowLastColumn="0" w:lastRowFirstColumn="0" w:lastRowLastColumn="0"/>
            <w:tcW w:w="808" w:type="dxa"/>
          </w:tcPr>
          <w:p w14:paraId="0E219C5C" w14:textId="0927DCBF" w:rsidR="00F75106" w:rsidRDefault="00C96D62" w:rsidP="00AA75E0">
            <w:pPr>
              <w:pStyle w:val="TextMain"/>
            </w:pPr>
            <w:r>
              <w:t>3</w:t>
            </w:r>
          </w:p>
        </w:tc>
        <w:tc>
          <w:tcPr>
            <w:tcW w:w="3599" w:type="dxa"/>
          </w:tcPr>
          <w:p w14:paraId="3A782B5F" w14:textId="34C16A8E" w:rsidR="00F75106" w:rsidRDefault="000A61FD" w:rsidP="00AA75E0">
            <w:pPr>
              <w:pStyle w:val="TextMain"/>
              <w:cnfStyle w:val="000000000000" w:firstRow="0" w:lastRow="0" w:firstColumn="0" w:lastColumn="0" w:oddVBand="0" w:evenVBand="0" w:oddHBand="0" w:evenHBand="0" w:firstRowFirstColumn="0" w:firstRowLastColumn="0" w:lastRowFirstColumn="0" w:lastRowLastColumn="0"/>
            </w:pPr>
            <w:r>
              <w:t xml:space="preserve">Date of final revised standard/specification to anticipated effective </w:t>
            </w:r>
            <w:r w:rsidR="00123106">
              <w:t>date</w:t>
            </w:r>
            <w:r w:rsidR="009E5C9E">
              <w:t xml:space="preserve">. </w:t>
            </w:r>
          </w:p>
        </w:tc>
        <w:tc>
          <w:tcPr>
            <w:tcW w:w="2558" w:type="dxa"/>
          </w:tcPr>
          <w:p w14:paraId="27A3ED99" w14:textId="77777777" w:rsidR="00F75106" w:rsidRDefault="00123106" w:rsidP="00AA75E0">
            <w:pPr>
              <w:pStyle w:val="TextMain"/>
              <w:cnfStyle w:val="000000000000" w:firstRow="0" w:lastRow="0" w:firstColumn="0" w:lastColumn="0" w:oddVBand="0" w:evenVBand="0" w:oddHBand="0" w:evenHBand="0" w:firstRowFirstColumn="0" w:firstRowLastColumn="0" w:lastRowFirstColumn="0" w:lastRowLastColumn="0"/>
            </w:pPr>
            <w:r>
              <w:t>Timing of standard/specification</w:t>
            </w:r>
          </w:p>
          <w:p w14:paraId="2F24ACF6" w14:textId="005E96A4" w:rsidR="00123106" w:rsidRDefault="00711621" w:rsidP="00AA75E0">
            <w:pPr>
              <w:pStyle w:val="TextMain"/>
              <w:cnfStyle w:val="000000000000" w:firstRow="0" w:lastRow="0" w:firstColumn="0" w:lastColumn="0" w:oddVBand="0" w:evenVBand="0" w:oddHBand="0" w:evenHBand="0" w:firstRowFirstColumn="0" w:firstRowLastColumn="0" w:lastRowFirstColumn="0" w:lastRowLastColumn="0"/>
            </w:pPr>
            <w:r>
              <w:t>Stringency of standard/specification</w:t>
            </w:r>
          </w:p>
        </w:tc>
        <w:tc>
          <w:tcPr>
            <w:tcW w:w="2389" w:type="dxa"/>
          </w:tcPr>
          <w:p w14:paraId="2D0C1DDA" w14:textId="090D5F06" w:rsidR="00F75106" w:rsidRDefault="009B4F24" w:rsidP="00AA75E0">
            <w:pPr>
              <w:pStyle w:val="TextMain"/>
              <w:cnfStyle w:val="000000000000" w:firstRow="0" w:lastRow="0" w:firstColumn="0" w:lastColumn="0" w:oddVBand="0" w:evenVBand="0" w:oddHBand="0" w:evenHBand="0" w:firstRowFirstColumn="0" w:firstRowLastColumn="0" w:lastRowFirstColumn="0" w:lastRowLastColumn="0"/>
            </w:pPr>
            <w:r>
              <w:t>Market share will grow as market adapts to new specification</w:t>
            </w:r>
          </w:p>
        </w:tc>
      </w:tr>
      <w:tr w:rsidR="00F75106" w14:paraId="4C0E2C67" w14:textId="77777777" w:rsidTr="009556DC">
        <w:tc>
          <w:tcPr>
            <w:cnfStyle w:val="001000000000" w:firstRow="0" w:lastRow="0" w:firstColumn="1" w:lastColumn="0" w:oddVBand="0" w:evenVBand="0" w:oddHBand="0" w:evenHBand="0" w:firstRowFirstColumn="0" w:firstRowLastColumn="0" w:lastRowFirstColumn="0" w:lastRowLastColumn="0"/>
            <w:tcW w:w="808" w:type="dxa"/>
          </w:tcPr>
          <w:p w14:paraId="2F5DFFA6" w14:textId="0FEEBA8B" w:rsidR="00F75106" w:rsidRDefault="009B4F24" w:rsidP="00AA75E0">
            <w:pPr>
              <w:pStyle w:val="TextMain"/>
            </w:pPr>
            <w:r>
              <w:lastRenderedPageBreak/>
              <w:t>4</w:t>
            </w:r>
          </w:p>
        </w:tc>
        <w:tc>
          <w:tcPr>
            <w:tcW w:w="3599" w:type="dxa"/>
          </w:tcPr>
          <w:p w14:paraId="442559D9" w14:textId="368B92BA" w:rsidR="00F75106" w:rsidRDefault="00F65085" w:rsidP="00AA75E0">
            <w:pPr>
              <w:pStyle w:val="TextMain"/>
              <w:cnfStyle w:val="000000000000" w:firstRow="0" w:lastRow="0" w:firstColumn="0" w:lastColumn="0" w:oddVBand="0" w:evenVBand="0" w:oddHBand="0" w:evenHBand="0" w:firstRowFirstColumn="0" w:firstRowLastColumn="0" w:lastRowFirstColumn="0" w:lastRowLastColumn="0"/>
            </w:pPr>
            <w:r>
              <w:t xml:space="preserve">Date of final revised standard/specification </w:t>
            </w:r>
            <w:r w:rsidR="009B56E0">
              <w:t xml:space="preserve">to </w:t>
            </w:r>
            <w:r w:rsidR="002D20D8">
              <w:t xml:space="preserve">next standard/specification revision or </w:t>
            </w:r>
            <w:r w:rsidR="009B56E0">
              <w:t>end of forecast period</w:t>
            </w:r>
          </w:p>
        </w:tc>
        <w:tc>
          <w:tcPr>
            <w:tcW w:w="2558" w:type="dxa"/>
          </w:tcPr>
          <w:p w14:paraId="67F4ABCD" w14:textId="4798A41D" w:rsidR="00F75106" w:rsidRDefault="000C4C02" w:rsidP="00AA75E0">
            <w:pPr>
              <w:pStyle w:val="TextMain"/>
              <w:cnfStyle w:val="000000000000" w:firstRow="0" w:lastRow="0" w:firstColumn="0" w:lastColumn="0" w:oddVBand="0" w:evenVBand="0" w:oddHBand="0" w:evenHBand="0" w:firstRowFirstColumn="0" w:firstRowLastColumn="0" w:lastRowFirstColumn="0" w:lastRowLastColumn="0"/>
            </w:pPr>
            <w:r>
              <w:t>Change in market share of current specification following adoption of new specification</w:t>
            </w:r>
          </w:p>
        </w:tc>
        <w:tc>
          <w:tcPr>
            <w:tcW w:w="2389" w:type="dxa"/>
          </w:tcPr>
          <w:p w14:paraId="306FCCBD" w14:textId="340E1457" w:rsidR="00F75106" w:rsidRDefault="000C4C02" w:rsidP="00AA75E0">
            <w:pPr>
              <w:pStyle w:val="TextMain"/>
              <w:cnfStyle w:val="000000000000" w:firstRow="0" w:lastRow="0" w:firstColumn="0" w:lastColumn="0" w:oddVBand="0" w:evenVBand="0" w:oddHBand="0" w:evenHBand="0" w:firstRowFirstColumn="0" w:firstRowLastColumn="0" w:lastRowFirstColumn="0" w:lastRowLastColumn="0"/>
            </w:pPr>
            <w:r>
              <w:t>Market share of current (program) specification will grow as uptake of new, higher specification grows</w:t>
            </w:r>
          </w:p>
        </w:tc>
      </w:tr>
    </w:tbl>
    <w:p w14:paraId="0186F5D5" w14:textId="3A320345" w:rsidR="007B0A41" w:rsidRDefault="007B0A41" w:rsidP="00AA75E0">
      <w:pPr>
        <w:pStyle w:val="TextMain"/>
      </w:pPr>
    </w:p>
    <w:p w14:paraId="2CE42AF5" w14:textId="02A3093C" w:rsidR="00853085" w:rsidRDefault="00853085" w:rsidP="000B1844">
      <w:pPr>
        <w:pStyle w:val="Heading3"/>
        <w:numPr>
          <w:ilvl w:val="0"/>
          <w:numId w:val="0"/>
        </w:numPr>
        <w:ind w:left="1080" w:hanging="1080"/>
      </w:pPr>
      <w:r>
        <w:t>Phase 1</w:t>
      </w:r>
    </w:p>
    <w:p w14:paraId="48083AFC" w14:textId="752B51C6" w:rsidR="006C0985" w:rsidRDefault="00D53BED" w:rsidP="00AA75E0">
      <w:pPr>
        <w:pStyle w:val="TextMain"/>
      </w:pPr>
      <w:r>
        <w:t xml:space="preserve">As </w:t>
      </w:r>
      <w:r>
        <w:fldChar w:fldCharType="begin"/>
      </w:r>
      <w:r>
        <w:instrText xml:space="preserve"> REF _Ref112069932 \h </w:instrText>
      </w:r>
      <w:r>
        <w:fldChar w:fldCharType="separate"/>
      </w:r>
      <w:r w:rsidR="00790AD0">
        <w:t xml:space="preserve">Table </w:t>
      </w:r>
      <w:r w:rsidR="00790AD0">
        <w:rPr>
          <w:noProof/>
        </w:rPr>
        <w:t>1</w:t>
      </w:r>
      <w:r>
        <w:fldChar w:fldCharType="end"/>
      </w:r>
      <w:r>
        <w:t xml:space="preserve"> shows, our baseline </w:t>
      </w:r>
      <w:r w:rsidR="00130F82">
        <w:t xml:space="preserve">approach begins </w:t>
      </w:r>
      <w:r w:rsidR="000628BB">
        <w:t xml:space="preserve">(Phase 1) </w:t>
      </w:r>
      <w:r w:rsidR="00130F82">
        <w:t xml:space="preserve">with the assumption that historical market trends are a </w:t>
      </w:r>
      <w:r w:rsidR="009B4134">
        <w:t xml:space="preserve">reasonable predictor of uptake of efficient products in the near future. </w:t>
      </w:r>
      <w:r w:rsidR="000628BB">
        <w:t>If efficient market shares show a trend of growth or decline in the pre-program period, it is reasonable to assume that trend will continue during the forecast period.</w:t>
      </w:r>
      <w:r w:rsidR="00013C1F">
        <w:t xml:space="preserve"> We use </w:t>
      </w:r>
      <w:r w:rsidR="0023735E">
        <w:t xml:space="preserve">a linear </w:t>
      </w:r>
      <w:r w:rsidR="00E1725C">
        <w:t>model to forecast market share trends from pre-program data into the future.</w:t>
      </w:r>
      <w:r w:rsidR="00BD2DC9">
        <w:rPr>
          <w:rStyle w:val="FootnoteReference"/>
        </w:rPr>
        <w:footnoteReference w:id="3"/>
      </w:r>
      <w:r w:rsidR="00E1725C">
        <w:t xml:space="preserve"> </w:t>
      </w:r>
      <w:r w:rsidR="000628BB">
        <w:t xml:space="preserve"> </w:t>
      </w:r>
    </w:p>
    <w:tbl>
      <w:tblPr>
        <w:tblStyle w:val="TableGrid"/>
        <w:tblW w:w="0" w:type="auto"/>
        <w:tblLook w:val="04A0" w:firstRow="1" w:lastRow="0" w:firstColumn="1" w:lastColumn="0" w:noHBand="0" w:noVBand="1"/>
      </w:tblPr>
      <w:tblGrid>
        <w:gridCol w:w="4675"/>
        <w:gridCol w:w="4675"/>
      </w:tblGrid>
      <w:tr w:rsidR="00995CCD" w14:paraId="366ED35E" w14:textId="77777777" w:rsidTr="006E7DF9">
        <w:tc>
          <w:tcPr>
            <w:tcW w:w="4675" w:type="dxa"/>
            <w:shd w:val="clear" w:color="auto" w:fill="009FC2" w:themeFill="accent3"/>
          </w:tcPr>
          <w:p w14:paraId="4BEC5EA1" w14:textId="2A1B4577" w:rsidR="00995CCD" w:rsidRPr="006E7DF9" w:rsidRDefault="00995CCD" w:rsidP="00AA75E0">
            <w:pPr>
              <w:pStyle w:val="TextMain"/>
              <w:rPr>
                <w:b/>
                <w:bCs/>
                <w:color w:val="FFFFFF" w:themeColor="background1"/>
              </w:rPr>
            </w:pPr>
            <w:r w:rsidRPr="006E7DF9">
              <w:rPr>
                <w:b/>
                <w:bCs/>
                <w:color w:val="FFFFFF" w:themeColor="background1"/>
              </w:rPr>
              <w:t>Future Research Question</w:t>
            </w:r>
          </w:p>
        </w:tc>
        <w:tc>
          <w:tcPr>
            <w:tcW w:w="4675" w:type="dxa"/>
            <w:shd w:val="clear" w:color="auto" w:fill="009FC2" w:themeFill="accent3"/>
          </w:tcPr>
          <w:p w14:paraId="45F72C64" w14:textId="4003E891" w:rsidR="00995CCD" w:rsidRPr="006E7DF9" w:rsidRDefault="00286BEC" w:rsidP="00AA75E0">
            <w:pPr>
              <w:pStyle w:val="TextMain"/>
              <w:rPr>
                <w:b/>
                <w:bCs/>
                <w:color w:val="FFFFFF" w:themeColor="background1"/>
              </w:rPr>
            </w:pPr>
            <w:r w:rsidRPr="006E7DF9">
              <w:rPr>
                <w:b/>
                <w:bCs/>
                <w:color w:val="FFFFFF" w:themeColor="background1"/>
              </w:rPr>
              <w:t>Baseline Implications</w:t>
            </w:r>
          </w:p>
        </w:tc>
      </w:tr>
      <w:tr w:rsidR="00995CCD" w14:paraId="6CBEF1AF" w14:textId="77777777" w:rsidTr="00995CCD">
        <w:tc>
          <w:tcPr>
            <w:tcW w:w="4675" w:type="dxa"/>
          </w:tcPr>
          <w:p w14:paraId="54AF8B39" w14:textId="3770EA7F" w:rsidR="00995CCD" w:rsidRDefault="00995CCD" w:rsidP="00AA75E0">
            <w:pPr>
              <w:pStyle w:val="TextMain"/>
            </w:pPr>
            <w:r w:rsidRPr="00995CCD">
              <w:t>Is it reasonable to extrapolate historical data on efficient market shares to predict baseline uptake? If so, for how many years is it reasonable to assume that a linear trend will continue?</w:t>
            </w:r>
          </w:p>
        </w:tc>
        <w:tc>
          <w:tcPr>
            <w:tcW w:w="4675" w:type="dxa"/>
          </w:tcPr>
          <w:p w14:paraId="6D7CEDE2" w14:textId="0F7B2B32" w:rsidR="00995CCD" w:rsidRDefault="00DB0F0B" w:rsidP="00AA75E0">
            <w:pPr>
              <w:pStyle w:val="TextMain"/>
            </w:pPr>
            <w:r>
              <w:t xml:space="preserve">If expert panels or a deeper exploratory data analysis </w:t>
            </w:r>
            <w:r w:rsidR="006042CA">
              <w:t xml:space="preserve">determine that </w:t>
            </w:r>
            <w:r w:rsidR="00513333">
              <w:t xml:space="preserve">historical market share is not a reasonable predictor of </w:t>
            </w:r>
            <w:r w:rsidR="00795549">
              <w:t xml:space="preserve">future trends or </w:t>
            </w:r>
            <w:r>
              <w:t>reveal</w:t>
            </w:r>
            <w:r w:rsidR="000825A8">
              <w:t xml:space="preserve"> </w:t>
            </w:r>
            <w:r w:rsidR="00D63FAF">
              <w:t xml:space="preserve">limitations </w:t>
            </w:r>
            <w:r w:rsidR="003C0492">
              <w:t xml:space="preserve">in the </w:t>
            </w:r>
            <w:r w:rsidR="00013224">
              <w:t xml:space="preserve">length of time for which those </w:t>
            </w:r>
            <w:r w:rsidR="00C6313F">
              <w:t>trends are likely to continue</w:t>
            </w:r>
            <w:r w:rsidR="00D63FAF">
              <w:t>,</w:t>
            </w:r>
            <w:r w:rsidR="00B439B7">
              <w:t xml:space="preserve"> this could impact the timing of the shift to Phase 2 of the baseline</w:t>
            </w:r>
            <w:r w:rsidR="006849E8">
              <w:t>, assuming</w:t>
            </w:r>
            <w:r w:rsidR="00AD65DC">
              <w:t xml:space="preserve"> evaluation or ComEd advisory support staff can validate these</w:t>
            </w:r>
            <w:r w:rsidR="00D94A88">
              <w:t xml:space="preserve"> limitations</w:t>
            </w:r>
            <w:r w:rsidR="003C3A84">
              <w:t xml:space="preserve">. </w:t>
            </w:r>
          </w:p>
        </w:tc>
      </w:tr>
      <w:tr w:rsidR="006C5C1A" w14:paraId="584FD1EC" w14:textId="77777777" w:rsidTr="00995CCD">
        <w:tc>
          <w:tcPr>
            <w:tcW w:w="4675" w:type="dxa"/>
          </w:tcPr>
          <w:p w14:paraId="47C4C469" w14:textId="2AF68129" w:rsidR="006C5C1A" w:rsidRDefault="006C5C1A" w:rsidP="006C5C1A">
            <w:pPr>
              <w:pStyle w:val="TextMain"/>
            </w:pPr>
            <w:r>
              <w:t xml:space="preserve">To what extent is retailers’ increased focus on carbon emissions, and specifically their Scope 3 carbon reduction goals, likely to increase market share of efficient products? </w:t>
            </w:r>
          </w:p>
          <w:p w14:paraId="62AFD36C" w14:textId="2BA00218" w:rsidR="006C5C1A" w:rsidRDefault="006C5C1A" w:rsidP="006C5C1A">
            <w:pPr>
              <w:pStyle w:val="TextMain"/>
            </w:pPr>
            <w:r>
              <w:t xml:space="preserve">How might these efforts be different if the retailers were not participating in ESRPP? </w:t>
            </w:r>
          </w:p>
          <w:p w14:paraId="7DE944BA" w14:textId="06A1558C" w:rsidR="006C5C1A" w:rsidRPr="00995CCD" w:rsidRDefault="006C5C1A" w:rsidP="006C5C1A">
            <w:pPr>
              <w:pStyle w:val="TextMain"/>
            </w:pPr>
            <w:r>
              <w:t>What impact would these efforts have on uptake of products meeting above ENERGY STAR efficiency specifications, given that retailers typically do not recognize these levels?</w:t>
            </w:r>
          </w:p>
        </w:tc>
        <w:tc>
          <w:tcPr>
            <w:tcW w:w="4675" w:type="dxa"/>
          </w:tcPr>
          <w:p w14:paraId="78FE8C0D" w14:textId="6BBF16DC" w:rsidR="006C5C1A" w:rsidRDefault="00BE1442" w:rsidP="00AA75E0">
            <w:pPr>
              <w:pStyle w:val="TextMain"/>
            </w:pPr>
            <w:r>
              <w:t xml:space="preserve">Retailers </w:t>
            </w:r>
            <w:r w:rsidR="00CE393F">
              <w:t>have rece</w:t>
            </w:r>
            <w:r w:rsidR="00BC5413">
              <w:t>ntly adopted</w:t>
            </w:r>
            <w:r w:rsidR="004501C0">
              <w:t xml:space="preserve"> </w:t>
            </w:r>
            <w:r w:rsidR="007564F4">
              <w:t xml:space="preserve">goals around reducing Scope 3 carbon emissions by increasing the energy efficiency of the products they sell. </w:t>
            </w:r>
            <w:r w:rsidR="003E498E">
              <w:t>Because these efforts are relatively new</w:t>
            </w:r>
            <w:r w:rsidR="009349AC">
              <w:t xml:space="preserve"> for some retailers</w:t>
            </w:r>
            <w:r w:rsidR="003E498E">
              <w:t xml:space="preserve">, a linear forecast </w:t>
            </w:r>
            <w:r w:rsidR="004554C8">
              <w:t xml:space="preserve">based on historical market share may not capture their effect on the market. </w:t>
            </w:r>
            <w:r w:rsidR="00B90A7C">
              <w:t xml:space="preserve">To the extent it is possible for </w:t>
            </w:r>
            <w:r w:rsidR="00676950">
              <w:t>future research</w:t>
            </w:r>
            <w:r w:rsidR="00AB6B79">
              <w:t xml:space="preserve"> </w:t>
            </w:r>
            <w:r w:rsidR="007867F1">
              <w:t xml:space="preserve">to quantify </w:t>
            </w:r>
            <w:r w:rsidR="00FD242E">
              <w:t xml:space="preserve">the impact </w:t>
            </w:r>
            <w:r w:rsidR="005545F0">
              <w:t xml:space="preserve">retailer efforts to meet </w:t>
            </w:r>
            <w:r w:rsidR="00235AF9">
              <w:t>Scope 3 emissions reduction goals</w:t>
            </w:r>
            <w:r w:rsidR="000B4230">
              <w:t xml:space="preserve"> </w:t>
            </w:r>
            <w:r w:rsidR="002955A7">
              <w:t xml:space="preserve">have on </w:t>
            </w:r>
            <w:r w:rsidR="002127E7">
              <w:t xml:space="preserve">market share of ESRPP qualified products </w:t>
            </w:r>
            <w:r w:rsidR="002B397F">
              <w:t xml:space="preserve">(recognizing that </w:t>
            </w:r>
            <w:r w:rsidR="00520EFF">
              <w:t xml:space="preserve">their ESRPP participation </w:t>
            </w:r>
            <w:r w:rsidR="006F3198">
              <w:t xml:space="preserve">may </w:t>
            </w:r>
            <w:r w:rsidR="00EB75D4">
              <w:t xml:space="preserve">influence the way </w:t>
            </w:r>
            <w:r w:rsidR="002D7B82">
              <w:t>retailers</w:t>
            </w:r>
            <w:r w:rsidR="00EB75D4">
              <w:t xml:space="preserve"> approach Scope 3 emissions reduction efforts)</w:t>
            </w:r>
            <w:r w:rsidR="00805A82">
              <w:t xml:space="preserve">, </w:t>
            </w:r>
            <w:r w:rsidR="00E966CA">
              <w:t>it may be appropriate t</w:t>
            </w:r>
            <w:r w:rsidR="00BE2614">
              <w:t xml:space="preserve">o </w:t>
            </w:r>
            <w:r w:rsidR="00D32DA1">
              <w:t xml:space="preserve">alter the predicted rate of market share growth </w:t>
            </w:r>
            <w:r w:rsidR="00C36973">
              <w:t>to accommodate that impact.</w:t>
            </w:r>
          </w:p>
        </w:tc>
      </w:tr>
    </w:tbl>
    <w:p w14:paraId="6F539DAD" w14:textId="77777777" w:rsidR="0080444A" w:rsidRDefault="0080444A" w:rsidP="00AA75E0">
      <w:pPr>
        <w:pStyle w:val="TextMain"/>
      </w:pPr>
    </w:p>
    <w:p w14:paraId="2A7CF351" w14:textId="0E0141D3" w:rsidR="00853085" w:rsidRDefault="00853085" w:rsidP="000B1844">
      <w:pPr>
        <w:pStyle w:val="Heading3"/>
        <w:numPr>
          <w:ilvl w:val="0"/>
          <w:numId w:val="0"/>
        </w:numPr>
        <w:ind w:left="1080" w:hanging="1080"/>
      </w:pPr>
      <w:r>
        <w:lastRenderedPageBreak/>
        <w:t>Phase 2</w:t>
      </w:r>
    </w:p>
    <w:p w14:paraId="2BB45219" w14:textId="44BD3A93" w:rsidR="006D78A7" w:rsidRDefault="006D78A7" w:rsidP="00AA75E0">
      <w:pPr>
        <w:pStyle w:val="TextMain"/>
      </w:pPr>
      <w:r>
        <w:t xml:space="preserve">Our choice to stabilize baseline market share estimates (flatten the baseline curve) in Phase 2 reflects the uncertainty of predicting market trends into the </w:t>
      </w:r>
      <w:r w:rsidR="000628BB">
        <w:t>medium- or long-term</w:t>
      </w:r>
      <w:r>
        <w:t xml:space="preserve"> based on limited data. </w:t>
      </w:r>
      <w:r w:rsidR="000628BB">
        <w:t>M</w:t>
      </w:r>
      <w:r w:rsidR="0080086C">
        <w:t>arket share growth or decline is unlikely to continue indefinitely</w:t>
      </w:r>
      <w:r w:rsidR="009C44FE">
        <w:t xml:space="preserve"> </w:t>
      </w:r>
      <w:r w:rsidR="009B6DDB">
        <w:t xml:space="preserve">without other market intervention (like </w:t>
      </w:r>
      <w:proofErr w:type="gramStart"/>
      <w:r w:rsidR="009B6DDB">
        <w:t>a standards</w:t>
      </w:r>
      <w:proofErr w:type="gramEnd"/>
      <w:r w:rsidR="009B6DDB">
        <w:t xml:space="preserve"> update)</w:t>
      </w:r>
      <w:r w:rsidR="00C67EB9">
        <w:t>.</w:t>
      </w:r>
      <w:r w:rsidR="0031249D">
        <w:t xml:space="preserve"> </w:t>
      </w:r>
      <w:r w:rsidR="00141017">
        <w:t>Some products are unlikely to be designed to efficiency specifications (primarily very</w:t>
      </w:r>
      <w:r w:rsidR="006A01E8">
        <w:t xml:space="preserve"> low-cost products, </w:t>
      </w:r>
      <w:r w:rsidR="00141017">
        <w:t>or very high-end products that</w:t>
      </w:r>
      <w:r w:rsidR="00FB5F66">
        <w:t xml:space="preserve"> prioritize performance over efficiency</w:t>
      </w:r>
      <w:r w:rsidR="00141017">
        <w:t>)</w:t>
      </w:r>
      <w:r w:rsidR="00FB5F66">
        <w:t xml:space="preserve">, creating an upper bound for efficient market share. </w:t>
      </w:r>
      <w:r w:rsidR="002B6551">
        <w:t xml:space="preserve">Demand from committed consumers </w:t>
      </w:r>
      <w:r w:rsidR="00DE7F4D">
        <w:t xml:space="preserve">who prioritize efficiency in their purchasing decisions likely creates a lower bound of market share. At the same time, shifting market trends may alter the trajectory of an efficient market share trend before it reaches either of these boundaries. </w:t>
      </w:r>
      <w:r w:rsidR="00E43B22">
        <w:t>Given this uncertainty, we predict that</w:t>
      </w:r>
      <w:r w:rsidR="00A858C2">
        <w:t xml:space="preserve"> efficient market share will remain steady beginning three years after the start of the forecast period. </w:t>
      </w:r>
    </w:p>
    <w:p w14:paraId="4DCC8DE1" w14:textId="3BC99028" w:rsidR="004F074C" w:rsidRDefault="004F074C" w:rsidP="000B1844">
      <w:pPr>
        <w:pStyle w:val="Heading3"/>
        <w:numPr>
          <w:ilvl w:val="0"/>
          <w:numId w:val="0"/>
        </w:numPr>
        <w:ind w:left="1080" w:hanging="1080"/>
      </w:pPr>
      <w:r>
        <w:t>Phase 3</w:t>
      </w:r>
    </w:p>
    <w:p w14:paraId="6E91FA43" w14:textId="4619228C" w:rsidR="00004E5D" w:rsidRDefault="002C1E07">
      <w:pPr>
        <w:pStyle w:val="TextMain"/>
      </w:pPr>
      <w:r>
        <w:t xml:space="preserve">We anticipate that </w:t>
      </w:r>
      <w:r w:rsidR="008D442B">
        <w:t xml:space="preserve">changes in ENERGY STAR specifications or federal standards will </w:t>
      </w:r>
      <w:r w:rsidR="006C588E">
        <w:t xml:space="preserve">bring about more significant shifts in market </w:t>
      </w:r>
      <w:r w:rsidR="00C71EC0">
        <w:t xml:space="preserve">share that deviate from the general trends described in Phase 1 and Phase 2. </w:t>
      </w:r>
      <w:r w:rsidR="00D75567">
        <w:t xml:space="preserve">We assume that the market will begin to respond to a </w:t>
      </w:r>
      <w:r w:rsidR="002E7E5F">
        <w:t>revised specification or standard</w:t>
      </w:r>
      <w:r w:rsidR="009E23CF">
        <w:t xml:space="preserve"> (Phase 3) </w:t>
      </w:r>
      <w:r w:rsidR="002E7E5F">
        <w:t xml:space="preserve">once the new </w:t>
      </w:r>
      <w:r w:rsidR="007463DE">
        <w:t xml:space="preserve">specification or </w:t>
      </w:r>
      <w:r w:rsidR="002E7E5F">
        <w:t>standard is finalized</w:t>
      </w:r>
      <w:r w:rsidR="00086376">
        <w:t xml:space="preserve">. In the case of federal </w:t>
      </w:r>
      <w:r w:rsidR="00802705">
        <w:t xml:space="preserve">standards, </w:t>
      </w:r>
      <w:r w:rsidR="00F70EC0">
        <w:t xml:space="preserve">there is typically a three-year </w:t>
      </w:r>
      <w:r w:rsidR="00EA02AC">
        <w:t xml:space="preserve">period between a standard’s finalization and its effective date. </w:t>
      </w:r>
      <w:r w:rsidR="00B545AB">
        <w:t xml:space="preserve">As standards are mandatory, we anticipate that the market will fully adapt to a new standard by its effective date. ENERGY STAR specification updates typically take effect within </w:t>
      </w:r>
      <w:r w:rsidR="000844DF">
        <w:t xml:space="preserve">a few months of finalization, and, as a voluntary specification, we anticipate that the market will continue to adapt in the year following the effective date. </w:t>
      </w:r>
    </w:p>
    <w:p w14:paraId="2E32D45B" w14:textId="09FFA120" w:rsidR="00C807E4" w:rsidRDefault="00C807E4" w:rsidP="00C807E4">
      <w:pPr>
        <w:pStyle w:val="Heading3"/>
        <w:numPr>
          <w:ilvl w:val="0"/>
          <w:numId w:val="0"/>
        </w:numPr>
        <w:ind w:left="1080" w:hanging="1080"/>
      </w:pPr>
      <w:r>
        <w:t>Phase 4</w:t>
      </w:r>
    </w:p>
    <w:p w14:paraId="5A5E9030" w14:textId="77777777" w:rsidR="001C2E8C" w:rsidRDefault="0025571D" w:rsidP="00A010B3">
      <w:pPr>
        <w:pStyle w:val="TextMain"/>
      </w:pPr>
      <w:r>
        <w:t xml:space="preserve">The impact on </w:t>
      </w:r>
      <w:r w:rsidR="00C17E75">
        <w:t xml:space="preserve">market share of a standards or specification update depends on </w:t>
      </w:r>
      <w:r w:rsidR="001821D1">
        <w:t xml:space="preserve">the </w:t>
      </w:r>
      <w:r w:rsidR="00D64F5F">
        <w:t xml:space="preserve">stringency of the updated standard in relation to the new standard. </w:t>
      </w:r>
      <w:r w:rsidR="00877797">
        <w:t xml:space="preserve">For example, a new federal standard that codifies the existing ENERGY STAR efficiency levels </w:t>
      </w:r>
      <w:r w:rsidR="00A3760B">
        <w:t>would lead market share of the existing ENERGY STAR specification to grow to 100%</w:t>
      </w:r>
      <w:r w:rsidR="00BD03B5">
        <w:t xml:space="preserve">, as all </w:t>
      </w:r>
      <w:r w:rsidR="009E6638">
        <w:t>models would be required to meet th</w:t>
      </w:r>
      <w:r w:rsidR="003F6802">
        <w:t xml:space="preserve">at standard. </w:t>
      </w:r>
      <w:r w:rsidR="00C73BD9">
        <w:t xml:space="preserve">An ENERGY STAR specification revision that </w:t>
      </w:r>
      <w:r w:rsidR="003E21D8">
        <w:t>draws on</w:t>
      </w:r>
      <w:r w:rsidR="00151529">
        <w:t xml:space="preserve"> a</w:t>
      </w:r>
      <w:r w:rsidR="00C048DD">
        <w:t>n existing higher-level specification (</w:t>
      </w:r>
      <w:proofErr w:type="gramStart"/>
      <w:r w:rsidR="00C048DD">
        <w:t>e.g.</w:t>
      </w:r>
      <w:proofErr w:type="gramEnd"/>
      <w:r w:rsidR="00C048DD">
        <w:t xml:space="preserve"> ENERGY STAR Most Efficient (ESME)) </w:t>
      </w:r>
      <w:r w:rsidR="003E21D8">
        <w:t xml:space="preserve">would </w:t>
      </w:r>
      <w:r w:rsidR="00876F55">
        <w:t>also likely result in an increase in market share of models meeting that specification</w:t>
      </w:r>
      <w:r w:rsidR="00FF7686">
        <w:t xml:space="preserve">, as manufacturers will be more motivated to produce models </w:t>
      </w:r>
      <w:r w:rsidR="004F15D1">
        <w:t>that qualify for the more widely-known designation.</w:t>
      </w:r>
    </w:p>
    <w:p w14:paraId="2356D421" w14:textId="77777777" w:rsidR="001C2E8C" w:rsidRDefault="001C2E8C" w:rsidP="001C2E8C">
      <w:pPr>
        <w:pStyle w:val="Heading2"/>
      </w:pPr>
      <w:r>
        <w:t>Exceptions</w:t>
      </w:r>
    </w:p>
    <w:p w14:paraId="7BA80E50" w14:textId="77777777" w:rsidR="00FC75CA" w:rsidRDefault="001C2E8C" w:rsidP="001C2E8C">
      <w:pPr>
        <w:pStyle w:val="TextMain"/>
      </w:pPr>
      <w:r>
        <w:t xml:space="preserve">The general baseline estimation approach described above </w:t>
      </w:r>
      <w:r w:rsidR="003B75F3">
        <w:t xml:space="preserve">may not accurately represent the market for all products. </w:t>
      </w:r>
      <w:r w:rsidR="003935CD">
        <w:t xml:space="preserve">Apex identified two specific situations in which this approach </w:t>
      </w:r>
      <w:r w:rsidR="00FC75CA">
        <w:t xml:space="preserve">may not be appropriate, although others may arise. </w:t>
      </w:r>
    </w:p>
    <w:p w14:paraId="41442F06" w14:textId="77777777" w:rsidR="00946C3B" w:rsidRDefault="00946C3B" w:rsidP="00946C3B">
      <w:pPr>
        <w:pStyle w:val="Heading3"/>
        <w:numPr>
          <w:ilvl w:val="0"/>
          <w:numId w:val="0"/>
        </w:numPr>
        <w:ind w:left="1080" w:hanging="1080"/>
      </w:pPr>
      <w:r>
        <w:t>New Specifications</w:t>
      </w:r>
    </w:p>
    <w:p w14:paraId="24B574F2" w14:textId="55B9F5E8" w:rsidR="007D21FD" w:rsidRDefault="001657CB" w:rsidP="00946C3B">
      <w:pPr>
        <w:pStyle w:val="TextMain"/>
      </w:pPr>
      <w:r>
        <w:t xml:space="preserve">The approach described above assumes </w:t>
      </w:r>
      <w:r w:rsidR="00232BBC">
        <w:t xml:space="preserve">that </w:t>
      </w:r>
      <w:r w:rsidR="005F7BCF">
        <w:t>trends in the pre-program period will continue into the first portion of the baseline period (Phase 1)</w:t>
      </w:r>
      <w:r w:rsidR="0088635A">
        <w:t xml:space="preserve"> in a linear way</w:t>
      </w:r>
      <w:r w:rsidR="005F7BCF">
        <w:t xml:space="preserve">. </w:t>
      </w:r>
      <w:r w:rsidR="0088635A">
        <w:t xml:space="preserve">This </w:t>
      </w:r>
      <w:r w:rsidR="00E45F4D">
        <w:t xml:space="preserve">assumption may not be accurate if there is an event that causes a significant shift in </w:t>
      </w:r>
      <w:r w:rsidR="001B3C26">
        <w:t xml:space="preserve">the market for efficient products during the pre-program period. </w:t>
      </w:r>
      <w:r w:rsidR="00184E2F">
        <w:t xml:space="preserve">Adoption of </w:t>
      </w:r>
      <w:r w:rsidR="004E29FB">
        <w:t>an efficiency specification</w:t>
      </w:r>
      <w:r w:rsidR="0021351F">
        <w:t xml:space="preserve"> that had not</w:t>
      </w:r>
      <w:r w:rsidR="00036772">
        <w:t xml:space="preserve"> previously been articulated, par</w:t>
      </w:r>
      <w:r w:rsidR="00B94C7B">
        <w:t xml:space="preserve">ticularly </w:t>
      </w:r>
      <w:r w:rsidR="00D4673C">
        <w:t>if that</w:t>
      </w:r>
      <w:r w:rsidR="00B94C7B">
        <w:t xml:space="preserve"> specification </w:t>
      </w:r>
      <w:r w:rsidR="00D4673C">
        <w:t>applies</w:t>
      </w:r>
      <w:r w:rsidR="00B94C7B">
        <w:t xml:space="preserve"> to a technology </w:t>
      </w:r>
      <w:r w:rsidR="00EB6C40">
        <w:t xml:space="preserve">for which efficiency specifications did not previously apply, </w:t>
      </w:r>
      <w:r w:rsidR="00802664">
        <w:t>are examples of these types of events.</w:t>
      </w:r>
    </w:p>
    <w:p w14:paraId="4C4CC337" w14:textId="175A80B6" w:rsidR="00356D86" w:rsidRDefault="0012257F" w:rsidP="00946C3B">
      <w:pPr>
        <w:pStyle w:val="TextMain"/>
      </w:pPr>
      <w:r>
        <w:lastRenderedPageBreak/>
        <w:t>Clothes dryers</w:t>
      </w:r>
      <w:r w:rsidR="001A1FE5">
        <w:t xml:space="preserve"> provide </w:t>
      </w:r>
      <w:r w:rsidR="00F83070">
        <w:t xml:space="preserve">an </w:t>
      </w:r>
      <w:r w:rsidR="001A1FE5">
        <w:t xml:space="preserve">example of </w:t>
      </w:r>
      <w:r w:rsidR="00F83070">
        <w:t xml:space="preserve">a </w:t>
      </w:r>
      <w:r>
        <w:t>technolog</w:t>
      </w:r>
      <w:r w:rsidR="00F83070">
        <w:t>y</w:t>
      </w:r>
      <w:r>
        <w:t xml:space="preserve"> </w:t>
      </w:r>
      <w:r w:rsidR="009C3581">
        <w:t>that w</w:t>
      </w:r>
      <w:r w:rsidR="00F83070">
        <w:t>as</w:t>
      </w:r>
      <w:r w:rsidR="009C3581">
        <w:t xml:space="preserve"> first recognized by efficiency specifications </w:t>
      </w:r>
      <w:r w:rsidR="00F83070">
        <w:t xml:space="preserve">shortly before ESRPP incentives </w:t>
      </w:r>
      <w:r w:rsidR="00F2469D">
        <w:t>began</w:t>
      </w:r>
      <w:r w:rsidR="002B6E3E">
        <w:t xml:space="preserve"> in the Northwest and </w:t>
      </w:r>
      <w:r w:rsidR="007F20BD">
        <w:t>other markets</w:t>
      </w:r>
      <w:r w:rsidR="00F2469D">
        <w:t>.</w:t>
      </w:r>
      <w:r w:rsidR="009C3581">
        <w:t xml:space="preserve"> </w:t>
      </w:r>
      <w:r w:rsidR="00036E3B">
        <w:t xml:space="preserve">Market share of qualified products grew quickly shortly after the specification became effective, before </w:t>
      </w:r>
      <w:r w:rsidR="00F4271D">
        <w:t xml:space="preserve">stabilizing into a </w:t>
      </w:r>
      <w:r w:rsidR="00C026F3">
        <w:t>slower rate of growth</w:t>
      </w:r>
      <w:r w:rsidR="009C6B42">
        <w:t xml:space="preserve"> (</w:t>
      </w:r>
      <w:r w:rsidR="009C6B42">
        <w:fldChar w:fldCharType="begin"/>
      </w:r>
      <w:r w:rsidR="009C6B42">
        <w:instrText xml:space="preserve"> REF _Ref117241578 \h </w:instrText>
      </w:r>
      <w:r w:rsidR="009C6B42">
        <w:fldChar w:fldCharType="separate"/>
      </w:r>
      <w:r w:rsidR="009C6B42">
        <w:t xml:space="preserve">Figure </w:t>
      </w:r>
      <w:r w:rsidR="009C6B42">
        <w:rPr>
          <w:noProof/>
        </w:rPr>
        <w:t>1</w:t>
      </w:r>
      <w:r w:rsidR="009C6B42">
        <w:fldChar w:fldCharType="end"/>
      </w:r>
      <w:r w:rsidR="009C6B42">
        <w:t>)</w:t>
      </w:r>
      <w:r w:rsidR="00C026F3">
        <w:t xml:space="preserve">. This likely reflects </w:t>
      </w:r>
      <w:r w:rsidR="001D5EB0">
        <w:t xml:space="preserve">manufacturers certifying </w:t>
      </w:r>
      <w:r w:rsidR="00C430DB">
        <w:t xml:space="preserve">models that either already met the efficiency specification, prior to its launch, or that could </w:t>
      </w:r>
      <w:r w:rsidR="00BE7F78">
        <w:t xml:space="preserve">be modified to meet the specification relatively easily. </w:t>
      </w:r>
      <w:r w:rsidR="00287EAA">
        <w:t xml:space="preserve">The subsequent, slower growth likely reflects </w:t>
      </w:r>
      <w:r w:rsidR="0079695B">
        <w:t xml:space="preserve">the growing consumer demand for efficient products and </w:t>
      </w:r>
      <w:r w:rsidR="006D7AFF">
        <w:t xml:space="preserve">diffusion of efficient technologies into a wider range of models that </w:t>
      </w:r>
      <w:r w:rsidR="00966C48">
        <w:t xml:space="preserve">drive market share growth for more established efficiency </w:t>
      </w:r>
      <w:r w:rsidR="00356D86">
        <w:t xml:space="preserve">specifications. </w:t>
      </w:r>
    </w:p>
    <w:p w14:paraId="7BB53F3A" w14:textId="16D3EF0B" w:rsidR="002B6E3E" w:rsidRDefault="007F20BD" w:rsidP="009556DC">
      <w:pPr>
        <w:pStyle w:val="Caption"/>
      </w:pPr>
      <w:bookmarkStart w:id="2" w:name="_Ref117241578"/>
      <w:r>
        <w:t xml:space="preserve">Figure </w:t>
      </w:r>
      <w:r w:rsidR="00767138">
        <w:fldChar w:fldCharType="begin"/>
      </w:r>
      <w:r w:rsidR="00767138">
        <w:instrText xml:space="preserve"> SEQ Figure \* ARABIC </w:instrText>
      </w:r>
      <w:r w:rsidR="00767138">
        <w:fldChar w:fldCharType="separate"/>
      </w:r>
      <w:r w:rsidR="00A86CEF">
        <w:rPr>
          <w:noProof/>
        </w:rPr>
        <w:t>1</w:t>
      </w:r>
      <w:r w:rsidR="00767138">
        <w:rPr>
          <w:noProof/>
        </w:rPr>
        <w:fldChar w:fldCharType="end"/>
      </w:r>
      <w:bookmarkEnd w:id="2"/>
      <w:r>
        <w:t xml:space="preserve">: </w:t>
      </w:r>
      <w:r w:rsidR="006E2A99">
        <w:t xml:space="preserve">Annual </w:t>
      </w:r>
      <w:r>
        <w:t>Electric Clothes Dryer ENERGY STAR Market Share</w:t>
      </w:r>
      <w:r w:rsidR="00843BA3">
        <w:t xml:space="preserve"> in the Pacific Northwest</w:t>
      </w:r>
      <w:r w:rsidR="00042FB9">
        <w:t xml:space="preserve"> Following Adoption of First ENERGY STAR Specification</w:t>
      </w:r>
      <w:r>
        <w:t xml:space="preserve"> </w:t>
      </w:r>
    </w:p>
    <w:p w14:paraId="4B99F8BE" w14:textId="296F8697" w:rsidR="00434BAE" w:rsidRDefault="00C217C6" w:rsidP="00946C3B">
      <w:pPr>
        <w:pStyle w:val="TextMain"/>
      </w:pPr>
      <w:r>
        <w:rPr>
          <w:noProof/>
        </w:rPr>
        <w:drawing>
          <wp:inline distT="0" distB="0" distL="0" distR="0" wp14:anchorId="368B21A7" wp14:editId="3FC69478">
            <wp:extent cx="5943600" cy="2743200"/>
            <wp:effectExtent l="0" t="0" r="0" b="0"/>
            <wp:docPr id="15" name="Chart 15">
              <a:extLst xmlns:a="http://schemas.openxmlformats.org/drawingml/2006/main">
                <a:ext uri="{FF2B5EF4-FFF2-40B4-BE49-F238E27FC236}">
                  <a16:creationId xmlns:a16="http://schemas.microsoft.com/office/drawing/2014/main" id="{120EA715-8DC1-DC35-A7DE-E75D4CB141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6A9DA9" w14:textId="553D94C8" w:rsidR="00846902" w:rsidRDefault="00846902" w:rsidP="009556DC">
      <w:pPr>
        <w:pStyle w:val="Footnote"/>
      </w:pPr>
      <w:r>
        <w:t xml:space="preserve">Source: NEEA ESRPP </w:t>
      </w:r>
      <w:r w:rsidR="00EF789B">
        <w:t>s</w:t>
      </w:r>
      <w:r>
        <w:t xml:space="preserve">ales data, </w:t>
      </w:r>
      <w:r w:rsidR="00D50810">
        <w:t>excludes online sales</w:t>
      </w:r>
    </w:p>
    <w:p w14:paraId="6348BE5A" w14:textId="6766C22F" w:rsidR="00AF6D6A" w:rsidRDefault="003641EC" w:rsidP="00946C3B">
      <w:pPr>
        <w:pStyle w:val="TextMain"/>
      </w:pPr>
      <w:r>
        <w:t xml:space="preserve">A </w:t>
      </w:r>
      <w:r w:rsidR="008A1987">
        <w:t xml:space="preserve">linear </w:t>
      </w:r>
      <w:r>
        <w:t>baseline forecast that extends the</w:t>
      </w:r>
      <w:r w:rsidR="00C7756B">
        <w:t xml:space="preserve"> initial, rapid market share growth these product categories experience shortly after </w:t>
      </w:r>
      <w:r w:rsidR="0031529B">
        <w:t xml:space="preserve">a new efficiency specification takes effect </w:t>
      </w:r>
      <w:r>
        <w:t xml:space="preserve">is unlikely </w:t>
      </w:r>
      <w:r w:rsidR="009D14E3">
        <w:t xml:space="preserve">to be reflective of the market. </w:t>
      </w:r>
      <w:r w:rsidR="006C162D">
        <w:t>This type of forecast</w:t>
      </w:r>
      <w:r w:rsidR="001179F4">
        <w:t xml:space="preserve"> would ignore the </w:t>
      </w:r>
      <w:r w:rsidR="009E0590">
        <w:t xml:space="preserve">natural </w:t>
      </w:r>
      <w:r w:rsidR="00C646E0">
        <w:t xml:space="preserve">decline </w:t>
      </w:r>
      <w:r w:rsidR="009E0590">
        <w:t xml:space="preserve">in market share growth </w:t>
      </w:r>
      <w:r w:rsidR="003B4569">
        <w:t xml:space="preserve">once the low hanging fruit has been certified. </w:t>
      </w:r>
      <w:r w:rsidR="002B21DD">
        <w:t>In these situations, a logarithmic curve that accelerates rapidly before gradually flattening</w:t>
      </w:r>
      <w:r w:rsidR="007106D8">
        <w:t xml:space="preserve"> is likely a better reflection of market dynamics. </w:t>
      </w:r>
      <w:r w:rsidR="000B5E2A">
        <w:t xml:space="preserve">As </w:t>
      </w:r>
      <w:r w:rsidR="000B5E2A">
        <w:fldChar w:fldCharType="begin"/>
      </w:r>
      <w:r w:rsidR="000B5E2A">
        <w:instrText xml:space="preserve"> REF _Ref117241423 \h </w:instrText>
      </w:r>
      <w:r w:rsidR="000B5E2A">
        <w:fldChar w:fldCharType="separate"/>
      </w:r>
      <w:r w:rsidR="000B5E2A">
        <w:t xml:space="preserve">Figure </w:t>
      </w:r>
      <w:r w:rsidR="000B5E2A">
        <w:rPr>
          <w:noProof/>
        </w:rPr>
        <w:t>2</w:t>
      </w:r>
      <w:r w:rsidR="000B5E2A">
        <w:fldChar w:fldCharType="end"/>
      </w:r>
      <w:r w:rsidR="000B5E2A">
        <w:t xml:space="preserve"> shows, a </w:t>
      </w:r>
      <w:r w:rsidR="006F2DD3">
        <w:t xml:space="preserve">logarithmic trend line based on the first 18 months of </w:t>
      </w:r>
      <w:r w:rsidR="00D4027F">
        <w:t xml:space="preserve">market data more closely reflects future clothes dryer market share </w:t>
      </w:r>
      <w:r w:rsidR="001A7B89">
        <w:t xml:space="preserve">than a linear trend line based on the same data. </w:t>
      </w:r>
    </w:p>
    <w:p w14:paraId="610CA888" w14:textId="26E7B2E5" w:rsidR="00507FC6" w:rsidRDefault="00AF6D6A" w:rsidP="009556DC">
      <w:pPr>
        <w:pStyle w:val="Caption"/>
      </w:pPr>
      <w:bookmarkStart w:id="3" w:name="_Ref117241423"/>
      <w:r>
        <w:lastRenderedPageBreak/>
        <w:t xml:space="preserve">Figure </w:t>
      </w:r>
      <w:r w:rsidR="00767138">
        <w:fldChar w:fldCharType="begin"/>
      </w:r>
      <w:r w:rsidR="00767138">
        <w:instrText xml:space="preserve"> SEQ Figure \* ARABIC </w:instrText>
      </w:r>
      <w:r w:rsidR="00767138">
        <w:fldChar w:fldCharType="separate"/>
      </w:r>
      <w:r w:rsidR="00A86CEF">
        <w:rPr>
          <w:noProof/>
        </w:rPr>
        <w:t>2</w:t>
      </w:r>
      <w:r w:rsidR="00767138">
        <w:rPr>
          <w:noProof/>
        </w:rPr>
        <w:fldChar w:fldCharType="end"/>
      </w:r>
      <w:bookmarkEnd w:id="3"/>
      <w:r>
        <w:t xml:space="preserve">: </w:t>
      </w:r>
      <w:r w:rsidR="00224C8B">
        <w:t>Monthly Electric Clothes Dryer ENERGY STAR Market Share in the Pacific Northwest with Linear and Logarithmic Trend Line</w:t>
      </w:r>
      <w:r w:rsidR="004475CF">
        <w:t>s</w:t>
      </w:r>
      <w:r w:rsidR="001A1FE5">
        <w:t xml:space="preserve"> </w:t>
      </w:r>
    </w:p>
    <w:p w14:paraId="38A5538A" w14:textId="725F346A" w:rsidR="003754DC" w:rsidRDefault="003602CF" w:rsidP="00946C3B">
      <w:pPr>
        <w:pStyle w:val="TextMain"/>
      </w:pPr>
      <w:r>
        <w:rPr>
          <w:noProof/>
        </w:rPr>
        <w:drawing>
          <wp:inline distT="0" distB="0" distL="0" distR="0" wp14:anchorId="496ABD0C" wp14:editId="4EF19072">
            <wp:extent cx="5943600" cy="2743200"/>
            <wp:effectExtent l="0" t="0" r="0" b="0"/>
            <wp:docPr id="29" name="Chart 29">
              <a:extLst xmlns:a="http://schemas.openxmlformats.org/drawingml/2006/main">
                <a:ext uri="{FF2B5EF4-FFF2-40B4-BE49-F238E27FC236}">
                  <a16:creationId xmlns:a16="http://schemas.microsoft.com/office/drawing/2014/main" id="{46BF90DF-476E-4846-BFC6-1AE2BDD4B4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3C6DB6" w14:textId="1D67311E" w:rsidR="006B59ED" w:rsidRDefault="00603A1B" w:rsidP="00EF789B">
      <w:pPr>
        <w:pStyle w:val="Footnote"/>
      </w:pPr>
      <w:r>
        <w:t>Source: NEEA ESRPP sales data, excludes online sales</w:t>
      </w:r>
    </w:p>
    <w:p w14:paraId="18ED273E" w14:textId="748705B0" w:rsidR="00D7285F" w:rsidRDefault="001C1EE1" w:rsidP="009556DC">
      <w:pPr>
        <w:pStyle w:val="Heading3"/>
        <w:numPr>
          <w:ilvl w:val="0"/>
          <w:numId w:val="0"/>
        </w:numPr>
        <w:ind w:left="1080" w:hanging="1080"/>
      </w:pPr>
      <w:r>
        <w:t xml:space="preserve">Influence of </w:t>
      </w:r>
      <w:r w:rsidR="000E44BB">
        <w:t>Environmental</w:t>
      </w:r>
      <w:r>
        <w:t xml:space="preserve"> Factors on Sales</w:t>
      </w:r>
    </w:p>
    <w:p w14:paraId="5232FCC5" w14:textId="19A97FF7" w:rsidR="001C1EE1" w:rsidRDefault="00D962F4" w:rsidP="000E44BB">
      <w:pPr>
        <w:pStyle w:val="TextMain"/>
      </w:pPr>
      <w:r>
        <w:t xml:space="preserve">Weather and other environmental factors can strongly influence </w:t>
      </w:r>
      <w:r w:rsidR="001F5873">
        <w:t xml:space="preserve">sales of some products, </w:t>
      </w:r>
      <w:r w:rsidR="009D7BF8">
        <w:t xml:space="preserve">causing large volatility in sales volume from one year to the next and impacting efficient market shares. </w:t>
      </w:r>
      <w:r w:rsidR="004D2090">
        <w:t>Room air conditioners are one example of this type of product</w:t>
      </w:r>
      <w:r w:rsidR="002A209D">
        <w:t xml:space="preserve">. </w:t>
      </w:r>
      <w:r w:rsidR="00FE2AF5">
        <w:t xml:space="preserve">Air conditioner sales </w:t>
      </w:r>
      <w:r w:rsidR="006C785B">
        <w:t>are likely to grow significantly as customers seek relief during a heat wave</w:t>
      </w:r>
      <w:r w:rsidR="00E40702">
        <w:t xml:space="preserve">. At the same time, </w:t>
      </w:r>
      <w:r w:rsidR="00387666">
        <w:t xml:space="preserve">efficient market shares may fall as customers </w:t>
      </w:r>
      <w:r w:rsidR="0035188F">
        <w:t>may not consider their options as carefully</w:t>
      </w:r>
      <w:r w:rsidR="00ED7887">
        <w:t xml:space="preserve"> to identify efficient models as they would </w:t>
      </w:r>
      <w:r w:rsidR="00532809">
        <w:t>for a less urgent purchase</w:t>
      </w:r>
      <w:r w:rsidR="00E66917">
        <w:t xml:space="preserve"> and product availability may be limited </w:t>
      </w:r>
      <w:r w:rsidR="00F70A4F">
        <w:t xml:space="preserve">due to the surging demand. </w:t>
      </w:r>
      <w:r w:rsidR="00EF56AA">
        <w:t xml:space="preserve">Room air cleaners may see similar sales volatility during </w:t>
      </w:r>
      <w:r w:rsidR="003B7751">
        <w:t xml:space="preserve">poor air quality events, like wildfires. </w:t>
      </w:r>
    </w:p>
    <w:p w14:paraId="4053822C" w14:textId="2BD76366" w:rsidR="006700B1" w:rsidRDefault="00090636" w:rsidP="000E44BB">
      <w:pPr>
        <w:pStyle w:val="TextMain"/>
      </w:pPr>
      <w:r>
        <w:t xml:space="preserve">A baseline forecast that relies on </w:t>
      </w:r>
      <w:r w:rsidR="00266836">
        <w:t xml:space="preserve">data from </w:t>
      </w:r>
      <w:r w:rsidR="00543538">
        <w:t xml:space="preserve">a period in which environmental factors led to surging demand may not </w:t>
      </w:r>
      <w:r w:rsidR="00021FB1">
        <w:t xml:space="preserve">accurately reflect the market over the long term. </w:t>
      </w:r>
      <w:r w:rsidR="00925624">
        <w:t xml:space="preserve">In these cases, a longer period of observed data may be necessary to </w:t>
      </w:r>
      <w:r w:rsidR="00895AF5">
        <w:t>reduce the influence of any short-term surges in demand</w:t>
      </w:r>
      <w:r w:rsidR="00925624">
        <w:t xml:space="preserve">, or </w:t>
      </w:r>
      <w:r w:rsidR="00C71E0C">
        <w:t xml:space="preserve">forecasters may need to </w:t>
      </w:r>
      <w:r w:rsidR="00895AF5">
        <w:t xml:space="preserve">use other </w:t>
      </w:r>
      <w:r w:rsidR="00F321A5">
        <w:t xml:space="preserve">methods to control for the effects of environmental factors. </w:t>
      </w:r>
    </w:p>
    <w:p w14:paraId="09009BBC" w14:textId="158CB654" w:rsidR="001D6F3F" w:rsidRDefault="00682AF4" w:rsidP="00B456F1">
      <w:pPr>
        <w:pStyle w:val="Heading3"/>
        <w:numPr>
          <w:ilvl w:val="0"/>
          <w:numId w:val="0"/>
        </w:numPr>
        <w:ind w:left="1080" w:hanging="1080"/>
      </w:pPr>
      <w:r>
        <w:t>Other market trends</w:t>
      </w:r>
    </w:p>
    <w:p w14:paraId="7B36B442" w14:textId="6A9F9F0C" w:rsidR="000F73E6" w:rsidRPr="0041289A" w:rsidRDefault="00690E3D" w:rsidP="006E7DF9">
      <w:pPr>
        <w:pStyle w:val="TextMain"/>
      </w:pPr>
      <w:r w:rsidRPr="0041289A">
        <w:t xml:space="preserve">There are yet other market trends, including consumer preferences for </w:t>
      </w:r>
      <w:r w:rsidR="00C546AC" w:rsidRPr="0041289A">
        <w:t xml:space="preserve">product-specific </w:t>
      </w:r>
      <w:r w:rsidRPr="0041289A">
        <w:t>features or configurations</w:t>
      </w:r>
      <w:r w:rsidR="00FF32A1" w:rsidRPr="0041289A">
        <w:t xml:space="preserve">, </w:t>
      </w:r>
      <w:r w:rsidR="00833C45" w:rsidRPr="0041289A">
        <w:t>supply chain issues</w:t>
      </w:r>
      <w:r w:rsidR="00FC5C82" w:rsidRPr="0041289A">
        <w:t xml:space="preserve"> (including production, labor, or material shortages or inflation)</w:t>
      </w:r>
      <w:r w:rsidR="00833C45" w:rsidRPr="0041289A">
        <w:t>,</w:t>
      </w:r>
      <w:r w:rsidR="000225CD" w:rsidRPr="0041289A">
        <w:t xml:space="preserve"> and other harder to quantify consumer</w:t>
      </w:r>
      <w:r w:rsidR="00660B36" w:rsidRPr="0041289A">
        <w:t>/retailer/manufacturer</w:t>
      </w:r>
      <w:r w:rsidR="000225CD" w:rsidRPr="0041289A">
        <w:t xml:space="preserve"> preferences</w:t>
      </w:r>
      <w:r w:rsidR="00833C45" w:rsidRPr="0041289A">
        <w:t xml:space="preserve"> </w:t>
      </w:r>
      <w:r w:rsidR="00022768" w:rsidRPr="0041289A">
        <w:t xml:space="preserve">that are not captured yet likely influence sales of higher efficiency products. </w:t>
      </w:r>
      <w:r w:rsidR="009312D6" w:rsidRPr="0041289A">
        <w:t xml:space="preserve">Consumer preference for top-versus-front-load washing machines </w:t>
      </w:r>
      <w:r w:rsidR="00327728" w:rsidRPr="0041289A">
        <w:t xml:space="preserve">is a good example of this evolving market dynamic. </w:t>
      </w:r>
      <w:r w:rsidR="00316CBC" w:rsidRPr="0041289A">
        <w:t xml:space="preserve">Consumers shifted preference from traditional top-load to front-load in the late 1990s/early 2000’s but have since reverted back to top-load models. </w:t>
      </w:r>
      <w:r w:rsidR="00C96A04" w:rsidRPr="0041289A">
        <w:t xml:space="preserve">A baseline forecast that does not capture these natural market trends </w:t>
      </w:r>
      <w:r w:rsidR="00BD43EE" w:rsidRPr="0041289A">
        <w:t xml:space="preserve">is therefore not accurately disentangling </w:t>
      </w:r>
      <w:r w:rsidR="00A43B3E" w:rsidRPr="0041289A">
        <w:t xml:space="preserve">program </w:t>
      </w:r>
      <w:r w:rsidR="00976D66" w:rsidRPr="0041289A">
        <w:t>influence</w:t>
      </w:r>
      <w:r w:rsidR="00A43B3E" w:rsidRPr="0041289A">
        <w:t xml:space="preserve">. </w:t>
      </w:r>
    </w:p>
    <w:tbl>
      <w:tblPr>
        <w:tblStyle w:val="TableGrid"/>
        <w:tblW w:w="0" w:type="auto"/>
        <w:tblLook w:val="04A0" w:firstRow="1" w:lastRow="0" w:firstColumn="1" w:lastColumn="0" w:noHBand="0" w:noVBand="1"/>
      </w:tblPr>
      <w:tblGrid>
        <w:gridCol w:w="4675"/>
        <w:gridCol w:w="4675"/>
      </w:tblGrid>
      <w:tr w:rsidR="00976D66" w:rsidRPr="004A031D" w14:paraId="136A0DAC" w14:textId="77777777" w:rsidTr="006E7DF9">
        <w:tc>
          <w:tcPr>
            <w:tcW w:w="4675" w:type="dxa"/>
            <w:shd w:val="clear" w:color="auto" w:fill="009FC2" w:themeFill="accent3"/>
          </w:tcPr>
          <w:p w14:paraId="07582BAA" w14:textId="77777777" w:rsidR="00976D66" w:rsidRPr="004A031D" w:rsidRDefault="00976D66" w:rsidP="006E7DF9">
            <w:pPr>
              <w:pStyle w:val="TextMain"/>
              <w:keepNext/>
              <w:rPr>
                <w:b/>
                <w:bCs/>
                <w:color w:val="FFFFFF" w:themeColor="background1"/>
              </w:rPr>
            </w:pPr>
            <w:r w:rsidRPr="004A031D">
              <w:rPr>
                <w:b/>
                <w:bCs/>
                <w:color w:val="FFFFFF" w:themeColor="background1"/>
              </w:rPr>
              <w:lastRenderedPageBreak/>
              <w:t>Future Research Question</w:t>
            </w:r>
          </w:p>
        </w:tc>
        <w:tc>
          <w:tcPr>
            <w:tcW w:w="4675" w:type="dxa"/>
            <w:shd w:val="clear" w:color="auto" w:fill="009FC2" w:themeFill="accent3"/>
          </w:tcPr>
          <w:p w14:paraId="5C8FCAF5" w14:textId="77777777" w:rsidR="00976D66" w:rsidRPr="004A031D" w:rsidRDefault="00976D66" w:rsidP="006E7DF9">
            <w:pPr>
              <w:pStyle w:val="TextMain"/>
              <w:keepNext/>
              <w:rPr>
                <w:b/>
                <w:bCs/>
                <w:color w:val="FFFFFF" w:themeColor="background1"/>
              </w:rPr>
            </w:pPr>
            <w:r w:rsidRPr="004A031D">
              <w:rPr>
                <w:b/>
                <w:bCs/>
                <w:color w:val="FFFFFF" w:themeColor="background1"/>
              </w:rPr>
              <w:t>Baseline Implications</w:t>
            </w:r>
          </w:p>
        </w:tc>
      </w:tr>
      <w:tr w:rsidR="00976D66" w14:paraId="61B7E268" w14:textId="77777777" w:rsidTr="004A031D">
        <w:tc>
          <w:tcPr>
            <w:tcW w:w="4675" w:type="dxa"/>
          </w:tcPr>
          <w:p w14:paraId="669B2BD7" w14:textId="601A922D" w:rsidR="00976D66" w:rsidRDefault="00976D66" w:rsidP="004A031D">
            <w:pPr>
              <w:pStyle w:val="TextMain"/>
            </w:pPr>
            <w:r w:rsidRPr="00976D66">
              <w:t>What other market trends might impact the availability of efficient products? (This could include both trends in consumer demand for certain features or configurations, and supply side considerations like labor costs, automation of production, availability of materials/components, etc.)</w:t>
            </w:r>
          </w:p>
        </w:tc>
        <w:tc>
          <w:tcPr>
            <w:tcW w:w="4675" w:type="dxa"/>
          </w:tcPr>
          <w:p w14:paraId="69EDC553" w14:textId="634B41D6" w:rsidR="00976D66" w:rsidRDefault="00976D66" w:rsidP="004A031D">
            <w:pPr>
              <w:pStyle w:val="TextMain"/>
            </w:pPr>
            <w:r>
              <w:t xml:space="preserve">If expert panels or a deeper exploratory data analysis reveals </w:t>
            </w:r>
            <w:r w:rsidR="00C92047">
              <w:t xml:space="preserve">quantifiable </w:t>
            </w:r>
            <w:r>
              <w:t>market share trends</w:t>
            </w:r>
            <w:r w:rsidR="00C92047">
              <w:t xml:space="preserve"> that can be forecasted with a reasonable degree of certainty (connecting the trend with other larger economic factors)</w:t>
            </w:r>
            <w:r>
              <w:t xml:space="preserve">, and evaluation or ComEd advisory support staff can validate these limitations, </w:t>
            </w:r>
            <w:r w:rsidR="003A5555">
              <w:t xml:space="preserve">it may be appropriate to </w:t>
            </w:r>
            <w:r w:rsidR="00641F60">
              <w:t>consider approaches</w:t>
            </w:r>
            <w:r w:rsidR="00B374E5">
              <w:t xml:space="preserve"> to</w:t>
            </w:r>
            <w:r w:rsidR="00D17544">
              <w:t xml:space="preserve"> the baseline forecast </w:t>
            </w:r>
            <w:r w:rsidR="006A4769">
              <w:t>that incorporate these trends, rather than relying on a simple, linear forecast based on historical data.</w:t>
            </w:r>
            <w:r>
              <w:t xml:space="preserve"> </w:t>
            </w:r>
          </w:p>
        </w:tc>
      </w:tr>
    </w:tbl>
    <w:p w14:paraId="5EA901EE" w14:textId="77777777" w:rsidR="00682AF4" w:rsidRPr="001C1EE1" w:rsidRDefault="00682AF4" w:rsidP="000E44BB">
      <w:pPr>
        <w:pStyle w:val="TextMain"/>
      </w:pPr>
    </w:p>
    <w:p w14:paraId="097AAA78" w14:textId="2BCFB6E8" w:rsidR="00A010B3" w:rsidRDefault="00A010B3" w:rsidP="000B1844">
      <w:pPr>
        <w:pStyle w:val="Heading2"/>
      </w:pPr>
      <w:r>
        <w:t>Product-Specific Assumptions</w:t>
      </w:r>
    </w:p>
    <w:p w14:paraId="153A769A" w14:textId="6E3F3254" w:rsidR="00DC7AD6" w:rsidRDefault="006B259F" w:rsidP="000B1844">
      <w:pPr>
        <w:pStyle w:val="Heading3"/>
        <w:numPr>
          <w:ilvl w:val="0"/>
          <w:numId w:val="0"/>
        </w:numPr>
        <w:ind w:left="1080" w:hanging="1080"/>
      </w:pPr>
      <w:r>
        <w:t>Refrigerators</w:t>
      </w:r>
    </w:p>
    <w:p w14:paraId="3072252C" w14:textId="52CD7AB1" w:rsidR="00B108A9" w:rsidRDefault="00F659E1" w:rsidP="004D4FE4">
      <w:pPr>
        <w:pStyle w:val="TextMain"/>
      </w:pPr>
      <w:r>
        <w:t>ComEd offer</w:t>
      </w:r>
      <w:r w:rsidR="00C2716D">
        <w:t>s</w:t>
      </w:r>
      <w:r>
        <w:t xml:space="preserve"> </w:t>
      </w:r>
      <w:r w:rsidR="006668AE">
        <w:t xml:space="preserve">RPP </w:t>
      </w:r>
      <w:r>
        <w:t xml:space="preserve">incentives for </w:t>
      </w:r>
      <w:r w:rsidR="00B947AE">
        <w:t xml:space="preserve">refrigerators meeting two </w:t>
      </w:r>
      <w:r w:rsidR="00C2716D">
        <w:t xml:space="preserve">distinct </w:t>
      </w:r>
      <w:r w:rsidR="00B947AE">
        <w:t xml:space="preserve">efficiency requirements: </w:t>
      </w:r>
      <w:r w:rsidR="00C2716D">
        <w:t xml:space="preserve">a basic tier, which </w:t>
      </w:r>
      <w:r w:rsidR="00E471FA">
        <w:t xml:space="preserve">was the basic ENERGY STAR specification in 2020 and </w:t>
      </w:r>
      <w:r w:rsidR="00E96CD8">
        <w:t>increased to</w:t>
      </w:r>
      <w:r w:rsidR="00C2716D">
        <w:t xml:space="preserve"> </w:t>
      </w:r>
      <w:r w:rsidR="00E749AA" w:rsidRPr="00E749AA">
        <w:t xml:space="preserve">the ENERGY STAR Most Efficient </w:t>
      </w:r>
      <w:r w:rsidR="00E749AA">
        <w:t>(</w:t>
      </w:r>
      <w:r w:rsidR="00E749AA" w:rsidRPr="00E749AA">
        <w:t>ESME</w:t>
      </w:r>
      <w:r w:rsidR="00E749AA">
        <w:t>)</w:t>
      </w:r>
      <w:r w:rsidR="00E749AA" w:rsidRPr="00E749AA">
        <w:t xml:space="preserve"> specification effective since 2019 (ESME 2019+)</w:t>
      </w:r>
      <w:r w:rsidR="00E96CD8">
        <w:t xml:space="preserve"> in 2021</w:t>
      </w:r>
      <w:r w:rsidR="00E749AA" w:rsidRPr="00E749AA">
        <w:t xml:space="preserve">, </w:t>
      </w:r>
      <w:r w:rsidR="00E96CD8">
        <w:t>and an advanced tier</w:t>
      </w:r>
      <w:r w:rsidR="00FC096E">
        <w:t>, which was the ESME 2019+ specification in 2020 and increased to</w:t>
      </w:r>
      <w:r w:rsidR="007E0461">
        <w:t xml:space="preserve"> the 2020-2021 Emerging Technology Award for </w:t>
      </w:r>
      <w:r w:rsidR="0090331C">
        <w:t>Advanced Adaptive Compressors (ETA)</w:t>
      </w:r>
      <w:r w:rsidR="00FC096E">
        <w:t xml:space="preserve"> in 2021</w:t>
      </w:r>
      <w:r w:rsidR="00E749AA" w:rsidRPr="00E749AA">
        <w:t>.</w:t>
      </w:r>
      <w:r w:rsidR="00723BA0">
        <w:t xml:space="preserve"> </w:t>
      </w:r>
    </w:p>
    <w:p w14:paraId="7D526A7E" w14:textId="549F7C48" w:rsidR="00E61338" w:rsidRDefault="00E73F97" w:rsidP="004D4FE4">
      <w:pPr>
        <w:pStyle w:val="TextMain"/>
      </w:pPr>
      <w:r>
        <w:t xml:space="preserve">The RPP program differentiates refrigerators by three configuration types, </w:t>
      </w:r>
      <w:r w:rsidR="00F63D7C">
        <w:t>according to the positioning of the freezer relative to the refrigerator compartment: top mount, bottom mount, and side mount.</w:t>
      </w:r>
      <w:r w:rsidR="00D33328">
        <w:t xml:space="preserve"> It is particularly important to differentiate top mount </w:t>
      </w:r>
      <w:r w:rsidR="00280CF3">
        <w:t>units since</w:t>
      </w:r>
      <w:r w:rsidR="004D576E">
        <w:t xml:space="preserve"> the </w:t>
      </w:r>
      <w:r w:rsidR="008A517B">
        <w:t>ESME qualification criteria for these units are different from</w:t>
      </w:r>
      <w:r w:rsidR="0082690B">
        <w:t xml:space="preserve"> the qualification criteria for other configurations. Both the ESME 2019+ specification and the prior ESME specification, in effect from 2016 through 2018, require only that top-mount models meet the base ENERGY STAR specification and have annual energy consumption values less than 637 kWh/year.</w:t>
      </w:r>
      <w:r w:rsidR="0082690B">
        <w:rPr>
          <w:rStyle w:val="FootnoteReference"/>
        </w:rPr>
        <w:footnoteReference w:id="4"/>
      </w:r>
      <w:r w:rsidR="0082690B">
        <w:t xml:space="preserve"> As a result of these exceptions, the ESME 2019+ market share of top-mount models is notably higher than that of other refrigerator configurations</w:t>
      </w:r>
      <w:r w:rsidR="00607ECE">
        <w:t xml:space="preserve">. </w:t>
      </w:r>
    </w:p>
    <w:p w14:paraId="31675077" w14:textId="24996B78" w:rsidR="008B662D" w:rsidRDefault="004F098C" w:rsidP="004D4FE4">
      <w:pPr>
        <w:pStyle w:val="TextMain"/>
      </w:pPr>
      <w:r>
        <w:t xml:space="preserve">With two efficiency tiers and three product configurations, Apex created six distinct baseline estimates for refrigerators. </w:t>
      </w:r>
      <w:r w:rsidR="00EA3F84">
        <w:fldChar w:fldCharType="begin"/>
      </w:r>
      <w:r w:rsidR="00EA3F84">
        <w:instrText xml:space="preserve"> REF _Ref113026892 \h </w:instrText>
      </w:r>
      <w:r w:rsidR="00EA3F84">
        <w:fldChar w:fldCharType="separate"/>
      </w:r>
      <w:r w:rsidR="00790AD0">
        <w:t xml:space="preserve">Figure </w:t>
      </w:r>
      <w:r w:rsidR="00790AD0">
        <w:rPr>
          <w:noProof/>
        </w:rPr>
        <w:t>1</w:t>
      </w:r>
      <w:r w:rsidR="00EA3F84">
        <w:fldChar w:fldCharType="end"/>
      </w:r>
      <w:r w:rsidR="00EA3F84">
        <w:t xml:space="preserve"> illustrates these NMB forecasts and the timing of the phases driving our predictions. Note that </w:t>
      </w:r>
      <w:r w:rsidR="007C5E0F">
        <w:t xml:space="preserve">the timing of the phases differs somewhat between the top mount ESME forecast and the other configurations and efficiency levels because the top mount </w:t>
      </w:r>
      <w:r w:rsidR="00644098">
        <w:t xml:space="preserve">forecast is largely driven by the federal standard update, while the other configurations are driven by ENERGY STAR specification updates anticipated to accompany that federal standard. </w:t>
      </w:r>
      <w:r w:rsidR="00311616">
        <w:t xml:space="preserve">As noted above, ENERGY STAR updates generally provide less lead time between the </w:t>
      </w:r>
      <w:r w:rsidR="00E818B4">
        <w:t xml:space="preserve">finalization of the specification and its effective date and, as voluntary specifications, </w:t>
      </w:r>
      <w:r w:rsidR="00D24256">
        <w:t xml:space="preserve">continue to impact the market after they take effect. </w:t>
      </w:r>
    </w:p>
    <w:p w14:paraId="180FE4D5" w14:textId="7DC61FB3" w:rsidR="00EA3F84" w:rsidRDefault="00EA3F84" w:rsidP="00EA3F84">
      <w:pPr>
        <w:pStyle w:val="Caption"/>
      </w:pPr>
      <w:bookmarkStart w:id="4" w:name="_Ref113026892"/>
      <w:r>
        <w:lastRenderedPageBreak/>
        <w:t xml:space="preserve">Figure </w:t>
      </w:r>
      <w:r w:rsidR="00767138">
        <w:fldChar w:fldCharType="begin"/>
      </w:r>
      <w:r w:rsidR="00767138">
        <w:instrText xml:space="preserve"> SEQ Figure \* ARABIC </w:instrText>
      </w:r>
      <w:r w:rsidR="00767138">
        <w:fldChar w:fldCharType="separate"/>
      </w:r>
      <w:r w:rsidR="00A86CEF">
        <w:rPr>
          <w:noProof/>
        </w:rPr>
        <w:t>3</w:t>
      </w:r>
      <w:r w:rsidR="00767138">
        <w:rPr>
          <w:noProof/>
        </w:rPr>
        <w:fldChar w:fldCharType="end"/>
      </w:r>
      <w:bookmarkEnd w:id="4"/>
      <w:r>
        <w:t>: Refrigerator NMB Forecast by Configuration and Efficiency Level</w:t>
      </w:r>
    </w:p>
    <w:p w14:paraId="71A94049" w14:textId="050AC928" w:rsidR="000F57AE" w:rsidRDefault="001763A0" w:rsidP="004D4FE4">
      <w:pPr>
        <w:pStyle w:val="TextMain"/>
      </w:pPr>
      <w:r>
        <w:rPr>
          <w:noProof/>
        </w:rPr>
        <w:drawing>
          <wp:inline distT="0" distB="0" distL="0" distR="0" wp14:anchorId="09D3C04D" wp14:editId="5F5060C3">
            <wp:extent cx="5943600" cy="2752725"/>
            <wp:effectExtent l="0" t="0" r="0" b="0"/>
            <wp:docPr id="1" name="Chart 1">
              <a:extLst xmlns:a="http://schemas.openxmlformats.org/drawingml/2006/main">
                <a:ext uri="{FF2B5EF4-FFF2-40B4-BE49-F238E27FC236}">
                  <a16:creationId xmlns:a16="http://schemas.microsoft.com/office/drawing/2014/main" id="{213C7B61-9DFB-3633-A4AE-DE7347DB4A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ABAC09" w14:textId="0998AAD3" w:rsidR="00507054" w:rsidRDefault="00BC77E6" w:rsidP="004D4FE4">
      <w:pPr>
        <w:pStyle w:val="TextMain"/>
      </w:pPr>
      <w:r>
        <w:rPr>
          <w:noProof/>
        </w:rPr>
        <w:drawing>
          <wp:inline distT="0" distB="0" distL="0" distR="0" wp14:anchorId="40DE14E1" wp14:editId="11DC7CD1">
            <wp:extent cx="5943600" cy="2749550"/>
            <wp:effectExtent l="0" t="0" r="0" b="0"/>
            <wp:docPr id="12" name="Chart 12">
              <a:extLst xmlns:a="http://schemas.openxmlformats.org/drawingml/2006/main">
                <a:ext uri="{FF2B5EF4-FFF2-40B4-BE49-F238E27FC236}">
                  <a16:creationId xmlns:a16="http://schemas.microsoft.com/office/drawing/2014/main" id="{02A8EC5A-7331-4B73-A9ED-B50817FBBB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90E4FB" w14:textId="0E2BDEE4" w:rsidR="007B5224" w:rsidRDefault="007B5224" w:rsidP="007B5224">
      <w:pPr>
        <w:pStyle w:val="Heading4"/>
        <w:numPr>
          <w:ilvl w:val="0"/>
          <w:numId w:val="0"/>
        </w:numPr>
        <w:ind w:left="1080" w:hanging="1080"/>
      </w:pPr>
      <w:r>
        <w:t>Phase</w:t>
      </w:r>
      <w:r w:rsidR="008E467F">
        <w:t>s</w:t>
      </w:r>
      <w:r>
        <w:t xml:space="preserve"> 1</w:t>
      </w:r>
      <w:r w:rsidR="008E467F">
        <w:t xml:space="preserve"> &amp; 2</w:t>
      </w:r>
    </w:p>
    <w:p w14:paraId="57EA1B8D" w14:textId="46951B65" w:rsidR="00674647" w:rsidRDefault="00927DF1" w:rsidP="00665AE4">
      <w:pPr>
        <w:pStyle w:val="TextMain"/>
      </w:pPr>
      <w:r>
        <w:t>T</w:t>
      </w:r>
      <w:r w:rsidR="00665AE4">
        <w:t xml:space="preserve">he ESME </w:t>
      </w:r>
      <w:r w:rsidR="006A7385">
        <w:t xml:space="preserve">2019+ </w:t>
      </w:r>
      <w:r w:rsidR="009F6515">
        <w:t>requirements</w:t>
      </w:r>
      <w:r w:rsidR="006A7385">
        <w:t xml:space="preserve"> </w:t>
      </w:r>
      <w:r>
        <w:t xml:space="preserve">had not </w:t>
      </w:r>
      <w:r w:rsidR="009F6515">
        <w:t>been articulated as an efficiency specification prior to their launch in</w:t>
      </w:r>
      <w:r w:rsidR="006A7385">
        <w:t xml:space="preserve"> 2019</w:t>
      </w:r>
      <w:r w:rsidR="009F6515">
        <w:t>. As a result,</w:t>
      </w:r>
      <w:r w:rsidR="006A7385">
        <w:t xml:space="preserve"> </w:t>
      </w:r>
      <w:r w:rsidR="00EA1896">
        <w:t>historical sales data prior to 2019 is of limited value in determining a baseline market share.</w:t>
      </w:r>
      <w:r w:rsidR="00EA1896">
        <w:rPr>
          <w:rStyle w:val="FootnoteReference"/>
        </w:rPr>
        <w:footnoteReference w:id="5"/>
      </w:r>
      <w:r w:rsidR="00A25DA1">
        <w:t xml:space="preserve"> Top-mount units are the exception in this regard, as the top-mount ESME </w:t>
      </w:r>
      <w:r w:rsidR="006B3538">
        <w:t xml:space="preserve">requirements did not change between </w:t>
      </w:r>
      <w:r w:rsidR="009D2CE3">
        <w:t xml:space="preserve">the 2016-2018 </w:t>
      </w:r>
      <w:r w:rsidR="006B3538">
        <w:t xml:space="preserve">specification and the 2019+ specification. </w:t>
      </w:r>
      <w:r w:rsidR="00351FC5">
        <w:t xml:space="preserve">Apex drew on the 12 months of historical </w:t>
      </w:r>
      <w:r w:rsidR="001B0480">
        <w:t xml:space="preserve">data that ESRPP retailers </w:t>
      </w:r>
      <w:r w:rsidR="001B0480">
        <w:lastRenderedPageBreak/>
        <w:t xml:space="preserve">reported to generate linear forecasts of uptake for ESME 2019+ </w:t>
      </w:r>
      <w:r w:rsidR="00BF5A95">
        <w:t>bottom-mount and side-mount refrigerators.</w:t>
      </w:r>
    </w:p>
    <w:p w14:paraId="6F3B8835" w14:textId="2B3E50BE" w:rsidR="00487099" w:rsidRDefault="00487099" w:rsidP="00665AE4">
      <w:pPr>
        <w:pStyle w:val="TextMain"/>
      </w:pPr>
      <w:r>
        <w:t xml:space="preserve">Apex </w:t>
      </w:r>
      <w:r w:rsidR="001F2A06">
        <w:t>drew on larger sets of historical</w:t>
      </w:r>
      <w:r w:rsidR="0092580D">
        <w:t xml:space="preserve"> RPP data from </w:t>
      </w:r>
      <w:r w:rsidR="001F2A06">
        <w:t xml:space="preserve">the Northwest (NEEA) and Wisconsin (Focus on Energy) to </w:t>
      </w:r>
      <w:r w:rsidR="009F4528">
        <w:t xml:space="preserve">generate linear forecasts of baseline uptake for ESME 2019+ top-mount refrigerators. </w:t>
      </w:r>
      <w:r w:rsidR="006A3B40">
        <w:t>We began with a comparison of market shares across regions,</w:t>
      </w:r>
      <w:r w:rsidR="009E6EA4">
        <w:t xml:space="preserve"> which found that </w:t>
      </w:r>
      <w:r w:rsidR="0076119F">
        <w:t xml:space="preserve">efficient market shares in Wisconsin were, on average, </w:t>
      </w:r>
      <w:r w:rsidR="0065364D">
        <w:t>4% higher than market shares in the Northwest</w:t>
      </w:r>
      <w:r w:rsidR="00A374B4">
        <w:t xml:space="preserve">. During the pre-program, baseline period, we found that market shares in </w:t>
      </w:r>
      <w:proofErr w:type="spellStart"/>
      <w:r w:rsidR="00A374B4">
        <w:t>ComEd’s</w:t>
      </w:r>
      <w:proofErr w:type="spellEnd"/>
      <w:r w:rsidR="00A374B4">
        <w:t xml:space="preserve"> service territory </w:t>
      </w:r>
      <w:r w:rsidR="003D414B">
        <w:t xml:space="preserve">(net of </w:t>
      </w:r>
      <w:r w:rsidR="00F337F3">
        <w:t xml:space="preserve">units receiving downstream incentives) </w:t>
      </w:r>
      <w:r w:rsidR="003D414B">
        <w:t xml:space="preserve">were, on average, </w:t>
      </w:r>
      <w:r w:rsidR="00F337F3">
        <w:t xml:space="preserve">1% below </w:t>
      </w:r>
      <w:r w:rsidR="0024464B">
        <w:t xml:space="preserve">market shares in the Northwest. </w:t>
      </w:r>
      <w:r w:rsidR="00A7726D">
        <w:t xml:space="preserve">As a result, we reduced </w:t>
      </w:r>
      <w:r w:rsidR="00C1207A">
        <w:t xml:space="preserve">Wisconsin market shares by 5% to develop a comparable historical baseline estimate for ComEd. </w:t>
      </w:r>
    </w:p>
    <w:p w14:paraId="1FE7A587" w14:textId="60BB0993" w:rsidR="00986EC9" w:rsidRDefault="00986EC9" w:rsidP="000B1844">
      <w:pPr>
        <w:pStyle w:val="Caption"/>
      </w:pPr>
      <w:r>
        <w:t xml:space="preserve">Figure </w:t>
      </w:r>
      <w:r w:rsidR="00767138">
        <w:fldChar w:fldCharType="begin"/>
      </w:r>
      <w:r w:rsidR="00767138">
        <w:instrText xml:space="preserve"> SEQ Figure \* ARABIC </w:instrText>
      </w:r>
      <w:r w:rsidR="00767138">
        <w:fldChar w:fldCharType="separate"/>
      </w:r>
      <w:r w:rsidR="00A86CEF">
        <w:rPr>
          <w:noProof/>
        </w:rPr>
        <w:t>4</w:t>
      </w:r>
      <w:r w:rsidR="00767138">
        <w:rPr>
          <w:noProof/>
        </w:rPr>
        <w:fldChar w:fldCharType="end"/>
      </w:r>
      <w:r>
        <w:t xml:space="preserve">: Top-Mount Refrigerator </w:t>
      </w:r>
      <w:r w:rsidR="00E7701B">
        <w:t>Historical ESME Market Share (Includes ETA Models)</w:t>
      </w:r>
    </w:p>
    <w:p w14:paraId="54F03528" w14:textId="0AAEE5E2" w:rsidR="00524AAD" w:rsidRDefault="00524AAD" w:rsidP="00665AE4">
      <w:pPr>
        <w:pStyle w:val="TextMain"/>
      </w:pPr>
      <w:r>
        <w:rPr>
          <w:noProof/>
        </w:rPr>
        <w:drawing>
          <wp:inline distT="0" distB="0" distL="0" distR="0" wp14:anchorId="72B5C067" wp14:editId="151A1765">
            <wp:extent cx="5727700" cy="2749137"/>
            <wp:effectExtent l="0" t="0" r="6350" b="0"/>
            <wp:docPr id="10" name="Chart 10">
              <a:extLst xmlns:a="http://schemas.openxmlformats.org/drawingml/2006/main">
                <a:ext uri="{FF2B5EF4-FFF2-40B4-BE49-F238E27FC236}">
                  <a16:creationId xmlns:a16="http://schemas.microsoft.com/office/drawing/2014/main" id="{58D5581C-D536-4E4E-8F27-5347F107A2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CA36A21" w14:textId="107B28F3" w:rsidR="003A1427" w:rsidRDefault="004A376D" w:rsidP="00665AE4">
      <w:pPr>
        <w:pStyle w:val="TextMain"/>
      </w:pPr>
      <w:r>
        <w:t>The ETA for refrigerators was designed to recognize the efficiency benefits of advanced adaptive compressors</w:t>
      </w:r>
      <w:r w:rsidR="008C69A7">
        <w:t xml:space="preserve">, an emerging refrigerator technology. </w:t>
      </w:r>
      <w:r w:rsidR="00D57495">
        <w:t>The ETA included a</w:t>
      </w:r>
      <w:r w:rsidR="00AA0502">
        <w:t xml:space="preserve">n alternative test procedure designed to capture advanced adaptive compressor efficiency. </w:t>
      </w:r>
      <w:r w:rsidR="00AA5495">
        <w:t>The</w:t>
      </w:r>
      <w:r w:rsidR="00937A07">
        <w:t xml:space="preserve"> test procedure the U.S. Department of Energy (DOE) </w:t>
      </w:r>
      <w:r w:rsidR="00536E03">
        <w:t xml:space="preserve">currently </w:t>
      </w:r>
      <w:r w:rsidR="00937A07">
        <w:t xml:space="preserve">uses to </w:t>
      </w:r>
      <w:r w:rsidR="00AA5495">
        <w:t>measure refrigerator energy consumption</w:t>
      </w:r>
      <w:r w:rsidR="005411FE">
        <w:t>, which is also the basis for ENERGY STAR certification</w:t>
      </w:r>
      <w:r w:rsidR="000F414A">
        <w:t>,</w:t>
      </w:r>
      <w:r w:rsidR="00133473">
        <w:t xml:space="preserve"> does not </w:t>
      </w:r>
      <w:r w:rsidR="000F414A">
        <w:t xml:space="preserve">capture the efficiency gains from </w:t>
      </w:r>
      <w:r w:rsidR="00BD5D3B">
        <w:t>advanced adaptive compressors.</w:t>
      </w:r>
      <w:r w:rsidR="00D90873">
        <w:rPr>
          <w:rStyle w:val="FootnoteReference"/>
        </w:rPr>
        <w:footnoteReference w:id="6"/>
      </w:r>
      <w:r w:rsidR="00BD5D3B">
        <w:t xml:space="preserve"> </w:t>
      </w:r>
      <w:r w:rsidR="00FA3BC4">
        <w:t xml:space="preserve">As a result, refrigerators using advanced adaptive compressors </w:t>
      </w:r>
      <w:r w:rsidR="00447CC2">
        <w:t xml:space="preserve">effectively were not recognized by efficiency </w:t>
      </w:r>
      <w:r w:rsidR="00767BF2">
        <w:t>specifications</w:t>
      </w:r>
      <w:r w:rsidR="00447CC2">
        <w:t xml:space="preserve"> prior to adoption of the ETA. </w:t>
      </w:r>
    </w:p>
    <w:p w14:paraId="249C7113" w14:textId="5CFF9EF2" w:rsidR="00311BB3" w:rsidRDefault="00311BB3" w:rsidP="00665AE4">
      <w:pPr>
        <w:pStyle w:val="TextMain"/>
      </w:pPr>
      <w:r>
        <w:t xml:space="preserve">As described above, a logarithmic baseline can </w:t>
      </w:r>
      <w:r w:rsidR="007434C6">
        <w:t xml:space="preserve">provide a more accurate representation of the market for products that have not </w:t>
      </w:r>
      <w:r w:rsidR="001E08B4">
        <w:t xml:space="preserve">previously been recognized by an efficiency </w:t>
      </w:r>
      <w:r w:rsidR="00767BF2">
        <w:t>specification</w:t>
      </w:r>
      <w:r w:rsidR="001E08B4">
        <w:t>.</w:t>
      </w:r>
      <w:r w:rsidR="00CC4F4A">
        <w:t xml:space="preserve"> </w:t>
      </w:r>
      <w:r w:rsidR="003E0135">
        <w:t xml:space="preserve">Between the release of the ETA in </w:t>
      </w:r>
      <w:r w:rsidR="00D90293">
        <w:t xml:space="preserve">March of 2020 and the time ComEd began </w:t>
      </w:r>
      <w:r w:rsidR="00A2038E">
        <w:t xml:space="preserve">offering incentives for ETA refrigerators in April of 2021, </w:t>
      </w:r>
      <w:r w:rsidR="00E30A78">
        <w:t xml:space="preserve">market share of qualified models grew quickly before beginning to flatten, consistent with a logarithmic curve. </w:t>
      </w:r>
      <w:r w:rsidR="007A499A">
        <w:fldChar w:fldCharType="begin"/>
      </w:r>
      <w:r w:rsidR="007A499A">
        <w:instrText xml:space="preserve"> REF _Ref117503382 \h </w:instrText>
      </w:r>
      <w:r w:rsidR="007A499A">
        <w:fldChar w:fldCharType="separate"/>
      </w:r>
      <w:r w:rsidR="007A499A">
        <w:t xml:space="preserve">Figure </w:t>
      </w:r>
      <w:r w:rsidR="007A499A">
        <w:rPr>
          <w:noProof/>
        </w:rPr>
        <w:t>5</w:t>
      </w:r>
      <w:r w:rsidR="007A499A">
        <w:fldChar w:fldCharType="end"/>
      </w:r>
      <w:r w:rsidR="00F35A8F">
        <w:t xml:space="preserve"> shows ETA market share of bottom mount refrigerators </w:t>
      </w:r>
      <w:r w:rsidR="00A243DC">
        <w:t xml:space="preserve">from the specification’s release in March of 2020 through the end of 2021. </w:t>
      </w:r>
    </w:p>
    <w:p w14:paraId="2AF5FCB6" w14:textId="1B69F161" w:rsidR="00ED57A2" w:rsidRDefault="00A86CEF" w:rsidP="009556DC">
      <w:pPr>
        <w:pStyle w:val="Caption"/>
      </w:pPr>
      <w:bookmarkStart w:id="5" w:name="_Ref117503382"/>
      <w:r>
        <w:lastRenderedPageBreak/>
        <w:t xml:space="preserve">Figure </w:t>
      </w:r>
      <w:r w:rsidR="00767138">
        <w:fldChar w:fldCharType="begin"/>
      </w:r>
      <w:r w:rsidR="00767138">
        <w:instrText xml:space="preserve"> SEQ Figure \* ARABIC </w:instrText>
      </w:r>
      <w:r w:rsidR="00767138">
        <w:fldChar w:fldCharType="separate"/>
      </w:r>
      <w:r>
        <w:rPr>
          <w:noProof/>
        </w:rPr>
        <w:t>5</w:t>
      </w:r>
      <w:r w:rsidR="00767138">
        <w:rPr>
          <w:noProof/>
        </w:rPr>
        <w:fldChar w:fldCharType="end"/>
      </w:r>
      <w:bookmarkEnd w:id="5"/>
      <w:r>
        <w:t>: Monthly ETA Bottom Mount Refrigerator Market Share</w:t>
      </w:r>
      <w:r w:rsidR="00651FDD">
        <w:t xml:space="preserve"> with Logarithmic Trend Line</w:t>
      </w:r>
    </w:p>
    <w:p w14:paraId="00EE33B0" w14:textId="14983BC4" w:rsidR="00E16D2F" w:rsidRDefault="007D2C3E" w:rsidP="00665AE4">
      <w:pPr>
        <w:pStyle w:val="TextMain"/>
      </w:pPr>
      <w:r>
        <w:rPr>
          <w:noProof/>
        </w:rPr>
        <w:drawing>
          <wp:inline distT="0" distB="0" distL="0" distR="0" wp14:anchorId="2F397C36" wp14:editId="67537495">
            <wp:extent cx="5943600" cy="2743200"/>
            <wp:effectExtent l="0" t="0" r="0" b="0"/>
            <wp:docPr id="22" name="Chart 22">
              <a:extLst xmlns:a="http://schemas.openxmlformats.org/drawingml/2006/main">
                <a:ext uri="{FF2B5EF4-FFF2-40B4-BE49-F238E27FC236}">
                  <a16:creationId xmlns:a16="http://schemas.microsoft.com/office/drawing/2014/main" id="{85FCDBAF-CCCF-EB02-C369-058A2A61C4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8A1E65" w14:textId="6762A455" w:rsidR="0000554E" w:rsidRDefault="00CB1882" w:rsidP="00665AE4">
      <w:pPr>
        <w:pStyle w:val="TextMain"/>
      </w:pPr>
      <w:r>
        <w:t>It is important to n</w:t>
      </w:r>
      <w:bookmarkStart w:id="6" w:name="x"/>
      <w:bookmarkEnd w:id="6"/>
      <w:r>
        <w:t xml:space="preserve">ote that </w:t>
      </w:r>
      <w:r w:rsidR="00FF63EA">
        <w:t xml:space="preserve">the logarithmic baseline illustrated in </w:t>
      </w:r>
      <w:r w:rsidR="00FF63EA">
        <w:fldChar w:fldCharType="begin"/>
      </w:r>
      <w:r w:rsidR="00FF63EA">
        <w:instrText xml:space="preserve"> REF _Ref117503382 \h </w:instrText>
      </w:r>
      <w:r w:rsidR="00FF63EA">
        <w:fldChar w:fldCharType="separate"/>
      </w:r>
      <w:r w:rsidR="00FF63EA">
        <w:t xml:space="preserve">Figure </w:t>
      </w:r>
      <w:r w:rsidR="00FF63EA">
        <w:rPr>
          <w:noProof/>
        </w:rPr>
        <w:t>5</w:t>
      </w:r>
      <w:r w:rsidR="00FF63EA">
        <w:fldChar w:fldCharType="end"/>
      </w:r>
      <w:r w:rsidR="000E2964">
        <w:t xml:space="preserve"> assumes that the</w:t>
      </w:r>
      <w:r w:rsidR="00D61C80">
        <w:t xml:space="preserve"> EPA would have developed the ETA for refrigerators with advanced adaptive compressors </w:t>
      </w:r>
      <w:r w:rsidR="00A3105B">
        <w:t xml:space="preserve">and initial uptake of qualified models would have been </w:t>
      </w:r>
      <w:r w:rsidR="002D3873">
        <w:t xml:space="preserve">similar absent ComEd participation in ESRPP. </w:t>
      </w:r>
      <w:r w:rsidR="00815D04">
        <w:t xml:space="preserve">NEEA and other ESRPP program sponsors were involved in discussions with EPA </w:t>
      </w:r>
      <w:r w:rsidR="00D21F8D">
        <w:t xml:space="preserve">on ways to support advanced adaptive compressors beginning </w:t>
      </w:r>
      <w:r w:rsidR="00062063">
        <w:t>at least in 2017</w:t>
      </w:r>
      <w:r w:rsidR="005F3FD4">
        <w:t xml:space="preserve">, and </w:t>
      </w:r>
      <w:r w:rsidR="006728BE">
        <w:t xml:space="preserve">prior research conducted for NEEA found that </w:t>
      </w:r>
      <w:r w:rsidR="005F3FD4">
        <w:t xml:space="preserve">those discussions </w:t>
      </w:r>
      <w:r w:rsidR="00E60810">
        <w:t>contributed to the creation of the ETA.</w:t>
      </w:r>
      <w:r w:rsidR="0083618D">
        <w:rPr>
          <w:rStyle w:val="FootnoteReference"/>
        </w:rPr>
        <w:footnoteReference w:id="7"/>
      </w:r>
      <w:r w:rsidR="00E60810">
        <w:t xml:space="preserve"> </w:t>
      </w:r>
      <w:r w:rsidR="000A68FA">
        <w:t xml:space="preserve">The research also found that </w:t>
      </w:r>
      <w:r w:rsidR="00107B79">
        <w:t xml:space="preserve">the potential for ESRPP incentives may have motivated </w:t>
      </w:r>
      <w:r w:rsidR="000A68FA">
        <w:t xml:space="preserve">manufacturers </w:t>
      </w:r>
      <w:r w:rsidR="00107B79">
        <w:t>to</w:t>
      </w:r>
      <w:r w:rsidR="0083618D">
        <w:t xml:space="preserve"> develop a wider range of ETA-qualified models than they otherwise would have. </w:t>
      </w:r>
    </w:p>
    <w:p w14:paraId="1933BC27" w14:textId="1EE3DED1" w:rsidR="00CB1882" w:rsidRDefault="00881174" w:rsidP="00665AE4">
      <w:pPr>
        <w:pStyle w:val="TextMain"/>
      </w:pPr>
      <w:r>
        <w:t xml:space="preserve">It is difficult to </w:t>
      </w:r>
      <w:r w:rsidR="0000554E">
        <w:t>assess</w:t>
      </w:r>
      <w:r>
        <w:t xml:space="preserve"> </w:t>
      </w:r>
      <w:r w:rsidR="00E35D73">
        <w:t xml:space="preserve">the contribution that ComEd has made </w:t>
      </w:r>
      <w:r w:rsidR="002911F9">
        <w:t xml:space="preserve">to these developments since it joined the ESRPP program in 2019. </w:t>
      </w:r>
      <w:r w:rsidR="008C68E1">
        <w:t xml:space="preserve">While ComEd was not directly involved in </w:t>
      </w:r>
      <w:r w:rsidR="00C772D6">
        <w:t xml:space="preserve">early discussions with EPA, its </w:t>
      </w:r>
      <w:r w:rsidR="00E12811">
        <w:t xml:space="preserve">involvement helped to build the program’s scale </w:t>
      </w:r>
      <w:r w:rsidR="00EF0B67">
        <w:t>and would have contributed to</w:t>
      </w:r>
      <w:r w:rsidR="00B8790B">
        <w:t xml:space="preserve"> any influence the </w:t>
      </w:r>
      <w:r w:rsidR="00BF0147">
        <w:t xml:space="preserve">availability, or potential availability, of program incentives </w:t>
      </w:r>
      <w:r w:rsidR="003805CF">
        <w:t xml:space="preserve">had on manufacturer decisions to incorporate ETA technologies into a wider range of models. </w:t>
      </w:r>
      <w:r w:rsidR="00331BDA">
        <w:t xml:space="preserve">It is not possible, from the market data available, to assess </w:t>
      </w:r>
      <w:r w:rsidR="0027245B">
        <w:t>the influence of ComEd, specifically, on availability of ETA refrigerators</w:t>
      </w:r>
      <w:r w:rsidR="001071FD">
        <w:t xml:space="preserve"> and to quantify that influence as a change in market share </w:t>
      </w:r>
      <w:r w:rsidR="00531EF7">
        <w:t xml:space="preserve">that could be used to adjust our baseline estimates. </w:t>
      </w:r>
      <w:r w:rsidR="008D5BA9">
        <w:t xml:space="preserve">As a result, there is a need for policy guidance to determine </w:t>
      </w:r>
      <w:r w:rsidR="008F38C1">
        <w:t xml:space="preserve">whether and how to value </w:t>
      </w:r>
      <w:proofErr w:type="spellStart"/>
      <w:r w:rsidR="008F38C1">
        <w:t>ComEd’s</w:t>
      </w:r>
      <w:proofErr w:type="spellEnd"/>
      <w:r w:rsidR="008F38C1">
        <w:t xml:space="preserve"> </w:t>
      </w:r>
      <w:r w:rsidR="00AA02D2">
        <w:t xml:space="preserve">contribution to the creation of </w:t>
      </w:r>
      <w:r w:rsidR="00DE11A1">
        <w:t xml:space="preserve">the ETA and its initial market share growth. </w:t>
      </w:r>
      <w:r w:rsidR="00331BDA">
        <w:t xml:space="preserve"> </w:t>
      </w:r>
    </w:p>
    <w:p w14:paraId="09F72F48" w14:textId="3213383A" w:rsidR="00E26D80" w:rsidRPr="007F0C5F" w:rsidRDefault="00BE5A2D" w:rsidP="00665AE4">
      <w:pPr>
        <w:pStyle w:val="TextMain"/>
      </w:pPr>
      <w:r>
        <w:t xml:space="preserve">The ETA for refrigerators with advanced adaptive compressors was in effect in </w:t>
      </w:r>
      <w:r w:rsidR="00804B26">
        <w:t xml:space="preserve">2021 and 2022. </w:t>
      </w:r>
      <w:r w:rsidR="002C2BDB">
        <w:t>We assume that</w:t>
      </w:r>
      <w:r w:rsidR="0051447D">
        <w:t xml:space="preserve"> in a baseline case, in which</w:t>
      </w:r>
      <w:r w:rsidR="008E7A79">
        <w:t xml:space="preserve"> there was no ESRPP program intervention, </w:t>
      </w:r>
      <w:r w:rsidR="008C0989">
        <w:t>ETA market share would plateau once the award was no longer in effec</w:t>
      </w:r>
      <w:r w:rsidR="00864B53">
        <w:t>t</w:t>
      </w:r>
      <w:r w:rsidR="006510EB">
        <w:t xml:space="preserve"> as there would be no third-party certification to </w:t>
      </w:r>
      <w:r w:rsidR="007E5CB3">
        <w:t xml:space="preserve">recognize </w:t>
      </w:r>
      <w:r w:rsidR="006510EB">
        <w:t>qualified models</w:t>
      </w:r>
      <w:r w:rsidR="00FB37FB">
        <w:t xml:space="preserve"> and no program activity to motivate a continued focus on them</w:t>
      </w:r>
      <w:r w:rsidR="006510EB">
        <w:t xml:space="preserve">. </w:t>
      </w:r>
    </w:p>
    <w:p w14:paraId="6A65CCA6" w14:textId="1A15264F" w:rsidR="00222C8B" w:rsidRDefault="00222C8B" w:rsidP="000B1844">
      <w:pPr>
        <w:pStyle w:val="Heading4"/>
        <w:numPr>
          <w:ilvl w:val="0"/>
          <w:numId w:val="0"/>
        </w:numPr>
        <w:ind w:left="1080" w:hanging="1080"/>
      </w:pPr>
      <w:r>
        <w:lastRenderedPageBreak/>
        <w:t>Phase</w:t>
      </w:r>
      <w:r w:rsidR="00CA2937">
        <w:t>s</w:t>
      </w:r>
      <w:r>
        <w:t xml:space="preserve"> 3</w:t>
      </w:r>
      <w:r w:rsidR="00CA2937">
        <w:t xml:space="preserve"> </w:t>
      </w:r>
      <w:r w:rsidR="000E43A9">
        <w:t>&amp;</w:t>
      </w:r>
      <w:r w:rsidR="00CA2937">
        <w:t xml:space="preserve"> 4</w:t>
      </w:r>
    </w:p>
    <w:p w14:paraId="7AC99970" w14:textId="03331DB6" w:rsidR="00222C8B" w:rsidRDefault="00BD0289" w:rsidP="004D4FE4">
      <w:pPr>
        <w:pStyle w:val="TextMain"/>
      </w:pPr>
      <w:r>
        <w:t xml:space="preserve">Our baseline estimates assume </w:t>
      </w:r>
      <w:r w:rsidR="00C710A4">
        <w:t xml:space="preserve">that a revised federal efficiency standard for refrigerators will </w:t>
      </w:r>
      <w:r w:rsidR="00637349">
        <w:t>be in</w:t>
      </w:r>
      <w:r w:rsidR="00C710A4">
        <w:t xml:space="preserve"> effect </w:t>
      </w:r>
      <w:r>
        <w:t>at</w:t>
      </w:r>
      <w:r w:rsidR="00C710A4">
        <w:t xml:space="preserve"> the beginning of 2027. </w:t>
      </w:r>
      <w:r w:rsidR="00625A41">
        <w:t xml:space="preserve">Currently, </w:t>
      </w:r>
      <w:r>
        <w:t xml:space="preserve">the </w:t>
      </w:r>
      <w:r w:rsidR="00625A41">
        <w:t>U.S. Department of Energy (DOE) is early in the process of revising the federal standard for refrigerators.</w:t>
      </w:r>
      <w:r w:rsidR="00625A41">
        <w:rPr>
          <w:rStyle w:val="FootnoteReference"/>
        </w:rPr>
        <w:footnoteReference w:id="8"/>
      </w:r>
      <w:r w:rsidR="00625A41">
        <w:t xml:space="preserve"> We assume that DOE will publish a revised standard by the end of 2023, to take effect three years later, by the end of 2026.</w:t>
      </w:r>
      <w:r w:rsidR="00625A41">
        <w:rPr>
          <w:rStyle w:val="FootnoteReference"/>
        </w:rPr>
        <w:footnoteReference w:id="9"/>
      </w:r>
      <w:r w:rsidR="00625A41">
        <w:t xml:space="preserve"> We further assume that EPA will update the ENERGY STAR specification for refrigerators, with the updated specification to take effect at the same time as the revised federal standard. We anticipate that, without program intervention, EPA would not update the ENERGY STAR specification prior to the revised federal standard as manufacturers would likely push back strongly against the prospect of adapting to multiple ENERGY STAR specification updates in a relatively short period.</w:t>
      </w:r>
    </w:p>
    <w:p w14:paraId="68C5211D" w14:textId="0626FA97" w:rsidR="00CA2937" w:rsidRDefault="00CA2937" w:rsidP="00CA2937">
      <w:pPr>
        <w:pStyle w:val="TextMain"/>
      </w:pPr>
      <w:r>
        <w:t>Our baseline forecast assumes that the revised federal standard will be equivalent to the current ENERGY STAR specification. DOE’s technical analysis explores the impacts of four different efficiency levels, ranging from one roughly equivalent to the current ENERGY STAR specification to a Max Tech standard that incorporates all of the most efficient technologies that are currently commercially available.</w:t>
      </w:r>
      <w:r>
        <w:rPr>
          <w:rStyle w:val="FootnoteReference"/>
        </w:rPr>
        <w:footnoteReference w:id="10"/>
      </w:r>
      <w:r>
        <w:t xml:space="preserve"> While th</w:t>
      </w:r>
      <w:r w:rsidR="006046A3">
        <w:t>e current ENERGY STAR specification</w:t>
      </w:r>
      <w:r>
        <w:t xml:space="preserve"> is the lowest efficiency level DOE’s technical analysis considers, we believe it is a reasonable assumption because, in a baseline case, there would be less support for stringent standards. Efficient market share may be lower without ESRPP influence and ESRPP program sponsors, including ComEd, would not contribute comments and analysis based on sales data in support of more stringent standards. Nonetheless, ComEd should monitor the timing and stringency of the federal standard update and revise its baseline estimate if they differ significantly from these assumptions.</w:t>
      </w:r>
    </w:p>
    <w:p w14:paraId="1F741F88" w14:textId="6D944939" w:rsidR="001D03A0" w:rsidRDefault="00CA2937" w:rsidP="00CA2937">
      <w:pPr>
        <w:pStyle w:val="TextMain"/>
      </w:pPr>
      <w:r>
        <w:t>Because essentially all ENERGY STAR top-mount refrigerators qualify for the ESME 2019+ specification, market share of ESME 2019+ top-mount refrigerators would grow to 100% with adoption of a federal standard equivalent to the current ENERGY STAR specification. We assume this growth would occur at a regular pace between the time the final revised federal standard is adopted and its effective date.</w:t>
      </w:r>
    </w:p>
    <w:tbl>
      <w:tblPr>
        <w:tblStyle w:val="TableGrid"/>
        <w:tblW w:w="0" w:type="auto"/>
        <w:tblLook w:val="04A0" w:firstRow="1" w:lastRow="0" w:firstColumn="1" w:lastColumn="0" w:noHBand="0" w:noVBand="1"/>
      </w:tblPr>
      <w:tblGrid>
        <w:gridCol w:w="4675"/>
        <w:gridCol w:w="4675"/>
      </w:tblGrid>
      <w:tr w:rsidR="00D16C22" w:rsidRPr="004A031D" w14:paraId="041A1A93" w14:textId="77777777" w:rsidTr="006E7DF9">
        <w:tc>
          <w:tcPr>
            <w:tcW w:w="4675" w:type="dxa"/>
            <w:shd w:val="clear" w:color="auto" w:fill="009FC2" w:themeFill="accent3"/>
          </w:tcPr>
          <w:p w14:paraId="7D7745A1" w14:textId="77777777" w:rsidR="00D16C22" w:rsidRPr="004A031D" w:rsidRDefault="00D16C22" w:rsidP="004A031D">
            <w:pPr>
              <w:pStyle w:val="TextMain"/>
              <w:rPr>
                <w:b/>
                <w:bCs/>
                <w:color w:val="FFFFFF" w:themeColor="background1"/>
              </w:rPr>
            </w:pPr>
            <w:r w:rsidRPr="004A031D">
              <w:rPr>
                <w:b/>
                <w:bCs/>
                <w:color w:val="FFFFFF" w:themeColor="background1"/>
              </w:rPr>
              <w:t>Future Research Question</w:t>
            </w:r>
          </w:p>
        </w:tc>
        <w:tc>
          <w:tcPr>
            <w:tcW w:w="4675" w:type="dxa"/>
            <w:shd w:val="clear" w:color="auto" w:fill="009FC2" w:themeFill="accent3"/>
          </w:tcPr>
          <w:p w14:paraId="63B7252D" w14:textId="77777777" w:rsidR="00D16C22" w:rsidRPr="004A031D" w:rsidRDefault="00D16C22" w:rsidP="004A031D">
            <w:pPr>
              <w:pStyle w:val="TextMain"/>
              <w:rPr>
                <w:b/>
                <w:bCs/>
                <w:color w:val="FFFFFF" w:themeColor="background1"/>
              </w:rPr>
            </w:pPr>
            <w:r w:rsidRPr="004A031D">
              <w:rPr>
                <w:b/>
                <w:bCs/>
                <w:color w:val="FFFFFF" w:themeColor="background1"/>
              </w:rPr>
              <w:t>Baseline Implications</w:t>
            </w:r>
          </w:p>
        </w:tc>
      </w:tr>
      <w:tr w:rsidR="00D16C22" w14:paraId="119598A8" w14:textId="77777777" w:rsidTr="004A031D">
        <w:tc>
          <w:tcPr>
            <w:tcW w:w="4675" w:type="dxa"/>
          </w:tcPr>
          <w:p w14:paraId="787A2A1A" w14:textId="0AA76197" w:rsidR="00D16C22" w:rsidRDefault="00D16C22" w:rsidP="004A031D">
            <w:pPr>
              <w:pStyle w:val="TextMain"/>
            </w:pPr>
            <w:r w:rsidRPr="00D16C22">
              <w:t xml:space="preserve">For each product what are the thresholds above and below which market share of </w:t>
            </w:r>
            <w:r w:rsidR="00EA5666">
              <w:t>qualified</w:t>
            </w:r>
            <w:r w:rsidRPr="00D16C22">
              <w:t xml:space="preserve"> products is unlikely? (What share of the market is unlikely to pursue energy efficiency? What share is likely to prioritize it above all else?)</w:t>
            </w:r>
          </w:p>
        </w:tc>
        <w:tc>
          <w:tcPr>
            <w:tcW w:w="4675" w:type="dxa"/>
          </w:tcPr>
          <w:p w14:paraId="01AE2A33" w14:textId="4D584319" w:rsidR="00D16C22" w:rsidRDefault="00945587" w:rsidP="004A031D">
            <w:pPr>
              <w:pStyle w:val="TextMain"/>
            </w:pPr>
            <w:r>
              <w:t xml:space="preserve">If </w:t>
            </w:r>
            <w:r w:rsidR="00691FC5">
              <w:t xml:space="preserve">expert panels or other research efforts </w:t>
            </w:r>
            <w:r w:rsidR="00980EFF">
              <w:t xml:space="preserve">are able to </w:t>
            </w:r>
            <w:r w:rsidR="00EF6D9F">
              <w:t xml:space="preserve">identify </w:t>
            </w:r>
            <w:r w:rsidR="00113776">
              <w:t>market share thresholds</w:t>
            </w:r>
            <w:r>
              <w:t xml:space="preserve"> </w:t>
            </w:r>
            <w:r w:rsidR="00D16C22">
              <w:t xml:space="preserve">and evaluation or ComEd advisory support staff can validate </w:t>
            </w:r>
            <w:r>
              <w:t>the thresholds</w:t>
            </w:r>
            <w:r w:rsidR="00D16C22">
              <w:t xml:space="preserve">, </w:t>
            </w:r>
            <w:r w:rsidR="00D365C7">
              <w:t>baseline forecasts shoul</w:t>
            </w:r>
            <w:r w:rsidR="000E4E39">
              <w:t xml:space="preserve">d be adjusted </w:t>
            </w:r>
            <w:r w:rsidR="00A43F5B">
              <w:t xml:space="preserve">if needed </w:t>
            </w:r>
            <w:r w:rsidR="000E4E39">
              <w:t xml:space="preserve">to ensure that </w:t>
            </w:r>
            <w:r w:rsidR="007973AE">
              <w:t xml:space="preserve">forecasted market share </w:t>
            </w:r>
            <w:r w:rsidR="00A43F5B">
              <w:t>remains within these bounds.</w:t>
            </w:r>
            <w:r w:rsidR="00D16C22">
              <w:t xml:space="preserve"> </w:t>
            </w:r>
          </w:p>
        </w:tc>
      </w:tr>
    </w:tbl>
    <w:p w14:paraId="7E898A92" w14:textId="77777777" w:rsidR="00D16C22" w:rsidRDefault="00D16C22" w:rsidP="00CA2937">
      <w:pPr>
        <w:pStyle w:val="TextMain"/>
      </w:pPr>
    </w:p>
    <w:p w14:paraId="03067A7A" w14:textId="59A9CFC3" w:rsidR="00C8011D" w:rsidRDefault="00234EC1" w:rsidP="00234EC1">
      <w:pPr>
        <w:pStyle w:val="TextMain"/>
      </w:pPr>
      <w:r>
        <w:t xml:space="preserve">We assume that, with adoption of a federal standard that increases efficiency requirements to the current ENERGY STAR level, EPA would increase the stringency of the ENERGY STAR </w:t>
      </w:r>
      <w:r>
        <w:lastRenderedPageBreak/>
        <w:t>specification to the current ESME level, maintaining ENERGY STAR models at a level 10% more efficient than the new federal standard.</w:t>
      </w:r>
      <w:r>
        <w:rPr>
          <w:rStyle w:val="FootnoteReference"/>
        </w:rPr>
        <w:footnoteReference w:id="11"/>
      </w:r>
      <w:r>
        <w:t xml:space="preserve"> </w:t>
      </w:r>
      <w:r w:rsidR="00C8011D">
        <w:t xml:space="preserve">None of the current ESRPP products provide an effective precedent to assess the change in market share of products meeting an above-ENERGY STAR specification when that specification is adopted as the base ENERGY STAR </w:t>
      </w:r>
      <w:r w:rsidR="00C03C66">
        <w:t>level</w:t>
      </w:r>
      <w:r w:rsidR="00C8011D">
        <w:t>.</w:t>
      </w:r>
    </w:p>
    <w:tbl>
      <w:tblPr>
        <w:tblStyle w:val="TableGrid"/>
        <w:tblW w:w="0" w:type="auto"/>
        <w:tblLook w:val="04A0" w:firstRow="1" w:lastRow="0" w:firstColumn="1" w:lastColumn="0" w:noHBand="0" w:noVBand="1"/>
      </w:tblPr>
      <w:tblGrid>
        <w:gridCol w:w="4675"/>
        <w:gridCol w:w="4675"/>
      </w:tblGrid>
      <w:tr w:rsidR="00386056" w:rsidRPr="004A031D" w14:paraId="71AE74B2" w14:textId="77777777" w:rsidTr="006E7DF9">
        <w:tc>
          <w:tcPr>
            <w:tcW w:w="4675" w:type="dxa"/>
            <w:shd w:val="clear" w:color="auto" w:fill="009FC2" w:themeFill="accent3"/>
          </w:tcPr>
          <w:p w14:paraId="4BEA9175" w14:textId="77777777" w:rsidR="00386056" w:rsidRPr="004A031D" w:rsidRDefault="00386056" w:rsidP="004A031D">
            <w:pPr>
              <w:pStyle w:val="TextMain"/>
              <w:rPr>
                <w:b/>
                <w:bCs/>
                <w:color w:val="FFFFFF" w:themeColor="background1"/>
              </w:rPr>
            </w:pPr>
            <w:r w:rsidRPr="004A031D">
              <w:rPr>
                <w:b/>
                <w:bCs/>
                <w:color w:val="FFFFFF" w:themeColor="background1"/>
              </w:rPr>
              <w:t>Future Research Question</w:t>
            </w:r>
          </w:p>
        </w:tc>
        <w:tc>
          <w:tcPr>
            <w:tcW w:w="4675" w:type="dxa"/>
            <w:shd w:val="clear" w:color="auto" w:fill="009FC2" w:themeFill="accent3"/>
          </w:tcPr>
          <w:p w14:paraId="00DB21DB" w14:textId="77777777" w:rsidR="00386056" w:rsidRPr="004A031D" w:rsidRDefault="00386056" w:rsidP="004A031D">
            <w:pPr>
              <w:pStyle w:val="TextMain"/>
              <w:rPr>
                <w:b/>
                <w:bCs/>
                <w:color w:val="FFFFFF" w:themeColor="background1"/>
              </w:rPr>
            </w:pPr>
            <w:r w:rsidRPr="004A031D">
              <w:rPr>
                <w:b/>
                <w:bCs/>
                <w:color w:val="FFFFFF" w:themeColor="background1"/>
              </w:rPr>
              <w:t>Baseline Implications</w:t>
            </w:r>
          </w:p>
        </w:tc>
      </w:tr>
      <w:tr w:rsidR="00386056" w14:paraId="3442B5C5" w14:textId="77777777" w:rsidTr="004A031D">
        <w:tc>
          <w:tcPr>
            <w:tcW w:w="4675" w:type="dxa"/>
          </w:tcPr>
          <w:p w14:paraId="4CBFBBF6" w14:textId="5085C247" w:rsidR="00386056" w:rsidRDefault="00386056" w:rsidP="004A031D">
            <w:pPr>
              <w:pStyle w:val="TextMain"/>
            </w:pPr>
            <w:r w:rsidRPr="00386056">
              <w:t>What is the likely impact on market share of products meeting an efficiency specification when that specification goes from an above ENERGY STAR level like ESME to become the base ENERGY STAR level? How much is market share likely to increase? How soon after the ENERGY STAR specification update?</w:t>
            </w:r>
          </w:p>
        </w:tc>
        <w:tc>
          <w:tcPr>
            <w:tcW w:w="4675" w:type="dxa"/>
          </w:tcPr>
          <w:p w14:paraId="729AB5F0" w14:textId="2A775B1E" w:rsidR="00386056" w:rsidRDefault="0088548F" w:rsidP="004A031D">
            <w:pPr>
              <w:pStyle w:val="TextMain"/>
            </w:pPr>
            <w:r>
              <w:t>Th</w:t>
            </w:r>
            <w:r w:rsidR="00FB229A">
              <w:t xml:space="preserve">is memo </w:t>
            </w:r>
            <w:r w:rsidR="0035203F">
              <w:t xml:space="preserve">suggests one approach to estimating </w:t>
            </w:r>
            <w:r w:rsidR="003C71F6">
              <w:t xml:space="preserve">the </w:t>
            </w:r>
            <w:r w:rsidR="00944802">
              <w:t xml:space="preserve">impact </w:t>
            </w:r>
            <w:r w:rsidR="00B3345E">
              <w:t xml:space="preserve">on market share of products meeting an above-ENERGY </w:t>
            </w:r>
            <w:r w:rsidR="00966A83">
              <w:t>STAR specification</w:t>
            </w:r>
            <w:r w:rsidR="00B3345E">
              <w:t xml:space="preserve"> </w:t>
            </w:r>
            <w:r w:rsidR="00944802">
              <w:t xml:space="preserve">of </w:t>
            </w:r>
            <w:r w:rsidR="00BB535F">
              <w:t xml:space="preserve">adopting </w:t>
            </w:r>
            <w:r w:rsidR="006A4ADB">
              <w:t>that</w:t>
            </w:r>
            <w:r w:rsidR="00BB535F">
              <w:t xml:space="preserve"> specification </w:t>
            </w:r>
            <w:r w:rsidR="00E41751">
              <w:t>as the base ENERGY ST</w:t>
            </w:r>
            <w:r w:rsidR="005A32DD">
              <w:t>AR level</w:t>
            </w:r>
            <w:r w:rsidR="002E6C67">
              <w:t>.</w:t>
            </w:r>
            <w:r w:rsidR="00CA66E1">
              <w:t xml:space="preserve"> The approach described here is based on broad assumptions about </w:t>
            </w:r>
            <w:r w:rsidR="00E462E6">
              <w:t>the market</w:t>
            </w:r>
            <w:r w:rsidR="000428B1">
              <w:t>.</w:t>
            </w:r>
            <w:r w:rsidR="0001581B">
              <w:t xml:space="preserve"> </w:t>
            </w:r>
            <w:r w:rsidR="000428B1">
              <w:t>T</w:t>
            </w:r>
            <w:r w:rsidR="0001581B">
              <w:t>o the extent that future research is able to provide more precise</w:t>
            </w:r>
            <w:r w:rsidR="000428B1">
              <w:t xml:space="preserve"> findings</w:t>
            </w:r>
            <w:r w:rsidR="0001581B">
              <w:t xml:space="preserve"> </w:t>
            </w:r>
            <w:r w:rsidR="00D75434">
              <w:t xml:space="preserve">about the </w:t>
            </w:r>
            <w:r w:rsidR="000428B1">
              <w:t xml:space="preserve">likely </w:t>
            </w:r>
            <w:r w:rsidR="005C117B">
              <w:t>extent or timing of market share growth</w:t>
            </w:r>
            <w:r w:rsidR="000A1DD5">
              <w:t>,</w:t>
            </w:r>
            <w:r w:rsidR="00177035">
              <w:t xml:space="preserve"> those data could </w:t>
            </w:r>
            <w:r w:rsidR="00977E5C">
              <w:t xml:space="preserve">refine </w:t>
            </w:r>
            <w:r w:rsidR="00876465">
              <w:t>the extent and timing of market share growth predicted in Phase 3.</w:t>
            </w:r>
            <w:r w:rsidR="005A32DD">
              <w:t xml:space="preserve"> </w:t>
            </w:r>
          </w:p>
        </w:tc>
      </w:tr>
    </w:tbl>
    <w:p w14:paraId="0F918683" w14:textId="77777777" w:rsidR="00386056" w:rsidRPr="009353C2" w:rsidRDefault="00386056" w:rsidP="00234EC1">
      <w:pPr>
        <w:pStyle w:val="TextMain"/>
      </w:pPr>
    </w:p>
    <w:p w14:paraId="27C46713" w14:textId="1A89AE6B" w:rsidR="00637F65" w:rsidRDefault="00234EC1" w:rsidP="00234EC1">
      <w:pPr>
        <w:pStyle w:val="TextMain"/>
      </w:pPr>
      <w:r>
        <w:t xml:space="preserve">ENERGY STAR is a better-known specification than ESME, and we anticipate that manufacturers would prioritize meeting the </w:t>
      </w:r>
      <w:r w:rsidR="002F7BBB">
        <w:t xml:space="preserve">base ENERGY STAR </w:t>
      </w:r>
      <w:r>
        <w:t xml:space="preserve">specification in a larger number of models </w:t>
      </w:r>
      <w:r w:rsidR="002F7BBB">
        <w:t xml:space="preserve">than the ESME specification. </w:t>
      </w:r>
      <w:r w:rsidR="003A3C06">
        <w:t>Thus,</w:t>
      </w:r>
      <w:r w:rsidR="002F7BBB">
        <w:t xml:space="preserve"> adoption of the ESME specification as the base ENERGY STAR level would lead to an increase in market share of products </w:t>
      </w:r>
      <w:r w:rsidR="00B4146B">
        <w:t xml:space="preserve">meeting the specification. </w:t>
      </w:r>
      <w:r w:rsidR="00406A40">
        <w:t xml:space="preserve">Therefore, we treat ESME market share </w:t>
      </w:r>
      <w:r w:rsidR="00632E5A">
        <w:t xml:space="preserve">prior to the specification update </w:t>
      </w:r>
      <w:r w:rsidR="00406A40">
        <w:t xml:space="preserve">as a lower bound </w:t>
      </w:r>
      <w:r w:rsidR="00632E5A">
        <w:t xml:space="preserve">for market share post-update. </w:t>
      </w:r>
    </w:p>
    <w:p w14:paraId="1401459C" w14:textId="2EF4F7F8" w:rsidR="00937AA5" w:rsidRDefault="00234EC1" w:rsidP="00234EC1">
      <w:pPr>
        <w:pStyle w:val="TextMain"/>
      </w:pPr>
      <w:r>
        <w:t>At the same time, a more stringent ENERGY STAR specification would be more costly to meet, and manufacturers would likely determine that the benefits of certification do not justify the costs for all models meeting the current ENERGY STAR specification.</w:t>
      </w:r>
      <w:r w:rsidR="00292AA2">
        <w:t xml:space="preserve"> As a result, we anticipate ENERGY STAR market share would fall</w:t>
      </w:r>
      <w:r w:rsidR="007F0F70">
        <w:t xml:space="preserve"> immediately after a specification update</w:t>
      </w:r>
      <w:r w:rsidR="00FA1386">
        <w:t xml:space="preserve">, and the baseline ENERGY STAR market share prior to the update is an upper bound </w:t>
      </w:r>
      <w:r w:rsidR="004663DE">
        <w:t xml:space="preserve">for post-update market share. </w:t>
      </w:r>
      <w:r w:rsidR="00E004FF">
        <w:t xml:space="preserve">Without </w:t>
      </w:r>
      <w:r w:rsidR="00883CF5">
        <w:t xml:space="preserve">additional market data, we assume that the market share of </w:t>
      </w:r>
      <w:r w:rsidR="002B1FCB">
        <w:t>products meeting a</w:t>
      </w:r>
      <w:r w:rsidR="00381667">
        <w:t>n ESME</w:t>
      </w:r>
      <w:r w:rsidR="002B1FCB">
        <w:t xml:space="preserve"> specification would rise to the midpoint between </w:t>
      </w:r>
      <w:r w:rsidR="00381667">
        <w:t>these two bounds (</w:t>
      </w:r>
      <w:r w:rsidR="002B6D02">
        <w:t>the ESME market share and the base ENERGY STAR market share) in the 12 months following</w:t>
      </w:r>
      <w:r w:rsidR="003964ED">
        <w:t xml:space="preserve"> a specification update that adopted the ESME specification as the base ENERGY STAR level.</w:t>
      </w:r>
      <w:r w:rsidR="009D0984">
        <w:t xml:space="preserve"> After that initial increase, we anticipate market share growth would slow to its rate prior to the specification change.</w:t>
      </w:r>
    </w:p>
    <w:p w14:paraId="6E37DF97" w14:textId="77777777" w:rsidR="00624D63" w:rsidRDefault="00937AA5" w:rsidP="00234EC1">
      <w:pPr>
        <w:pStyle w:val="TextMain"/>
      </w:pPr>
      <w:r>
        <w:t xml:space="preserve">The </w:t>
      </w:r>
      <w:r w:rsidR="00B668B6">
        <w:t xml:space="preserve">ETA includes an alternate test procedure that recognizes the efficiency of models using advanced adaptive compressor technology. </w:t>
      </w:r>
      <w:r w:rsidR="00636D79">
        <w:t xml:space="preserve">The standard test procedure </w:t>
      </w:r>
      <w:r w:rsidR="00D2070E">
        <w:t xml:space="preserve">largely </w:t>
      </w:r>
      <w:r w:rsidR="00636D79">
        <w:t xml:space="preserve">does not </w:t>
      </w:r>
      <w:r w:rsidR="002A747C">
        <w:t>reflect</w:t>
      </w:r>
      <w:r w:rsidR="00636D79">
        <w:t xml:space="preserve"> </w:t>
      </w:r>
      <w:r w:rsidR="002A747C">
        <w:t xml:space="preserve">the </w:t>
      </w:r>
      <w:r w:rsidR="00636D79">
        <w:t xml:space="preserve">efficiency benefits </w:t>
      </w:r>
      <w:r w:rsidR="00D2070E">
        <w:t>of advanced adaptive compressors</w:t>
      </w:r>
      <w:r w:rsidR="001D0B9E">
        <w:t xml:space="preserve">, </w:t>
      </w:r>
      <w:r w:rsidR="00643B0B">
        <w:t xml:space="preserve">making it difficult for manufacturers to </w:t>
      </w:r>
      <w:r w:rsidR="00D2070E">
        <w:t>market a key benefit of the technology.</w:t>
      </w:r>
      <w:r w:rsidR="00C87039">
        <w:t xml:space="preserve"> </w:t>
      </w:r>
      <w:r w:rsidR="002A747C">
        <w:t xml:space="preserve">In a baseline case, without this recognition, we anticipate limited adoption of ETA models. The </w:t>
      </w:r>
      <w:r>
        <w:t xml:space="preserve">federal standard revision </w:t>
      </w:r>
      <w:r>
        <w:lastRenderedPageBreak/>
        <w:t xml:space="preserve">currently in progress is unlikely to adopt test procedure changes needed to recognize the efficiency benefits of ETA models. </w:t>
      </w:r>
    </w:p>
    <w:p w14:paraId="06EA1DF4" w14:textId="1ACBA148" w:rsidR="00B15AF8" w:rsidRDefault="00624D63" w:rsidP="004D4FE4">
      <w:pPr>
        <w:pStyle w:val="TextMain"/>
      </w:pPr>
      <w:r>
        <w:t>EPA’s</w:t>
      </w:r>
      <w:r w:rsidR="00937AA5">
        <w:t xml:space="preserve"> adoption of the ETA indicates, however, that </w:t>
      </w:r>
      <w:r>
        <w:t>they recognize</w:t>
      </w:r>
      <w:r w:rsidR="00937AA5">
        <w:t xml:space="preserve"> the efficiency benefits of advanced adaptive compressors, and we assume the ENERGY STAR specification update accompanying </w:t>
      </w:r>
      <w:r w:rsidR="00ED325E">
        <w:t>a revised</w:t>
      </w:r>
      <w:r w:rsidR="00937AA5">
        <w:t xml:space="preserve"> standard will recognize advanced adaptive compressors. With program support, ETA </w:t>
      </w:r>
      <w:r w:rsidR="00C46693">
        <w:t xml:space="preserve">market share grew notably in </w:t>
      </w:r>
      <w:r w:rsidR="00615D90">
        <w:t>2021</w:t>
      </w:r>
      <w:r w:rsidR="00937AA5">
        <w:t xml:space="preserve">, indicating potential for relatively rapid increases in uptake. In a baseline case, we assume ETA models would </w:t>
      </w:r>
      <w:r w:rsidR="00990DD1">
        <w:t>grow at a similar rate</w:t>
      </w:r>
      <w:r w:rsidR="004810A3">
        <w:t xml:space="preserve"> once</w:t>
      </w:r>
      <w:r w:rsidR="00937AA5">
        <w:t xml:space="preserve"> an ENERGY STAR specification recognizing them takes effect.</w:t>
      </w:r>
      <w:r w:rsidR="009D0984">
        <w:t xml:space="preserve"> </w:t>
      </w:r>
      <w:r w:rsidR="003964ED">
        <w:t xml:space="preserve"> </w:t>
      </w:r>
      <w:r w:rsidR="00234EC1">
        <w:t xml:space="preserve"> </w:t>
      </w:r>
    </w:p>
    <w:p w14:paraId="5129385B" w14:textId="35DE4075" w:rsidR="0039427B" w:rsidRDefault="006B259F" w:rsidP="000B1844">
      <w:pPr>
        <w:pStyle w:val="Heading3"/>
        <w:numPr>
          <w:ilvl w:val="0"/>
          <w:numId w:val="0"/>
        </w:numPr>
        <w:ind w:left="1080" w:hanging="1080"/>
      </w:pPr>
      <w:r>
        <w:t>Clothes Washers</w:t>
      </w:r>
    </w:p>
    <w:p w14:paraId="38597B31" w14:textId="1650AB97" w:rsidR="00497DAC" w:rsidRDefault="00497DAC" w:rsidP="00AB3C1E">
      <w:pPr>
        <w:pStyle w:val="TextMain"/>
      </w:pPr>
      <w:r>
        <w:t>Through ESRPP, ComEd has</w:t>
      </w:r>
      <w:r w:rsidR="008F3559">
        <w:t xml:space="preserve"> offered incentives for a single clothes washer efficiency level (ENERGY STAR</w:t>
      </w:r>
      <w:r w:rsidR="009E415D">
        <w:t xml:space="preserve"> Version 8.1</w:t>
      </w:r>
      <w:r w:rsidR="008F3559">
        <w:t xml:space="preserve">) </w:t>
      </w:r>
      <w:r w:rsidR="00646D2D">
        <w:t>and a single product configuration (top</w:t>
      </w:r>
      <w:r w:rsidR="004B10DF">
        <w:t xml:space="preserve"> load). </w:t>
      </w:r>
      <w:r w:rsidR="002C54C7">
        <w:t xml:space="preserve">Thus, Apex created </w:t>
      </w:r>
      <w:r w:rsidR="00745851">
        <w:t>one</w:t>
      </w:r>
      <w:r w:rsidR="002C54C7">
        <w:t xml:space="preserve"> </w:t>
      </w:r>
      <w:r w:rsidR="00952D76">
        <w:t xml:space="preserve">baseline estimate for clothes washers. </w:t>
      </w:r>
      <w:r w:rsidR="008F3559">
        <w:t xml:space="preserve"> </w:t>
      </w:r>
    </w:p>
    <w:p w14:paraId="61400980" w14:textId="7AF1AC8B" w:rsidR="000E43A9" w:rsidRDefault="000E43A9" w:rsidP="000B1844">
      <w:pPr>
        <w:pStyle w:val="Heading4"/>
        <w:numPr>
          <w:ilvl w:val="0"/>
          <w:numId w:val="0"/>
        </w:numPr>
        <w:ind w:left="1080" w:hanging="1080"/>
      </w:pPr>
      <w:r>
        <w:t>Phases 1 &amp; 2</w:t>
      </w:r>
    </w:p>
    <w:p w14:paraId="45A56B3B" w14:textId="659F0733" w:rsidR="006C49CF" w:rsidRDefault="00343B2F" w:rsidP="00AB3C1E">
      <w:pPr>
        <w:pStyle w:val="TextMain"/>
      </w:pPr>
      <w:r>
        <w:t xml:space="preserve">The most recent ENERGY STAR specification update for clothes washers left the </w:t>
      </w:r>
      <w:r w:rsidR="00D46FD3">
        <w:t xml:space="preserve">energy </w:t>
      </w:r>
      <w:r>
        <w:t xml:space="preserve">efficiency requirement for top load washers unchanged from the previous version. As a result, the </w:t>
      </w:r>
      <w:r w:rsidR="00D46FD3">
        <w:t xml:space="preserve">current efficiency requirements for top load washers have been in effect </w:t>
      </w:r>
      <w:r w:rsidR="00073E52">
        <w:t xml:space="preserve">since 2015. </w:t>
      </w:r>
      <w:r w:rsidR="005433C5">
        <w:t xml:space="preserve">Given this long history of consistent </w:t>
      </w:r>
      <w:r w:rsidR="00233E9A">
        <w:t>efficiency levels</w:t>
      </w:r>
      <w:r w:rsidR="00175FBF">
        <w:t xml:space="preserve">, we drew on historical RPP data from outside of </w:t>
      </w:r>
      <w:proofErr w:type="spellStart"/>
      <w:r w:rsidR="00C95D2E">
        <w:t>ComEd’s</w:t>
      </w:r>
      <w:proofErr w:type="spellEnd"/>
      <w:r w:rsidR="00C95D2E">
        <w:t xml:space="preserve"> territory</w:t>
      </w:r>
      <w:r w:rsidR="00D9534F">
        <w:t>, dating back to 2015,</w:t>
      </w:r>
      <w:r w:rsidR="00C95D2E">
        <w:t xml:space="preserve"> </w:t>
      </w:r>
      <w:r w:rsidR="006C49CF">
        <w:t xml:space="preserve">to develop baseline forecasts </w:t>
      </w:r>
      <w:r w:rsidR="00C95D2E">
        <w:t>(specifically, data from Wisconsin from Focus on Energy and data from the Northwest from NEEA).</w:t>
      </w:r>
    </w:p>
    <w:p w14:paraId="1BC2D9BB" w14:textId="1E37900D" w:rsidR="002A4D1D" w:rsidRDefault="006C49CF" w:rsidP="00AB3C1E">
      <w:pPr>
        <w:pStyle w:val="TextMain"/>
      </w:pPr>
      <w:r>
        <w:t>Using this historical data is important in developing an accurate forecast</w:t>
      </w:r>
      <w:r w:rsidR="00CD7749">
        <w:t xml:space="preserve"> </w:t>
      </w:r>
      <w:r w:rsidR="00033BB1">
        <w:t xml:space="preserve">for top-load washers, </w:t>
      </w:r>
      <w:r w:rsidR="00CD7749">
        <w:t xml:space="preserve">as a forecast based only on the 12 months of retailer-provided, pre-program data for </w:t>
      </w:r>
      <w:proofErr w:type="spellStart"/>
      <w:r w:rsidR="00CD7749">
        <w:t>ComEd’s</w:t>
      </w:r>
      <w:proofErr w:type="spellEnd"/>
      <w:r w:rsidR="00CD7749">
        <w:t xml:space="preserve"> territory </w:t>
      </w:r>
      <w:r w:rsidR="00234FFD">
        <w:t xml:space="preserve">would indicate a growing market share </w:t>
      </w:r>
      <w:r w:rsidR="00A74A04">
        <w:t xml:space="preserve">of ENERGY STAR top-load </w:t>
      </w:r>
      <w:r w:rsidR="00931F3A">
        <w:t>washers</w:t>
      </w:r>
      <w:r w:rsidR="00ED192D">
        <w:t>.</w:t>
      </w:r>
      <w:r w:rsidR="00931F3A">
        <w:t xml:space="preserve"> </w:t>
      </w:r>
      <w:r w:rsidR="00ED192D">
        <w:t>Drawing on a</w:t>
      </w:r>
      <w:r w:rsidR="00931F3A">
        <w:t xml:space="preserve"> longer historical timeframe</w:t>
      </w:r>
      <w:r w:rsidR="00D1122B">
        <w:t>, however,</w:t>
      </w:r>
      <w:r w:rsidR="00931F3A">
        <w:t xml:space="preserve"> indicates a </w:t>
      </w:r>
      <w:r w:rsidR="00ED192D">
        <w:t>longer-</w:t>
      </w:r>
      <w:r w:rsidR="00033BB1">
        <w:t>term trend of declining market share</w:t>
      </w:r>
      <w:r w:rsidR="00D1122B">
        <w:t xml:space="preserve"> </w:t>
      </w:r>
      <w:r w:rsidR="00531628">
        <w:t>(</w:t>
      </w:r>
      <w:r w:rsidR="0076002B">
        <w:fldChar w:fldCharType="begin"/>
      </w:r>
      <w:r w:rsidR="0076002B">
        <w:instrText xml:space="preserve"> REF _Ref113020463 \h </w:instrText>
      </w:r>
      <w:r w:rsidR="0076002B">
        <w:fldChar w:fldCharType="separate"/>
      </w:r>
      <w:r w:rsidR="00790AD0">
        <w:t xml:space="preserve">Figure </w:t>
      </w:r>
      <w:r w:rsidR="00790AD0">
        <w:rPr>
          <w:noProof/>
        </w:rPr>
        <w:t>3</w:t>
      </w:r>
      <w:r w:rsidR="0076002B">
        <w:fldChar w:fldCharType="end"/>
      </w:r>
      <w:r w:rsidR="0076002B">
        <w:t>)</w:t>
      </w:r>
      <w:r w:rsidR="00ED192D">
        <w:t xml:space="preserve">. </w:t>
      </w:r>
      <w:r w:rsidR="00033BB1">
        <w:t xml:space="preserve"> </w:t>
      </w:r>
      <w:r w:rsidR="00C95D2E">
        <w:t xml:space="preserve"> </w:t>
      </w:r>
    </w:p>
    <w:p w14:paraId="7EDC69B7" w14:textId="6E12EC4C" w:rsidR="008A0A93" w:rsidRDefault="008A0A93" w:rsidP="008A0A93">
      <w:pPr>
        <w:pStyle w:val="Caption"/>
        <w:jc w:val="left"/>
      </w:pPr>
      <w:bookmarkStart w:id="7" w:name="_Ref113020463"/>
      <w:r>
        <w:t xml:space="preserve">Figure </w:t>
      </w:r>
      <w:r w:rsidR="00767138">
        <w:fldChar w:fldCharType="begin"/>
      </w:r>
      <w:r w:rsidR="00767138">
        <w:instrText xml:space="preserve"> SEQ Figure \* ARABIC </w:instrText>
      </w:r>
      <w:r w:rsidR="00767138">
        <w:fldChar w:fldCharType="separate"/>
      </w:r>
      <w:r w:rsidR="00A86CEF">
        <w:rPr>
          <w:noProof/>
        </w:rPr>
        <w:t>6</w:t>
      </w:r>
      <w:r w:rsidR="00767138">
        <w:rPr>
          <w:noProof/>
        </w:rPr>
        <w:fldChar w:fldCharType="end"/>
      </w:r>
      <w:bookmarkEnd w:id="7"/>
      <w:r>
        <w:t xml:space="preserve"> Top-Load Clothes Washer ESRPP Pre-Program Baseline Scenarios</w:t>
      </w:r>
    </w:p>
    <w:p w14:paraId="68D099B3" w14:textId="77777777" w:rsidR="008A0A93" w:rsidRDefault="008A0A93" w:rsidP="008A0A93">
      <w:pPr>
        <w:pStyle w:val="TextMain"/>
      </w:pPr>
      <w:r>
        <w:rPr>
          <w:noProof/>
        </w:rPr>
        <w:drawing>
          <wp:inline distT="0" distB="0" distL="0" distR="0" wp14:anchorId="512A2451" wp14:editId="5A61AA5C">
            <wp:extent cx="5943600" cy="2755900"/>
            <wp:effectExtent l="0" t="0" r="0" b="6350"/>
            <wp:docPr id="11" name="Chart 11">
              <a:extLst xmlns:a="http://schemas.openxmlformats.org/drawingml/2006/main">
                <a:ext uri="{FF2B5EF4-FFF2-40B4-BE49-F238E27FC236}">
                  <a16:creationId xmlns:a16="http://schemas.microsoft.com/office/drawing/2014/main" id="{FEB622C0-8F09-4B0D-BABB-D5EE58B0FE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5A54A8F" w14:textId="77777777" w:rsidR="008A0A93" w:rsidRPr="001E731B" w:rsidRDefault="008A0A93" w:rsidP="008A0A93">
      <w:pPr>
        <w:pStyle w:val="TextMain"/>
        <w:rPr>
          <w:i/>
          <w:iCs/>
          <w:sz w:val="18"/>
          <w:szCs w:val="20"/>
        </w:rPr>
      </w:pPr>
      <w:r w:rsidRPr="001E731B">
        <w:rPr>
          <w:i/>
          <w:iCs/>
          <w:sz w:val="18"/>
          <w:szCs w:val="20"/>
        </w:rPr>
        <w:t xml:space="preserve">*Note, Apex backfilled the </w:t>
      </w:r>
      <w:r>
        <w:rPr>
          <w:i/>
          <w:iCs/>
          <w:sz w:val="18"/>
          <w:szCs w:val="20"/>
        </w:rPr>
        <w:t>“</w:t>
      </w:r>
      <w:r w:rsidRPr="001E731B">
        <w:rPr>
          <w:i/>
          <w:iCs/>
          <w:sz w:val="18"/>
          <w:szCs w:val="20"/>
        </w:rPr>
        <w:t>gap</w:t>
      </w:r>
      <w:r>
        <w:rPr>
          <w:i/>
          <w:iCs/>
          <w:sz w:val="18"/>
          <w:szCs w:val="20"/>
        </w:rPr>
        <w:t>”</w:t>
      </w:r>
      <w:r w:rsidRPr="001E731B">
        <w:rPr>
          <w:i/>
          <w:iCs/>
          <w:sz w:val="18"/>
          <w:szCs w:val="20"/>
        </w:rPr>
        <w:t xml:space="preserve"> between FOE and ComEd with NEEA-equivalent market share.</w:t>
      </w:r>
    </w:p>
    <w:p w14:paraId="01A22E2E" w14:textId="099A95DB" w:rsidR="008A0A93" w:rsidRDefault="00D1122B" w:rsidP="00AB3C1E">
      <w:pPr>
        <w:pStyle w:val="TextMain"/>
      </w:pPr>
      <w:r>
        <w:lastRenderedPageBreak/>
        <w:t xml:space="preserve">It is </w:t>
      </w:r>
      <w:r w:rsidR="0063221F">
        <w:t xml:space="preserve">important to note when using historical data, however, that the retailer mix of </w:t>
      </w:r>
      <w:proofErr w:type="spellStart"/>
      <w:r w:rsidR="0063221F">
        <w:t>ComEd’s</w:t>
      </w:r>
      <w:proofErr w:type="spellEnd"/>
      <w:r w:rsidR="0063221F">
        <w:t xml:space="preserve"> ESRPP program differs notably from that of other regions due to the inclusion of Abt </w:t>
      </w:r>
      <w:r w:rsidR="00615D90">
        <w:t xml:space="preserve">Electronics </w:t>
      </w:r>
      <w:r w:rsidR="0063221F">
        <w:t xml:space="preserve">in </w:t>
      </w:r>
      <w:proofErr w:type="spellStart"/>
      <w:r w:rsidR="0063221F">
        <w:t>ComEd’s</w:t>
      </w:r>
      <w:proofErr w:type="spellEnd"/>
      <w:r w:rsidR="0063221F">
        <w:t xml:space="preserve"> program. </w:t>
      </w:r>
      <w:r w:rsidR="00BC5CF3">
        <w:t xml:space="preserve">Abt </w:t>
      </w:r>
      <w:r w:rsidR="0055037F">
        <w:t xml:space="preserve">is consistently one of the top sellers of qualified washers in </w:t>
      </w:r>
      <w:proofErr w:type="spellStart"/>
      <w:r w:rsidR="0055037F">
        <w:t>ComEd’s</w:t>
      </w:r>
      <w:proofErr w:type="spellEnd"/>
      <w:r w:rsidR="0055037F">
        <w:t xml:space="preserve"> territory, and tends to have a high </w:t>
      </w:r>
      <w:r w:rsidR="006762F0">
        <w:t xml:space="preserve">market share of qualified products relative to other ESRPP retailers. </w:t>
      </w:r>
    </w:p>
    <w:p w14:paraId="24368965" w14:textId="09FD4D22" w:rsidR="00D1122B" w:rsidRDefault="00D9534F" w:rsidP="00D9534F">
      <w:pPr>
        <w:pStyle w:val="Heading4"/>
        <w:numPr>
          <w:ilvl w:val="0"/>
          <w:numId w:val="0"/>
        </w:numPr>
        <w:ind w:left="1080" w:hanging="1080"/>
      </w:pPr>
      <w:r>
        <w:t>Phase 3 &amp; 4</w:t>
      </w:r>
    </w:p>
    <w:p w14:paraId="13475B16" w14:textId="4F7A1E75" w:rsidR="00454F12" w:rsidRDefault="00637A13" w:rsidP="00EB7C4F">
      <w:pPr>
        <w:pStyle w:val="TextMain"/>
      </w:pPr>
      <w:r>
        <w:t xml:space="preserve">We assume </w:t>
      </w:r>
      <w:r w:rsidR="00EB7C4F">
        <w:t xml:space="preserve">a revised federal standard for clothes washers will take effect by the beginning of 2028. </w:t>
      </w:r>
      <w:r w:rsidR="002F4D8B">
        <w:t xml:space="preserve">The most recent federal standard update occurred in </w:t>
      </w:r>
      <w:r w:rsidR="00726755">
        <w:t>2018</w:t>
      </w:r>
      <w:r w:rsidR="00D1649B">
        <w:t>.</w:t>
      </w:r>
      <w:r w:rsidR="00726755">
        <w:t xml:space="preserve"> DOE </w:t>
      </w:r>
      <w:r w:rsidR="00966D1F">
        <w:t xml:space="preserve">is currently in the process of </w:t>
      </w:r>
      <w:r w:rsidR="002E269D">
        <w:t xml:space="preserve">reviewing the test procedure </w:t>
      </w:r>
      <w:r w:rsidR="001855AC">
        <w:t>in preparation for a standard update</w:t>
      </w:r>
      <w:r w:rsidR="008502DD">
        <w:t xml:space="preserve">. We anticipate the standard revision process will be complete </w:t>
      </w:r>
      <w:r w:rsidR="001A131F">
        <w:t>in 2024</w:t>
      </w:r>
      <w:r w:rsidR="008502DD">
        <w:t xml:space="preserve"> and the new standard will take effect</w:t>
      </w:r>
      <w:r w:rsidR="001A131F">
        <w:t xml:space="preserve"> by the end of 2027.</w:t>
      </w:r>
      <w:r w:rsidR="00C7090A">
        <w:rPr>
          <w:rStyle w:val="FootnoteReference"/>
        </w:rPr>
        <w:footnoteReference w:id="12"/>
      </w:r>
      <w:r w:rsidR="001A131F">
        <w:t xml:space="preserve"> </w:t>
      </w:r>
      <w:r w:rsidR="00F27D06">
        <w:t xml:space="preserve">We anticipate that the new federal standard will adopt an efficiency requirement </w:t>
      </w:r>
      <w:r w:rsidR="00401060">
        <w:t>for top-load washers equivalent to the current ENERGY STAR specification.</w:t>
      </w:r>
      <w:r w:rsidR="003A19C4">
        <w:t xml:space="preserve"> The ENERGY STAR specification is one of four efficiency levels </w:t>
      </w:r>
      <w:r w:rsidR="00C51232">
        <w:t>analyzed in the Technical Support Document published as part of the DOE clothes washer rulemaking</w:t>
      </w:r>
      <w:r w:rsidR="008E362B">
        <w:t xml:space="preserve">, along with a lower, “gap fill” level and two higher efficiency levels. </w:t>
      </w:r>
      <w:r w:rsidR="001D33FE">
        <w:t xml:space="preserve">Assuming the federal standard update adopts the current ENERGY STAR </w:t>
      </w:r>
      <w:r w:rsidR="008804A3">
        <w:t xml:space="preserve">level, we anticipate that market share of models meeting the specification will grow to 100% </w:t>
      </w:r>
      <w:r w:rsidR="00B10AF6">
        <w:t xml:space="preserve">by the time the standard takes effect. </w:t>
      </w:r>
    </w:p>
    <w:p w14:paraId="60134A09" w14:textId="58DF7882" w:rsidR="006A7F5C" w:rsidRDefault="006A7F5C" w:rsidP="009D7191">
      <w:pPr>
        <w:pStyle w:val="Heading1"/>
      </w:pPr>
      <w:r>
        <w:t>With-Program Market Share Estimates</w:t>
      </w:r>
    </w:p>
    <w:p w14:paraId="06968D01" w14:textId="62229AFF" w:rsidR="008F1E9A" w:rsidRDefault="00F03427" w:rsidP="008F1E9A">
      <w:pPr>
        <w:pStyle w:val="TextMain"/>
      </w:pPr>
      <w:r>
        <w:t xml:space="preserve">In addition to estimating baseline market shares, Apex </w:t>
      </w:r>
      <w:r w:rsidR="00AB4ADB">
        <w:t>forecasted market share of RPP-qualified products with program incentives available.</w:t>
      </w:r>
      <w:r w:rsidR="008F1E9A">
        <w:t xml:space="preserve"> </w:t>
      </w:r>
      <w:r w:rsidR="00B35D4B">
        <w:t xml:space="preserve">Our forecasting approach </w:t>
      </w:r>
      <w:r w:rsidR="008B557A">
        <w:t xml:space="preserve">for with-program market shares largely paralleled the phased approach we used to forecast the </w:t>
      </w:r>
      <w:r w:rsidR="00FC4AA6">
        <w:t>natural market baselines</w:t>
      </w:r>
      <w:r w:rsidR="00177B19">
        <w:t>, as summarized below:</w:t>
      </w:r>
    </w:p>
    <w:p w14:paraId="0AEF0031" w14:textId="6F5C24A3" w:rsidR="00AF1FA6" w:rsidRPr="00AF1FA6" w:rsidRDefault="00177B19" w:rsidP="00073891">
      <w:pPr>
        <w:pStyle w:val="Bullets"/>
        <w:rPr>
          <w:b/>
          <w:bCs/>
        </w:rPr>
      </w:pPr>
      <w:r>
        <w:rPr>
          <w:b/>
          <w:bCs/>
        </w:rPr>
        <w:t xml:space="preserve">Phase 1: </w:t>
      </w:r>
      <w:r w:rsidR="005C3380">
        <w:t>We</w:t>
      </w:r>
      <w:r w:rsidR="002A0872">
        <w:t xml:space="preserve"> </w:t>
      </w:r>
      <w:r w:rsidR="008A5824">
        <w:t xml:space="preserve">assume </w:t>
      </w:r>
      <w:r w:rsidR="005C3380">
        <w:t xml:space="preserve">with-program </w:t>
      </w:r>
      <w:r w:rsidR="008A5824">
        <w:t xml:space="preserve">market share trends will continue in a linear fashion </w:t>
      </w:r>
      <w:r w:rsidR="00680EE0">
        <w:t>for up to three years from the beginning of the forecast period.</w:t>
      </w:r>
      <w:r w:rsidR="00DD2F30">
        <w:t xml:space="preserve"> </w:t>
      </w:r>
      <w:r w:rsidR="00C7471E">
        <w:t xml:space="preserve">These linear forecasts </w:t>
      </w:r>
      <w:r w:rsidR="00813763">
        <w:t>extend market share trends from</w:t>
      </w:r>
      <w:r w:rsidR="00C7471E">
        <w:t xml:space="preserve"> </w:t>
      </w:r>
      <w:r w:rsidR="0027206D">
        <w:t xml:space="preserve">retailer-reported sales data from </w:t>
      </w:r>
      <w:proofErr w:type="spellStart"/>
      <w:r w:rsidR="0027206D">
        <w:t>ComEd’s</w:t>
      </w:r>
      <w:proofErr w:type="spellEnd"/>
      <w:r w:rsidR="0027206D">
        <w:t xml:space="preserve"> entry into the RPP program in </w:t>
      </w:r>
      <w:r w:rsidR="00240DCA">
        <w:t>June of 2020 through December of 2021.</w:t>
      </w:r>
    </w:p>
    <w:p w14:paraId="51BD6CB1" w14:textId="77777777" w:rsidR="00B439E1" w:rsidRPr="00B439E1" w:rsidRDefault="00E220FF" w:rsidP="00073891">
      <w:pPr>
        <w:pStyle w:val="Bullets"/>
        <w:rPr>
          <w:b/>
          <w:bCs/>
        </w:rPr>
      </w:pPr>
      <w:r>
        <w:rPr>
          <w:b/>
          <w:bCs/>
        </w:rPr>
        <w:t>Phase 2:</w:t>
      </w:r>
      <w:r>
        <w:t xml:space="preserve"> </w:t>
      </w:r>
      <w:r w:rsidR="004711EB">
        <w:t xml:space="preserve">As discussed above, </w:t>
      </w:r>
      <w:r w:rsidR="00553F6C">
        <w:t xml:space="preserve">given the uncertainty of predicting market trends into the future, we assume </w:t>
      </w:r>
      <w:r w:rsidR="00B439E1">
        <w:t xml:space="preserve">market share values will stabilize beginning three years after the start of the forecast period. </w:t>
      </w:r>
    </w:p>
    <w:p w14:paraId="0074FC98" w14:textId="2512BF3D" w:rsidR="00073891" w:rsidRPr="001C0AD8" w:rsidRDefault="00B439E1" w:rsidP="00073891">
      <w:pPr>
        <w:pStyle w:val="Bullets"/>
        <w:rPr>
          <w:b/>
          <w:bCs/>
        </w:rPr>
      </w:pPr>
      <w:r>
        <w:rPr>
          <w:b/>
          <w:bCs/>
        </w:rPr>
        <w:t xml:space="preserve">Phase </w:t>
      </w:r>
      <w:r w:rsidR="00DB1DF8">
        <w:rPr>
          <w:b/>
          <w:bCs/>
        </w:rPr>
        <w:t>3:</w:t>
      </w:r>
      <w:r w:rsidR="00DB1DF8">
        <w:t xml:space="preserve"> We use the same </w:t>
      </w:r>
      <w:r w:rsidR="004D6611">
        <w:t xml:space="preserve">assumptions regarding timing </w:t>
      </w:r>
      <w:r w:rsidR="00584591">
        <w:t xml:space="preserve">and stringency of </w:t>
      </w:r>
      <w:r w:rsidR="0095045F">
        <w:t xml:space="preserve">federal efficiency standard updates and ENERGY STAR specification revisions in </w:t>
      </w:r>
      <w:r w:rsidR="00B552D7">
        <w:t>with-program forecasts as in baseline forecasts.</w:t>
      </w:r>
      <w:r w:rsidR="00B552D7">
        <w:rPr>
          <w:rStyle w:val="FootnoteReference"/>
        </w:rPr>
        <w:footnoteReference w:id="13"/>
      </w:r>
      <w:r w:rsidR="00240DCA">
        <w:t xml:space="preserve"> </w:t>
      </w:r>
    </w:p>
    <w:p w14:paraId="006F59F1" w14:textId="77777777" w:rsidR="003C79BF" w:rsidRPr="003C79BF" w:rsidRDefault="001C0AD8" w:rsidP="00073891">
      <w:pPr>
        <w:pStyle w:val="Bullets"/>
        <w:rPr>
          <w:b/>
          <w:bCs/>
        </w:rPr>
      </w:pPr>
      <w:r>
        <w:rPr>
          <w:b/>
          <w:bCs/>
        </w:rPr>
        <w:t xml:space="preserve">Phase 4: </w:t>
      </w:r>
      <w:r w:rsidR="00874108">
        <w:t>As in baseline forecasts, we assume that</w:t>
      </w:r>
      <w:r w:rsidR="002950CC">
        <w:t xml:space="preserve"> market share</w:t>
      </w:r>
      <w:r w:rsidR="00930EB0">
        <w:t xml:space="preserve"> growth will reflect the relationship between the program </w:t>
      </w:r>
      <w:r w:rsidR="003C79BF">
        <w:t xml:space="preserve">qualification level and the new specification or standard. </w:t>
      </w:r>
    </w:p>
    <w:p w14:paraId="69582D1A" w14:textId="77777777" w:rsidR="003C79BF" w:rsidRDefault="009F0777" w:rsidP="003C79BF">
      <w:pPr>
        <w:pStyle w:val="TextMain"/>
      </w:pPr>
      <w:r>
        <w:t xml:space="preserve"> </w:t>
      </w:r>
    </w:p>
    <w:p w14:paraId="3E76C02B" w14:textId="4D8E1ABE" w:rsidR="001C0AD8" w:rsidRDefault="003C79BF" w:rsidP="003C79BF">
      <w:pPr>
        <w:pStyle w:val="TextMain"/>
      </w:pPr>
      <w:r>
        <w:lastRenderedPageBreak/>
        <w:t xml:space="preserve">For each product, we developed three </w:t>
      </w:r>
      <w:r w:rsidR="00FB7AD9">
        <w:t xml:space="preserve">with-program market share scenarios, reflecting different levels of program influence. </w:t>
      </w:r>
      <w:r w:rsidR="008B2FBA">
        <w:t xml:space="preserve">As described in </w:t>
      </w:r>
      <w:r w:rsidR="00E67430">
        <w:fldChar w:fldCharType="begin"/>
      </w:r>
      <w:r w:rsidR="00E67430">
        <w:instrText xml:space="preserve"> REF _Ref114138265 \h </w:instrText>
      </w:r>
      <w:r w:rsidR="00E67430">
        <w:fldChar w:fldCharType="separate"/>
      </w:r>
      <w:r w:rsidR="00790AD0">
        <w:t xml:space="preserve">Table </w:t>
      </w:r>
      <w:r w:rsidR="00790AD0">
        <w:rPr>
          <w:noProof/>
        </w:rPr>
        <w:t>2</w:t>
      </w:r>
      <w:r w:rsidR="00E67430">
        <w:fldChar w:fldCharType="end"/>
      </w:r>
      <w:r w:rsidR="00E67430">
        <w:t>, w</w:t>
      </w:r>
      <w:r w:rsidR="002529DE">
        <w:t xml:space="preserve">e developed these scenarios using a consistent approach across product types, with the exception of </w:t>
      </w:r>
      <w:r w:rsidR="008B2FBA">
        <w:t xml:space="preserve">ETA refrigerators. </w:t>
      </w:r>
      <w:r w:rsidR="00E67430">
        <w:t xml:space="preserve">Because </w:t>
      </w:r>
      <w:r w:rsidR="00504ECB">
        <w:t xml:space="preserve">refrigerators and freezers were officially eligible for the ETA only during </w:t>
      </w:r>
      <w:r w:rsidR="006546C6">
        <w:t>2020 and 2021</w:t>
      </w:r>
      <w:r w:rsidR="003C6FE1">
        <w:t>, we</w:t>
      </w:r>
      <w:r w:rsidR="00FB6F8C">
        <w:t xml:space="preserve"> do not anticipate market share will continue to grow in the same way it would for a specification that remained active. </w:t>
      </w:r>
      <w:r w:rsidR="00BD4BB0">
        <w:t xml:space="preserve">Our max forecast predicts market share will continue to grow through 2022 </w:t>
      </w:r>
      <w:r w:rsidR="00B51C3E">
        <w:t xml:space="preserve">before stabilizing, while our average forecast predicts market share will </w:t>
      </w:r>
      <w:r w:rsidR="004008DA">
        <w:t xml:space="preserve">stabilize with the end of the award period in 2021. </w:t>
      </w:r>
    </w:p>
    <w:p w14:paraId="2B689379" w14:textId="0E8ABF26" w:rsidR="008B2FBA" w:rsidRDefault="008B2FBA" w:rsidP="008B2FBA">
      <w:pPr>
        <w:pStyle w:val="Caption"/>
      </w:pPr>
      <w:bookmarkStart w:id="8" w:name="_Ref114138265"/>
      <w:r>
        <w:t xml:space="preserve">Table </w:t>
      </w:r>
      <w:r w:rsidR="00767138">
        <w:fldChar w:fldCharType="begin"/>
      </w:r>
      <w:r w:rsidR="00767138">
        <w:instrText xml:space="preserve"> SEQ Table \* ARABIC </w:instrText>
      </w:r>
      <w:r w:rsidR="00767138">
        <w:fldChar w:fldCharType="separate"/>
      </w:r>
      <w:r w:rsidR="00790AD0">
        <w:rPr>
          <w:noProof/>
        </w:rPr>
        <w:t>2</w:t>
      </w:r>
      <w:r w:rsidR="00767138">
        <w:rPr>
          <w:noProof/>
        </w:rPr>
        <w:fldChar w:fldCharType="end"/>
      </w:r>
      <w:bookmarkEnd w:id="8"/>
      <w:r>
        <w:t>: With-Program Market Share Scenario</w:t>
      </w:r>
      <w:r w:rsidR="00E67430">
        <w:t xml:space="preserve"> Approach</w:t>
      </w:r>
    </w:p>
    <w:tbl>
      <w:tblPr>
        <w:tblStyle w:val="ApexTable"/>
        <w:tblW w:w="0" w:type="auto"/>
        <w:tblLook w:val="04A0" w:firstRow="1" w:lastRow="0" w:firstColumn="1" w:lastColumn="0" w:noHBand="0" w:noVBand="1"/>
      </w:tblPr>
      <w:tblGrid>
        <w:gridCol w:w="1527"/>
        <w:gridCol w:w="4706"/>
        <w:gridCol w:w="3117"/>
      </w:tblGrid>
      <w:tr w:rsidR="001D3069" w14:paraId="4D3D4570" w14:textId="77777777" w:rsidTr="00F842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14:paraId="4E2B1DE8" w14:textId="4D508E50" w:rsidR="001D3069" w:rsidRDefault="001D3069" w:rsidP="003C79BF">
            <w:pPr>
              <w:pStyle w:val="TextMain"/>
            </w:pPr>
            <w:r>
              <w:t>Forecast Scenario</w:t>
            </w:r>
          </w:p>
        </w:tc>
        <w:tc>
          <w:tcPr>
            <w:tcW w:w="4706" w:type="dxa"/>
          </w:tcPr>
          <w:p w14:paraId="6727308F" w14:textId="6104BE1E" w:rsidR="001D3069" w:rsidRDefault="00BE27E1" w:rsidP="003C79BF">
            <w:pPr>
              <w:pStyle w:val="TextMain"/>
              <w:cnfStyle w:val="100000000000" w:firstRow="1" w:lastRow="0" w:firstColumn="0" w:lastColumn="0" w:oddVBand="0" w:evenVBand="0" w:oddHBand="0" w:evenHBand="0" w:firstRowFirstColumn="0" w:firstRowLastColumn="0" w:lastRowFirstColumn="0" w:lastRowLastColumn="0"/>
            </w:pPr>
            <w:r>
              <w:t>General Approach</w:t>
            </w:r>
          </w:p>
        </w:tc>
        <w:tc>
          <w:tcPr>
            <w:tcW w:w="3117" w:type="dxa"/>
          </w:tcPr>
          <w:p w14:paraId="657ED1A3" w14:textId="24652A00" w:rsidR="001D3069" w:rsidRDefault="00BE27E1" w:rsidP="003C79BF">
            <w:pPr>
              <w:pStyle w:val="TextMain"/>
              <w:cnfStyle w:val="100000000000" w:firstRow="1" w:lastRow="0" w:firstColumn="0" w:lastColumn="0" w:oddVBand="0" w:evenVBand="0" w:oddHBand="0" w:evenHBand="0" w:firstRowFirstColumn="0" w:firstRowLastColumn="0" w:lastRowFirstColumn="0" w:lastRowLastColumn="0"/>
            </w:pPr>
            <w:r>
              <w:t>Adaptation for ETA Refrigerators</w:t>
            </w:r>
          </w:p>
        </w:tc>
      </w:tr>
      <w:tr w:rsidR="001D3069" w14:paraId="29C09DBC" w14:textId="77777777" w:rsidTr="00F84202">
        <w:tc>
          <w:tcPr>
            <w:cnfStyle w:val="001000000000" w:firstRow="0" w:lastRow="0" w:firstColumn="1" w:lastColumn="0" w:oddVBand="0" w:evenVBand="0" w:oddHBand="0" w:evenHBand="0" w:firstRowFirstColumn="0" w:firstRowLastColumn="0" w:lastRowFirstColumn="0" w:lastRowLastColumn="0"/>
            <w:tcW w:w="1527" w:type="dxa"/>
          </w:tcPr>
          <w:p w14:paraId="429DB0C1" w14:textId="180B9D48" w:rsidR="001D3069" w:rsidRDefault="00B13A4B" w:rsidP="003C79BF">
            <w:pPr>
              <w:pStyle w:val="TextMain"/>
            </w:pPr>
            <w:r>
              <w:t>Max</w:t>
            </w:r>
          </w:p>
        </w:tc>
        <w:tc>
          <w:tcPr>
            <w:tcW w:w="4706" w:type="dxa"/>
          </w:tcPr>
          <w:p w14:paraId="3692B880" w14:textId="45F524E7" w:rsidR="001D3069" w:rsidRDefault="00B13A4B" w:rsidP="003C79BF">
            <w:pPr>
              <w:pStyle w:val="TextMain"/>
              <w:cnfStyle w:val="000000000000" w:firstRow="0" w:lastRow="0" w:firstColumn="0" w:lastColumn="0" w:oddVBand="0" w:evenVBand="0" w:oddHBand="0" w:evenHBand="0" w:firstRowFirstColumn="0" w:firstRowLastColumn="0" w:lastRowFirstColumn="0" w:lastRowLastColumn="0"/>
            </w:pPr>
            <w:r>
              <w:t>Forecast based on</w:t>
            </w:r>
            <w:r w:rsidR="00C041CD">
              <w:t xml:space="preserve"> reported </w:t>
            </w:r>
            <w:r w:rsidR="003C210F">
              <w:t>sales data for Jun 2020 – Dec 2021</w:t>
            </w:r>
            <w:r w:rsidR="004256F9">
              <w:t>, using 4-phase process described above</w:t>
            </w:r>
            <w:r w:rsidR="003C210F">
              <w:t xml:space="preserve">. </w:t>
            </w:r>
          </w:p>
        </w:tc>
        <w:tc>
          <w:tcPr>
            <w:tcW w:w="3117" w:type="dxa"/>
          </w:tcPr>
          <w:p w14:paraId="35BCDEEB" w14:textId="6073402F" w:rsidR="001D3069" w:rsidRDefault="004A5799" w:rsidP="003C79BF">
            <w:pPr>
              <w:pStyle w:val="TextMain"/>
              <w:cnfStyle w:val="000000000000" w:firstRow="0" w:lastRow="0" w:firstColumn="0" w:lastColumn="0" w:oddVBand="0" w:evenVBand="0" w:oddHBand="0" w:evenHBand="0" w:firstRowFirstColumn="0" w:firstRowLastColumn="0" w:lastRowFirstColumn="0" w:lastRowLastColumn="0"/>
            </w:pPr>
            <w:r>
              <w:t xml:space="preserve">Ends Phase 1 </w:t>
            </w:r>
            <w:r w:rsidR="008757EA">
              <w:t>in Dec. 2022.</w:t>
            </w:r>
          </w:p>
        </w:tc>
      </w:tr>
      <w:tr w:rsidR="001D3069" w14:paraId="04829254" w14:textId="77777777" w:rsidTr="00F84202">
        <w:tc>
          <w:tcPr>
            <w:cnfStyle w:val="001000000000" w:firstRow="0" w:lastRow="0" w:firstColumn="1" w:lastColumn="0" w:oddVBand="0" w:evenVBand="0" w:oddHBand="0" w:evenHBand="0" w:firstRowFirstColumn="0" w:firstRowLastColumn="0" w:lastRowFirstColumn="0" w:lastRowLastColumn="0"/>
            <w:tcW w:w="1527" w:type="dxa"/>
          </w:tcPr>
          <w:p w14:paraId="5D701042" w14:textId="0E02E7BB" w:rsidR="001D3069" w:rsidRDefault="008757EA" w:rsidP="003C79BF">
            <w:pPr>
              <w:pStyle w:val="TextMain"/>
            </w:pPr>
            <w:r>
              <w:t>Av</w:t>
            </w:r>
            <w:r w:rsidR="00B4309A">
              <w:t>erage</w:t>
            </w:r>
          </w:p>
        </w:tc>
        <w:tc>
          <w:tcPr>
            <w:tcW w:w="4706" w:type="dxa"/>
          </w:tcPr>
          <w:p w14:paraId="2F2CA173" w14:textId="33E7DF1B" w:rsidR="001D3069" w:rsidRDefault="00AF1CE2" w:rsidP="003C79BF">
            <w:pPr>
              <w:pStyle w:val="TextMain"/>
              <w:cnfStyle w:val="000000000000" w:firstRow="0" w:lastRow="0" w:firstColumn="0" w:lastColumn="0" w:oddVBand="0" w:evenVBand="0" w:oddHBand="0" w:evenHBand="0" w:firstRowFirstColumn="0" w:firstRowLastColumn="0" w:lastRowFirstColumn="0" w:lastRowLastColumn="0"/>
            </w:pPr>
            <w:r>
              <w:t>Midpoint</w:t>
            </w:r>
            <w:r w:rsidR="00B4309A">
              <w:t xml:space="preserve"> between annual baseline market share and max forecast market share</w:t>
            </w:r>
          </w:p>
        </w:tc>
        <w:tc>
          <w:tcPr>
            <w:tcW w:w="3117" w:type="dxa"/>
          </w:tcPr>
          <w:p w14:paraId="5E3A7AB6" w14:textId="29CB9E0A" w:rsidR="001D3069" w:rsidRDefault="00031715" w:rsidP="003C79BF">
            <w:pPr>
              <w:pStyle w:val="TextMain"/>
              <w:cnfStyle w:val="000000000000" w:firstRow="0" w:lastRow="0" w:firstColumn="0" w:lastColumn="0" w:oddVBand="0" w:evenVBand="0" w:oddHBand="0" w:evenHBand="0" w:firstRowFirstColumn="0" w:firstRowLastColumn="0" w:lastRowFirstColumn="0" w:lastRowLastColumn="0"/>
            </w:pPr>
            <w:r>
              <w:t>Uses same forecast process as max scenario, but e</w:t>
            </w:r>
            <w:r w:rsidR="004256F9">
              <w:t>nds Phase 1 in Dec. 2021.</w:t>
            </w:r>
          </w:p>
        </w:tc>
      </w:tr>
      <w:tr w:rsidR="001D3069" w14:paraId="2B385A20" w14:textId="77777777" w:rsidTr="00F84202">
        <w:tc>
          <w:tcPr>
            <w:cnfStyle w:val="001000000000" w:firstRow="0" w:lastRow="0" w:firstColumn="1" w:lastColumn="0" w:oddVBand="0" w:evenVBand="0" w:oddHBand="0" w:evenHBand="0" w:firstRowFirstColumn="0" w:firstRowLastColumn="0" w:lastRowFirstColumn="0" w:lastRowLastColumn="0"/>
            <w:tcW w:w="1527" w:type="dxa"/>
          </w:tcPr>
          <w:p w14:paraId="20345DCF" w14:textId="1E593326" w:rsidR="001D3069" w:rsidRDefault="00AF1CE2" w:rsidP="003C79BF">
            <w:pPr>
              <w:pStyle w:val="TextMain"/>
            </w:pPr>
            <w:r>
              <w:t>Low</w:t>
            </w:r>
          </w:p>
        </w:tc>
        <w:tc>
          <w:tcPr>
            <w:tcW w:w="4706" w:type="dxa"/>
          </w:tcPr>
          <w:p w14:paraId="13FF9802" w14:textId="5C1FBAC5" w:rsidR="001D3069" w:rsidRDefault="00AF1CE2" w:rsidP="003C79BF">
            <w:pPr>
              <w:pStyle w:val="TextMain"/>
              <w:cnfStyle w:val="000000000000" w:firstRow="0" w:lastRow="0" w:firstColumn="0" w:lastColumn="0" w:oddVBand="0" w:evenVBand="0" w:oddHBand="0" w:evenHBand="0" w:firstRowFirstColumn="0" w:firstRowLastColumn="0" w:lastRowFirstColumn="0" w:lastRowLastColumn="0"/>
            </w:pPr>
            <w:r>
              <w:t>Midpoint between average forecast and baseline forecast</w:t>
            </w:r>
          </w:p>
        </w:tc>
        <w:tc>
          <w:tcPr>
            <w:tcW w:w="3117" w:type="dxa"/>
          </w:tcPr>
          <w:p w14:paraId="4F7734FB" w14:textId="3A5B90CB" w:rsidR="001D3069" w:rsidRDefault="00D978D1" w:rsidP="003C79BF">
            <w:pPr>
              <w:pStyle w:val="TextMain"/>
              <w:cnfStyle w:val="000000000000" w:firstRow="0" w:lastRow="0" w:firstColumn="0" w:lastColumn="0" w:oddVBand="0" w:evenVBand="0" w:oddHBand="0" w:evenHBand="0" w:firstRowFirstColumn="0" w:firstRowLastColumn="0" w:lastRowFirstColumn="0" w:lastRowLastColumn="0"/>
            </w:pPr>
            <w:r>
              <w:t>None</w:t>
            </w:r>
          </w:p>
        </w:tc>
      </w:tr>
    </w:tbl>
    <w:p w14:paraId="2B6F990E" w14:textId="51F3C502" w:rsidR="00966D1F" w:rsidRDefault="005D72A0" w:rsidP="009D7191">
      <w:pPr>
        <w:pStyle w:val="Heading1"/>
      </w:pPr>
      <w:r>
        <w:t>Unit Sales and</w:t>
      </w:r>
      <w:r w:rsidR="001008E7">
        <w:t xml:space="preserve"> Energy Savings </w:t>
      </w:r>
      <w:r w:rsidR="00372C8D">
        <w:t>Forecast</w:t>
      </w:r>
    </w:p>
    <w:p w14:paraId="7E74E16A" w14:textId="3D093EFE" w:rsidR="00827F44" w:rsidRDefault="008749B4" w:rsidP="008749B4">
      <w:pPr>
        <w:pStyle w:val="TextMain"/>
      </w:pPr>
      <w:r>
        <w:t xml:space="preserve">Apex used the forecasted natural market baseline </w:t>
      </w:r>
      <w:r w:rsidR="00EA1374">
        <w:t xml:space="preserve">and </w:t>
      </w:r>
      <w:r w:rsidR="00083720">
        <w:t xml:space="preserve">with-program </w:t>
      </w:r>
      <w:r w:rsidR="002732DE">
        <w:t xml:space="preserve">market share </w:t>
      </w:r>
      <w:r w:rsidR="00083720">
        <w:t>forecast</w:t>
      </w:r>
      <w:r w:rsidR="00EA1374">
        <w:t xml:space="preserve"> scenarios</w:t>
      </w:r>
      <w:r w:rsidR="00902693">
        <w:t xml:space="preserve">, along with a forecast of </w:t>
      </w:r>
      <w:r w:rsidR="00EA1374">
        <w:t xml:space="preserve">anticipated annual unit sales volumes and </w:t>
      </w:r>
      <w:r w:rsidR="00EF3B8C">
        <w:t>unit</w:t>
      </w:r>
      <w:r w:rsidR="00FD7226">
        <w:t xml:space="preserve"> savings </w:t>
      </w:r>
      <w:r w:rsidR="00902693">
        <w:t>values</w:t>
      </w:r>
      <w:r w:rsidR="00105514">
        <w:t>,</w:t>
      </w:r>
      <w:r w:rsidR="00902693">
        <w:t xml:space="preserve"> to </w:t>
      </w:r>
      <w:r w:rsidR="00EF3B8C">
        <w:t xml:space="preserve">predict electric energy savings </w:t>
      </w:r>
      <w:r w:rsidR="00FD7226">
        <w:t>attribut</w:t>
      </w:r>
      <w:r w:rsidR="00EF3B8C">
        <w:t>able</w:t>
      </w:r>
      <w:r w:rsidR="00FD7226">
        <w:t xml:space="preserve"> to the ComEd ESRPP program. Th</w:t>
      </w:r>
      <w:r w:rsidR="001008E7">
        <w:t>is</w:t>
      </w:r>
      <w:r w:rsidR="00FD7226">
        <w:t xml:space="preserve"> section </w:t>
      </w:r>
      <w:r w:rsidR="001008E7">
        <w:t xml:space="preserve">describes </w:t>
      </w:r>
      <w:r w:rsidR="00FD7226">
        <w:t xml:space="preserve">the logic and assumptions </w:t>
      </w:r>
      <w:r w:rsidR="00126E8A">
        <w:t xml:space="preserve">underlying these </w:t>
      </w:r>
      <w:r w:rsidR="00FE0F5A">
        <w:t>savings</w:t>
      </w:r>
      <w:r w:rsidR="00FD7226">
        <w:t xml:space="preserve"> forecast</w:t>
      </w:r>
      <w:r w:rsidR="00FE0F5A">
        <w:t>s</w:t>
      </w:r>
      <w:r w:rsidR="00FD7226">
        <w:t xml:space="preserve">. </w:t>
      </w:r>
      <w:r w:rsidR="001A4654">
        <w:t xml:space="preserve">We first </w:t>
      </w:r>
      <w:r w:rsidR="008C1EF2">
        <w:t xml:space="preserve">define each of the </w:t>
      </w:r>
      <w:r w:rsidR="006B3446" w:rsidRPr="006B3446">
        <w:t xml:space="preserve">unit and energy savings forecasts </w:t>
      </w:r>
      <w:r w:rsidR="008C1EF2">
        <w:t xml:space="preserve">equations and then follow with descriptions for </w:t>
      </w:r>
      <w:r w:rsidR="006B3446">
        <w:t xml:space="preserve">each of </w:t>
      </w:r>
      <w:r w:rsidR="008C1EF2">
        <w:t xml:space="preserve">the primary components used in the equations. </w:t>
      </w:r>
    </w:p>
    <w:p w14:paraId="12102F11" w14:textId="10E27005" w:rsidR="008749B4" w:rsidRDefault="00827F44" w:rsidP="008749B4">
      <w:pPr>
        <w:pStyle w:val="TextMain"/>
      </w:pPr>
      <w:r>
        <w:t xml:space="preserve">As detailed below, </w:t>
      </w:r>
      <w:r w:rsidR="00E74A6A">
        <w:t xml:space="preserve">we opted for constant values in some cases. </w:t>
      </w:r>
      <w:r w:rsidR="00F62B3D">
        <w:t>We note that</w:t>
      </w:r>
      <w:r w:rsidR="00B67BD6">
        <w:t xml:space="preserve"> while in many cases, shifts in these variables are possible, and could impact ESRPP savings, we determined that the additional uncertainty introduced by attempting to forecast changes in these elements outweighed the potential benefits of incorporating those changes into the model.</w:t>
      </w:r>
    </w:p>
    <w:p w14:paraId="117C60DF" w14:textId="6F2D76F1" w:rsidR="003360D2" w:rsidRDefault="00D403A9" w:rsidP="00A93A79">
      <w:pPr>
        <w:pStyle w:val="Heading2"/>
      </w:pPr>
      <w:r>
        <w:t>Unit Sales</w:t>
      </w:r>
    </w:p>
    <w:p w14:paraId="156CC680" w14:textId="6F638338" w:rsidR="00270A4A" w:rsidRDefault="00270A4A" w:rsidP="00D403A9">
      <w:pPr>
        <w:pStyle w:val="TextMain"/>
      </w:pPr>
      <w:r>
        <w:t xml:space="preserve">Apex calculated predicted </w:t>
      </w:r>
      <w:r w:rsidR="00072814">
        <w:t xml:space="preserve">total </w:t>
      </w:r>
      <w:r w:rsidR="001C3A95">
        <w:t xml:space="preserve">qualified </w:t>
      </w:r>
      <w:r>
        <w:t xml:space="preserve">unit sales volumes each year </w:t>
      </w:r>
      <w:r w:rsidR="0022328E">
        <w:t xml:space="preserve">under a natural market baseline, </w:t>
      </w:r>
      <w:r w:rsidR="005F3DA4">
        <w:t xml:space="preserve">and max, average, and minimum with-program scenarios </w:t>
      </w:r>
      <w:r>
        <w:t xml:space="preserve">based on </w:t>
      </w:r>
      <w:r w:rsidR="0054073C">
        <w:fldChar w:fldCharType="begin"/>
      </w:r>
      <w:r w:rsidR="0054073C">
        <w:instrText xml:space="preserve"> REF _Ref114149785 \h </w:instrText>
      </w:r>
      <w:r w:rsidR="0054073C">
        <w:fldChar w:fldCharType="separate"/>
      </w:r>
      <w:r w:rsidR="00790AD0">
        <w:t xml:space="preserve">Equation </w:t>
      </w:r>
      <w:r w:rsidR="00790AD0">
        <w:rPr>
          <w:noProof/>
        </w:rPr>
        <w:t>1</w:t>
      </w:r>
      <w:r w:rsidR="0054073C">
        <w:fldChar w:fldCharType="end"/>
      </w:r>
      <w:r w:rsidR="0054073C">
        <w:t>, below.</w:t>
      </w:r>
      <w:r>
        <w:t xml:space="preserve"> </w:t>
      </w:r>
      <w:r w:rsidR="00784A54">
        <w:t xml:space="preserve">Hyperlinks </w:t>
      </w:r>
      <w:r w:rsidR="00C57B46">
        <w:t xml:space="preserve">(hover, use CTRL and select item with mouse) </w:t>
      </w:r>
      <w:r w:rsidR="00784A54">
        <w:t xml:space="preserve">are provided to the relevant description/definition associated with the newly defined components in each equation below. </w:t>
      </w:r>
    </w:p>
    <w:p w14:paraId="0043E493" w14:textId="39F41977" w:rsidR="006B56E0" w:rsidRDefault="006B56E0" w:rsidP="006B56E0">
      <w:pPr>
        <w:pStyle w:val="Caption"/>
      </w:pPr>
      <w:bookmarkStart w:id="9" w:name="_Ref114149785"/>
      <w:r>
        <w:t xml:space="preserve">Equation </w:t>
      </w:r>
      <w:r w:rsidR="00767138">
        <w:fldChar w:fldCharType="begin"/>
      </w:r>
      <w:r w:rsidR="00767138">
        <w:instrText xml:space="preserve"> SEQ Equation \* ARABIC </w:instrText>
      </w:r>
      <w:r w:rsidR="00767138">
        <w:fldChar w:fldCharType="separate"/>
      </w:r>
      <w:r w:rsidR="00790AD0">
        <w:rPr>
          <w:noProof/>
        </w:rPr>
        <w:t>1</w:t>
      </w:r>
      <w:r w:rsidR="00767138">
        <w:rPr>
          <w:noProof/>
        </w:rPr>
        <w:fldChar w:fldCharType="end"/>
      </w:r>
      <w:bookmarkEnd w:id="9"/>
      <w:r>
        <w:t>: Total Qualified Sales Volume</w:t>
      </w:r>
    </w:p>
    <w:p w14:paraId="07F238FD" w14:textId="56D459D6" w:rsidR="007F707B" w:rsidRDefault="007F707B" w:rsidP="00D403A9">
      <w:pPr>
        <w:pStyle w:val="TextMain"/>
      </w:pPr>
      <w:r>
        <w:rPr>
          <w:noProof/>
        </w:rPr>
        <mc:AlternateContent>
          <mc:Choice Requires="wpc">
            <w:drawing>
              <wp:inline distT="0" distB="0" distL="0" distR="0" wp14:anchorId="2B874B39" wp14:editId="66BD038C">
                <wp:extent cx="5486400" cy="493665"/>
                <wp:effectExtent l="0" t="0" r="0" b="190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 name="Text Box 4"/>
                        <wps:cNvSpPr txBox="1"/>
                        <wps:spPr>
                          <a:xfrm>
                            <a:off x="0" y="1"/>
                            <a:ext cx="875130" cy="457200"/>
                          </a:xfrm>
                          <a:prstGeom prst="rect">
                            <a:avLst/>
                          </a:prstGeom>
                          <a:solidFill>
                            <a:schemeClr val="lt1"/>
                          </a:solidFill>
                          <a:ln w="6350">
                            <a:noFill/>
                          </a:ln>
                        </wps:spPr>
                        <wps:txbx>
                          <w:txbxContent>
                            <w:p w14:paraId="0BA25F64" w14:textId="684E68E1" w:rsidR="007F707B" w:rsidRPr="008224B3" w:rsidRDefault="000E0EDB" w:rsidP="007F707B">
                              <w:pPr>
                                <w:spacing w:line="240" w:lineRule="auto"/>
                                <w:rPr>
                                  <w:i/>
                                  <w:iCs/>
                                </w:rPr>
                              </w:pPr>
                              <w:r>
                                <w:rPr>
                                  <w:i/>
                                  <w:iCs/>
                                </w:rPr>
                                <w:t xml:space="preserve">Total </w:t>
                              </w:r>
                              <w:r w:rsidR="007F707B" w:rsidRPr="008224B3">
                                <w:rPr>
                                  <w:i/>
                                  <w:iCs/>
                                </w:rPr>
                                <w:t>Qualified Sales Volume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Text Box 4"/>
                        <wps:cNvSpPr txBox="1"/>
                        <wps:spPr>
                          <a:xfrm>
                            <a:off x="880740" y="0"/>
                            <a:ext cx="168294" cy="457200"/>
                          </a:xfrm>
                          <a:prstGeom prst="rect">
                            <a:avLst/>
                          </a:prstGeom>
                          <a:solidFill>
                            <a:schemeClr val="lt1"/>
                          </a:solidFill>
                          <a:ln w="6350">
                            <a:noFill/>
                          </a:ln>
                        </wps:spPr>
                        <wps:txbx>
                          <w:txbxContent>
                            <w:p w14:paraId="2C4B9A97" w14:textId="4950FAA6" w:rsidR="007F707B" w:rsidRPr="006327A6" w:rsidRDefault="006327A6" w:rsidP="006327A6">
                              <w:pPr>
                                <w:jc w:val="center"/>
                                <w:rPr>
                                  <w:sz w:val="44"/>
                                  <w:szCs w:val="44"/>
                                </w:rPr>
                              </w:pPr>
                              <w:r w:rsidRPr="006327A6">
                                <w:rPr>
                                  <w:sz w:val="44"/>
                                  <w:szCs w:val="44"/>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Text Box 4">
                          <a:hlinkClick r:id="rId18"/>
                        </wps:cNvPr>
                        <wps:cNvSpPr txBox="1"/>
                        <wps:spPr>
                          <a:xfrm>
                            <a:off x="1088304" y="0"/>
                            <a:ext cx="443174" cy="457200"/>
                          </a:xfrm>
                          <a:prstGeom prst="rect">
                            <a:avLst/>
                          </a:prstGeom>
                          <a:solidFill>
                            <a:schemeClr val="lt1"/>
                          </a:solidFill>
                          <a:ln w="6350">
                            <a:noFill/>
                          </a:ln>
                        </wps:spPr>
                        <wps:txbx>
                          <w:txbxContent>
                            <w:p w14:paraId="52F3DB4B" w14:textId="24DAEBDD" w:rsidR="00B00AEC" w:rsidRPr="008224B3" w:rsidRDefault="00B00AEC" w:rsidP="00B00AEC">
                              <w:pPr>
                                <w:spacing w:line="240" w:lineRule="auto"/>
                                <w:rPr>
                                  <w:i/>
                                  <w:iCs/>
                                </w:rPr>
                              </w:pPr>
                              <w:r w:rsidRPr="008224B3">
                                <w:rPr>
                                  <w:i/>
                                  <w:iCs/>
                                </w:rPr>
                                <w:t>Market Share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Text Box 4"/>
                        <wps:cNvSpPr txBox="1"/>
                        <wps:spPr>
                          <a:xfrm>
                            <a:off x="1525879" y="0"/>
                            <a:ext cx="307975" cy="457200"/>
                          </a:xfrm>
                          <a:prstGeom prst="rect">
                            <a:avLst/>
                          </a:prstGeom>
                          <a:solidFill>
                            <a:schemeClr val="lt1"/>
                          </a:solidFill>
                          <a:ln w="6350">
                            <a:noFill/>
                          </a:ln>
                        </wps:spPr>
                        <wps:txbx>
                          <w:txbxContent>
                            <w:p w14:paraId="1EB8E3A9" w14:textId="210B2BCD" w:rsidR="00B00AEC" w:rsidRDefault="00B00AEC" w:rsidP="00B00AEC">
                              <w:pPr>
                                <w:jc w:val="center"/>
                                <w:rPr>
                                  <w:sz w:val="44"/>
                                  <w:szCs w:val="44"/>
                                </w:rPr>
                              </w:pPr>
                              <w:r>
                                <w:rPr>
                                  <w:sz w:val="44"/>
                                  <w:szCs w:val="44"/>
                                </w:rPr>
                                <w:t>x</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 name="Text Box 4">
                          <a:hlinkClick r:id="rId19"/>
                        </wps:cNvPr>
                        <wps:cNvSpPr txBox="1"/>
                        <wps:spPr>
                          <a:xfrm>
                            <a:off x="1828248" y="0"/>
                            <a:ext cx="813987" cy="457200"/>
                          </a:xfrm>
                          <a:prstGeom prst="rect">
                            <a:avLst/>
                          </a:prstGeom>
                          <a:solidFill>
                            <a:schemeClr val="lt1"/>
                          </a:solidFill>
                          <a:ln w="6350">
                            <a:noFill/>
                          </a:ln>
                        </wps:spPr>
                        <wps:txbx>
                          <w:txbxContent>
                            <w:p w14:paraId="031DCC88" w14:textId="1ED2B327" w:rsidR="00B00AEC" w:rsidRPr="008224B3" w:rsidRDefault="00EE5263" w:rsidP="00EE5263">
                              <w:pPr>
                                <w:spacing w:line="240" w:lineRule="auto"/>
                                <w:rPr>
                                  <w:i/>
                                  <w:iCs/>
                                </w:rPr>
                              </w:pPr>
                              <w:r w:rsidRPr="008224B3">
                                <w:rPr>
                                  <w:i/>
                                  <w:iCs/>
                                </w:rPr>
                                <w:t>Total Market Size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Text Box 4"/>
                        <wps:cNvSpPr txBox="1"/>
                        <wps:spPr>
                          <a:xfrm>
                            <a:off x="2584980" y="1"/>
                            <a:ext cx="307975" cy="457200"/>
                          </a:xfrm>
                          <a:prstGeom prst="rect">
                            <a:avLst/>
                          </a:prstGeom>
                          <a:solidFill>
                            <a:schemeClr val="lt1"/>
                          </a:solidFill>
                          <a:ln w="6350">
                            <a:noFill/>
                          </a:ln>
                        </wps:spPr>
                        <wps:txbx>
                          <w:txbxContent>
                            <w:p w14:paraId="3576F039" w14:textId="77777777" w:rsidR="00EE5263" w:rsidRDefault="00EE5263" w:rsidP="00EE5263">
                              <w:pPr>
                                <w:jc w:val="center"/>
                                <w:rPr>
                                  <w:sz w:val="44"/>
                                  <w:szCs w:val="44"/>
                                </w:rPr>
                              </w:pPr>
                              <w:r>
                                <w:rPr>
                                  <w:sz w:val="44"/>
                                  <w:szCs w:val="44"/>
                                </w:rPr>
                                <w:t>x</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4" name="Text Box 4">
                          <a:hlinkClick r:id="rId20"/>
                        </wps:cNvPr>
                        <wps:cNvSpPr txBox="1"/>
                        <wps:spPr>
                          <a:xfrm>
                            <a:off x="2892955" y="0"/>
                            <a:ext cx="809523" cy="457200"/>
                          </a:xfrm>
                          <a:prstGeom prst="rect">
                            <a:avLst/>
                          </a:prstGeom>
                          <a:solidFill>
                            <a:schemeClr val="lt1"/>
                          </a:solidFill>
                          <a:ln w="6350">
                            <a:noFill/>
                          </a:ln>
                        </wps:spPr>
                        <wps:txbx>
                          <w:txbxContent>
                            <w:p w14:paraId="4B68EB96" w14:textId="7625C8E0" w:rsidR="00EE5263" w:rsidRPr="008224B3" w:rsidRDefault="00890B8A" w:rsidP="00890B8A">
                              <w:pPr>
                                <w:spacing w:line="240" w:lineRule="auto"/>
                                <w:rPr>
                                  <w:i/>
                                  <w:iCs/>
                                </w:rPr>
                              </w:pPr>
                              <w:r w:rsidRPr="008224B3">
                                <w:rPr>
                                  <w:i/>
                                  <w:iCs/>
                                </w:rPr>
                                <w:t>Configuration Share</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B874B39" id="Canvas 2" o:spid="_x0000_s1026" editas="canvas" style="width:6in;height:38.85pt;mso-position-horizontal-relative:char;mso-position-vertical-relative:line" coordsize="54864,4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933;visibility:visible;mso-wrap-style:square" filled="t">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875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" fillcolor="white [3201]" stroked="f" strokeweight=".5pt">
                  <v:textbox inset="0,0,0,0">
                    <w:txbxContent>
                      <w:p w14:paraId="0BA25F64" w14:textId="684E68E1" w:rsidR="007F707B" w:rsidRPr="008224B3" w:rsidRDefault="000E0EDB" w:rsidP="007F707B">
                        <w:pPr>
                          <w:spacing w:line="240" w:lineRule="auto"/>
                          <w:rPr>
                            <w:i/>
                            <w:iCs/>
                          </w:rPr>
                        </w:pPr>
                        <w:r>
                          <w:rPr>
                            <w:i/>
                            <w:iCs/>
                          </w:rPr>
                          <w:t xml:space="preserve">Total </w:t>
                        </w:r>
                        <w:r w:rsidR="007F707B" w:rsidRPr="008224B3">
                          <w:rPr>
                            <w:i/>
                            <w:iCs/>
                          </w:rPr>
                          <w:t>Qualified Sales Volume</w:t>
                        </w:r>
                      </w:p>
                    </w:txbxContent>
                  </v:textbox>
                </v:shape>
                <v:shape id="Text Box 4" o:spid="_x0000_s1029" type="#_x0000_t202" style="position:absolute;left:8807;width:168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" fillcolor="white [3201]" stroked="f" strokeweight=".5pt">
                  <v:textbox inset="0,0,0,0">
                    <w:txbxContent>
                      <w:p w14:paraId="2C4B9A97" w14:textId="4950FAA6" w:rsidR="007F707B" w:rsidRPr="006327A6" w:rsidRDefault="006327A6" w:rsidP="006327A6">
                        <w:pPr>
                          <w:jc w:val="center"/>
                          <w:rPr>
                            <w:sz w:val="44"/>
                            <w:szCs w:val="44"/>
                          </w:rPr>
                        </w:pPr>
                        <w:r w:rsidRPr="006327A6">
                          <w:rPr>
                            <w:sz w:val="44"/>
                            <w:szCs w:val="44"/>
                          </w:rPr>
                          <w:t>=</w:t>
                        </w:r>
                      </w:p>
                    </w:txbxContent>
                  </v:textbox>
                </v:shape>
                <v:shape id="Text Box 4" o:spid="_x0000_s1030" type="#_x0000_t202" href="#_Baseline_Estimates" style="position:absolute;left:10883;width:443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" o:button="t" fillcolor="white [3201]" stroked="f" strokeweight=".5pt">
                  <v:fill o:detectmouseclick="t"/>
                  <v:textbox inset="0,0,0,0">
                    <w:txbxContent>
                      <w:p w14:paraId="52F3DB4B" w14:textId="24DAEBDD" w:rsidR="00B00AEC" w:rsidRPr="008224B3" w:rsidRDefault="00B00AEC" w:rsidP="00B00AEC">
                        <w:pPr>
                          <w:spacing w:line="240" w:lineRule="auto"/>
                          <w:rPr>
                            <w:i/>
                            <w:iCs/>
                          </w:rPr>
                        </w:pPr>
                        <w:r w:rsidRPr="008224B3">
                          <w:rPr>
                            <w:i/>
                            <w:iCs/>
                          </w:rPr>
                          <w:t>Market Share</w:t>
                        </w:r>
                      </w:p>
                    </w:txbxContent>
                  </v:textbox>
                </v:shape>
                <v:shape id="Text Box 4" o:spid="_x0000_s1031" type="#_x0000_t202" style="position:absolute;left:15258;width:308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" fillcolor="white [3201]" stroked="f" strokeweight=".5pt">
                  <v:textbox inset="0,0,0,0">
                    <w:txbxContent>
                      <w:p w14:paraId="1EB8E3A9" w14:textId="210B2BCD" w:rsidR="00B00AEC" w:rsidRDefault="00B00AEC" w:rsidP="00B00AEC">
                        <w:pPr>
                          <w:jc w:val="center"/>
                          <w:rPr>
                            <w:sz w:val="44"/>
                            <w:szCs w:val="44"/>
                          </w:rPr>
                        </w:pPr>
                        <w:r>
                          <w:rPr>
                            <w:sz w:val="44"/>
                            <w:szCs w:val="44"/>
                          </w:rPr>
                          <w:t>x</w:t>
                        </w:r>
                      </w:p>
                    </w:txbxContent>
                  </v:textbox>
                </v:shape>
                <v:shape id="Text Box 4" o:spid="_x0000_s1032" type="#_x0000_t202" href="#_Total_Market_Size" style="position:absolute;left:18282;width:814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" o:button="t" fillcolor="white [3201]" stroked="f" strokeweight=".5pt">
                  <v:fill o:detectmouseclick="t"/>
                  <v:textbox inset="0,0,0,0">
                    <w:txbxContent>
                      <w:p w14:paraId="031DCC88" w14:textId="1ED2B327" w:rsidR="00B00AEC" w:rsidRPr="008224B3" w:rsidRDefault="00EE5263" w:rsidP="00EE5263">
                        <w:pPr>
                          <w:spacing w:line="240" w:lineRule="auto"/>
                          <w:rPr>
                            <w:i/>
                            <w:iCs/>
                          </w:rPr>
                        </w:pPr>
                        <w:r w:rsidRPr="008224B3">
                          <w:rPr>
                            <w:i/>
                            <w:iCs/>
                          </w:rPr>
                          <w:t>Total Market Size</w:t>
                        </w:r>
                      </w:p>
                    </w:txbxContent>
                  </v:textbox>
                </v:shape>
                <v:shape id="Text Box 4" o:spid="_x0000_s1033" type="#_x0000_t202" style="position:absolute;left:25849;width:308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" fillcolor="white [3201]" stroked="f" strokeweight=".5pt">
                  <v:textbox inset="0,0,0,0">
                    <w:txbxContent>
                      <w:p w14:paraId="3576F039" w14:textId="77777777" w:rsidR="00EE5263" w:rsidRDefault="00EE5263" w:rsidP="00EE5263">
                        <w:pPr>
                          <w:jc w:val="center"/>
                          <w:rPr>
                            <w:sz w:val="44"/>
                            <w:szCs w:val="44"/>
                          </w:rPr>
                        </w:pPr>
                        <w:r>
                          <w:rPr>
                            <w:sz w:val="44"/>
                            <w:szCs w:val="44"/>
                          </w:rPr>
                          <w:t>x</w:t>
                        </w:r>
                      </w:p>
                    </w:txbxContent>
                  </v:textbox>
                </v:shape>
                <v:shape id="Text Box 4" o:spid="_x0000_s1034" type="#_x0000_t202" href="#_Configuration_Share" style="position:absolute;left:28929;width:809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" o:button="t" fillcolor="white [3201]" stroked="f" strokeweight=".5pt">
                  <v:fill o:detectmouseclick="t"/>
                  <v:textbox inset="0,0,0,0">
                    <w:txbxContent>
                      <w:p w14:paraId="4B68EB96" w14:textId="7625C8E0" w:rsidR="00EE5263" w:rsidRPr="008224B3" w:rsidRDefault="00890B8A" w:rsidP="00890B8A">
                        <w:pPr>
                          <w:spacing w:line="240" w:lineRule="auto"/>
                          <w:rPr>
                            <w:i/>
                            <w:iCs/>
                          </w:rPr>
                        </w:pPr>
                        <w:r w:rsidRPr="008224B3">
                          <w:rPr>
                            <w:i/>
                            <w:iCs/>
                          </w:rPr>
                          <w:t>Configuration Share</w:t>
                        </w:r>
                      </w:p>
                    </w:txbxContent>
                  </v:textbox>
                </v:shape>
                <w10:anchorlock/>
              </v:group>
            </w:pict>
          </mc:Fallback>
        </mc:AlternateContent>
      </w:r>
    </w:p>
    <w:p w14:paraId="3F698523" w14:textId="7F773C60" w:rsidR="00EA5194" w:rsidRDefault="00E66D4F" w:rsidP="00D403A9">
      <w:pPr>
        <w:pStyle w:val="TextMain"/>
      </w:pPr>
      <w:r>
        <w:lastRenderedPageBreak/>
        <w:t xml:space="preserve">We then calculated the volume of qualified sales </w:t>
      </w:r>
      <w:r w:rsidR="00A809D6">
        <w:t>passing through</w:t>
      </w:r>
      <w:r w:rsidR="006D2532">
        <w:t xml:space="preserve"> ESRPP participating retailers</w:t>
      </w:r>
      <w:r w:rsidR="007B068F">
        <w:t xml:space="preserve"> based on estimates of the </w:t>
      </w:r>
      <w:r w:rsidR="0098178F">
        <w:t>share of total sales passing through ESRPP retailers (</w:t>
      </w:r>
      <w:r w:rsidR="0098178F">
        <w:fldChar w:fldCharType="begin"/>
      </w:r>
      <w:r w:rsidR="0098178F">
        <w:instrText xml:space="preserve"> REF _Ref114211669 \h </w:instrText>
      </w:r>
      <w:r w:rsidR="0098178F">
        <w:fldChar w:fldCharType="separate"/>
      </w:r>
      <w:r w:rsidR="00790AD0">
        <w:t xml:space="preserve">Equation </w:t>
      </w:r>
      <w:r w:rsidR="00790AD0">
        <w:rPr>
          <w:noProof/>
        </w:rPr>
        <w:t>2</w:t>
      </w:r>
      <w:r w:rsidR="0098178F">
        <w:fldChar w:fldCharType="end"/>
      </w:r>
      <w:r w:rsidR="00143D87">
        <w:t>)</w:t>
      </w:r>
      <w:r w:rsidR="006D2532">
        <w:t xml:space="preserve">. </w:t>
      </w:r>
    </w:p>
    <w:p w14:paraId="2A467A83" w14:textId="653FDFA0" w:rsidR="00E66D4F" w:rsidRDefault="007E6433" w:rsidP="007E6433">
      <w:pPr>
        <w:pStyle w:val="Caption"/>
      </w:pPr>
      <w:bookmarkStart w:id="10" w:name="_Ref114211669"/>
      <w:r>
        <w:t xml:space="preserve">Equation </w:t>
      </w:r>
      <w:r w:rsidR="00767138">
        <w:fldChar w:fldCharType="begin"/>
      </w:r>
      <w:r w:rsidR="00767138">
        <w:instrText xml:space="preserve"> SEQ Equation \* ARABIC </w:instrText>
      </w:r>
      <w:r w:rsidR="00767138">
        <w:fldChar w:fldCharType="separate"/>
      </w:r>
      <w:r w:rsidR="00790AD0">
        <w:rPr>
          <w:noProof/>
        </w:rPr>
        <w:t>2</w:t>
      </w:r>
      <w:r w:rsidR="00767138">
        <w:rPr>
          <w:noProof/>
        </w:rPr>
        <w:fldChar w:fldCharType="end"/>
      </w:r>
      <w:bookmarkEnd w:id="10"/>
      <w:r>
        <w:t xml:space="preserve">: Qualified Sales Volume </w:t>
      </w:r>
      <w:r w:rsidR="002356F6">
        <w:t>Sold Through</w:t>
      </w:r>
      <w:r>
        <w:t xml:space="preserve"> ESRPP Retailers</w:t>
      </w:r>
    </w:p>
    <w:p w14:paraId="113ED894" w14:textId="1A3C20AA" w:rsidR="007E6433" w:rsidRPr="007E6433" w:rsidRDefault="007E6433" w:rsidP="007E6433">
      <w:r>
        <w:rPr>
          <w:noProof/>
        </w:rPr>
        <mc:AlternateContent>
          <mc:Choice Requires="wpc">
            <w:drawing>
              <wp:inline distT="0" distB="0" distL="0" distR="0" wp14:anchorId="0FBDEA62" wp14:editId="29D93851">
                <wp:extent cx="5486400" cy="493665"/>
                <wp:effectExtent l="0" t="0" r="0" b="1905"/>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6" name="Text Box 16">
                          <a:hlinkClick r:id="rId21"/>
                        </wps:cNvPr>
                        <wps:cNvSpPr txBox="1"/>
                        <wps:spPr>
                          <a:xfrm>
                            <a:off x="0" y="1"/>
                            <a:ext cx="875130" cy="457200"/>
                          </a:xfrm>
                          <a:prstGeom prst="rect">
                            <a:avLst/>
                          </a:prstGeom>
                          <a:solidFill>
                            <a:schemeClr val="lt1"/>
                          </a:solidFill>
                          <a:ln w="6350">
                            <a:noFill/>
                          </a:ln>
                        </wps:spPr>
                        <wps:txbx>
                          <w:txbxContent>
                            <w:p w14:paraId="66D36DCE" w14:textId="1E40B6EC" w:rsidR="007E6433" w:rsidRPr="008224B3" w:rsidRDefault="007E6433" w:rsidP="007E6433">
                              <w:pPr>
                                <w:spacing w:line="240" w:lineRule="auto"/>
                                <w:rPr>
                                  <w:i/>
                                  <w:iCs/>
                                </w:rPr>
                              </w:pPr>
                              <w:r>
                                <w:rPr>
                                  <w:i/>
                                  <w:iCs/>
                                </w:rPr>
                                <w:t>ESRPP Retailer Sales Volume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Text Box 4"/>
                        <wps:cNvSpPr txBox="1"/>
                        <wps:spPr>
                          <a:xfrm>
                            <a:off x="880740" y="0"/>
                            <a:ext cx="168294" cy="457200"/>
                          </a:xfrm>
                          <a:prstGeom prst="rect">
                            <a:avLst/>
                          </a:prstGeom>
                          <a:solidFill>
                            <a:schemeClr val="lt1"/>
                          </a:solidFill>
                          <a:ln w="6350">
                            <a:noFill/>
                          </a:ln>
                        </wps:spPr>
                        <wps:txbx>
                          <w:txbxContent>
                            <w:p w14:paraId="58286382" w14:textId="77777777" w:rsidR="007E6433" w:rsidRPr="006327A6" w:rsidRDefault="007E6433" w:rsidP="007E6433">
                              <w:pPr>
                                <w:jc w:val="center"/>
                                <w:rPr>
                                  <w:sz w:val="44"/>
                                  <w:szCs w:val="44"/>
                                </w:rPr>
                              </w:pPr>
                              <w:r w:rsidRPr="006327A6">
                                <w:rPr>
                                  <w:sz w:val="44"/>
                                  <w:szCs w:val="44"/>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8" name="Text Box 4"/>
                        <wps:cNvSpPr txBox="1"/>
                        <wps:spPr>
                          <a:xfrm>
                            <a:off x="1088304" y="0"/>
                            <a:ext cx="942450" cy="457200"/>
                          </a:xfrm>
                          <a:prstGeom prst="rect">
                            <a:avLst/>
                          </a:prstGeom>
                          <a:solidFill>
                            <a:schemeClr val="lt1"/>
                          </a:solidFill>
                          <a:ln w="6350">
                            <a:noFill/>
                          </a:ln>
                        </wps:spPr>
                        <wps:txbx>
                          <w:txbxContent>
                            <w:p w14:paraId="2852D8AF" w14:textId="261A618D" w:rsidR="007E6433" w:rsidRPr="008224B3" w:rsidRDefault="007E6433" w:rsidP="007E6433">
                              <w:pPr>
                                <w:spacing w:line="240" w:lineRule="auto"/>
                                <w:rPr>
                                  <w:i/>
                                  <w:iCs/>
                                </w:rPr>
                              </w:pPr>
                              <w:r>
                                <w:rPr>
                                  <w:i/>
                                  <w:iCs/>
                                </w:rPr>
                                <w:t>Total Qualified Sales Volume</w:t>
                              </w:r>
                              <w:r w:rsidRPr="008224B3">
                                <w:rPr>
                                  <w:i/>
                                  <w:iCs/>
                                </w:rPr>
                                <w:t xml:space="preserve">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Text Box 4"/>
                        <wps:cNvSpPr txBox="1"/>
                        <wps:spPr>
                          <a:xfrm>
                            <a:off x="1997103" y="20"/>
                            <a:ext cx="307975" cy="457200"/>
                          </a:xfrm>
                          <a:prstGeom prst="rect">
                            <a:avLst/>
                          </a:prstGeom>
                          <a:solidFill>
                            <a:schemeClr val="lt1"/>
                          </a:solidFill>
                          <a:ln w="6350">
                            <a:noFill/>
                          </a:ln>
                        </wps:spPr>
                        <wps:txbx>
                          <w:txbxContent>
                            <w:p w14:paraId="3FC3D1C2" w14:textId="77777777" w:rsidR="007E6433" w:rsidRDefault="007E6433" w:rsidP="007E6433">
                              <w:pPr>
                                <w:jc w:val="center"/>
                                <w:rPr>
                                  <w:sz w:val="44"/>
                                  <w:szCs w:val="44"/>
                                </w:rPr>
                              </w:pPr>
                              <w:r>
                                <w:rPr>
                                  <w:sz w:val="44"/>
                                  <w:szCs w:val="44"/>
                                </w:rPr>
                                <w:t>x</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Text Box 4">
                          <a:hlinkClick r:id="rId21"/>
                        </wps:cNvPr>
                        <wps:cNvSpPr txBox="1"/>
                        <wps:spPr>
                          <a:xfrm>
                            <a:off x="2305078" y="20"/>
                            <a:ext cx="993482" cy="457200"/>
                          </a:xfrm>
                          <a:prstGeom prst="rect">
                            <a:avLst/>
                          </a:prstGeom>
                          <a:solidFill>
                            <a:schemeClr val="lt1"/>
                          </a:solidFill>
                          <a:ln w="6350">
                            <a:noFill/>
                          </a:ln>
                        </wps:spPr>
                        <wps:txbx>
                          <w:txbxContent>
                            <w:p w14:paraId="424B36E7" w14:textId="404083D6" w:rsidR="007E6433" w:rsidRPr="008224B3" w:rsidRDefault="007E6433" w:rsidP="007E6433">
                              <w:pPr>
                                <w:spacing w:line="240" w:lineRule="auto"/>
                                <w:rPr>
                                  <w:i/>
                                  <w:iCs/>
                                </w:rPr>
                              </w:pPr>
                              <w:r>
                                <w:rPr>
                                  <w:i/>
                                  <w:iCs/>
                                </w:rPr>
                                <w:t>ESRPP Retailer Market share</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0FBDEA62" id="Canvas 23" o:spid="_x0000_s1035" editas="canvas" style="width:6in;height:38.85pt;mso-position-horizontal-relative:char;mso-position-vertical-relative:line" coordsize="54864,4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">
                <v:shape id="_x0000_s1036" type="#_x0000_t75" style="position:absolute;width:54864;height:4933;visibility:visible;mso-wrap-style:square" filled="t">
                  <v:fill o:detectmouseclick="t"/>
                  <v:path o:connecttype="none"/>
                </v:shape>
                <v:shape id="Text Box 16" o:spid="_x0000_s1037" type="#_x0000_t202" href="#_ESRPP_Retailer_Sales" style="position:absolute;width:875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" o:button="t" fillcolor="white [3201]" stroked="f" strokeweight=".5pt">
                  <v:fill o:detectmouseclick="t"/>
                  <v:textbox inset="0,0,0,0">
                    <w:txbxContent>
                      <w:p w14:paraId="66D36DCE" w14:textId="1E40B6EC" w:rsidR="007E6433" w:rsidRPr="008224B3" w:rsidRDefault="007E6433" w:rsidP="007E6433">
                        <w:pPr>
                          <w:spacing w:line="240" w:lineRule="auto"/>
                          <w:rPr>
                            <w:i/>
                            <w:iCs/>
                          </w:rPr>
                        </w:pPr>
                        <w:r>
                          <w:rPr>
                            <w:i/>
                            <w:iCs/>
                          </w:rPr>
                          <w:t>ESRPP Retailer Sales Volume</w:t>
                        </w:r>
                      </w:p>
                    </w:txbxContent>
                  </v:textbox>
                </v:shape>
                <v:shape id="Text Box 4" o:spid="_x0000_s1038" type="#_x0000_t202" style="position:absolute;left:8807;width:168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" fillcolor="white [3201]" stroked="f" strokeweight=".5pt">
                  <v:textbox inset="0,0,0,0">
                    <w:txbxContent>
                      <w:p w14:paraId="58286382" w14:textId="77777777" w:rsidR="007E6433" w:rsidRPr="006327A6" w:rsidRDefault="007E6433" w:rsidP="007E6433">
                        <w:pPr>
                          <w:jc w:val="center"/>
                          <w:rPr>
                            <w:sz w:val="44"/>
                            <w:szCs w:val="44"/>
                          </w:rPr>
                        </w:pPr>
                        <w:r w:rsidRPr="006327A6">
                          <w:rPr>
                            <w:sz w:val="44"/>
                            <w:szCs w:val="44"/>
                          </w:rPr>
                          <w:t>=</w:t>
                        </w:r>
                      </w:p>
                    </w:txbxContent>
                  </v:textbox>
                </v:shape>
                <v:shape id="Text Box 4" o:spid="_x0000_s1039" type="#_x0000_t202" style="position:absolute;left:10883;width:942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" fillcolor="white [3201]" stroked="f" strokeweight=".5pt">
                  <v:textbox inset="0,0,0,0">
                    <w:txbxContent>
                      <w:p w14:paraId="2852D8AF" w14:textId="261A618D" w:rsidR="007E6433" w:rsidRPr="008224B3" w:rsidRDefault="007E6433" w:rsidP="007E6433">
                        <w:pPr>
                          <w:spacing w:line="240" w:lineRule="auto"/>
                          <w:rPr>
                            <w:i/>
                            <w:iCs/>
                          </w:rPr>
                        </w:pPr>
                        <w:r>
                          <w:rPr>
                            <w:i/>
                            <w:iCs/>
                          </w:rPr>
                          <w:t>Total Qualified Sales Volume</w:t>
                        </w:r>
                        <w:r w:rsidRPr="008224B3">
                          <w:rPr>
                            <w:i/>
                            <w:iCs/>
                          </w:rPr>
                          <w:t xml:space="preserve"> </w:t>
                        </w:r>
                      </w:p>
                    </w:txbxContent>
                  </v:textbox>
                </v:shape>
                <v:shape id="Text Box 4" o:spid="_x0000_s1040" type="#_x0000_t202" style="position:absolute;left:19971;width:307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" fillcolor="white [3201]" stroked="f" strokeweight=".5pt">
                  <v:textbox inset="0,0,0,0">
                    <w:txbxContent>
                      <w:p w14:paraId="3FC3D1C2" w14:textId="77777777" w:rsidR="007E6433" w:rsidRDefault="007E6433" w:rsidP="007E6433">
                        <w:pPr>
                          <w:jc w:val="center"/>
                          <w:rPr>
                            <w:sz w:val="44"/>
                            <w:szCs w:val="44"/>
                          </w:rPr>
                        </w:pPr>
                        <w:r>
                          <w:rPr>
                            <w:sz w:val="44"/>
                            <w:szCs w:val="44"/>
                          </w:rPr>
                          <w:t>x</w:t>
                        </w:r>
                      </w:p>
                    </w:txbxContent>
                  </v:textbox>
                </v:shape>
                <v:shape id="Text Box 4" o:spid="_x0000_s1041" type="#_x0000_t202" href="#_ESRPP_Retailer_Sales" style="position:absolute;left:23050;width:993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" o:button="t" fillcolor="white [3201]" stroked="f" strokeweight=".5pt">
                  <v:fill o:detectmouseclick="t"/>
                  <v:textbox inset="0,0,0,0">
                    <w:txbxContent>
                      <w:p w14:paraId="424B36E7" w14:textId="404083D6" w:rsidR="007E6433" w:rsidRPr="008224B3" w:rsidRDefault="007E6433" w:rsidP="007E6433">
                        <w:pPr>
                          <w:spacing w:line="240" w:lineRule="auto"/>
                          <w:rPr>
                            <w:i/>
                            <w:iCs/>
                          </w:rPr>
                        </w:pPr>
                        <w:r>
                          <w:rPr>
                            <w:i/>
                            <w:iCs/>
                          </w:rPr>
                          <w:t>ESRPP Retailer Market share</w:t>
                        </w:r>
                      </w:p>
                    </w:txbxContent>
                  </v:textbox>
                </v:shape>
                <w10:anchorlock/>
              </v:group>
            </w:pict>
          </mc:Fallback>
        </mc:AlternateContent>
      </w:r>
    </w:p>
    <w:p w14:paraId="2D51079A" w14:textId="5AC1BDB2" w:rsidR="00974DB9" w:rsidRDefault="00522A01" w:rsidP="00D403A9">
      <w:pPr>
        <w:pStyle w:val="TextMain"/>
      </w:pPr>
      <w:r>
        <w:t>We</w:t>
      </w:r>
      <w:r w:rsidR="00A809D6">
        <w:t xml:space="preserve"> </w:t>
      </w:r>
      <w:r w:rsidR="004B59D7">
        <w:t xml:space="preserve">calculated the </w:t>
      </w:r>
      <w:r>
        <w:t xml:space="preserve">gross </w:t>
      </w:r>
      <w:r w:rsidR="004B59D7">
        <w:t xml:space="preserve">volume of </w:t>
      </w:r>
      <w:r w:rsidR="002D354B">
        <w:t>qualified sales attributable to ESRPP</w:t>
      </w:r>
      <w:r w:rsidR="00322818">
        <w:t xml:space="preserve"> using the negotiated share of qualified sales occurring in non-participating retailers attributable to ESRPP</w:t>
      </w:r>
      <w:r w:rsidR="00974DB9">
        <w:t xml:space="preserve"> (</w:t>
      </w:r>
      <w:r w:rsidR="00866D20">
        <w:fldChar w:fldCharType="begin"/>
      </w:r>
      <w:r w:rsidR="00866D20">
        <w:instrText xml:space="preserve"> REF _Ref114211609 \h </w:instrText>
      </w:r>
      <w:r w:rsidR="00866D20">
        <w:fldChar w:fldCharType="separate"/>
      </w:r>
      <w:r w:rsidR="00790AD0">
        <w:t xml:space="preserve">Equation </w:t>
      </w:r>
      <w:r w:rsidR="00790AD0">
        <w:rPr>
          <w:noProof/>
        </w:rPr>
        <w:t>3</w:t>
      </w:r>
      <w:r w:rsidR="00866D20">
        <w:fldChar w:fldCharType="end"/>
      </w:r>
      <w:r w:rsidR="007B068F">
        <w:t>)</w:t>
      </w:r>
      <w:r w:rsidR="002D354B">
        <w:t>.</w:t>
      </w:r>
    </w:p>
    <w:p w14:paraId="57570320" w14:textId="1EF38C7A" w:rsidR="00A809D6" w:rsidRDefault="00974DB9" w:rsidP="00974DB9">
      <w:pPr>
        <w:pStyle w:val="Caption"/>
      </w:pPr>
      <w:bookmarkStart w:id="11" w:name="_Ref114211609"/>
      <w:r>
        <w:t xml:space="preserve">Equation </w:t>
      </w:r>
      <w:r w:rsidR="00767138">
        <w:fldChar w:fldCharType="begin"/>
      </w:r>
      <w:r w:rsidR="00767138">
        <w:instrText xml:space="preserve"> SEQ Equation \* ARABIC </w:instrText>
      </w:r>
      <w:r w:rsidR="00767138">
        <w:fldChar w:fldCharType="separate"/>
      </w:r>
      <w:r w:rsidR="00790AD0">
        <w:rPr>
          <w:noProof/>
        </w:rPr>
        <w:t>3</w:t>
      </w:r>
      <w:r w:rsidR="00767138">
        <w:rPr>
          <w:noProof/>
        </w:rPr>
        <w:fldChar w:fldCharType="end"/>
      </w:r>
      <w:bookmarkEnd w:id="11"/>
      <w:r>
        <w:t>: ESRPP Gross Sales Volume</w:t>
      </w:r>
      <w:r w:rsidR="002D354B">
        <w:t xml:space="preserve"> </w:t>
      </w:r>
    </w:p>
    <w:p w14:paraId="6B16FBA2" w14:textId="2C0F08C3" w:rsidR="002D354B" w:rsidRDefault="002D354B" w:rsidP="00D403A9">
      <w:pPr>
        <w:pStyle w:val="TextMain"/>
      </w:pPr>
      <w:r>
        <w:rPr>
          <w:noProof/>
        </w:rPr>
        <mc:AlternateContent>
          <mc:Choice Requires="wpc">
            <w:drawing>
              <wp:inline distT="0" distB="0" distL="0" distR="0" wp14:anchorId="57CFE3F9" wp14:editId="7D4295CB">
                <wp:extent cx="5943600" cy="615523"/>
                <wp:effectExtent l="0" t="0" r="0" b="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4" name="Text Box 24"/>
                        <wps:cNvSpPr txBox="1"/>
                        <wps:spPr>
                          <a:xfrm>
                            <a:off x="0" y="1"/>
                            <a:ext cx="701227" cy="548640"/>
                          </a:xfrm>
                          <a:prstGeom prst="rect">
                            <a:avLst/>
                          </a:prstGeom>
                          <a:solidFill>
                            <a:schemeClr val="lt1"/>
                          </a:solidFill>
                          <a:ln w="6350">
                            <a:noFill/>
                          </a:ln>
                        </wps:spPr>
                        <wps:txbx>
                          <w:txbxContent>
                            <w:p w14:paraId="312C43BF" w14:textId="60DC8623" w:rsidR="002D354B" w:rsidRPr="008224B3" w:rsidRDefault="002D354B" w:rsidP="002D354B">
                              <w:pPr>
                                <w:spacing w:line="240" w:lineRule="auto"/>
                                <w:rPr>
                                  <w:i/>
                                  <w:iCs/>
                                </w:rPr>
                              </w:pPr>
                              <w:r>
                                <w:rPr>
                                  <w:i/>
                                  <w:iCs/>
                                </w:rPr>
                                <w:t xml:space="preserve">ESRPP </w:t>
                              </w:r>
                              <w:r w:rsidR="00D9746B">
                                <w:rPr>
                                  <w:i/>
                                  <w:iCs/>
                                </w:rPr>
                                <w:t>Gross</w:t>
                              </w:r>
                              <w:r>
                                <w:rPr>
                                  <w:i/>
                                  <w:iCs/>
                                </w:rPr>
                                <w:t xml:space="preserve"> Sales Volume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 name="Text Box 4"/>
                        <wps:cNvSpPr txBox="1"/>
                        <wps:spPr>
                          <a:xfrm>
                            <a:off x="669539" y="84503"/>
                            <a:ext cx="182319" cy="495300"/>
                          </a:xfrm>
                          <a:prstGeom prst="rect">
                            <a:avLst/>
                          </a:prstGeom>
                          <a:solidFill>
                            <a:schemeClr val="lt1"/>
                          </a:solidFill>
                          <a:ln w="6350">
                            <a:noFill/>
                          </a:ln>
                        </wps:spPr>
                        <wps:txbx>
                          <w:txbxContent>
                            <w:p w14:paraId="0A2FC5E4" w14:textId="77777777" w:rsidR="002D354B" w:rsidRPr="006327A6" w:rsidRDefault="002D354B" w:rsidP="002D354B">
                              <w:pPr>
                                <w:jc w:val="center"/>
                                <w:rPr>
                                  <w:sz w:val="44"/>
                                  <w:szCs w:val="44"/>
                                </w:rPr>
                              </w:pPr>
                              <w:r w:rsidRPr="006327A6">
                                <w:rPr>
                                  <w:sz w:val="44"/>
                                  <w:szCs w:val="44"/>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Text Box 4"/>
                        <wps:cNvSpPr txBox="1"/>
                        <wps:spPr>
                          <a:xfrm>
                            <a:off x="2036630" y="1"/>
                            <a:ext cx="896444" cy="548640"/>
                          </a:xfrm>
                          <a:prstGeom prst="rect">
                            <a:avLst/>
                          </a:prstGeom>
                          <a:solidFill>
                            <a:schemeClr val="lt1"/>
                          </a:solidFill>
                          <a:ln w="6350">
                            <a:noFill/>
                          </a:ln>
                        </wps:spPr>
                        <wps:txbx>
                          <w:txbxContent>
                            <w:p w14:paraId="2D6AC781" w14:textId="0E1F5307" w:rsidR="002D354B" w:rsidRDefault="002329C7" w:rsidP="002D354B">
                              <w:pPr>
                                <w:spacing w:line="240" w:lineRule="auto"/>
                                <w:rPr>
                                  <w:i/>
                                  <w:iCs/>
                                </w:rPr>
                              </w:pPr>
                              <w:r>
                                <w:rPr>
                                  <w:i/>
                                  <w:iCs/>
                                </w:rPr>
                                <w:t xml:space="preserve">With Program </w:t>
                              </w:r>
                              <w:r w:rsidR="002D354B">
                                <w:rPr>
                                  <w:i/>
                                  <w:iCs/>
                                </w:rPr>
                                <w:t xml:space="preserve">Total Qualified Sales Volume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Text Box 4"/>
                        <wps:cNvSpPr txBox="1"/>
                        <wps:spPr>
                          <a:xfrm>
                            <a:off x="1737866" y="54049"/>
                            <a:ext cx="267056" cy="494612"/>
                          </a:xfrm>
                          <a:prstGeom prst="rect">
                            <a:avLst/>
                          </a:prstGeom>
                          <a:solidFill>
                            <a:schemeClr val="lt1"/>
                          </a:solidFill>
                          <a:ln w="6350">
                            <a:noFill/>
                          </a:ln>
                        </wps:spPr>
                        <wps:txbx>
                          <w:txbxContent>
                            <w:p w14:paraId="747460C0" w14:textId="77777777" w:rsidR="002D354B" w:rsidRDefault="002D354B" w:rsidP="002D354B">
                              <w:pPr>
                                <w:jc w:val="center"/>
                                <w:rPr>
                                  <w:sz w:val="44"/>
                                  <w:szCs w:val="44"/>
                                </w:rPr>
                              </w:pPr>
                              <w:r>
                                <w:rPr>
                                  <w:sz w:val="44"/>
                                  <w:szCs w:val="44"/>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Text Box 4"/>
                        <wps:cNvSpPr txBox="1"/>
                        <wps:spPr>
                          <a:xfrm>
                            <a:off x="2933074" y="54044"/>
                            <a:ext cx="193993" cy="494612"/>
                          </a:xfrm>
                          <a:prstGeom prst="rect">
                            <a:avLst/>
                          </a:prstGeom>
                          <a:solidFill>
                            <a:schemeClr val="lt1"/>
                          </a:solidFill>
                          <a:ln w="6350">
                            <a:noFill/>
                          </a:ln>
                        </wps:spPr>
                        <wps:txbx>
                          <w:txbxContent>
                            <w:p w14:paraId="2FB08B21" w14:textId="77777777" w:rsidR="002D354B" w:rsidRDefault="002D354B" w:rsidP="002D354B">
                              <w:pPr>
                                <w:jc w:val="center"/>
                                <w:rPr>
                                  <w:sz w:val="44"/>
                                  <w:szCs w:val="44"/>
                                </w:rPr>
                              </w:pPr>
                              <w:r>
                                <w:rPr>
                                  <w:sz w:val="44"/>
                                  <w:szCs w:val="44"/>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Text Box 4"/>
                        <wps:cNvSpPr txBox="1"/>
                        <wps:spPr>
                          <a:xfrm>
                            <a:off x="3138845" y="2681"/>
                            <a:ext cx="1074129" cy="548640"/>
                          </a:xfrm>
                          <a:prstGeom prst="rect">
                            <a:avLst/>
                          </a:prstGeom>
                          <a:solidFill>
                            <a:schemeClr val="lt1"/>
                          </a:solidFill>
                          <a:ln w="6350">
                            <a:noFill/>
                          </a:ln>
                        </wps:spPr>
                        <wps:txbx>
                          <w:txbxContent>
                            <w:p w14:paraId="22D641B0" w14:textId="77777777" w:rsidR="002D354B" w:rsidRDefault="002D354B" w:rsidP="002D354B">
                              <w:pPr>
                                <w:spacing w:line="240" w:lineRule="auto"/>
                                <w:rPr>
                                  <w:i/>
                                  <w:iCs/>
                                </w:rPr>
                              </w:pPr>
                              <w:r>
                                <w:rPr>
                                  <w:i/>
                                  <w:iCs/>
                                </w:rPr>
                                <w:t xml:space="preserve">With Program ESRPP Retailer Sales Volume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Text Box 4"/>
                        <wps:cNvSpPr txBox="1"/>
                        <wps:spPr>
                          <a:xfrm>
                            <a:off x="3986518" y="54064"/>
                            <a:ext cx="303339" cy="493924"/>
                          </a:xfrm>
                          <a:prstGeom prst="rect">
                            <a:avLst/>
                          </a:prstGeom>
                          <a:solidFill>
                            <a:schemeClr val="lt1"/>
                          </a:solidFill>
                          <a:ln w="6350">
                            <a:noFill/>
                          </a:ln>
                        </wps:spPr>
                        <wps:txbx>
                          <w:txbxContent>
                            <w:p w14:paraId="10A2C878" w14:textId="77777777" w:rsidR="002D354B" w:rsidRDefault="002D354B" w:rsidP="002D354B">
                              <w:pPr>
                                <w:jc w:val="center"/>
                                <w:rPr>
                                  <w:sz w:val="44"/>
                                  <w:szCs w:val="44"/>
                                </w:rPr>
                              </w:pPr>
                              <w:r>
                                <w:rPr>
                                  <w:sz w:val="44"/>
                                  <w:szCs w:val="44"/>
                                </w:rPr>
                                <w:t>)x</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9" name="Text Box 4">
                          <a:hlinkClick r:id="rId22"/>
                        </wps:cNvPr>
                        <wps:cNvSpPr txBox="1"/>
                        <wps:spPr>
                          <a:xfrm>
                            <a:off x="4340329" y="1"/>
                            <a:ext cx="1303145" cy="548640"/>
                          </a:xfrm>
                          <a:prstGeom prst="rect">
                            <a:avLst/>
                          </a:prstGeom>
                          <a:solidFill>
                            <a:schemeClr val="lt1"/>
                          </a:solidFill>
                          <a:ln w="6350">
                            <a:noFill/>
                          </a:ln>
                        </wps:spPr>
                        <wps:txbx>
                          <w:txbxContent>
                            <w:p w14:paraId="4FF15AAA" w14:textId="77777777" w:rsidR="002D354B" w:rsidRDefault="002D354B" w:rsidP="002D354B">
                              <w:pPr>
                                <w:spacing w:line="240" w:lineRule="auto"/>
                                <w:rPr>
                                  <w:i/>
                                  <w:iCs/>
                                </w:rPr>
                              </w:pPr>
                              <w:r>
                                <w:rPr>
                                  <w:i/>
                                  <w:iCs/>
                                </w:rPr>
                                <w:t>Share of Non-Participant Sales Attributed to ESRPP</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7" name="Text Box 4"/>
                        <wps:cNvSpPr txBox="1"/>
                        <wps:spPr>
                          <a:xfrm>
                            <a:off x="898506" y="0"/>
                            <a:ext cx="851759" cy="548640"/>
                          </a:xfrm>
                          <a:prstGeom prst="rect">
                            <a:avLst/>
                          </a:prstGeom>
                          <a:noFill/>
                          <a:ln w="6350">
                            <a:noFill/>
                          </a:ln>
                        </wps:spPr>
                        <wps:txbx>
                          <w:txbxContent>
                            <w:p w14:paraId="65C76496" w14:textId="77777777" w:rsidR="002D354B" w:rsidRPr="008224B3" w:rsidRDefault="002D354B" w:rsidP="002D354B">
                              <w:pPr>
                                <w:spacing w:line="240" w:lineRule="auto"/>
                                <w:rPr>
                                  <w:i/>
                                  <w:iCs/>
                                </w:rPr>
                              </w:pPr>
                              <w:r>
                                <w:rPr>
                                  <w:i/>
                                  <w:iCs/>
                                </w:rPr>
                                <w:t>With Program ESRPP Retailer Sales Volume</w:t>
                              </w:r>
                              <w:r w:rsidRPr="008224B3">
                                <w:rPr>
                                  <w:i/>
                                  <w:iCs/>
                                </w:rPr>
                                <w:t xml:space="preserve"> </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7CFE3F9" id="Canvas 30" o:spid="_x0000_s1042" editas="canvas" style="width:468pt;height:48.45pt;mso-position-horizontal-relative:char;mso-position-vertical-relative:line" coordsize="59436,6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">
                <v:shape id="_x0000_s1043" type="#_x0000_t75" style="position:absolute;width:59436;height:6153;visibility:visible;mso-wrap-style:square" filled="t">
                  <v:fill o:detectmouseclick="t"/>
                  <v:path o:connecttype="none"/>
                </v:shape>
                <v:shape id="Text Box 24" o:spid="_x0000_s1044" type="#_x0000_t202" style="position:absolute;width:7012;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" fillcolor="white [3201]" stroked="f" strokeweight=".5pt">
                  <v:textbox inset="0,0,0,0">
                    <w:txbxContent>
                      <w:p w14:paraId="312C43BF" w14:textId="60DC8623" w:rsidR="002D354B" w:rsidRPr="008224B3" w:rsidRDefault="002D354B" w:rsidP="002D354B">
                        <w:pPr>
                          <w:spacing w:line="240" w:lineRule="auto"/>
                          <w:rPr>
                            <w:i/>
                            <w:iCs/>
                          </w:rPr>
                        </w:pPr>
                        <w:r>
                          <w:rPr>
                            <w:i/>
                            <w:iCs/>
                          </w:rPr>
                          <w:t xml:space="preserve">ESRPP </w:t>
                        </w:r>
                        <w:r w:rsidR="00D9746B">
                          <w:rPr>
                            <w:i/>
                            <w:iCs/>
                          </w:rPr>
                          <w:t>Gross</w:t>
                        </w:r>
                        <w:r>
                          <w:rPr>
                            <w:i/>
                            <w:iCs/>
                          </w:rPr>
                          <w:t xml:space="preserve"> Sales Volume</w:t>
                        </w:r>
                      </w:p>
                    </w:txbxContent>
                  </v:textbox>
                </v:shape>
                <v:shape id="Text Box 4" o:spid="_x0000_s1045" type="#_x0000_t202" style="position:absolute;left:6695;top:845;width:182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" fillcolor="white [3201]" stroked="f" strokeweight=".5pt">
                  <v:textbox inset="0,0,0,0">
                    <w:txbxContent>
                      <w:p w14:paraId="0A2FC5E4" w14:textId="77777777" w:rsidR="002D354B" w:rsidRPr="006327A6" w:rsidRDefault="002D354B" w:rsidP="002D354B">
                        <w:pPr>
                          <w:jc w:val="center"/>
                          <w:rPr>
                            <w:sz w:val="44"/>
                            <w:szCs w:val="44"/>
                          </w:rPr>
                        </w:pPr>
                        <w:r w:rsidRPr="006327A6">
                          <w:rPr>
                            <w:sz w:val="44"/>
                            <w:szCs w:val="44"/>
                          </w:rPr>
                          <w:t>=</w:t>
                        </w:r>
                      </w:p>
                    </w:txbxContent>
                  </v:textbox>
                </v:shape>
                <v:shape id="Text Box 4" o:spid="_x0000_s1046" type="#_x0000_t202" style="position:absolute;left:20366;width:8964;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" fillcolor="white [3201]" stroked="f" strokeweight=".5pt">
                  <v:textbox inset="0,0,0,0">
                    <w:txbxContent>
                      <w:p w14:paraId="2D6AC781" w14:textId="0E1F5307" w:rsidR="002D354B" w:rsidRDefault="002329C7" w:rsidP="002D354B">
                        <w:pPr>
                          <w:spacing w:line="240" w:lineRule="auto"/>
                          <w:rPr>
                            <w:i/>
                            <w:iCs/>
                          </w:rPr>
                        </w:pPr>
                        <w:r>
                          <w:rPr>
                            <w:i/>
                            <w:iCs/>
                          </w:rPr>
                          <w:t xml:space="preserve">With Program </w:t>
                        </w:r>
                        <w:r w:rsidR="002D354B">
                          <w:rPr>
                            <w:i/>
                            <w:iCs/>
                          </w:rPr>
                          <w:t xml:space="preserve">Total Qualified Sales Volume </w:t>
                        </w:r>
                      </w:p>
                    </w:txbxContent>
                  </v:textbox>
                </v:shape>
                <v:shape id="Text Box 4" o:spid="_x0000_s1047" type="#_x0000_t202" style="position:absolute;left:17378;top:540;width:2671;height:4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" fillcolor="white [3201]" stroked="f" strokeweight=".5pt">
                  <v:textbox inset="0,0,0,0">
                    <w:txbxContent>
                      <w:p w14:paraId="747460C0" w14:textId="77777777" w:rsidR="002D354B" w:rsidRDefault="002D354B" w:rsidP="002D354B">
                        <w:pPr>
                          <w:jc w:val="center"/>
                          <w:rPr>
                            <w:sz w:val="44"/>
                            <w:szCs w:val="44"/>
                          </w:rPr>
                        </w:pPr>
                        <w:r>
                          <w:rPr>
                            <w:sz w:val="44"/>
                            <w:szCs w:val="44"/>
                          </w:rPr>
                          <w:t>+(</w:t>
                        </w:r>
                      </w:p>
                    </w:txbxContent>
                  </v:textbox>
                </v:shape>
                <v:shape id="Text Box 4" o:spid="_x0000_s1048" type="#_x0000_t202" style="position:absolute;left:29330;top:540;width:1940;height:4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" fillcolor="white [3201]" stroked="f" strokeweight=".5pt">
                  <v:textbox inset="0,0,0,0">
                    <w:txbxContent>
                      <w:p w14:paraId="2FB08B21" w14:textId="77777777" w:rsidR="002D354B" w:rsidRDefault="002D354B" w:rsidP="002D354B">
                        <w:pPr>
                          <w:jc w:val="center"/>
                          <w:rPr>
                            <w:sz w:val="44"/>
                            <w:szCs w:val="44"/>
                          </w:rPr>
                        </w:pPr>
                        <w:r>
                          <w:rPr>
                            <w:sz w:val="44"/>
                            <w:szCs w:val="44"/>
                          </w:rPr>
                          <w:t>-</w:t>
                        </w:r>
                      </w:p>
                    </w:txbxContent>
                  </v:textbox>
                </v:shape>
                <v:shape id="Text Box 4" o:spid="_x0000_s1049" type="#_x0000_t202" style="position:absolute;left:31388;top:26;width:10741;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" fillcolor="white [3201]" stroked="f" strokeweight=".5pt">
                  <v:textbox inset="0,0,0,0">
                    <w:txbxContent>
                      <w:p w14:paraId="22D641B0" w14:textId="77777777" w:rsidR="002D354B" w:rsidRDefault="002D354B" w:rsidP="002D354B">
                        <w:pPr>
                          <w:spacing w:line="240" w:lineRule="auto"/>
                          <w:rPr>
                            <w:i/>
                            <w:iCs/>
                          </w:rPr>
                        </w:pPr>
                        <w:r>
                          <w:rPr>
                            <w:i/>
                            <w:iCs/>
                          </w:rPr>
                          <w:t xml:space="preserve">With Program ESRPP Retailer Sales Volume </w:t>
                        </w:r>
                      </w:p>
                    </w:txbxContent>
                  </v:textbox>
                </v:shape>
                <v:shape id="Text Box 4" o:spid="_x0000_s1050" type="#_x0000_t202" style="position:absolute;left:39865;top:540;width:3033;height:4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" fillcolor="white [3201]" stroked="f" strokeweight=".5pt">
                  <v:textbox inset="0,0,0,0">
                    <w:txbxContent>
                      <w:p w14:paraId="10A2C878" w14:textId="77777777" w:rsidR="002D354B" w:rsidRDefault="002D354B" w:rsidP="002D354B">
                        <w:pPr>
                          <w:jc w:val="center"/>
                          <w:rPr>
                            <w:sz w:val="44"/>
                            <w:szCs w:val="44"/>
                          </w:rPr>
                        </w:pPr>
                        <w:proofErr w:type="gramStart"/>
                        <w:r>
                          <w:rPr>
                            <w:sz w:val="44"/>
                            <w:szCs w:val="44"/>
                          </w:rPr>
                          <w:t>)x</w:t>
                        </w:r>
                        <w:proofErr w:type="gramEnd"/>
                      </w:p>
                    </w:txbxContent>
                  </v:textbox>
                </v:shape>
                <v:shape id="Text Box 4" o:spid="_x0000_s1051" type="#_x0000_t202" href="#_Share_of_Non-Participant" style="position:absolute;left:43403;width:13031;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" o:button="t" fillcolor="white [3201]" stroked="f" strokeweight=".5pt">
                  <v:fill o:detectmouseclick="t"/>
                  <v:textbox inset="0,0,0,0">
                    <w:txbxContent>
                      <w:p w14:paraId="4FF15AAA" w14:textId="77777777" w:rsidR="002D354B" w:rsidRDefault="002D354B" w:rsidP="002D354B">
                        <w:pPr>
                          <w:spacing w:line="240" w:lineRule="auto"/>
                          <w:rPr>
                            <w:i/>
                            <w:iCs/>
                          </w:rPr>
                        </w:pPr>
                        <w:r>
                          <w:rPr>
                            <w:i/>
                            <w:iCs/>
                          </w:rPr>
                          <w:t>Share of Non-Participant Sales Attributed to ESRPP</w:t>
                        </w:r>
                      </w:p>
                    </w:txbxContent>
                  </v:textbox>
                </v:shape>
                <v:shape id="Text Box 4" o:spid="_x0000_s1052" type="#_x0000_t202" style="position:absolute;left:8985;width:8517;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" filled="f" stroked="f" strokeweight=".5pt">
                  <v:textbox inset="0,0,0,0">
                    <w:txbxContent>
                      <w:p w14:paraId="65C76496" w14:textId="77777777" w:rsidR="002D354B" w:rsidRPr="008224B3" w:rsidRDefault="002D354B" w:rsidP="002D354B">
                        <w:pPr>
                          <w:spacing w:line="240" w:lineRule="auto"/>
                          <w:rPr>
                            <w:i/>
                            <w:iCs/>
                          </w:rPr>
                        </w:pPr>
                        <w:r>
                          <w:rPr>
                            <w:i/>
                            <w:iCs/>
                          </w:rPr>
                          <w:t>With Program ESRPP Retailer Sales Volume</w:t>
                        </w:r>
                        <w:r w:rsidRPr="008224B3">
                          <w:rPr>
                            <w:i/>
                            <w:iCs/>
                          </w:rPr>
                          <w:t xml:space="preserve"> </w:t>
                        </w:r>
                      </w:p>
                    </w:txbxContent>
                  </v:textbox>
                </v:shape>
                <w10:anchorlock/>
              </v:group>
            </w:pict>
          </mc:Fallback>
        </mc:AlternateContent>
      </w:r>
    </w:p>
    <w:p w14:paraId="7BB64BFF" w14:textId="43132ED3" w:rsidR="00D9746B" w:rsidRDefault="00E058BD" w:rsidP="00D403A9">
      <w:pPr>
        <w:pStyle w:val="TextMain"/>
      </w:pPr>
      <w:r>
        <w:t xml:space="preserve">Finally, we calculated net sales attributable to ESRPP by deducting </w:t>
      </w:r>
      <w:r w:rsidR="00143D87">
        <w:t xml:space="preserve">baseline sales and </w:t>
      </w:r>
      <w:r w:rsidR="00A71AD9">
        <w:t xml:space="preserve">units sold through </w:t>
      </w:r>
      <w:proofErr w:type="spellStart"/>
      <w:r w:rsidR="00A71AD9">
        <w:t>ComEd’s</w:t>
      </w:r>
      <w:proofErr w:type="spellEnd"/>
      <w:r w:rsidR="00A71AD9">
        <w:t xml:space="preserve"> downstream Retail Appliance Program (RAP) </w:t>
      </w:r>
      <w:r w:rsidR="00CB2F21">
        <w:t xml:space="preserve">that meet ESRPP qualification criteria </w:t>
      </w:r>
      <w:r w:rsidR="00E34303">
        <w:t>and could be attributable to the ESRPP program</w:t>
      </w:r>
      <w:r w:rsidR="005108CC">
        <w:t xml:space="preserve"> from the net total</w:t>
      </w:r>
      <w:r w:rsidR="00143D87">
        <w:t xml:space="preserve"> (</w:t>
      </w:r>
      <w:r w:rsidR="009E2010">
        <w:fldChar w:fldCharType="begin"/>
      </w:r>
      <w:r w:rsidR="009E2010">
        <w:instrText xml:space="preserve"> REF _Ref114211900 \h </w:instrText>
      </w:r>
      <w:r w:rsidR="009E2010">
        <w:fldChar w:fldCharType="separate"/>
      </w:r>
      <w:r w:rsidR="00790AD0">
        <w:t xml:space="preserve">Equation </w:t>
      </w:r>
      <w:r w:rsidR="00790AD0">
        <w:rPr>
          <w:noProof/>
        </w:rPr>
        <w:t>4</w:t>
      </w:r>
      <w:r w:rsidR="009E2010">
        <w:fldChar w:fldCharType="end"/>
      </w:r>
      <w:r w:rsidR="009E2010">
        <w:t>)</w:t>
      </w:r>
      <w:r w:rsidR="005108CC">
        <w:t xml:space="preserve">. </w:t>
      </w:r>
    </w:p>
    <w:p w14:paraId="39BFD39E" w14:textId="4D6857F9" w:rsidR="00143D87" w:rsidRDefault="00143D87" w:rsidP="00143D87">
      <w:pPr>
        <w:pStyle w:val="Caption"/>
      </w:pPr>
      <w:bookmarkStart w:id="12" w:name="_Ref114211900"/>
      <w:r>
        <w:t xml:space="preserve">Equation </w:t>
      </w:r>
      <w:r w:rsidR="00767138">
        <w:fldChar w:fldCharType="begin"/>
      </w:r>
      <w:r w:rsidR="00767138">
        <w:instrText xml:space="preserve"> SEQ Equation \* ARABIC </w:instrText>
      </w:r>
      <w:r w:rsidR="00767138">
        <w:fldChar w:fldCharType="separate"/>
      </w:r>
      <w:r w:rsidR="00790AD0">
        <w:rPr>
          <w:noProof/>
        </w:rPr>
        <w:t>4</w:t>
      </w:r>
      <w:r w:rsidR="00767138">
        <w:rPr>
          <w:noProof/>
        </w:rPr>
        <w:fldChar w:fldCharType="end"/>
      </w:r>
      <w:bookmarkEnd w:id="12"/>
      <w:r>
        <w:t xml:space="preserve">: </w:t>
      </w:r>
      <w:r w:rsidR="009E2010">
        <w:t>ESRPP Net Sales Volume</w:t>
      </w:r>
    </w:p>
    <w:p w14:paraId="7E220E2B" w14:textId="7E8232F1" w:rsidR="00D9746B" w:rsidRDefault="00D9746B" w:rsidP="00D403A9">
      <w:pPr>
        <w:pStyle w:val="TextMain"/>
      </w:pPr>
      <w:r>
        <w:rPr>
          <w:noProof/>
        </w:rPr>
        <mc:AlternateContent>
          <mc:Choice Requires="wpc">
            <w:drawing>
              <wp:inline distT="0" distB="0" distL="0" distR="0" wp14:anchorId="63E93266" wp14:editId="614CB2BE">
                <wp:extent cx="5943600" cy="748447"/>
                <wp:effectExtent l="0" t="0" r="0" b="0"/>
                <wp:docPr id="59" name="Canvas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6" name="Text Box 46"/>
                        <wps:cNvSpPr txBox="1"/>
                        <wps:spPr>
                          <a:xfrm>
                            <a:off x="0" y="1"/>
                            <a:ext cx="583421" cy="579114"/>
                          </a:xfrm>
                          <a:prstGeom prst="rect">
                            <a:avLst/>
                          </a:prstGeom>
                          <a:solidFill>
                            <a:schemeClr val="lt1"/>
                          </a:solidFill>
                          <a:ln w="6350">
                            <a:noFill/>
                          </a:ln>
                        </wps:spPr>
                        <wps:txbx>
                          <w:txbxContent>
                            <w:p w14:paraId="7EE40FFA" w14:textId="0121D9CB" w:rsidR="00D9746B" w:rsidRPr="008224B3" w:rsidRDefault="00D9746B" w:rsidP="00D9746B">
                              <w:pPr>
                                <w:spacing w:line="240" w:lineRule="auto"/>
                                <w:rPr>
                                  <w:i/>
                                  <w:iCs/>
                                </w:rPr>
                              </w:pPr>
                              <w:r>
                                <w:rPr>
                                  <w:i/>
                                  <w:iCs/>
                                </w:rPr>
                                <w:t>ESRPP Net Sales Volume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 name="Text Box 4"/>
                        <wps:cNvSpPr txBox="1"/>
                        <wps:spPr>
                          <a:xfrm>
                            <a:off x="583421" y="84503"/>
                            <a:ext cx="182319" cy="495300"/>
                          </a:xfrm>
                          <a:prstGeom prst="rect">
                            <a:avLst/>
                          </a:prstGeom>
                          <a:solidFill>
                            <a:schemeClr val="lt1"/>
                          </a:solidFill>
                          <a:ln w="6350">
                            <a:noFill/>
                          </a:ln>
                        </wps:spPr>
                        <wps:txbx>
                          <w:txbxContent>
                            <w:p w14:paraId="0E45EC59" w14:textId="77777777" w:rsidR="00D9746B" w:rsidRPr="006327A6" w:rsidRDefault="00D9746B" w:rsidP="00D9746B">
                              <w:pPr>
                                <w:jc w:val="center"/>
                                <w:rPr>
                                  <w:sz w:val="44"/>
                                  <w:szCs w:val="44"/>
                                </w:rPr>
                              </w:pPr>
                              <w:r w:rsidRPr="006327A6">
                                <w:rPr>
                                  <w:sz w:val="44"/>
                                  <w:szCs w:val="44"/>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Text Box 4">
                          <a:hlinkClick r:id="rId23"/>
                        </wps:cNvPr>
                        <wps:cNvSpPr txBox="1"/>
                        <wps:spPr>
                          <a:xfrm>
                            <a:off x="1387475" y="0"/>
                            <a:ext cx="1012968" cy="712446"/>
                          </a:xfrm>
                          <a:prstGeom prst="rect">
                            <a:avLst/>
                          </a:prstGeom>
                          <a:solidFill>
                            <a:schemeClr val="lt1"/>
                          </a:solidFill>
                          <a:ln w="6350">
                            <a:noFill/>
                          </a:ln>
                        </wps:spPr>
                        <wps:txbx>
                          <w:txbxContent>
                            <w:p w14:paraId="3B864BF0" w14:textId="049E6D4D" w:rsidR="00D9746B" w:rsidRDefault="004B7501" w:rsidP="00D9746B">
                              <w:pPr>
                                <w:spacing w:line="240" w:lineRule="auto"/>
                                <w:rPr>
                                  <w:i/>
                                  <w:iCs/>
                                </w:rPr>
                              </w:pPr>
                              <w:r>
                                <w:rPr>
                                  <w:i/>
                                  <w:iCs/>
                                </w:rPr>
                                <w:t>ESRPP-qualified sales attributable to RAP</w:t>
                              </w:r>
                              <w:r w:rsidR="0084235D">
                                <w:rPr>
                                  <w:i/>
                                  <w:iCs/>
                                </w:rPr>
                                <w:t xml:space="preserve"> in ESRPP retailers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9" name="Text Box 4"/>
                        <wps:cNvSpPr txBox="1"/>
                        <wps:spPr>
                          <a:xfrm>
                            <a:off x="1197105" y="95175"/>
                            <a:ext cx="199739" cy="494612"/>
                          </a:xfrm>
                          <a:prstGeom prst="rect">
                            <a:avLst/>
                          </a:prstGeom>
                          <a:solidFill>
                            <a:schemeClr val="lt1"/>
                          </a:solidFill>
                          <a:ln w="6350">
                            <a:noFill/>
                          </a:ln>
                        </wps:spPr>
                        <wps:txbx>
                          <w:txbxContent>
                            <w:p w14:paraId="10637C72" w14:textId="579B6E8D" w:rsidR="00D9746B" w:rsidRDefault="004B3543" w:rsidP="00D9746B">
                              <w:pPr>
                                <w:jc w:val="center"/>
                                <w:rPr>
                                  <w:sz w:val="44"/>
                                  <w:szCs w:val="44"/>
                                </w:rPr>
                              </w:pPr>
                              <w:r>
                                <w:rPr>
                                  <w:sz w:val="44"/>
                                  <w:szCs w:val="44"/>
                                </w:rPr>
                                <w:t>-</w:t>
                              </w:r>
                              <w:r w:rsidR="00D9746B">
                                <w:rPr>
                                  <w:sz w:val="44"/>
                                  <w:szCs w:val="44"/>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0" name="Text Box 4"/>
                        <wps:cNvSpPr txBox="1"/>
                        <wps:spPr>
                          <a:xfrm>
                            <a:off x="2394833" y="85191"/>
                            <a:ext cx="193993" cy="494612"/>
                          </a:xfrm>
                          <a:prstGeom prst="rect">
                            <a:avLst/>
                          </a:prstGeom>
                          <a:solidFill>
                            <a:schemeClr val="lt1"/>
                          </a:solidFill>
                          <a:ln w="6350">
                            <a:noFill/>
                          </a:ln>
                        </wps:spPr>
                        <wps:txbx>
                          <w:txbxContent>
                            <w:p w14:paraId="34398D6F" w14:textId="6B0E7F00" w:rsidR="00D9746B" w:rsidRDefault="00553D10" w:rsidP="00D9746B">
                              <w:pPr>
                                <w:jc w:val="center"/>
                                <w:rPr>
                                  <w:sz w:val="44"/>
                                  <w:szCs w:val="44"/>
                                </w:rPr>
                              </w:pPr>
                              <w:r>
                                <w:rPr>
                                  <w:sz w:val="44"/>
                                  <w:szCs w:val="44"/>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1" name="Text Box 4">
                          <a:hlinkClick r:id="rId23"/>
                        </wps:cNvPr>
                        <wps:cNvSpPr txBox="1"/>
                        <wps:spPr>
                          <a:xfrm>
                            <a:off x="2583216" y="2"/>
                            <a:ext cx="1148881" cy="712446"/>
                          </a:xfrm>
                          <a:prstGeom prst="rect">
                            <a:avLst/>
                          </a:prstGeom>
                          <a:solidFill>
                            <a:schemeClr val="lt1"/>
                          </a:solidFill>
                          <a:ln w="6350">
                            <a:noFill/>
                          </a:ln>
                        </wps:spPr>
                        <wps:txbx>
                          <w:txbxContent>
                            <w:p w14:paraId="04ED2FC8" w14:textId="6DD84F36" w:rsidR="00D9746B" w:rsidRDefault="0084235D" w:rsidP="00D9746B">
                              <w:pPr>
                                <w:spacing w:line="240" w:lineRule="auto"/>
                                <w:rPr>
                                  <w:i/>
                                  <w:iCs/>
                                </w:rPr>
                              </w:pPr>
                              <w:r>
                                <w:rPr>
                                  <w:i/>
                                  <w:iCs/>
                                </w:rPr>
                                <w:t>ESRPP-qualified sales attributable to RAP in non-</w:t>
                              </w:r>
                              <w:r w:rsidR="004239B8">
                                <w:rPr>
                                  <w:i/>
                                  <w:iCs/>
                                </w:rPr>
                                <w:t>ESRPP</w:t>
                              </w:r>
                              <w:r>
                                <w:rPr>
                                  <w:i/>
                                  <w:iCs/>
                                </w:rPr>
                                <w:t xml:space="preserve"> retailers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2" name="Text Box 4"/>
                        <wps:cNvSpPr txBox="1"/>
                        <wps:spPr>
                          <a:xfrm>
                            <a:off x="3732097" y="84503"/>
                            <a:ext cx="232384" cy="493924"/>
                          </a:xfrm>
                          <a:prstGeom prst="rect">
                            <a:avLst/>
                          </a:prstGeom>
                          <a:solidFill>
                            <a:schemeClr val="lt1"/>
                          </a:solidFill>
                          <a:ln w="6350">
                            <a:noFill/>
                          </a:ln>
                        </wps:spPr>
                        <wps:txbx>
                          <w:txbxContent>
                            <w:p w14:paraId="58F35970" w14:textId="432D2E8A" w:rsidR="00D9746B" w:rsidRDefault="00D9746B" w:rsidP="00D9746B">
                              <w:pPr>
                                <w:jc w:val="center"/>
                                <w:rPr>
                                  <w:sz w:val="44"/>
                                  <w:szCs w:val="44"/>
                                </w:rPr>
                              </w:pPr>
                              <w:r>
                                <w:rPr>
                                  <w:sz w:val="44"/>
                                  <w:szCs w:val="44"/>
                                </w:rPr>
                                <w:t>x</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3" name="Text Box 4">
                          <a:hlinkClick r:id="rId23"/>
                        </wps:cNvPr>
                        <wps:cNvSpPr txBox="1"/>
                        <wps:spPr>
                          <a:xfrm>
                            <a:off x="3930820" y="0"/>
                            <a:ext cx="966523" cy="712448"/>
                          </a:xfrm>
                          <a:prstGeom prst="rect">
                            <a:avLst/>
                          </a:prstGeom>
                          <a:solidFill>
                            <a:schemeClr val="lt1"/>
                          </a:solidFill>
                          <a:ln w="6350">
                            <a:noFill/>
                          </a:ln>
                        </wps:spPr>
                        <wps:txbx>
                          <w:txbxContent>
                            <w:p w14:paraId="437173CC" w14:textId="77777777" w:rsidR="00D9746B" w:rsidRDefault="00D9746B" w:rsidP="00D9746B">
                              <w:pPr>
                                <w:spacing w:line="240" w:lineRule="auto"/>
                                <w:rPr>
                                  <w:i/>
                                  <w:iCs/>
                                </w:rPr>
                              </w:pPr>
                              <w:r>
                                <w:rPr>
                                  <w:i/>
                                  <w:iCs/>
                                </w:rPr>
                                <w:t>Share of Non-Participant Sales Attributed to ESRPP</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4" name="Text Box 4"/>
                        <wps:cNvSpPr txBox="1"/>
                        <wps:spPr>
                          <a:xfrm>
                            <a:off x="4891758" y="72930"/>
                            <a:ext cx="179511" cy="497866"/>
                          </a:xfrm>
                          <a:prstGeom prst="rect">
                            <a:avLst/>
                          </a:prstGeom>
                          <a:solidFill>
                            <a:schemeClr val="lt1"/>
                          </a:solidFill>
                          <a:ln w="6350">
                            <a:noFill/>
                          </a:ln>
                        </wps:spPr>
                        <wps:txbx>
                          <w:txbxContent>
                            <w:p w14:paraId="7162C876" w14:textId="34AA1B7E" w:rsidR="00D9746B" w:rsidRDefault="0084235D" w:rsidP="00D9746B">
                              <w:pPr>
                                <w:jc w:val="center"/>
                                <w:rPr>
                                  <w:sz w:val="44"/>
                                  <w:szCs w:val="44"/>
                                </w:rPr>
                              </w:pPr>
                              <w:r>
                                <w:rPr>
                                  <w:sz w:val="44"/>
                                  <w:szCs w:val="44"/>
                                </w:rPr>
                                <w:t>)</w:t>
                              </w:r>
                              <w:r w:rsidR="00D9746B">
                                <w:rPr>
                                  <w:sz w:val="44"/>
                                  <w:szCs w:val="44"/>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6" name="Text Box 4"/>
                        <wps:cNvSpPr txBox="1"/>
                        <wps:spPr>
                          <a:xfrm>
                            <a:off x="775087" y="1"/>
                            <a:ext cx="560049" cy="712446"/>
                          </a:xfrm>
                          <a:prstGeom prst="rect">
                            <a:avLst/>
                          </a:prstGeom>
                          <a:noFill/>
                          <a:ln w="6350">
                            <a:noFill/>
                          </a:ln>
                        </wps:spPr>
                        <wps:txbx>
                          <w:txbxContent>
                            <w:p w14:paraId="6C7914CD" w14:textId="14B38A83" w:rsidR="00D9746B" w:rsidRPr="008224B3" w:rsidRDefault="00D9746B" w:rsidP="00D9746B">
                              <w:pPr>
                                <w:spacing w:line="240" w:lineRule="auto"/>
                                <w:rPr>
                                  <w:i/>
                                  <w:iCs/>
                                </w:rPr>
                              </w:pPr>
                              <w:r>
                                <w:rPr>
                                  <w:i/>
                                  <w:iCs/>
                                </w:rPr>
                                <w:t>ESRPP Gross Sales Volume</w:t>
                              </w:r>
                              <w:r w:rsidRPr="008224B3">
                                <w:rPr>
                                  <w:i/>
                                  <w:iCs/>
                                </w:rPr>
                                <w:t xml:space="preserve">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7" name="Text Box 4"/>
                        <wps:cNvSpPr txBox="1"/>
                        <wps:spPr>
                          <a:xfrm>
                            <a:off x="5144687" y="1"/>
                            <a:ext cx="798912" cy="712446"/>
                          </a:xfrm>
                          <a:prstGeom prst="rect">
                            <a:avLst/>
                          </a:prstGeom>
                          <a:solidFill>
                            <a:schemeClr val="lt1"/>
                          </a:solidFill>
                          <a:ln w="6350">
                            <a:noFill/>
                          </a:ln>
                        </wps:spPr>
                        <wps:txbx>
                          <w:txbxContent>
                            <w:p w14:paraId="72610844" w14:textId="77777777" w:rsidR="00D9746B" w:rsidRDefault="00D9746B" w:rsidP="00D9746B">
                              <w:pPr>
                                <w:spacing w:line="240" w:lineRule="auto"/>
                                <w:rPr>
                                  <w:i/>
                                  <w:iCs/>
                                </w:rPr>
                              </w:pPr>
                              <w:r>
                                <w:rPr>
                                  <w:i/>
                                  <w:iCs/>
                                </w:rPr>
                                <w:t>Baseline Total Qualified Sales Volume</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3E93266" id="Canvas 59" o:spid="_x0000_s1053" editas="canvas" style="width:468pt;height:58.95pt;mso-position-horizontal-relative:char;mso-position-vertical-relative:line" coordsize="59436,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">
                <v:shape id="_x0000_s1054" type="#_x0000_t75" style="position:absolute;width:59436;height:7480;visibility:visible;mso-wrap-style:square" filled="t">
                  <v:fill o:detectmouseclick="t"/>
                  <v:path o:connecttype="none"/>
                </v:shape>
                <v:shape id="Text Box 46" o:spid="_x0000_s1055" type="#_x0000_t202" style="position:absolute;width:5834;height:5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" fillcolor="white [3201]" stroked="f" strokeweight=".5pt">
                  <v:textbox inset="0,0,0,0">
                    <w:txbxContent>
                      <w:p w14:paraId="7EE40FFA" w14:textId="0121D9CB" w:rsidR="00D9746B" w:rsidRPr="008224B3" w:rsidRDefault="00D9746B" w:rsidP="00D9746B">
                        <w:pPr>
                          <w:spacing w:line="240" w:lineRule="auto"/>
                          <w:rPr>
                            <w:i/>
                            <w:iCs/>
                          </w:rPr>
                        </w:pPr>
                        <w:r>
                          <w:rPr>
                            <w:i/>
                            <w:iCs/>
                          </w:rPr>
                          <w:t>ESRPP Net Sales Volume</w:t>
                        </w:r>
                      </w:p>
                    </w:txbxContent>
                  </v:textbox>
                </v:shape>
                <v:shape id="Text Box 4" o:spid="_x0000_s1056" type="#_x0000_t202" style="position:absolute;left:5834;top:845;width:182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" fillcolor="white [3201]" stroked="f" strokeweight=".5pt">
                  <v:textbox inset="0,0,0,0">
                    <w:txbxContent>
                      <w:p w14:paraId="0E45EC59" w14:textId="77777777" w:rsidR="00D9746B" w:rsidRPr="006327A6" w:rsidRDefault="00D9746B" w:rsidP="00D9746B">
                        <w:pPr>
                          <w:jc w:val="center"/>
                          <w:rPr>
                            <w:sz w:val="44"/>
                            <w:szCs w:val="44"/>
                          </w:rPr>
                        </w:pPr>
                        <w:r w:rsidRPr="006327A6">
                          <w:rPr>
                            <w:sz w:val="44"/>
                            <w:szCs w:val="44"/>
                          </w:rPr>
                          <w:t>=</w:t>
                        </w:r>
                      </w:p>
                    </w:txbxContent>
                  </v:textbox>
                </v:shape>
                <v:shape id="Text Box 4" o:spid="_x0000_s1057" type="#_x0000_t202" href="#_ESRPP-Qualified_Sales_Attributable" style="position:absolute;left:13874;width:10130;height:7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" o:button="t" fillcolor="white [3201]" stroked="f" strokeweight=".5pt">
                  <v:fill o:detectmouseclick="t"/>
                  <v:textbox inset="0,0,0,0">
                    <w:txbxContent>
                      <w:p w14:paraId="3B864BF0" w14:textId="049E6D4D" w:rsidR="00D9746B" w:rsidRDefault="004B7501" w:rsidP="00D9746B">
                        <w:pPr>
                          <w:spacing w:line="240" w:lineRule="auto"/>
                          <w:rPr>
                            <w:i/>
                            <w:iCs/>
                          </w:rPr>
                        </w:pPr>
                        <w:r>
                          <w:rPr>
                            <w:i/>
                            <w:iCs/>
                          </w:rPr>
                          <w:t>ESRPP-qualified sales attributable to RAP</w:t>
                        </w:r>
                        <w:r w:rsidR="0084235D">
                          <w:rPr>
                            <w:i/>
                            <w:iCs/>
                          </w:rPr>
                          <w:t xml:space="preserve"> in ESRPP retailers</w:t>
                        </w:r>
                      </w:p>
                    </w:txbxContent>
                  </v:textbox>
                </v:shape>
                <v:shape id="Text Box 4" o:spid="_x0000_s1058" type="#_x0000_t202" style="position:absolute;left:11971;top:951;width:1997;height:4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" fillcolor="white [3201]" stroked="f" strokeweight=".5pt">
                  <v:textbox inset="0,0,0,0">
                    <w:txbxContent>
                      <w:p w14:paraId="10637C72" w14:textId="579B6E8D" w:rsidR="00D9746B" w:rsidRDefault="004B3543" w:rsidP="00D9746B">
                        <w:pPr>
                          <w:jc w:val="center"/>
                          <w:rPr>
                            <w:sz w:val="44"/>
                            <w:szCs w:val="44"/>
                          </w:rPr>
                        </w:pPr>
                        <w:r>
                          <w:rPr>
                            <w:sz w:val="44"/>
                            <w:szCs w:val="44"/>
                          </w:rPr>
                          <w:t>-</w:t>
                        </w:r>
                        <w:r w:rsidR="00D9746B">
                          <w:rPr>
                            <w:sz w:val="44"/>
                            <w:szCs w:val="44"/>
                          </w:rPr>
                          <w:t>(</w:t>
                        </w:r>
                      </w:p>
                    </w:txbxContent>
                  </v:textbox>
                </v:shape>
                <v:shape id="Text Box 4" o:spid="_x0000_s1059" type="#_x0000_t202" style="position:absolute;left:23948;top:851;width:1940;height:4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" fillcolor="white [3201]" stroked="f" strokeweight=".5pt">
                  <v:textbox inset="0,0,0,0">
                    <w:txbxContent>
                      <w:p w14:paraId="34398D6F" w14:textId="6B0E7F00" w:rsidR="00D9746B" w:rsidRDefault="00553D10" w:rsidP="00D9746B">
                        <w:pPr>
                          <w:jc w:val="center"/>
                          <w:rPr>
                            <w:sz w:val="44"/>
                            <w:szCs w:val="44"/>
                          </w:rPr>
                        </w:pPr>
                        <w:r>
                          <w:rPr>
                            <w:sz w:val="44"/>
                            <w:szCs w:val="44"/>
                          </w:rPr>
                          <w:t>+</w:t>
                        </w:r>
                      </w:p>
                    </w:txbxContent>
                  </v:textbox>
                </v:shape>
                <v:shape id="Text Box 4" o:spid="_x0000_s1060" type="#_x0000_t202" href="#_ESRPP-Qualified_Sales_Attributable" style="position:absolute;left:25832;width:11488;height:7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" o:button="t" fillcolor="white [3201]" stroked="f" strokeweight=".5pt">
                  <v:fill o:detectmouseclick="t"/>
                  <v:textbox inset="0,0,0,0">
                    <w:txbxContent>
                      <w:p w14:paraId="04ED2FC8" w14:textId="6DD84F36" w:rsidR="00D9746B" w:rsidRDefault="0084235D" w:rsidP="00D9746B">
                        <w:pPr>
                          <w:spacing w:line="240" w:lineRule="auto"/>
                          <w:rPr>
                            <w:i/>
                            <w:iCs/>
                          </w:rPr>
                        </w:pPr>
                        <w:r>
                          <w:rPr>
                            <w:i/>
                            <w:iCs/>
                          </w:rPr>
                          <w:t>ESRPP-qualified sales attributable to RAP in non-</w:t>
                        </w:r>
                        <w:r w:rsidR="004239B8">
                          <w:rPr>
                            <w:i/>
                            <w:iCs/>
                          </w:rPr>
                          <w:t>ESRPP</w:t>
                        </w:r>
                        <w:r>
                          <w:rPr>
                            <w:i/>
                            <w:iCs/>
                          </w:rPr>
                          <w:t xml:space="preserve"> retailers</w:t>
                        </w:r>
                      </w:p>
                    </w:txbxContent>
                  </v:textbox>
                </v:shape>
                <v:shape id="Text Box 4" o:spid="_x0000_s1061" type="#_x0000_t202" style="position:absolute;left:37320;top:845;width:2324;height:4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" fillcolor="white [3201]" stroked="f" strokeweight=".5pt">
                  <v:textbox inset="0,0,0,0">
                    <w:txbxContent>
                      <w:p w14:paraId="58F35970" w14:textId="432D2E8A" w:rsidR="00D9746B" w:rsidRDefault="00D9746B" w:rsidP="00D9746B">
                        <w:pPr>
                          <w:jc w:val="center"/>
                          <w:rPr>
                            <w:sz w:val="44"/>
                            <w:szCs w:val="44"/>
                          </w:rPr>
                        </w:pPr>
                        <w:r>
                          <w:rPr>
                            <w:sz w:val="44"/>
                            <w:szCs w:val="44"/>
                          </w:rPr>
                          <w:t>x</w:t>
                        </w:r>
                      </w:p>
                    </w:txbxContent>
                  </v:textbox>
                </v:shape>
                <v:shape id="Text Box 4" o:spid="_x0000_s1062" type="#_x0000_t202" href="#_ESRPP-Qualified_Sales_Attributable" style="position:absolute;left:39308;width:9665;height:7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" o:button="t" fillcolor="white [3201]" stroked="f" strokeweight=".5pt">
                  <v:fill o:detectmouseclick="t"/>
                  <v:textbox inset="0,0,0,0">
                    <w:txbxContent>
                      <w:p w14:paraId="437173CC" w14:textId="77777777" w:rsidR="00D9746B" w:rsidRDefault="00D9746B" w:rsidP="00D9746B">
                        <w:pPr>
                          <w:spacing w:line="240" w:lineRule="auto"/>
                          <w:rPr>
                            <w:i/>
                            <w:iCs/>
                          </w:rPr>
                        </w:pPr>
                        <w:r>
                          <w:rPr>
                            <w:i/>
                            <w:iCs/>
                          </w:rPr>
                          <w:t>Share of Non-Participant Sales Attributed to ESRPP</w:t>
                        </w:r>
                      </w:p>
                    </w:txbxContent>
                  </v:textbox>
                </v:shape>
                <v:shape id="Text Box 4" o:spid="_x0000_s1063" type="#_x0000_t202" style="position:absolute;left:48917;top:729;width:1795;height:4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" fillcolor="white [3201]" stroked="f" strokeweight=".5pt">
                  <v:textbox inset="0,0,0,0">
                    <w:txbxContent>
                      <w:p w14:paraId="7162C876" w14:textId="34AA1B7E" w:rsidR="00D9746B" w:rsidRDefault="0084235D" w:rsidP="00D9746B">
                        <w:pPr>
                          <w:jc w:val="center"/>
                          <w:rPr>
                            <w:sz w:val="44"/>
                            <w:szCs w:val="44"/>
                          </w:rPr>
                        </w:pPr>
                        <w:r>
                          <w:rPr>
                            <w:sz w:val="44"/>
                            <w:szCs w:val="44"/>
                          </w:rPr>
                          <w:t>)</w:t>
                        </w:r>
                        <w:r w:rsidR="00D9746B">
                          <w:rPr>
                            <w:sz w:val="44"/>
                            <w:szCs w:val="44"/>
                          </w:rPr>
                          <w:t>-</w:t>
                        </w:r>
                      </w:p>
                    </w:txbxContent>
                  </v:textbox>
                </v:shape>
                <v:shape id="Text Box 4" o:spid="_x0000_s1064" type="#_x0000_t202" style="position:absolute;left:7750;width:5601;height:7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" filled="f" stroked="f" strokeweight=".5pt">
                  <v:textbox inset="0,0,0,0">
                    <w:txbxContent>
                      <w:p w14:paraId="6C7914CD" w14:textId="14B38A83" w:rsidR="00D9746B" w:rsidRPr="008224B3" w:rsidRDefault="00D9746B" w:rsidP="00D9746B">
                        <w:pPr>
                          <w:spacing w:line="240" w:lineRule="auto"/>
                          <w:rPr>
                            <w:i/>
                            <w:iCs/>
                          </w:rPr>
                        </w:pPr>
                        <w:r>
                          <w:rPr>
                            <w:i/>
                            <w:iCs/>
                          </w:rPr>
                          <w:t>ESRPP Gross Sales Volume</w:t>
                        </w:r>
                        <w:r w:rsidRPr="008224B3">
                          <w:rPr>
                            <w:i/>
                            <w:iCs/>
                          </w:rPr>
                          <w:t xml:space="preserve"> </w:t>
                        </w:r>
                      </w:p>
                    </w:txbxContent>
                  </v:textbox>
                </v:shape>
                <v:shape id="Text Box 4" o:spid="_x0000_s1065" type="#_x0000_t202" style="position:absolute;left:51446;width:7989;height:7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" fillcolor="white [3201]" stroked="f" strokeweight=".5pt">
                  <v:textbox inset="0,0,0,0">
                    <w:txbxContent>
                      <w:p w14:paraId="72610844" w14:textId="77777777" w:rsidR="00D9746B" w:rsidRDefault="00D9746B" w:rsidP="00D9746B">
                        <w:pPr>
                          <w:spacing w:line="240" w:lineRule="auto"/>
                          <w:rPr>
                            <w:i/>
                            <w:iCs/>
                          </w:rPr>
                        </w:pPr>
                        <w:r>
                          <w:rPr>
                            <w:i/>
                            <w:iCs/>
                          </w:rPr>
                          <w:t>Baseline Total Qualified Sales Volume</w:t>
                        </w:r>
                      </w:p>
                    </w:txbxContent>
                  </v:textbox>
                </v:shape>
                <w10:anchorlock/>
              </v:group>
            </w:pict>
          </mc:Fallback>
        </mc:AlternateContent>
      </w:r>
    </w:p>
    <w:p w14:paraId="24EE0CF8" w14:textId="2F8AD265" w:rsidR="00CA3E1D" w:rsidRDefault="00FB1997" w:rsidP="00D403A9">
      <w:pPr>
        <w:pStyle w:val="TextMain"/>
      </w:pPr>
      <w:r>
        <w:t xml:space="preserve">The market share inputs </w:t>
      </w:r>
      <w:r w:rsidR="008657E2">
        <w:t xml:space="preserve">reflect the natural market baseline as well as the max, average, and low with-program forecasts, as described above. </w:t>
      </w:r>
      <w:r w:rsidR="00B61C0B">
        <w:t>The following sections detail the remaining inputs</w:t>
      </w:r>
      <w:r w:rsidR="006D2532">
        <w:t xml:space="preserve"> to these calculations</w:t>
      </w:r>
      <w:r w:rsidR="00B61C0B">
        <w:t xml:space="preserve">. </w:t>
      </w:r>
    </w:p>
    <w:p w14:paraId="6A0139DC" w14:textId="1A8CE3E0" w:rsidR="00D95457" w:rsidRDefault="00D95457" w:rsidP="00D95457">
      <w:pPr>
        <w:pStyle w:val="Heading3"/>
        <w:numPr>
          <w:ilvl w:val="0"/>
          <w:numId w:val="0"/>
        </w:numPr>
        <w:ind w:left="1080" w:hanging="1080"/>
      </w:pPr>
      <w:bookmarkStart w:id="13" w:name="_Total_Market_Size"/>
      <w:bookmarkEnd w:id="13"/>
      <w:r>
        <w:t>Total Market Size</w:t>
      </w:r>
    </w:p>
    <w:p w14:paraId="27B5142D" w14:textId="01EEA07E" w:rsidR="00D403A9" w:rsidRDefault="00C268F7" w:rsidP="00D403A9">
      <w:pPr>
        <w:pStyle w:val="TextMain"/>
      </w:pPr>
      <w:r>
        <w:t>To estimate total market size, w</w:t>
      </w:r>
      <w:r w:rsidR="00FA1120">
        <w:t xml:space="preserve">e drew on initial market size estimates that NEEA provided to ComEd. </w:t>
      </w:r>
      <w:r w:rsidR="008B2E55">
        <w:t xml:space="preserve">NEEA generated these estimates </w:t>
      </w:r>
      <w:r w:rsidR="00B96940">
        <w:t xml:space="preserve">by applying the share of </w:t>
      </w:r>
      <w:r w:rsidR="00B56C86">
        <w:t xml:space="preserve">US households in ComEd territory </w:t>
      </w:r>
      <w:r w:rsidR="005508B7">
        <w:t xml:space="preserve">to national </w:t>
      </w:r>
      <w:r w:rsidR="000D2CF7">
        <w:t>shipment data.</w:t>
      </w:r>
      <w:r w:rsidR="000D2CF7">
        <w:rPr>
          <w:rStyle w:val="FootnoteReference"/>
        </w:rPr>
        <w:footnoteReference w:id="14"/>
      </w:r>
      <w:r w:rsidR="000D2CF7">
        <w:t xml:space="preserve"> </w:t>
      </w:r>
      <w:r w:rsidR="00334495">
        <w:t xml:space="preserve">Our forecast </w:t>
      </w:r>
      <w:r w:rsidR="006013C7">
        <w:t xml:space="preserve">assumed that </w:t>
      </w:r>
      <w:r w:rsidR="00A02061">
        <w:t xml:space="preserve">market size would increase annually based on </w:t>
      </w:r>
      <w:r w:rsidR="00964DED">
        <w:t>new housing construction</w:t>
      </w:r>
      <w:r w:rsidR="00186A2D">
        <w:t xml:space="preserve">, </w:t>
      </w:r>
      <w:r w:rsidR="002F4FA4">
        <w:t>drawing on a housing completions forecast provided by ComEd.</w:t>
      </w:r>
      <w:r w:rsidR="009F08E9">
        <w:rPr>
          <w:rStyle w:val="FootnoteReference"/>
        </w:rPr>
        <w:footnoteReference w:id="15"/>
      </w:r>
      <w:r w:rsidR="002F4FA4">
        <w:t xml:space="preserve"> </w:t>
      </w:r>
      <w:r w:rsidR="00BA5799">
        <w:t xml:space="preserve">We applied household penetration </w:t>
      </w:r>
      <w:r w:rsidR="002635A9">
        <w:t xml:space="preserve">of washers </w:t>
      </w:r>
      <w:r w:rsidR="00FB1997">
        <w:t xml:space="preserve">or refrigerators </w:t>
      </w:r>
      <w:r w:rsidR="00C90564">
        <w:t xml:space="preserve">by housing type (single family vs. multifamily) from </w:t>
      </w:r>
      <w:r w:rsidR="0043299F">
        <w:t>2020 RECS data to the</w:t>
      </w:r>
      <w:r w:rsidR="002635A9">
        <w:t xml:space="preserve"> number of forecasted housing completions to estimate annual growth in market size in ComEd territory. </w:t>
      </w:r>
    </w:p>
    <w:tbl>
      <w:tblPr>
        <w:tblStyle w:val="TableGrid"/>
        <w:tblW w:w="0" w:type="auto"/>
        <w:tblLook w:val="04A0" w:firstRow="1" w:lastRow="0" w:firstColumn="1" w:lastColumn="0" w:noHBand="0" w:noVBand="1"/>
      </w:tblPr>
      <w:tblGrid>
        <w:gridCol w:w="4675"/>
        <w:gridCol w:w="4675"/>
      </w:tblGrid>
      <w:tr w:rsidR="002C56CB" w14:paraId="302CFDAE" w14:textId="77777777" w:rsidTr="006E7DF9">
        <w:tc>
          <w:tcPr>
            <w:tcW w:w="4675" w:type="dxa"/>
            <w:shd w:val="clear" w:color="auto" w:fill="009FC2" w:themeFill="accent3"/>
          </w:tcPr>
          <w:p w14:paraId="7A8C9681" w14:textId="13068849" w:rsidR="002C56CB" w:rsidRPr="006E7DF9" w:rsidRDefault="00D602EF" w:rsidP="006E7DF9">
            <w:pPr>
              <w:pStyle w:val="TextMain"/>
              <w:keepNext/>
              <w:rPr>
                <w:b/>
                <w:bCs/>
                <w:color w:val="FFFFFF" w:themeColor="background1"/>
              </w:rPr>
            </w:pPr>
            <w:r w:rsidRPr="006E7DF9">
              <w:rPr>
                <w:b/>
                <w:bCs/>
                <w:color w:val="FFFFFF" w:themeColor="background1"/>
              </w:rPr>
              <w:lastRenderedPageBreak/>
              <w:t>Research Question</w:t>
            </w:r>
          </w:p>
        </w:tc>
        <w:tc>
          <w:tcPr>
            <w:tcW w:w="4675" w:type="dxa"/>
            <w:shd w:val="clear" w:color="auto" w:fill="009FC2" w:themeFill="accent3"/>
          </w:tcPr>
          <w:p w14:paraId="7E76D742" w14:textId="416BE130" w:rsidR="002C56CB" w:rsidRPr="006E7DF9" w:rsidRDefault="00D602EF" w:rsidP="006E7DF9">
            <w:pPr>
              <w:pStyle w:val="TextMain"/>
              <w:keepNext/>
              <w:rPr>
                <w:b/>
                <w:bCs/>
                <w:color w:val="FFFFFF" w:themeColor="background1"/>
              </w:rPr>
            </w:pPr>
            <w:r w:rsidRPr="006E7DF9">
              <w:rPr>
                <w:b/>
                <w:bCs/>
                <w:color w:val="FFFFFF" w:themeColor="background1"/>
              </w:rPr>
              <w:t>Baseline Implication</w:t>
            </w:r>
          </w:p>
        </w:tc>
      </w:tr>
      <w:tr w:rsidR="002C56CB" w14:paraId="15A44D56" w14:textId="77777777" w:rsidTr="002C56CB">
        <w:tc>
          <w:tcPr>
            <w:tcW w:w="4675" w:type="dxa"/>
          </w:tcPr>
          <w:p w14:paraId="490CDC0B" w14:textId="6F94877C" w:rsidR="002C56CB" w:rsidRDefault="002C56CB" w:rsidP="00D403A9">
            <w:pPr>
              <w:pStyle w:val="TextMain"/>
            </w:pPr>
            <w:r w:rsidRPr="002C56CB">
              <w:t xml:space="preserve">What, if anything, are the main drivers of sales beyond equipment replacement and new construction? Are they likely to impact qualified products any differently from non-qualified products?  </w:t>
            </w:r>
          </w:p>
        </w:tc>
        <w:tc>
          <w:tcPr>
            <w:tcW w:w="4675" w:type="dxa"/>
          </w:tcPr>
          <w:p w14:paraId="0D62780D" w14:textId="08123FB1" w:rsidR="002C56CB" w:rsidRDefault="00B45D24" w:rsidP="00D403A9">
            <w:pPr>
              <w:pStyle w:val="TextMain"/>
            </w:pPr>
            <w:r>
              <w:t xml:space="preserve">Changes </w:t>
            </w:r>
            <w:r w:rsidR="008B7436">
              <w:t>the</w:t>
            </w:r>
            <w:r w:rsidR="00D55379">
              <w:t xml:space="preserve"> sales volume of qualified products (either through </w:t>
            </w:r>
            <w:r w:rsidR="00E3591B">
              <w:t xml:space="preserve">trends related to qualified product uptake specifically or general changes in market size) </w:t>
            </w:r>
            <w:r w:rsidR="00491E51">
              <w:t xml:space="preserve">will impact the </w:t>
            </w:r>
            <w:r w:rsidR="008F75FF">
              <w:t xml:space="preserve">total energy savings </w:t>
            </w:r>
            <w:r w:rsidR="00A4299E">
              <w:t xml:space="preserve">the program generates. </w:t>
            </w:r>
            <w:r w:rsidR="00F94484">
              <w:t xml:space="preserve">To the extent a forecast can </w:t>
            </w:r>
            <w:r w:rsidR="0090477D">
              <w:t xml:space="preserve">reliably </w:t>
            </w:r>
            <w:r w:rsidR="00F94484">
              <w:t xml:space="preserve">incorporate these trends, </w:t>
            </w:r>
            <w:r w:rsidR="00037CAD">
              <w:t xml:space="preserve">it will </w:t>
            </w:r>
            <w:r w:rsidR="00D47FC3">
              <w:t xml:space="preserve">increase the accuracy of </w:t>
            </w:r>
            <w:r w:rsidR="003878EA">
              <w:t xml:space="preserve">savings estimates. </w:t>
            </w:r>
          </w:p>
        </w:tc>
      </w:tr>
    </w:tbl>
    <w:p w14:paraId="4F5017FB" w14:textId="77777777" w:rsidR="002C56CB" w:rsidRDefault="002C56CB" w:rsidP="00D403A9">
      <w:pPr>
        <w:pStyle w:val="TextMain"/>
      </w:pPr>
    </w:p>
    <w:p w14:paraId="3239CFD4" w14:textId="22B40A37" w:rsidR="00DF08FA" w:rsidRDefault="00DF08FA" w:rsidP="00DF08FA">
      <w:pPr>
        <w:pStyle w:val="Heading3"/>
        <w:numPr>
          <w:ilvl w:val="0"/>
          <w:numId w:val="0"/>
        </w:numPr>
        <w:ind w:left="1080" w:hanging="1080"/>
      </w:pPr>
      <w:bookmarkStart w:id="14" w:name="_Configuration_Share"/>
      <w:bookmarkEnd w:id="14"/>
      <w:r>
        <w:t>Configuration Share</w:t>
      </w:r>
    </w:p>
    <w:p w14:paraId="32962F21" w14:textId="3605534D" w:rsidR="00DF08FA" w:rsidRDefault="00DF08FA" w:rsidP="00DF08FA">
      <w:pPr>
        <w:pStyle w:val="TextMain"/>
      </w:pPr>
      <w:r>
        <w:t xml:space="preserve">We </w:t>
      </w:r>
      <w:r w:rsidR="00A15B23">
        <w:t>drew on NEEA’s analysis of</w:t>
      </w:r>
      <w:r>
        <w:t xml:space="preserve"> the share of </w:t>
      </w:r>
      <w:r w:rsidR="00094BF3">
        <w:t xml:space="preserve">clothes washer sales that are top-load vs front-load and the share of refrigerator sales that </w:t>
      </w:r>
      <w:r w:rsidR="00A15B23">
        <w:t>are bottom-mount, side-mount, and top-mount.</w:t>
      </w:r>
      <w:r w:rsidR="006717E9">
        <w:rPr>
          <w:rStyle w:val="FootnoteReference"/>
        </w:rPr>
        <w:footnoteReference w:id="16"/>
      </w:r>
      <w:r w:rsidR="00A15B23">
        <w:t xml:space="preserve"> We </w:t>
      </w:r>
      <w:r>
        <w:t>assumed that the</w:t>
      </w:r>
      <w:r w:rsidR="00A15B23">
        <w:t xml:space="preserve">se configuration shares </w:t>
      </w:r>
      <w:r>
        <w:t>would remain constant. Front</w:t>
      </w:r>
      <w:r w:rsidR="00105514">
        <w:t>-</w:t>
      </w:r>
      <w:r>
        <w:t>load washers gained market share as they first entered the US market before subsequently losing market share as some consumers had negative experiences with early models. At this point we consider front</w:t>
      </w:r>
      <w:r w:rsidR="00105514">
        <w:t>-</w:t>
      </w:r>
      <w:r>
        <w:t>load washers to be a largely mature technology and anticipate that shares of front</w:t>
      </w:r>
      <w:r w:rsidR="00105514">
        <w:t>-</w:t>
      </w:r>
      <w:r>
        <w:t xml:space="preserve"> vs. top-load units will stabilize.</w:t>
      </w:r>
      <w:r w:rsidR="00591E90">
        <w:t xml:space="preserve"> This is consistent with the assumptions in</w:t>
      </w:r>
      <w:r w:rsidR="00821F53">
        <w:t xml:space="preserve"> the Technical Support documents produced </w:t>
      </w:r>
      <w:r w:rsidR="00F14442">
        <w:t xml:space="preserve">for DOE </w:t>
      </w:r>
      <w:r w:rsidR="00821F53">
        <w:t xml:space="preserve">to support </w:t>
      </w:r>
      <w:r w:rsidR="00F14442">
        <w:t xml:space="preserve">the federal efficiency standard </w:t>
      </w:r>
      <w:r w:rsidR="007C257D">
        <w:t>revision for washers that is currently underway.</w:t>
      </w:r>
      <w:r w:rsidR="00C63944">
        <w:rPr>
          <w:rStyle w:val="FootnoteReference"/>
        </w:rPr>
        <w:footnoteReference w:id="17"/>
      </w:r>
      <w:r>
        <w:t xml:space="preserve"> Likewise, side-mount refrigerators have gradually lost market share to top- and bottom-mount units, but we anticipate limited capacity for these shifts to continue. </w:t>
      </w:r>
      <w:r w:rsidR="009B1BE3">
        <w:t>This is also consistent with the approach t</w:t>
      </w:r>
      <w:r w:rsidR="00047D36">
        <w:t>a</w:t>
      </w:r>
      <w:r w:rsidR="009B1BE3">
        <w:t xml:space="preserve">ken in </w:t>
      </w:r>
      <w:r>
        <w:t xml:space="preserve">DOE’s Technical Support document for </w:t>
      </w:r>
      <w:r w:rsidR="007C257D">
        <w:t>refrigerators</w:t>
      </w:r>
      <w:r>
        <w:t>.</w:t>
      </w:r>
      <w:r w:rsidR="00C948FC">
        <w:rPr>
          <w:rStyle w:val="FootnoteReference"/>
        </w:rPr>
        <w:footnoteReference w:id="18"/>
      </w:r>
    </w:p>
    <w:tbl>
      <w:tblPr>
        <w:tblStyle w:val="TableGrid"/>
        <w:tblW w:w="0" w:type="auto"/>
        <w:tblLook w:val="04A0" w:firstRow="1" w:lastRow="0" w:firstColumn="1" w:lastColumn="0" w:noHBand="0" w:noVBand="1"/>
      </w:tblPr>
      <w:tblGrid>
        <w:gridCol w:w="4675"/>
        <w:gridCol w:w="4675"/>
      </w:tblGrid>
      <w:tr w:rsidR="004B16D5" w14:paraId="5D4DA202" w14:textId="77777777" w:rsidTr="006E7DF9">
        <w:tc>
          <w:tcPr>
            <w:tcW w:w="4675" w:type="dxa"/>
            <w:shd w:val="clear" w:color="auto" w:fill="009FC2" w:themeFill="accent3"/>
          </w:tcPr>
          <w:p w14:paraId="261ADD97" w14:textId="77777777" w:rsidR="004B16D5" w:rsidRPr="004A031D" w:rsidRDefault="004B16D5" w:rsidP="004A031D">
            <w:pPr>
              <w:pStyle w:val="TextMain"/>
              <w:rPr>
                <w:b/>
                <w:bCs/>
                <w:color w:val="FFFFFF" w:themeColor="background1"/>
              </w:rPr>
            </w:pPr>
            <w:r w:rsidRPr="004A031D">
              <w:rPr>
                <w:b/>
                <w:bCs/>
                <w:color w:val="FFFFFF" w:themeColor="background1"/>
              </w:rPr>
              <w:t>Research Question</w:t>
            </w:r>
          </w:p>
        </w:tc>
        <w:tc>
          <w:tcPr>
            <w:tcW w:w="4675" w:type="dxa"/>
            <w:shd w:val="clear" w:color="auto" w:fill="009FC2" w:themeFill="accent3"/>
          </w:tcPr>
          <w:p w14:paraId="6FB3BC59" w14:textId="77777777" w:rsidR="004B16D5" w:rsidRPr="004A031D" w:rsidRDefault="004B16D5" w:rsidP="004A031D">
            <w:pPr>
              <w:pStyle w:val="TextMain"/>
              <w:rPr>
                <w:b/>
                <w:bCs/>
                <w:color w:val="FFFFFF" w:themeColor="background1"/>
              </w:rPr>
            </w:pPr>
            <w:r w:rsidRPr="004A031D">
              <w:rPr>
                <w:b/>
                <w:bCs/>
                <w:color w:val="FFFFFF" w:themeColor="background1"/>
              </w:rPr>
              <w:t>Baseline Implication</w:t>
            </w:r>
          </w:p>
        </w:tc>
      </w:tr>
      <w:tr w:rsidR="004B16D5" w14:paraId="1B813EDC" w14:textId="77777777" w:rsidTr="004A031D">
        <w:tc>
          <w:tcPr>
            <w:tcW w:w="4675" w:type="dxa"/>
          </w:tcPr>
          <w:p w14:paraId="064D145A" w14:textId="4BA4519D" w:rsidR="004B16D5" w:rsidRDefault="004B16D5" w:rsidP="004A031D">
            <w:pPr>
              <w:pStyle w:val="TextMain"/>
            </w:pPr>
            <w:r w:rsidRPr="004B16D5">
              <w:t>How, if at all, is uptake of different product types or configurations likely to shift over time?</w:t>
            </w:r>
            <w:r w:rsidRPr="002C56CB">
              <w:t xml:space="preserve">  </w:t>
            </w:r>
          </w:p>
        </w:tc>
        <w:tc>
          <w:tcPr>
            <w:tcW w:w="4675" w:type="dxa"/>
          </w:tcPr>
          <w:p w14:paraId="56126A34" w14:textId="4B24198F" w:rsidR="004B16D5" w:rsidRDefault="00F72BB6" w:rsidP="004A031D">
            <w:pPr>
              <w:pStyle w:val="TextMain"/>
            </w:pPr>
            <w:r>
              <w:t xml:space="preserve">The energy savings resulting from selecting a program-qualified model over a baseline model may differ between </w:t>
            </w:r>
            <w:r w:rsidR="00C6276C">
              <w:t>product types and configurations</w:t>
            </w:r>
            <w:r w:rsidR="00206BB4">
              <w:t xml:space="preserve">. In addition, some </w:t>
            </w:r>
            <w:r w:rsidR="008C399A">
              <w:t xml:space="preserve">product types or configurations (like front-load washers) may fall outside of the program’s scope. </w:t>
            </w:r>
            <w:r w:rsidR="001F1189">
              <w:t xml:space="preserve">Thus, accurately predicting </w:t>
            </w:r>
            <w:r w:rsidR="002A54D3">
              <w:t xml:space="preserve">shifts in </w:t>
            </w:r>
            <w:r w:rsidR="008F237D">
              <w:t xml:space="preserve">market share of product types </w:t>
            </w:r>
            <w:r w:rsidR="00810CFE">
              <w:t xml:space="preserve">or configurations can </w:t>
            </w:r>
            <w:r w:rsidR="00CD4492">
              <w:t xml:space="preserve">increase the accuracy of </w:t>
            </w:r>
            <w:r w:rsidR="00157BA7">
              <w:t xml:space="preserve">energy savings forecasts. </w:t>
            </w:r>
            <w:r w:rsidR="005446FA">
              <w:t xml:space="preserve">However, </w:t>
            </w:r>
            <w:r w:rsidR="00BC13B9">
              <w:t xml:space="preserve">efforts to predict these trends </w:t>
            </w:r>
            <w:r w:rsidR="005446FA">
              <w:t>without</w:t>
            </w:r>
            <w:r w:rsidR="00F44DB9">
              <w:t xml:space="preserve"> a strong rationale </w:t>
            </w:r>
            <w:r w:rsidR="00A45A05">
              <w:t xml:space="preserve">could introduce </w:t>
            </w:r>
            <w:r w:rsidR="00FC5CD1">
              <w:t xml:space="preserve">additional </w:t>
            </w:r>
            <w:r w:rsidR="00273A5C">
              <w:t xml:space="preserve">uncertainty into </w:t>
            </w:r>
            <w:r w:rsidR="00E37543">
              <w:t>a savings forecast.</w:t>
            </w:r>
          </w:p>
        </w:tc>
      </w:tr>
    </w:tbl>
    <w:p w14:paraId="5C344BBD" w14:textId="77777777" w:rsidR="004B16D5" w:rsidRDefault="004B16D5" w:rsidP="00DF08FA">
      <w:pPr>
        <w:pStyle w:val="TextMain"/>
      </w:pPr>
    </w:p>
    <w:p w14:paraId="51F4FCCF" w14:textId="66B929BC" w:rsidR="00242F2D" w:rsidRDefault="00242F2D" w:rsidP="00242F2D">
      <w:pPr>
        <w:pStyle w:val="Heading3"/>
        <w:numPr>
          <w:ilvl w:val="0"/>
          <w:numId w:val="0"/>
        </w:numPr>
        <w:ind w:left="1080" w:hanging="1080"/>
      </w:pPr>
      <w:bookmarkStart w:id="15" w:name="_ESRPP_Retailer_Sales"/>
      <w:bookmarkEnd w:id="15"/>
      <w:r>
        <w:lastRenderedPageBreak/>
        <w:t>ESRPP Retailer Sales Volume</w:t>
      </w:r>
    </w:p>
    <w:p w14:paraId="6DEE7EC2" w14:textId="77777777" w:rsidR="00C40296" w:rsidRDefault="00242F2D" w:rsidP="00242F2D">
      <w:pPr>
        <w:pStyle w:val="TextMain"/>
      </w:pPr>
      <w:r w:rsidRPr="00CD4B0E">
        <w:t>We assume</w:t>
      </w:r>
      <w:r>
        <w:t xml:space="preserve"> the percent of sales going through retailers participating in </w:t>
      </w:r>
      <w:proofErr w:type="spellStart"/>
      <w:r>
        <w:t>ComEd’s</w:t>
      </w:r>
      <w:proofErr w:type="spellEnd"/>
      <w:r>
        <w:t xml:space="preserve"> RPP program versus non-participating retailers would remain constant. The ESRPP program is not currently seeking to expand its base of participating retailers, and we have no reason to believe the market share of participating retailers will change significantly. </w:t>
      </w:r>
    </w:p>
    <w:p w14:paraId="1133613D" w14:textId="10F27A18" w:rsidR="002D627B" w:rsidRDefault="005D3E49" w:rsidP="005D3E49">
      <w:pPr>
        <w:pStyle w:val="Heading3"/>
        <w:numPr>
          <w:ilvl w:val="0"/>
          <w:numId w:val="0"/>
        </w:numPr>
        <w:ind w:left="1080" w:hanging="1080"/>
      </w:pPr>
      <w:bookmarkStart w:id="16" w:name="_Share_of_Non-Participant"/>
      <w:bookmarkEnd w:id="16"/>
      <w:r>
        <w:t xml:space="preserve">Share of Non-Participant </w:t>
      </w:r>
      <w:r w:rsidR="00C46312">
        <w:t xml:space="preserve">Retailer </w:t>
      </w:r>
      <w:r>
        <w:t>Sales Attributed to ESRPP</w:t>
      </w:r>
    </w:p>
    <w:p w14:paraId="041891A5" w14:textId="7D30A443" w:rsidR="00242F2D" w:rsidRDefault="00DC4223" w:rsidP="00242F2D">
      <w:pPr>
        <w:pStyle w:val="TextMain"/>
      </w:pPr>
      <w:r>
        <w:t xml:space="preserve">In a competitive appliance market, retailers will </w:t>
      </w:r>
      <w:r w:rsidR="002B5F43">
        <w:t xml:space="preserve">react to </w:t>
      </w:r>
      <w:r w:rsidR="009A3157">
        <w:t xml:space="preserve">shifts in the strategies of their competitors. </w:t>
      </w:r>
      <w:r w:rsidR="000F10D9">
        <w:t>Non-participating retailers</w:t>
      </w:r>
      <w:r w:rsidR="00702853">
        <w:t xml:space="preserve"> may respond in a variety of ways to</w:t>
      </w:r>
      <w:r w:rsidR="000F10D9">
        <w:t xml:space="preserve"> </w:t>
      </w:r>
      <w:r w:rsidR="00F16302">
        <w:t>ESRPP</w:t>
      </w:r>
      <w:r w:rsidR="00B814B0">
        <w:t xml:space="preserve"> retailers’</w:t>
      </w:r>
      <w:r w:rsidR="00F16302">
        <w:t xml:space="preserve"> changes in assortment or promotion strategies related to qualified products</w:t>
      </w:r>
      <w:r w:rsidR="00C35444">
        <w:t xml:space="preserve">, and </w:t>
      </w:r>
      <w:r w:rsidR="00CA62B1">
        <w:t xml:space="preserve">those responses may have varying impacts on </w:t>
      </w:r>
      <w:r w:rsidR="00657D87">
        <w:t>the share of qualified products non-participating retailers sell</w:t>
      </w:r>
      <w:r w:rsidR="0004638E">
        <w:t xml:space="preserve">. </w:t>
      </w:r>
      <w:r w:rsidR="009574F6">
        <w:t xml:space="preserve">In response to this complexity, </w:t>
      </w:r>
      <w:r w:rsidR="00C76896">
        <w:t xml:space="preserve">in 2021, </w:t>
      </w:r>
      <w:r w:rsidR="009574F6">
        <w:t xml:space="preserve">ComEd and its evaluators agreed </w:t>
      </w:r>
      <w:r w:rsidR="00C76896">
        <w:t xml:space="preserve">to attribute 50% of </w:t>
      </w:r>
      <w:r w:rsidR="0009739E">
        <w:t xml:space="preserve">the expected </w:t>
      </w:r>
      <w:r w:rsidR="00542431">
        <w:t xml:space="preserve">lift in </w:t>
      </w:r>
      <w:r w:rsidR="00C76896">
        <w:t xml:space="preserve">qualified sales </w:t>
      </w:r>
      <w:r w:rsidR="009B51F0">
        <w:t xml:space="preserve">among non-participating retailers to the ESRPP program. </w:t>
      </w:r>
      <w:r w:rsidR="003E0858">
        <w:t xml:space="preserve">Our projections </w:t>
      </w:r>
      <w:r w:rsidR="00242F2D">
        <w:t>assumed no change in th</w:t>
      </w:r>
      <w:r w:rsidR="008B255E">
        <w:t>is share</w:t>
      </w:r>
      <w:r w:rsidR="00242F2D">
        <w:t xml:space="preserve">, as </w:t>
      </w:r>
      <w:r w:rsidR="008B255E">
        <w:t xml:space="preserve">it </w:t>
      </w:r>
      <w:r w:rsidR="00242F2D">
        <w:t>is primarily a policy decision.</w:t>
      </w:r>
    </w:p>
    <w:p w14:paraId="3A518D17" w14:textId="088542D1" w:rsidR="004007EB" w:rsidRDefault="00E9611D" w:rsidP="008A7C82">
      <w:pPr>
        <w:pStyle w:val="Heading3"/>
        <w:numPr>
          <w:ilvl w:val="0"/>
          <w:numId w:val="0"/>
        </w:numPr>
        <w:ind w:left="1080" w:hanging="1080"/>
      </w:pPr>
      <w:bookmarkStart w:id="17" w:name="_ESRPP-Qualified_Sales_Attributable"/>
      <w:bookmarkEnd w:id="17"/>
      <w:r>
        <w:t>ESRPP-Qualified Sales Attributable to Downstream Program</w:t>
      </w:r>
    </w:p>
    <w:p w14:paraId="0DD43842" w14:textId="66BE4439" w:rsidR="008472E8" w:rsidRDefault="006F1FF3" w:rsidP="00D1634F">
      <w:pPr>
        <w:pStyle w:val="TextMain"/>
      </w:pPr>
      <w:r>
        <w:t xml:space="preserve">Apex used a linear forecast based on reported </w:t>
      </w:r>
      <w:r w:rsidR="00C07411">
        <w:t>RAP</w:t>
      </w:r>
      <w:r w:rsidR="001812FD">
        <w:t xml:space="preserve"> </w:t>
      </w:r>
      <w:r w:rsidR="00C07411">
        <w:t xml:space="preserve">rebate volumes </w:t>
      </w:r>
      <w:r w:rsidR="003A5144">
        <w:t xml:space="preserve">and net-to-gross ratios </w:t>
      </w:r>
      <w:r w:rsidR="00C07411">
        <w:t xml:space="preserve">for the years 2018-2021 to forecast </w:t>
      </w:r>
      <w:r w:rsidR="00824497">
        <w:t xml:space="preserve">downstream incentive uptake through 2030. </w:t>
      </w:r>
      <w:r w:rsidR="000A0093">
        <w:t>We</w:t>
      </w:r>
      <w:r w:rsidR="00AB4904">
        <w:t xml:space="preserve"> adjusted </w:t>
      </w:r>
      <w:r w:rsidR="002C3C8D">
        <w:t>these forecasted</w:t>
      </w:r>
      <w:r w:rsidR="00AB4904">
        <w:t xml:space="preserve"> sales volumes to account for differences in qualification </w:t>
      </w:r>
      <w:r w:rsidR="00566BC0">
        <w:t>criteria</w:t>
      </w:r>
      <w:r w:rsidR="00AB4904">
        <w:t xml:space="preserve"> </w:t>
      </w:r>
      <w:r w:rsidR="00480ECC">
        <w:t>between RAP and ESRPP</w:t>
      </w:r>
      <w:r w:rsidR="00E16519">
        <w:t>, as summarized below:</w:t>
      </w:r>
      <w:r w:rsidR="00090C4F">
        <w:t xml:space="preserve"> </w:t>
      </w:r>
    </w:p>
    <w:p w14:paraId="63D5AF06" w14:textId="77777777" w:rsidR="0050058D" w:rsidRDefault="00E16519" w:rsidP="00E16519">
      <w:pPr>
        <w:pStyle w:val="Bullets"/>
      </w:pPr>
      <w:r>
        <w:rPr>
          <w:b/>
          <w:bCs/>
        </w:rPr>
        <w:t>Refrigerators:</w:t>
      </w:r>
      <w:r w:rsidR="006C04A6">
        <w:t xml:space="preserve"> </w:t>
      </w:r>
      <w:r w:rsidR="00402803">
        <w:t xml:space="preserve">ComEd has defined more stringent efficiency levels for ESRPP </w:t>
      </w:r>
      <w:r w:rsidR="00321DED">
        <w:t xml:space="preserve">refrigerator </w:t>
      </w:r>
      <w:r w:rsidR="00402803">
        <w:t>incentives</w:t>
      </w:r>
      <w:r w:rsidR="00321DED">
        <w:t xml:space="preserve"> than RAP incentives,</w:t>
      </w:r>
      <w:r w:rsidR="00402803">
        <w:t xml:space="preserve"> </w:t>
      </w:r>
      <w:r w:rsidR="00321DED">
        <w:t xml:space="preserve">providing ESRPP incentives </w:t>
      </w:r>
      <w:r w:rsidR="00421E5E">
        <w:t xml:space="preserve">only </w:t>
      </w:r>
      <w:r w:rsidR="00321DED">
        <w:t xml:space="preserve">for </w:t>
      </w:r>
      <w:r w:rsidR="00F0767A">
        <w:t xml:space="preserve">the subset of ENERGY STAR </w:t>
      </w:r>
      <w:r w:rsidR="00421E5E">
        <w:t xml:space="preserve">products </w:t>
      </w:r>
      <w:r w:rsidR="00F0767A">
        <w:t xml:space="preserve">that also meet </w:t>
      </w:r>
      <w:r w:rsidR="00421E5E">
        <w:t xml:space="preserve">the ESME or ETA </w:t>
      </w:r>
      <w:r w:rsidR="00210F73">
        <w:t>specifications</w:t>
      </w:r>
      <w:r w:rsidR="00F0767A">
        <w:t xml:space="preserve">. </w:t>
      </w:r>
      <w:r w:rsidR="00017DFE">
        <w:t xml:space="preserve">Apex analyzed RAP program data </w:t>
      </w:r>
      <w:r w:rsidR="00325258">
        <w:t xml:space="preserve">for the years 2019-2021 to assess the distribution of rebated products </w:t>
      </w:r>
      <w:r w:rsidR="000C4079">
        <w:t>by configuration and efficiency ti</w:t>
      </w:r>
      <w:r w:rsidR="001D3D35">
        <w:t>er</w:t>
      </w:r>
      <w:r w:rsidR="00736FBF">
        <w:t xml:space="preserve"> and applied the resulting shares </w:t>
      </w:r>
      <w:r w:rsidR="0050058D">
        <w:t xml:space="preserve">in our forecast. </w:t>
      </w:r>
    </w:p>
    <w:p w14:paraId="1469339E" w14:textId="1D8C4466" w:rsidR="00964E9B" w:rsidRDefault="0050058D" w:rsidP="00964E9B">
      <w:pPr>
        <w:pStyle w:val="Bullets"/>
      </w:pPr>
      <w:r>
        <w:rPr>
          <w:b/>
          <w:bCs/>
        </w:rPr>
        <w:t>Clothes Washers:</w:t>
      </w:r>
      <w:r>
        <w:t xml:space="preserve"> </w:t>
      </w:r>
      <w:r w:rsidR="00A808AA">
        <w:t xml:space="preserve">While RAP provides rebates for all ENERGY STAR clothes washers, ESRPP </w:t>
      </w:r>
      <w:r w:rsidR="00D63D90">
        <w:t xml:space="preserve">incentives apply only for top-load washers. </w:t>
      </w:r>
      <w:r w:rsidR="00582F92">
        <w:t>Analysis of RAP program data found</w:t>
      </w:r>
      <w:r w:rsidR="009460DF">
        <w:t xml:space="preserve"> </w:t>
      </w:r>
      <w:r w:rsidR="00ED64C6">
        <w:t>that top-load models account for approximately 50% of rebated models</w:t>
      </w:r>
      <w:r w:rsidR="00B12A36">
        <w:t>.</w:t>
      </w:r>
      <w:r w:rsidR="00B12A36">
        <w:rPr>
          <w:rStyle w:val="FootnoteReference"/>
        </w:rPr>
        <w:footnoteReference w:id="19"/>
      </w:r>
      <w:r w:rsidR="001D3D35">
        <w:t xml:space="preserve"> </w:t>
      </w:r>
      <w:r w:rsidR="00861866">
        <w:t xml:space="preserve"> </w:t>
      </w:r>
      <w:r w:rsidR="006A6F9D">
        <w:br/>
      </w:r>
    </w:p>
    <w:p w14:paraId="0D59A6E5" w14:textId="4228D979" w:rsidR="006A6F9D" w:rsidRPr="00964E9B" w:rsidRDefault="006A6F9D" w:rsidP="00964E9B">
      <w:pPr>
        <w:pStyle w:val="TextMain"/>
      </w:pPr>
      <w:r>
        <w:t xml:space="preserve">Our analysis of RAP data also assessed the share of rebated units likely to have been sold through </w:t>
      </w:r>
      <w:r w:rsidR="00A268FF">
        <w:t xml:space="preserve">ESRPP </w:t>
      </w:r>
      <w:r>
        <w:t>participating retailers</w:t>
      </w:r>
      <w:r w:rsidR="00A268FF">
        <w:t>.</w:t>
      </w:r>
      <w:r w:rsidR="00A73D4A">
        <w:rPr>
          <w:rStyle w:val="FootnoteReference"/>
        </w:rPr>
        <w:footnoteReference w:id="20"/>
      </w:r>
      <w:r w:rsidR="00A268FF">
        <w:t xml:space="preserve"> We found that approximately 90% of RAP refrigerators </w:t>
      </w:r>
      <w:r w:rsidR="00907C7E">
        <w:t xml:space="preserve">and clothes washers </w:t>
      </w:r>
      <w:r w:rsidR="00A268FF">
        <w:t>were sold through ESRPP retailers</w:t>
      </w:r>
      <w:r w:rsidR="00907C7E">
        <w:t xml:space="preserve"> and applied th</w:t>
      </w:r>
      <w:r w:rsidR="00A73D4A">
        <w:t xml:space="preserve">ose percentages in our calculations. </w:t>
      </w:r>
      <w:r w:rsidR="00A268FF">
        <w:t xml:space="preserve"> </w:t>
      </w:r>
    </w:p>
    <w:p w14:paraId="1A2C41F3" w14:textId="55BB5037" w:rsidR="00C40296" w:rsidRDefault="00C40296" w:rsidP="009A31BF">
      <w:pPr>
        <w:pStyle w:val="Heading2"/>
      </w:pPr>
      <w:r>
        <w:t>Energy Savings</w:t>
      </w:r>
    </w:p>
    <w:p w14:paraId="5FD9D882" w14:textId="036B4124" w:rsidR="00C40296" w:rsidRDefault="00AD75E2" w:rsidP="00C40296">
      <w:pPr>
        <w:pStyle w:val="TextMain"/>
      </w:pPr>
      <w:r>
        <w:t xml:space="preserve">Apex applied per-unit savings estimates </w:t>
      </w:r>
      <w:r w:rsidR="008B64FE">
        <w:t xml:space="preserve">provided by NEEA to the ESRPP net sales volume for each of the with-program scenarios to forecast </w:t>
      </w:r>
      <w:r w:rsidR="006F53E6">
        <w:t>ESRPP energy savings.</w:t>
      </w:r>
      <w:r w:rsidR="00BB2DA3">
        <w:t xml:space="preserve"> </w:t>
      </w:r>
      <w:r w:rsidR="001640FD">
        <w:t xml:space="preserve">We used effective measure life </w:t>
      </w:r>
      <w:r w:rsidR="007B2E9F">
        <w:t xml:space="preserve">(EUL) </w:t>
      </w:r>
      <w:r w:rsidR="001640FD">
        <w:t>estimates from</w:t>
      </w:r>
      <w:r w:rsidR="00A5575E">
        <w:t xml:space="preserve"> the Illinois TRM (V10) to calculate CPAS savings. </w:t>
      </w:r>
      <w:r w:rsidR="00430BFF">
        <w:t xml:space="preserve">We assumed </w:t>
      </w:r>
      <w:r w:rsidR="007B2E9F">
        <w:t xml:space="preserve">per-unit savings values and EULs would remain constant throughout the forecast period. </w:t>
      </w:r>
    </w:p>
    <w:p w14:paraId="7B5B7291" w14:textId="47E27E5D" w:rsidR="007B2E9F" w:rsidRDefault="007E03D1" w:rsidP="007E03D1">
      <w:pPr>
        <w:pStyle w:val="Heading1"/>
      </w:pPr>
      <w:r>
        <w:lastRenderedPageBreak/>
        <w:t>Results</w:t>
      </w:r>
    </w:p>
    <w:p w14:paraId="192BD7C5" w14:textId="3ABB1092" w:rsidR="007E03D1" w:rsidRDefault="0041266D" w:rsidP="007E03D1">
      <w:pPr>
        <w:pStyle w:val="TextMain"/>
      </w:pPr>
      <w:r>
        <w:t xml:space="preserve">Example forecast results are presented below for </w:t>
      </w:r>
      <w:r w:rsidR="0007760C">
        <w:t>top</w:t>
      </w:r>
      <w:r w:rsidR="0009739E">
        <w:t>-</w:t>
      </w:r>
      <w:r w:rsidR="0007760C">
        <w:t xml:space="preserve">load </w:t>
      </w:r>
      <w:r>
        <w:t xml:space="preserve">clothes washers and </w:t>
      </w:r>
      <w:r w:rsidR="008D3CCF">
        <w:t>top</w:t>
      </w:r>
      <w:r w:rsidR="0009739E">
        <w:t>-</w:t>
      </w:r>
      <w:r w:rsidR="008D3CCF">
        <w:t xml:space="preserve">mount ESME </w:t>
      </w:r>
      <w:r>
        <w:t>refrigerator</w:t>
      </w:r>
      <w:r w:rsidR="008D3CCF">
        <w:t>s</w:t>
      </w:r>
      <w:r w:rsidR="00C158F1">
        <w:t xml:space="preserve">. The remainder of the </w:t>
      </w:r>
      <w:r w:rsidR="008D3CCF">
        <w:t xml:space="preserve">refrigerator bins results </w:t>
      </w:r>
      <w:r w:rsidR="00C158F1">
        <w:t xml:space="preserve">are included in the accompanying worksheet, </w:t>
      </w:r>
      <w:r w:rsidR="00E61C92">
        <w:t>“</w:t>
      </w:r>
      <w:r w:rsidR="00E61C92" w:rsidRPr="00E61C92">
        <w:rPr>
          <w:i/>
          <w:iCs/>
        </w:rPr>
        <w:t>Apex RPP Unit Volume and Savings Forecast_V3.xlsx</w:t>
      </w:r>
      <w:r w:rsidR="00E61C92">
        <w:t>’”</w:t>
      </w:r>
      <w:r w:rsidR="00C158F1">
        <w:t xml:space="preserve">. </w:t>
      </w:r>
    </w:p>
    <w:p w14:paraId="6F67556D" w14:textId="6CBA391C" w:rsidR="009C6556" w:rsidRDefault="00B458A9" w:rsidP="00B458A9">
      <w:pPr>
        <w:pStyle w:val="Heading2"/>
      </w:pPr>
      <w:r>
        <w:t>Refrigerators</w:t>
      </w:r>
    </w:p>
    <w:p w14:paraId="679D8085" w14:textId="68CBDA21" w:rsidR="00790AD0" w:rsidRPr="00790AD0" w:rsidRDefault="00C94A2C" w:rsidP="00790AD0">
      <w:pPr>
        <w:pStyle w:val="TextMain"/>
      </w:pPr>
      <w:r w:rsidRPr="00C94A2C">
        <w:fldChar w:fldCharType="begin"/>
      </w:r>
      <w:r w:rsidRPr="00C94A2C">
        <w:instrText xml:space="preserve"> REF _Ref114234044 \h </w:instrText>
      </w:r>
      <w:r w:rsidRPr="00C94A2C">
        <w:fldChar w:fldCharType="separate"/>
      </w:r>
      <w:r w:rsidRPr="00C94A2C">
        <w:t>Figure 4</w:t>
      </w:r>
      <w:r w:rsidRPr="00C94A2C">
        <w:fldChar w:fldCharType="end"/>
      </w:r>
      <w:r>
        <w:t xml:space="preserve"> below presents the f</w:t>
      </w:r>
      <w:r w:rsidR="00A845C5">
        <w:t>orecast r</w:t>
      </w:r>
      <w:r w:rsidR="00790AD0">
        <w:t>esults for top-mount ESME refrigerators</w:t>
      </w:r>
      <w:r>
        <w:t xml:space="preserve">. </w:t>
      </w:r>
      <w:r w:rsidR="00D66B87">
        <w:t>RPP</w:t>
      </w:r>
      <w:r w:rsidR="0009739E">
        <w:t>-</w:t>
      </w:r>
      <w:r w:rsidR="00D66B87">
        <w:t>influenced sales</w:t>
      </w:r>
      <w:r w:rsidR="008239B5">
        <w:t xml:space="preserve"> ramps up into 2024 and then</w:t>
      </w:r>
      <w:r w:rsidR="00D66B87">
        <w:t xml:space="preserve"> declines </w:t>
      </w:r>
      <w:r w:rsidR="008239B5">
        <w:t xml:space="preserve">approaching </w:t>
      </w:r>
      <w:r w:rsidR="00D66B87">
        <w:t>2026</w:t>
      </w:r>
      <w:r w:rsidR="008239B5">
        <w:t>.</w:t>
      </w:r>
      <w:r w:rsidR="00D66B87">
        <w:t xml:space="preserve"> </w:t>
      </w:r>
      <w:r w:rsidR="008239B5">
        <w:t>T</w:t>
      </w:r>
      <w:r w:rsidR="00FA6141">
        <w:t xml:space="preserve">he entirety of the top-mount refrigerators </w:t>
      </w:r>
      <w:r w:rsidR="003C5636">
        <w:t xml:space="preserve">will meet ESME requirements due to ENERGY STAR revisions by 2027, as noted above. </w:t>
      </w:r>
    </w:p>
    <w:p w14:paraId="6F346FB7" w14:textId="517EB9E3" w:rsidR="0044122C" w:rsidRDefault="0044122C" w:rsidP="0044122C">
      <w:pPr>
        <w:pStyle w:val="Caption"/>
      </w:pPr>
      <w:bookmarkStart w:id="18" w:name="_Ref114234044"/>
      <w:r>
        <w:t xml:space="preserve">Figure </w:t>
      </w:r>
      <w:r w:rsidR="00767138">
        <w:fldChar w:fldCharType="begin"/>
      </w:r>
      <w:r w:rsidR="00767138">
        <w:instrText xml:space="preserve"> SEQ Figure \* ARABIC </w:instrText>
      </w:r>
      <w:r w:rsidR="00767138">
        <w:fldChar w:fldCharType="separate"/>
      </w:r>
      <w:r w:rsidR="00A86CEF">
        <w:rPr>
          <w:noProof/>
        </w:rPr>
        <w:t>7</w:t>
      </w:r>
      <w:r w:rsidR="00767138">
        <w:rPr>
          <w:noProof/>
        </w:rPr>
        <w:fldChar w:fldCharType="end"/>
      </w:r>
      <w:bookmarkEnd w:id="18"/>
      <w:r>
        <w:t>: Projected ESME Top Mount Refrigerator Sales Volumes</w:t>
      </w:r>
    </w:p>
    <w:p w14:paraId="645421D0" w14:textId="3A025363" w:rsidR="00F950DE" w:rsidRDefault="004018B2" w:rsidP="00B458A9">
      <w:pPr>
        <w:pStyle w:val="ParaText"/>
      </w:pPr>
      <w:r>
        <w:rPr>
          <w:noProof/>
        </w:rPr>
        <w:drawing>
          <wp:inline distT="0" distB="0" distL="0" distR="0" wp14:anchorId="0458F5ED" wp14:editId="1A228984">
            <wp:extent cx="5956300" cy="341376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56300" cy="3413760"/>
                    </a:xfrm>
                    <a:prstGeom prst="rect">
                      <a:avLst/>
                    </a:prstGeom>
                    <a:noFill/>
                  </pic:spPr>
                </pic:pic>
              </a:graphicData>
            </a:graphic>
          </wp:inline>
        </w:drawing>
      </w:r>
    </w:p>
    <w:p w14:paraId="66623320" w14:textId="079647FC" w:rsidR="003C5636" w:rsidRPr="00B458A9" w:rsidRDefault="003C5636" w:rsidP="00851EA7">
      <w:pPr>
        <w:pStyle w:val="TextMain"/>
      </w:pPr>
      <w:r>
        <w:fldChar w:fldCharType="begin"/>
      </w:r>
      <w:r>
        <w:instrText xml:space="preserve"> REF _Ref114234216 \h </w:instrText>
      </w:r>
      <w:r>
        <w:fldChar w:fldCharType="separate"/>
      </w:r>
      <w:r>
        <w:t xml:space="preserve">Table </w:t>
      </w:r>
      <w:r>
        <w:rPr>
          <w:noProof/>
        </w:rPr>
        <w:t>3</w:t>
      </w:r>
      <w:r>
        <w:fldChar w:fldCharType="end"/>
      </w:r>
      <w:r>
        <w:t xml:space="preserve"> </w:t>
      </w:r>
      <w:r w:rsidR="00F76B67">
        <w:t>shows the f</w:t>
      </w:r>
      <w:r>
        <w:t>irst year annual and CPAS lifetime savings (in MWh)</w:t>
      </w:r>
      <w:r w:rsidR="00F76B67">
        <w:t xml:space="preserve"> for top-mount ESME refrigerators resulting from RPP program influence.</w:t>
      </w:r>
    </w:p>
    <w:p w14:paraId="30C00773" w14:textId="72AF3C1E" w:rsidR="001E6F73" w:rsidRDefault="001E6F73" w:rsidP="001E6F73">
      <w:pPr>
        <w:pStyle w:val="Caption"/>
      </w:pPr>
      <w:bookmarkStart w:id="19" w:name="_Ref114234216"/>
      <w:r>
        <w:t xml:space="preserve">Table </w:t>
      </w:r>
      <w:r w:rsidR="00767138">
        <w:fldChar w:fldCharType="begin"/>
      </w:r>
      <w:r w:rsidR="00767138">
        <w:instrText xml:space="preserve"> SEQ Table \* ARABIC </w:instrText>
      </w:r>
      <w:r w:rsidR="00767138">
        <w:fldChar w:fldCharType="separate"/>
      </w:r>
      <w:r w:rsidR="00790AD0">
        <w:rPr>
          <w:noProof/>
        </w:rPr>
        <w:t>3</w:t>
      </w:r>
      <w:r w:rsidR="00767138">
        <w:rPr>
          <w:noProof/>
        </w:rPr>
        <w:fldChar w:fldCharType="end"/>
      </w:r>
      <w:bookmarkEnd w:id="19"/>
      <w:r>
        <w:t>: Top-Mount ESME Savings Projections</w:t>
      </w:r>
    </w:p>
    <w:tbl>
      <w:tblPr>
        <w:tblStyle w:val="ApexTable"/>
        <w:tblW w:w="9354" w:type="dxa"/>
        <w:tblLayout w:type="fixed"/>
        <w:tblLook w:val="04A0" w:firstRow="1" w:lastRow="0" w:firstColumn="1" w:lastColumn="0" w:noHBand="0" w:noVBand="1"/>
      </w:tblPr>
      <w:tblGrid>
        <w:gridCol w:w="537"/>
        <w:gridCol w:w="2004"/>
        <w:gridCol w:w="719"/>
        <w:gridCol w:w="762"/>
        <w:gridCol w:w="762"/>
        <w:gridCol w:w="762"/>
        <w:gridCol w:w="762"/>
        <w:gridCol w:w="762"/>
        <w:gridCol w:w="762"/>
        <w:gridCol w:w="767"/>
        <w:gridCol w:w="755"/>
      </w:tblGrid>
      <w:tr w:rsidR="00346CE4" w:rsidRPr="009F005F" w14:paraId="529D56F1" w14:textId="77777777" w:rsidTr="006E7DF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7" w:type="dxa"/>
            <w:tcBorders>
              <w:bottom w:val="single" w:sz="2" w:space="0" w:color="44546A" w:themeColor="text2"/>
            </w:tcBorders>
          </w:tcPr>
          <w:p w14:paraId="383B812E" w14:textId="77777777" w:rsidR="009F005F" w:rsidRPr="009F005F" w:rsidRDefault="009F005F" w:rsidP="009F005F">
            <w:pPr>
              <w:jc w:val="right"/>
              <w:rPr>
                <w:rFonts w:cs="Calibri"/>
                <w:b w:val="0"/>
                <w:bCs/>
                <w:color w:val="000000"/>
              </w:rPr>
            </w:pPr>
          </w:p>
        </w:tc>
        <w:tc>
          <w:tcPr>
            <w:tcW w:w="2004" w:type="dxa"/>
          </w:tcPr>
          <w:p w14:paraId="293FDA91" w14:textId="3B33B908" w:rsidR="009F005F" w:rsidRPr="00C158F1" w:rsidRDefault="00261CFA" w:rsidP="009F005F">
            <w:pPr>
              <w:jc w:val="right"/>
              <w:cnfStyle w:val="100000000000" w:firstRow="1" w:lastRow="0" w:firstColumn="0" w:lastColumn="0" w:oddVBand="0" w:evenVBand="0" w:oddHBand="0" w:evenHBand="0" w:firstRowFirstColumn="0" w:firstRowLastColumn="0" w:lastRowFirstColumn="0" w:lastRowLastColumn="0"/>
              <w:rPr>
                <w:rFonts w:cs="Calibri"/>
                <w:color w:val="FFFFFF" w:themeColor="background1"/>
              </w:rPr>
            </w:pPr>
            <w:r w:rsidRPr="00C158F1">
              <w:rPr>
                <w:rFonts w:cs="Calibri"/>
                <w:color w:val="FFFFFF" w:themeColor="background1"/>
              </w:rPr>
              <w:t>Uptake Scenario</w:t>
            </w:r>
          </w:p>
        </w:tc>
        <w:tc>
          <w:tcPr>
            <w:tcW w:w="719" w:type="dxa"/>
            <w:noWrap/>
            <w:hideMark/>
          </w:tcPr>
          <w:p w14:paraId="73BA7A4C" w14:textId="3046DAAD" w:rsidR="009F005F" w:rsidRPr="00C158F1" w:rsidRDefault="009F005F" w:rsidP="009F005F">
            <w:pPr>
              <w:jc w:val="right"/>
              <w:cnfStyle w:val="100000000000" w:firstRow="1" w:lastRow="0" w:firstColumn="0" w:lastColumn="0" w:oddVBand="0" w:evenVBand="0" w:oddHBand="0" w:evenHBand="0" w:firstRowFirstColumn="0" w:firstRowLastColumn="0" w:lastRowFirstColumn="0" w:lastRowLastColumn="0"/>
              <w:rPr>
                <w:rFonts w:cs="Calibri"/>
                <w:bCs/>
                <w:color w:val="FFFFFF" w:themeColor="background1"/>
              </w:rPr>
            </w:pPr>
            <w:r w:rsidRPr="00C158F1">
              <w:rPr>
                <w:rFonts w:cs="Calibri"/>
                <w:bCs/>
                <w:color w:val="FFFFFF" w:themeColor="background1"/>
              </w:rPr>
              <w:t>2022</w:t>
            </w:r>
          </w:p>
        </w:tc>
        <w:tc>
          <w:tcPr>
            <w:tcW w:w="762" w:type="dxa"/>
            <w:noWrap/>
            <w:hideMark/>
          </w:tcPr>
          <w:p w14:paraId="53F29CB6" w14:textId="77777777" w:rsidR="009F005F" w:rsidRPr="00C158F1" w:rsidRDefault="009F005F" w:rsidP="009F005F">
            <w:pPr>
              <w:jc w:val="right"/>
              <w:cnfStyle w:val="100000000000" w:firstRow="1" w:lastRow="0" w:firstColumn="0" w:lastColumn="0" w:oddVBand="0" w:evenVBand="0" w:oddHBand="0" w:evenHBand="0" w:firstRowFirstColumn="0" w:firstRowLastColumn="0" w:lastRowFirstColumn="0" w:lastRowLastColumn="0"/>
              <w:rPr>
                <w:rFonts w:cs="Calibri"/>
                <w:bCs/>
                <w:color w:val="FFFFFF" w:themeColor="background1"/>
              </w:rPr>
            </w:pPr>
            <w:r w:rsidRPr="00C158F1">
              <w:rPr>
                <w:rFonts w:cs="Calibri"/>
                <w:bCs/>
                <w:color w:val="FFFFFF" w:themeColor="background1"/>
              </w:rPr>
              <w:t>2023</w:t>
            </w:r>
          </w:p>
        </w:tc>
        <w:tc>
          <w:tcPr>
            <w:tcW w:w="762" w:type="dxa"/>
            <w:noWrap/>
            <w:hideMark/>
          </w:tcPr>
          <w:p w14:paraId="1D72D7F2" w14:textId="77777777" w:rsidR="009F005F" w:rsidRPr="00C158F1" w:rsidRDefault="009F005F" w:rsidP="009F005F">
            <w:pPr>
              <w:jc w:val="right"/>
              <w:cnfStyle w:val="100000000000" w:firstRow="1" w:lastRow="0" w:firstColumn="0" w:lastColumn="0" w:oddVBand="0" w:evenVBand="0" w:oddHBand="0" w:evenHBand="0" w:firstRowFirstColumn="0" w:firstRowLastColumn="0" w:lastRowFirstColumn="0" w:lastRowLastColumn="0"/>
              <w:rPr>
                <w:rFonts w:cs="Calibri"/>
                <w:bCs/>
                <w:color w:val="FFFFFF" w:themeColor="background1"/>
              </w:rPr>
            </w:pPr>
            <w:r w:rsidRPr="00C158F1">
              <w:rPr>
                <w:rFonts w:cs="Calibri"/>
                <w:bCs/>
                <w:color w:val="FFFFFF" w:themeColor="background1"/>
              </w:rPr>
              <w:t>2024</w:t>
            </w:r>
          </w:p>
        </w:tc>
        <w:tc>
          <w:tcPr>
            <w:tcW w:w="762" w:type="dxa"/>
            <w:noWrap/>
            <w:hideMark/>
          </w:tcPr>
          <w:p w14:paraId="59D332FB" w14:textId="77777777" w:rsidR="009F005F" w:rsidRPr="00C158F1" w:rsidRDefault="009F005F" w:rsidP="009F005F">
            <w:pPr>
              <w:jc w:val="right"/>
              <w:cnfStyle w:val="100000000000" w:firstRow="1" w:lastRow="0" w:firstColumn="0" w:lastColumn="0" w:oddVBand="0" w:evenVBand="0" w:oddHBand="0" w:evenHBand="0" w:firstRowFirstColumn="0" w:firstRowLastColumn="0" w:lastRowFirstColumn="0" w:lastRowLastColumn="0"/>
              <w:rPr>
                <w:rFonts w:cs="Calibri"/>
                <w:bCs/>
                <w:color w:val="FFFFFF" w:themeColor="background1"/>
              </w:rPr>
            </w:pPr>
            <w:r w:rsidRPr="00C158F1">
              <w:rPr>
                <w:rFonts w:cs="Calibri"/>
                <w:bCs/>
                <w:color w:val="FFFFFF" w:themeColor="background1"/>
              </w:rPr>
              <w:t>2025</w:t>
            </w:r>
          </w:p>
        </w:tc>
        <w:tc>
          <w:tcPr>
            <w:tcW w:w="762" w:type="dxa"/>
            <w:noWrap/>
            <w:hideMark/>
          </w:tcPr>
          <w:p w14:paraId="1657BFBF" w14:textId="77777777" w:rsidR="009F005F" w:rsidRPr="00C158F1" w:rsidRDefault="009F005F" w:rsidP="009F005F">
            <w:pPr>
              <w:jc w:val="right"/>
              <w:cnfStyle w:val="100000000000" w:firstRow="1" w:lastRow="0" w:firstColumn="0" w:lastColumn="0" w:oddVBand="0" w:evenVBand="0" w:oddHBand="0" w:evenHBand="0" w:firstRowFirstColumn="0" w:firstRowLastColumn="0" w:lastRowFirstColumn="0" w:lastRowLastColumn="0"/>
              <w:rPr>
                <w:rFonts w:cs="Calibri"/>
                <w:bCs/>
                <w:color w:val="FFFFFF" w:themeColor="background1"/>
              </w:rPr>
            </w:pPr>
            <w:r w:rsidRPr="00C158F1">
              <w:rPr>
                <w:rFonts w:cs="Calibri"/>
                <w:bCs/>
                <w:color w:val="FFFFFF" w:themeColor="background1"/>
              </w:rPr>
              <w:t>2026</w:t>
            </w:r>
          </w:p>
        </w:tc>
        <w:tc>
          <w:tcPr>
            <w:tcW w:w="762" w:type="dxa"/>
            <w:noWrap/>
            <w:hideMark/>
          </w:tcPr>
          <w:p w14:paraId="3F63BFD4" w14:textId="77777777" w:rsidR="009F005F" w:rsidRPr="00C158F1" w:rsidRDefault="009F005F" w:rsidP="009F005F">
            <w:pPr>
              <w:jc w:val="right"/>
              <w:cnfStyle w:val="100000000000" w:firstRow="1" w:lastRow="0" w:firstColumn="0" w:lastColumn="0" w:oddVBand="0" w:evenVBand="0" w:oddHBand="0" w:evenHBand="0" w:firstRowFirstColumn="0" w:firstRowLastColumn="0" w:lastRowFirstColumn="0" w:lastRowLastColumn="0"/>
              <w:rPr>
                <w:rFonts w:cs="Calibri"/>
                <w:bCs/>
                <w:color w:val="FFFFFF" w:themeColor="background1"/>
              </w:rPr>
            </w:pPr>
            <w:r w:rsidRPr="00C158F1">
              <w:rPr>
                <w:rFonts w:cs="Calibri"/>
                <w:bCs/>
                <w:color w:val="FFFFFF" w:themeColor="background1"/>
              </w:rPr>
              <w:t>2027</w:t>
            </w:r>
          </w:p>
        </w:tc>
        <w:tc>
          <w:tcPr>
            <w:tcW w:w="762" w:type="dxa"/>
            <w:noWrap/>
            <w:hideMark/>
          </w:tcPr>
          <w:p w14:paraId="70C2FFC1" w14:textId="77777777" w:rsidR="009F005F" w:rsidRPr="00C158F1" w:rsidRDefault="009F005F" w:rsidP="009F005F">
            <w:pPr>
              <w:jc w:val="right"/>
              <w:cnfStyle w:val="100000000000" w:firstRow="1" w:lastRow="0" w:firstColumn="0" w:lastColumn="0" w:oddVBand="0" w:evenVBand="0" w:oddHBand="0" w:evenHBand="0" w:firstRowFirstColumn="0" w:firstRowLastColumn="0" w:lastRowFirstColumn="0" w:lastRowLastColumn="0"/>
              <w:rPr>
                <w:rFonts w:cs="Calibri"/>
                <w:bCs/>
                <w:color w:val="FFFFFF" w:themeColor="background1"/>
              </w:rPr>
            </w:pPr>
            <w:r w:rsidRPr="00C158F1">
              <w:rPr>
                <w:rFonts w:cs="Calibri"/>
                <w:bCs/>
                <w:color w:val="FFFFFF" w:themeColor="background1"/>
              </w:rPr>
              <w:t>2028</w:t>
            </w:r>
          </w:p>
        </w:tc>
        <w:tc>
          <w:tcPr>
            <w:tcW w:w="767" w:type="dxa"/>
            <w:noWrap/>
            <w:hideMark/>
          </w:tcPr>
          <w:p w14:paraId="03DA83DB" w14:textId="77777777" w:rsidR="009F005F" w:rsidRPr="00C158F1" w:rsidRDefault="009F005F" w:rsidP="009F005F">
            <w:pPr>
              <w:jc w:val="right"/>
              <w:cnfStyle w:val="100000000000" w:firstRow="1" w:lastRow="0" w:firstColumn="0" w:lastColumn="0" w:oddVBand="0" w:evenVBand="0" w:oddHBand="0" w:evenHBand="0" w:firstRowFirstColumn="0" w:firstRowLastColumn="0" w:lastRowFirstColumn="0" w:lastRowLastColumn="0"/>
              <w:rPr>
                <w:rFonts w:cs="Calibri"/>
                <w:bCs/>
                <w:color w:val="FFFFFF" w:themeColor="background1"/>
              </w:rPr>
            </w:pPr>
            <w:r w:rsidRPr="00C158F1">
              <w:rPr>
                <w:rFonts w:cs="Calibri"/>
                <w:bCs/>
                <w:color w:val="FFFFFF" w:themeColor="background1"/>
              </w:rPr>
              <w:t>2029</w:t>
            </w:r>
          </w:p>
        </w:tc>
        <w:tc>
          <w:tcPr>
            <w:tcW w:w="755" w:type="dxa"/>
            <w:noWrap/>
            <w:hideMark/>
          </w:tcPr>
          <w:p w14:paraId="71011C08" w14:textId="77777777" w:rsidR="009F005F" w:rsidRPr="00C158F1" w:rsidRDefault="009F005F" w:rsidP="009F005F">
            <w:pPr>
              <w:jc w:val="right"/>
              <w:cnfStyle w:val="100000000000" w:firstRow="1" w:lastRow="0" w:firstColumn="0" w:lastColumn="0" w:oddVBand="0" w:evenVBand="0" w:oddHBand="0" w:evenHBand="0" w:firstRowFirstColumn="0" w:firstRowLastColumn="0" w:lastRowFirstColumn="0" w:lastRowLastColumn="0"/>
              <w:rPr>
                <w:rFonts w:cs="Calibri"/>
                <w:bCs/>
                <w:color w:val="FFFFFF" w:themeColor="background1"/>
              </w:rPr>
            </w:pPr>
            <w:r w:rsidRPr="00C158F1">
              <w:rPr>
                <w:rFonts w:cs="Calibri"/>
                <w:bCs/>
                <w:color w:val="FFFFFF" w:themeColor="background1"/>
              </w:rPr>
              <w:t>2030</w:t>
            </w:r>
          </w:p>
        </w:tc>
      </w:tr>
      <w:tr w:rsidR="00261CFA" w:rsidRPr="009F005F" w14:paraId="4525AEC1" w14:textId="77777777" w:rsidTr="006E7DF9">
        <w:trPr>
          <w:trHeight w:val="300"/>
        </w:trPr>
        <w:tc>
          <w:tcPr>
            <w:cnfStyle w:val="001000000000" w:firstRow="0" w:lastRow="0" w:firstColumn="1" w:lastColumn="0" w:oddVBand="0" w:evenVBand="0" w:oddHBand="0" w:evenHBand="0" w:firstRowFirstColumn="0" w:firstRowLastColumn="0" w:lastRowFirstColumn="0" w:lastRowLastColumn="0"/>
            <w:tcW w:w="537" w:type="dxa"/>
            <w:vMerge w:val="restart"/>
            <w:tcMar>
              <w:left w:w="0" w:type="dxa"/>
              <w:right w:w="0" w:type="dxa"/>
            </w:tcMar>
            <w:textDirection w:val="btLr"/>
          </w:tcPr>
          <w:p w14:paraId="0009A6DA" w14:textId="5FF5AC3D" w:rsidR="00261CFA" w:rsidRPr="00A03952" w:rsidRDefault="00A03952" w:rsidP="00A03952">
            <w:pPr>
              <w:ind w:left="115" w:right="115"/>
              <w:jc w:val="right"/>
              <w:rPr>
                <w:rFonts w:cs="Calibri"/>
                <w:b w:val="0"/>
                <w:bCs/>
                <w:color w:val="000000"/>
              </w:rPr>
            </w:pPr>
            <w:r w:rsidRPr="00A03952">
              <w:rPr>
                <w:rFonts w:cs="Calibri"/>
                <w:b w:val="0"/>
                <w:bCs/>
                <w:color w:val="000000"/>
              </w:rPr>
              <w:t>Net 1</w:t>
            </w:r>
            <w:r w:rsidRPr="00A03952">
              <w:rPr>
                <w:rFonts w:cs="Calibri"/>
                <w:b w:val="0"/>
                <w:bCs/>
                <w:color w:val="000000"/>
                <w:vertAlign w:val="superscript"/>
              </w:rPr>
              <w:t>st</w:t>
            </w:r>
            <w:r w:rsidRPr="00A03952">
              <w:rPr>
                <w:rFonts w:cs="Calibri"/>
                <w:b w:val="0"/>
                <w:bCs/>
                <w:color w:val="000000"/>
              </w:rPr>
              <w:t xml:space="preserve"> </w:t>
            </w:r>
            <w:proofErr w:type="spellStart"/>
            <w:r w:rsidRPr="00A03952">
              <w:rPr>
                <w:rFonts w:cs="Calibri"/>
                <w:b w:val="0"/>
                <w:bCs/>
                <w:color w:val="000000"/>
              </w:rPr>
              <w:t>Yr</w:t>
            </w:r>
            <w:proofErr w:type="spellEnd"/>
            <w:r w:rsidRPr="00A03952">
              <w:rPr>
                <w:rFonts w:cs="Calibri"/>
                <w:b w:val="0"/>
                <w:bCs/>
                <w:color w:val="000000"/>
              </w:rPr>
              <w:t xml:space="preserve"> MWh</w:t>
            </w:r>
          </w:p>
        </w:tc>
        <w:tc>
          <w:tcPr>
            <w:tcW w:w="2004" w:type="dxa"/>
            <w:vAlign w:val="center"/>
          </w:tcPr>
          <w:p w14:paraId="100AF40D" w14:textId="4C52F519" w:rsidR="00261CFA" w:rsidRPr="009F005F" w:rsidRDefault="00261CFA" w:rsidP="00372783">
            <w:pP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Max Potential</w:t>
            </w:r>
          </w:p>
        </w:tc>
        <w:tc>
          <w:tcPr>
            <w:tcW w:w="719" w:type="dxa"/>
            <w:noWrap/>
            <w:vAlign w:val="center"/>
            <w:hideMark/>
          </w:tcPr>
          <w:p w14:paraId="791D3516" w14:textId="29F0A58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1,007</w:t>
            </w:r>
          </w:p>
        </w:tc>
        <w:tc>
          <w:tcPr>
            <w:tcW w:w="762" w:type="dxa"/>
            <w:noWrap/>
            <w:vAlign w:val="center"/>
            <w:hideMark/>
          </w:tcPr>
          <w:p w14:paraId="708A8F84"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1,289</w:t>
            </w:r>
          </w:p>
        </w:tc>
        <w:tc>
          <w:tcPr>
            <w:tcW w:w="762" w:type="dxa"/>
            <w:noWrap/>
            <w:vAlign w:val="center"/>
            <w:hideMark/>
          </w:tcPr>
          <w:p w14:paraId="0EB0A4FB"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1,211</w:t>
            </w:r>
          </w:p>
        </w:tc>
        <w:tc>
          <w:tcPr>
            <w:tcW w:w="762" w:type="dxa"/>
            <w:noWrap/>
            <w:vAlign w:val="center"/>
            <w:hideMark/>
          </w:tcPr>
          <w:p w14:paraId="29B5E58F"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739</w:t>
            </w:r>
          </w:p>
        </w:tc>
        <w:tc>
          <w:tcPr>
            <w:tcW w:w="762" w:type="dxa"/>
            <w:noWrap/>
            <w:vAlign w:val="center"/>
            <w:hideMark/>
          </w:tcPr>
          <w:p w14:paraId="42347784"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219</w:t>
            </w:r>
          </w:p>
        </w:tc>
        <w:tc>
          <w:tcPr>
            <w:tcW w:w="762" w:type="dxa"/>
            <w:noWrap/>
            <w:vAlign w:val="center"/>
            <w:hideMark/>
          </w:tcPr>
          <w:p w14:paraId="71D9D140"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0</w:t>
            </w:r>
          </w:p>
        </w:tc>
        <w:tc>
          <w:tcPr>
            <w:tcW w:w="762" w:type="dxa"/>
            <w:noWrap/>
            <w:vAlign w:val="center"/>
            <w:hideMark/>
          </w:tcPr>
          <w:p w14:paraId="4C3D7D55"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0</w:t>
            </w:r>
          </w:p>
        </w:tc>
        <w:tc>
          <w:tcPr>
            <w:tcW w:w="767" w:type="dxa"/>
            <w:noWrap/>
            <w:vAlign w:val="center"/>
            <w:hideMark/>
          </w:tcPr>
          <w:p w14:paraId="6DFE1419"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0</w:t>
            </w:r>
          </w:p>
        </w:tc>
        <w:tc>
          <w:tcPr>
            <w:tcW w:w="755" w:type="dxa"/>
            <w:noWrap/>
            <w:vAlign w:val="center"/>
            <w:hideMark/>
          </w:tcPr>
          <w:p w14:paraId="4755E457"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0</w:t>
            </w:r>
          </w:p>
        </w:tc>
      </w:tr>
      <w:tr w:rsidR="00261CFA" w:rsidRPr="009F005F" w14:paraId="2CA869E2" w14:textId="77777777" w:rsidTr="006E7DF9">
        <w:trPr>
          <w:trHeight w:val="300"/>
        </w:trPr>
        <w:tc>
          <w:tcPr>
            <w:cnfStyle w:val="001000000000" w:firstRow="0" w:lastRow="0" w:firstColumn="1" w:lastColumn="0" w:oddVBand="0" w:evenVBand="0" w:oddHBand="0" w:evenHBand="0" w:firstRowFirstColumn="0" w:firstRowLastColumn="0" w:lastRowFirstColumn="0" w:lastRowLastColumn="0"/>
            <w:tcW w:w="537" w:type="dxa"/>
            <w:vMerge/>
            <w:tcBorders>
              <w:top w:val="double" w:sz="4" w:space="0" w:color="44546A" w:themeColor="text2"/>
            </w:tcBorders>
          </w:tcPr>
          <w:p w14:paraId="676058EB" w14:textId="77777777" w:rsidR="00261CFA" w:rsidRPr="009F005F" w:rsidRDefault="00261CFA" w:rsidP="009F005F">
            <w:pPr>
              <w:jc w:val="right"/>
              <w:rPr>
                <w:rFonts w:cs="Calibri"/>
                <w:color w:val="000000"/>
              </w:rPr>
            </w:pPr>
          </w:p>
        </w:tc>
        <w:tc>
          <w:tcPr>
            <w:tcW w:w="2004" w:type="dxa"/>
            <w:tcBorders>
              <w:bottom w:val="single" w:sz="2" w:space="0" w:color="44546A" w:themeColor="text2"/>
            </w:tcBorders>
            <w:vAlign w:val="center"/>
          </w:tcPr>
          <w:p w14:paraId="5C69D062" w14:textId="66AB0786" w:rsidR="00261CFA" w:rsidRPr="009F005F" w:rsidRDefault="00261CFA" w:rsidP="00372783">
            <w:pP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Avg. Potential</w:t>
            </w:r>
          </w:p>
        </w:tc>
        <w:tc>
          <w:tcPr>
            <w:tcW w:w="719" w:type="dxa"/>
            <w:tcBorders>
              <w:bottom w:val="single" w:sz="2" w:space="0" w:color="44546A" w:themeColor="text2"/>
            </w:tcBorders>
            <w:noWrap/>
            <w:vAlign w:val="center"/>
            <w:hideMark/>
          </w:tcPr>
          <w:p w14:paraId="51ADF116" w14:textId="235058C2"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608</w:t>
            </w:r>
          </w:p>
        </w:tc>
        <w:tc>
          <w:tcPr>
            <w:tcW w:w="762" w:type="dxa"/>
            <w:tcBorders>
              <w:bottom w:val="single" w:sz="2" w:space="0" w:color="44546A" w:themeColor="text2"/>
            </w:tcBorders>
            <w:noWrap/>
            <w:vAlign w:val="center"/>
            <w:hideMark/>
          </w:tcPr>
          <w:p w14:paraId="1906C411"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761</w:t>
            </w:r>
          </w:p>
        </w:tc>
        <w:tc>
          <w:tcPr>
            <w:tcW w:w="762" w:type="dxa"/>
            <w:tcBorders>
              <w:bottom w:val="single" w:sz="2" w:space="0" w:color="44546A" w:themeColor="text2"/>
            </w:tcBorders>
            <w:noWrap/>
            <w:vAlign w:val="center"/>
            <w:hideMark/>
          </w:tcPr>
          <w:p w14:paraId="339C894F"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796</w:t>
            </w:r>
          </w:p>
        </w:tc>
        <w:tc>
          <w:tcPr>
            <w:tcW w:w="762" w:type="dxa"/>
            <w:tcBorders>
              <w:bottom w:val="single" w:sz="2" w:space="0" w:color="44546A" w:themeColor="text2"/>
            </w:tcBorders>
            <w:noWrap/>
            <w:vAlign w:val="center"/>
            <w:hideMark/>
          </w:tcPr>
          <w:p w14:paraId="174C59F8"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451</w:t>
            </w:r>
          </w:p>
        </w:tc>
        <w:tc>
          <w:tcPr>
            <w:tcW w:w="762" w:type="dxa"/>
            <w:tcBorders>
              <w:bottom w:val="single" w:sz="2" w:space="0" w:color="44546A" w:themeColor="text2"/>
            </w:tcBorders>
            <w:noWrap/>
            <w:vAlign w:val="center"/>
            <w:hideMark/>
          </w:tcPr>
          <w:p w14:paraId="67243065"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72</w:t>
            </w:r>
          </w:p>
        </w:tc>
        <w:tc>
          <w:tcPr>
            <w:tcW w:w="762" w:type="dxa"/>
            <w:tcBorders>
              <w:bottom w:val="single" w:sz="2" w:space="0" w:color="44546A" w:themeColor="text2"/>
            </w:tcBorders>
            <w:noWrap/>
            <w:vAlign w:val="center"/>
            <w:hideMark/>
          </w:tcPr>
          <w:p w14:paraId="72618075"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0</w:t>
            </w:r>
          </w:p>
        </w:tc>
        <w:tc>
          <w:tcPr>
            <w:tcW w:w="762" w:type="dxa"/>
            <w:tcBorders>
              <w:bottom w:val="single" w:sz="2" w:space="0" w:color="44546A" w:themeColor="text2"/>
            </w:tcBorders>
            <w:noWrap/>
            <w:vAlign w:val="center"/>
            <w:hideMark/>
          </w:tcPr>
          <w:p w14:paraId="218A0CAE"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0</w:t>
            </w:r>
          </w:p>
        </w:tc>
        <w:tc>
          <w:tcPr>
            <w:tcW w:w="767" w:type="dxa"/>
            <w:tcBorders>
              <w:bottom w:val="single" w:sz="2" w:space="0" w:color="44546A" w:themeColor="text2"/>
            </w:tcBorders>
            <w:noWrap/>
            <w:vAlign w:val="center"/>
            <w:hideMark/>
          </w:tcPr>
          <w:p w14:paraId="48153292"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0</w:t>
            </w:r>
          </w:p>
        </w:tc>
        <w:tc>
          <w:tcPr>
            <w:tcW w:w="755" w:type="dxa"/>
            <w:tcBorders>
              <w:bottom w:val="single" w:sz="2" w:space="0" w:color="44546A" w:themeColor="text2"/>
            </w:tcBorders>
            <w:noWrap/>
            <w:vAlign w:val="center"/>
            <w:hideMark/>
          </w:tcPr>
          <w:p w14:paraId="7041F031"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0</w:t>
            </w:r>
          </w:p>
        </w:tc>
      </w:tr>
      <w:tr w:rsidR="00261CFA" w:rsidRPr="009F005F" w14:paraId="78502B4E" w14:textId="77777777" w:rsidTr="006E7DF9">
        <w:trPr>
          <w:trHeight w:val="315"/>
        </w:trPr>
        <w:tc>
          <w:tcPr>
            <w:cnfStyle w:val="001000000000" w:firstRow="0" w:lastRow="0" w:firstColumn="1" w:lastColumn="0" w:oddVBand="0" w:evenVBand="0" w:oddHBand="0" w:evenHBand="0" w:firstRowFirstColumn="0" w:firstRowLastColumn="0" w:lastRowFirstColumn="0" w:lastRowLastColumn="0"/>
            <w:tcW w:w="537" w:type="dxa"/>
            <w:vMerge/>
            <w:tcBorders>
              <w:top w:val="double" w:sz="4" w:space="0" w:color="44546A" w:themeColor="text2"/>
            </w:tcBorders>
          </w:tcPr>
          <w:p w14:paraId="3193DF5F" w14:textId="77777777" w:rsidR="00261CFA" w:rsidRPr="009F005F" w:rsidRDefault="00261CFA" w:rsidP="009F005F">
            <w:pPr>
              <w:jc w:val="right"/>
              <w:rPr>
                <w:rFonts w:cs="Calibri"/>
                <w:color w:val="000000"/>
              </w:rPr>
            </w:pPr>
          </w:p>
        </w:tc>
        <w:tc>
          <w:tcPr>
            <w:tcW w:w="2004" w:type="dxa"/>
            <w:tcBorders>
              <w:bottom w:val="double" w:sz="4" w:space="0" w:color="44546A" w:themeColor="text2"/>
            </w:tcBorders>
            <w:vAlign w:val="center"/>
          </w:tcPr>
          <w:p w14:paraId="152483D4" w14:textId="74B1E82A" w:rsidR="00261CFA" w:rsidRPr="009F005F" w:rsidRDefault="00261CFA" w:rsidP="00372783">
            <w:pP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Low Potential</w:t>
            </w:r>
          </w:p>
        </w:tc>
        <w:tc>
          <w:tcPr>
            <w:tcW w:w="719" w:type="dxa"/>
            <w:tcBorders>
              <w:bottom w:val="double" w:sz="4" w:space="0" w:color="44546A" w:themeColor="text2"/>
            </w:tcBorders>
            <w:noWrap/>
            <w:vAlign w:val="center"/>
            <w:hideMark/>
          </w:tcPr>
          <w:p w14:paraId="53F2D419" w14:textId="6C15A33E"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280</w:t>
            </w:r>
          </w:p>
        </w:tc>
        <w:tc>
          <w:tcPr>
            <w:tcW w:w="762" w:type="dxa"/>
            <w:tcBorders>
              <w:bottom w:val="double" w:sz="4" w:space="0" w:color="44546A" w:themeColor="text2"/>
            </w:tcBorders>
            <w:noWrap/>
            <w:vAlign w:val="center"/>
            <w:hideMark/>
          </w:tcPr>
          <w:p w14:paraId="25BFAA7C"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365</w:t>
            </w:r>
          </w:p>
        </w:tc>
        <w:tc>
          <w:tcPr>
            <w:tcW w:w="762" w:type="dxa"/>
            <w:tcBorders>
              <w:bottom w:val="double" w:sz="4" w:space="0" w:color="44546A" w:themeColor="text2"/>
            </w:tcBorders>
            <w:noWrap/>
            <w:vAlign w:val="center"/>
            <w:hideMark/>
          </w:tcPr>
          <w:p w14:paraId="44FC2400"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451</w:t>
            </w:r>
          </w:p>
        </w:tc>
        <w:tc>
          <w:tcPr>
            <w:tcW w:w="762" w:type="dxa"/>
            <w:tcBorders>
              <w:bottom w:val="double" w:sz="4" w:space="0" w:color="44546A" w:themeColor="text2"/>
            </w:tcBorders>
            <w:noWrap/>
            <w:vAlign w:val="center"/>
            <w:hideMark/>
          </w:tcPr>
          <w:p w14:paraId="17FDDC62"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165</w:t>
            </w:r>
          </w:p>
        </w:tc>
        <w:tc>
          <w:tcPr>
            <w:tcW w:w="762" w:type="dxa"/>
            <w:tcBorders>
              <w:bottom w:val="double" w:sz="4" w:space="0" w:color="44546A" w:themeColor="text2"/>
            </w:tcBorders>
            <w:noWrap/>
            <w:vAlign w:val="center"/>
            <w:hideMark/>
          </w:tcPr>
          <w:p w14:paraId="00FC60EA"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0</w:t>
            </w:r>
          </w:p>
        </w:tc>
        <w:tc>
          <w:tcPr>
            <w:tcW w:w="762" w:type="dxa"/>
            <w:tcBorders>
              <w:bottom w:val="double" w:sz="4" w:space="0" w:color="44546A" w:themeColor="text2"/>
            </w:tcBorders>
            <w:noWrap/>
            <w:vAlign w:val="center"/>
            <w:hideMark/>
          </w:tcPr>
          <w:p w14:paraId="6D1EA528"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0</w:t>
            </w:r>
          </w:p>
        </w:tc>
        <w:tc>
          <w:tcPr>
            <w:tcW w:w="762" w:type="dxa"/>
            <w:tcBorders>
              <w:bottom w:val="double" w:sz="4" w:space="0" w:color="44546A" w:themeColor="text2"/>
            </w:tcBorders>
            <w:noWrap/>
            <w:vAlign w:val="center"/>
            <w:hideMark/>
          </w:tcPr>
          <w:p w14:paraId="4BB2D98E"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0</w:t>
            </w:r>
          </w:p>
        </w:tc>
        <w:tc>
          <w:tcPr>
            <w:tcW w:w="767" w:type="dxa"/>
            <w:tcBorders>
              <w:bottom w:val="double" w:sz="4" w:space="0" w:color="44546A" w:themeColor="text2"/>
            </w:tcBorders>
            <w:noWrap/>
            <w:vAlign w:val="center"/>
            <w:hideMark/>
          </w:tcPr>
          <w:p w14:paraId="275102DD"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0</w:t>
            </w:r>
          </w:p>
        </w:tc>
        <w:tc>
          <w:tcPr>
            <w:tcW w:w="755" w:type="dxa"/>
            <w:tcBorders>
              <w:bottom w:val="double" w:sz="4" w:space="0" w:color="44546A" w:themeColor="text2"/>
            </w:tcBorders>
            <w:noWrap/>
            <w:vAlign w:val="center"/>
            <w:hideMark/>
          </w:tcPr>
          <w:p w14:paraId="69E7AFCD" w14:textId="77777777" w:rsidR="00261CFA" w:rsidRPr="009F005F" w:rsidRDefault="00261CFA"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0</w:t>
            </w:r>
          </w:p>
        </w:tc>
      </w:tr>
      <w:tr w:rsidR="00A03952" w:rsidRPr="009F005F" w14:paraId="37656983" w14:textId="77777777" w:rsidTr="006E7DF9">
        <w:trPr>
          <w:trHeight w:val="300"/>
        </w:trPr>
        <w:tc>
          <w:tcPr>
            <w:cnfStyle w:val="001000000000" w:firstRow="0" w:lastRow="0" w:firstColumn="1" w:lastColumn="0" w:oddVBand="0" w:evenVBand="0" w:oddHBand="0" w:evenHBand="0" w:firstRowFirstColumn="0" w:firstRowLastColumn="0" w:lastRowFirstColumn="0" w:lastRowLastColumn="0"/>
            <w:tcW w:w="537" w:type="dxa"/>
            <w:vMerge w:val="restart"/>
            <w:tcBorders>
              <w:top w:val="double" w:sz="4" w:space="0" w:color="44546A" w:themeColor="text2"/>
            </w:tcBorders>
            <w:tcMar>
              <w:left w:w="0" w:type="dxa"/>
              <w:right w:w="0" w:type="dxa"/>
            </w:tcMar>
            <w:textDirection w:val="btLr"/>
          </w:tcPr>
          <w:p w14:paraId="39A4BADD" w14:textId="3DDA411D" w:rsidR="00A03952" w:rsidRPr="00070C0E" w:rsidRDefault="00070C0E" w:rsidP="00A03952">
            <w:pPr>
              <w:ind w:left="113" w:right="113"/>
              <w:jc w:val="right"/>
              <w:rPr>
                <w:rFonts w:cs="Calibri"/>
                <w:b w:val="0"/>
                <w:bCs/>
                <w:color w:val="000000"/>
              </w:rPr>
            </w:pPr>
            <w:r w:rsidRPr="00070C0E">
              <w:rPr>
                <w:rFonts w:cs="Calibri"/>
                <w:b w:val="0"/>
                <w:bCs/>
                <w:color w:val="000000"/>
              </w:rPr>
              <w:t>CPAS MWh</w:t>
            </w:r>
          </w:p>
        </w:tc>
        <w:tc>
          <w:tcPr>
            <w:tcW w:w="2004" w:type="dxa"/>
            <w:tcBorders>
              <w:top w:val="double" w:sz="4" w:space="0" w:color="44546A" w:themeColor="text2"/>
            </w:tcBorders>
            <w:vAlign w:val="center"/>
          </w:tcPr>
          <w:p w14:paraId="5477EC15" w14:textId="41B008D8" w:rsidR="00A03952" w:rsidRPr="009F005F" w:rsidRDefault="00A03952" w:rsidP="00372783">
            <w:pP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Max Potential</w:t>
            </w:r>
          </w:p>
        </w:tc>
        <w:tc>
          <w:tcPr>
            <w:tcW w:w="719" w:type="dxa"/>
            <w:tcBorders>
              <w:top w:val="double" w:sz="4" w:space="0" w:color="44546A" w:themeColor="text2"/>
            </w:tcBorders>
            <w:noWrap/>
            <w:vAlign w:val="center"/>
            <w:hideMark/>
          </w:tcPr>
          <w:p w14:paraId="58F885BB" w14:textId="342A43CD"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1,007</w:t>
            </w:r>
          </w:p>
        </w:tc>
        <w:tc>
          <w:tcPr>
            <w:tcW w:w="762" w:type="dxa"/>
            <w:tcBorders>
              <w:top w:val="double" w:sz="4" w:space="0" w:color="44546A" w:themeColor="text2"/>
            </w:tcBorders>
            <w:noWrap/>
            <w:vAlign w:val="center"/>
            <w:hideMark/>
          </w:tcPr>
          <w:p w14:paraId="512F46CD"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2,295</w:t>
            </w:r>
          </w:p>
        </w:tc>
        <w:tc>
          <w:tcPr>
            <w:tcW w:w="762" w:type="dxa"/>
            <w:tcBorders>
              <w:top w:val="double" w:sz="4" w:space="0" w:color="44546A" w:themeColor="text2"/>
            </w:tcBorders>
            <w:noWrap/>
            <w:vAlign w:val="center"/>
            <w:hideMark/>
          </w:tcPr>
          <w:p w14:paraId="1DBC0795"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3,506</w:t>
            </w:r>
          </w:p>
        </w:tc>
        <w:tc>
          <w:tcPr>
            <w:tcW w:w="762" w:type="dxa"/>
            <w:tcBorders>
              <w:top w:val="double" w:sz="4" w:space="0" w:color="44546A" w:themeColor="text2"/>
            </w:tcBorders>
            <w:noWrap/>
            <w:vAlign w:val="center"/>
            <w:hideMark/>
          </w:tcPr>
          <w:p w14:paraId="517BA230"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4,245</w:t>
            </w:r>
          </w:p>
        </w:tc>
        <w:tc>
          <w:tcPr>
            <w:tcW w:w="762" w:type="dxa"/>
            <w:tcBorders>
              <w:top w:val="double" w:sz="4" w:space="0" w:color="44546A" w:themeColor="text2"/>
            </w:tcBorders>
            <w:noWrap/>
            <w:vAlign w:val="center"/>
            <w:hideMark/>
          </w:tcPr>
          <w:p w14:paraId="0F09FB15"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4,464</w:t>
            </w:r>
          </w:p>
        </w:tc>
        <w:tc>
          <w:tcPr>
            <w:tcW w:w="762" w:type="dxa"/>
            <w:tcBorders>
              <w:top w:val="double" w:sz="4" w:space="0" w:color="44546A" w:themeColor="text2"/>
            </w:tcBorders>
            <w:noWrap/>
            <w:vAlign w:val="center"/>
            <w:hideMark/>
          </w:tcPr>
          <w:p w14:paraId="0CF220D6"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4,464</w:t>
            </w:r>
          </w:p>
        </w:tc>
        <w:tc>
          <w:tcPr>
            <w:tcW w:w="762" w:type="dxa"/>
            <w:tcBorders>
              <w:top w:val="double" w:sz="4" w:space="0" w:color="44546A" w:themeColor="text2"/>
            </w:tcBorders>
            <w:noWrap/>
            <w:vAlign w:val="center"/>
            <w:hideMark/>
          </w:tcPr>
          <w:p w14:paraId="3FE25ACE"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4,464</w:t>
            </w:r>
          </w:p>
        </w:tc>
        <w:tc>
          <w:tcPr>
            <w:tcW w:w="767" w:type="dxa"/>
            <w:tcBorders>
              <w:top w:val="double" w:sz="4" w:space="0" w:color="44546A" w:themeColor="text2"/>
            </w:tcBorders>
            <w:noWrap/>
            <w:vAlign w:val="center"/>
            <w:hideMark/>
          </w:tcPr>
          <w:p w14:paraId="69C258FD"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4,464</w:t>
            </w:r>
          </w:p>
        </w:tc>
        <w:tc>
          <w:tcPr>
            <w:tcW w:w="755" w:type="dxa"/>
            <w:tcBorders>
              <w:top w:val="double" w:sz="4" w:space="0" w:color="44546A" w:themeColor="text2"/>
            </w:tcBorders>
            <w:noWrap/>
            <w:vAlign w:val="center"/>
            <w:hideMark/>
          </w:tcPr>
          <w:p w14:paraId="5FDCDF0A"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4,464</w:t>
            </w:r>
          </w:p>
        </w:tc>
      </w:tr>
      <w:tr w:rsidR="00A03952" w:rsidRPr="009F005F" w14:paraId="4DE512D8" w14:textId="77777777" w:rsidTr="006E7DF9">
        <w:trPr>
          <w:trHeight w:val="300"/>
        </w:trPr>
        <w:tc>
          <w:tcPr>
            <w:cnfStyle w:val="001000000000" w:firstRow="0" w:lastRow="0" w:firstColumn="1" w:lastColumn="0" w:oddVBand="0" w:evenVBand="0" w:oddHBand="0" w:evenHBand="0" w:firstRowFirstColumn="0" w:firstRowLastColumn="0" w:lastRowFirstColumn="0" w:lastRowLastColumn="0"/>
            <w:tcW w:w="537" w:type="dxa"/>
            <w:vMerge/>
            <w:tcBorders>
              <w:top w:val="double" w:sz="4" w:space="0" w:color="44546A" w:themeColor="text2"/>
            </w:tcBorders>
          </w:tcPr>
          <w:p w14:paraId="158E2A36" w14:textId="77777777" w:rsidR="00A03952" w:rsidRPr="009F005F" w:rsidRDefault="00A03952" w:rsidP="009F005F">
            <w:pPr>
              <w:jc w:val="right"/>
              <w:rPr>
                <w:rFonts w:cs="Calibri"/>
                <w:color w:val="000000"/>
              </w:rPr>
            </w:pPr>
          </w:p>
        </w:tc>
        <w:tc>
          <w:tcPr>
            <w:tcW w:w="2004" w:type="dxa"/>
            <w:vAlign w:val="center"/>
          </w:tcPr>
          <w:p w14:paraId="1C5819AA" w14:textId="318261DA" w:rsidR="00A03952" w:rsidRPr="009F005F" w:rsidRDefault="00A03952" w:rsidP="00372783">
            <w:pP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Avg. Potential</w:t>
            </w:r>
          </w:p>
        </w:tc>
        <w:tc>
          <w:tcPr>
            <w:tcW w:w="719" w:type="dxa"/>
            <w:noWrap/>
            <w:vAlign w:val="center"/>
            <w:hideMark/>
          </w:tcPr>
          <w:p w14:paraId="488D8920" w14:textId="31C2E1AB"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608</w:t>
            </w:r>
          </w:p>
        </w:tc>
        <w:tc>
          <w:tcPr>
            <w:tcW w:w="762" w:type="dxa"/>
            <w:noWrap/>
            <w:vAlign w:val="center"/>
            <w:hideMark/>
          </w:tcPr>
          <w:p w14:paraId="78D275DA"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1,369</w:t>
            </w:r>
          </w:p>
        </w:tc>
        <w:tc>
          <w:tcPr>
            <w:tcW w:w="762" w:type="dxa"/>
            <w:noWrap/>
            <w:vAlign w:val="center"/>
            <w:hideMark/>
          </w:tcPr>
          <w:p w14:paraId="3D00153F"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2,165</w:t>
            </w:r>
          </w:p>
        </w:tc>
        <w:tc>
          <w:tcPr>
            <w:tcW w:w="762" w:type="dxa"/>
            <w:noWrap/>
            <w:vAlign w:val="center"/>
            <w:hideMark/>
          </w:tcPr>
          <w:p w14:paraId="473BDED7"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2,616</w:t>
            </w:r>
          </w:p>
        </w:tc>
        <w:tc>
          <w:tcPr>
            <w:tcW w:w="762" w:type="dxa"/>
            <w:noWrap/>
            <w:vAlign w:val="center"/>
            <w:hideMark/>
          </w:tcPr>
          <w:p w14:paraId="5EE0A67C"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2,689</w:t>
            </w:r>
          </w:p>
        </w:tc>
        <w:tc>
          <w:tcPr>
            <w:tcW w:w="762" w:type="dxa"/>
            <w:noWrap/>
            <w:vAlign w:val="center"/>
            <w:hideMark/>
          </w:tcPr>
          <w:p w14:paraId="6B5FCEB7"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2,689</w:t>
            </w:r>
          </w:p>
        </w:tc>
        <w:tc>
          <w:tcPr>
            <w:tcW w:w="762" w:type="dxa"/>
            <w:noWrap/>
            <w:vAlign w:val="center"/>
            <w:hideMark/>
          </w:tcPr>
          <w:p w14:paraId="558A435B"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2,689</w:t>
            </w:r>
          </w:p>
        </w:tc>
        <w:tc>
          <w:tcPr>
            <w:tcW w:w="767" w:type="dxa"/>
            <w:noWrap/>
            <w:vAlign w:val="center"/>
            <w:hideMark/>
          </w:tcPr>
          <w:p w14:paraId="3446E415"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2,689</w:t>
            </w:r>
          </w:p>
        </w:tc>
        <w:tc>
          <w:tcPr>
            <w:tcW w:w="755" w:type="dxa"/>
            <w:noWrap/>
            <w:vAlign w:val="center"/>
            <w:hideMark/>
          </w:tcPr>
          <w:p w14:paraId="1EA8D44B"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2,689</w:t>
            </w:r>
          </w:p>
        </w:tc>
      </w:tr>
      <w:tr w:rsidR="00A03952" w:rsidRPr="009F005F" w14:paraId="3F510A2F" w14:textId="77777777" w:rsidTr="006E7DF9">
        <w:trPr>
          <w:trHeight w:val="315"/>
        </w:trPr>
        <w:tc>
          <w:tcPr>
            <w:cnfStyle w:val="001000000000" w:firstRow="0" w:lastRow="0" w:firstColumn="1" w:lastColumn="0" w:oddVBand="0" w:evenVBand="0" w:oddHBand="0" w:evenHBand="0" w:firstRowFirstColumn="0" w:firstRowLastColumn="0" w:lastRowFirstColumn="0" w:lastRowLastColumn="0"/>
            <w:tcW w:w="537" w:type="dxa"/>
            <w:vMerge/>
            <w:tcBorders>
              <w:top w:val="double" w:sz="4" w:space="0" w:color="44546A" w:themeColor="text2"/>
            </w:tcBorders>
          </w:tcPr>
          <w:p w14:paraId="318AFD17" w14:textId="77777777" w:rsidR="00A03952" w:rsidRPr="009F005F" w:rsidRDefault="00A03952" w:rsidP="009F005F">
            <w:pPr>
              <w:jc w:val="right"/>
              <w:rPr>
                <w:rFonts w:cs="Calibri"/>
                <w:color w:val="000000"/>
              </w:rPr>
            </w:pPr>
          </w:p>
        </w:tc>
        <w:tc>
          <w:tcPr>
            <w:tcW w:w="2004" w:type="dxa"/>
            <w:vAlign w:val="center"/>
          </w:tcPr>
          <w:p w14:paraId="0C92F600" w14:textId="65149A70" w:rsidR="00A03952" w:rsidRPr="009F005F" w:rsidRDefault="00A03952" w:rsidP="00372783">
            <w:pPr>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Low Potential</w:t>
            </w:r>
          </w:p>
        </w:tc>
        <w:tc>
          <w:tcPr>
            <w:tcW w:w="719" w:type="dxa"/>
            <w:noWrap/>
            <w:vAlign w:val="center"/>
            <w:hideMark/>
          </w:tcPr>
          <w:p w14:paraId="6810BAE3" w14:textId="1A09FF4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280</w:t>
            </w:r>
          </w:p>
        </w:tc>
        <w:tc>
          <w:tcPr>
            <w:tcW w:w="762" w:type="dxa"/>
            <w:noWrap/>
            <w:vAlign w:val="center"/>
            <w:hideMark/>
          </w:tcPr>
          <w:p w14:paraId="64DE8F2C"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645</w:t>
            </w:r>
          </w:p>
        </w:tc>
        <w:tc>
          <w:tcPr>
            <w:tcW w:w="762" w:type="dxa"/>
            <w:noWrap/>
            <w:vAlign w:val="center"/>
            <w:hideMark/>
          </w:tcPr>
          <w:p w14:paraId="49277CBA"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1,096</w:t>
            </w:r>
          </w:p>
        </w:tc>
        <w:tc>
          <w:tcPr>
            <w:tcW w:w="762" w:type="dxa"/>
            <w:noWrap/>
            <w:vAlign w:val="center"/>
            <w:hideMark/>
          </w:tcPr>
          <w:p w14:paraId="0AE8BB13"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1,261</w:t>
            </w:r>
          </w:p>
        </w:tc>
        <w:tc>
          <w:tcPr>
            <w:tcW w:w="762" w:type="dxa"/>
            <w:noWrap/>
            <w:vAlign w:val="center"/>
            <w:hideMark/>
          </w:tcPr>
          <w:p w14:paraId="1D5D70AA"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1,261</w:t>
            </w:r>
          </w:p>
        </w:tc>
        <w:tc>
          <w:tcPr>
            <w:tcW w:w="762" w:type="dxa"/>
            <w:noWrap/>
            <w:vAlign w:val="center"/>
            <w:hideMark/>
          </w:tcPr>
          <w:p w14:paraId="24B7FC68"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1,261</w:t>
            </w:r>
          </w:p>
        </w:tc>
        <w:tc>
          <w:tcPr>
            <w:tcW w:w="762" w:type="dxa"/>
            <w:noWrap/>
            <w:vAlign w:val="center"/>
            <w:hideMark/>
          </w:tcPr>
          <w:p w14:paraId="415AE2AB"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1,261</w:t>
            </w:r>
          </w:p>
        </w:tc>
        <w:tc>
          <w:tcPr>
            <w:tcW w:w="767" w:type="dxa"/>
            <w:noWrap/>
            <w:vAlign w:val="center"/>
            <w:hideMark/>
          </w:tcPr>
          <w:p w14:paraId="56B69F7F"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1,261</w:t>
            </w:r>
          </w:p>
        </w:tc>
        <w:tc>
          <w:tcPr>
            <w:tcW w:w="755" w:type="dxa"/>
            <w:noWrap/>
            <w:vAlign w:val="center"/>
            <w:hideMark/>
          </w:tcPr>
          <w:p w14:paraId="3711C220" w14:textId="77777777" w:rsidR="00A03952" w:rsidRPr="009F005F" w:rsidRDefault="00A03952" w:rsidP="00C158F1">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9F005F">
              <w:rPr>
                <w:rFonts w:cs="Calibri"/>
                <w:color w:val="000000"/>
              </w:rPr>
              <w:t>1,261</w:t>
            </w:r>
          </w:p>
        </w:tc>
      </w:tr>
    </w:tbl>
    <w:p w14:paraId="0B61DAA2" w14:textId="77777777" w:rsidR="00CA736C" w:rsidRPr="00C40296" w:rsidRDefault="00CA736C" w:rsidP="00C40296">
      <w:pPr>
        <w:pStyle w:val="TextMain"/>
      </w:pPr>
    </w:p>
    <w:p w14:paraId="759A25EE" w14:textId="5C26771B" w:rsidR="00C158F1" w:rsidRDefault="00F76B67" w:rsidP="00362B2A">
      <w:pPr>
        <w:pStyle w:val="Heading2"/>
      </w:pPr>
      <w:r>
        <w:lastRenderedPageBreak/>
        <w:t xml:space="preserve">Top-Load </w:t>
      </w:r>
      <w:r w:rsidR="00C158F1">
        <w:t>Clothes washers</w:t>
      </w:r>
    </w:p>
    <w:p w14:paraId="09199BE6" w14:textId="135C71C5" w:rsidR="00F76B67" w:rsidRPr="00C158F1" w:rsidRDefault="00F76B67" w:rsidP="00F76B67">
      <w:pPr>
        <w:pStyle w:val="TextMain"/>
      </w:pPr>
      <w:r w:rsidRPr="00F76B67">
        <w:fldChar w:fldCharType="begin"/>
      </w:r>
      <w:r w:rsidRPr="00F76B67">
        <w:instrText xml:space="preserve"> REF _Ref114234295 \h  \* MERGEFORMAT </w:instrText>
      </w:r>
      <w:r w:rsidRPr="00F76B67">
        <w:fldChar w:fldCharType="separate"/>
      </w:r>
      <w:r w:rsidRPr="00C158F1">
        <w:t xml:space="preserve">Figure </w:t>
      </w:r>
      <w:r w:rsidRPr="00F76B67">
        <w:rPr>
          <w:noProof/>
        </w:rPr>
        <w:t>5</w:t>
      </w:r>
      <w:r w:rsidRPr="00F76B67">
        <w:fldChar w:fldCharType="end"/>
      </w:r>
      <w:r>
        <w:t xml:space="preserve"> </w:t>
      </w:r>
      <w:r w:rsidRPr="00F76B67">
        <w:t>below presents the forecast results for top-</w:t>
      </w:r>
      <w:r>
        <w:t>load clothes washers</w:t>
      </w:r>
      <w:r w:rsidRPr="00F76B67">
        <w:t>. RPP</w:t>
      </w:r>
      <w:r w:rsidR="0009739E">
        <w:t>-</w:t>
      </w:r>
      <w:r w:rsidRPr="00F76B67">
        <w:t xml:space="preserve">influenced sales </w:t>
      </w:r>
      <w:r w:rsidR="004504F5">
        <w:t xml:space="preserve">ramps up into 2025 and then </w:t>
      </w:r>
      <w:r w:rsidRPr="00F76B67">
        <w:t>declines into 202</w:t>
      </w:r>
      <w:r w:rsidR="00CA487C">
        <w:t>7</w:t>
      </w:r>
      <w:r w:rsidR="008239B5">
        <w:t>. T</w:t>
      </w:r>
      <w:r w:rsidRPr="00F76B67">
        <w:t>he entirety of top-</w:t>
      </w:r>
      <w:r w:rsidR="00CA487C">
        <w:t xml:space="preserve">load </w:t>
      </w:r>
      <w:r w:rsidR="00F82CB7">
        <w:t xml:space="preserve">clothes washers </w:t>
      </w:r>
      <w:r w:rsidRPr="00F76B67">
        <w:t>will meet ES requirements due to ENERGY STAR revisions by 202</w:t>
      </w:r>
      <w:r w:rsidR="004504F5">
        <w:t>8</w:t>
      </w:r>
      <w:r w:rsidRPr="00F76B67">
        <w:t>, as noted above.</w:t>
      </w:r>
    </w:p>
    <w:p w14:paraId="740BF30E" w14:textId="01540497" w:rsidR="00C158F1" w:rsidRPr="00C158F1" w:rsidRDefault="00C158F1" w:rsidP="00C158F1">
      <w:pPr>
        <w:pStyle w:val="TextMain"/>
        <w:rPr>
          <w:b/>
        </w:rPr>
      </w:pPr>
      <w:bookmarkStart w:id="20" w:name="_Ref114234295"/>
      <w:r w:rsidRPr="00C158F1">
        <w:rPr>
          <w:b/>
        </w:rPr>
        <w:t xml:space="preserve">Figure </w:t>
      </w:r>
      <w:r w:rsidRPr="00C158F1">
        <w:rPr>
          <w:b/>
        </w:rPr>
        <w:fldChar w:fldCharType="begin"/>
      </w:r>
      <w:r w:rsidRPr="00C158F1">
        <w:rPr>
          <w:b/>
        </w:rPr>
        <w:instrText xml:space="preserve"> SEQ Figure \* ARABIC </w:instrText>
      </w:r>
      <w:r w:rsidRPr="00C158F1">
        <w:rPr>
          <w:b/>
        </w:rPr>
        <w:fldChar w:fldCharType="separate"/>
      </w:r>
      <w:r w:rsidR="00A86CEF">
        <w:rPr>
          <w:b/>
          <w:noProof/>
        </w:rPr>
        <w:t>8</w:t>
      </w:r>
      <w:r w:rsidRPr="00C158F1">
        <w:fldChar w:fldCharType="end"/>
      </w:r>
      <w:bookmarkEnd w:id="20"/>
      <w:r w:rsidRPr="00C158F1">
        <w:rPr>
          <w:b/>
        </w:rPr>
        <w:t xml:space="preserve">: Projected Top </w:t>
      </w:r>
      <w:r>
        <w:rPr>
          <w:b/>
        </w:rPr>
        <w:t xml:space="preserve">Load Clothes Washer </w:t>
      </w:r>
      <w:r w:rsidRPr="00C158F1">
        <w:rPr>
          <w:b/>
        </w:rPr>
        <w:t>Sales Volumes</w:t>
      </w:r>
    </w:p>
    <w:p w14:paraId="09785B1F" w14:textId="17CD42E2" w:rsidR="00C158F1" w:rsidRPr="00C158F1" w:rsidRDefault="00BC7A3C" w:rsidP="00C158F1">
      <w:pPr>
        <w:pStyle w:val="TextMain"/>
      </w:pPr>
      <w:r>
        <w:rPr>
          <w:noProof/>
        </w:rPr>
        <w:drawing>
          <wp:inline distT="0" distB="0" distL="0" distR="0" wp14:anchorId="4D4FF026" wp14:editId="1CFB1896">
            <wp:extent cx="5892965" cy="33832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92965" cy="3383280"/>
                    </a:xfrm>
                    <a:prstGeom prst="rect">
                      <a:avLst/>
                    </a:prstGeom>
                    <a:noFill/>
                  </pic:spPr>
                </pic:pic>
              </a:graphicData>
            </a:graphic>
          </wp:inline>
        </w:drawing>
      </w:r>
    </w:p>
    <w:p w14:paraId="22C168AF" w14:textId="468826C0" w:rsidR="00EA4FB0" w:rsidRPr="00EA4FB0" w:rsidRDefault="00EA4FB0" w:rsidP="00EA4FB0">
      <w:pPr>
        <w:pStyle w:val="TextMain"/>
      </w:pPr>
      <w:r w:rsidRPr="00A400B0">
        <w:fldChar w:fldCharType="begin"/>
      </w:r>
      <w:r w:rsidRPr="00A400B0">
        <w:instrText xml:space="preserve"> REF _Ref114234396 \h  \* MERGEFORMAT </w:instrText>
      </w:r>
      <w:r w:rsidRPr="00A400B0">
        <w:fldChar w:fldCharType="separate"/>
      </w:r>
      <w:r w:rsidRPr="00C158F1">
        <w:t xml:space="preserve">Table </w:t>
      </w:r>
      <w:r w:rsidRPr="00A400B0">
        <w:rPr>
          <w:noProof/>
        </w:rPr>
        <w:t>4</w:t>
      </w:r>
      <w:r w:rsidRPr="00A400B0">
        <w:fldChar w:fldCharType="end"/>
      </w:r>
      <w:r>
        <w:t xml:space="preserve"> </w:t>
      </w:r>
      <w:r w:rsidRPr="00EA4FB0">
        <w:t>shows the first year annual and CPAS lifetime savings (in MWh) for top-</w:t>
      </w:r>
      <w:r>
        <w:t xml:space="preserve">load clothes washers </w:t>
      </w:r>
      <w:r w:rsidRPr="00EA4FB0">
        <w:t>resulting from RPP program influence.</w:t>
      </w:r>
    </w:p>
    <w:p w14:paraId="34AFFE43" w14:textId="6E91B088" w:rsidR="00C158F1" w:rsidRPr="00C158F1" w:rsidRDefault="00C158F1" w:rsidP="00C158F1">
      <w:pPr>
        <w:pStyle w:val="TextMain"/>
        <w:rPr>
          <w:b/>
        </w:rPr>
      </w:pPr>
      <w:bookmarkStart w:id="21" w:name="_Ref114234396"/>
      <w:r w:rsidRPr="00C158F1">
        <w:rPr>
          <w:b/>
        </w:rPr>
        <w:t xml:space="preserve">Table </w:t>
      </w:r>
      <w:r w:rsidRPr="00C158F1">
        <w:rPr>
          <w:b/>
        </w:rPr>
        <w:fldChar w:fldCharType="begin"/>
      </w:r>
      <w:r w:rsidRPr="00C158F1">
        <w:rPr>
          <w:b/>
        </w:rPr>
        <w:instrText xml:space="preserve"> SEQ Table \* ARABIC </w:instrText>
      </w:r>
      <w:r w:rsidRPr="00C158F1">
        <w:rPr>
          <w:b/>
        </w:rPr>
        <w:fldChar w:fldCharType="separate"/>
      </w:r>
      <w:r w:rsidR="00790AD0">
        <w:rPr>
          <w:b/>
          <w:noProof/>
        </w:rPr>
        <w:t>4</w:t>
      </w:r>
      <w:r w:rsidRPr="00C158F1">
        <w:fldChar w:fldCharType="end"/>
      </w:r>
      <w:bookmarkEnd w:id="21"/>
      <w:r w:rsidRPr="00C158F1">
        <w:rPr>
          <w:b/>
        </w:rPr>
        <w:t>: Top</w:t>
      </w:r>
      <w:r>
        <w:rPr>
          <w:b/>
        </w:rPr>
        <w:t xml:space="preserve"> Load Clothes Washer </w:t>
      </w:r>
      <w:r w:rsidRPr="00C158F1">
        <w:rPr>
          <w:b/>
        </w:rPr>
        <w:t>Savings Projections</w:t>
      </w:r>
    </w:p>
    <w:tbl>
      <w:tblPr>
        <w:tblStyle w:val="ApexTable"/>
        <w:tblW w:w="9354" w:type="dxa"/>
        <w:tblLook w:val="04A0" w:firstRow="1" w:lastRow="0" w:firstColumn="1" w:lastColumn="0" w:noHBand="0" w:noVBand="1"/>
      </w:tblPr>
      <w:tblGrid>
        <w:gridCol w:w="524"/>
        <w:gridCol w:w="1591"/>
        <w:gridCol w:w="762"/>
        <w:gridCol w:w="810"/>
        <w:gridCol w:w="810"/>
        <w:gridCol w:w="810"/>
        <w:gridCol w:w="810"/>
        <w:gridCol w:w="810"/>
        <w:gridCol w:w="810"/>
        <w:gridCol w:w="815"/>
        <w:gridCol w:w="802"/>
      </w:tblGrid>
      <w:tr w:rsidR="003C1A49" w:rsidRPr="00C158F1" w14:paraId="702F6C3B"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 w:type="dxa"/>
            <w:tcBorders>
              <w:bottom w:val="single" w:sz="2" w:space="0" w:color="44546A" w:themeColor="text2"/>
            </w:tcBorders>
          </w:tcPr>
          <w:p w14:paraId="5EBA22D6" w14:textId="77777777" w:rsidR="00C158F1" w:rsidRPr="00C158F1" w:rsidRDefault="00C158F1" w:rsidP="003C1A49">
            <w:pPr>
              <w:pStyle w:val="TextMain"/>
              <w:spacing w:after="0"/>
              <w:rPr>
                <w:rFonts w:ascii="Calibri" w:hAnsi="Calibri" w:cs="Calibri"/>
                <w:b w:val="0"/>
                <w:bCs/>
                <w:color w:val="auto"/>
                <w:szCs w:val="20"/>
              </w:rPr>
            </w:pPr>
          </w:p>
        </w:tc>
        <w:tc>
          <w:tcPr>
            <w:tcW w:w="1591" w:type="dxa"/>
          </w:tcPr>
          <w:p w14:paraId="25D7450F" w14:textId="77777777" w:rsidR="00C158F1" w:rsidRPr="00C158F1" w:rsidRDefault="00C158F1" w:rsidP="003C1A49">
            <w:pPr>
              <w:pStyle w:val="TextMain"/>
              <w:spacing w:after="0"/>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Cs w:val="20"/>
              </w:rPr>
            </w:pPr>
            <w:r w:rsidRPr="00C158F1">
              <w:rPr>
                <w:rFonts w:ascii="Calibri" w:hAnsi="Calibri" w:cs="Calibri"/>
                <w:color w:val="FFFFFF" w:themeColor="background1"/>
                <w:szCs w:val="20"/>
              </w:rPr>
              <w:t>Uptake Scenario</w:t>
            </w:r>
          </w:p>
        </w:tc>
        <w:tc>
          <w:tcPr>
            <w:tcW w:w="762" w:type="dxa"/>
            <w:noWrap/>
            <w:hideMark/>
          </w:tcPr>
          <w:p w14:paraId="4E8117B5" w14:textId="77777777" w:rsidR="00C158F1" w:rsidRPr="00C158F1" w:rsidRDefault="00C158F1" w:rsidP="003C1A49">
            <w:pPr>
              <w:pStyle w:val="TextMain"/>
              <w:spacing w:after="0"/>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1"/>
                <w:szCs w:val="20"/>
              </w:rPr>
            </w:pPr>
            <w:r w:rsidRPr="00C158F1">
              <w:rPr>
                <w:rFonts w:ascii="Calibri" w:hAnsi="Calibri" w:cs="Calibri"/>
                <w:bCs/>
                <w:color w:val="FFFFFF" w:themeColor="background1"/>
                <w:szCs w:val="20"/>
              </w:rPr>
              <w:t>2022</w:t>
            </w:r>
          </w:p>
        </w:tc>
        <w:tc>
          <w:tcPr>
            <w:tcW w:w="810" w:type="dxa"/>
            <w:noWrap/>
            <w:hideMark/>
          </w:tcPr>
          <w:p w14:paraId="49774AA1" w14:textId="77777777" w:rsidR="00C158F1" w:rsidRPr="00C158F1" w:rsidRDefault="00C158F1" w:rsidP="003C1A49">
            <w:pPr>
              <w:pStyle w:val="TextMain"/>
              <w:spacing w:after="0"/>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1"/>
                <w:szCs w:val="20"/>
              </w:rPr>
            </w:pPr>
            <w:r w:rsidRPr="00C158F1">
              <w:rPr>
                <w:rFonts w:ascii="Calibri" w:hAnsi="Calibri" w:cs="Calibri"/>
                <w:bCs/>
                <w:color w:val="FFFFFF" w:themeColor="background1"/>
                <w:szCs w:val="20"/>
              </w:rPr>
              <w:t>2023</w:t>
            </w:r>
          </w:p>
        </w:tc>
        <w:tc>
          <w:tcPr>
            <w:tcW w:w="810" w:type="dxa"/>
            <w:noWrap/>
            <w:hideMark/>
          </w:tcPr>
          <w:p w14:paraId="0076CE18" w14:textId="77777777" w:rsidR="00C158F1" w:rsidRPr="00C158F1" w:rsidRDefault="00C158F1" w:rsidP="003C1A49">
            <w:pPr>
              <w:pStyle w:val="TextMain"/>
              <w:spacing w:after="0"/>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1"/>
                <w:szCs w:val="20"/>
              </w:rPr>
            </w:pPr>
            <w:r w:rsidRPr="00C158F1">
              <w:rPr>
                <w:rFonts w:ascii="Calibri" w:hAnsi="Calibri" w:cs="Calibri"/>
                <w:bCs/>
                <w:color w:val="FFFFFF" w:themeColor="background1"/>
                <w:szCs w:val="20"/>
              </w:rPr>
              <w:t>2024</w:t>
            </w:r>
          </w:p>
        </w:tc>
        <w:tc>
          <w:tcPr>
            <w:tcW w:w="810" w:type="dxa"/>
            <w:noWrap/>
            <w:hideMark/>
          </w:tcPr>
          <w:p w14:paraId="68CD2CC2" w14:textId="77777777" w:rsidR="00C158F1" w:rsidRPr="00C158F1" w:rsidRDefault="00C158F1" w:rsidP="003C1A49">
            <w:pPr>
              <w:pStyle w:val="TextMain"/>
              <w:spacing w:after="0"/>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1"/>
                <w:szCs w:val="20"/>
              </w:rPr>
            </w:pPr>
            <w:r w:rsidRPr="00C158F1">
              <w:rPr>
                <w:rFonts w:ascii="Calibri" w:hAnsi="Calibri" w:cs="Calibri"/>
                <w:bCs/>
                <w:color w:val="FFFFFF" w:themeColor="background1"/>
                <w:szCs w:val="20"/>
              </w:rPr>
              <w:t>2025</w:t>
            </w:r>
          </w:p>
        </w:tc>
        <w:tc>
          <w:tcPr>
            <w:tcW w:w="810" w:type="dxa"/>
            <w:noWrap/>
            <w:hideMark/>
          </w:tcPr>
          <w:p w14:paraId="223AF79B" w14:textId="77777777" w:rsidR="00C158F1" w:rsidRPr="00C158F1" w:rsidRDefault="00C158F1" w:rsidP="003C1A49">
            <w:pPr>
              <w:pStyle w:val="TextMain"/>
              <w:spacing w:after="0"/>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1"/>
                <w:szCs w:val="20"/>
              </w:rPr>
            </w:pPr>
            <w:r w:rsidRPr="00C158F1">
              <w:rPr>
                <w:rFonts w:ascii="Calibri" w:hAnsi="Calibri" w:cs="Calibri"/>
                <w:bCs/>
                <w:color w:val="FFFFFF" w:themeColor="background1"/>
                <w:szCs w:val="20"/>
              </w:rPr>
              <w:t>2026</w:t>
            </w:r>
          </w:p>
        </w:tc>
        <w:tc>
          <w:tcPr>
            <w:tcW w:w="810" w:type="dxa"/>
            <w:noWrap/>
            <w:hideMark/>
          </w:tcPr>
          <w:p w14:paraId="4B39AE2E" w14:textId="77777777" w:rsidR="00C158F1" w:rsidRPr="00C158F1" w:rsidRDefault="00C158F1" w:rsidP="003C1A49">
            <w:pPr>
              <w:pStyle w:val="TextMain"/>
              <w:spacing w:after="0"/>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1"/>
                <w:szCs w:val="20"/>
              </w:rPr>
            </w:pPr>
            <w:r w:rsidRPr="00C158F1">
              <w:rPr>
                <w:rFonts w:ascii="Calibri" w:hAnsi="Calibri" w:cs="Calibri"/>
                <w:bCs/>
                <w:color w:val="FFFFFF" w:themeColor="background1"/>
                <w:szCs w:val="20"/>
              </w:rPr>
              <w:t>2027</w:t>
            </w:r>
          </w:p>
        </w:tc>
        <w:tc>
          <w:tcPr>
            <w:tcW w:w="810" w:type="dxa"/>
            <w:noWrap/>
            <w:hideMark/>
          </w:tcPr>
          <w:p w14:paraId="7EDBEF60" w14:textId="77777777" w:rsidR="00C158F1" w:rsidRPr="00C158F1" w:rsidRDefault="00C158F1" w:rsidP="003C1A49">
            <w:pPr>
              <w:pStyle w:val="TextMain"/>
              <w:spacing w:after="0"/>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1"/>
                <w:szCs w:val="20"/>
              </w:rPr>
            </w:pPr>
            <w:r w:rsidRPr="00C158F1">
              <w:rPr>
                <w:rFonts w:ascii="Calibri" w:hAnsi="Calibri" w:cs="Calibri"/>
                <w:bCs/>
                <w:color w:val="FFFFFF" w:themeColor="background1"/>
                <w:szCs w:val="20"/>
              </w:rPr>
              <w:t>2028</w:t>
            </w:r>
          </w:p>
        </w:tc>
        <w:tc>
          <w:tcPr>
            <w:tcW w:w="815" w:type="dxa"/>
            <w:noWrap/>
            <w:hideMark/>
          </w:tcPr>
          <w:p w14:paraId="567B3FD1" w14:textId="77777777" w:rsidR="00C158F1" w:rsidRPr="00C158F1" w:rsidRDefault="00C158F1" w:rsidP="003C1A49">
            <w:pPr>
              <w:pStyle w:val="TextMain"/>
              <w:spacing w:after="0"/>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1"/>
                <w:szCs w:val="20"/>
              </w:rPr>
            </w:pPr>
            <w:r w:rsidRPr="00C158F1">
              <w:rPr>
                <w:rFonts w:ascii="Calibri" w:hAnsi="Calibri" w:cs="Calibri"/>
                <w:bCs/>
                <w:color w:val="FFFFFF" w:themeColor="background1"/>
                <w:szCs w:val="20"/>
              </w:rPr>
              <w:t>2029</w:t>
            </w:r>
          </w:p>
        </w:tc>
        <w:tc>
          <w:tcPr>
            <w:tcW w:w="802" w:type="dxa"/>
            <w:noWrap/>
            <w:hideMark/>
          </w:tcPr>
          <w:p w14:paraId="514C1E33" w14:textId="77777777" w:rsidR="00C158F1" w:rsidRPr="00C158F1" w:rsidRDefault="00C158F1" w:rsidP="003C1A49">
            <w:pPr>
              <w:pStyle w:val="TextMain"/>
              <w:spacing w:after="0"/>
              <w:cnfStyle w:val="100000000000" w:firstRow="1" w:lastRow="0" w:firstColumn="0" w:lastColumn="0" w:oddVBand="0" w:evenVBand="0" w:oddHBand="0" w:evenHBand="0" w:firstRowFirstColumn="0" w:firstRowLastColumn="0" w:lastRowFirstColumn="0" w:lastRowLastColumn="0"/>
              <w:rPr>
                <w:rFonts w:ascii="Calibri" w:hAnsi="Calibri" w:cs="Calibri"/>
                <w:bCs/>
                <w:color w:val="FFFFFF" w:themeColor="background1"/>
                <w:szCs w:val="20"/>
              </w:rPr>
            </w:pPr>
            <w:r w:rsidRPr="00C158F1">
              <w:rPr>
                <w:rFonts w:ascii="Calibri" w:hAnsi="Calibri" w:cs="Calibri"/>
                <w:bCs/>
                <w:color w:val="FFFFFF" w:themeColor="background1"/>
                <w:szCs w:val="20"/>
              </w:rPr>
              <w:t>2030</w:t>
            </w:r>
          </w:p>
        </w:tc>
      </w:tr>
      <w:tr w:rsidR="005B7F49" w:rsidRPr="00C158F1" w14:paraId="77F55D46" w14:textId="77777777">
        <w:trPr>
          <w:trHeight w:val="319"/>
        </w:trPr>
        <w:tc>
          <w:tcPr>
            <w:cnfStyle w:val="001000000000" w:firstRow="0" w:lastRow="0" w:firstColumn="1" w:lastColumn="0" w:oddVBand="0" w:evenVBand="0" w:oddHBand="0" w:evenHBand="0" w:firstRowFirstColumn="0" w:firstRowLastColumn="0" w:lastRowFirstColumn="0" w:lastRowLastColumn="0"/>
            <w:tcW w:w="524" w:type="dxa"/>
            <w:vMerge w:val="restart"/>
            <w:tcMar>
              <w:left w:w="0" w:type="dxa"/>
              <w:right w:w="0" w:type="dxa"/>
            </w:tcMar>
            <w:textDirection w:val="btLr"/>
          </w:tcPr>
          <w:p w14:paraId="66580E3D" w14:textId="77777777" w:rsidR="005B7F49" w:rsidRPr="00C158F1" w:rsidRDefault="005B7F49" w:rsidP="005B7F49">
            <w:pPr>
              <w:pStyle w:val="TextMain"/>
              <w:spacing w:after="0"/>
              <w:rPr>
                <w:rFonts w:ascii="Calibri" w:hAnsi="Calibri" w:cs="Calibri"/>
                <w:b w:val="0"/>
                <w:bCs/>
                <w:color w:val="auto"/>
                <w:szCs w:val="20"/>
              </w:rPr>
            </w:pPr>
            <w:r w:rsidRPr="00C158F1">
              <w:rPr>
                <w:rFonts w:ascii="Calibri" w:hAnsi="Calibri" w:cs="Calibri"/>
                <w:b w:val="0"/>
                <w:bCs/>
                <w:color w:val="auto"/>
                <w:szCs w:val="20"/>
              </w:rPr>
              <w:t>Net 1</w:t>
            </w:r>
            <w:r w:rsidRPr="00C158F1">
              <w:rPr>
                <w:rFonts w:ascii="Calibri" w:hAnsi="Calibri" w:cs="Calibri"/>
                <w:b w:val="0"/>
                <w:bCs/>
                <w:color w:val="auto"/>
                <w:szCs w:val="20"/>
                <w:vertAlign w:val="superscript"/>
              </w:rPr>
              <w:t>st</w:t>
            </w:r>
            <w:r w:rsidRPr="00C158F1">
              <w:rPr>
                <w:rFonts w:ascii="Calibri" w:hAnsi="Calibri" w:cs="Calibri"/>
                <w:b w:val="0"/>
                <w:bCs/>
                <w:color w:val="auto"/>
                <w:szCs w:val="20"/>
              </w:rPr>
              <w:t xml:space="preserve"> </w:t>
            </w:r>
            <w:proofErr w:type="spellStart"/>
            <w:r w:rsidRPr="00C158F1">
              <w:rPr>
                <w:rFonts w:ascii="Calibri" w:hAnsi="Calibri" w:cs="Calibri"/>
                <w:b w:val="0"/>
                <w:bCs/>
                <w:color w:val="auto"/>
                <w:szCs w:val="20"/>
              </w:rPr>
              <w:t>Yr</w:t>
            </w:r>
            <w:proofErr w:type="spellEnd"/>
            <w:r w:rsidRPr="00C158F1">
              <w:rPr>
                <w:rFonts w:ascii="Calibri" w:hAnsi="Calibri" w:cs="Calibri"/>
                <w:b w:val="0"/>
                <w:bCs/>
                <w:color w:val="auto"/>
                <w:szCs w:val="20"/>
              </w:rPr>
              <w:t xml:space="preserve"> MWh</w:t>
            </w:r>
          </w:p>
        </w:tc>
        <w:tc>
          <w:tcPr>
            <w:tcW w:w="1591" w:type="dxa"/>
            <w:vAlign w:val="center"/>
          </w:tcPr>
          <w:p w14:paraId="5B272F46" w14:textId="77777777" w:rsidR="005B7F49" w:rsidRPr="00C158F1" w:rsidRDefault="005B7F49" w:rsidP="005B7F49">
            <w:pPr>
              <w:pStyle w:val="TextMain"/>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C158F1">
              <w:rPr>
                <w:rFonts w:ascii="Calibri" w:hAnsi="Calibri" w:cs="Calibri"/>
                <w:color w:val="auto"/>
                <w:szCs w:val="20"/>
              </w:rPr>
              <w:t>Max Potential</w:t>
            </w:r>
          </w:p>
        </w:tc>
        <w:tc>
          <w:tcPr>
            <w:tcW w:w="762" w:type="dxa"/>
            <w:noWrap/>
            <w:vAlign w:val="bottom"/>
          </w:tcPr>
          <w:p w14:paraId="094D669A" w14:textId="028BD1D9"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3,166</w:t>
            </w:r>
          </w:p>
        </w:tc>
        <w:tc>
          <w:tcPr>
            <w:tcW w:w="810" w:type="dxa"/>
            <w:noWrap/>
            <w:vAlign w:val="bottom"/>
          </w:tcPr>
          <w:p w14:paraId="7965D112" w14:textId="48FE1918"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4,139</w:t>
            </w:r>
          </w:p>
        </w:tc>
        <w:tc>
          <w:tcPr>
            <w:tcW w:w="810" w:type="dxa"/>
            <w:noWrap/>
            <w:vAlign w:val="bottom"/>
          </w:tcPr>
          <w:p w14:paraId="5212A968" w14:textId="57158E74"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5,050</w:t>
            </w:r>
          </w:p>
        </w:tc>
        <w:tc>
          <w:tcPr>
            <w:tcW w:w="810" w:type="dxa"/>
            <w:noWrap/>
            <w:vAlign w:val="bottom"/>
          </w:tcPr>
          <w:p w14:paraId="30F9DD03" w14:textId="7106D5B9"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5,375</w:t>
            </w:r>
          </w:p>
        </w:tc>
        <w:tc>
          <w:tcPr>
            <w:tcW w:w="810" w:type="dxa"/>
            <w:noWrap/>
            <w:vAlign w:val="bottom"/>
          </w:tcPr>
          <w:p w14:paraId="7CA09AF2" w14:textId="2E421564"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4,959</w:t>
            </w:r>
          </w:p>
        </w:tc>
        <w:tc>
          <w:tcPr>
            <w:tcW w:w="810" w:type="dxa"/>
            <w:noWrap/>
            <w:vAlign w:val="bottom"/>
          </w:tcPr>
          <w:p w14:paraId="38653478" w14:textId="383B687B"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2,933</w:t>
            </w:r>
          </w:p>
        </w:tc>
        <w:tc>
          <w:tcPr>
            <w:tcW w:w="810" w:type="dxa"/>
            <w:noWrap/>
            <w:vAlign w:val="bottom"/>
          </w:tcPr>
          <w:p w14:paraId="1D9AB17E" w14:textId="5A2417A4"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0</w:t>
            </w:r>
          </w:p>
        </w:tc>
        <w:tc>
          <w:tcPr>
            <w:tcW w:w="815" w:type="dxa"/>
            <w:noWrap/>
            <w:vAlign w:val="bottom"/>
          </w:tcPr>
          <w:p w14:paraId="5297F6B4" w14:textId="35ABCA11"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0</w:t>
            </w:r>
          </w:p>
        </w:tc>
        <w:tc>
          <w:tcPr>
            <w:tcW w:w="802" w:type="dxa"/>
            <w:noWrap/>
            <w:vAlign w:val="bottom"/>
          </w:tcPr>
          <w:p w14:paraId="2AE03F9E" w14:textId="1A73BFB3"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0</w:t>
            </w:r>
          </w:p>
        </w:tc>
      </w:tr>
      <w:tr w:rsidR="005B7F49" w:rsidRPr="00C158F1" w14:paraId="5D38549E" w14:textId="77777777">
        <w:trPr>
          <w:trHeight w:val="78"/>
        </w:trPr>
        <w:tc>
          <w:tcPr>
            <w:cnfStyle w:val="001000000000" w:firstRow="0" w:lastRow="0" w:firstColumn="1" w:lastColumn="0" w:oddVBand="0" w:evenVBand="0" w:oddHBand="0" w:evenHBand="0" w:firstRowFirstColumn="0" w:firstRowLastColumn="0" w:lastRowFirstColumn="0" w:lastRowLastColumn="0"/>
            <w:tcW w:w="524" w:type="dxa"/>
            <w:vMerge/>
            <w:tcBorders>
              <w:top w:val="double" w:sz="4" w:space="0" w:color="44546A" w:themeColor="text2"/>
            </w:tcBorders>
          </w:tcPr>
          <w:p w14:paraId="1B082E35" w14:textId="77777777" w:rsidR="005B7F49" w:rsidRPr="00C158F1" w:rsidRDefault="005B7F49" w:rsidP="005B7F49">
            <w:pPr>
              <w:pStyle w:val="TextMain"/>
              <w:spacing w:after="0"/>
              <w:rPr>
                <w:rFonts w:ascii="Calibri" w:hAnsi="Calibri" w:cs="Calibri"/>
                <w:color w:val="auto"/>
                <w:szCs w:val="20"/>
              </w:rPr>
            </w:pPr>
          </w:p>
        </w:tc>
        <w:tc>
          <w:tcPr>
            <w:tcW w:w="1591" w:type="dxa"/>
            <w:tcBorders>
              <w:bottom w:val="single" w:sz="2" w:space="0" w:color="44546A" w:themeColor="text2"/>
            </w:tcBorders>
            <w:vAlign w:val="center"/>
          </w:tcPr>
          <w:p w14:paraId="23E170C3" w14:textId="77777777" w:rsidR="005B7F49" w:rsidRPr="00C158F1" w:rsidRDefault="005B7F49" w:rsidP="005B7F49">
            <w:pPr>
              <w:pStyle w:val="TextMain"/>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C158F1">
              <w:rPr>
                <w:rFonts w:ascii="Calibri" w:hAnsi="Calibri" w:cs="Calibri"/>
                <w:color w:val="auto"/>
                <w:szCs w:val="20"/>
              </w:rPr>
              <w:t>Avg. Potential</w:t>
            </w:r>
          </w:p>
        </w:tc>
        <w:tc>
          <w:tcPr>
            <w:tcW w:w="762" w:type="dxa"/>
            <w:tcBorders>
              <w:bottom w:val="single" w:sz="2" w:space="0" w:color="44546A" w:themeColor="text2"/>
            </w:tcBorders>
            <w:noWrap/>
            <w:vAlign w:val="bottom"/>
          </w:tcPr>
          <w:p w14:paraId="1AAFA396" w14:textId="658E017A"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2,084</w:t>
            </w:r>
          </w:p>
        </w:tc>
        <w:tc>
          <w:tcPr>
            <w:tcW w:w="810" w:type="dxa"/>
            <w:tcBorders>
              <w:bottom w:val="single" w:sz="2" w:space="0" w:color="44546A" w:themeColor="text2"/>
            </w:tcBorders>
            <w:noWrap/>
            <w:vAlign w:val="bottom"/>
          </w:tcPr>
          <w:p w14:paraId="5F23748D" w14:textId="13DBA227"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2,632</w:t>
            </w:r>
          </w:p>
        </w:tc>
        <w:tc>
          <w:tcPr>
            <w:tcW w:w="810" w:type="dxa"/>
            <w:tcBorders>
              <w:bottom w:val="single" w:sz="2" w:space="0" w:color="44546A" w:themeColor="text2"/>
            </w:tcBorders>
            <w:noWrap/>
            <w:vAlign w:val="bottom"/>
          </w:tcPr>
          <w:p w14:paraId="6E3B34DD" w14:textId="6BE87D2B"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3,557</w:t>
            </w:r>
          </w:p>
        </w:tc>
        <w:tc>
          <w:tcPr>
            <w:tcW w:w="810" w:type="dxa"/>
            <w:tcBorders>
              <w:bottom w:val="single" w:sz="2" w:space="0" w:color="44546A" w:themeColor="text2"/>
            </w:tcBorders>
            <w:noWrap/>
            <w:vAlign w:val="bottom"/>
          </w:tcPr>
          <w:p w14:paraId="7067F4D9" w14:textId="5116D401"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3,688</w:t>
            </w:r>
          </w:p>
        </w:tc>
        <w:tc>
          <w:tcPr>
            <w:tcW w:w="810" w:type="dxa"/>
            <w:tcBorders>
              <w:bottom w:val="single" w:sz="2" w:space="0" w:color="44546A" w:themeColor="text2"/>
            </w:tcBorders>
            <w:noWrap/>
            <w:vAlign w:val="bottom"/>
          </w:tcPr>
          <w:p w14:paraId="5F291EB1" w14:textId="73D00E17"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3,357</w:t>
            </w:r>
          </w:p>
        </w:tc>
        <w:tc>
          <w:tcPr>
            <w:tcW w:w="810" w:type="dxa"/>
            <w:tcBorders>
              <w:bottom w:val="single" w:sz="2" w:space="0" w:color="44546A" w:themeColor="text2"/>
            </w:tcBorders>
            <w:noWrap/>
            <w:vAlign w:val="bottom"/>
          </w:tcPr>
          <w:p w14:paraId="478B61DD" w14:textId="0FB97F7F"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2,032</w:t>
            </w:r>
          </w:p>
        </w:tc>
        <w:tc>
          <w:tcPr>
            <w:tcW w:w="810" w:type="dxa"/>
            <w:tcBorders>
              <w:bottom w:val="single" w:sz="2" w:space="0" w:color="44546A" w:themeColor="text2"/>
            </w:tcBorders>
            <w:noWrap/>
            <w:vAlign w:val="bottom"/>
          </w:tcPr>
          <w:p w14:paraId="493634E6" w14:textId="5A5CD76B"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0</w:t>
            </w:r>
          </w:p>
        </w:tc>
        <w:tc>
          <w:tcPr>
            <w:tcW w:w="815" w:type="dxa"/>
            <w:tcBorders>
              <w:bottom w:val="single" w:sz="2" w:space="0" w:color="44546A" w:themeColor="text2"/>
            </w:tcBorders>
            <w:noWrap/>
            <w:vAlign w:val="bottom"/>
          </w:tcPr>
          <w:p w14:paraId="3F983EAF" w14:textId="36C10B20"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0</w:t>
            </w:r>
          </w:p>
        </w:tc>
        <w:tc>
          <w:tcPr>
            <w:tcW w:w="802" w:type="dxa"/>
            <w:tcBorders>
              <w:bottom w:val="single" w:sz="2" w:space="0" w:color="44546A" w:themeColor="text2"/>
            </w:tcBorders>
            <w:noWrap/>
            <w:vAlign w:val="bottom"/>
          </w:tcPr>
          <w:p w14:paraId="4EA9A554" w14:textId="26D489A4"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0</w:t>
            </w:r>
          </w:p>
        </w:tc>
      </w:tr>
      <w:tr w:rsidR="005B7F49" w:rsidRPr="00C158F1" w14:paraId="235B2AFF" w14:textId="77777777">
        <w:trPr>
          <w:trHeight w:val="87"/>
        </w:trPr>
        <w:tc>
          <w:tcPr>
            <w:cnfStyle w:val="001000000000" w:firstRow="0" w:lastRow="0" w:firstColumn="1" w:lastColumn="0" w:oddVBand="0" w:evenVBand="0" w:oddHBand="0" w:evenHBand="0" w:firstRowFirstColumn="0" w:firstRowLastColumn="0" w:lastRowFirstColumn="0" w:lastRowLastColumn="0"/>
            <w:tcW w:w="524" w:type="dxa"/>
            <w:vMerge/>
            <w:tcBorders>
              <w:top w:val="double" w:sz="4" w:space="0" w:color="44546A" w:themeColor="text2"/>
            </w:tcBorders>
          </w:tcPr>
          <w:p w14:paraId="551307B7" w14:textId="77777777" w:rsidR="005B7F49" w:rsidRPr="00C158F1" w:rsidRDefault="005B7F49" w:rsidP="005B7F49">
            <w:pPr>
              <w:pStyle w:val="TextMain"/>
              <w:spacing w:after="0"/>
              <w:rPr>
                <w:rFonts w:ascii="Calibri" w:hAnsi="Calibri" w:cs="Calibri"/>
                <w:color w:val="auto"/>
                <w:szCs w:val="20"/>
              </w:rPr>
            </w:pPr>
          </w:p>
        </w:tc>
        <w:tc>
          <w:tcPr>
            <w:tcW w:w="1591" w:type="dxa"/>
            <w:tcBorders>
              <w:bottom w:val="double" w:sz="4" w:space="0" w:color="44546A" w:themeColor="text2"/>
            </w:tcBorders>
            <w:vAlign w:val="center"/>
          </w:tcPr>
          <w:p w14:paraId="561BDAE9" w14:textId="77777777" w:rsidR="005B7F49" w:rsidRPr="00C158F1" w:rsidRDefault="005B7F49" w:rsidP="005B7F49">
            <w:pPr>
              <w:pStyle w:val="TextMain"/>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C158F1">
              <w:rPr>
                <w:rFonts w:ascii="Calibri" w:hAnsi="Calibri" w:cs="Calibri"/>
                <w:color w:val="auto"/>
                <w:szCs w:val="20"/>
              </w:rPr>
              <w:t>Low Potential</w:t>
            </w:r>
          </w:p>
        </w:tc>
        <w:tc>
          <w:tcPr>
            <w:tcW w:w="762" w:type="dxa"/>
            <w:tcBorders>
              <w:bottom w:val="double" w:sz="4" w:space="0" w:color="44546A" w:themeColor="text2"/>
            </w:tcBorders>
            <w:noWrap/>
            <w:vAlign w:val="bottom"/>
          </w:tcPr>
          <w:p w14:paraId="05A9F7E9" w14:textId="42B12933"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1,543</w:t>
            </w:r>
          </w:p>
        </w:tc>
        <w:tc>
          <w:tcPr>
            <w:tcW w:w="810" w:type="dxa"/>
            <w:tcBorders>
              <w:bottom w:val="double" w:sz="4" w:space="0" w:color="44546A" w:themeColor="text2"/>
            </w:tcBorders>
            <w:noWrap/>
            <w:vAlign w:val="bottom"/>
          </w:tcPr>
          <w:p w14:paraId="64986242" w14:textId="21867474"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1,878</w:t>
            </w:r>
          </w:p>
        </w:tc>
        <w:tc>
          <w:tcPr>
            <w:tcW w:w="810" w:type="dxa"/>
            <w:tcBorders>
              <w:bottom w:val="double" w:sz="4" w:space="0" w:color="44546A" w:themeColor="text2"/>
            </w:tcBorders>
            <w:noWrap/>
            <w:vAlign w:val="bottom"/>
          </w:tcPr>
          <w:p w14:paraId="44FE7C28" w14:textId="3E2E4156"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2,811</w:t>
            </w:r>
          </w:p>
        </w:tc>
        <w:tc>
          <w:tcPr>
            <w:tcW w:w="810" w:type="dxa"/>
            <w:tcBorders>
              <w:bottom w:val="double" w:sz="4" w:space="0" w:color="44546A" w:themeColor="text2"/>
            </w:tcBorders>
            <w:noWrap/>
            <w:vAlign w:val="bottom"/>
          </w:tcPr>
          <w:p w14:paraId="71EDDFDF" w14:textId="0F8D46C1"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2,844</w:t>
            </w:r>
          </w:p>
        </w:tc>
        <w:tc>
          <w:tcPr>
            <w:tcW w:w="810" w:type="dxa"/>
            <w:tcBorders>
              <w:bottom w:val="double" w:sz="4" w:space="0" w:color="44546A" w:themeColor="text2"/>
            </w:tcBorders>
            <w:noWrap/>
            <w:vAlign w:val="bottom"/>
          </w:tcPr>
          <w:p w14:paraId="4DB269F1" w14:textId="39E00AAB"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2,555</w:t>
            </w:r>
          </w:p>
        </w:tc>
        <w:tc>
          <w:tcPr>
            <w:tcW w:w="810" w:type="dxa"/>
            <w:tcBorders>
              <w:bottom w:val="double" w:sz="4" w:space="0" w:color="44546A" w:themeColor="text2"/>
            </w:tcBorders>
            <w:noWrap/>
            <w:vAlign w:val="bottom"/>
          </w:tcPr>
          <w:p w14:paraId="50972D2C" w14:textId="63061092"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1,581</w:t>
            </w:r>
          </w:p>
        </w:tc>
        <w:tc>
          <w:tcPr>
            <w:tcW w:w="810" w:type="dxa"/>
            <w:tcBorders>
              <w:bottom w:val="double" w:sz="4" w:space="0" w:color="44546A" w:themeColor="text2"/>
            </w:tcBorders>
            <w:noWrap/>
            <w:vAlign w:val="bottom"/>
          </w:tcPr>
          <w:p w14:paraId="52ACDD08" w14:textId="7AB691B1"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0</w:t>
            </w:r>
          </w:p>
        </w:tc>
        <w:tc>
          <w:tcPr>
            <w:tcW w:w="815" w:type="dxa"/>
            <w:tcBorders>
              <w:bottom w:val="double" w:sz="4" w:space="0" w:color="44546A" w:themeColor="text2"/>
            </w:tcBorders>
            <w:noWrap/>
            <w:vAlign w:val="bottom"/>
          </w:tcPr>
          <w:p w14:paraId="4CA852E6" w14:textId="49003FA4"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0</w:t>
            </w:r>
          </w:p>
        </w:tc>
        <w:tc>
          <w:tcPr>
            <w:tcW w:w="802" w:type="dxa"/>
            <w:tcBorders>
              <w:bottom w:val="double" w:sz="4" w:space="0" w:color="44546A" w:themeColor="text2"/>
            </w:tcBorders>
            <w:noWrap/>
            <w:vAlign w:val="bottom"/>
          </w:tcPr>
          <w:p w14:paraId="708116F8" w14:textId="299658A9" w:rsidR="005B7F49" w:rsidRPr="00C158F1" w:rsidRDefault="005B7F49" w:rsidP="005B7F49">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5B7F49">
              <w:rPr>
                <w:rFonts w:ascii="Calibri" w:hAnsi="Calibri" w:cs="Calibri"/>
                <w:color w:val="000000"/>
                <w:szCs w:val="20"/>
              </w:rPr>
              <w:t>0</w:t>
            </w:r>
          </w:p>
        </w:tc>
      </w:tr>
      <w:tr w:rsidR="0007760C" w:rsidRPr="00C158F1" w14:paraId="0435E70E" w14:textId="77777777">
        <w:trPr>
          <w:trHeight w:val="300"/>
        </w:trPr>
        <w:tc>
          <w:tcPr>
            <w:cnfStyle w:val="001000000000" w:firstRow="0" w:lastRow="0" w:firstColumn="1" w:lastColumn="0" w:oddVBand="0" w:evenVBand="0" w:oddHBand="0" w:evenHBand="0" w:firstRowFirstColumn="0" w:firstRowLastColumn="0" w:lastRowFirstColumn="0" w:lastRowLastColumn="0"/>
            <w:tcW w:w="524" w:type="dxa"/>
            <w:vMerge w:val="restart"/>
            <w:tcBorders>
              <w:top w:val="double" w:sz="4" w:space="0" w:color="44546A" w:themeColor="text2"/>
            </w:tcBorders>
            <w:tcMar>
              <w:left w:w="0" w:type="dxa"/>
              <w:right w:w="0" w:type="dxa"/>
            </w:tcMar>
            <w:textDirection w:val="btLr"/>
          </w:tcPr>
          <w:p w14:paraId="7B8D38B2" w14:textId="1CD1B980" w:rsidR="0007760C" w:rsidRPr="00C158F1" w:rsidRDefault="0007760C" w:rsidP="0007760C">
            <w:pPr>
              <w:pStyle w:val="TextMain"/>
              <w:spacing w:after="0"/>
              <w:rPr>
                <w:rFonts w:ascii="Calibri" w:hAnsi="Calibri" w:cs="Calibri"/>
                <w:b w:val="0"/>
                <w:bCs/>
                <w:color w:val="auto"/>
                <w:szCs w:val="20"/>
              </w:rPr>
            </w:pPr>
            <w:r w:rsidRPr="00C158F1">
              <w:rPr>
                <w:rFonts w:ascii="Calibri" w:hAnsi="Calibri" w:cs="Calibri"/>
                <w:b w:val="0"/>
                <w:bCs/>
                <w:color w:val="auto"/>
                <w:szCs w:val="20"/>
              </w:rPr>
              <w:t>CPAS MWh</w:t>
            </w:r>
          </w:p>
        </w:tc>
        <w:tc>
          <w:tcPr>
            <w:tcW w:w="1591" w:type="dxa"/>
            <w:tcBorders>
              <w:top w:val="double" w:sz="4" w:space="0" w:color="44546A" w:themeColor="text2"/>
            </w:tcBorders>
            <w:vAlign w:val="center"/>
          </w:tcPr>
          <w:p w14:paraId="73C5107A" w14:textId="77777777" w:rsidR="0007760C" w:rsidRPr="00C158F1" w:rsidRDefault="0007760C" w:rsidP="0007760C">
            <w:pPr>
              <w:pStyle w:val="TextMain"/>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C158F1">
              <w:rPr>
                <w:rFonts w:ascii="Calibri" w:hAnsi="Calibri" w:cs="Calibri"/>
                <w:color w:val="auto"/>
                <w:szCs w:val="20"/>
              </w:rPr>
              <w:t>Max Potential</w:t>
            </w:r>
          </w:p>
        </w:tc>
        <w:tc>
          <w:tcPr>
            <w:tcW w:w="762" w:type="dxa"/>
            <w:tcBorders>
              <w:top w:val="double" w:sz="4" w:space="0" w:color="44546A" w:themeColor="text2"/>
            </w:tcBorders>
            <w:noWrap/>
            <w:vAlign w:val="bottom"/>
          </w:tcPr>
          <w:p w14:paraId="6A16166C" w14:textId="6BDB8BF1"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3,166</w:t>
            </w:r>
          </w:p>
        </w:tc>
        <w:tc>
          <w:tcPr>
            <w:tcW w:w="810" w:type="dxa"/>
            <w:tcBorders>
              <w:top w:val="double" w:sz="4" w:space="0" w:color="44546A" w:themeColor="text2"/>
            </w:tcBorders>
            <w:noWrap/>
            <w:vAlign w:val="bottom"/>
          </w:tcPr>
          <w:p w14:paraId="6C67220C" w14:textId="60948FCA"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7,305</w:t>
            </w:r>
          </w:p>
        </w:tc>
        <w:tc>
          <w:tcPr>
            <w:tcW w:w="810" w:type="dxa"/>
            <w:tcBorders>
              <w:top w:val="double" w:sz="4" w:space="0" w:color="44546A" w:themeColor="text2"/>
            </w:tcBorders>
            <w:noWrap/>
            <w:vAlign w:val="bottom"/>
          </w:tcPr>
          <w:p w14:paraId="4B920704" w14:textId="3E5D204F"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12,355</w:t>
            </w:r>
          </w:p>
        </w:tc>
        <w:tc>
          <w:tcPr>
            <w:tcW w:w="810" w:type="dxa"/>
            <w:tcBorders>
              <w:top w:val="double" w:sz="4" w:space="0" w:color="44546A" w:themeColor="text2"/>
            </w:tcBorders>
            <w:noWrap/>
            <w:vAlign w:val="bottom"/>
          </w:tcPr>
          <w:p w14:paraId="3C240A95" w14:textId="15AD4E12"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17,731</w:t>
            </w:r>
          </w:p>
        </w:tc>
        <w:tc>
          <w:tcPr>
            <w:tcW w:w="810" w:type="dxa"/>
            <w:tcBorders>
              <w:top w:val="double" w:sz="4" w:space="0" w:color="44546A" w:themeColor="text2"/>
            </w:tcBorders>
            <w:noWrap/>
            <w:vAlign w:val="bottom"/>
          </w:tcPr>
          <w:p w14:paraId="4DB6BFB5" w14:textId="3498B413"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22,690</w:t>
            </w:r>
          </w:p>
        </w:tc>
        <w:tc>
          <w:tcPr>
            <w:tcW w:w="810" w:type="dxa"/>
            <w:tcBorders>
              <w:top w:val="double" w:sz="4" w:space="0" w:color="44546A" w:themeColor="text2"/>
            </w:tcBorders>
            <w:noWrap/>
            <w:vAlign w:val="bottom"/>
          </w:tcPr>
          <w:p w14:paraId="76E56AD4" w14:textId="614104D5"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25,623</w:t>
            </w:r>
          </w:p>
        </w:tc>
        <w:tc>
          <w:tcPr>
            <w:tcW w:w="810" w:type="dxa"/>
            <w:tcBorders>
              <w:top w:val="double" w:sz="4" w:space="0" w:color="44546A" w:themeColor="text2"/>
            </w:tcBorders>
            <w:noWrap/>
            <w:vAlign w:val="bottom"/>
          </w:tcPr>
          <w:p w14:paraId="5A402C51" w14:textId="1663479B"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25,623</w:t>
            </w:r>
          </w:p>
        </w:tc>
        <w:tc>
          <w:tcPr>
            <w:tcW w:w="815" w:type="dxa"/>
            <w:tcBorders>
              <w:top w:val="double" w:sz="4" w:space="0" w:color="44546A" w:themeColor="text2"/>
            </w:tcBorders>
            <w:noWrap/>
            <w:vAlign w:val="bottom"/>
          </w:tcPr>
          <w:p w14:paraId="6AF10F71" w14:textId="79BED22F"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25,623</w:t>
            </w:r>
          </w:p>
        </w:tc>
        <w:tc>
          <w:tcPr>
            <w:tcW w:w="802" w:type="dxa"/>
            <w:tcBorders>
              <w:top w:val="double" w:sz="4" w:space="0" w:color="44546A" w:themeColor="text2"/>
            </w:tcBorders>
            <w:noWrap/>
            <w:vAlign w:val="bottom"/>
          </w:tcPr>
          <w:p w14:paraId="3CEA5118" w14:textId="28923CDA"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25,623</w:t>
            </w:r>
          </w:p>
        </w:tc>
      </w:tr>
      <w:tr w:rsidR="0007760C" w:rsidRPr="00C158F1" w14:paraId="3BA35A8A" w14:textId="77777777">
        <w:trPr>
          <w:trHeight w:val="300"/>
        </w:trPr>
        <w:tc>
          <w:tcPr>
            <w:cnfStyle w:val="001000000000" w:firstRow="0" w:lastRow="0" w:firstColumn="1" w:lastColumn="0" w:oddVBand="0" w:evenVBand="0" w:oddHBand="0" w:evenHBand="0" w:firstRowFirstColumn="0" w:firstRowLastColumn="0" w:lastRowFirstColumn="0" w:lastRowLastColumn="0"/>
            <w:tcW w:w="524" w:type="dxa"/>
            <w:vMerge/>
            <w:tcBorders>
              <w:top w:val="double" w:sz="4" w:space="0" w:color="44546A" w:themeColor="text2"/>
            </w:tcBorders>
          </w:tcPr>
          <w:p w14:paraId="22EDB5B1" w14:textId="77777777" w:rsidR="0007760C" w:rsidRPr="00C158F1" w:rsidRDefault="0007760C" w:rsidP="0007760C">
            <w:pPr>
              <w:pStyle w:val="TextMain"/>
              <w:spacing w:after="0"/>
              <w:rPr>
                <w:rFonts w:ascii="Calibri" w:hAnsi="Calibri" w:cs="Calibri"/>
                <w:color w:val="auto"/>
                <w:szCs w:val="20"/>
              </w:rPr>
            </w:pPr>
          </w:p>
        </w:tc>
        <w:tc>
          <w:tcPr>
            <w:tcW w:w="1591" w:type="dxa"/>
            <w:vAlign w:val="center"/>
          </w:tcPr>
          <w:p w14:paraId="14600438" w14:textId="77777777" w:rsidR="0007760C" w:rsidRPr="00C158F1" w:rsidRDefault="0007760C" w:rsidP="0007760C">
            <w:pPr>
              <w:pStyle w:val="TextMain"/>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C158F1">
              <w:rPr>
                <w:rFonts w:ascii="Calibri" w:hAnsi="Calibri" w:cs="Calibri"/>
                <w:color w:val="auto"/>
                <w:szCs w:val="20"/>
              </w:rPr>
              <w:t>Avg. Potential</w:t>
            </w:r>
          </w:p>
        </w:tc>
        <w:tc>
          <w:tcPr>
            <w:tcW w:w="762" w:type="dxa"/>
            <w:noWrap/>
            <w:vAlign w:val="bottom"/>
          </w:tcPr>
          <w:p w14:paraId="428EA5AB" w14:textId="0D3540B4"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2,084</w:t>
            </w:r>
          </w:p>
        </w:tc>
        <w:tc>
          <w:tcPr>
            <w:tcW w:w="810" w:type="dxa"/>
            <w:noWrap/>
            <w:vAlign w:val="bottom"/>
          </w:tcPr>
          <w:p w14:paraId="75767C57" w14:textId="4EFFF422"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4,716</w:t>
            </w:r>
          </w:p>
        </w:tc>
        <w:tc>
          <w:tcPr>
            <w:tcW w:w="810" w:type="dxa"/>
            <w:noWrap/>
            <w:vAlign w:val="bottom"/>
          </w:tcPr>
          <w:p w14:paraId="5D8D1309" w14:textId="4C45A5C6"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8,273</w:t>
            </w:r>
          </w:p>
        </w:tc>
        <w:tc>
          <w:tcPr>
            <w:tcW w:w="810" w:type="dxa"/>
            <w:noWrap/>
            <w:vAlign w:val="bottom"/>
          </w:tcPr>
          <w:p w14:paraId="08201CCF" w14:textId="26F58C93"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11,961</w:t>
            </w:r>
          </w:p>
        </w:tc>
        <w:tc>
          <w:tcPr>
            <w:tcW w:w="810" w:type="dxa"/>
            <w:noWrap/>
            <w:vAlign w:val="bottom"/>
          </w:tcPr>
          <w:p w14:paraId="52FDF130" w14:textId="351EAF9B"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15,318</w:t>
            </w:r>
          </w:p>
        </w:tc>
        <w:tc>
          <w:tcPr>
            <w:tcW w:w="810" w:type="dxa"/>
            <w:noWrap/>
            <w:vAlign w:val="bottom"/>
          </w:tcPr>
          <w:p w14:paraId="731A9CEB" w14:textId="75439CBB"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17,349</w:t>
            </w:r>
          </w:p>
        </w:tc>
        <w:tc>
          <w:tcPr>
            <w:tcW w:w="810" w:type="dxa"/>
            <w:noWrap/>
            <w:vAlign w:val="bottom"/>
          </w:tcPr>
          <w:p w14:paraId="5F02E572" w14:textId="3DE0A074"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17,349</w:t>
            </w:r>
          </w:p>
        </w:tc>
        <w:tc>
          <w:tcPr>
            <w:tcW w:w="815" w:type="dxa"/>
            <w:noWrap/>
            <w:vAlign w:val="bottom"/>
          </w:tcPr>
          <w:p w14:paraId="0D292CD8" w14:textId="6D7858FB"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17,349</w:t>
            </w:r>
          </w:p>
        </w:tc>
        <w:tc>
          <w:tcPr>
            <w:tcW w:w="802" w:type="dxa"/>
            <w:noWrap/>
            <w:vAlign w:val="bottom"/>
          </w:tcPr>
          <w:p w14:paraId="7FAA198E" w14:textId="3CFA8307"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17,349</w:t>
            </w:r>
          </w:p>
        </w:tc>
      </w:tr>
      <w:tr w:rsidR="0007760C" w:rsidRPr="00C158F1" w14:paraId="43FB4E6F" w14:textId="77777777">
        <w:trPr>
          <w:trHeight w:val="315"/>
        </w:trPr>
        <w:tc>
          <w:tcPr>
            <w:cnfStyle w:val="001000000000" w:firstRow="0" w:lastRow="0" w:firstColumn="1" w:lastColumn="0" w:oddVBand="0" w:evenVBand="0" w:oddHBand="0" w:evenHBand="0" w:firstRowFirstColumn="0" w:firstRowLastColumn="0" w:lastRowFirstColumn="0" w:lastRowLastColumn="0"/>
            <w:tcW w:w="524" w:type="dxa"/>
            <w:vMerge/>
            <w:tcBorders>
              <w:top w:val="double" w:sz="4" w:space="0" w:color="44546A" w:themeColor="text2"/>
            </w:tcBorders>
          </w:tcPr>
          <w:p w14:paraId="04D54703" w14:textId="77777777" w:rsidR="0007760C" w:rsidRPr="00C158F1" w:rsidRDefault="0007760C" w:rsidP="0007760C">
            <w:pPr>
              <w:pStyle w:val="TextMain"/>
              <w:spacing w:after="0"/>
              <w:rPr>
                <w:rFonts w:ascii="Calibri" w:hAnsi="Calibri" w:cs="Calibri"/>
                <w:color w:val="auto"/>
                <w:szCs w:val="20"/>
              </w:rPr>
            </w:pPr>
          </w:p>
        </w:tc>
        <w:tc>
          <w:tcPr>
            <w:tcW w:w="1591" w:type="dxa"/>
            <w:vAlign w:val="center"/>
          </w:tcPr>
          <w:p w14:paraId="051200A1" w14:textId="77777777" w:rsidR="0007760C" w:rsidRPr="00C158F1" w:rsidRDefault="0007760C" w:rsidP="0007760C">
            <w:pPr>
              <w:pStyle w:val="TextMain"/>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C158F1">
              <w:rPr>
                <w:rFonts w:ascii="Calibri" w:hAnsi="Calibri" w:cs="Calibri"/>
                <w:color w:val="auto"/>
                <w:szCs w:val="20"/>
              </w:rPr>
              <w:t>Low Potential</w:t>
            </w:r>
          </w:p>
        </w:tc>
        <w:tc>
          <w:tcPr>
            <w:tcW w:w="762" w:type="dxa"/>
            <w:noWrap/>
            <w:vAlign w:val="bottom"/>
          </w:tcPr>
          <w:p w14:paraId="1EAEDF5B" w14:textId="71818878"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1,543</w:t>
            </w:r>
          </w:p>
        </w:tc>
        <w:tc>
          <w:tcPr>
            <w:tcW w:w="810" w:type="dxa"/>
            <w:noWrap/>
            <w:vAlign w:val="bottom"/>
          </w:tcPr>
          <w:p w14:paraId="35BB68BF" w14:textId="115D5723"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3,422</w:t>
            </w:r>
          </w:p>
        </w:tc>
        <w:tc>
          <w:tcPr>
            <w:tcW w:w="810" w:type="dxa"/>
            <w:noWrap/>
            <w:vAlign w:val="bottom"/>
          </w:tcPr>
          <w:p w14:paraId="71AE342F" w14:textId="44E490CA"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6,232</w:t>
            </w:r>
          </w:p>
        </w:tc>
        <w:tc>
          <w:tcPr>
            <w:tcW w:w="810" w:type="dxa"/>
            <w:noWrap/>
            <w:vAlign w:val="bottom"/>
          </w:tcPr>
          <w:p w14:paraId="4314F63F" w14:textId="0F935C45"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9,076</w:t>
            </w:r>
          </w:p>
        </w:tc>
        <w:tc>
          <w:tcPr>
            <w:tcW w:w="810" w:type="dxa"/>
            <w:noWrap/>
            <w:vAlign w:val="bottom"/>
          </w:tcPr>
          <w:p w14:paraId="16379C71" w14:textId="2347701A"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11,631</w:t>
            </w:r>
          </w:p>
        </w:tc>
        <w:tc>
          <w:tcPr>
            <w:tcW w:w="810" w:type="dxa"/>
            <w:noWrap/>
            <w:vAlign w:val="bottom"/>
          </w:tcPr>
          <w:p w14:paraId="6E794E73" w14:textId="06A44F4B"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13,213</w:t>
            </w:r>
          </w:p>
        </w:tc>
        <w:tc>
          <w:tcPr>
            <w:tcW w:w="810" w:type="dxa"/>
            <w:noWrap/>
            <w:vAlign w:val="bottom"/>
          </w:tcPr>
          <w:p w14:paraId="3EC382D8" w14:textId="6882AC69"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13,213</w:t>
            </w:r>
          </w:p>
        </w:tc>
        <w:tc>
          <w:tcPr>
            <w:tcW w:w="815" w:type="dxa"/>
            <w:noWrap/>
            <w:vAlign w:val="bottom"/>
          </w:tcPr>
          <w:p w14:paraId="6D7F760D" w14:textId="781D32E0"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13,213</w:t>
            </w:r>
          </w:p>
        </w:tc>
        <w:tc>
          <w:tcPr>
            <w:tcW w:w="802" w:type="dxa"/>
            <w:noWrap/>
            <w:vAlign w:val="bottom"/>
          </w:tcPr>
          <w:p w14:paraId="4DE0CBE7" w14:textId="1335A973" w:rsidR="0007760C" w:rsidRPr="00C158F1" w:rsidRDefault="0007760C" w:rsidP="0007760C">
            <w:pPr>
              <w:pStyle w:val="TextMain"/>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Cs w:val="20"/>
              </w:rPr>
            </w:pPr>
            <w:r w:rsidRPr="0007760C">
              <w:rPr>
                <w:rFonts w:ascii="Calibri" w:hAnsi="Calibri" w:cs="Calibri"/>
                <w:color w:val="000000"/>
                <w:szCs w:val="20"/>
              </w:rPr>
              <w:t>13,213</w:t>
            </w:r>
          </w:p>
        </w:tc>
      </w:tr>
    </w:tbl>
    <w:p w14:paraId="6A02F36F" w14:textId="3A546D01" w:rsidR="00950E83" w:rsidRDefault="002F6F8F" w:rsidP="003E06B0">
      <w:pPr>
        <w:pStyle w:val="Heading1"/>
      </w:pPr>
      <w:r>
        <w:t>Areas for Future Research</w:t>
      </w:r>
    </w:p>
    <w:p w14:paraId="4001CD81" w14:textId="77777777" w:rsidR="00EE5344" w:rsidRDefault="00EE5344" w:rsidP="00EE5344">
      <w:pPr>
        <w:pStyle w:val="TextMain"/>
      </w:pPr>
      <w:r>
        <w:t>The appliance market characterization and projection described in this Energy Savings Framework (ESF) document provides a best-efforts estimate of current (2022 Program Year) RPP savings for ComEd. Market Transformation Program savings projections will always include some uncertainty, but additional research can improve the confidence of the Illinois EE community that the savings are based on a deeper understanding of market fundamentals that are consistent with the experience and viewpoints of business and technical experts in the specific RPP energy efficient appliance industries.</w:t>
      </w:r>
    </w:p>
    <w:p w14:paraId="2035A4B5" w14:textId="77777777" w:rsidR="00EE5344" w:rsidRDefault="00EE5344" w:rsidP="00EE5344">
      <w:pPr>
        <w:pStyle w:val="TextMain"/>
      </w:pPr>
      <w:r>
        <w:lastRenderedPageBreak/>
        <w:t>In addition to the ESF, additional research can improve the understanding of how the RPP Program is influencing decisions in the market (and ultimately resulting in increased EE product market share). This research can result in 1) increased confidence that the program is having the intended impact relative to the Preponderance of Evidence standard, and 2) insights into effective program design improvements that can increase market impact.</w:t>
      </w:r>
    </w:p>
    <w:p w14:paraId="44FC7B3C" w14:textId="77777777" w:rsidR="00EE5344" w:rsidRDefault="00EE5344" w:rsidP="00EE5344">
      <w:pPr>
        <w:pStyle w:val="TextMain"/>
      </w:pPr>
      <w:r>
        <w:t>In 2023, additional research will be conducted through the following efforts:</w:t>
      </w:r>
    </w:p>
    <w:p w14:paraId="07AD9A02" w14:textId="77777777" w:rsidR="00EE5344" w:rsidRDefault="00EE5344" w:rsidP="00EE5344">
      <w:pPr>
        <w:pStyle w:val="TextMain"/>
        <w:numPr>
          <w:ilvl w:val="0"/>
          <w:numId w:val="80"/>
        </w:numPr>
      </w:pPr>
      <w:proofErr w:type="spellStart"/>
      <w:r>
        <w:t>Guidehouse</w:t>
      </w:r>
      <w:proofErr w:type="spellEnd"/>
      <w:r>
        <w:t xml:space="preserve">, in conjunction with ComEd and Illinois stakeholders, will recruit an Expert Judgement Panel (EJP). This panel will be interviewed for their perspectives on a variety of issues that are relevant to the RPP Program Design (Logic Model) and Energy Savings Framework. </w:t>
      </w:r>
    </w:p>
    <w:p w14:paraId="29F9FDE5" w14:textId="77777777" w:rsidR="00EE5344" w:rsidRDefault="00EE5344" w:rsidP="00EE5344">
      <w:pPr>
        <w:pStyle w:val="TextMain"/>
        <w:numPr>
          <w:ilvl w:val="0"/>
          <w:numId w:val="80"/>
        </w:numPr>
      </w:pPr>
      <w:r>
        <w:t>RPP Program participating retailer surveys are conducted by NEEA annually to gauge program influence and identify potential program improvements.</w:t>
      </w:r>
    </w:p>
    <w:p w14:paraId="768DF262" w14:textId="77777777" w:rsidR="00EE5344" w:rsidRDefault="00EE5344" w:rsidP="00EE5344">
      <w:pPr>
        <w:pStyle w:val="TextMain"/>
        <w:numPr>
          <w:ilvl w:val="0"/>
          <w:numId w:val="80"/>
        </w:numPr>
      </w:pPr>
      <w:proofErr w:type="spellStart"/>
      <w:r>
        <w:t>Guidehouse</w:t>
      </w:r>
      <w:proofErr w:type="spellEnd"/>
      <w:r>
        <w:t xml:space="preserve"> will conduct evaluation of RPP Program Market Progress Indicators (MPI’s). This research was first conducted in 2022. The goals of the MPI research are to establish that the RPP Program is working in the market as intended and to assess the program impact based on the Preponderance of Evidence standard.</w:t>
      </w:r>
    </w:p>
    <w:p w14:paraId="3E98A2A5" w14:textId="77777777" w:rsidR="00EE5344" w:rsidRDefault="00EE5344" w:rsidP="00EE5344">
      <w:pPr>
        <w:pStyle w:val="TextMain"/>
        <w:numPr>
          <w:ilvl w:val="0"/>
          <w:numId w:val="80"/>
        </w:numPr>
      </w:pPr>
      <w:r>
        <w:t xml:space="preserve">There may be other research avenues that are determined to be useful to pursue by RPP utilities or others. </w:t>
      </w:r>
    </w:p>
    <w:p w14:paraId="405C1496" w14:textId="77777777" w:rsidR="00EE5344" w:rsidRDefault="00EE5344" w:rsidP="00EE5344">
      <w:pPr>
        <w:pStyle w:val="TextMain"/>
      </w:pPr>
      <w:r>
        <w:t>The following specific issues have been identified that additional research seeks to help address:</w:t>
      </w:r>
    </w:p>
    <w:p w14:paraId="22FB6316" w14:textId="77777777" w:rsidR="00EE5344" w:rsidRDefault="00EE5344" w:rsidP="00EE5344">
      <w:pPr>
        <w:pStyle w:val="TextMain"/>
        <w:numPr>
          <w:ilvl w:val="0"/>
          <w:numId w:val="81"/>
        </w:numPr>
      </w:pPr>
      <w:r>
        <w:t>The best projection for Natural Market Baseline (NMB) without the program. These issues include:</w:t>
      </w:r>
    </w:p>
    <w:p w14:paraId="21151B43" w14:textId="77777777" w:rsidR="00EE5344" w:rsidRDefault="00EE5344" w:rsidP="00EE5344">
      <w:pPr>
        <w:pStyle w:val="TextMain"/>
        <w:numPr>
          <w:ilvl w:val="1"/>
          <w:numId w:val="81"/>
        </w:numPr>
      </w:pPr>
      <w:r>
        <w:t>Understanding how the product attributes of energy efficient appliance models translate into value for not just the customer, but for other supply chain actors. Further, how that value motivates customers and supply chain actors to change behaviors that would accelerate the adoption of EE models.</w:t>
      </w:r>
    </w:p>
    <w:p w14:paraId="41C38BC4" w14:textId="77777777" w:rsidR="00EE5344" w:rsidRDefault="00EE5344" w:rsidP="00EE5344">
      <w:pPr>
        <w:pStyle w:val="TextMain"/>
        <w:numPr>
          <w:ilvl w:val="1"/>
          <w:numId w:val="81"/>
        </w:numPr>
      </w:pPr>
      <w:r>
        <w:t>Understanding the recent market history of clothes washers and refrigerators to be able to more confidently project the near-term (next 3 years) trajectory of energy efficient models.</w:t>
      </w:r>
    </w:p>
    <w:p w14:paraId="05D5C169" w14:textId="77777777" w:rsidR="00EE5344" w:rsidRDefault="00EE5344" w:rsidP="00EE5344">
      <w:pPr>
        <w:pStyle w:val="TextMain"/>
        <w:numPr>
          <w:ilvl w:val="1"/>
          <w:numId w:val="81"/>
        </w:numPr>
      </w:pPr>
      <w:r>
        <w:t>Understand the factors that determine natural market cycles for new appliances. How long should the cycle be expected to last and what factors shorten or extend it?</w:t>
      </w:r>
    </w:p>
    <w:p w14:paraId="74699F80" w14:textId="77777777" w:rsidR="00EE5344" w:rsidRDefault="00EE5344" w:rsidP="00EE5344">
      <w:pPr>
        <w:pStyle w:val="TextMain"/>
        <w:numPr>
          <w:ilvl w:val="1"/>
          <w:numId w:val="81"/>
        </w:numPr>
      </w:pPr>
      <w:r>
        <w:t xml:space="preserve">Understand the factors that determine how new appliances increase sales and gain market share. What mathematical models best reflect the anticipated market trajectory and why?  </w:t>
      </w:r>
    </w:p>
    <w:p w14:paraId="1318E0D9" w14:textId="77777777" w:rsidR="00EE5344" w:rsidRDefault="00EE5344" w:rsidP="00EE5344">
      <w:pPr>
        <w:pStyle w:val="TextMain"/>
        <w:numPr>
          <w:ilvl w:val="1"/>
          <w:numId w:val="81"/>
        </w:numPr>
      </w:pPr>
      <w:r>
        <w:t>Understand at a more fundamental level how supply chain actors interact with each other and customer decisions and what are the components of the influence that each actor has upon another.</w:t>
      </w:r>
    </w:p>
    <w:p w14:paraId="3C769550" w14:textId="77777777" w:rsidR="00EE5344" w:rsidRDefault="00EE5344" w:rsidP="00EE5344">
      <w:pPr>
        <w:pStyle w:val="TextMain"/>
        <w:numPr>
          <w:ilvl w:val="0"/>
          <w:numId w:val="81"/>
        </w:numPr>
      </w:pPr>
      <w:r>
        <w:t xml:space="preserve">According to the EPA: “Scope 3 emissions are the result of activities from assets not owned or controlled by the reporting organization, but that the organization indirectly affects in its value chain.” Reducing and reporting Scope 3 emissions are a relatively new driver for corporations, including the participating RPP retailers (and, potentially, the non-participating retailers). It is expected that </w:t>
      </w:r>
      <w:r>
        <w:lastRenderedPageBreak/>
        <w:t>2023 research will more thoroughly determine the role of Scope 3 emissions reduction and reporting as an influence on appliance retailer behavior and EE appliance sales.</w:t>
      </w:r>
    </w:p>
    <w:p w14:paraId="2C4AE58C" w14:textId="77777777" w:rsidR="00EE5344" w:rsidRDefault="00EE5344" w:rsidP="00EE5344">
      <w:pPr>
        <w:pStyle w:val="TextMain"/>
      </w:pPr>
      <w:r>
        <w:t>Research conducted in 2023 would also look to improve the general understanding of EE product supply chains, markets and customers. More detailed research questions will be developed as each research effort is scoped in more detail. Those research questions would include the following:</w:t>
      </w:r>
    </w:p>
    <w:p w14:paraId="5054EA46" w14:textId="77777777" w:rsidR="00EE5344" w:rsidRDefault="00EE5344" w:rsidP="00EE5344">
      <w:pPr>
        <w:pStyle w:val="Bullets"/>
        <w:numPr>
          <w:ilvl w:val="0"/>
          <w:numId w:val="79"/>
        </w:numPr>
      </w:pPr>
      <w:r>
        <w:t>Is it reasonable to assume that the natural state of appliance markets is for the market share of products meeting ENERGY STAR and/or above ENERGY STAR efficiency tiers to increase?</w:t>
      </w:r>
    </w:p>
    <w:p w14:paraId="64AC6508" w14:textId="77777777" w:rsidR="00EE5344" w:rsidRDefault="00EE5344" w:rsidP="00EE5344">
      <w:pPr>
        <w:pStyle w:val="Bullets"/>
        <w:numPr>
          <w:ilvl w:val="0"/>
          <w:numId w:val="79"/>
        </w:numPr>
      </w:pPr>
      <w:r>
        <w:t>Is it reasonable to extrapolate historical data on efficient market shares to predict baseline uptake? If so, for how many years is it reasonable to assume that a linear trend will continue?</w:t>
      </w:r>
    </w:p>
    <w:p w14:paraId="44ACC96F" w14:textId="77777777" w:rsidR="00EE5344" w:rsidRDefault="00EE5344" w:rsidP="00EE5344">
      <w:pPr>
        <w:pStyle w:val="Bullets"/>
        <w:numPr>
          <w:ilvl w:val="0"/>
          <w:numId w:val="79"/>
        </w:numPr>
      </w:pPr>
      <w:r>
        <w:t xml:space="preserve">To what extent is retailers’ increased focus on carbon emissions, and specifically their Scope 3 carbon reduction goals, likely to increase market share of efficient products? </w:t>
      </w:r>
    </w:p>
    <w:p w14:paraId="33B885E3" w14:textId="77777777" w:rsidR="00EE5344" w:rsidRDefault="00EE5344" w:rsidP="00EE5344">
      <w:pPr>
        <w:pStyle w:val="Bullets"/>
        <w:numPr>
          <w:ilvl w:val="2"/>
          <w:numId w:val="79"/>
        </w:numPr>
      </w:pPr>
      <w:r>
        <w:t xml:space="preserve">How might these efforts be different if the retailers were not participating in ESRPP? </w:t>
      </w:r>
    </w:p>
    <w:p w14:paraId="48F511C8" w14:textId="77777777" w:rsidR="00EE5344" w:rsidRDefault="00EE5344" w:rsidP="00EE5344">
      <w:pPr>
        <w:pStyle w:val="Bullets"/>
        <w:numPr>
          <w:ilvl w:val="2"/>
          <w:numId w:val="79"/>
        </w:numPr>
      </w:pPr>
      <w:r>
        <w:t>What impact would these efforts have on uptake of products meeting above ENERGY STAR efficiency specifications, given that retailers typically do not recognize these levels?</w:t>
      </w:r>
    </w:p>
    <w:p w14:paraId="7CB807F5" w14:textId="77777777" w:rsidR="00EE5344" w:rsidRDefault="00EE5344" w:rsidP="00EE5344">
      <w:pPr>
        <w:pStyle w:val="Bullets"/>
        <w:numPr>
          <w:ilvl w:val="0"/>
          <w:numId w:val="79"/>
        </w:numPr>
      </w:pPr>
      <w:r>
        <w:t xml:space="preserve">What other market trends might impact the availability of efficient products? (This could include both trends in consumer demand for certain features or configurations, and supply side considerations like labor costs, automation of production, availability of materials/components, etc.) </w:t>
      </w:r>
    </w:p>
    <w:p w14:paraId="3B164E32" w14:textId="77777777" w:rsidR="00EE5344" w:rsidRDefault="00EE5344" w:rsidP="00EE5344">
      <w:pPr>
        <w:pStyle w:val="Bullets"/>
        <w:numPr>
          <w:ilvl w:val="0"/>
          <w:numId w:val="79"/>
        </w:numPr>
      </w:pPr>
      <w:r>
        <w:t>For each product what are the thresholds above and below which market share of efficient products is unlikely? (What share of the market is unlikely to pursue energy efficiency? What share is likely to prioritize it above all else?)</w:t>
      </w:r>
    </w:p>
    <w:p w14:paraId="61C2A84F" w14:textId="77777777" w:rsidR="00EE5344" w:rsidRDefault="00EE5344" w:rsidP="00EE5344">
      <w:pPr>
        <w:pStyle w:val="Bullets"/>
        <w:numPr>
          <w:ilvl w:val="0"/>
          <w:numId w:val="79"/>
        </w:numPr>
      </w:pPr>
      <w:r>
        <w:t>What is the likely impact on market share of products meeting an efficiency specification when that specification goes from an above ENERGY STAR level like ESME to become the base ENERGY STAR level? How much is market share likely to increase? How soon after the ENERGY STAR specification update?</w:t>
      </w:r>
    </w:p>
    <w:p w14:paraId="03BFB7DE" w14:textId="77777777" w:rsidR="00EE5344" w:rsidRDefault="00EE5344" w:rsidP="00EE5344">
      <w:pPr>
        <w:pStyle w:val="Bullets"/>
        <w:numPr>
          <w:ilvl w:val="0"/>
          <w:numId w:val="79"/>
        </w:numPr>
      </w:pPr>
      <w:r>
        <w:t xml:space="preserve">How, if at all, is uptake of different product types or configurations likely to shift over time? </w:t>
      </w:r>
    </w:p>
    <w:p w14:paraId="6CFD78F7" w14:textId="77777777" w:rsidR="00EE5344" w:rsidRDefault="00EE5344" w:rsidP="00EE5344">
      <w:pPr>
        <w:pStyle w:val="Bullets"/>
        <w:numPr>
          <w:ilvl w:val="0"/>
          <w:numId w:val="79"/>
        </w:numPr>
      </w:pPr>
      <w:r>
        <w:t xml:space="preserve">What, if anything, are the main drivers of sales beyond equipment replacement and new construction? Are they likely to impact qualified products any differently from non-qualified products?  </w:t>
      </w:r>
    </w:p>
    <w:p w14:paraId="2D785121" w14:textId="28C6C852" w:rsidR="000151FE" w:rsidRPr="002F6F8F" w:rsidRDefault="000151FE" w:rsidP="00EE5344">
      <w:pPr>
        <w:pStyle w:val="TextMain"/>
      </w:pPr>
    </w:p>
    <w:sectPr w:rsidR="000151FE" w:rsidRPr="002F6F8F" w:rsidSect="00F6786F">
      <w:headerReference w:type="default" r:id="rId26"/>
      <w:footerReference w:type="default" r:id="rId27"/>
      <w:headerReference w:type="first" r:id="rId28"/>
      <w:footerReference w:type="first" r:id="rId29"/>
      <w:pgSz w:w="12240" w:h="15840" w:code="1"/>
      <w:pgMar w:top="1440" w:right="1440" w:bottom="1440" w:left="1440" w:header="720" w:footer="720" w:gutter="0"/>
      <w:pgNumType w:chapStyle="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9502" w14:textId="77777777" w:rsidR="00BB1355" w:rsidRDefault="00BB1355">
      <w:r>
        <w:separator/>
      </w:r>
    </w:p>
    <w:p w14:paraId="392D380E" w14:textId="77777777" w:rsidR="00BB1355" w:rsidRDefault="00BB1355"/>
    <w:p w14:paraId="16CC521F" w14:textId="77777777" w:rsidR="00BB1355" w:rsidRDefault="00BB1355"/>
  </w:endnote>
  <w:endnote w:type="continuationSeparator" w:id="0">
    <w:p w14:paraId="71C70F75" w14:textId="77777777" w:rsidR="00BB1355" w:rsidRDefault="00BB1355">
      <w:r>
        <w:continuationSeparator/>
      </w:r>
    </w:p>
    <w:p w14:paraId="7CA8EDB1" w14:textId="77777777" w:rsidR="00BB1355" w:rsidRDefault="00BB1355"/>
    <w:p w14:paraId="77B3989B" w14:textId="77777777" w:rsidR="00BB1355" w:rsidRDefault="00BB1355"/>
  </w:endnote>
  <w:endnote w:type="continuationNotice" w:id="1">
    <w:p w14:paraId="5392D82A" w14:textId="77777777" w:rsidR="00BB1355" w:rsidRDefault="00BB13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34">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Reference Sans Serif">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Roboto Slab">
    <w:charset w:val="00"/>
    <w:family w:val="auto"/>
    <w:pitch w:val="variable"/>
    <w:sig w:usb0="000004FF" w:usb1="8000405F" w:usb2="00000022" w:usb3="00000000" w:csb0="0000019F" w:csb1="00000000"/>
  </w:font>
  <w:font w:name="Microsoft Sans Serif">
    <w:panose1 w:val="020B0604020202020204"/>
    <w:charset w:val="00"/>
    <w:family w:val="swiss"/>
    <w:pitch w:val="variable"/>
    <w:sig w:usb0="E5002EFF" w:usb1="C000605B" w:usb2="00000029" w:usb3="00000000" w:csb0="000101FF" w:csb1="00000000"/>
  </w:font>
  <w:font w:name="Lao UI">
    <w:charset w:val="00"/>
    <w:family w:val="swiss"/>
    <w:pitch w:val="variable"/>
    <w:sig w:usb0="82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F74C" w14:textId="4CD85A70" w:rsidR="00886A55" w:rsidRPr="004130C2" w:rsidRDefault="00886A55" w:rsidP="00886A55">
    <w:pPr>
      <w:pStyle w:val="Footer"/>
      <w:rPr>
        <w:rFonts w:ascii="MS Reference Sans Serif" w:hAnsi="MS Reference Sans Serif"/>
      </w:rPr>
    </w:pPr>
    <w:r w:rsidRPr="004130C2">
      <w:rPr>
        <w:rFonts w:ascii="MS Reference Sans Serif" w:hAnsi="MS Reference Sans Serif"/>
        <w:b/>
        <w:color w:val="587E39"/>
      </w:rPr>
      <w:t>APEX</w:t>
    </w:r>
    <w:r w:rsidRPr="004130C2">
      <w:rPr>
        <w:rFonts w:ascii="MS Reference Sans Serif" w:hAnsi="MS Reference Sans Serif"/>
        <w:b/>
      </w:rPr>
      <w:t xml:space="preserve"> </w:t>
    </w:r>
    <w:r w:rsidRPr="004130C2">
      <w:rPr>
        <w:rFonts w:ascii="MS Reference Sans Serif" w:hAnsi="MS Reference Sans Serif"/>
        <w:b/>
        <w:color w:val="808285"/>
      </w:rPr>
      <w:t>ANALYTICS</w:t>
    </w:r>
    <w:r w:rsidRPr="004130C2">
      <w:rPr>
        <w:rFonts w:ascii="MS Reference Sans Serif" w:hAnsi="MS Reference Sans Serif"/>
        <w:b/>
        <w:color w:val="808285"/>
      </w:rPr>
      <w:tab/>
      <w:t xml:space="preserve">Page | </w:t>
    </w:r>
    <w:r w:rsidRPr="004130C2">
      <w:rPr>
        <w:rFonts w:ascii="MS Reference Sans Serif" w:hAnsi="MS Reference Sans Serif"/>
        <w:b/>
        <w:color w:val="808285"/>
      </w:rPr>
      <w:fldChar w:fldCharType="begin"/>
    </w:r>
    <w:r w:rsidRPr="004130C2">
      <w:rPr>
        <w:rFonts w:ascii="MS Reference Sans Serif" w:hAnsi="MS Reference Sans Serif"/>
        <w:b/>
        <w:color w:val="808285"/>
      </w:rPr>
      <w:instrText xml:space="preserve"> PAGE   \* MERGEFORMAT </w:instrText>
    </w:r>
    <w:r w:rsidRPr="004130C2">
      <w:rPr>
        <w:rFonts w:ascii="MS Reference Sans Serif" w:hAnsi="MS Reference Sans Serif"/>
        <w:b/>
        <w:color w:val="808285"/>
      </w:rPr>
      <w:fldChar w:fldCharType="separate"/>
    </w:r>
    <w:r w:rsidRPr="004130C2">
      <w:rPr>
        <w:rFonts w:ascii="MS Reference Sans Serif" w:hAnsi="MS Reference Sans Serif"/>
        <w:b/>
        <w:noProof/>
        <w:color w:val="808285"/>
      </w:rPr>
      <w:t>2</w:t>
    </w:r>
    <w:r w:rsidRPr="004130C2">
      <w:rPr>
        <w:rFonts w:ascii="MS Reference Sans Serif" w:hAnsi="MS Reference Sans Serif"/>
        <w:b/>
        <w:noProof/>
        <w:color w:val="808285"/>
      </w:rPr>
      <w:fldChar w:fldCharType="end"/>
    </w:r>
  </w:p>
  <w:p w14:paraId="40A04120" w14:textId="6D35E46C" w:rsidR="006904F6" w:rsidRPr="00886A55" w:rsidRDefault="006904F6" w:rsidP="00886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5935" w14:textId="618D0BC4" w:rsidR="00886A55" w:rsidRPr="004130C2" w:rsidRDefault="00886A55" w:rsidP="00886A55">
    <w:pPr>
      <w:pStyle w:val="Footer"/>
      <w:rPr>
        <w:rFonts w:ascii="MS Reference Sans Serif" w:hAnsi="MS Reference Sans Serif"/>
      </w:rPr>
    </w:pPr>
    <w:r w:rsidRPr="004130C2">
      <w:rPr>
        <w:rFonts w:ascii="MS Reference Sans Serif" w:hAnsi="MS Reference Sans Serif"/>
        <w:b/>
        <w:color w:val="587E39"/>
      </w:rPr>
      <w:t>APEX</w:t>
    </w:r>
    <w:r w:rsidRPr="004130C2">
      <w:rPr>
        <w:rFonts w:ascii="MS Reference Sans Serif" w:hAnsi="MS Reference Sans Serif"/>
        <w:b/>
      </w:rPr>
      <w:t xml:space="preserve"> </w:t>
    </w:r>
    <w:r w:rsidRPr="004130C2">
      <w:rPr>
        <w:rFonts w:ascii="MS Reference Sans Serif" w:hAnsi="MS Reference Sans Serif"/>
        <w:b/>
        <w:color w:val="808285"/>
      </w:rPr>
      <w:t>ANALYTICS</w:t>
    </w:r>
    <w:r w:rsidRPr="004130C2">
      <w:rPr>
        <w:rFonts w:ascii="MS Reference Sans Serif" w:hAnsi="MS Reference Sans Serif"/>
        <w:b/>
        <w:color w:val="808285"/>
      </w:rPr>
      <w:tab/>
      <w:t xml:space="preserve">Page | </w:t>
    </w:r>
    <w:r w:rsidRPr="004130C2">
      <w:rPr>
        <w:rFonts w:ascii="MS Reference Sans Serif" w:hAnsi="MS Reference Sans Serif"/>
        <w:b/>
        <w:color w:val="808285"/>
      </w:rPr>
      <w:fldChar w:fldCharType="begin"/>
    </w:r>
    <w:r w:rsidRPr="004130C2">
      <w:rPr>
        <w:rFonts w:ascii="MS Reference Sans Serif" w:hAnsi="MS Reference Sans Serif"/>
        <w:b/>
        <w:color w:val="808285"/>
      </w:rPr>
      <w:instrText xml:space="preserve"> PAGE   \* MERGEFORMAT </w:instrText>
    </w:r>
    <w:r w:rsidRPr="004130C2">
      <w:rPr>
        <w:rFonts w:ascii="MS Reference Sans Serif" w:hAnsi="MS Reference Sans Serif"/>
        <w:b/>
        <w:color w:val="808285"/>
      </w:rPr>
      <w:fldChar w:fldCharType="separate"/>
    </w:r>
    <w:r w:rsidRPr="004130C2">
      <w:rPr>
        <w:rFonts w:ascii="MS Reference Sans Serif" w:hAnsi="MS Reference Sans Serif"/>
        <w:b/>
        <w:noProof/>
        <w:color w:val="808285"/>
      </w:rPr>
      <w:t>1</w:t>
    </w:r>
    <w:r w:rsidRPr="004130C2">
      <w:rPr>
        <w:rFonts w:ascii="MS Reference Sans Serif" w:hAnsi="MS Reference Sans Serif"/>
        <w:b/>
        <w:noProof/>
        <w:color w:val="808285"/>
      </w:rPr>
      <w:fldChar w:fldCharType="end"/>
    </w:r>
  </w:p>
  <w:p w14:paraId="33CAAF05" w14:textId="77777777" w:rsidR="00886A55" w:rsidRDefault="00886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CBA7" w14:textId="77777777" w:rsidR="00BB1355" w:rsidRDefault="00BB1355">
      <w:r>
        <w:separator/>
      </w:r>
    </w:p>
  </w:footnote>
  <w:footnote w:type="continuationSeparator" w:id="0">
    <w:p w14:paraId="776C5EB2" w14:textId="77777777" w:rsidR="00BB1355" w:rsidRDefault="00BB1355">
      <w:r>
        <w:continuationSeparator/>
      </w:r>
    </w:p>
  </w:footnote>
  <w:footnote w:type="continuationNotice" w:id="1">
    <w:p w14:paraId="41E6740E" w14:textId="77777777" w:rsidR="00BB1355" w:rsidRDefault="00BB1355"/>
  </w:footnote>
  <w:footnote w:id="2">
    <w:p w14:paraId="42EC526F" w14:textId="61ECFE92" w:rsidR="008409CD" w:rsidRDefault="008409CD">
      <w:pPr>
        <w:pStyle w:val="FootnoteText"/>
      </w:pPr>
      <w:r>
        <w:rPr>
          <w:rStyle w:val="FootnoteReference"/>
        </w:rPr>
        <w:footnoteRef/>
      </w:r>
      <w:r>
        <w:t xml:space="preserve"> Note, </w:t>
      </w:r>
      <w:r w:rsidR="0024235E">
        <w:t xml:space="preserve">in terms of </w:t>
      </w:r>
      <w:r w:rsidR="00792377">
        <w:t>theories of diffusion of innovations,</w:t>
      </w:r>
      <w:r>
        <w:t xml:space="preserve"> </w:t>
      </w:r>
      <w:r w:rsidR="00DD57BD">
        <w:t xml:space="preserve">this baseline approach </w:t>
      </w:r>
      <w:r w:rsidR="001D3DD5">
        <w:t>assume</w:t>
      </w:r>
      <w:r w:rsidR="001367F0">
        <w:t>s</w:t>
      </w:r>
      <w:r w:rsidR="001D3DD5">
        <w:t xml:space="preserve"> </w:t>
      </w:r>
      <w:r w:rsidR="00DD57BD">
        <w:t xml:space="preserve">that </w:t>
      </w:r>
      <w:r w:rsidR="00330F8F">
        <w:t xml:space="preserve">most </w:t>
      </w:r>
      <w:r w:rsidR="00DD57BD">
        <w:t xml:space="preserve">ESRPP products </w:t>
      </w:r>
      <w:r w:rsidR="007047F7">
        <w:t>(with the exception of those receiving new specifications, described below),</w:t>
      </w:r>
      <w:r w:rsidR="00DD57BD">
        <w:t xml:space="preserve"> are</w:t>
      </w:r>
      <w:r w:rsidR="001D3DD5">
        <w:t xml:space="preserve"> </w:t>
      </w:r>
      <w:r w:rsidR="001367F0">
        <w:t xml:space="preserve">in the </w:t>
      </w:r>
      <w:r w:rsidR="00330F8F">
        <w:t>early- and late-majority adoption phases</w:t>
      </w:r>
      <w:r w:rsidR="006F4481">
        <w:t xml:space="preserve">. </w:t>
      </w:r>
      <w:r w:rsidR="000827B8">
        <w:t>Most ESRPP</w:t>
      </w:r>
      <w:r w:rsidR="00D82C5D">
        <w:t>-qualified products represent</w:t>
      </w:r>
      <w:r w:rsidR="000827B8">
        <w:t xml:space="preserve"> </w:t>
      </w:r>
      <w:r w:rsidR="00DE7754">
        <w:t xml:space="preserve">incremental increases to the efficiency of existing products, rather than </w:t>
      </w:r>
      <w:r w:rsidR="003E10A8">
        <w:t xml:space="preserve">innovative, new products. </w:t>
      </w:r>
      <w:r w:rsidR="00330F8F">
        <w:t xml:space="preserve"> </w:t>
      </w:r>
    </w:p>
  </w:footnote>
  <w:footnote w:id="3">
    <w:p w14:paraId="3ABF6E00" w14:textId="10B4A901" w:rsidR="00BD2DC9" w:rsidRDefault="00BD2DC9">
      <w:pPr>
        <w:pStyle w:val="FootnoteText"/>
      </w:pPr>
      <w:r>
        <w:rPr>
          <w:rStyle w:val="FootnoteReference"/>
        </w:rPr>
        <w:footnoteRef/>
      </w:r>
      <w:r>
        <w:t xml:space="preserve"> </w:t>
      </w:r>
      <w:r w:rsidR="00B70AEF">
        <w:t xml:space="preserve">Linear trend forecasting is consistent with Guidehouse evaluation logic. </w:t>
      </w:r>
    </w:p>
  </w:footnote>
  <w:footnote w:id="4">
    <w:p w14:paraId="03466036" w14:textId="77777777" w:rsidR="0082690B" w:rsidRDefault="0082690B" w:rsidP="0082690B">
      <w:pPr>
        <w:pStyle w:val="FootnoteText"/>
      </w:pPr>
      <w:r>
        <w:rPr>
          <w:rStyle w:val="FootnoteReference"/>
        </w:rPr>
        <w:footnoteRef/>
      </w:r>
      <w:r>
        <w:t xml:space="preserve"> All the top-mount refrigerators in ComEd’s RPP dataset had annual energy consumption values well below the 637 kWh/year threshold, with none greater than 550 kWh/year. </w:t>
      </w:r>
    </w:p>
  </w:footnote>
  <w:footnote w:id="5">
    <w:p w14:paraId="46BAB1DE" w14:textId="02AE4378" w:rsidR="00EA1896" w:rsidRDefault="00EA1896">
      <w:pPr>
        <w:pStyle w:val="FootnoteText"/>
      </w:pPr>
      <w:r>
        <w:rPr>
          <w:rStyle w:val="FootnoteReference"/>
        </w:rPr>
        <w:footnoteRef/>
      </w:r>
      <w:r>
        <w:t xml:space="preserve"> It is possible to </w:t>
      </w:r>
      <w:r w:rsidR="00927DF1">
        <w:t xml:space="preserve">identify models </w:t>
      </w:r>
      <w:r w:rsidR="00B274D3">
        <w:t xml:space="preserve">meeting the ESME 2019+ efficiency requirements in historical data using energy consumption </w:t>
      </w:r>
      <w:r w:rsidR="00387646">
        <w:t xml:space="preserve">values. However, </w:t>
      </w:r>
      <w:r w:rsidR="006E2699">
        <w:t xml:space="preserve">growth in market share of models meeting the specification’s requirements accelerated after </w:t>
      </w:r>
      <w:r w:rsidR="00917C56">
        <w:t xml:space="preserve">the specification was announced, </w:t>
      </w:r>
      <w:r w:rsidR="00F41738">
        <w:t xml:space="preserve">likely because the specification provided </w:t>
      </w:r>
      <w:r w:rsidR="007166A9">
        <w:t xml:space="preserve">a specific target for manufacturers to incorporate in their designs. </w:t>
      </w:r>
      <w:r w:rsidR="00E65750">
        <w:t xml:space="preserve">Thus, market share prior to the specification provides limited insight </w:t>
      </w:r>
      <w:r w:rsidR="00D437D8">
        <w:t xml:space="preserve">into baseline uptake once the specification was announced. </w:t>
      </w:r>
    </w:p>
  </w:footnote>
  <w:footnote w:id="6">
    <w:p w14:paraId="2FE45372" w14:textId="095A67E8" w:rsidR="00D90873" w:rsidRDefault="00D90873">
      <w:pPr>
        <w:pStyle w:val="FootnoteText"/>
      </w:pPr>
      <w:r>
        <w:rPr>
          <w:rStyle w:val="FootnoteReference"/>
        </w:rPr>
        <w:footnoteRef/>
      </w:r>
      <w:r>
        <w:t xml:space="preserve"> The current test procedure </w:t>
      </w:r>
      <w:r w:rsidR="00F63C1E">
        <w:t xml:space="preserve">measures </w:t>
      </w:r>
      <w:r w:rsidR="002C7FD4">
        <w:t xml:space="preserve">refrigerator energy consumption </w:t>
      </w:r>
      <w:r w:rsidR="00086DA5">
        <w:t>at a single ambient temperature</w:t>
      </w:r>
      <w:r w:rsidR="00FE5F70">
        <w:t xml:space="preserve"> of 90 degrees Fahrenheit. This steady-state test at a relatively extreme ambient temperature </w:t>
      </w:r>
      <w:r w:rsidR="0049628C">
        <w:t xml:space="preserve">does not effectively capture advanced adaptive compressors’ ability to modulate the compressor’s power in response to more subtle temperature changes. </w:t>
      </w:r>
    </w:p>
  </w:footnote>
  <w:footnote w:id="7">
    <w:p w14:paraId="695E6A1F" w14:textId="77777777" w:rsidR="0083618D" w:rsidRPr="00580EAE" w:rsidRDefault="0083618D" w:rsidP="0083618D">
      <w:pPr>
        <w:pStyle w:val="FootnoteText"/>
      </w:pPr>
      <w:r>
        <w:rPr>
          <w:rStyle w:val="FootnoteReference"/>
        </w:rPr>
        <w:footnoteRef/>
      </w:r>
      <w:r>
        <w:t xml:space="preserve"> Apex Analytics. June 2022. </w:t>
      </w:r>
      <w:r>
        <w:rPr>
          <w:i/>
          <w:iCs/>
        </w:rPr>
        <w:t>Refrigerator and Freezer Influence Assessment and Baseline Review</w:t>
      </w:r>
      <w:r>
        <w:t xml:space="preserve">. Prepared for NEEA. Available at: </w:t>
      </w:r>
      <w:hyperlink r:id="rId1" w:history="1">
        <w:r w:rsidRPr="00210CB4">
          <w:rPr>
            <w:rStyle w:val="Hyperlink"/>
          </w:rPr>
          <w:t>https://neea.org/img/documents/Refrigerator-and-Freezer-Influence-Assessment-and-Baseline-Review.pdf</w:t>
        </w:r>
      </w:hyperlink>
      <w:r>
        <w:t xml:space="preserve"> </w:t>
      </w:r>
    </w:p>
  </w:footnote>
  <w:footnote w:id="8">
    <w:p w14:paraId="0292A9ED" w14:textId="77777777" w:rsidR="00625A41" w:rsidRDefault="00625A41" w:rsidP="00625A41">
      <w:pPr>
        <w:pStyle w:val="FootnoteText"/>
      </w:pPr>
      <w:r>
        <w:rPr>
          <w:rStyle w:val="FootnoteReference"/>
        </w:rPr>
        <w:footnoteRef/>
      </w:r>
      <w:r>
        <w:t xml:space="preserve"> DOE published a final rule on a revised test procedure for refrigerators in November of 2021 and gathered public comments on its technical analysis around potential revised refrigerator standards in December 2021. </w:t>
      </w:r>
    </w:p>
  </w:footnote>
  <w:footnote w:id="9">
    <w:p w14:paraId="4F8D9442" w14:textId="6EDA21C9" w:rsidR="00625A41" w:rsidRDefault="00625A41" w:rsidP="00625A41">
      <w:pPr>
        <w:pStyle w:val="FootnoteText"/>
      </w:pPr>
      <w:r>
        <w:rPr>
          <w:rStyle w:val="FootnoteReference"/>
        </w:rPr>
        <w:footnoteRef/>
      </w:r>
      <w:r>
        <w:t xml:space="preserve"> </w:t>
      </w:r>
      <w:r w:rsidR="00A73794">
        <w:t xml:space="preserve">Past updates to federal efficiency standards for refrigerators have </w:t>
      </w:r>
      <w:r w:rsidR="00D56476">
        <w:t xml:space="preserve">taken effect between three and four years after adoption. </w:t>
      </w:r>
      <w:r w:rsidR="00D3007C">
        <w:t xml:space="preserve">We </w:t>
      </w:r>
      <w:r w:rsidR="00C7090A">
        <w:t xml:space="preserve">assume three years as a conservative estimate. </w:t>
      </w:r>
      <w:r>
        <w:t xml:space="preserve"> </w:t>
      </w:r>
    </w:p>
  </w:footnote>
  <w:footnote w:id="10">
    <w:p w14:paraId="6D956DA0" w14:textId="77777777" w:rsidR="00CA2937" w:rsidRDefault="00CA2937" w:rsidP="00CA2937">
      <w:pPr>
        <w:pStyle w:val="FootnoteText"/>
      </w:pPr>
      <w:r>
        <w:rPr>
          <w:rStyle w:val="FootnoteReference"/>
        </w:rPr>
        <w:footnoteRef/>
      </w:r>
      <w:r>
        <w:t xml:space="preserve"> US Department of Energy. October 2021. </w:t>
      </w:r>
      <w:r w:rsidRPr="005A119B">
        <w:rPr>
          <w:i/>
        </w:rPr>
        <w:t>Technical Support Document: Energy Efficiency Program for Consumer Products and Commercial and Industrial Equipment: Refrigerators, Refrigerator-Freezers, and Freezers</w:t>
      </w:r>
      <w:r w:rsidRPr="005A119B">
        <w:rPr>
          <w:i/>
          <w:iCs/>
        </w:rPr>
        <w:t>.</w:t>
      </w:r>
      <w:r>
        <w:t xml:space="preserve"> Available at: </w:t>
      </w:r>
      <w:hyperlink r:id="rId2" w:history="1">
        <w:r w:rsidRPr="004D61A0">
          <w:rPr>
            <w:rStyle w:val="Hyperlink"/>
          </w:rPr>
          <w:t>https://www.regulations.gov/document/EERE-2017-BT-STD-0003-0020</w:t>
        </w:r>
      </w:hyperlink>
      <w:r>
        <w:t xml:space="preserve"> </w:t>
      </w:r>
    </w:p>
  </w:footnote>
  <w:footnote w:id="11">
    <w:p w14:paraId="2CCEA7A7" w14:textId="4ADDD398" w:rsidR="00234EC1" w:rsidRDefault="00234EC1">
      <w:pPr>
        <w:pStyle w:val="FootnoteText"/>
      </w:pPr>
      <w:r>
        <w:rPr>
          <w:rStyle w:val="FootnoteReference"/>
        </w:rPr>
        <w:footnoteRef/>
      </w:r>
      <w:r>
        <w:t xml:space="preserve"> The current ENERGY STAR specification (V5.1) requires models to have an annual energy consumption value approximately 10% below the maximum allowed under the current federal standard, while the ESME 2019+ specification requires energy consumption values </w:t>
      </w:r>
      <w:r w:rsidR="00B547D0">
        <w:t xml:space="preserve">approximately </w:t>
      </w:r>
      <w:r>
        <w:t>20% below the federal standard requirement for non-top mount models.</w:t>
      </w:r>
    </w:p>
  </w:footnote>
  <w:footnote w:id="12">
    <w:p w14:paraId="1AEF47D2" w14:textId="038CE7B7" w:rsidR="00C7090A" w:rsidRDefault="00C7090A">
      <w:pPr>
        <w:pStyle w:val="FootnoteText"/>
      </w:pPr>
      <w:r>
        <w:rPr>
          <w:rStyle w:val="FootnoteReference"/>
        </w:rPr>
        <w:footnoteRef/>
      </w:r>
      <w:r>
        <w:t xml:space="preserve"> Historical updates to </w:t>
      </w:r>
      <w:r w:rsidR="007F1ACB">
        <w:t xml:space="preserve">federal efficiency standards for clothes washers have taken effect between </w:t>
      </w:r>
      <w:r w:rsidR="001701C8">
        <w:t xml:space="preserve">one and six years after adoption, </w:t>
      </w:r>
      <w:r w:rsidR="0075009A">
        <w:t xml:space="preserve">with most updates </w:t>
      </w:r>
      <w:r w:rsidR="0064325B">
        <w:t xml:space="preserve">(3 of 5) </w:t>
      </w:r>
      <w:r w:rsidR="0075009A">
        <w:t xml:space="preserve">taking effect </w:t>
      </w:r>
      <w:r w:rsidR="0064325B">
        <w:t xml:space="preserve">between three and four years after adoption. </w:t>
      </w:r>
      <w:r w:rsidR="006664A5">
        <w:t xml:space="preserve">We use three years as a reasonable, if conservative, assumption. </w:t>
      </w:r>
    </w:p>
  </w:footnote>
  <w:footnote w:id="13">
    <w:p w14:paraId="5B3F4653" w14:textId="6413D3F0" w:rsidR="00B552D7" w:rsidRDefault="00B552D7">
      <w:pPr>
        <w:pStyle w:val="FootnoteText"/>
      </w:pPr>
      <w:r>
        <w:rPr>
          <w:rStyle w:val="FootnoteReference"/>
        </w:rPr>
        <w:footnoteRef/>
      </w:r>
      <w:r>
        <w:t xml:space="preserve"> We recognize that </w:t>
      </w:r>
      <w:r w:rsidR="002B3338">
        <w:t xml:space="preserve">ESRPP sponsors are often active in federal standard and ENERGY STAR specification </w:t>
      </w:r>
      <w:r w:rsidR="002B79B3">
        <w:t xml:space="preserve">update processes and there is potential that the program could accelerate adoption, increase </w:t>
      </w:r>
      <w:r w:rsidR="008315C5">
        <w:t xml:space="preserve">standard or specification stringency, or both. </w:t>
      </w:r>
      <w:r w:rsidR="008848BA">
        <w:t xml:space="preserve">Thus, an assumption </w:t>
      </w:r>
      <w:r w:rsidR="00A42D30">
        <w:t xml:space="preserve">that standard and specification timing and efficiency would be the same </w:t>
      </w:r>
      <w:r w:rsidR="007E27B0">
        <w:t xml:space="preserve">under the program as in a baseline case risks underestimating </w:t>
      </w:r>
      <w:r w:rsidR="00340963">
        <w:t xml:space="preserve">program-attributable energy savings. </w:t>
      </w:r>
      <w:r w:rsidR="0014483B">
        <w:t xml:space="preserve">However, </w:t>
      </w:r>
      <w:r w:rsidR="008E41B2">
        <w:t xml:space="preserve">we feel </w:t>
      </w:r>
      <w:r w:rsidR="0014483B">
        <w:t xml:space="preserve">the </w:t>
      </w:r>
      <w:r w:rsidR="00B37D54">
        <w:t xml:space="preserve">uncertainty resulting from the </w:t>
      </w:r>
      <w:r w:rsidR="0014483B">
        <w:t xml:space="preserve">difficulty of predicting program influence on </w:t>
      </w:r>
      <w:r w:rsidR="00D83E4B">
        <w:t xml:space="preserve">standard or </w:t>
      </w:r>
      <w:r w:rsidR="0014483B">
        <w:t>specification</w:t>
      </w:r>
      <w:r w:rsidR="00D83E4B">
        <w:t xml:space="preserve"> </w:t>
      </w:r>
      <w:r w:rsidR="0014483B" w:rsidRPr="0005306D">
        <w:t xml:space="preserve">stringency </w:t>
      </w:r>
      <w:r w:rsidR="00004DC2" w:rsidRPr="0005306D">
        <w:t xml:space="preserve">and/or </w:t>
      </w:r>
      <w:r w:rsidR="0014483B" w:rsidRPr="0005306D">
        <w:t>timing</w:t>
      </w:r>
      <w:r w:rsidR="0014483B">
        <w:t xml:space="preserve"> </w:t>
      </w:r>
      <w:r w:rsidR="00B37D54">
        <w:t xml:space="preserve">and </w:t>
      </w:r>
      <w:r w:rsidR="00D1122E">
        <w:t xml:space="preserve">its impact on </w:t>
      </w:r>
      <w:r w:rsidR="007E15E6">
        <w:t xml:space="preserve">market share, and ultimately program-attributable energy savings, outweighs the benefit of </w:t>
      </w:r>
      <w:r w:rsidR="00896EF3">
        <w:t xml:space="preserve">including potential program influence on specifications and standards in these forecasts. </w:t>
      </w:r>
      <w:r w:rsidR="00D1122E">
        <w:t xml:space="preserve"> </w:t>
      </w:r>
      <w:r w:rsidR="00B37D54">
        <w:t xml:space="preserve"> </w:t>
      </w:r>
    </w:p>
  </w:footnote>
  <w:footnote w:id="14">
    <w:p w14:paraId="169063FF" w14:textId="1C15FFEC" w:rsidR="000D2CF7" w:rsidRDefault="000D2CF7">
      <w:pPr>
        <w:pStyle w:val="FootnoteText"/>
      </w:pPr>
      <w:r>
        <w:rPr>
          <w:rStyle w:val="FootnoteReference"/>
        </w:rPr>
        <w:footnoteRef/>
      </w:r>
      <w:r>
        <w:t xml:space="preserve"> NEEA’s calculation also uses RECs data to </w:t>
      </w:r>
      <w:r w:rsidR="00321D56">
        <w:t xml:space="preserve">adjust for any differences in household penetration between the East North Central region, which includes Illinois, and </w:t>
      </w:r>
      <w:r w:rsidR="00CE4FAA">
        <w:t xml:space="preserve">national penetration. </w:t>
      </w:r>
    </w:p>
  </w:footnote>
  <w:footnote w:id="15">
    <w:p w14:paraId="3A8FC00A" w14:textId="0991F892" w:rsidR="009F08E9" w:rsidRDefault="009F08E9">
      <w:pPr>
        <w:pStyle w:val="FootnoteText"/>
      </w:pPr>
      <w:r>
        <w:rPr>
          <w:rStyle w:val="FootnoteReference"/>
        </w:rPr>
        <w:footnoteRef/>
      </w:r>
      <w:r>
        <w:t xml:space="preserve"> </w:t>
      </w:r>
      <w:r w:rsidR="00673592">
        <w:t xml:space="preserve">While we recognize that </w:t>
      </w:r>
      <w:r w:rsidR="0054334C">
        <w:t>factors beyond new home construction likely influence annual appliance sales</w:t>
      </w:r>
      <w:r w:rsidR="00365115">
        <w:t xml:space="preserve">, </w:t>
      </w:r>
      <w:r w:rsidR="0029772B">
        <w:t>we determined that the uncertainty of forecasting those drivers outweighs the benefit of including them in our estimates</w:t>
      </w:r>
      <w:r w:rsidR="001124D7">
        <w:t xml:space="preserve">. </w:t>
      </w:r>
    </w:p>
  </w:footnote>
  <w:footnote w:id="16">
    <w:p w14:paraId="0583EB72" w14:textId="77777777" w:rsidR="006717E9" w:rsidRDefault="006717E9" w:rsidP="006717E9">
      <w:pPr>
        <w:pStyle w:val="FootnoteText"/>
      </w:pPr>
      <w:r>
        <w:rPr>
          <w:rStyle w:val="FootnoteReference"/>
        </w:rPr>
        <w:footnoteRef/>
      </w:r>
      <w:r>
        <w:t xml:space="preserve"> The assumed percentage distribution of product types was derived from the NEEA analysis, found in the “Illinois Sales Estimates” worksheet of the “NEEA 2021 Savings Report_ComEd_20220212.xlsx” file.</w:t>
      </w:r>
    </w:p>
  </w:footnote>
  <w:footnote w:id="17">
    <w:p w14:paraId="3B489F0C" w14:textId="3AC7DF24" w:rsidR="00685C1B" w:rsidRDefault="00C63944">
      <w:pPr>
        <w:pStyle w:val="FootnoteText"/>
      </w:pPr>
      <w:r>
        <w:rPr>
          <w:rStyle w:val="FootnoteReference"/>
        </w:rPr>
        <w:footnoteRef/>
      </w:r>
      <w:r>
        <w:t xml:space="preserve"> </w:t>
      </w:r>
      <w:r w:rsidR="00685C1B">
        <w:t xml:space="preserve">Available at: </w:t>
      </w:r>
      <w:hyperlink r:id="rId3" w:history="1">
        <w:r w:rsidR="00685C1B" w:rsidRPr="00E651E1">
          <w:rPr>
            <w:rStyle w:val="Hyperlink"/>
          </w:rPr>
          <w:t>https://downloads.regulations.gov/EERE-2017-BT-STD-0014-0030/content.pdf</w:t>
        </w:r>
      </w:hyperlink>
    </w:p>
  </w:footnote>
  <w:footnote w:id="18">
    <w:p w14:paraId="067D40E4" w14:textId="490DFBE8" w:rsidR="00C948FC" w:rsidRDefault="00C948FC">
      <w:pPr>
        <w:pStyle w:val="FootnoteText"/>
      </w:pPr>
      <w:r>
        <w:rPr>
          <w:rStyle w:val="FootnoteReference"/>
        </w:rPr>
        <w:footnoteRef/>
      </w:r>
      <w:r>
        <w:t xml:space="preserve"> Available at: </w:t>
      </w:r>
      <w:hyperlink r:id="rId4" w:history="1">
        <w:r w:rsidRPr="00DB32B5">
          <w:rPr>
            <w:rStyle w:val="Hyperlink"/>
          </w:rPr>
          <w:t>https://www.regulations.gov/document/EERE-2017-BT-STD-0003-0020</w:t>
        </w:r>
      </w:hyperlink>
      <w:r>
        <w:t xml:space="preserve"> </w:t>
      </w:r>
    </w:p>
  </w:footnote>
  <w:footnote w:id="19">
    <w:p w14:paraId="5BFDC9E2" w14:textId="5E9BAD7E" w:rsidR="00B12A36" w:rsidRDefault="00B12A36">
      <w:pPr>
        <w:pStyle w:val="FootnoteText"/>
      </w:pPr>
      <w:r>
        <w:rPr>
          <w:rStyle w:val="FootnoteReference"/>
        </w:rPr>
        <w:footnoteRef/>
      </w:r>
      <w:r>
        <w:t xml:space="preserve"> </w:t>
      </w:r>
      <w:r w:rsidR="005A08C5">
        <w:t>The share of top-load washers receiving RAP rebates (50%) is lower than</w:t>
      </w:r>
      <w:r w:rsidR="00492911">
        <w:t xml:space="preserve"> our configuration share estimate for top-load washers</w:t>
      </w:r>
      <w:r w:rsidR="0012174C">
        <w:t xml:space="preserve"> (</w:t>
      </w:r>
      <w:r w:rsidR="00183152">
        <w:t>63%</w:t>
      </w:r>
      <w:r w:rsidR="00492911">
        <w:t>).</w:t>
      </w:r>
      <w:r w:rsidR="00183152">
        <w:t xml:space="preserve"> </w:t>
      </w:r>
      <w:r w:rsidR="003F6D36">
        <w:t xml:space="preserve">This difference reflects a higher </w:t>
      </w:r>
      <w:r w:rsidR="00221E74">
        <w:t xml:space="preserve">ENERGY STAR </w:t>
      </w:r>
      <w:r w:rsidR="003F6D36">
        <w:t xml:space="preserve">market share (and thus greater proportion of RAP rebate-eligible products) among front-load washers than top-load washers. </w:t>
      </w:r>
    </w:p>
  </w:footnote>
  <w:footnote w:id="20">
    <w:p w14:paraId="342BC4CF" w14:textId="24080FE2" w:rsidR="00A73D4A" w:rsidRDefault="00A73D4A">
      <w:pPr>
        <w:pStyle w:val="FootnoteText"/>
      </w:pPr>
      <w:r>
        <w:rPr>
          <w:rStyle w:val="FootnoteReference"/>
        </w:rPr>
        <w:footnoteRef/>
      </w:r>
      <w:r>
        <w:t xml:space="preserve"> There is some uncertainty in these estimates, as we were unable to determine </w:t>
      </w:r>
      <w:r w:rsidR="008637FF">
        <w:t xml:space="preserve">which independent </w:t>
      </w:r>
      <w:r w:rsidR="00A224BF">
        <w:t>retailers are members of Nationwide Marketing Group</w:t>
      </w:r>
      <w:r w:rsidR="00390A4F">
        <w:t xml:space="preserve"> (an ESRPP participant that </w:t>
      </w:r>
      <w:r w:rsidR="00B92793">
        <w:t xml:space="preserve">offers purchasing for </w:t>
      </w:r>
      <w:r w:rsidR="006C5456">
        <w:t xml:space="preserve">independent appliance retailers).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0F57" w14:textId="0D4A2A28" w:rsidR="00137F39" w:rsidRDefault="00137F39" w:rsidP="00721F47">
    <w:pPr>
      <w:ind w:left="-14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1EF1" w14:textId="423B8CFA" w:rsidR="00721F47" w:rsidRDefault="00721F47" w:rsidP="00886A55">
    <w:pPr>
      <w:pStyle w:val="Header"/>
      <w:jc w:val="right"/>
    </w:pPr>
    <w:r>
      <w:rPr>
        <w:noProof/>
      </w:rPr>
      <w:drawing>
        <wp:inline distT="0" distB="0" distL="0" distR="0" wp14:anchorId="019C2D7D" wp14:editId="5F89BFA4">
          <wp:extent cx="1733550" cy="573405"/>
          <wp:effectExtent l="0" t="0" r="0" b="0"/>
          <wp:docPr id="25" name="Picture 25" descr="K:\Marketing Materials\Logo and Brand guidelines\APEX_logo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arketing Materials\Logo and Brand guidelines\APEX_logo_hori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3550" cy="573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A8AB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0BC8F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B90BF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3842AC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CEE07B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7E25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727A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12460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F803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C284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A54B5"/>
    <w:multiLevelType w:val="multilevel"/>
    <w:tmpl w:val="D06A115E"/>
    <w:lvl w:ilvl="0">
      <w:start w:val="1"/>
      <w:numFmt w:val="bullet"/>
      <w:lvlText w:val=""/>
      <w:lvlJc w:val="left"/>
      <w:pPr>
        <w:ind w:left="1080" w:hanging="360"/>
      </w:pPr>
      <w:rPr>
        <w:rFonts w:ascii="Wingdings" w:hAnsi="Wingdings" w:hint="default"/>
      </w:rPr>
    </w:lvl>
    <w:lvl w:ilvl="1">
      <w:start w:val="1"/>
      <w:numFmt w:val="bullet"/>
      <w:pStyle w:val="Bulletlevel1"/>
      <w:lvlText w:val=""/>
      <w:lvlJc w:val="left"/>
      <w:pPr>
        <w:ind w:left="144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tabs>
          <w:tab w:val="num" w:pos="1800"/>
        </w:tabs>
        <w:ind w:left="2160" w:hanging="360"/>
      </w:pPr>
      <w:rPr>
        <w:rFonts w:ascii="font334" w:hAnsi="font334" w:hint="default"/>
      </w:rPr>
    </w:lvl>
    <w:lvl w:ilvl="4">
      <w:start w:val="1"/>
      <w:numFmt w:val="bullet"/>
      <w:lvlText w:val=""/>
      <w:lvlJc w:val="left"/>
      <w:pPr>
        <w:ind w:left="2520" w:hanging="360"/>
      </w:pPr>
      <w:rPr>
        <w:rFonts w:ascii="Wingdings" w:hAnsi="Wingdings" w:hint="default"/>
      </w:rPr>
    </w:lvl>
    <w:lvl w:ilvl="5">
      <w:start w:val="1"/>
      <w:numFmt w:val="bullet"/>
      <w:lvlText w:val="-"/>
      <w:lvlJc w:val="left"/>
      <w:pPr>
        <w:ind w:left="2880" w:hanging="360"/>
      </w:pPr>
      <w:rPr>
        <w:rFonts w:ascii="font334" w:hAnsi="font334"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05651E4C"/>
    <w:multiLevelType w:val="hybridMultilevel"/>
    <w:tmpl w:val="0DEC88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782441F"/>
    <w:multiLevelType w:val="hybridMultilevel"/>
    <w:tmpl w:val="337C6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1510A9"/>
    <w:multiLevelType w:val="hybridMultilevel"/>
    <w:tmpl w:val="A1CE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12B38"/>
    <w:multiLevelType w:val="hybridMultilevel"/>
    <w:tmpl w:val="968C0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13C7C"/>
    <w:multiLevelType w:val="hybridMultilevel"/>
    <w:tmpl w:val="FAB0F896"/>
    <w:lvl w:ilvl="0" w:tplc="9A30C3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18720A8B"/>
    <w:multiLevelType w:val="hybridMultilevel"/>
    <w:tmpl w:val="3DBA8CA8"/>
    <w:lvl w:ilvl="0" w:tplc="5592522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AC3CC2"/>
    <w:multiLevelType w:val="hybridMultilevel"/>
    <w:tmpl w:val="0E24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1B701E"/>
    <w:multiLevelType w:val="hybridMultilevel"/>
    <w:tmpl w:val="1BB69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027CD8"/>
    <w:multiLevelType w:val="hybridMultilevel"/>
    <w:tmpl w:val="81286330"/>
    <w:lvl w:ilvl="0" w:tplc="04090013">
      <w:start w:val="1"/>
      <w:numFmt w:val="upperRoman"/>
      <w:lvlText w:val="%1."/>
      <w:lvlJc w:val="right"/>
      <w:pPr>
        <w:ind w:left="720" w:hanging="360"/>
      </w:pPr>
      <w:rPr>
        <w:rFonts w:hint="default"/>
      </w:rPr>
    </w:lvl>
    <w:lvl w:ilvl="1" w:tplc="AD40E17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D97C94"/>
    <w:multiLevelType w:val="multilevel"/>
    <w:tmpl w:val="F3FA66EC"/>
    <w:lvl w:ilvl="0">
      <w:start w:val="1"/>
      <w:numFmt w:val="decimal"/>
      <w:lvlText w:val="%1)"/>
      <w:lvlJc w:val="left"/>
      <w:pPr>
        <w:ind w:left="900" w:hanging="360"/>
      </w:pPr>
    </w:lvl>
    <w:lvl w:ilvl="1">
      <w:start w:val="1"/>
      <w:numFmt w:val="lowerLetter"/>
      <w:lvlText w:val="%2)"/>
      <w:lvlJc w:val="left"/>
      <w:pPr>
        <w:ind w:left="1260" w:hanging="360"/>
      </w:pPr>
    </w:lvl>
    <w:lvl w:ilvl="2">
      <w:start w:val="1"/>
      <w:numFmt w:val="lowerRoman"/>
      <w:lvlText w:val="%3)"/>
      <w:lvlJc w:val="left"/>
      <w:pPr>
        <w:ind w:left="1620" w:hanging="360"/>
      </w:pPr>
    </w:lvl>
    <w:lvl w:ilvl="3">
      <w:start w:val="1"/>
      <w:numFmt w:val="decimal"/>
      <w:lvlText w:val="(%4)"/>
      <w:lvlJc w:val="left"/>
      <w:pPr>
        <w:ind w:left="1980" w:hanging="360"/>
      </w:pPr>
    </w:lvl>
    <w:lvl w:ilvl="4">
      <w:start w:val="1"/>
      <w:numFmt w:val="lowerLetter"/>
      <w:lvlText w:val="(%5)"/>
      <w:lvlJc w:val="left"/>
      <w:pPr>
        <w:ind w:left="2340" w:hanging="360"/>
      </w:pPr>
    </w:lvl>
    <w:lvl w:ilvl="5">
      <w:start w:val="1"/>
      <w:numFmt w:val="lowerRoman"/>
      <w:lvlText w:val="(%6)"/>
      <w:lvlJc w:val="left"/>
      <w:pPr>
        <w:ind w:left="2700" w:hanging="360"/>
      </w:pPr>
    </w:lvl>
    <w:lvl w:ilvl="6">
      <w:start w:val="1"/>
      <w:numFmt w:val="decimal"/>
      <w:lvlText w:val="%7."/>
      <w:lvlJc w:val="left"/>
      <w:pPr>
        <w:ind w:left="3060" w:hanging="360"/>
      </w:pPr>
    </w:lvl>
    <w:lvl w:ilvl="7">
      <w:start w:val="1"/>
      <w:numFmt w:val="lowerLetter"/>
      <w:lvlText w:val="%8."/>
      <w:lvlJc w:val="left"/>
      <w:pPr>
        <w:ind w:left="3420" w:hanging="360"/>
      </w:pPr>
    </w:lvl>
    <w:lvl w:ilvl="8">
      <w:start w:val="1"/>
      <w:numFmt w:val="lowerRoman"/>
      <w:lvlText w:val="%9."/>
      <w:lvlJc w:val="left"/>
      <w:pPr>
        <w:ind w:left="3780" w:hanging="360"/>
      </w:pPr>
    </w:lvl>
  </w:abstractNum>
  <w:abstractNum w:abstractNumId="21" w15:restartNumberingAfterBreak="0">
    <w:nsid w:val="23970957"/>
    <w:multiLevelType w:val="hybridMultilevel"/>
    <w:tmpl w:val="351E376A"/>
    <w:lvl w:ilvl="0" w:tplc="5AE8CDF8">
      <w:start w:val="1"/>
      <w:numFmt w:val="bullet"/>
      <w:pStyle w:val="Resumebulletindent"/>
      <w:lvlText w:val=""/>
      <w:lvlJc w:val="left"/>
      <w:pPr>
        <w:ind w:left="720" w:hanging="360"/>
      </w:pPr>
      <w:rPr>
        <w:rFonts w:ascii="Wingdings" w:hAnsi="Wingdings" w:hint="default"/>
        <w:b/>
        <w:i w:val="0"/>
        <w:color w:val="auto"/>
        <w:sz w:val="22"/>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782F79"/>
    <w:multiLevelType w:val="multilevel"/>
    <w:tmpl w:val="6C848BB0"/>
    <w:lvl w:ilvl="0">
      <w:start w:val="1"/>
      <w:numFmt w:val="none"/>
      <w:pStyle w:val="t"/>
      <w:suff w:val="nothing"/>
      <w:lvlText w:val=""/>
      <w:lvlJc w:val="left"/>
      <w:pPr>
        <w:ind w:left="360" w:firstLine="0"/>
      </w:pPr>
      <w:rPr>
        <w:rFonts w:asciiTheme="minorHAnsi" w:hAnsiTheme="minorHAnsi" w:hint="default"/>
        <w:sz w:val="22"/>
      </w:rPr>
    </w:lvl>
    <w:lvl w:ilvl="1">
      <w:start w:val="1"/>
      <w:numFmt w:val="decimal"/>
      <w:pStyle w:val="Outline"/>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27680C6C"/>
    <w:multiLevelType w:val="hybridMultilevel"/>
    <w:tmpl w:val="79A2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E35D49"/>
    <w:multiLevelType w:val="hybridMultilevel"/>
    <w:tmpl w:val="5A32A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0C659B"/>
    <w:multiLevelType w:val="hybridMultilevel"/>
    <w:tmpl w:val="32124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222717"/>
    <w:multiLevelType w:val="hybridMultilevel"/>
    <w:tmpl w:val="9254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DD3E08"/>
    <w:multiLevelType w:val="hybridMultilevel"/>
    <w:tmpl w:val="E7C87F68"/>
    <w:lvl w:ilvl="0" w:tplc="04090001">
      <w:start w:val="1"/>
      <w:numFmt w:val="bullet"/>
      <w:lvlText w:val=""/>
      <w:lvlJc w:val="left"/>
      <w:pPr>
        <w:ind w:left="720" w:hanging="360"/>
      </w:pPr>
      <w:rPr>
        <w:rFonts w:ascii="Symbol" w:hAnsi="Symbol" w:hint="default"/>
        <w:b/>
        <w:i w:val="0"/>
        <w:color w:val="auto"/>
        <w:sz w:val="22"/>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FB43EF"/>
    <w:multiLevelType w:val="hybridMultilevel"/>
    <w:tmpl w:val="ED789D5E"/>
    <w:lvl w:ilvl="0" w:tplc="A796D500">
      <w:start w:val="1"/>
      <w:numFmt w:val="bullet"/>
      <w:pStyle w:val="Bullet1"/>
      <w:lvlText w:val=""/>
      <w:lvlJc w:val="left"/>
      <w:pPr>
        <w:ind w:left="720" w:hanging="360"/>
      </w:pPr>
      <w:rPr>
        <w:rFonts w:ascii="Wingdings" w:hAnsi="Wingdings" w:hint="default"/>
        <w:b/>
        <w:i w:val="0"/>
        <w:color w:val="auto"/>
        <w:sz w:val="22"/>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BF226DD"/>
    <w:multiLevelType w:val="hybridMultilevel"/>
    <w:tmpl w:val="149640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C5CA7"/>
    <w:multiLevelType w:val="multilevel"/>
    <w:tmpl w:val="17B62528"/>
    <w:lvl w:ilvl="0">
      <w:start w:val="1"/>
      <w:numFmt w:val="decimal"/>
      <w:lvlText w:val="%1."/>
      <w:lvlJc w:val="left"/>
      <w:pPr>
        <w:tabs>
          <w:tab w:val="num" w:pos="1080"/>
        </w:tabs>
        <w:ind w:left="1080" w:hanging="1080"/>
      </w:pPr>
      <w:rPr>
        <w:rFonts w:ascii="Calibri" w:hAnsi="Calibri" w:cs="Georgia" w:hint="default"/>
        <w:b/>
        <w:bCs w:val="0"/>
        <w:i w:val="0"/>
        <w:iCs w:val="0"/>
        <w:caps w:val="0"/>
        <w:smallCaps w:val="0"/>
        <w:strike w:val="0"/>
        <w:dstrike w:val="0"/>
        <w:noProof w:val="0"/>
        <w:vanish w:val="0"/>
        <w:color w:val="6D6E71"/>
        <w:spacing w:val="0"/>
        <w:kern w:val="0"/>
        <w:position w:val="0"/>
        <w:sz w:val="3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980"/>
        </w:tabs>
        <w:ind w:left="1980" w:hanging="1080"/>
      </w:pPr>
      <w:rPr>
        <w:rFonts w:ascii="Calibri" w:hAnsi="Calibri" w:hint="default"/>
        <w:b/>
        <w:bCs w:val="0"/>
        <w:i w:val="0"/>
        <w:iCs w:val="0"/>
        <w:caps w:val="0"/>
        <w:smallCaps w:val="0"/>
        <w:strike w:val="0"/>
        <w:dstrike w:val="0"/>
        <w:noProof w:val="0"/>
        <w:vanish w:val="0"/>
        <w:color w:val="6D6E71"/>
        <w:spacing w:val="0"/>
        <w:kern w:val="0"/>
        <w:position w:val="0"/>
        <w:sz w:val="3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080"/>
        </w:tabs>
        <w:ind w:left="1080" w:hanging="1080"/>
      </w:pPr>
      <w:rPr>
        <w:rFonts w:ascii="Calibri" w:hAnsi="Calibri" w:cs="Georgia" w:hint="default"/>
        <w:b/>
        <w:i w:val="0"/>
        <w:color w:val="6D6E71"/>
        <w:sz w:val="26"/>
        <w:szCs w:val="26"/>
      </w:rPr>
    </w:lvl>
    <w:lvl w:ilvl="3">
      <w:start w:val="1"/>
      <w:numFmt w:val="decimal"/>
      <w:pStyle w:val="Heading4"/>
      <w:lvlText w:val="%1.%2.%3.%4"/>
      <w:lvlJc w:val="left"/>
      <w:pPr>
        <w:tabs>
          <w:tab w:val="num" w:pos="1080"/>
        </w:tabs>
        <w:ind w:left="1080" w:hanging="1080"/>
      </w:pPr>
      <w:rPr>
        <w:rFonts w:ascii="Calibri" w:hAnsi="Calibri" w:cs="Georgia" w:hint="default"/>
        <w:b/>
        <w:i w:val="0"/>
        <w:color w:val="6D6E71"/>
        <w:sz w:val="22"/>
        <w:szCs w:val="22"/>
      </w:rPr>
    </w:lvl>
    <w:lvl w:ilvl="4">
      <w:start w:val="1"/>
      <w:numFmt w:val="decimal"/>
      <w:pStyle w:val="Heading5"/>
      <w:lvlText w:val="%1.%2.%3.%4.%5"/>
      <w:lvlJc w:val="left"/>
      <w:pPr>
        <w:tabs>
          <w:tab w:val="num" w:pos="1440"/>
        </w:tabs>
        <w:ind w:left="1080" w:hanging="1080"/>
      </w:pPr>
      <w:rPr>
        <w:rFonts w:ascii="Georgia" w:hAnsi="Georgia" w:hint="default"/>
        <w:b/>
        <w:i w:val="0"/>
        <w:sz w:val="22"/>
        <w:szCs w:val="22"/>
      </w:rPr>
    </w:lvl>
    <w:lvl w:ilvl="5">
      <w:start w:val="1"/>
      <w:numFmt w:val="decimal"/>
      <w:pStyle w:val="Heading6"/>
      <w:lvlText w:val="%1.%2.%3.%4.%5.%6"/>
      <w:lvlJc w:val="left"/>
      <w:pPr>
        <w:tabs>
          <w:tab w:val="num" w:pos="1800"/>
        </w:tabs>
        <w:ind w:left="2736" w:hanging="2736"/>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1"/>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2CA3AC8"/>
    <w:multiLevelType w:val="hybridMultilevel"/>
    <w:tmpl w:val="9FFC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0D06AF"/>
    <w:multiLevelType w:val="multilevel"/>
    <w:tmpl w:val="DB9A2DB2"/>
    <w:lvl w:ilvl="0">
      <w:start w:val="1"/>
      <w:numFmt w:val="decimal"/>
      <w:pStyle w:val="List1"/>
      <w:lvlText w:val="%1."/>
      <w:lvlJc w:val="left"/>
      <w:pPr>
        <w:tabs>
          <w:tab w:val="num" w:pos="1440"/>
        </w:tabs>
        <w:ind w:left="720" w:hanging="360"/>
      </w:pPr>
      <w:rPr>
        <w:rFonts w:ascii="Times New Roman" w:hAnsi="Times New Roman" w:hint="default"/>
        <w:b w:val="0"/>
        <w:i w:val="0"/>
        <w:sz w:val="22"/>
        <w:szCs w:val="22"/>
        <w:u w:val="none"/>
      </w:rPr>
    </w:lvl>
    <w:lvl w:ilvl="1">
      <w:start w:val="1"/>
      <w:numFmt w:val="lowerLetter"/>
      <w:pStyle w:val="List2"/>
      <w:lvlText w:val="%2."/>
      <w:lvlJc w:val="left"/>
      <w:pPr>
        <w:ind w:left="1080" w:hanging="360"/>
      </w:pPr>
      <w:rPr>
        <w:rFonts w:ascii="Times New Roman" w:hAnsi="Times New Roman" w:hint="default"/>
        <w:b w:val="0"/>
        <w:i w:val="0"/>
        <w:color w:val="auto"/>
        <w:sz w:val="22"/>
      </w:rPr>
    </w:lvl>
    <w:lvl w:ilvl="2">
      <w:start w:val="1"/>
      <w:numFmt w:val="lowerRoman"/>
      <w:pStyle w:val="List3"/>
      <w:lvlText w:val="%3."/>
      <w:lvlJc w:val="left"/>
      <w:pPr>
        <w:tabs>
          <w:tab w:val="num" w:pos="2520"/>
        </w:tabs>
        <w:ind w:left="1440" w:hanging="360"/>
      </w:pPr>
      <w:rPr>
        <w:rFonts w:ascii="Times New Roman" w:hAnsi="Times New Roman" w:hint="default"/>
        <w:b w:val="0"/>
        <w:i w:val="0"/>
        <w:sz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B480A0C"/>
    <w:multiLevelType w:val="hybridMultilevel"/>
    <w:tmpl w:val="08807D06"/>
    <w:lvl w:ilvl="0" w:tplc="78C6D64E">
      <w:start w:val="1"/>
      <w:numFmt w:val="bullet"/>
      <w:pStyle w:val="Bullet3"/>
      <w:lvlText w:val="•"/>
      <w:lvlJc w:val="left"/>
      <w:pPr>
        <w:ind w:left="1440" w:hanging="360"/>
      </w:pPr>
      <w:rPr>
        <w:rFonts w:ascii="Arial" w:hAnsi="Arial" w:hint="default"/>
        <w:color w:val="auto"/>
        <w:sz w:val="22"/>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2D7DAD"/>
    <w:multiLevelType w:val="hybridMultilevel"/>
    <w:tmpl w:val="58EA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613BB6"/>
    <w:multiLevelType w:val="multilevel"/>
    <w:tmpl w:val="3E98C468"/>
    <w:lvl w:ilvl="0">
      <w:start w:val="1"/>
      <w:numFmt w:val="decimal"/>
      <w:pStyle w:val="Mainbody-Outline"/>
      <w:lvlText w:val="%1)"/>
      <w:lvlJc w:val="left"/>
      <w:pPr>
        <w:ind w:left="900" w:hanging="360"/>
      </w:pPr>
      <w:rPr>
        <w:rFonts w:hint="default"/>
      </w:rPr>
    </w:lvl>
    <w:lvl w:ilvl="1">
      <w:start w:val="1"/>
      <w:numFmt w:val="lowerLetter"/>
      <w:lvlText w:val="%2)"/>
      <w:lvlJc w:val="left"/>
      <w:pPr>
        <w:ind w:left="1260" w:hanging="360"/>
      </w:pPr>
      <w:rPr>
        <w:rFonts w:hint="default"/>
      </w:rPr>
    </w:lvl>
    <w:lvl w:ilvl="2">
      <w:start w:val="1"/>
      <w:numFmt w:val="lowerRoman"/>
      <w:lvlText w:val="%3)"/>
      <w:lvlJc w:val="left"/>
      <w:pPr>
        <w:ind w:left="1620" w:hanging="36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36" w15:restartNumberingAfterBreak="0">
    <w:nsid w:val="42805A95"/>
    <w:multiLevelType w:val="hybridMultilevel"/>
    <w:tmpl w:val="5794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3464C3"/>
    <w:multiLevelType w:val="hybridMultilevel"/>
    <w:tmpl w:val="CBCCC70A"/>
    <w:lvl w:ilvl="0" w:tplc="BD6A2A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6B7236"/>
    <w:multiLevelType w:val="hybridMultilevel"/>
    <w:tmpl w:val="AD983064"/>
    <w:lvl w:ilvl="0" w:tplc="04090001">
      <w:start w:val="1"/>
      <w:numFmt w:val="bullet"/>
      <w:lvlText w:val=""/>
      <w:lvlJc w:val="left"/>
      <w:pPr>
        <w:ind w:left="720" w:hanging="360"/>
      </w:pPr>
      <w:rPr>
        <w:rFonts w:ascii="Symbol" w:hAnsi="Symbol" w:hint="default"/>
        <w:b/>
        <w:i w:val="0"/>
        <w:color w:val="auto"/>
        <w:sz w:val="22"/>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AD6660"/>
    <w:multiLevelType w:val="hybridMultilevel"/>
    <w:tmpl w:val="8C448764"/>
    <w:lvl w:ilvl="0" w:tplc="9DF8DA04">
      <w:start w:val="1"/>
      <w:numFmt w:val="bullet"/>
      <w:pStyle w:val="Bullets"/>
      <w:lvlText w:val=""/>
      <w:lvlJc w:val="left"/>
      <w:pPr>
        <w:ind w:left="720" w:hanging="360"/>
      </w:pPr>
      <w:rPr>
        <w:rFonts w:ascii="Symbol" w:hAnsi="Symbol" w:hint="default"/>
        <w:b/>
        <w:i w:val="0"/>
        <w:color w:val="587E39"/>
        <w:position w:val="4"/>
        <w:sz w:val="14"/>
      </w:rPr>
    </w:lvl>
    <w:lvl w:ilvl="1" w:tplc="BD4EED46">
      <w:start w:val="1"/>
      <w:numFmt w:val="decimal"/>
      <w:lvlText w:val="%2)"/>
      <w:lvlJc w:val="left"/>
      <w:pPr>
        <w:tabs>
          <w:tab w:val="num" w:pos="360"/>
        </w:tabs>
        <w:ind w:left="36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4F52ADF"/>
    <w:multiLevelType w:val="multilevel"/>
    <w:tmpl w:val="E2CA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701121"/>
    <w:multiLevelType w:val="hybridMultilevel"/>
    <w:tmpl w:val="9F9E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315A72"/>
    <w:multiLevelType w:val="hybridMultilevel"/>
    <w:tmpl w:val="2522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762CA2"/>
    <w:multiLevelType w:val="hybridMultilevel"/>
    <w:tmpl w:val="1D3C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7C7AF0"/>
    <w:multiLevelType w:val="hybridMultilevel"/>
    <w:tmpl w:val="31F4DD9A"/>
    <w:lvl w:ilvl="0" w:tplc="04090001">
      <w:start w:val="1"/>
      <w:numFmt w:val="bullet"/>
      <w:lvlText w:val=""/>
      <w:lvlJc w:val="left"/>
      <w:pPr>
        <w:ind w:left="720" w:hanging="360"/>
      </w:pPr>
      <w:rPr>
        <w:rFonts w:ascii="Symbol" w:hAnsi="Symbol" w:hint="default"/>
      </w:rPr>
    </w:lvl>
    <w:lvl w:ilvl="1" w:tplc="AD40E17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596E89"/>
    <w:multiLevelType w:val="hybridMultilevel"/>
    <w:tmpl w:val="8BACC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721C7C"/>
    <w:multiLevelType w:val="hybridMultilevel"/>
    <w:tmpl w:val="9BFE0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761CAF"/>
    <w:multiLevelType w:val="multilevel"/>
    <w:tmpl w:val="6D84BF04"/>
    <w:lvl w:ilvl="0">
      <w:start w:val="1"/>
      <w:numFmt w:val="upperLetter"/>
      <w:pStyle w:val="Heading7"/>
      <w:lvlText w:val="%1."/>
      <w:lvlJc w:val="left"/>
      <w:pPr>
        <w:tabs>
          <w:tab w:val="num" w:pos="1080"/>
        </w:tabs>
        <w:ind w:left="1080" w:hanging="1080"/>
      </w:pPr>
      <w:rPr>
        <w:rFonts w:ascii="Georgia" w:hAnsi="Georgia"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8"/>
      <w:lvlText w:val="%1.%2"/>
      <w:lvlJc w:val="left"/>
      <w:pPr>
        <w:tabs>
          <w:tab w:val="num" w:pos="1080"/>
        </w:tabs>
        <w:ind w:left="1080" w:hanging="1080"/>
      </w:pPr>
      <w:rPr>
        <w:rFonts w:ascii="Georgia" w:hAnsi="Georgia" w:cs="Georgia" w:hint="default"/>
        <w:b/>
        <w:i w:val="0"/>
        <w:sz w:val="30"/>
        <w:szCs w:val="30"/>
      </w:rPr>
    </w:lvl>
    <w:lvl w:ilvl="2">
      <w:start w:val="1"/>
      <w:numFmt w:val="decimal"/>
      <w:pStyle w:val="Heading9"/>
      <w:lvlText w:val="%1.%2.%3"/>
      <w:lvlJc w:val="left"/>
      <w:pPr>
        <w:tabs>
          <w:tab w:val="num" w:pos="1080"/>
        </w:tabs>
        <w:ind w:left="1080" w:hanging="1080"/>
      </w:pPr>
      <w:rPr>
        <w:rFonts w:ascii="Georgia" w:hAnsi="Georgia" w:hint="default"/>
        <w:b/>
        <w:i w:val="0"/>
        <w:sz w:val="26"/>
        <w:szCs w:val="26"/>
      </w:rPr>
    </w:lvl>
    <w:lvl w:ilvl="3">
      <w:start w:val="1"/>
      <w:numFmt w:val="decimal"/>
      <w:lvlText w:val="%1.%2.%3.%4"/>
      <w:lvlJc w:val="left"/>
      <w:pPr>
        <w:tabs>
          <w:tab w:val="num" w:pos="1080"/>
        </w:tabs>
        <w:ind w:left="1080" w:hanging="1080"/>
      </w:pPr>
      <w:rPr>
        <w:rFonts w:ascii="Arial" w:hAnsi="Arial" w:hint="default"/>
        <w:b/>
        <w:i w:val="0"/>
        <w:sz w:val="22"/>
        <w:szCs w:val="22"/>
      </w:rPr>
    </w:lvl>
    <w:lvl w:ilvl="4">
      <w:start w:val="1"/>
      <w:numFmt w:val="decimal"/>
      <w:lvlText w:val="%1.%2.%3.%4.%5"/>
      <w:lvlJc w:val="left"/>
      <w:pPr>
        <w:tabs>
          <w:tab w:val="num" w:pos="1440"/>
        </w:tabs>
        <w:ind w:left="1440" w:hanging="1440"/>
      </w:pPr>
      <w:rPr>
        <w:rFonts w:ascii="Arial" w:hAnsi="Arial" w:hint="default"/>
        <w:b/>
        <w:i w:val="0"/>
        <w:sz w:val="22"/>
        <w:szCs w:val="22"/>
      </w:rPr>
    </w:lvl>
    <w:lvl w:ilvl="5">
      <w:start w:val="1"/>
      <w:numFmt w:val="decimal"/>
      <w:lvlText w:val="%1.%2.%3.%4.%5.%6"/>
      <w:lvlJc w:val="left"/>
      <w:pPr>
        <w:tabs>
          <w:tab w:val="num" w:pos="1440"/>
        </w:tabs>
        <w:ind w:left="1440" w:hanging="1440"/>
      </w:pPr>
      <w:rPr>
        <w:rFonts w:ascii="Arial" w:hAnsi="Arial" w:hint="default"/>
        <w:b/>
        <w:i w:val="0"/>
        <w:sz w:val="22"/>
        <w:szCs w:val="22"/>
      </w:rPr>
    </w:lvl>
    <w:lvl w:ilvl="6">
      <w:start w:val="1"/>
      <w:numFmt w:val="decimal"/>
      <w:lvlText w:val="%1.%2.%3.%4.%5.%6.%7."/>
      <w:lvlJc w:val="left"/>
      <w:pPr>
        <w:tabs>
          <w:tab w:val="num" w:pos="3600"/>
        </w:tabs>
        <w:ind w:left="3240" w:hanging="3240"/>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48" w15:restartNumberingAfterBreak="0">
    <w:nsid w:val="503C66D9"/>
    <w:multiLevelType w:val="hybridMultilevel"/>
    <w:tmpl w:val="E3BC20DC"/>
    <w:lvl w:ilvl="0" w:tplc="04090001">
      <w:start w:val="1"/>
      <w:numFmt w:val="bullet"/>
      <w:lvlText w:val=""/>
      <w:lvlJc w:val="left"/>
      <w:pPr>
        <w:ind w:left="720" w:hanging="360"/>
      </w:pPr>
      <w:rPr>
        <w:rFonts w:ascii="Symbol" w:hAnsi="Symbol" w:hint="default"/>
        <w:b/>
        <w:i w:val="0"/>
        <w:color w:val="auto"/>
        <w:sz w:val="22"/>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C4030E"/>
    <w:multiLevelType w:val="hybridMultilevel"/>
    <w:tmpl w:val="CB6A51A2"/>
    <w:lvl w:ilvl="0" w:tplc="4B96375E">
      <w:start w:val="1"/>
      <w:numFmt w:val="decimal"/>
      <w:lvlText w:val="%1."/>
      <w:lvlJc w:val="left"/>
      <w:pPr>
        <w:ind w:left="720" w:hanging="360"/>
      </w:pPr>
    </w:lvl>
    <w:lvl w:ilvl="1" w:tplc="5942C484">
      <w:start w:val="1"/>
      <w:numFmt w:val="lowerLetter"/>
      <w:lvlText w:val="%2."/>
      <w:lvlJc w:val="left"/>
      <w:pPr>
        <w:ind w:left="1440" w:hanging="360"/>
      </w:pPr>
    </w:lvl>
    <w:lvl w:ilvl="2" w:tplc="806E6AD4">
      <w:start w:val="1"/>
      <w:numFmt w:val="lowerRoman"/>
      <w:lvlText w:val="%3."/>
      <w:lvlJc w:val="right"/>
      <w:pPr>
        <w:ind w:left="2160" w:hanging="180"/>
      </w:pPr>
    </w:lvl>
    <w:lvl w:ilvl="3" w:tplc="AF0ABE52">
      <w:start w:val="1"/>
      <w:numFmt w:val="decimal"/>
      <w:lvlText w:val="%4."/>
      <w:lvlJc w:val="left"/>
      <w:pPr>
        <w:ind w:left="2880" w:hanging="360"/>
      </w:pPr>
    </w:lvl>
    <w:lvl w:ilvl="4" w:tplc="DADA8FA8">
      <w:start w:val="1"/>
      <w:numFmt w:val="lowerLetter"/>
      <w:lvlText w:val="%5."/>
      <w:lvlJc w:val="left"/>
      <w:pPr>
        <w:ind w:left="3600" w:hanging="360"/>
      </w:pPr>
    </w:lvl>
    <w:lvl w:ilvl="5" w:tplc="856858D6">
      <w:start w:val="1"/>
      <w:numFmt w:val="lowerRoman"/>
      <w:lvlText w:val="%6."/>
      <w:lvlJc w:val="right"/>
      <w:pPr>
        <w:ind w:left="4320" w:hanging="180"/>
      </w:pPr>
    </w:lvl>
    <w:lvl w:ilvl="6" w:tplc="7AA47224">
      <w:start w:val="1"/>
      <w:numFmt w:val="decimal"/>
      <w:lvlText w:val="%7."/>
      <w:lvlJc w:val="left"/>
      <w:pPr>
        <w:ind w:left="5040" w:hanging="360"/>
      </w:pPr>
    </w:lvl>
    <w:lvl w:ilvl="7" w:tplc="57CEFFA2">
      <w:start w:val="1"/>
      <w:numFmt w:val="lowerLetter"/>
      <w:lvlText w:val="%8."/>
      <w:lvlJc w:val="left"/>
      <w:pPr>
        <w:ind w:left="5760" w:hanging="360"/>
      </w:pPr>
    </w:lvl>
    <w:lvl w:ilvl="8" w:tplc="A1DE65FE">
      <w:start w:val="1"/>
      <w:numFmt w:val="lowerRoman"/>
      <w:lvlText w:val="%9."/>
      <w:lvlJc w:val="right"/>
      <w:pPr>
        <w:ind w:left="6480" w:hanging="180"/>
      </w:pPr>
    </w:lvl>
  </w:abstractNum>
  <w:abstractNum w:abstractNumId="50" w15:restartNumberingAfterBreak="0">
    <w:nsid w:val="57B46390"/>
    <w:multiLevelType w:val="hybridMultilevel"/>
    <w:tmpl w:val="742C2142"/>
    <w:lvl w:ilvl="0" w:tplc="9A30C3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58433C75"/>
    <w:multiLevelType w:val="hybridMultilevel"/>
    <w:tmpl w:val="42088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4867B1"/>
    <w:multiLevelType w:val="hybridMultilevel"/>
    <w:tmpl w:val="DD4400D2"/>
    <w:lvl w:ilvl="0" w:tplc="76E2620C">
      <w:start w:val="1"/>
      <w:numFmt w:val="decimal"/>
      <w:lvlText w:val="%1)"/>
      <w:lvlJc w:val="left"/>
      <w:pPr>
        <w:ind w:left="720" w:hanging="360"/>
      </w:pPr>
      <w:rPr>
        <w:rFonts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C52067"/>
    <w:multiLevelType w:val="multilevel"/>
    <w:tmpl w:val="02D4F74C"/>
    <w:styleLink w:val="n"/>
    <w:lvl w:ilvl="0">
      <w:start w:val="1"/>
      <w:numFmt w:val="none"/>
      <w:suff w:val="nothing"/>
      <w:lvlText w:val=""/>
      <w:lvlJc w:val="left"/>
      <w:pPr>
        <w:ind w:left="360" w:firstLine="0"/>
      </w:pPr>
      <w:rPr>
        <w:rFonts w:asciiTheme="minorHAnsi" w:hAnsiTheme="minorHAnsi" w:hint="default"/>
        <w:sz w:val="22"/>
      </w:rPr>
    </w:lvl>
    <w:lvl w:ilvl="1">
      <w:start w:val="1"/>
      <w:numFmt w:val="decimal"/>
      <w:lvlText w:val="%2"/>
      <w:lvlJc w:val="left"/>
      <w:pPr>
        <w:ind w:left="108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4" w15:restartNumberingAfterBreak="0">
    <w:nsid w:val="5C9222D0"/>
    <w:multiLevelType w:val="hybridMultilevel"/>
    <w:tmpl w:val="9254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E34073"/>
    <w:multiLevelType w:val="hybridMultilevel"/>
    <w:tmpl w:val="9934E1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030C67"/>
    <w:multiLevelType w:val="multilevel"/>
    <w:tmpl w:val="1E7491A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tabs>
          <w:tab w:val="num" w:pos="1440"/>
        </w:tabs>
        <w:ind w:left="1800" w:hanging="360"/>
      </w:pPr>
      <w:rPr>
        <w:rFonts w:ascii="font334" w:hAnsi="font334" w:hint="default"/>
      </w:rPr>
    </w:lvl>
    <w:lvl w:ilvl="4">
      <w:start w:val="1"/>
      <w:numFmt w:val="bullet"/>
      <w:lvlText w:val=""/>
      <w:lvlJc w:val="left"/>
      <w:pPr>
        <w:ind w:left="2160" w:hanging="360"/>
      </w:pPr>
      <w:rPr>
        <w:rFonts w:ascii="Wingdings" w:hAnsi="Wingdings" w:hint="default"/>
      </w:rPr>
    </w:lvl>
    <w:lvl w:ilvl="5">
      <w:start w:val="1"/>
      <w:numFmt w:val="bullet"/>
      <w:lvlText w:val="-"/>
      <w:lvlJc w:val="left"/>
      <w:pPr>
        <w:ind w:left="2520" w:hanging="360"/>
      </w:pPr>
      <w:rPr>
        <w:rFonts w:ascii="font334" w:hAnsi="font334"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57" w15:restartNumberingAfterBreak="0">
    <w:nsid w:val="5E1B0820"/>
    <w:multiLevelType w:val="multilevel"/>
    <w:tmpl w:val="46E2CA0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font334" w:hAnsi="font334"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tabs>
          <w:tab w:val="num" w:pos="1080"/>
        </w:tabs>
        <w:ind w:left="1440" w:hanging="360"/>
      </w:pPr>
      <w:rPr>
        <w:rFonts w:ascii="font334" w:hAnsi="font334"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font334" w:hAnsi="font334"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160" w:hanging="360"/>
      </w:pPr>
      <w:rPr>
        <w:rFonts w:ascii="Symbol" w:hAnsi="Symbol" w:hint="default"/>
      </w:rPr>
    </w:lvl>
    <w:lvl w:ilvl="8">
      <w:start w:val="1"/>
      <w:numFmt w:val="bullet"/>
      <w:lvlText w:val=""/>
      <w:lvlJc w:val="left"/>
      <w:pPr>
        <w:ind w:left="2520" w:hanging="360"/>
      </w:pPr>
      <w:rPr>
        <w:rFonts w:ascii="Symbol" w:hAnsi="Symbol" w:hint="default"/>
      </w:rPr>
    </w:lvl>
  </w:abstractNum>
  <w:abstractNum w:abstractNumId="58" w15:restartNumberingAfterBreak="0">
    <w:nsid w:val="5F673BD2"/>
    <w:multiLevelType w:val="hybridMultilevel"/>
    <w:tmpl w:val="CF080B50"/>
    <w:lvl w:ilvl="0" w:tplc="5BD43D8A">
      <w:start w:val="1"/>
      <w:numFmt w:val="bullet"/>
      <w:pStyle w:val="Sidebars-Bullets"/>
      <w:lvlText w:val=""/>
      <w:lvlJc w:val="left"/>
      <w:pPr>
        <w:ind w:left="720" w:hanging="360"/>
      </w:pPr>
      <w:rPr>
        <w:rFonts w:ascii="Wingdings" w:hAnsi="Wingdings"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9" w15:restartNumberingAfterBreak="0">
    <w:nsid w:val="60090C64"/>
    <w:multiLevelType w:val="hybridMultilevel"/>
    <w:tmpl w:val="B1BE6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DE7E04"/>
    <w:multiLevelType w:val="hybridMultilevel"/>
    <w:tmpl w:val="87BEF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004AFB"/>
    <w:multiLevelType w:val="hybridMultilevel"/>
    <w:tmpl w:val="98766132"/>
    <w:lvl w:ilvl="0" w:tplc="8BBC37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69353D3"/>
    <w:multiLevelType w:val="multilevel"/>
    <w:tmpl w:val="C1BA9196"/>
    <w:lvl w:ilvl="0">
      <w:start w:val="1"/>
      <w:numFmt w:val="bullet"/>
      <w:lvlText w:val=""/>
      <w:lvlJc w:val="left"/>
      <w:pPr>
        <w:ind w:left="576" w:hanging="288"/>
      </w:pPr>
      <w:rPr>
        <w:rFonts w:ascii="Symbol" w:hAnsi="Symbol" w:hint="default"/>
        <w:b/>
        <w:color w:val="CC0033" w:themeColor="accent1"/>
        <w:position w:val="2"/>
        <w:sz w:val="22"/>
      </w:rPr>
    </w:lvl>
    <w:lvl w:ilvl="1">
      <w:start w:val="1"/>
      <w:numFmt w:val="bullet"/>
      <w:lvlText w:val=""/>
      <w:lvlJc w:val="left"/>
      <w:pPr>
        <w:ind w:left="864" w:hanging="288"/>
      </w:pPr>
      <w:rPr>
        <w:rFonts w:ascii="Wingdings" w:hAnsi="Wingdings" w:hint="default"/>
        <w:color w:val="44546A" w:themeColor="text2"/>
        <w:sz w:val="22"/>
      </w:rPr>
    </w:lvl>
    <w:lvl w:ilvl="2">
      <w:start w:val="1"/>
      <w:numFmt w:val="bullet"/>
      <w:lvlText w:val=""/>
      <w:lvlJc w:val="left"/>
      <w:pPr>
        <w:ind w:left="1152" w:hanging="288"/>
      </w:pPr>
      <w:rPr>
        <w:rFonts w:ascii="Wingdings" w:hAnsi="Wingdings" w:hint="default"/>
        <w:color w:val="666666" w:themeColor="accent2"/>
      </w:rPr>
    </w:lvl>
    <w:lvl w:ilvl="3">
      <w:start w:val="1"/>
      <w:numFmt w:val="bullet"/>
      <w:lvlText w:val=""/>
      <w:lvlJc w:val="left"/>
      <w:pPr>
        <w:ind w:left="1440" w:hanging="288"/>
      </w:pPr>
      <w:rPr>
        <w:rFonts w:ascii="Wingdings" w:hAnsi="Wingdings" w:hint="default"/>
        <w:color w:val="A97C43" w:themeColor="accent4"/>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3" w15:restartNumberingAfterBreak="0">
    <w:nsid w:val="66A920CA"/>
    <w:multiLevelType w:val="hybridMultilevel"/>
    <w:tmpl w:val="53D6C81A"/>
    <w:lvl w:ilvl="0" w:tplc="6868DC7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FB44A1"/>
    <w:multiLevelType w:val="hybridMultilevel"/>
    <w:tmpl w:val="149640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D0A775A"/>
    <w:multiLevelType w:val="hybridMultilevel"/>
    <w:tmpl w:val="33CC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EF90EFE"/>
    <w:multiLevelType w:val="hybridMultilevel"/>
    <w:tmpl w:val="CBE0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12912A3"/>
    <w:multiLevelType w:val="hybridMultilevel"/>
    <w:tmpl w:val="6486E6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8" w15:restartNumberingAfterBreak="0">
    <w:nsid w:val="71AC12D4"/>
    <w:multiLevelType w:val="hybridMultilevel"/>
    <w:tmpl w:val="02D6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1AD4109"/>
    <w:multiLevelType w:val="hybridMultilevel"/>
    <w:tmpl w:val="149640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F5627C"/>
    <w:multiLevelType w:val="hybridMultilevel"/>
    <w:tmpl w:val="925441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6991ABA"/>
    <w:multiLevelType w:val="hybridMultilevel"/>
    <w:tmpl w:val="6B26053A"/>
    <w:lvl w:ilvl="0" w:tplc="2BA8476C">
      <w:start w:val="21"/>
      <w:numFmt w:val="bullet"/>
      <w:lvlText w:val=""/>
      <w:lvlJc w:val="left"/>
      <w:pPr>
        <w:ind w:left="720" w:hanging="360"/>
      </w:pPr>
      <w:rPr>
        <w:rFonts w:ascii="Wingdings" w:eastAsia="Times New Roman"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D35DC9"/>
    <w:multiLevelType w:val="hybridMultilevel"/>
    <w:tmpl w:val="8ADA4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A939E2"/>
    <w:multiLevelType w:val="hybridMultilevel"/>
    <w:tmpl w:val="9958316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CF5917"/>
    <w:multiLevelType w:val="hybridMultilevel"/>
    <w:tmpl w:val="28BAB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22378E"/>
    <w:multiLevelType w:val="hybridMultilevel"/>
    <w:tmpl w:val="FCD407A4"/>
    <w:lvl w:ilvl="0" w:tplc="7EECA1E2">
      <w:start w:val="1"/>
      <w:numFmt w:val="bullet"/>
      <w:pStyle w:val="Mainbody-Bullets"/>
      <w:lvlText w:val=""/>
      <w:lvlJc w:val="left"/>
      <w:pPr>
        <w:ind w:left="720" w:hanging="360"/>
      </w:pPr>
      <w:rPr>
        <w:rFonts w:ascii="Wingdings" w:hAnsi="Wingdings" w:hint="default"/>
      </w:rPr>
    </w:lvl>
    <w:lvl w:ilvl="1" w:tplc="AD40E17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876392">
    <w:abstractNumId w:val="49"/>
  </w:num>
  <w:num w:numId="2" w16cid:durableId="322860344">
    <w:abstractNumId w:val="30"/>
  </w:num>
  <w:num w:numId="3" w16cid:durableId="1940601623">
    <w:abstractNumId w:val="47"/>
  </w:num>
  <w:num w:numId="4" w16cid:durableId="540896749">
    <w:abstractNumId w:val="9"/>
  </w:num>
  <w:num w:numId="5" w16cid:durableId="2134714039">
    <w:abstractNumId w:val="8"/>
  </w:num>
  <w:num w:numId="6" w16cid:durableId="305206683">
    <w:abstractNumId w:val="7"/>
  </w:num>
  <w:num w:numId="7" w16cid:durableId="690226781">
    <w:abstractNumId w:val="6"/>
  </w:num>
  <w:num w:numId="8" w16cid:durableId="491456130">
    <w:abstractNumId w:val="5"/>
  </w:num>
  <w:num w:numId="9" w16cid:durableId="589119806">
    <w:abstractNumId w:val="4"/>
  </w:num>
  <w:num w:numId="10" w16cid:durableId="2013800515">
    <w:abstractNumId w:val="3"/>
  </w:num>
  <w:num w:numId="11" w16cid:durableId="1946575593">
    <w:abstractNumId w:val="2"/>
  </w:num>
  <w:num w:numId="12" w16cid:durableId="453914512">
    <w:abstractNumId w:val="1"/>
  </w:num>
  <w:num w:numId="13" w16cid:durableId="1409886084">
    <w:abstractNumId w:val="0"/>
  </w:num>
  <w:num w:numId="14" w16cid:durableId="1331181099">
    <w:abstractNumId w:val="32"/>
  </w:num>
  <w:num w:numId="15" w16cid:durableId="1670518">
    <w:abstractNumId w:val="28"/>
  </w:num>
  <w:num w:numId="16" w16cid:durableId="1214535118">
    <w:abstractNumId w:val="39"/>
  </w:num>
  <w:num w:numId="17" w16cid:durableId="1040977881">
    <w:abstractNumId w:val="33"/>
  </w:num>
  <w:num w:numId="18" w16cid:durableId="1530146998">
    <w:abstractNumId w:val="21"/>
  </w:num>
  <w:num w:numId="19" w16cid:durableId="1443574424">
    <w:abstractNumId w:val="11"/>
  </w:num>
  <w:num w:numId="20" w16cid:durableId="240913684">
    <w:abstractNumId w:val="66"/>
  </w:num>
  <w:num w:numId="21" w16cid:durableId="2063668778">
    <w:abstractNumId w:val="52"/>
  </w:num>
  <w:num w:numId="22" w16cid:durableId="238752057">
    <w:abstractNumId w:val="45"/>
  </w:num>
  <w:num w:numId="23" w16cid:durableId="1916552895">
    <w:abstractNumId w:val="65"/>
  </w:num>
  <w:num w:numId="24" w16cid:durableId="335806467">
    <w:abstractNumId w:val="51"/>
  </w:num>
  <w:num w:numId="25" w16cid:durableId="1381515944">
    <w:abstractNumId w:val="63"/>
  </w:num>
  <w:num w:numId="26" w16cid:durableId="2037390215">
    <w:abstractNumId w:val="16"/>
  </w:num>
  <w:num w:numId="27" w16cid:durableId="548735223">
    <w:abstractNumId w:val="57"/>
  </w:num>
  <w:num w:numId="28" w16cid:durableId="180171427">
    <w:abstractNumId w:val="22"/>
  </w:num>
  <w:num w:numId="29" w16cid:durableId="1045832563">
    <w:abstractNumId w:val="53"/>
  </w:num>
  <w:num w:numId="30" w16cid:durableId="810950780">
    <w:abstractNumId w:val="75"/>
  </w:num>
  <w:num w:numId="31" w16cid:durableId="1865822863">
    <w:abstractNumId w:val="58"/>
  </w:num>
  <w:num w:numId="32" w16cid:durableId="1225027694">
    <w:abstractNumId w:val="35"/>
  </w:num>
  <w:num w:numId="33" w16cid:durableId="11500578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2023667">
    <w:abstractNumId w:val="19"/>
  </w:num>
  <w:num w:numId="35" w16cid:durableId="189145433">
    <w:abstractNumId w:val="73"/>
  </w:num>
  <w:num w:numId="36" w16cid:durableId="625282144">
    <w:abstractNumId w:val="10"/>
  </w:num>
  <w:num w:numId="37" w16cid:durableId="751896683">
    <w:abstractNumId w:val="54"/>
  </w:num>
  <w:num w:numId="38" w16cid:durableId="1286278979">
    <w:abstractNumId w:val="64"/>
  </w:num>
  <w:num w:numId="39" w16cid:durableId="369457217">
    <w:abstractNumId w:val="23"/>
  </w:num>
  <w:num w:numId="40" w16cid:durableId="228266634">
    <w:abstractNumId w:val="43"/>
  </w:num>
  <w:num w:numId="41" w16cid:durableId="6945728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6933525">
    <w:abstractNumId w:val="14"/>
  </w:num>
  <w:num w:numId="43" w16cid:durableId="1074279766">
    <w:abstractNumId w:val="34"/>
  </w:num>
  <w:num w:numId="44" w16cid:durableId="719599085">
    <w:abstractNumId w:val="24"/>
  </w:num>
  <w:num w:numId="45" w16cid:durableId="1122307126">
    <w:abstractNumId w:val="25"/>
  </w:num>
  <w:num w:numId="46" w16cid:durableId="258829994">
    <w:abstractNumId w:val="46"/>
  </w:num>
  <w:num w:numId="47" w16cid:durableId="1119566379">
    <w:abstractNumId w:val="36"/>
  </w:num>
  <w:num w:numId="48" w16cid:durableId="138545388">
    <w:abstractNumId w:val="40"/>
  </w:num>
  <w:num w:numId="49" w16cid:durableId="1100107166">
    <w:abstractNumId w:val="28"/>
  </w:num>
  <w:num w:numId="50" w16cid:durableId="357052259">
    <w:abstractNumId w:val="13"/>
  </w:num>
  <w:num w:numId="51" w16cid:durableId="1995571439">
    <w:abstractNumId w:val="67"/>
  </w:num>
  <w:num w:numId="52" w16cid:durableId="1611626708">
    <w:abstractNumId w:val="41"/>
  </w:num>
  <w:num w:numId="53" w16cid:durableId="884827715">
    <w:abstractNumId w:val="26"/>
  </w:num>
  <w:num w:numId="54" w16cid:durableId="643897597">
    <w:abstractNumId w:val="56"/>
  </w:num>
  <w:num w:numId="55" w16cid:durableId="1513644466">
    <w:abstractNumId w:val="12"/>
  </w:num>
  <w:num w:numId="56" w16cid:durableId="1356467624">
    <w:abstractNumId w:val="69"/>
  </w:num>
  <w:num w:numId="57" w16cid:durableId="570040595">
    <w:abstractNumId w:val="29"/>
  </w:num>
  <w:num w:numId="58" w16cid:durableId="303086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72560565">
    <w:abstractNumId w:val="17"/>
  </w:num>
  <w:num w:numId="60" w16cid:durableId="779568418">
    <w:abstractNumId w:val="68"/>
  </w:num>
  <w:num w:numId="61" w16cid:durableId="592083191">
    <w:abstractNumId w:val="60"/>
  </w:num>
  <w:num w:numId="62" w16cid:durableId="500000834">
    <w:abstractNumId w:val="55"/>
  </w:num>
  <w:num w:numId="63" w16cid:durableId="1529102860">
    <w:abstractNumId w:val="59"/>
  </w:num>
  <w:num w:numId="64" w16cid:durableId="753667096">
    <w:abstractNumId w:val="27"/>
  </w:num>
  <w:num w:numId="65" w16cid:durableId="288704519">
    <w:abstractNumId w:val="38"/>
  </w:num>
  <w:num w:numId="66" w16cid:durableId="1787626570">
    <w:abstractNumId w:val="44"/>
  </w:num>
  <w:num w:numId="67" w16cid:durableId="227108600">
    <w:abstractNumId w:val="48"/>
  </w:num>
  <w:num w:numId="68" w16cid:durableId="1077751228">
    <w:abstractNumId w:val="72"/>
  </w:num>
  <w:num w:numId="69" w16cid:durableId="1310356365">
    <w:abstractNumId w:val="18"/>
  </w:num>
  <w:num w:numId="70" w16cid:durableId="651103090">
    <w:abstractNumId w:val="74"/>
  </w:num>
  <w:num w:numId="71" w16cid:durableId="425883104">
    <w:abstractNumId w:val="62"/>
  </w:num>
  <w:num w:numId="72" w16cid:durableId="1981570268">
    <w:abstractNumId w:val="70"/>
  </w:num>
  <w:num w:numId="73" w16cid:durableId="608315658">
    <w:abstractNumId w:val="37"/>
  </w:num>
  <w:num w:numId="74" w16cid:durableId="1046249414">
    <w:abstractNumId w:val="31"/>
  </w:num>
  <w:num w:numId="75" w16cid:durableId="2054381120">
    <w:abstractNumId w:val="61"/>
  </w:num>
  <w:num w:numId="76" w16cid:durableId="184566095">
    <w:abstractNumId w:val="71"/>
  </w:num>
  <w:num w:numId="77" w16cid:durableId="384990341">
    <w:abstractNumId w:val="42"/>
  </w:num>
  <w:num w:numId="78" w16cid:durableId="16213785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83568130">
    <w:abstractNumId w:val="39"/>
    <w:lvlOverride w:ilvl="0"/>
    <w:lvlOverride w:ilvl="1">
      <w:startOverride w:val="1"/>
    </w:lvlOverride>
    <w:lvlOverride w:ilvl="2"/>
    <w:lvlOverride w:ilvl="3"/>
    <w:lvlOverride w:ilvl="4"/>
    <w:lvlOverride w:ilvl="5"/>
    <w:lvlOverride w:ilvl="6"/>
    <w:lvlOverride w:ilvl="7"/>
    <w:lvlOverride w:ilvl="8"/>
  </w:num>
  <w:num w:numId="80" w16cid:durableId="6996277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485280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0NDQyMDY3tDA2tjBQ0lEKTi0uzszPAykwqgUAlu9VRSwAAAA="/>
  </w:docVars>
  <w:rsids>
    <w:rsidRoot w:val="00482AC5"/>
    <w:rsid w:val="00000246"/>
    <w:rsid w:val="000007DE"/>
    <w:rsid w:val="00000A64"/>
    <w:rsid w:val="00000E9F"/>
    <w:rsid w:val="00001B8F"/>
    <w:rsid w:val="00001E4E"/>
    <w:rsid w:val="00002365"/>
    <w:rsid w:val="00002B1F"/>
    <w:rsid w:val="00002BB6"/>
    <w:rsid w:val="00002E68"/>
    <w:rsid w:val="0000304D"/>
    <w:rsid w:val="00003412"/>
    <w:rsid w:val="00003A2C"/>
    <w:rsid w:val="000046D7"/>
    <w:rsid w:val="000049CC"/>
    <w:rsid w:val="00004D9C"/>
    <w:rsid w:val="00004DC2"/>
    <w:rsid w:val="00004E5D"/>
    <w:rsid w:val="000054FC"/>
    <w:rsid w:val="0000554E"/>
    <w:rsid w:val="00005C58"/>
    <w:rsid w:val="00005E92"/>
    <w:rsid w:val="0000606A"/>
    <w:rsid w:val="000060DB"/>
    <w:rsid w:val="00006F10"/>
    <w:rsid w:val="0000714C"/>
    <w:rsid w:val="0000721B"/>
    <w:rsid w:val="00007348"/>
    <w:rsid w:val="00007383"/>
    <w:rsid w:val="00007456"/>
    <w:rsid w:val="000077FD"/>
    <w:rsid w:val="00007835"/>
    <w:rsid w:val="000103B0"/>
    <w:rsid w:val="00011571"/>
    <w:rsid w:val="000117C7"/>
    <w:rsid w:val="000118C3"/>
    <w:rsid w:val="00011940"/>
    <w:rsid w:val="00011B25"/>
    <w:rsid w:val="000121E7"/>
    <w:rsid w:val="00012247"/>
    <w:rsid w:val="0001259E"/>
    <w:rsid w:val="00013176"/>
    <w:rsid w:val="00013224"/>
    <w:rsid w:val="00013469"/>
    <w:rsid w:val="000137AB"/>
    <w:rsid w:val="00013C1F"/>
    <w:rsid w:val="00013F44"/>
    <w:rsid w:val="0001422D"/>
    <w:rsid w:val="00014328"/>
    <w:rsid w:val="00014475"/>
    <w:rsid w:val="00014582"/>
    <w:rsid w:val="000147BB"/>
    <w:rsid w:val="000148D9"/>
    <w:rsid w:val="00014E25"/>
    <w:rsid w:val="00015091"/>
    <w:rsid w:val="000151FE"/>
    <w:rsid w:val="0001581B"/>
    <w:rsid w:val="00015B18"/>
    <w:rsid w:val="00016027"/>
    <w:rsid w:val="000167A2"/>
    <w:rsid w:val="000178C4"/>
    <w:rsid w:val="00017ACF"/>
    <w:rsid w:val="00017BAB"/>
    <w:rsid w:val="00017DFE"/>
    <w:rsid w:val="000200B3"/>
    <w:rsid w:val="00020BBF"/>
    <w:rsid w:val="00020DFC"/>
    <w:rsid w:val="000215AD"/>
    <w:rsid w:val="00021AB0"/>
    <w:rsid w:val="00021FB1"/>
    <w:rsid w:val="00022144"/>
    <w:rsid w:val="00022453"/>
    <w:rsid w:val="000225CD"/>
    <w:rsid w:val="00022768"/>
    <w:rsid w:val="0002282F"/>
    <w:rsid w:val="0002284D"/>
    <w:rsid w:val="00022A50"/>
    <w:rsid w:val="000235BB"/>
    <w:rsid w:val="000239DC"/>
    <w:rsid w:val="00023EE2"/>
    <w:rsid w:val="000241DF"/>
    <w:rsid w:val="0002457D"/>
    <w:rsid w:val="00025003"/>
    <w:rsid w:val="000254C9"/>
    <w:rsid w:val="00025B86"/>
    <w:rsid w:val="00025C92"/>
    <w:rsid w:val="00025CA6"/>
    <w:rsid w:val="00026130"/>
    <w:rsid w:val="00026357"/>
    <w:rsid w:val="0002646A"/>
    <w:rsid w:val="00026FB9"/>
    <w:rsid w:val="00027093"/>
    <w:rsid w:val="000276C6"/>
    <w:rsid w:val="00027AD2"/>
    <w:rsid w:val="00027D3F"/>
    <w:rsid w:val="000300AC"/>
    <w:rsid w:val="00030B16"/>
    <w:rsid w:val="00030EC1"/>
    <w:rsid w:val="000312AA"/>
    <w:rsid w:val="00031535"/>
    <w:rsid w:val="00031715"/>
    <w:rsid w:val="000317A1"/>
    <w:rsid w:val="00031B50"/>
    <w:rsid w:val="00032957"/>
    <w:rsid w:val="00032BD2"/>
    <w:rsid w:val="00032C38"/>
    <w:rsid w:val="00033013"/>
    <w:rsid w:val="000330CF"/>
    <w:rsid w:val="000331EA"/>
    <w:rsid w:val="00033895"/>
    <w:rsid w:val="00033BB1"/>
    <w:rsid w:val="00034886"/>
    <w:rsid w:val="00035036"/>
    <w:rsid w:val="000355D8"/>
    <w:rsid w:val="00035818"/>
    <w:rsid w:val="00035A8A"/>
    <w:rsid w:val="0003609B"/>
    <w:rsid w:val="000360D7"/>
    <w:rsid w:val="000361FB"/>
    <w:rsid w:val="00036555"/>
    <w:rsid w:val="00036772"/>
    <w:rsid w:val="000369EC"/>
    <w:rsid w:val="00036DB8"/>
    <w:rsid w:val="00036E3B"/>
    <w:rsid w:val="00037134"/>
    <w:rsid w:val="00037466"/>
    <w:rsid w:val="000377B6"/>
    <w:rsid w:val="00037CAD"/>
    <w:rsid w:val="00040343"/>
    <w:rsid w:val="000403E3"/>
    <w:rsid w:val="00040493"/>
    <w:rsid w:val="000407F9"/>
    <w:rsid w:val="00040965"/>
    <w:rsid w:val="00040D90"/>
    <w:rsid w:val="00040EEC"/>
    <w:rsid w:val="0004160D"/>
    <w:rsid w:val="0004161B"/>
    <w:rsid w:val="00041976"/>
    <w:rsid w:val="00042707"/>
    <w:rsid w:val="000428B1"/>
    <w:rsid w:val="0004296A"/>
    <w:rsid w:val="00042E89"/>
    <w:rsid w:val="00042FB9"/>
    <w:rsid w:val="0004318E"/>
    <w:rsid w:val="00043344"/>
    <w:rsid w:val="00043700"/>
    <w:rsid w:val="000438DA"/>
    <w:rsid w:val="00043E38"/>
    <w:rsid w:val="000442E4"/>
    <w:rsid w:val="0004458D"/>
    <w:rsid w:val="000452C3"/>
    <w:rsid w:val="0004566E"/>
    <w:rsid w:val="000456C9"/>
    <w:rsid w:val="00045985"/>
    <w:rsid w:val="00045DF3"/>
    <w:rsid w:val="0004638E"/>
    <w:rsid w:val="00046563"/>
    <w:rsid w:val="0004779F"/>
    <w:rsid w:val="00047B8B"/>
    <w:rsid w:val="00047D36"/>
    <w:rsid w:val="000507FE"/>
    <w:rsid w:val="00050AB4"/>
    <w:rsid w:val="00050B2A"/>
    <w:rsid w:val="00050E43"/>
    <w:rsid w:val="0005109D"/>
    <w:rsid w:val="00051E0A"/>
    <w:rsid w:val="00052397"/>
    <w:rsid w:val="0005264D"/>
    <w:rsid w:val="00052872"/>
    <w:rsid w:val="00052E1C"/>
    <w:rsid w:val="00053046"/>
    <w:rsid w:val="0005306D"/>
    <w:rsid w:val="00053504"/>
    <w:rsid w:val="0005366E"/>
    <w:rsid w:val="00053780"/>
    <w:rsid w:val="00053880"/>
    <w:rsid w:val="0005391E"/>
    <w:rsid w:val="000539C4"/>
    <w:rsid w:val="00053EF9"/>
    <w:rsid w:val="000540B0"/>
    <w:rsid w:val="0005427A"/>
    <w:rsid w:val="00054412"/>
    <w:rsid w:val="000544F5"/>
    <w:rsid w:val="000545D4"/>
    <w:rsid w:val="000547BD"/>
    <w:rsid w:val="00054944"/>
    <w:rsid w:val="00055232"/>
    <w:rsid w:val="00055242"/>
    <w:rsid w:val="0005580A"/>
    <w:rsid w:val="00055F0E"/>
    <w:rsid w:val="00055F8A"/>
    <w:rsid w:val="00056AE9"/>
    <w:rsid w:val="00056BB8"/>
    <w:rsid w:val="000570C2"/>
    <w:rsid w:val="000571E8"/>
    <w:rsid w:val="000576D0"/>
    <w:rsid w:val="000577B3"/>
    <w:rsid w:val="00057BAA"/>
    <w:rsid w:val="0006044E"/>
    <w:rsid w:val="00060C37"/>
    <w:rsid w:val="00061836"/>
    <w:rsid w:val="00061917"/>
    <w:rsid w:val="00061F5B"/>
    <w:rsid w:val="00061FFB"/>
    <w:rsid w:val="00062063"/>
    <w:rsid w:val="0006242F"/>
    <w:rsid w:val="00062583"/>
    <w:rsid w:val="00062703"/>
    <w:rsid w:val="000628BB"/>
    <w:rsid w:val="00062D8C"/>
    <w:rsid w:val="0006314A"/>
    <w:rsid w:val="00063DC8"/>
    <w:rsid w:val="00063E14"/>
    <w:rsid w:val="000648DB"/>
    <w:rsid w:val="00064963"/>
    <w:rsid w:val="00064C7D"/>
    <w:rsid w:val="00064D06"/>
    <w:rsid w:val="00064D9C"/>
    <w:rsid w:val="00064E4D"/>
    <w:rsid w:val="00064F4A"/>
    <w:rsid w:val="00065ABF"/>
    <w:rsid w:val="00065D6E"/>
    <w:rsid w:val="00066147"/>
    <w:rsid w:val="000669AC"/>
    <w:rsid w:val="00066E58"/>
    <w:rsid w:val="00066F15"/>
    <w:rsid w:val="000672DE"/>
    <w:rsid w:val="00067363"/>
    <w:rsid w:val="000673F3"/>
    <w:rsid w:val="00067BA2"/>
    <w:rsid w:val="00067D0B"/>
    <w:rsid w:val="00067E0E"/>
    <w:rsid w:val="00070155"/>
    <w:rsid w:val="00070261"/>
    <w:rsid w:val="00070A33"/>
    <w:rsid w:val="00070C0E"/>
    <w:rsid w:val="00071088"/>
    <w:rsid w:val="00071330"/>
    <w:rsid w:val="0007166E"/>
    <w:rsid w:val="000716C6"/>
    <w:rsid w:val="00071E41"/>
    <w:rsid w:val="00071F86"/>
    <w:rsid w:val="000722B0"/>
    <w:rsid w:val="00072814"/>
    <w:rsid w:val="00072894"/>
    <w:rsid w:val="00072B5D"/>
    <w:rsid w:val="00072D14"/>
    <w:rsid w:val="0007330A"/>
    <w:rsid w:val="00073891"/>
    <w:rsid w:val="000739D0"/>
    <w:rsid w:val="00073E52"/>
    <w:rsid w:val="00073FB9"/>
    <w:rsid w:val="00074220"/>
    <w:rsid w:val="0007447A"/>
    <w:rsid w:val="00074CE3"/>
    <w:rsid w:val="00074D7A"/>
    <w:rsid w:val="000752F3"/>
    <w:rsid w:val="00075B6A"/>
    <w:rsid w:val="00075E24"/>
    <w:rsid w:val="0007614D"/>
    <w:rsid w:val="00076C73"/>
    <w:rsid w:val="0007713A"/>
    <w:rsid w:val="000774E3"/>
    <w:rsid w:val="0007760C"/>
    <w:rsid w:val="0007773A"/>
    <w:rsid w:val="0008030B"/>
    <w:rsid w:val="000804C6"/>
    <w:rsid w:val="00081461"/>
    <w:rsid w:val="0008164A"/>
    <w:rsid w:val="00081F8F"/>
    <w:rsid w:val="00082148"/>
    <w:rsid w:val="000825A8"/>
    <w:rsid w:val="0008271E"/>
    <w:rsid w:val="000827B8"/>
    <w:rsid w:val="00082C63"/>
    <w:rsid w:val="000831FC"/>
    <w:rsid w:val="000835C5"/>
    <w:rsid w:val="00083720"/>
    <w:rsid w:val="000837FD"/>
    <w:rsid w:val="0008416F"/>
    <w:rsid w:val="0008431D"/>
    <w:rsid w:val="000844DF"/>
    <w:rsid w:val="00084505"/>
    <w:rsid w:val="00084AB5"/>
    <w:rsid w:val="00084BC8"/>
    <w:rsid w:val="0008522F"/>
    <w:rsid w:val="00085AC7"/>
    <w:rsid w:val="0008605B"/>
    <w:rsid w:val="00086376"/>
    <w:rsid w:val="000864DC"/>
    <w:rsid w:val="000867D0"/>
    <w:rsid w:val="00086DA5"/>
    <w:rsid w:val="00086FB4"/>
    <w:rsid w:val="00087564"/>
    <w:rsid w:val="00087644"/>
    <w:rsid w:val="00087847"/>
    <w:rsid w:val="000878BE"/>
    <w:rsid w:val="00087BC6"/>
    <w:rsid w:val="00087F32"/>
    <w:rsid w:val="0009002A"/>
    <w:rsid w:val="00090198"/>
    <w:rsid w:val="00090286"/>
    <w:rsid w:val="00090636"/>
    <w:rsid w:val="00090646"/>
    <w:rsid w:val="00090C4F"/>
    <w:rsid w:val="00090E76"/>
    <w:rsid w:val="000913F6"/>
    <w:rsid w:val="000918DA"/>
    <w:rsid w:val="0009195D"/>
    <w:rsid w:val="00091E7D"/>
    <w:rsid w:val="000926A8"/>
    <w:rsid w:val="00092A02"/>
    <w:rsid w:val="00092AC0"/>
    <w:rsid w:val="00092E74"/>
    <w:rsid w:val="00093221"/>
    <w:rsid w:val="00093822"/>
    <w:rsid w:val="00093983"/>
    <w:rsid w:val="000944B7"/>
    <w:rsid w:val="0009469F"/>
    <w:rsid w:val="00094BF3"/>
    <w:rsid w:val="000952A5"/>
    <w:rsid w:val="00095479"/>
    <w:rsid w:val="00095616"/>
    <w:rsid w:val="00095E19"/>
    <w:rsid w:val="00096324"/>
    <w:rsid w:val="00096362"/>
    <w:rsid w:val="0009644D"/>
    <w:rsid w:val="00096AAE"/>
    <w:rsid w:val="00096DC1"/>
    <w:rsid w:val="00097111"/>
    <w:rsid w:val="0009739E"/>
    <w:rsid w:val="00097C4D"/>
    <w:rsid w:val="00097D3A"/>
    <w:rsid w:val="00097F2F"/>
    <w:rsid w:val="000A0093"/>
    <w:rsid w:val="000A031A"/>
    <w:rsid w:val="000A06E1"/>
    <w:rsid w:val="000A0C71"/>
    <w:rsid w:val="000A0E88"/>
    <w:rsid w:val="000A19B5"/>
    <w:rsid w:val="000A1DD5"/>
    <w:rsid w:val="000A21AC"/>
    <w:rsid w:val="000A226B"/>
    <w:rsid w:val="000A2356"/>
    <w:rsid w:val="000A2562"/>
    <w:rsid w:val="000A25C9"/>
    <w:rsid w:val="000A27BB"/>
    <w:rsid w:val="000A2AAF"/>
    <w:rsid w:val="000A2CEE"/>
    <w:rsid w:val="000A3052"/>
    <w:rsid w:val="000A3059"/>
    <w:rsid w:val="000A3BCC"/>
    <w:rsid w:val="000A3DAE"/>
    <w:rsid w:val="000A4CD7"/>
    <w:rsid w:val="000A568C"/>
    <w:rsid w:val="000A587A"/>
    <w:rsid w:val="000A5D8D"/>
    <w:rsid w:val="000A5DD6"/>
    <w:rsid w:val="000A61FD"/>
    <w:rsid w:val="000A622C"/>
    <w:rsid w:val="000A626D"/>
    <w:rsid w:val="000A67A8"/>
    <w:rsid w:val="000A68FA"/>
    <w:rsid w:val="000A6E88"/>
    <w:rsid w:val="000A73FA"/>
    <w:rsid w:val="000A7992"/>
    <w:rsid w:val="000A7AC9"/>
    <w:rsid w:val="000A7D19"/>
    <w:rsid w:val="000B0087"/>
    <w:rsid w:val="000B03FE"/>
    <w:rsid w:val="000B0C63"/>
    <w:rsid w:val="000B133A"/>
    <w:rsid w:val="000B1363"/>
    <w:rsid w:val="000B14DD"/>
    <w:rsid w:val="000B1844"/>
    <w:rsid w:val="000B1B95"/>
    <w:rsid w:val="000B1CDA"/>
    <w:rsid w:val="000B1D76"/>
    <w:rsid w:val="000B2690"/>
    <w:rsid w:val="000B28A0"/>
    <w:rsid w:val="000B28F0"/>
    <w:rsid w:val="000B2E99"/>
    <w:rsid w:val="000B33D3"/>
    <w:rsid w:val="000B3CF1"/>
    <w:rsid w:val="000B3E32"/>
    <w:rsid w:val="000B3FB9"/>
    <w:rsid w:val="000B4230"/>
    <w:rsid w:val="000B4D67"/>
    <w:rsid w:val="000B56B9"/>
    <w:rsid w:val="000B58CD"/>
    <w:rsid w:val="000B5E2A"/>
    <w:rsid w:val="000B5E58"/>
    <w:rsid w:val="000B6101"/>
    <w:rsid w:val="000B638D"/>
    <w:rsid w:val="000B6EBE"/>
    <w:rsid w:val="000B6F73"/>
    <w:rsid w:val="000B7463"/>
    <w:rsid w:val="000B7720"/>
    <w:rsid w:val="000B7FFB"/>
    <w:rsid w:val="000C0159"/>
    <w:rsid w:val="000C0617"/>
    <w:rsid w:val="000C0838"/>
    <w:rsid w:val="000C0A12"/>
    <w:rsid w:val="000C0E77"/>
    <w:rsid w:val="000C0E96"/>
    <w:rsid w:val="000C10EC"/>
    <w:rsid w:val="000C15A4"/>
    <w:rsid w:val="000C18A9"/>
    <w:rsid w:val="000C2714"/>
    <w:rsid w:val="000C28A0"/>
    <w:rsid w:val="000C2FC7"/>
    <w:rsid w:val="000C3229"/>
    <w:rsid w:val="000C3ECA"/>
    <w:rsid w:val="000C3F4E"/>
    <w:rsid w:val="000C4079"/>
    <w:rsid w:val="000C4709"/>
    <w:rsid w:val="000C477C"/>
    <w:rsid w:val="000C4C02"/>
    <w:rsid w:val="000C4C74"/>
    <w:rsid w:val="000C4F3F"/>
    <w:rsid w:val="000C567D"/>
    <w:rsid w:val="000C5848"/>
    <w:rsid w:val="000C62E9"/>
    <w:rsid w:val="000C6987"/>
    <w:rsid w:val="000C7083"/>
    <w:rsid w:val="000C79F4"/>
    <w:rsid w:val="000C7ABF"/>
    <w:rsid w:val="000D0A73"/>
    <w:rsid w:val="000D1328"/>
    <w:rsid w:val="000D17C8"/>
    <w:rsid w:val="000D1D09"/>
    <w:rsid w:val="000D1DF4"/>
    <w:rsid w:val="000D1E49"/>
    <w:rsid w:val="000D2538"/>
    <w:rsid w:val="000D2550"/>
    <w:rsid w:val="000D2835"/>
    <w:rsid w:val="000D28BB"/>
    <w:rsid w:val="000D291E"/>
    <w:rsid w:val="000D2CEC"/>
    <w:rsid w:val="000D2CF7"/>
    <w:rsid w:val="000D2D03"/>
    <w:rsid w:val="000D2DF8"/>
    <w:rsid w:val="000D32DF"/>
    <w:rsid w:val="000D3337"/>
    <w:rsid w:val="000D362F"/>
    <w:rsid w:val="000D3B2A"/>
    <w:rsid w:val="000D3D5F"/>
    <w:rsid w:val="000D4A74"/>
    <w:rsid w:val="000D4AF1"/>
    <w:rsid w:val="000D52B7"/>
    <w:rsid w:val="000D5943"/>
    <w:rsid w:val="000D5B2B"/>
    <w:rsid w:val="000D5F3D"/>
    <w:rsid w:val="000D6A3E"/>
    <w:rsid w:val="000D6E8E"/>
    <w:rsid w:val="000D749D"/>
    <w:rsid w:val="000E0DF4"/>
    <w:rsid w:val="000E0EDB"/>
    <w:rsid w:val="000E1656"/>
    <w:rsid w:val="000E1660"/>
    <w:rsid w:val="000E19B2"/>
    <w:rsid w:val="000E1B1F"/>
    <w:rsid w:val="000E21D1"/>
    <w:rsid w:val="000E2554"/>
    <w:rsid w:val="000E280C"/>
    <w:rsid w:val="000E2964"/>
    <w:rsid w:val="000E2D33"/>
    <w:rsid w:val="000E3511"/>
    <w:rsid w:val="000E351B"/>
    <w:rsid w:val="000E37A9"/>
    <w:rsid w:val="000E3E76"/>
    <w:rsid w:val="000E43A9"/>
    <w:rsid w:val="000E44BB"/>
    <w:rsid w:val="000E44C6"/>
    <w:rsid w:val="000E4E39"/>
    <w:rsid w:val="000E54A3"/>
    <w:rsid w:val="000E57F3"/>
    <w:rsid w:val="000E5CEE"/>
    <w:rsid w:val="000E5EE8"/>
    <w:rsid w:val="000E6277"/>
    <w:rsid w:val="000E6469"/>
    <w:rsid w:val="000E669D"/>
    <w:rsid w:val="000E6988"/>
    <w:rsid w:val="000E6B0C"/>
    <w:rsid w:val="000E6B68"/>
    <w:rsid w:val="000E6E29"/>
    <w:rsid w:val="000E71FE"/>
    <w:rsid w:val="000E74EB"/>
    <w:rsid w:val="000E7B8B"/>
    <w:rsid w:val="000F0308"/>
    <w:rsid w:val="000F09F7"/>
    <w:rsid w:val="000F0BEA"/>
    <w:rsid w:val="000F0CAE"/>
    <w:rsid w:val="000F0FAF"/>
    <w:rsid w:val="000F10D9"/>
    <w:rsid w:val="000F1B7A"/>
    <w:rsid w:val="000F1BC8"/>
    <w:rsid w:val="000F1CCC"/>
    <w:rsid w:val="000F1D4B"/>
    <w:rsid w:val="000F1FCA"/>
    <w:rsid w:val="000F23D4"/>
    <w:rsid w:val="000F2DD3"/>
    <w:rsid w:val="000F2ED5"/>
    <w:rsid w:val="000F3300"/>
    <w:rsid w:val="000F3B0A"/>
    <w:rsid w:val="000F3C0F"/>
    <w:rsid w:val="000F414A"/>
    <w:rsid w:val="000F429F"/>
    <w:rsid w:val="000F457A"/>
    <w:rsid w:val="000F4745"/>
    <w:rsid w:val="000F4B46"/>
    <w:rsid w:val="000F57AE"/>
    <w:rsid w:val="000F587B"/>
    <w:rsid w:val="000F5B53"/>
    <w:rsid w:val="000F60FE"/>
    <w:rsid w:val="000F6384"/>
    <w:rsid w:val="000F6491"/>
    <w:rsid w:val="000F679E"/>
    <w:rsid w:val="000F6BC9"/>
    <w:rsid w:val="000F6CE2"/>
    <w:rsid w:val="000F701B"/>
    <w:rsid w:val="000F73E6"/>
    <w:rsid w:val="000F7B36"/>
    <w:rsid w:val="00100093"/>
    <w:rsid w:val="001000B1"/>
    <w:rsid w:val="0010088C"/>
    <w:rsid w:val="001008E7"/>
    <w:rsid w:val="00100ABF"/>
    <w:rsid w:val="00100C04"/>
    <w:rsid w:val="00101354"/>
    <w:rsid w:val="00101782"/>
    <w:rsid w:val="001018C8"/>
    <w:rsid w:val="00102146"/>
    <w:rsid w:val="00102690"/>
    <w:rsid w:val="00103352"/>
    <w:rsid w:val="00103365"/>
    <w:rsid w:val="00103870"/>
    <w:rsid w:val="001039CC"/>
    <w:rsid w:val="00103ECA"/>
    <w:rsid w:val="001042C4"/>
    <w:rsid w:val="0010442E"/>
    <w:rsid w:val="00104799"/>
    <w:rsid w:val="0010480F"/>
    <w:rsid w:val="00104AC8"/>
    <w:rsid w:val="00104FD0"/>
    <w:rsid w:val="00105514"/>
    <w:rsid w:val="00105555"/>
    <w:rsid w:val="0010556B"/>
    <w:rsid w:val="0010581D"/>
    <w:rsid w:val="00106694"/>
    <w:rsid w:val="001067B4"/>
    <w:rsid w:val="00106903"/>
    <w:rsid w:val="00106FBF"/>
    <w:rsid w:val="001071FD"/>
    <w:rsid w:val="00107729"/>
    <w:rsid w:val="001078FE"/>
    <w:rsid w:val="00107B79"/>
    <w:rsid w:val="00107F7B"/>
    <w:rsid w:val="00110333"/>
    <w:rsid w:val="001103DD"/>
    <w:rsid w:val="001106F8"/>
    <w:rsid w:val="001106FF"/>
    <w:rsid w:val="001107C9"/>
    <w:rsid w:val="00110A1D"/>
    <w:rsid w:val="00110DD9"/>
    <w:rsid w:val="00110EFF"/>
    <w:rsid w:val="001117CF"/>
    <w:rsid w:val="001124D7"/>
    <w:rsid w:val="001127D9"/>
    <w:rsid w:val="00112AB3"/>
    <w:rsid w:val="001136AE"/>
    <w:rsid w:val="00113776"/>
    <w:rsid w:val="0011439E"/>
    <w:rsid w:val="001143DD"/>
    <w:rsid w:val="00114A05"/>
    <w:rsid w:val="00115287"/>
    <w:rsid w:val="00115B14"/>
    <w:rsid w:val="0011647A"/>
    <w:rsid w:val="00116557"/>
    <w:rsid w:val="00116694"/>
    <w:rsid w:val="0011723D"/>
    <w:rsid w:val="0011738E"/>
    <w:rsid w:val="0011769E"/>
    <w:rsid w:val="001177EA"/>
    <w:rsid w:val="001179F4"/>
    <w:rsid w:val="00117E02"/>
    <w:rsid w:val="001203A8"/>
    <w:rsid w:val="00120677"/>
    <w:rsid w:val="00120B12"/>
    <w:rsid w:val="00120D1E"/>
    <w:rsid w:val="00120FD9"/>
    <w:rsid w:val="00121041"/>
    <w:rsid w:val="001211DA"/>
    <w:rsid w:val="0012121D"/>
    <w:rsid w:val="00121434"/>
    <w:rsid w:val="001215C7"/>
    <w:rsid w:val="00121732"/>
    <w:rsid w:val="0012174C"/>
    <w:rsid w:val="00121988"/>
    <w:rsid w:val="00121A5A"/>
    <w:rsid w:val="00122370"/>
    <w:rsid w:val="0012257F"/>
    <w:rsid w:val="00122778"/>
    <w:rsid w:val="00122B4C"/>
    <w:rsid w:val="001230D7"/>
    <w:rsid w:val="00123106"/>
    <w:rsid w:val="001238E6"/>
    <w:rsid w:val="00123E32"/>
    <w:rsid w:val="001240CC"/>
    <w:rsid w:val="0012490B"/>
    <w:rsid w:val="00124B0A"/>
    <w:rsid w:val="00124F25"/>
    <w:rsid w:val="00125439"/>
    <w:rsid w:val="00125FA1"/>
    <w:rsid w:val="00126251"/>
    <w:rsid w:val="001262EB"/>
    <w:rsid w:val="001265C4"/>
    <w:rsid w:val="001266B2"/>
    <w:rsid w:val="001268C6"/>
    <w:rsid w:val="00126B95"/>
    <w:rsid w:val="00126D06"/>
    <w:rsid w:val="00126DA1"/>
    <w:rsid w:val="00126E8A"/>
    <w:rsid w:val="00127769"/>
    <w:rsid w:val="00127C2D"/>
    <w:rsid w:val="00127FD1"/>
    <w:rsid w:val="00130045"/>
    <w:rsid w:val="00130C00"/>
    <w:rsid w:val="00130F82"/>
    <w:rsid w:val="00131A5B"/>
    <w:rsid w:val="00131C1D"/>
    <w:rsid w:val="001321F6"/>
    <w:rsid w:val="0013239D"/>
    <w:rsid w:val="00132C6D"/>
    <w:rsid w:val="00133473"/>
    <w:rsid w:val="001336AE"/>
    <w:rsid w:val="00133C6B"/>
    <w:rsid w:val="00133D22"/>
    <w:rsid w:val="00134289"/>
    <w:rsid w:val="00135A71"/>
    <w:rsid w:val="00135A9F"/>
    <w:rsid w:val="00135C9E"/>
    <w:rsid w:val="00136153"/>
    <w:rsid w:val="001367F0"/>
    <w:rsid w:val="001368B0"/>
    <w:rsid w:val="00136A01"/>
    <w:rsid w:val="00136B11"/>
    <w:rsid w:val="00136E5D"/>
    <w:rsid w:val="00136F95"/>
    <w:rsid w:val="0013786D"/>
    <w:rsid w:val="00137878"/>
    <w:rsid w:val="00137CE1"/>
    <w:rsid w:val="00137D1E"/>
    <w:rsid w:val="00137D50"/>
    <w:rsid w:val="00137DA8"/>
    <w:rsid w:val="00137DAC"/>
    <w:rsid w:val="00137F39"/>
    <w:rsid w:val="00140D22"/>
    <w:rsid w:val="00140EC5"/>
    <w:rsid w:val="00140F17"/>
    <w:rsid w:val="00141017"/>
    <w:rsid w:val="001411C0"/>
    <w:rsid w:val="00141FE2"/>
    <w:rsid w:val="001424D8"/>
    <w:rsid w:val="00142602"/>
    <w:rsid w:val="001428F9"/>
    <w:rsid w:val="00142D8F"/>
    <w:rsid w:val="001436FA"/>
    <w:rsid w:val="001437A2"/>
    <w:rsid w:val="001437D7"/>
    <w:rsid w:val="00143AAB"/>
    <w:rsid w:val="00143D87"/>
    <w:rsid w:val="00143E47"/>
    <w:rsid w:val="00143F39"/>
    <w:rsid w:val="00143F59"/>
    <w:rsid w:val="00144543"/>
    <w:rsid w:val="001447F3"/>
    <w:rsid w:val="0014481A"/>
    <w:rsid w:val="0014483B"/>
    <w:rsid w:val="001448F7"/>
    <w:rsid w:val="001448FD"/>
    <w:rsid w:val="001449EC"/>
    <w:rsid w:val="001451FA"/>
    <w:rsid w:val="0014562C"/>
    <w:rsid w:val="00145D83"/>
    <w:rsid w:val="00145E0F"/>
    <w:rsid w:val="00146082"/>
    <w:rsid w:val="00146402"/>
    <w:rsid w:val="00146A69"/>
    <w:rsid w:val="00147596"/>
    <w:rsid w:val="00147C3B"/>
    <w:rsid w:val="00150050"/>
    <w:rsid w:val="001503D4"/>
    <w:rsid w:val="00150B45"/>
    <w:rsid w:val="00151529"/>
    <w:rsid w:val="0015153D"/>
    <w:rsid w:val="00151759"/>
    <w:rsid w:val="00151AF8"/>
    <w:rsid w:val="00151DB9"/>
    <w:rsid w:val="001522BC"/>
    <w:rsid w:val="00152544"/>
    <w:rsid w:val="00152A3A"/>
    <w:rsid w:val="00152AC3"/>
    <w:rsid w:val="00153540"/>
    <w:rsid w:val="001541E3"/>
    <w:rsid w:val="0015485A"/>
    <w:rsid w:val="00154BF1"/>
    <w:rsid w:val="00154D99"/>
    <w:rsid w:val="00155DD3"/>
    <w:rsid w:val="00155FC3"/>
    <w:rsid w:val="00156137"/>
    <w:rsid w:val="00156468"/>
    <w:rsid w:val="00156550"/>
    <w:rsid w:val="0015687F"/>
    <w:rsid w:val="00156D8D"/>
    <w:rsid w:val="00157BA7"/>
    <w:rsid w:val="00157BF9"/>
    <w:rsid w:val="00157D5A"/>
    <w:rsid w:val="0016022F"/>
    <w:rsid w:val="00160244"/>
    <w:rsid w:val="00160C61"/>
    <w:rsid w:val="00160F66"/>
    <w:rsid w:val="0016106E"/>
    <w:rsid w:val="0016156D"/>
    <w:rsid w:val="00161714"/>
    <w:rsid w:val="0016188E"/>
    <w:rsid w:val="001625E0"/>
    <w:rsid w:val="00162660"/>
    <w:rsid w:val="00162910"/>
    <w:rsid w:val="00162C00"/>
    <w:rsid w:val="00163703"/>
    <w:rsid w:val="0016377F"/>
    <w:rsid w:val="00163F68"/>
    <w:rsid w:val="001640FD"/>
    <w:rsid w:val="001641C3"/>
    <w:rsid w:val="0016454A"/>
    <w:rsid w:val="001646F2"/>
    <w:rsid w:val="001646FE"/>
    <w:rsid w:val="001648F7"/>
    <w:rsid w:val="00164D87"/>
    <w:rsid w:val="0016526C"/>
    <w:rsid w:val="001657CB"/>
    <w:rsid w:val="00165F90"/>
    <w:rsid w:val="00166160"/>
    <w:rsid w:val="001661DF"/>
    <w:rsid w:val="00166918"/>
    <w:rsid w:val="00167405"/>
    <w:rsid w:val="0016742E"/>
    <w:rsid w:val="00167868"/>
    <w:rsid w:val="00167EF7"/>
    <w:rsid w:val="001701C8"/>
    <w:rsid w:val="00170C42"/>
    <w:rsid w:val="00171AE9"/>
    <w:rsid w:val="00171F24"/>
    <w:rsid w:val="001721ED"/>
    <w:rsid w:val="0017223A"/>
    <w:rsid w:val="00172915"/>
    <w:rsid w:val="00172D01"/>
    <w:rsid w:val="00172D79"/>
    <w:rsid w:val="00173BE3"/>
    <w:rsid w:val="00174078"/>
    <w:rsid w:val="001741F9"/>
    <w:rsid w:val="00174426"/>
    <w:rsid w:val="00174C73"/>
    <w:rsid w:val="00174CF5"/>
    <w:rsid w:val="00174D57"/>
    <w:rsid w:val="00174EC5"/>
    <w:rsid w:val="00175AE4"/>
    <w:rsid w:val="00175FBF"/>
    <w:rsid w:val="001760E9"/>
    <w:rsid w:val="001762F7"/>
    <w:rsid w:val="0017636A"/>
    <w:rsid w:val="001763A0"/>
    <w:rsid w:val="0017682B"/>
    <w:rsid w:val="00177009"/>
    <w:rsid w:val="00177035"/>
    <w:rsid w:val="00177472"/>
    <w:rsid w:val="001774EE"/>
    <w:rsid w:val="00177783"/>
    <w:rsid w:val="00177B19"/>
    <w:rsid w:val="0018075B"/>
    <w:rsid w:val="00180B0D"/>
    <w:rsid w:val="0018102D"/>
    <w:rsid w:val="00181128"/>
    <w:rsid w:val="001812FD"/>
    <w:rsid w:val="001813EE"/>
    <w:rsid w:val="00181834"/>
    <w:rsid w:val="001818D5"/>
    <w:rsid w:val="00181ADF"/>
    <w:rsid w:val="00181D05"/>
    <w:rsid w:val="001821D1"/>
    <w:rsid w:val="0018231D"/>
    <w:rsid w:val="001830A1"/>
    <w:rsid w:val="00183152"/>
    <w:rsid w:val="00183332"/>
    <w:rsid w:val="001834DA"/>
    <w:rsid w:val="00183C89"/>
    <w:rsid w:val="00183CEF"/>
    <w:rsid w:val="00183FC9"/>
    <w:rsid w:val="001840B9"/>
    <w:rsid w:val="00184E2F"/>
    <w:rsid w:val="001850E6"/>
    <w:rsid w:val="00185101"/>
    <w:rsid w:val="001853F7"/>
    <w:rsid w:val="001854BA"/>
    <w:rsid w:val="0018550D"/>
    <w:rsid w:val="001855AC"/>
    <w:rsid w:val="001855E8"/>
    <w:rsid w:val="0018561F"/>
    <w:rsid w:val="00185BB1"/>
    <w:rsid w:val="00185CBD"/>
    <w:rsid w:val="0018650B"/>
    <w:rsid w:val="001865D1"/>
    <w:rsid w:val="00186A2D"/>
    <w:rsid w:val="00186B39"/>
    <w:rsid w:val="0018727D"/>
    <w:rsid w:val="001872B1"/>
    <w:rsid w:val="001872CC"/>
    <w:rsid w:val="001879CD"/>
    <w:rsid w:val="00187A23"/>
    <w:rsid w:val="00187AA1"/>
    <w:rsid w:val="00187FF8"/>
    <w:rsid w:val="00190155"/>
    <w:rsid w:val="00190313"/>
    <w:rsid w:val="00190557"/>
    <w:rsid w:val="00190611"/>
    <w:rsid w:val="00190BD3"/>
    <w:rsid w:val="00190EFC"/>
    <w:rsid w:val="001913B3"/>
    <w:rsid w:val="00191BB6"/>
    <w:rsid w:val="00191DF2"/>
    <w:rsid w:val="00192451"/>
    <w:rsid w:val="001924E5"/>
    <w:rsid w:val="00192DFE"/>
    <w:rsid w:val="00193254"/>
    <w:rsid w:val="00193A96"/>
    <w:rsid w:val="00193FB1"/>
    <w:rsid w:val="00194B58"/>
    <w:rsid w:val="00195204"/>
    <w:rsid w:val="00195D9A"/>
    <w:rsid w:val="00196828"/>
    <w:rsid w:val="00196989"/>
    <w:rsid w:val="00196A87"/>
    <w:rsid w:val="00196F57"/>
    <w:rsid w:val="00197455"/>
    <w:rsid w:val="001975AC"/>
    <w:rsid w:val="00197980"/>
    <w:rsid w:val="001979F5"/>
    <w:rsid w:val="00197B7A"/>
    <w:rsid w:val="001A067B"/>
    <w:rsid w:val="001A07A4"/>
    <w:rsid w:val="001A0AAE"/>
    <w:rsid w:val="001A0C69"/>
    <w:rsid w:val="001A1256"/>
    <w:rsid w:val="001A131F"/>
    <w:rsid w:val="001A1706"/>
    <w:rsid w:val="001A1FE5"/>
    <w:rsid w:val="001A2249"/>
    <w:rsid w:val="001A2C1C"/>
    <w:rsid w:val="001A2D5C"/>
    <w:rsid w:val="001A2E30"/>
    <w:rsid w:val="001A3395"/>
    <w:rsid w:val="001A34D0"/>
    <w:rsid w:val="001A3EA3"/>
    <w:rsid w:val="001A3F07"/>
    <w:rsid w:val="001A41F4"/>
    <w:rsid w:val="001A432B"/>
    <w:rsid w:val="001A4654"/>
    <w:rsid w:val="001A47BD"/>
    <w:rsid w:val="001A4850"/>
    <w:rsid w:val="001A4A6D"/>
    <w:rsid w:val="001A4A98"/>
    <w:rsid w:val="001A4D90"/>
    <w:rsid w:val="001A4E5C"/>
    <w:rsid w:val="001A5FE2"/>
    <w:rsid w:val="001A6218"/>
    <w:rsid w:val="001A67F0"/>
    <w:rsid w:val="001A69BB"/>
    <w:rsid w:val="001A6A3B"/>
    <w:rsid w:val="001A6DA5"/>
    <w:rsid w:val="001A77E4"/>
    <w:rsid w:val="001A7B89"/>
    <w:rsid w:val="001A7DC0"/>
    <w:rsid w:val="001B013C"/>
    <w:rsid w:val="001B038E"/>
    <w:rsid w:val="001B0480"/>
    <w:rsid w:val="001B0B15"/>
    <w:rsid w:val="001B1FF1"/>
    <w:rsid w:val="001B2129"/>
    <w:rsid w:val="001B287B"/>
    <w:rsid w:val="001B295D"/>
    <w:rsid w:val="001B2997"/>
    <w:rsid w:val="001B2E32"/>
    <w:rsid w:val="001B2FE3"/>
    <w:rsid w:val="001B3267"/>
    <w:rsid w:val="001B3305"/>
    <w:rsid w:val="001B3532"/>
    <w:rsid w:val="001B353F"/>
    <w:rsid w:val="001B3C26"/>
    <w:rsid w:val="001B3D01"/>
    <w:rsid w:val="001B426F"/>
    <w:rsid w:val="001B44DE"/>
    <w:rsid w:val="001B486E"/>
    <w:rsid w:val="001B5303"/>
    <w:rsid w:val="001B5657"/>
    <w:rsid w:val="001B5684"/>
    <w:rsid w:val="001B6432"/>
    <w:rsid w:val="001B6942"/>
    <w:rsid w:val="001B6BBE"/>
    <w:rsid w:val="001B6DFB"/>
    <w:rsid w:val="001B70C7"/>
    <w:rsid w:val="001B727B"/>
    <w:rsid w:val="001B734A"/>
    <w:rsid w:val="001B747E"/>
    <w:rsid w:val="001B763C"/>
    <w:rsid w:val="001B7652"/>
    <w:rsid w:val="001B7C39"/>
    <w:rsid w:val="001B7DEA"/>
    <w:rsid w:val="001C0480"/>
    <w:rsid w:val="001C06AC"/>
    <w:rsid w:val="001C074D"/>
    <w:rsid w:val="001C095B"/>
    <w:rsid w:val="001C0AD8"/>
    <w:rsid w:val="001C0D3C"/>
    <w:rsid w:val="001C1631"/>
    <w:rsid w:val="001C18BA"/>
    <w:rsid w:val="001C1AA8"/>
    <w:rsid w:val="001C1C7F"/>
    <w:rsid w:val="001C1E77"/>
    <w:rsid w:val="001C1EE1"/>
    <w:rsid w:val="001C290E"/>
    <w:rsid w:val="001C2E8C"/>
    <w:rsid w:val="001C2F0C"/>
    <w:rsid w:val="001C2FF3"/>
    <w:rsid w:val="001C35C8"/>
    <w:rsid w:val="001C36E1"/>
    <w:rsid w:val="001C3A95"/>
    <w:rsid w:val="001C3AF9"/>
    <w:rsid w:val="001C3CDF"/>
    <w:rsid w:val="001C3F7C"/>
    <w:rsid w:val="001C42CA"/>
    <w:rsid w:val="001C43E6"/>
    <w:rsid w:val="001C4610"/>
    <w:rsid w:val="001C47B0"/>
    <w:rsid w:val="001C50CA"/>
    <w:rsid w:val="001C542B"/>
    <w:rsid w:val="001C571C"/>
    <w:rsid w:val="001C5A24"/>
    <w:rsid w:val="001C5D57"/>
    <w:rsid w:val="001C5EEE"/>
    <w:rsid w:val="001C61AE"/>
    <w:rsid w:val="001C6231"/>
    <w:rsid w:val="001C62D1"/>
    <w:rsid w:val="001C64E0"/>
    <w:rsid w:val="001C68AF"/>
    <w:rsid w:val="001C6BA0"/>
    <w:rsid w:val="001C6D14"/>
    <w:rsid w:val="001C734E"/>
    <w:rsid w:val="001C77E1"/>
    <w:rsid w:val="001C7EA9"/>
    <w:rsid w:val="001D0094"/>
    <w:rsid w:val="001D0298"/>
    <w:rsid w:val="001D03A0"/>
    <w:rsid w:val="001D052E"/>
    <w:rsid w:val="001D079F"/>
    <w:rsid w:val="001D08B0"/>
    <w:rsid w:val="001D0B9E"/>
    <w:rsid w:val="001D0EF7"/>
    <w:rsid w:val="001D1287"/>
    <w:rsid w:val="001D1A9D"/>
    <w:rsid w:val="001D1BA4"/>
    <w:rsid w:val="001D2360"/>
    <w:rsid w:val="001D2A0C"/>
    <w:rsid w:val="001D2A28"/>
    <w:rsid w:val="001D2B38"/>
    <w:rsid w:val="001D2BD8"/>
    <w:rsid w:val="001D2CC4"/>
    <w:rsid w:val="001D3069"/>
    <w:rsid w:val="001D33FE"/>
    <w:rsid w:val="001D35BA"/>
    <w:rsid w:val="001D386E"/>
    <w:rsid w:val="001D3D35"/>
    <w:rsid w:val="001D3DD5"/>
    <w:rsid w:val="001D49AC"/>
    <w:rsid w:val="001D524C"/>
    <w:rsid w:val="001D5328"/>
    <w:rsid w:val="001D5EB0"/>
    <w:rsid w:val="001D60CB"/>
    <w:rsid w:val="001D6199"/>
    <w:rsid w:val="001D6358"/>
    <w:rsid w:val="001D6A4E"/>
    <w:rsid w:val="001D6BBA"/>
    <w:rsid w:val="001D6F3F"/>
    <w:rsid w:val="001D7727"/>
    <w:rsid w:val="001D7B0B"/>
    <w:rsid w:val="001E005A"/>
    <w:rsid w:val="001E08B4"/>
    <w:rsid w:val="001E1161"/>
    <w:rsid w:val="001E11B2"/>
    <w:rsid w:val="001E11EA"/>
    <w:rsid w:val="001E1335"/>
    <w:rsid w:val="001E140B"/>
    <w:rsid w:val="001E1C70"/>
    <w:rsid w:val="001E254B"/>
    <w:rsid w:val="001E26EE"/>
    <w:rsid w:val="001E2D24"/>
    <w:rsid w:val="001E2E2C"/>
    <w:rsid w:val="001E32A4"/>
    <w:rsid w:val="001E3721"/>
    <w:rsid w:val="001E3C97"/>
    <w:rsid w:val="001E4349"/>
    <w:rsid w:val="001E44D5"/>
    <w:rsid w:val="001E4561"/>
    <w:rsid w:val="001E47CE"/>
    <w:rsid w:val="001E4820"/>
    <w:rsid w:val="001E49D3"/>
    <w:rsid w:val="001E514B"/>
    <w:rsid w:val="001E526E"/>
    <w:rsid w:val="001E556B"/>
    <w:rsid w:val="001E59EE"/>
    <w:rsid w:val="001E60F5"/>
    <w:rsid w:val="001E6341"/>
    <w:rsid w:val="001E66A4"/>
    <w:rsid w:val="001E66C4"/>
    <w:rsid w:val="001E672C"/>
    <w:rsid w:val="001E6809"/>
    <w:rsid w:val="001E6829"/>
    <w:rsid w:val="001E6B47"/>
    <w:rsid w:val="001E6E50"/>
    <w:rsid w:val="001E6EBA"/>
    <w:rsid w:val="001E6F73"/>
    <w:rsid w:val="001E7303"/>
    <w:rsid w:val="001E731B"/>
    <w:rsid w:val="001F0849"/>
    <w:rsid w:val="001F0A13"/>
    <w:rsid w:val="001F0BB1"/>
    <w:rsid w:val="001F0E91"/>
    <w:rsid w:val="001F1068"/>
    <w:rsid w:val="001F1189"/>
    <w:rsid w:val="001F165B"/>
    <w:rsid w:val="001F16EE"/>
    <w:rsid w:val="001F1A1C"/>
    <w:rsid w:val="001F2386"/>
    <w:rsid w:val="001F2A06"/>
    <w:rsid w:val="001F2ACB"/>
    <w:rsid w:val="001F2D02"/>
    <w:rsid w:val="001F327F"/>
    <w:rsid w:val="001F39F5"/>
    <w:rsid w:val="001F3F96"/>
    <w:rsid w:val="001F400B"/>
    <w:rsid w:val="001F4499"/>
    <w:rsid w:val="001F46F5"/>
    <w:rsid w:val="001F47A5"/>
    <w:rsid w:val="001F47C7"/>
    <w:rsid w:val="001F52A5"/>
    <w:rsid w:val="001F52CC"/>
    <w:rsid w:val="001F55EA"/>
    <w:rsid w:val="001F5873"/>
    <w:rsid w:val="001F5B7D"/>
    <w:rsid w:val="001F5CF4"/>
    <w:rsid w:val="001F6712"/>
    <w:rsid w:val="001F6747"/>
    <w:rsid w:val="001F6821"/>
    <w:rsid w:val="001F71BA"/>
    <w:rsid w:val="001F7307"/>
    <w:rsid w:val="001F785A"/>
    <w:rsid w:val="001F79EA"/>
    <w:rsid w:val="001F7D89"/>
    <w:rsid w:val="001F7FD2"/>
    <w:rsid w:val="002006D6"/>
    <w:rsid w:val="00200D71"/>
    <w:rsid w:val="002012E1"/>
    <w:rsid w:val="00201817"/>
    <w:rsid w:val="00202802"/>
    <w:rsid w:val="002029C2"/>
    <w:rsid w:val="00202ABB"/>
    <w:rsid w:val="00203286"/>
    <w:rsid w:val="00203363"/>
    <w:rsid w:val="002033B7"/>
    <w:rsid w:val="0020405B"/>
    <w:rsid w:val="00204396"/>
    <w:rsid w:val="002048F7"/>
    <w:rsid w:val="00204BE1"/>
    <w:rsid w:val="00204F91"/>
    <w:rsid w:val="00205443"/>
    <w:rsid w:val="00205726"/>
    <w:rsid w:val="00205A28"/>
    <w:rsid w:val="00205B4D"/>
    <w:rsid w:val="00205DC2"/>
    <w:rsid w:val="00206BB4"/>
    <w:rsid w:val="00206D5C"/>
    <w:rsid w:val="00207516"/>
    <w:rsid w:val="002075F6"/>
    <w:rsid w:val="00207B79"/>
    <w:rsid w:val="00207BC2"/>
    <w:rsid w:val="00210508"/>
    <w:rsid w:val="00210634"/>
    <w:rsid w:val="0021096F"/>
    <w:rsid w:val="00210B1D"/>
    <w:rsid w:val="00210C6F"/>
    <w:rsid w:val="00210F73"/>
    <w:rsid w:val="002110F8"/>
    <w:rsid w:val="00211625"/>
    <w:rsid w:val="002117DD"/>
    <w:rsid w:val="0021186A"/>
    <w:rsid w:val="00211A67"/>
    <w:rsid w:val="00211F7F"/>
    <w:rsid w:val="00211FB9"/>
    <w:rsid w:val="002124F1"/>
    <w:rsid w:val="0021257C"/>
    <w:rsid w:val="002127E7"/>
    <w:rsid w:val="0021317C"/>
    <w:rsid w:val="0021351F"/>
    <w:rsid w:val="002137F2"/>
    <w:rsid w:val="00214277"/>
    <w:rsid w:val="002145D8"/>
    <w:rsid w:val="002147B3"/>
    <w:rsid w:val="00214BDA"/>
    <w:rsid w:val="00214C6F"/>
    <w:rsid w:val="00214C9F"/>
    <w:rsid w:val="00214D8F"/>
    <w:rsid w:val="00215827"/>
    <w:rsid w:val="002158F0"/>
    <w:rsid w:val="002159BD"/>
    <w:rsid w:val="00215B1C"/>
    <w:rsid w:val="00215D06"/>
    <w:rsid w:val="00215E6E"/>
    <w:rsid w:val="0021662B"/>
    <w:rsid w:val="00217247"/>
    <w:rsid w:val="002174B2"/>
    <w:rsid w:val="0021766A"/>
    <w:rsid w:val="002177B5"/>
    <w:rsid w:val="00217CC5"/>
    <w:rsid w:val="00220223"/>
    <w:rsid w:val="00220262"/>
    <w:rsid w:val="00220728"/>
    <w:rsid w:val="00220755"/>
    <w:rsid w:val="00221A62"/>
    <w:rsid w:val="00221AC0"/>
    <w:rsid w:val="00221AF0"/>
    <w:rsid w:val="00221B14"/>
    <w:rsid w:val="00221B34"/>
    <w:rsid w:val="00221E74"/>
    <w:rsid w:val="00222C8B"/>
    <w:rsid w:val="0022328E"/>
    <w:rsid w:val="00223896"/>
    <w:rsid w:val="00223ABF"/>
    <w:rsid w:val="00223C84"/>
    <w:rsid w:val="00223D16"/>
    <w:rsid w:val="00223DEB"/>
    <w:rsid w:val="00223EEB"/>
    <w:rsid w:val="00224047"/>
    <w:rsid w:val="00224075"/>
    <w:rsid w:val="0022428B"/>
    <w:rsid w:val="002246ED"/>
    <w:rsid w:val="00224A1F"/>
    <w:rsid w:val="00224ADF"/>
    <w:rsid w:val="00224B7C"/>
    <w:rsid w:val="00224C8B"/>
    <w:rsid w:val="00224CFF"/>
    <w:rsid w:val="002251D5"/>
    <w:rsid w:val="0022557D"/>
    <w:rsid w:val="00225625"/>
    <w:rsid w:val="002257DE"/>
    <w:rsid w:val="00225AB1"/>
    <w:rsid w:val="00225F12"/>
    <w:rsid w:val="00226610"/>
    <w:rsid w:val="00226768"/>
    <w:rsid w:val="00226AD9"/>
    <w:rsid w:val="00226F04"/>
    <w:rsid w:val="00226F83"/>
    <w:rsid w:val="0022711B"/>
    <w:rsid w:val="002276EF"/>
    <w:rsid w:val="0022779D"/>
    <w:rsid w:val="00230285"/>
    <w:rsid w:val="00230475"/>
    <w:rsid w:val="00230EF7"/>
    <w:rsid w:val="00230F7F"/>
    <w:rsid w:val="00231273"/>
    <w:rsid w:val="00231547"/>
    <w:rsid w:val="00231930"/>
    <w:rsid w:val="00231BCC"/>
    <w:rsid w:val="002321FD"/>
    <w:rsid w:val="0023275E"/>
    <w:rsid w:val="002328E1"/>
    <w:rsid w:val="002329AF"/>
    <w:rsid w:val="002329C7"/>
    <w:rsid w:val="00232BBC"/>
    <w:rsid w:val="00232E16"/>
    <w:rsid w:val="0023321E"/>
    <w:rsid w:val="00233AC7"/>
    <w:rsid w:val="00233DB9"/>
    <w:rsid w:val="00233E9A"/>
    <w:rsid w:val="002340CF"/>
    <w:rsid w:val="0023433C"/>
    <w:rsid w:val="0023447E"/>
    <w:rsid w:val="002346A2"/>
    <w:rsid w:val="0023488D"/>
    <w:rsid w:val="00234C18"/>
    <w:rsid w:val="00234EC1"/>
    <w:rsid w:val="00234FFD"/>
    <w:rsid w:val="002351E2"/>
    <w:rsid w:val="002352ED"/>
    <w:rsid w:val="0023535D"/>
    <w:rsid w:val="002356F6"/>
    <w:rsid w:val="0023592D"/>
    <w:rsid w:val="00235AF9"/>
    <w:rsid w:val="00235D94"/>
    <w:rsid w:val="002360C8"/>
    <w:rsid w:val="00236564"/>
    <w:rsid w:val="00236784"/>
    <w:rsid w:val="002367D3"/>
    <w:rsid w:val="0023735E"/>
    <w:rsid w:val="00237976"/>
    <w:rsid w:val="00237D20"/>
    <w:rsid w:val="002400C4"/>
    <w:rsid w:val="002403DE"/>
    <w:rsid w:val="00240478"/>
    <w:rsid w:val="002404A3"/>
    <w:rsid w:val="00240B94"/>
    <w:rsid w:val="00240BDF"/>
    <w:rsid w:val="00240DCA"/>
    <w:rsid w:val="00240DE6"/>
    <w:rsid w:val="00241340"/>
    <w:rsid w:val="00241B07"/>
    <w:rsid w:val="00241D8F"/>
    <w:rsid w:val="002420DE"/>
    <w:rsid w:val="0024235E"/>
    <w:rsid w:val="002427D1"/>
    <w:rsid w:val="002428C7"/>
    <w:rsid w:val="00242B79"/>
    <w:rsid w:val="00242F2D"/>
    <w:rsid w:val="00243160"/>
    <w:rsid w:val="002437E1"/>
    <w:rsid w:val="002439A5"/>
    <w:rsid w:val="002442F9"/>
    <w:rsid w:val="0024464B"/>
    <w:rsid w:val="002452F4"/>
    <w:rsid w:val="00245723"/>
    <w:rsid w:val="00245B80"/>
    <w:rsid w:val="00245BC6"/>
    <w:rsid w:val="00245E0E"/>
    <w:rsid w:val="00245FBD"/>
    <w:rsid w:val="00246229"/>
    <w:rsid w:val="00246372"/>
    <w:rsid w:val="00247446"/>
    <w:rsid w:val="00247A1A"/>
    <w:rsid w:val="00247B6B"/>
    <w:rsid w:val="00247CAB"/>
    <w:rsid w:val="002502D3"/>
    <w:rsid w:val="002502E9"/>
    <w:rsid w:val="002505E8"/>
    <w:rsid w:val="002505F0"/>
    <w:rsid w:val="002510F8"/>
    <w:rsid w:val="002516A3"/>
    <w:rsid w:val="00251809"/>
    <w:rsid w:val="00251B2F"/>
    <w:rsid w:val="002528FE"/>
    <w:rsid w:val="002529DE"/>
    <w:rsid w:val="00252CBB"/>
    <w:rsid w:val="00252CF9"/>
    <w:rsid w:val="00252F5C"/>
    <w:rsid w:val="0025394E"/>
    <w:rsid w:val="00253977"/>
    <w:rsid w:val="00253EBC"/>
    <w:rsid w:val="00254D82"/>
    <w:rsid w:val="0025571D"/>
    <w:rsid w:val="0025575D"/>
    <w:rsid w:val="0025596B"/>
    <w:rsid w:val="00255C3D"/>
    <w:rsid w:val="002561B4"/>
    <w:rsid w:val="0025655A"/>
    <w:rsid w:val="002565A5"/>
    <w:rsid w:val="002567FD"/>
    <w:rsid w:val="002569C3"/>
    <w:rsid w:val="00257554"/>
    <w:rsid w:val="00257D87"/>
    <w:rsid w:val="00260EB7"/>
    <w:rsid w:val="002610EC"/>
    <w:rsid w:val="00261332"/>
    <w:rsid w:val="00261CFA"/>
    <w:rsid w:val="00261F34"/>
    <w:rsid w:val="00262A50"/>
    <w:rsid w:val="00262B35"/>
    <w:rsid w:val="00262D46"/>
    <w:rsid w:val="00263065"/>
    <w:rsid w:val="0026333B"/>
    <w:rsid w:val="002635A9"/>
    <w:rsid w:val="00263F14"/>
    <w:rsid w:val="00264162"/>
    <w:rsid w:val="00264768"/>
    <w:rsid w:val="00264811"/>
    <w:rsid w:val="00264922"/>
    <w:rsid w:val="00264D07"/>
    <w:rsid w:val="00264D77"/>
    <w:rsid w:val="002652D8"/>
    <w:rsid w:val="0026562C"/>
    <w:rsid w:val="002658F8"/>
    <w:rsid w:val="00265D38"/>
    <w:rsid w:val="00265FAF"/>
    <w:rsid w:val="0026621F"/>
    <w:rsid w:val="002665A7"/>
    <w:rsid w:val="002665E7"/>
    <w:rsid w:val="00266836"/>
    <w:rsid w:val="002669FE"/>
    <w:rsid w:val="00266E9B"/>
    <w:rsid w:val="002671D9"/>
    <w:rsid w:val="002672D4"/>
    <w:rsid w:val="00267B2C"/>
    <w:rsid w:val="00267C3C"/>
    <w:rsid w:val="00267E53"/>
    <w:rsid w:val="00270915"/>
    <w:rsid w:val="00270A4A"/>
    <w:rsid w:val="00270B1A"/>
    <w:rsid w:val="00270C58"/>
    <w:rsid w:val="00270CDD"/>
    <w:rsid w:val="00270D65"/>
    <w:rsid w:val="00271056"/>
    <w:rsid w:val="002716D2"/>
    <w:rsid w:val="002716E4"/>
    <w:rsid w:val="00271772"/>
    <w:rsid w:val="0027206D"/>
    <w:rsid w:val="0027245B"/>
    <w:rsid w:val="0027267B"/>
    <w:rsid w:val="00273047"/>
    <w:rsid w:val="002730FF"/>
    <w:rsid w:val="00273133"/>
    <w:rsid w:val="002732DE"/>
    <w:rsid w:val="0027362E"/>
    <w:rsid w:val="00273A5C"/>
    <w:rsid w:val="00273B05"/>
    <w:rsid w:val="00273BD8"/>
    <w:rsid w:val="00273D15"/>
    <w:rsid w:val="0027418B"/>
    <w:rsid w:val="0027439B"/>
    <w:rsid w:val="002744A7"/>
    <w:rsid w:val="00274709"/>
    <w:rsid w:val="002748D8"/>
    <w:rsid w:val="00275017"/>
    <w:rsid w:val="0027521D"/>
    <w:rsid w:val="00275737"/>
    <w:rsid w:val="00275761"/>
    <w:rsid w:val="00275970"/>
    <w:rsid w:val="00275F11"/>
    <w:rsid w:val="00276551"/>
    <w:rsid w:val="002773F5"/>
    <w:rsid w:val="002778C5"/>
    <w:rsid w:val="00277A84"/>
    <w:rsid w:val="00277B46"/>
    <w:rsid w:val="00280075"/>
    <w:rsid w:val="0028021D"/>
    <w:rsid w:val="00280518"/>
    <w:rsid w:val="00280CF3"/>
    <w:rsid w:val="00280D60"/>
    <w:rsid w:val="00280D95"/>
    <w:rsid w:val="00282291"/>
    <w:rsid w:val="0028285D"/>
    <w:rsid w:val="00282AEE"/>
    <w:rsid w:val="00282C3F"/>
    <w:rsid w:val="00283025"/>
    <w:rsid w:val="00283157"/>
    <w:rsid w:val="00283553"/>
    <w:rsid w:val="00283758"/>
    <w:rsid w:val="002837A9"/>
    <w:rsid w:val="0028392D"/>
    <w:rsid w:val="0028472D"/>
    <w:rsid w:val="0028477F"/>
    <w:rsid w:val="0028484A"/>
    <w:rsid w:val="00284E56"/>
    <w:rsid w:val="0028564E"/>
    <w:rsid w:val="00285749"/>
    <w:rsid w:val="0028624B"/>
    <w:rsid w:val="00286713"/>
    <w:rsid w:val="002869BA"/>
    <w:rsid w:val="00286BEC"/>
    <w:rsid w:val="00286F30"/>
    <w:rsid w:val="002871EF"/>
    <w:rsid w:val="002871F6"/>
    <w:rsid w:val="00287617"/>
    <w:rsid w:val="00287A57"/>
    <w:rsid w:val="00287C76"/>
    <w:rsid w:val="00287EAA"/>
    <w:rsid w:val="00287F6C"/>
    <w:rsid w:val="002900B8"/>
    <w:rsid w:val="00290190"/>
    <w:rsid w:val="002905A0"/>
    <w:rsid w:val="002908F9"/>
    <w:rsid w:val="00290953"/>
    <w:rsid w:val="00290F02"/>
    <w:rsid w:val="002911F9"/>
    <w:rsid w:val="00291446"/>
    <w:rsid w:val="002918BD"/>
    <w:rsid w:val="00291E0F"/>
    <w:rsid w:val="0029231A"/>
    <w:rsid w:val="00292383"/>
    <w:rsid w:val="002923B4"/>
    <w:rsid w:val="002926F9"/>
    <w:rsid w:val="00292943"/>
    <w:rsid w:val="00292AA2"/>
    <w:rsid w:val="00292C77"/>
    <w:rsid w:val="00292CD1"/>
    <w:rsid w:val="00292F77"/>
    <w:rsid w:val="00293BD0"/>
    <w:rsid w:val="00294056"/>
    <w:rsid w:val="00294345"/>
    <w:rsid w:val="00294B0E"/>
    <w:rsid w:val="00294F08"/>
    <w:rsid w:val="002950CC"/>
    <w:rsid w:val="00295253"/>
    <w:rsid w:val="002955A7"/>
    <w:rsid w:val="00295696"/>
    <w:rsid w:val="00295C72"/>
    <w:rsid w:val="00296A6F"/>
    <w:rsid w:val="00296E84"/>
    <w:rsid w:val="0029769E"/>
    <w:rsid w:val="0029772B"/>
    <w:rsid w:val="0029781E"/>
    <w:rsid w:val="00297B46"/>
    <w:rsid w:val="00297C7A"/>
    <w:rsid w:val="002A051F"/>
    <w:rsid w:val="002A0872"/>
    <w:rsid w:val="002A094D"/>
    <w:rsid w:val="002A0B7C"/>
    <w:rsid w:val="002A0DB1"/>
    <w:rsid w:val="002A0DD5"/>
    <w:rsid w:val="002A209D"/>
    <w:rsid w:val="002A20D6"/>
    <w:rsid w:val="002A2545"/>
    <w:rsid w:val="002A2BDA"/>
    <w:rsid w:val="002A2BE1"/>
    <w:rsid w:val="002A2D36"/>
    <w:rsid w:val="002A2E8B"/>
    <w:rsid w:val="002A3152"/>
    <w:rsid w:val="002A35E8"/>
    <w:rsid w:val="002A3B3E"/>
    <w:rsid w:val="002A3C43"/>
    <w:rsid w:val="002A4848"/>
    <w:rsid w:val="002A4D1D"/>
    <w:rsid w:val="002A4D56"/>
    <w:rsid w:val="002A54D3"/>
    <w:rsid w:val="002A5E32"/>
    <w:rsid w:val="002A620F"/>
    <w:rsid w:val="002A643C"/>
    <w:rsid w:val="002A6774"/>
    <w:rsid w:val="002A6797"/>
    <w:rsid w:val="002A68EC"/>
    <w:rsid w:val="002A6F3F"/>
    <w:rsid w:val="002A72B0"/>
    <w:rsid w:val="002A747C"/>
    <w:rsid w:val="002A76BE"/>
    <w:rsid w:val="002B001A"/>
    <w:rsid w:val="002B00C2"/>
    <w:rsid w:val="002B0182"/>
    <w:rsid w:val="002B0408"/>
    <w:rsid w:val="002B04F9"/>
    <w:rsid w:val="002B05E3"/>
    <w:rsid w:val="002B084B"/>
    <w:rsid w:val="002B0C07"/>
    <w:rsid w:val="002B1795"/>
    <w:rsid w:val="002B18A0"/>
    <w:rsid w:val="002B1B8D"/>
    <w:rsid w:val="002B1FCB"/>
    <w:rsid w:val="002B21DD"/>
    <w:rsid w:val="002B24F4"/>
    <w:rsid w:val="002B2B34"/>
    <w:rsid w:val="002B2F52"/>
    <w:rsid w:val="002B2F55"/>
    <w:rsid w:val="002B30DD"/>
    <w:rsid w:val="002B3213"/>
    <w:rsid w:val="002B3293"/>
    <w:rsid w:val="002B3338"/>
    <w:rsid w:val="002B3517"/>
    <w:rsid w:val="002B37A1"/>
    <w:rsid w:val="002B397F"/>
    <w:rsid w:val="002B3A9C"/>
    <w:rsid w:val="002B3C6C"/>
    <w:rsid w:val="002B4080"/>
    <w:rsid w:val="002B424A"/>
    <w:rsid w:val="002B4AB9"/>
    <w:rsid w:val="002B4B6B"/>
    <w:rsid w:val="002B547C"/>
    <w:rsid w:val="002B59FB"/>
    <w:rsid w:val="002B5F43"/>
    <w:rsid w:val="002B6189"/>
    <w:rsid w:val="002B6551"/>
    <w:rsid w:val="002B65F6"/>
    <w:rsid w:val="002B6A73"/>
    <w:rsid w:val="002B6D02"/>
    <w:rsid w:val="002B6E3E"/>
    <w:rsid w:val="002B7064"/>
    <w:rsid w:val="002B71FD"/>
    <w:rsid w:val="002B74EC"/>
    <w:rsid w:val="002B7605"/>
    <w:rsid w:val="002B79B3"/>
    <w:rsid w:val="002B7AE6"/>
    <w:rsid w:val="002B7B31"/>
    <w:rsid w:val="002B7E98"/>
    <w:rsid w:val="002B7F52"/>
    <w:rsid w:val="002C01B5"/>
    <w:rsid w:val="002C01D6"/>
    <w:rsid w:val="002C0B06"/>
    <w:rsid w:val="002C0B59"/>
    <w:rsid w:val="002C0B93"/>
    <w:rsid w:val="002C0C7C"/>
    <w:rsid w:val="002C0F0F"/>
    <w:rsid w:val="002C13B1"/>
    <w:rsid w:val="002C1718"/>
    <w:rsid w:val="002C1E07"/>
    <w:rsid w:val="002C1F4A"/>
    <w:rsid w:val="002C27AE"/>
    <w:rsid w:val="002C2BDB"/>
    <w:rsid w:val="002C2CDF"/>
    <w:rsid w:val="002C2E41"/>
    <w:rsid w:val="002C2E57"/>
    <w:rsid w:val="002C3010"/>
    <w:rsid w:val="002C3695"/>
    <w:rsid w:val="002C3977"/>
    <w:rsid w:val="002C3C8D"/>
    <w:rsid w:val="002C43B5"/>
    <w:rsid w:val="002C4529"/>
    <w:rsid w:val="002C46B3"/>
    <w:rsid w:val="002C486F"/>
    <w:rsid w:val="002C54C7"/>
    <w:rsid w:val="002C56CB"/>
    <w:rsid w:val="002C580F"/>
    <w:rsid w:val="002C59BE"/>
    <w:rsid w:val="002C5ABD"/>
    <w:rsid w:val="002C5D40"/>
    <w:rsid w:val="002C5F69"/>
    <w:rsid w:val="002C6991"/>
    <w:rsid w:val="002C6C90"/>
    <w:rsid w:val="002C7956"/>
    <w:rsid w:val="002C7FD4"/>
    <w:rsid w:val="002D000B"/>
    <w:rsid w:val="002D0331"/>
    <w:rsid w:val="002D0693"/>
    <w:rsid w:val="002D07FF"/>
    <w:rsid w:val="002D0830"/>
    <w:rsid w:val="002D1CDC"/>
    <w:rsid w:val="002D1DDA"/>
    <w:rsid w:val="002D20D8"/>
    <w:rsid w:val="002D354B"/>
    <w:rsid w:val="002D3873"/>
    <w:rsid w:val="002D397E"/>
    <w:rsid w:val="002D3C55"/>
    <w:rsid w:val="002D419B"/>
    <w:rsid w:val="002D4568"/>
    <w:rsid w:val="002D493C"/>
    <w:rsid w:val="002D4970"/>
    <w:rsid w:val="002D4BBE"/>
    <w:rsid w:val="002D627B"/>
    <w:rsid w:val="002D6527"/>
    <w:rsid w:val="002D6BEB"/>
    <w:rsid w:val="002D6C63"/>
    <w:rsid w:val="002D75E5"/>
    <w:rsid w:val="002D78A8"/>
    <w:rsid w:val="002D7943"/>
    <w:rsid w:val="002D7B82"/>
    <w:rsid w:val="002D7C41"/>
    <w:rsid w:val="002E023C"/>
    <w:rsid w:val="002E1860"/>
    <w:rsid w:val="002E1863"/>
    <w:rsid w:val="002E1A75"/>
    <w:rsid w:val="002E2002"/>
    <w:rsid w:val="002E226F"/>
    <w:rsid w:val="002E269D"/>
    <w:rsid w:val="002E2AB7"/>
    <w:rsid w:val="002E303C"/>
    <w:rsid w:val="002E3971"/>
    <w:rsid w:val="002E3D47"/>
    <w:rsid w:val="002E3F3B"/>
    <w:rsid w:val="002E3FB5"/>
    <w:rsid w:val="002E4027"/>
    <w:rsid w:val="002E471A"/>
    <w:rsid w:val="002E493C"/>
    <w:rsid w:val="002E49D8"/>
    <w:rsid w:val="002E4D32"/>
    <w:rsid w:val="002E50E7"/>
    <w:rsid w:val="002E529C"/>
    <w:rsid w:val="002E599F"/>
    <w:rsid w:val="002E6144"/>
    <w:rsid w:val="002E6C67"/>
    <w:rsid w:val="002E74B8"/>
    <w:rsid w:val="002E76B3"/>
    <w:rsid w:val="002E7C23"/>
    <w:rsid w:val="002E7C24"/>
    <w:rsid w:val="002E7E5F"/>
    <w:rsid w:val="002F0293"/>
    <w:rsid w:val="002F056D"/>
    <w:rsid w:val="002F061F"/>
    <w:rsid w:val="002F0CB2"/>
    <w:rsid w:val="002F0E34"/>
    <w:rsid w:val="002F180D"/>
    <w:rsid w:val="002F20E5"/>
    <w:rsid w:val="002F305F"/>
    <w:rsid w:val="002F3BBC"/>
    <w:rsid w:val="002F4071"/>
    <w:rsid w:val="002F458E"/>
    <w:rsid w:val="002F458F"/>
    <w:rsid w:val="002F4D43"/>
    <w:rsid w:val="002F4D8B"/>
    <w:rsid w:val="002F4FA4"/>
    <w:rsid w:val="002F508A"/>
    <w:rsid w:val="002F5808"/>
    <w:rsid w:val="002F5B7B"/>
    <w:rsid w:val="002F6160"/>
    <w:rsid w:val="002F6434"/>
    <w:rsid w:val="002F6502"/>
    <w:rsid w:val="002F65F9"/>
    <w:rsid w:val="002F6CC3"/>
    <w:rsid w:val="002F6F8F"/>
    <w:rsid w:val="002F739C"/>
    <w:rsid w:val="002F73DA"/>
    <w:rsid w:val="002F7899"/>
    <w:rsid w:val="002F7BBB"/>
    <w:rsid w:val="00300ADF"/>
    <w:rsid w:val="00300F03"/>
    <w:rsid w:val="0030117B"/>
    <w:rsid w:val="00301230"/>
    <w:rsid w:val="00301391"/>
    <w:rsid w:val="00301751"/>
    <w:rsid w:val="00301B77"/>
    <w:rsid w:val="003020C9"/>
    <w:rsid w:val="00302711"/>
    <w:rsid w:val="00302F5A"/>
    <w:rsid w:val="003034D1"/>
    <w:rsid w:val="003038B9"/>
    <w:rsid w:val="00303FE5"/>
    <w:rsid w:val="00304852"/>
    <w:rsid w:val="00304B99"/>
    <w:rsid w:val="00304C40"/>
    <w:rsid w:val="0030515E"/>
    <w:rsid w:val="0030524C"/>
    <w:rsid w:val="00305A16"/>
    <w:rsid w:val="00305B3D"/>
    <w:rsid w:val="0030697F"/>
    <w:rsid w:val="00306ECA"/>
    <w:rsid w:val="00307CB1"/>
    <w:rsid w:val="00307EC9"/>
    <w:rsid w:val="00307EE9"/>
    <w:rsid w:val="00307FFC"/>
    <w:rsid w:val="003103D6"/>
    <w:rsid w:val="003104A5"/>
    <w:rsid w:val="003109D8"/>
    <w:rsid w:val="00310A99"/>
    <w:rsid w:val="00310F44"/>
    <w:rsid w:val="00311616"/>
    <w:rsid w:val="00311896"/>
    <w:rsid w:val="00311972"/>
    <w:rsid w:val="00311A0E"/>
    <w:rsid w:val="00311B59"/>
    <w:rsid w:val="00311BB3"/>
    <w:rsid w:val="0031249D"/>
    <w:rsid w:val="003124A5"/>
    <w:rsid w:val="003127F4"/>
    <w:rsid w:val="003133EA"/>
    <w:rsid w:val="00313914"/>
    <w:rsid w:val="003149E5"/>
    <w:rsid w:val="00314A6A"/>
    <w:rsid w:val="00314C1F"/>
    <w:rsid w:val="0031529B"/>
    <w:rsid w:val="0031571B"/>
    <w:rsid w:val="00315ED6"/>
    <w:rsid w:val="00315F3F"/>
    <w:rsid w:val="003161AB"/>
    <w:rsid w:val="00316398"/>
    <w:rsid w:val="003167BD"/>
    <w:rsid w:val="00316B14"/>
    <w:rsid w:val="00316CBC"/>
    <w:rsid w:val="00316E34"/>
    <w:rsid w:val="00316E63"/>
    <w:rsid w:val="00316E9F"/>
    <w:rsid w:val="00317BCD"/>
    <w:rsid w:val="00317EE3"/>
    <w:rsid w:val="003204E9"/>
    <w:rsid w:val="0032057D"/>
    <w:rsid w:val="00320D61"/>
    <w:rsid w:val="00320F9A"/>
    <w:rsid w:val="00321CBC"/>
    <w:rsid w:val="00321D56"/>
    <w:rsid w:val="00321DCC"/>
    <w:rsid w:val="00321DED"/>
    <w:rsid w:val="0032227B"/>
    <w:rsid w:val="00322504"/>
    <w:rsid w:val="00322749"/>
    <w:rsid w:val="00322818"/>
    <w:rsid w:val="003229B1"/>
    <w:rsid w:val="00322C59"/>
    <w:rsid w:val="00323337"/>
    <w:rsid w:val="00323B02"/>
    <w:rsid w:val="00323DE1"/>
    <w:rsid w:val="0032471C"/>
    <w:rsid w:val="00324B8F"/>
    <w:rsid w:val="00324CBA"/>
    <w:rsid w:val="00325258"/>
    <w:rsid w:val="0032525A"/>
    <w:rsid w:val="00325294"/>
    <w:rsid w:val="00325360"/>
    <w:rsid w:val="0032628B"/>
    <w:rsid w:val="00326493"/>
    <w:rsid w:val="00326EEE"/>
    <w:rsid w:val="003270B8"/>
    <w:rsid w:val="00327280"/>
    <w:rsid w:val="003273C5"/>
    <w:rsid w:val="00327728"/>
    <w:rsid w:val="003278A8"/>
    <w:rsid w:val="0033054F"/>
    <w:rsid w:val="003305B7"/>
    <w:rsid w:val="00330734"/>
    <w:rsid w:val="00330834"/>
    <w:rsid w:val="00330944"/>
    <w:rsid w:val="00330C59"/>
    <w:rsid w:val="00330E0F"/>
    <w:rsid w:val="00330F8F"/>
    <w:rsid w:val="0033172D"/>
    <w:rsid w:val="003319AA"/>
    <w:rsid w:val="00331BDA"/>
    <w:rsid w:val="003320F5"/>
    <w:rsid w:val="003322E7"/>
    <w:rsid w:val="003329FC"/>
    <w:rsid w:val="00332CA8"/>
    <w:rsid w:val="00333387"/>
    <w:rsid w:val="003340F4"/>
    <w:rsid w:val="00334495"/>
    <w:rsid w:val="00334D0D"/>
    <w:rsid w:val="00334DDC"/>
    <w:rsid w:val="0033512B"/>
    <w:rsid w:val="003351A1"/>
    <w:rsid w:val="0033526D"/>
    <w:rsid w:val="003356A5"/>
    <w:rsid w:val="003357E8"/>
    <w:rsid w:val="00335AA1"/>
    <w:rsid w:val="003360D2"/>
    <w:rsid w:val="003362A6"/>
    <w:rsid w:val="0033662B"/>
    <w:rsid w:val="0033690B"/>
    <w:rsid w:val="00336998"/>
    <w:rsid w:val="003402B2"/>
    <w:rsid w:val="00340562"/>
    <w:rsid w:val="00340597"/>
    <w:rsid w:val="00340963"/>
    <w:rsid w:val="00340A97"/>
    <w:rsid w:val="00340AFA"/>
    <w:rsid w:val="00340B44"/>
    <w:rsid w:val="00340D05"/>
    <w:rsid w:val="0034114B"/>
    <w:rsid w:val="00341278"/>
    <w:rsid w:val="003416CB"/>
    <w:rsid w:val="00341EA2"/>
    <w:rsid w:val="00341F59"/>
    <w:rsid w:val="003421CD"/>
    <w:rsid w:val="00342CBC"/>
    <w:rsid w:val="003431BB"/>
    <w:rsid w:val="0034351D"/>
    <w:rsid w:val="00343887"/>
    <w:rsid w:val="00343B1B"/>
    <w:rsid w:val="00343B2F"/>
    <w:rsid w:val="00344063"/>
    <w:rsid w:val="003440C8"/>
    <w:rsid w:val="0034452F"/>
    <w:rsid w:val="00344573"/>
    <w:rsid w:val="003448CE"/>
    <w:rsid w:val="00344B00"/>
    <w:rsid w:val="00344CA5"/>
    <w:rsid w:val="00346CE4"/>
    <w:rsid w:val="00346F31"/>
    <w:rsid w:val="00350E8B"/>
    <w:rsid w:val="00350FFD"/>
    <w:rsid w:val="0035100D"/>
    <w:rsid w:val="00351063"/>
    <w:rsid w:val="003514F3"/>
    <w:rsid w:val="0035188F"/>
    <w:rsid w:val="003519BD"/>
    <w:rsid w:val="00351A1D"/>
    <w:rsid w:val="00351F08"/>
    <w:rsid w:val="00351FC5"/>
    <w:rsid w:val="0035203F"/>
    <w:rsid w:val="00352242"/>
    <w:rsid w:val="00352787"/>
    <w:rsid w:val="003528A4"/>
    <w:rsid w:val="00353B9B"/>
    <w:rsid w:val="003542A8"/>
    <w:rsid w:val="00354B06"/>
    <w:rsid w:val="00355423"/>
    <w:rsid w:val="00355737"/>
    <w:rsid w:val="003562D6"/>
    <w:rsid w:val="00356D86"/>
    <w:rsid w:val="00356EB5"/>
    <w:rsid w:val="003574BE"/>
    <w:rsid w:val="00357CE1"/>
    <w:rsid w:val="00357E8D"/>
    <w:rsid w:val="00357EDC"/>
    <w:rsid w:val="003602CB"/>
    <w:rsid w:val="003602CF"/>
    <w:rsid w:val="00360B25"/>
    <w:rsid w:val="003613D1"/>
    <w:rsid w:val="0036142B"/>
    <w:rsid w:val="0036160A"/>
    <w:rsid w:val="00361B08"/>
    <w:rsid w:val="003620E2"/>
    <w:rsid w:val="0036221C"/>
    <w:rsid w:val="0036293C"/>
    <w:rsid w:val="00362B2A"/>
    <w:rsid w:val="00363076"/>
    <w:rsid w:val="003631B1"/>
    <w:rsid w:val="00363AFF"/>
    <w:rsid w:val="00363B83"/>
    <w:rsid w:val="00363F2E"/>
    <w:rsid w:val="0036404B"/>
    <w:rsid w:val="003641EC"/>
    <w:rsid w:val="003642B7"/>
    <w:rsid w:val="00364D21"/>
    <w:rsid w:val="00365115"/>
    <w:rsid w:val="00365A25"/>
    <w:rsid w:val="0036638B"/>
    <w:rsid w:val="00366E59"/>
    <w:rsid w:val="00366EED"/>
    <w:rsid w:val="00367531"/>
    <w:rsid w:val="00370BDD"/>
    <w:rsid w:val="003710CD"/>
    <w:rsid w:val="003713AA"/>
    <w:rsid w:val="00371459"/>
    <w:rsid w:val="00371829"/>
    <w:rsid w:val="003719D1"/>
    <w:rsid w:val="003724B0"/>
    <w:rsid w:val="00372783"/>
    <w:rsid w:val="00372ACD"/>
    <w:rsid w:val="00372C8D"/>
    <w:rsid w:val="00372E9C"/>
    <w:rsid w:val="00372ECE"/>
    <w:rsid w:val="003733EB"/>
    <w:rsid w:val="00373969"/>
    <w:rsid w:val="00374175"/>
    <w:rsid w:val="00374A34"/>
    <w:rsid w:val="00374CE1"/>
    <w:rsid w:val="00374DFB"/>
    <w:rsid w:val="00374E12"/>
    <w:rsid w:val="003754DC"/>
    <w:rsid w:val="00375A11"/>
    <w:rsid w:val="00375C8E"/>
    <w:rsid w:val="00375CFA"/>
    <w:rsid w:val="00375D6D"/>
    <w:rsid w:val="00375F79"/>
    <w:rsid w:val="00376130"/>
    <w:rsid w:val="00376334"/>
    <w:rsid w:val="00376497"/>
    <w:rsid w:val="00376666"/>
    <w:rsid w:val="00376A88"/>
    <w:rsid w:val="00376A89"/>
    <w:rsid w:val="00376B4D"/>
    <w:rsid w:val="0037728A"/>
    <w:rsid w:val="0037735F"/>
    <w:rsid w:val="00377769"/>
    <w:rsid w:val="00377F0F"/>
    <w:rsid w:val="003801D1"/>
    <w:rsid w:val="003805CF"/>
    <w:rsid w:val="003809B5"/>
    <w:rsid w:val="003809EC"/>
    <w:rsid w:val="00380BB5"/>
    <w:rsid w:val="00380D58"/>
    <w:rsid w:val="00380FDF"/>
    <w:rsid w:val="00381583"/>
    <w:rsid w:val="00381667"/>
    <w:rsid w:val="0038177A"/>
    <w:rsid w:val="003819A0"/>
    <w:rsid w:val="00382477"/>
    <w:rsid w:val="00382680"/>
    <w:rsid w:val="00382B5D"/>
    <w:rsid w:val="00382C9E"/>
    <w:rsid w:val="003831D9"/>
    <w:rsid w:val="0038351D"/>
    <w:rsid w:val="0038353C"/>
    <w:rsid w:val="003839C1"/>
    <w:rsid w:val="003839E0"/>
    <w:rsid w:val="00383BC7"/>
    <w:rsid w:val="0038479D"/>
    <w:rsid w:val="00384F21"/>
    <w:rsid w:val="00384F6B"/>
    <w:rsid w:val="00385220"/>
    <w:rsid w:val="003853A1"/>
    <w:rsid w:val="003853E9"/>
    <w:rsid w:val="003855DD"/>
    <w:rsid w:val="0038571A"/>
    <w:rsid w:val="00385B80"/>
    <w:rsid w:val="00386056"/>
    <w:rsid w:val="00386A7D"/>
    <w:rsid w:val="00386CDA"/>
    <w:rsid w:val="00387646"/>
    <w:rsid w:val="00387665"/>
    <w:rsid w:val="00387666"/>
    <w:rsid w:val="003878EA"/>
    <w:rsid w:val="003879B3"/>
    <w:rsid w:val="00387B1A"/>
    <w:rsid w:val="00387E03"/>
    <w:rsid w:val="00390A4F"/>
    <w:rsid w:val="00390B17"/>
    <w:rsid w:val="00390B36"/>
    <w:rsid w:val="00391C45"/>
    <w:rsid w:val="00391C61"/>
    <w:rsid w:val="00391FA9"/>
    <w:rsid w:val="0039230F"/>
    <w:rsid w:val="003924BE"/>
    <w:rsid w:val="0039279F"/>
    <w:rsid w:val="0039286B"/>
    <w:rsid w:val="0039338E"/>
    <w:rsid w:val="003933BE"/>
    <w:rsid w:val="0039356A"/>
    <w:rsid w:val="003935CD"/>
    <w:rsid w:val="00393F8A"/>
    <w:rsid w:val="0039427B"/>
    <w:rsid w:val="00394349"/>
    <w:rsid w:val="0039434E"/>
    <w:rsid w:val="00394547"/>
    <w:rsid w:val="00394639"/>
    <w:rsid w:val="003947FB"/>
    <w:rsid w:val="00394A79"/>
    <w:rsid w:val="00394CAA"/>
    <w:rsid w:val="00394DCE"/>
    <w:rsid w:val="003953B5"/>
    <w:rsid w:val="00395DD1"/>
    <w:rsid w:val="00396383"/>
    <w:rsid w:val="003964ED"/>
    <w:rsid w:val="00396F89"/>
    <w:rsid w:val="003972F3"/>
    <w:rsid w:val="00397746"/>
    <w:rsid w:val="00397E57"/>
    <w:rsid w:val="00397EFD"/>
    <w:rsid w:val="003A04D2"/>
    <w:rsid w:val="003A074C"/>
    <w:rsid w:val="003A0773"/>
    <w:rsid w:val="003A07A2"/>
    <w:rsid w:val="003A07B6"/>
    <w:rsid w:val="003A0EF7"/>
    <w:rsid w:val="003A1427"/>
    <w:rsid w:val="003A15CE"/>
    <w:rsid w:val="003A15E9"/>
    <w:rsid w:val="003A18E4"/>
    <w:rsid w:val="003A19C4"/>
    <w:rsid w:val="003A1B2C"/>
    <w:rsid w:val="003A2129"/>
    <w:rsid w:val="003A21A6"/>
    <w:rsid w:val="003A2EF3"/>
    <w:rsid w:val="003A2FE5"/>
    <w:rsid w:val="003A35AE"/>
    <w:rsid w:val="003A38DA"/>
    <w:rsid w:val="003A3C06"/>
    <w:rsid w:val="003A3E1A"/>
    <w:rsid w:val="003A5144"/>
    <w:rsid w:val="003A541B"/>
    <w:rsid w:val="003A5555"/>
    <w:rsid w:val="003A55D4"/>
    <w:rsid w:val="003A569F"/>
    <w:rsid w:val="003A57BF"/>
    <w:rsid w:val="003A5E65"/>
    <w:rsid w:val="003A6122"/>
    <w:rsid w:val="003A6369"/>
    <w:rsid w:val="003A65CE"/>
    <w:rsid w:val="003A6AA5"/>
    <w:rsid w:val="003A6B24"/>
    <w:rsid w:val="003A741E"/>
    <w:rsid w:val="003A7BCC"/>
    <w:rsid w:val="003A7DB5"/>
    <w:rsid w:val="003B00E5"/>
    <w:rsid w:val="003B1696"/>
    <w:rsid w:val="003B2380"/>
    <w:rsid w:val="003B2BD2"/>
    <w:rsid w:val="003B2DB3"/>
    <w:rsid w:val="003B2F93"/>
    <w:rsid w:val="003B399E"/>
    <w:rsid w:val="003B3A5E"/>
    <w:rsid w:val="003B4569"/>
    <w:rsid w:val="003B4771"/>
    <w:rsid w:val="003B47AA"/>
    <w:rsid w:val="003B47E9"/>
    <w:rsid w:val="003B491E"/>
    <w:rsid w:val="003B4C5F"/>
    <w:rsid w:val="003B576B"/>
    <w:rsid w:val="003B600B"/>
    <w:rsid w:val="003B62A8"/>
    <w:rsid w:val="003B62E9"/>
    <w:rsid w:val="003B6551"/>
    <w:rsid w:val="003B6720"/>
    <w:rsid w:val="003B6B8A"/>
    <w:rsid w:val="003B6DDD"/>
    <w:rsid w:val="003B6E34"/>
    <w:rsid w:val="003B6EF9"/>
    <w:rsid w:val="003B716F"/>
    <w:rsid w:val="003B7450"/>
    <w:rsid w:val="003B75F3"/>
    <w:rsid w:val="003B7751"/>
    <w:rsid w:val="003B79AA"/>
    <w:rsid w:val="003B7B7B"/>
    <w:rsid w:val="003C0492"/>
    <w:rsid w:val="003C05B5"/>
    <w:rsid w:val="003C0DEB"/>
    <w:rsid w:val="003C1427"/>
    <w:rsid w:val="003C1A49"/>
    <w:rsid w:val="003C1F2A"/>
    <w:rsid w:val="003C210F"/>
    <w:rsid w:val="003C2368"/>
    <w:rsid w:val="003C2502"/>
    <w:rsid w:val="003C2D4E"/>
    <w:rsid w:val="003C2DE5"/>
    <w:rsid w:val="003C31B3"/>
    <w:rsid w:val="003C33E1"/>
    <w:rsid w:val="003C3955"/>
    <w:rsid w:val="003C3982"/>
    <w:rsid w:val="003C39D3"/>
    <w:rsid w:val="003C3A84"/>
    <w:rsid w:val="003C3B6D"/>
    <w:rsid w:val="003C43BA"/>
    <w:rsid w:val="003C44B2"/>
    <w:rsid w:val="003C4770"/>
    <w:rsid w:val="003C4BD3"/>
    <w:rsid w:val="003C5623"/>
    <w:rsid w:val="003C5636"/>
    <w:rsid w:val="003C5BA2"/>
    <w:rsid w:val="003C6146"/>
    <w:rsid w:val="003C61F0"/>
    <w:rsid w:val="003C64FF"/>
    <w:rsid w:val="003C6778"/>
    <w:rsid w:val="003C6BFC"/>
    <w:rsid w:val="003C6F72"/>
    <w:rsid w:val="003C6FE1"/>
    <w:rsid w:val="003C71F6"/>
    <w:rsid w:val="003C7241"/>
    <w:rsid w:val="003C75B2"/>
    <w:rsid w:val="003C75B7"/>
    <w:rsid w:val="003C79BF"/>
    <w:rsid w:val="003C7D8A"/>
    <w:rsid w:val="003C7DF7"/>
    <w:rsid w:val="003D031C"/>
    <w:rsid w:val="003D04D1"/>
    <w:rsid w:val="003D0DD8"/>
    <w:rsid w:val="003D1201"/>
    <w:rsid w:val="003D12CD"/>
    <w:rsid w:val="003D139D"/>
    <w:rsid w:val="003D1414"/>
    <w:rsid w:val="003D1544"/>
    <w:rsid w:val="003D190A"/>
    <w:rsid w:val="003D1B9D"/>
    <w:rsid w:val="003D2275"/>
    <w:rsid w:val="003D2766"/>
    <w:rsid w:val="003D2BF0"/>
    <w:rsid w:val="003D31A4"/>
    <w:rsid w:val="003D3403"/>
    <w:rsid w:val="003D379F"/>
    <w:rsid w:val="003D3F70"/>
    <w:rsid w:val="003D414B"/>
    <w:rsid w:val="003D4E26"/>
    <w:rsid w:val="003D5467"/>
    <w:rsid w:val="003D5549"/>
    <w:rsid w:val="003D5F7E"/>
    <w:rsid w:val="003D6058"/>
    <w:rsid w:val="003D61E3"/>
    <w:rsid w:val="003D61FD"/>
    <w:rsid w:val="003D6956"/>
    <w:rsid w:val="003D6A20"/>
    <w:rsid w:val="003D6BEA"/>
    <w:rsid w:val="003D792B"/>
    <w:rsid w:val="003E0135"/>
    <w:rsid w:val="003E042E"/>
    <w:rsid w:val="003E0661"/>
    <w:rsid w:val="003E06B0"/>
    <w:rsid w:val="003E0858"/>
    <w:rsid w:val="003E0EAA"/>
    <w:rsid w:val="003E10A8"/>
    <w:rsid w:val="003E10C9"/>
    <w:rsid w:val="003E11C3"/>
    <w:rsid w:val="003E1351"/>
    <w:rsid w:val="003E145F"/>
    <w:rsid w:val="003E1468"/>
    <w:rsid w:val="003E192D"/>
    <w:rsid w:val="003E1AA3"/>
    <w:rsid w:val="003E1F36"/>
    <w:rsid w:val="003E21D8"/>
    <w:rsid w:val="003E24EB"/>
    <w:rsid w:val="003E266B"/>
    <w:rsid w:val="003E26BA"/>
    <w:rsid w:val="003E2998"/>
    <w:rsid w:val="003E2C3E"/>
    <w:rsid w:val="003E2F95"/>
    <w:rsid w:val="003E3337"/>
    <w:rsid w:val="003E34DA"/>
    <w:rsid w:val="003E395D"/>
    <w:rsid w:val="003E39DA"/>
    <w:rsid w:val="003E3E1A"/>
    <w:rsid w:val="003E42FE"/>
    <w:rsid w:val="003E46DF"/>
    <w:rsid w:val="003E498E"/>
    <w:rsid w:val="003E4EB9"/>
    <w:rsid w:val="003E4FF4"/>
    <w:rsid w:val="003E541E"/>
    <w:rsid w:val="003E5879"/>
    <w:rsid w:val="003E5D73"/>
    <w:rsid w:val="003E6E6F"/>
    <w:rsid w:val="003F02EC"/>
    <w:rsid w:val="003F080B"/>
    <w:rsid w:val="003F0DA9"/>
    <w:rsid w:val="003F127E"/>
    <w:rsid w:val="003F1E47"/>
    <w:rsid w:val="003F26F4"/>
    <w:rsid w:val="003F3050"/>
    <w:rsid w:val="003F32EC"/>
    <w:rsid w:val="003F35F6"/>
    <w:rsid w:val="003F3B71"/>
    <w:rsid w:val="003F3DEA"/>
    <w:rsid w:val="003F4B13"/>
    <w:rsid w:val="003F4F9E"/>
    <w:rsid w:val="003F5974"/>
    <w:rsid w:val="003F6802"/>
    <w:rsid w:val="003F6923"/>
    <w:rsid w:val="003F6AFC"/>
    <w:rsid w:val="003F6D36"/>
    <w:rsid w:val="003F6D8A"/>
    <w:rsid w:val="003F6FA1"/>
    <w:rsid w:val="003F7613"/>
    <w:rsid w:val="003F78F0"/>
    <w:rsid w:val="0040059D"/>
    <w:rsid w:val="004007EB"/>
    <w:rsid w:val="004008DA"/>
    <w:rsid w:val="00401060"/>
    <w:rsid w:val="004018B2"/>
    <w:rsid w:val="00401C13"/>
    <w:rsid w:val="00402803"/>
    <w:rsid w:val="0040298E"/>
    <w:rsid w:val="0040331C"/>
    <w:rsid w:val="0040347F"/>
    <w:rsid w:val="0040362E"/>
    <w:rsid w:val="00403AD5"/>
    <w:rsid w:val="00404315"/>
    <w:rsid w:val="0040461D"/>
    <w:rsid w:val="00404635"/>
    <w:rsid w:val="00404C95"/>
    <w:rsid w:val="00404E53"/>
    <w:rsid w:val="00405014"/>
    <w:rsid w:val="0040619A"/>
    <w:rsid w:val="00406A40"/>
    <w:rsid w:val="00406BDE"/>
    <w:rsid w:val="00406D62"/>
    <w:rsid w:val="0040722B"/>
    <w:rsid w:val="004072D4"/>
    <w:rsid w:val="0040798A"/>
    <w:rsid w:val="00407A58"/>
    <w:rsid w:val="00407E6F"/>
    <w:rsid w:val="004105B7"/>
    <w:rsid w:val="00410843"/>
    <w:rsid w:val="004112A7"/>
    <w:rsid w:val="00411581"/>
    <w:rsid w:val="004119B0"/>
    <w:rsid w:val="00411F35"/>
    <w:rsid w:val="0041266D"/>
    <w:rsid w:val="0041289A"/>
    <w:rsid w:val="00412A68"/>
    <w:rsid w:val="00412FE1"/>
    <w:rsid w:val="004130C2"/>
    <w:rsid w:val="00413580"/>
    <w:rsid w:val="004136EF"/>
    <w:rsid w:val="00413979"/>
    <w:rsid w:val="00413D11"/>
    <w:rsid w:val="00414128"/>
    <w:rsid w:val="004142C9"/>
    <w:rsid w:val="0041454E"/>
    <w:rsid w:val="00414D2E"/>
    <w:rsid w:val="00415215"/>
    <w:rsid w:val="0041539B"/>
    <w:rsid w:val="0041566E"/>
    <w:rsid w:val="004158D8"/>
    <w:rsid w:val="00415B81"/>
    <w:rsid w:val="00415B9E"/>
    <w:rsid w:val="00415CC4"/>
    <w:rsid w:val="0041616B"/>
    <w:rsid w:val="004164E7"/>
    <w:rsid w:val="004166B1"/>
    <w:rsid w:val="00416999"/>
    <w:rsid w:val="00416FFA"/>
    <w:rsid w:val="00417991"/>
    <w:rsid w:val="004179A9"/>
    <w:rsid w:val="00417A11"/>
    <w:rsid w:val="004204AD"/>
    <w:rsid w:val="00420B66"/>
    <w:rsid w:val="0042121E"/>
    <w:rsid w:val="00421E5E"/>
    <w:rsid w:val="00422B0E"/>
    <w:rsid w:val="00422F58"/>
    <w:rsid w:val="00423586"/>
    <w:rsid w:val="004239B8"/>
    <w:rsid w:val="00423C8F"/>
    <w:rsid w:val="004246FB"/>
    <w:rsid w:val="00424BEF"/>
    <w:rsid w:val="00425481"/>
    <w:rsid w:val="004256F9"/>
    <w:rsid w:val="00425F27"/>
    <w:rsid w:val="004270A8"/>
    <w:rsid w:val="00427199"/>
    <w:rsid w:val="004275A5"/>
    <w:rsid w:val="00427D7B"/>
    <w:rsid w:val="004300D6"/>
    <w:rsid w:val="00430BFF"/>
    <w:rsid w:val="00430D1D"/>
    <w:rsid w:val="00430EBE"/>
    <w:rsid w:val="004312F2"/>
    <w:rsid w:val="00431A01"/>
    <w:rsid w:val="0043200B"/>
    <w:rsid w:val="0043299F"/>
    <w:rsid w:val="00432FE2"/>
    <w:rsid w:val="00433249"/>
    <w:rsid w:val="004337D2"/>
    <w:rsid w:val="00433C5F"/>
    <w:rsid w:val="00433F8A"/>
    <w:rsid w:val="004347C6"/>
    <w:rsid w:val="00434968"/>
    <w:rsid w:val="004349EB"/>
    <w:rsid w:val="00434B99"/>
    <w:rsid w:val="00434BAE"/>
    <w:rsid w:val="00435125"/>
    <w:rsid w:val="0043521B"/>
    <w:rsid w:val="00435538"/>
    <w:rsid w:val="004356BF"/>
    <w:rsid w:val="004357A1"/>
    <w:rsid w:val="00436368"/>
    <w:rsid w:val="00436D05"/>
    <w:rsid w:val="00436E30"/>
    <w:rsid w:val="00437030"/>
    <w:rsid w:val="00437183"/>
    <w:rsid w:val="00437681"/>
    <w:rsid w:val="00437B7C"/>
    <w:rsid w:val="00440083"/>
    <w:rsid w:val="004406AF"/>
    <w:rsid w:val="00440902"/>
    <w:rsid w:val="00440962"/>
    <w:rsid w:val="00440E72"/>
    <w:rsid w:val="00441197"/>
    <w:rsid w:val="0044122C"/>
    <w:rsid w:val="00441300"/>
    <w:rsid w:val="00441B95"/>
    <w:rsid w:val="0044205A"/>
    <w:rsid w:val="0044208C"/>
    <w:rsid w:val="004420CA"/>
    <w:rsid w:val="00442D81"/>
    <w:rsid w:val="00444497"/>
    <w:rsid w:val="00444CEA"/>
    <w:rsid w:val="00444D96"/>
    <w:rsid w:val="004450E8"/>
    <w:rsid w:val="00445C3D"/>
    <w:rsid w:val="00445D89"/>
    <w:rsid w:val="0044655D"/>
    <w:rsid w:val="00446744"/>
    <w:rsid w:val="00446C4B"/>
    <w:rsid w:val="004475CF"/>
    <w:rsid w:val="004476DF"/>
    <w:rsid w:val="00447AE4"/>
    <w:rsid w:val="00447CC2"/>
    <w:rsid w:val="00447FB0"/>
    <w:rsid w:val="004501C0"/>
    <w:rsid w:val="004504F5"/>
    <w:rsid w:val="004507E0"/>
    <w:rsid w:val="004508E1"/>
    <w:rsid w:val="00451895"/>
    <w:rsid w:val="004519E0"/>
    <w:rsid w:val="00451BA2"/>
    <w:rsid w:val="00451C05"/>
    <w:rsid w:val="00451CD8"/>
    <w:rsid w:val="00451D3A"/>
    <w:rsid w:val="004529C1"/>
    <w:rsid w:val="00452F1D"/>
    <w:rsid w:val="00453327"/>
    <w:rsid w:val="004534A8"/>
    <w:rsid w:val="0045399D"/>
    <w:rsid w:val="004539B8"/>
    <w:rsid w:val="00453EEE"/>
    <w:rsid w:val="004542C6"/>
    <w:rsid w:val="00454DC4"/>
    <w:rsid w:val="00454F12"/>
    <w:rsid w:val="004551A2"/>
    <w:rsid w:val="004554C8"/>
    <w:rsid w:val="0045589C"/>
    <w:rsid w:val="00455BB1"/>
    <w:rsid w:val="00455CD8"/>
    <w:rsid w:val="00455E2E"/>
    <w:rsid w:val="00456037"/>
    <w:rsid w:val="00456E49"/>
    <w:rsid w:val="004601D1"/>
    <w:rsid w:val="004605E6"/>
    <w:rsid w:val="00460C2E"/>
    <w:rsid w:val="0046104D"/>
    <w:rsid w:val="004612DE"/>
    <w:rsid w:val="00462127"/>
    <w:rsid w:val="00462207"/>
    <w:rsid w:val="00462B8F"/>
    <w:rsid w:val="00464010"/>
    <w:rsid w:val="004640EE"/>
    <w:rsid w:val="004644E2"/>
    <w:rsid w:val="004644F8"/>
    <w:rsid w:val="00464554"/>
    <w:rsid w:val="00465402"/>
    <w:rsid w:val="00465558"/>
    <w:rsid w:val="004655E7"/>
    <w:rsid w:val="00465E5B"/>
    <w:rsid w:val="004662EE"/>
    <w:rsid w:val="004663B2"/>
    <w:rsid w:val="004663DE"/>
    <w:rsid w:val="00467209"/>
    <w:rsid w:val="004672D0"/>
    <w:rsid w:val="0046743E"/>
    <w:rsid w:val="00467A65"/>
    <w:rsid w:val="00467E76"/>
    <w:rsid w:val="00471124"/>
    <w:rsid w:val="004711EB"/>
    <w:rsid w:val="004718C2"/>
    <w:rsid w:val="00471928"/>
    <w:rsid w:val="004720CD"/>
    <w:rsid w:val="004731CE"/>
    <w:rsid w:val="004732F7"/>
    <w:rsid w:val="0047389A"/>
    <w:rsid w:val="00473B0A"/>
    <w:rsid w:val="004740FE"/>
    <w:rsid w:val="00474399"/>
    <w:rsid w:val="00474608"/>
    <w:rsid w:val="00474723"/>
    <w:rsid w:val="00474BB4"/>
    <w:rsid w:val="00474D7E"/>
    <w:rsid w:val="00474F24"/>
    <w:rsid w:val="00475216"/>
    <w:rsid w:val="00475265"/>
    <w:rsid w:val="00475384"/>
    <w:rsid w:val="004756FE"/>
    <w:rsid w:val="004758A3"/>
    <w:rsid w:val="00475DF3"/>
    <w:rsid w:val="00476124"/>
    <w:rsid w:val="0047622B"/>
    <w:rsid w:val="0047739D"/>
    <w:rsid w:val="00477713"/>
    <w:rsid w:val="0048084E"/>
    <w:rsid w:val="0048089E"/>
    <w:rsid w:val="004809A5"/>
    <w:rsid w:val="00480A46"/>
    <w:rsid w:val="00480AAB"/>
    <w:rsid w:val="00480ECC"/>
    <w:rsid w:val="004810A3"/>
    <w:rsid w:val="004816D6"/>
    <w:rsid w:val="00481BD9"/>
    <w:rsid w:val="00481CCB"/>
    <w:rsid w:val="00481D5A"/>
    <w:rsid w:val="00482108"/>
    <w:rsid w:val="0048231D"/>
    <w:rsid w:val="00482366"/>
    <w:rsid w:val="0048272A"/>
    <w:rsid w:val="00482AC5"/>
    <w:rsid w:val="004836D5"/>
    <w:rsid w:val="00483DB6"/>
    <w:rsid w:val="004840A3"/>
    <w:rsid w:val="004847AD"/>
    <w:rsid w:val="00484BDF"/>
    <w:rsid w:val="00484F9F"/>
    <w:rsid w:val="0048505F"/>
    <w:rsid w:val="00485FB4"/>
    <w:rsid w:val="0048628A"/>
    <w:rsid w:val="004862C5"/>
    <w:rsid w:val="0048660F"/>
    <w:rsid w:val="004866D4"/>
    <w:rsid w:val="004868A9"/>
    <w:rsid w:val="00487099"/>
    <w:rsid w:val="00487540"/>
    <w:rsid w:val="00487761"/>
    <w:rsid w:val="00487C08"/>
    <w:rsid w:val="00487D85"/>
    <w:rsid w:val="00490288"/>
    <w:rsid w:val="004905C3"/>
    <w:rsid w:val="00491084"/>
    <w:rsid w:val="00491821"/>
    <w:rsid w:val="00491C08"/>
    <w:rsid w:val="00491E51"/>
    <w:rsid w:val="00491E6D"/>
    <w:rsid w:val="00491EFC"/>
    <w:rsid w:val="00492064"/>
    <w:rsid w:val="00492849"/>
    <w:rsid w:val="00492911"/>
    <w:rsid w:val="00492A03"/>
    <w:rsid w:val="004935B6"/>
    <w:rsid w:val="004937C9"/>
    <w:rsid w:val="00493A21"/>
    <w:rsid w:val="00493A92"/>
    <w:rsid w:val="00493F92"/>
    <w:rsid w:val="0049423C"/>
    <w:rsid w:val="00494358"/>
    <w:rsid w:val="00494CB2"/>
    <w:rsid w:val="00494DDA"/>
    <w:rsid w:val="00494E3F"/>
    <w:rsid w:val="00495021"/>
    <w:rsid w:val="0049505D"/>
    <w:rsid w:val="00495621"/>
    <w:rsid w:val="00495A0A"/>
    <w:rsid w:val="00495C49"/>
    <w:rsid w:val="00496223"/>
    <w:rsid w:val="0049628C"/>
    <w:rsid w:val="00496A80"/>
    <w:rsid w:val="00497498"/>
    <w:rsid w:val="004978D3"/>
    <w:rsid w:val="004978EB"/>
    <w:rsid w:val="00497C5C"/>
    <w:rsid w:val="00497CE4"/>
    <w:rsid w:val="00497DAC"/>
    <w:rsid w:val="00497E07"/>
    <w:rsid w:val="004A0323"/>
    <w:rsid w:val="004A03E8"/>
    <w:rsid w:val="004A05EB"/>
    <w:rsid w:val="004A068B"/>
    <w:rsid w:val="004A068F"/>
    <w:rsid w:val="004A0E3E"/>
    <w:rsid w:val="004A0E9C"/>
    <w:rsid w:val="004A0F93"/>
    <w:rsid w:val="004A121F"/>
    <w:rsid w:val="004A12BB"/>
    <w:rsid w:val="004A1671"/>
    <w:rsid w:val="004A1B42"/>
    <w:rsid w:val="004A29EA"/>
    <w:rsid w:val="004A2B67"/>
    <w:rsid w:val="004A2B87"/>
    <w:rsid w:val="004A2D3E"/>
    <w:rsid w:val="004A2D94"/>
    <w:rsid w:val="004A2E79"/>
    <w:rsid w:val="004A3024"/>
    <w:rsid w:val="004A376D"/>
    <w:rsid w:val="004A3891"/>
    <w:rsid w:val="004A3D97"/>
    <w:rsid w:val="004A41F4"/>
    <w:rsid w:val="004A4945"/>
    <w:rsid w:val="004A4BED"/>
    <w:rsid w:val="004A4C93"/>
    <w:rsid w:val="004A4F0E"/>
    <w:rsid w:val="004A54DF"/>
    <w:rsid w:val="004A5799"/>
    <w:rsid w:val="004A5EA0"/>
    <w:rsid w:val="004A6372"/>
    <w:rsid w:val="004A6592"/>
    <w:rsid w:val="004A66B3"/>
    <w:rsid w:val="004A68F4"/>
    <w:rsid w:val="004A6B90"/>
    <w:rsid w:val="004A7210"/>
    <w:rsid w:val="004A7389"/>
    <w:rsid w:val="004A7A99"/>
    <w:rsid w:val="004A7B4C"/>
    <w:rsid w:val="004A7C0E"/>
    <w:rsid w:val="004B02BD"/>
    <w:rsid w:val="004B02D7"/>
    <w:rsid w:val="004B0526"/>
    <w:rsid w:val="004B0B12"/>
    <w:rsid w:val="004B10DF"/>
    <w:rsid w:val="004B16D5"/>
    <w:rsid w:val="004B1C0E"/>
    <w:rsid w:val="004B2575"/>
    <w:rsid w:val="004B28F1"/>
    <w:rsid w:val="004B2F63"/>
    <w:rsid w:val="004B3013"/>
    <w:rsid w:val="004B3543"/>
    <w:rsid w:val="004B3655"/>
    <w:rsid w:val="004B37EC"/>
    <w:rsid w:val="004B3C78"/>
    <w:rsid w:val="004B3CC4"/>
    <w:rsid w:val="004B3F50"/>
    <w:rsid w:val="004B470E"/>
    <w:rsid w:val="004B4D10"/>
    <w:rsid w:val="004B4FC5"/>
    <w:rsid w:val="004B5890"/>
    <w:rsid w:val="004B59D7"/>
    <w:rsid w:val="004B5B7E"/>
    <w:rsid w:val="004B5B96"/>
    <w:rsid w:val="004B5CF6"/>
    <w:rsid w:val="004B6171"/>
    <w:rsid w:val="004B6592"/>
    <w:rsid w:val="004B6821"/>
    <w:rsid w:val="004B699C"/>
    <w:rsid w:val="004B6AB2"/>
    <w:rsid w:val="004B7219"/>
    <w:rsid w:val="004B7501"/>
    <w:rsid w:val="004B7571"/>
    <w:rsid w:val="004B7606"/>
    <w:rsid w:val="004B76EA"/>
    <w:rsid w:val="004C02EE"/>
    <w:rsid w:val="004C0CE8"/>
    <w:rsid w:val="004C0E29"/>
    <w:rsid w:val="004C0F04"/>
    <w:rsid w:val="004C1820"/>
    <w:rsid w:val="004C1B85"/>
    <w:rsid w:val="004C1C57"/>
    <w:rsid w:val="004C1F49"/>
    <w:rsid w:val="004C1FD8"/>
    <w:rsid w:val="004C2873"/>
    <w:rsid w:val="004C3269"/>
    <w:rsid w:val="004C34AD"/>
    <w:rsid w:val="004C35EC"/>
    <w:rsid w:val="004C35F3"/>
    <w:rsid w:val="004C3758"/>
    <w:rsid w:val="004C37EB"/>
    <w:rsid w:val="004C3936"/>
    <w:rsid w:val="004C3A25"/>
    <w:rsid w:val="004C3AFD"/>
    <w:rsid w:val="004C3C70"/>
    <w:rsid w:val="004C3EC6"/>
    <w:rsid w:val="004C40A6"/>
    <w:rsid w:val="004C410F"/>
    <w:rsid w:val="004C41CA"/>
    <w:rsid w:val="004C45A6"/>
    <w:rsid w:val="004C483E"/>
    <w:rsid w:val="004C49AD"/>
    <w:rsid w:val="004C5A63"/>
    <w:rsid w:val="004C5AE8"/>
    <w:rsid w:val="004C6162"/>
    <w:rsid w:val="004C6738"/>
    <w:rsid w:val="004C6809"/>
    <w:rsid w:val="004C69B0"/>
    <w:rsid w:val="004C74CD"/>
    <w:rsid w:val="004C79E7"/>
    <w:rsid w:val="004C7E8C"/>
    <w:rsid w:val="004D137D"/>
    <w:rsid w:val="004D1683"/>
    <w:rsid w:val="004D1944"/>
    <w:rsid w:val="004D1B44"/>
    <w:rsid w:val="004D206F"/>
    <w:rsid w:val="004D2090"/>
    <w:rsid w:val="004D293A"/>
    <w:rsid w:val="004D2996"/>
    <w:rsid w:val="004D29C7"/>
    <w:rsid w:val="004D2BBF"/>
    <w:rsid w:val="004D3ED4"/>
    <w:rsid w:val="004D4219"/>
    <w:rsid w:val="004D4273"/>
    <w:rsid w:val="004D4714"/>
    <w:rsid w:val="004D4B32"/>
    <w:rsid w:val="004D4EFD"/>
    <w:rsid w:val="004D4FE4"/>
    <w:rsid w:val="004D5493"/>
    <w:rsid w:val="004D576E"/>
    <w:rsid w:val="004D5D92"/>
    <w:rsid w:val="004D6048"/>
    <w:rsid w:val="004D6611"/>
    <w:rsid w:val="004D6A21"/>
    <w:rsid w:val="004D6A32"/>
    <w:rsid w:val="004D701F"/>
    <w:rsid w:val="004D717D"/>
    <w:rsid w:val="004E002E"/>
    <w:rsid w:val="004E06ED"/>
    <w:rsid w:val="004E0EFC"/>
    <w:rsid w:val="004E0FED"/>
    <w:rsid w:val="004E117E"/>
    <w:rsid w:val="004E1219"/>
    <w:rsid w:val="004E1D5D"/>
    <w:rsid w:val="004E1E24"/>
    <w:rsid w:val="004E1EF6"/>
    <w:rsid w:val="004E204A"/>
    <w:rsid w:val="004E22C4"/>
    <w:rsid w:val="004E22F8"/>
    <w:rsid w:val="004E2531"/>
    <w:rsid w:val="004E2541"/>
    <w:rsid w:val="004E291A"/>
    <w:rsid w:val="004E29EF"/>
    <w:rsid w:val="004E29FB"/>
    <w:rsid w:val="004E2E3A"/>
    <w:rsid w:val="004E2F23"/>
    <w:rsid w:val="004E31D3"/>
    <w:rsid w:val="004E3585"/>
    <w:rsid w:val="004E4133"/>
    <w:rsid w:val="004E42DF"/>
    <w:rsid w:val="004E465F"/>
    <w:rsid w:val="004E4740"/>
    <w:rsid w:val="004E47E1"/>
    <w:rsid w:val="004E4812"/>
    <w:rsid w:val="004E5285"/>
    <w:rsid w:val="004E5A9A"/>
    <w:rsid w:val="004E6050"/>
    <w:rsid w:val="004E6C0C"/>
    <w:rsid w:val="004E6C8B"/>
    <w:rsid w:val="004E7346"/>
    <w:rsid w:val="004E77BD"/>
    <w:rsid w:val="004E7C55"/>
    <w:rsid w:val="004F065A"/>
    <w:rsid w:val="004F074C"/>
    <w:rsid w:val="004F098C"/>
    <w:rsid w:val="004F1360"/>
    <w:rsid w:val="004F15D1"/>
    <w:rsid w:val="004F15DC"/>
    <w:rsid w:val="004F181E"/>
    <w:rsid w:val="004F1BF0"/>
    <w:rsid w:val="004F1E0D"/>
    <w:rsid w:val="004F1FCF"/>
    <w:rsid w:val="004F2313"/>
    <w:rsid w:val="004F26D3"/>
    <w:rsid w:val="004F2BBB"/>
    <w:rsid w:val="004F2EB6"/>
    <w:rsid w:val="004F309F"/>
    <w:rsid w:val="004F3248"/>
    <w:rsid w:val="004F34EB"/>
    <w:rsid w:val="004F3709"/>
    <w:rsid w:val="004F44CE"/>
    <w:rsid w:val="004F469B"/>
    <w:rsid w:val="004F5166"/>
    <w:rsid w:val="004F5BDE"/>
    <w:rsid w:val="004F5EDA"/>
    <w:rsid w:val="004F608D"/>
    <w:rsid w:val="004F6210"/>
    <w:rsid w:val="004F679E"/>
    <w:rsid w:val="004F6A79"/>
    <w:rsid w:val="004F78CA"/>
    <w:rsid w:val="004F7DB9"/>
    <w:rsid w:val="004F7FB6"/>
    <w:rsid w:val="0050049C"/>
    <w:rsid w:val="0050058D"/>
    <w:rsid w:val="00500D23"/>
    <w:rsid w:val="00500DF7"/>
    <w:rsid w:val="00500E86"/>
    <w:rsid w:val="005012B7"/>
    <w:rsid w:val="005013D9"/>
    <w:rsid w:val="00501C31"/>
    <w:rsid w:val="00502182"/>
    <w:rsid w:val="00502378"/>
    <w:rsid w:val="00502440"/>
    <w:rsid w:val="00502FE7"/>
    <w:rsid w:val="0050361C"/>
    <w:rsid w:val="005037A8"/>
    <w:rsid w:val="005039E8"/>
    <w:rsid w:val="00503A0B"/>
    <w:rsid w:val="00503AAB"/>
    <w:rsid w:val="00503C14"/>
    <w:rsid w:val="00504108"/>
    <w:rsid w:val="005042E0"/>
    <w:rsid w:val="005043C9"/>
    <w:rsid w:val="00504BF8"/>
    <w:rsid w:val="00504ECB"/>
    <w:rsid w:val="00505060"/>
    <w:rsid w:val="005050C0"/>
    <w:rsid w:val="00505330"/>
    <w:rsid w:val="005056DD"/>
    <w:rsid w:val="00505A5E"/>
    <w:rsid w:val="00505CAC"/>
    <w:rsid w:val="00505FBE"/>
    <w:rsid w:val="005061CF"/>
    <w:rsid w:val="005062DD"/>
    <w:rsid w:val="00506406"/>
    <w:rsid w:val="00506600"/>
    <w:rsid w:val="00506D73"/>
    <w:rsid w:val="00506DCC"/>
    <w:rsid w:val="00506F51"/>
    <w:rsid w:val="00507054"/>
    <w:rsid w:val="00507143"/>
    <w:rsid w:val="00507B96"/>
    <w:rsid w:val="00507F14"/>
    <w:rsid w:val="00507F4B"/>
    <w:rsid w:val="00507FC6"/>
    <w:rsid w:val="005108CC"/>
    <w:rsid w:val="00510953"/>
    <w:rsid w:val="00510A17"/>
    <w:rsid w:val="00510BAA"/>
    <w:rsid w:val="00510FD9"/>
    <w:rsid w:val="005110D5"/>
    <w:rsid w:val="00511299"/>
    <w:rsid w:val="00511333"/>
    <w:rsid w:val="0051143E"/>
    <w:rsid w:val="0051143F"/>
    <w:rsid w:val="0051184E"/>
    <w:rsid w:val="00512F32"/>
    <w:rsid w:val="0051317A"/>
    <w:rsid w:val="005132DC"/>
    <w:rsid w:val="00513333"/>
    <w:rsid w:val="00513346"/>
    <w:rsid w:val="005136BC"/>
    <w:rsid w:val="0051386B"/>
    <w:rsid w:val="00513F9E"/>
    <w:rsid w:val="005141AA"/>
    <w:rsid w:val="0051447D"/>
    <w:rsid w:val="00514A5C"/>
    <w:rsid w:val="0051508A"/>
    <w:rsid w:val="0051554E"/>
    <w:rsid w:val="005166A4"/>
    <w:rsid w:val="00516844"/>
    <w:rsid w:val="00516857"/>
    <w:rsid w:val="00516A32"/>
    <w:rsid w:val="005171E4"/>
    <w:rsid w:val="00517877"/>
    <w:rsid w:val="00517EC9"/>
    <w:rsid w:val="00520507"/>
    <w:rsid w:val="005207E2"/>
    <w:rsid w:val="00520EFF"/>
    <w:rsid w:val="00521083"/>
    <w:rsid w:val="0052178E"/>
    <w:rsid w:val="00521BF0"/>
    <w:rsid w:val="00521FC3"/>
    <w:rsid w:val="005221BF"/>
    <w:rsid w:val="005227A7"/>
    <w:rsid w:val="00522995"/>
    <w:rsid w:val="00522A01"/>
    <w:rsid w:val="00522DA1"/>
    <w:rsid w:val="005230CC"/>
    <w:rsid w:val="005234CB"/>
    <w:rsid w:val="005234FE"/>
    <w:rsid w:val="005236D7"/>
    <w:rsid w:val="00523E81"/>
    <w:rsid w:val="00524AAD"/>
    <w:rsid w:val="005251CE"/>
    <w:rsid w:val="0052534B"/>
    <w:rsid w:val="00525902"/>
    <w:rsid w:val="00525926"/>
    <w:rsid w:val="00525939"/>
    <w:rsid w:val="0052648D"/>
    <w:rsid w:val="0052657C"/>
    <w:rsid w:val="005268A0"/>
    <w:rsid w:val="0052750F"/>
    <w:rsid w:val="00527B59"/>
    <w:rsid w:val="0053028D"/>
    <w:rsid w:val="00530C6A"/>
    <w:rsid w:val="00531561"/>
    <w:rsid w:val="00531628"/>
    <w:rsid w:val="0053169F"/>
    <w:rsid w:val="00531AFA"/>
    <w:rsid w:val="00531EF7"/>
    <w:rsid w:val="00531F8B"/>
    <w:rsid w:val="0053201B"/>
    <w:rsid w:val="0053235D"/>
    <w:rsid w:val="005323D7"/>
    <w:rsid w:val="00532809"/>
    <w:rsid w:val="005336A6"/>
    <w:rsid w:val="00533D72"/>
    <w:rsid w:val="00533D93"/>
    <w:rsid w:val="00534011"/>
    <w:rsid w:val="00534740"/>
    <w:rsid w:val="00534A2A"/>
    <w:rsid w:val="00534A9F"/>
    <w:rsid w:val="00534C02"/>
    <w:rsid w:val="00534F95"/>
    <w:rsid w:val="00535727"/>
    <w:rsid w:val="00536105"/>
    <w:rsid w:val="005362A1"/>
    <w:rsid w:val="00536E03"/>
    <w:rsid w:val="00536E5F"/>
    <w:rsid w:val="00537288"/>
    <w:rsid w:val="00537340"/>
    <w:rsid w:val="005374C7"/>
    <w:rsid w:val="00537737"/>
    <w:rsid w:val="00537CF3"/>
    <w:rsid w:val="005402E3"/>
    <w:rsid w:val="0054049F"/>
    <w:rsid w:val="005406D9"/>
    <w:rsid w:val="0054073C"/>
    <w:rsid w:val="005411B2"/>
    <w:rsid w:val="005411FE"/>
    <w:rsid w:val="005412BD"/>
    <w:rsid w:val="005416E4"/>
    <w:rsid w:val="0054184D"/>
    <w:rsid w:val="00541926"/>
    <w:rsid w:val="00541D21"/>
    <w:rsid w:val="0054220C"/>
    <w:rsid w:val="00542431"/>
    <w:rsid w:val="0054334C"/>
    <w:rsid w:val="005433C5"/>
    <w:rsid w:val="00543538"/>
    <w:rsid w:val="0054358B"/>
    <w:rsid w:val="00543B54"/>
    <w:rsid w:val="00543C97"/>
    <w:rsid w:val="00543D13"/>
    <w:rsid w:val="00543D5F"/>
    <w:rsid w:val="00543E2C"/>
    <w:rsid w:val="005446FA"/>
    <w:rsid w:val="005446FC"/>
    <w:rsid w:val="00544ACB"/>
    <w:rsid w:val="005450EF"/>
    <w:rsid w:val="00545340"/>
    <w:rsid w:val="005453D3"/>
    <w:rsid w:val="0054546C"/>
    <w:rsid w:val="005454A9"/>
    <w:rsid w:val="00546A3A"/>
    <w:rsid w:val="00546AD5"/>
    <w:rsid w:val="00546CBB"/>
    <w:rsid w:val="00546DFB"/>
    <w:rsid w:val="00547635"/>
    <w:rsid w:val="00547F77"/>
    <w:rsid w:val="00547F7A"/>
    <w:rsid w:val="0055037F"/>
    <w:rsid w:val="005505D7"/>
    <w:rsid w:val="005505F3"/>
    <w:rsid w:val="005508B7"/>
    <w:rsid w:val="005509F7"/>
    <w:rsid w:val="00550B9B"/>
    <w:rsid w:val="00551379"/>
    <w:rsid w:val="005516CE"/>
    <w:rsid w:val="00551A54"/>
    <w:rsid w:val="00551CD0"/>
    <w:rsid w:val="005527D4"/>
    <w:rsid w:val="00552970"/>
    <w:rsid w:val="00552D4A"/>
    <w:rsid w:val="00552E9D"/>
    <w:rsid w:val="00552EC3"/>
    <w:rsid w:val="00552FA2"/>
    <w:rsid w:val="00553028"/>
    <w:rsid w:val="00553098"/>
    <w:rsid w:val="0055339D"/>
    <w:rsid w:val="00553B8C"/>
    <w:rsid w:val="00553D10"/>
    <w:rsid w:val="00553F01"/>
    <w:rsid w:val="00553F6C"/>
    <w:rsid w:val="00553F77"/>
    <w:rsid w:val="00553FAC"/>
    <w:rsid w:val="005545F0"/>
    <w:rsid w:val="00554E43"/>
    <w:rsid w:val="00555195"/>
    <w:rsid w:val="00555AA5"/>
    <w:rsid w:val="0055616B"/>
    <w:rsid w:val="005568B5"/>
    <w:rsid w:val="00556B0E"/>
    <w:rsid w:val="00556D2B"/>
    <w:rsid w:val="00556EE5"/>
    <w:rsid w:val="00557062"/>
    <w:rsid w:val="00557556"/>
    <w:rsid w:val="005576B7"/>
    <w:rsid w:val="005576C8"/>
    <w:rsid w:val="005578FB"/>
    <w:rsid w:val="00557A31"/>
    <w:rsid w:val="00557B11"/>
    <w:rsid w:val="005605CF"/>
    <w:rsid w:val="00560ECB"/>
    <w:rsid w:val="005610B4"/>
    <w:rsid w:val="00561621"/>
    <w:rsid w:val="00561B4E"/>
    <w:rsid w:val="00562820"/>
    <w:rsid w:val="00562B00"/>
    <w:rsid w:val="005632C9"/>
    <w:rsid w:val="005636DE"/>
    <w:rsid w:val="00563718"/>
    <w:rsid w:val="00563DD0"/>
    <w:rsid w:val="005641F6"/>
    <w:rsid w:val="005644AB"/>
    <w:rsid w:val="00564B5C"/>
    <w:rsid w:val="00564BBF"/>
    <w:rsid w:val="00564D9B"/>
    <w:rsid w:val="0056517B"/>
    <w:rsid w:val="00565612"/>
    <w:rsid w:val="00565F07"/>
    <w:rsid w:val="00566390"/>
    <w:rsid w:val="005665B6"/>
    <w:rsid w:val="00566BC0"/>
    <w:rsid w:val="00566CB0"/>
    <w:rsid w:val="00566E05"/>
    <w:rsid w:val="00566EF3"/>
    <w:rsid w:val="005673C5"/>
    <w:rsid w:val="00567E98"/>
    <w:rsid w:val="0057032E"/>
    <w:rsid w:val="0057194D"/>
    <w:rsid w:val="005719E6"/>
    <w:rsid w:val="00571B2C"/>
    <w:rsid w:val="00571B76"/>
    <w:rsid w:val="00571DD1"/>
    <w:rsid w:val="00571DDA"/>
    <w:rsid w:val="00571F22"/>
    <w:rsid w:val="005731CD"/>
    <w:rsid w:val="005731F0"/>
    <w:rsid w:val="00573490"/>
    <w:rsid w:val="005739AC"/>
    <w:rsid w:val="00573BEA"/>
    <w:rsid w:val="00573E26"/>
    <w:rsid w:val="00573EBA"/>
    <w:rsid w:val="0057437B"/>
    <w:rsid w:val="00574501"/>
    <w:rsid w:val="00574A7F"/>
    <w:rsid w:val="00574A81"/>
    <w:rsid w:val="00574CEC"/>
    <w:rsid w:val="0057531E"/>
    <w:rsid w:val="00575A02"/>
    <w:rsid w:val="00575B9F"/>
    <w:rsid w:val="00575F58"/>
    <w:rsid w:val="005761A0"/>
    <w:rsid w:val="005764E1"/>
    <w:rsid w:val="00576584"/>
    <w:rsid w:val="005766E8"/>
    <w:rsid w:val="00576AEF"/>
    <w:rsid w:val="00576D4B"/>
    <w:rsid w:val="0057713B"/>
    <w:rsid w:val="005777A8"/>
    <w:rsid w:val="00577B06"/>
    <w:rsid w:val="00577B1E"/>
    <w:rsid w:val="00577B2C"/>
    <w:rsid w:val="005800CE"/>
    <w:rsid w:val="005801D9"/>
    <w:rsid w:val="00580991"/>
    <w:rsid w:val="00580EAE"/>
    <w:rsid w:val="0058113B"/>
    <w:rsid w:val="005811E5"/>
    <w:rsid w:val="005817D4"/>
    <w:rsid w:val="005818B5"/>
    <w:rsid w:val="00581E36"/>
    <w:rsid w:val="00581E45"/>
    <w:rsid w:val="00582067"/>
    <w:rsid w:val="0058230F"/>
    <w:rsid w:val="0058266B"/>
    <w:rsid w:val="005826FE"/>
    <w:rsid w:val="00582840"/>
    <w:rsid w:val="00582844"/>
    <w:rsid w:val="00582935"/>
    <w:rsid w:val="00582EEE"/>
    <w:rsid w:val="00582F92"/>
    <w:rsid w:val="005830A4"/>
    <w:rsid w:val="00583402"/>
    <w:rsid w:val="00583447"/>
    <w:rsid w:val="00584591"/>
    <w:rsid w:val="005851AB"/>
    <w:rsid w:val="0058535E"/>
    <w:rsid w:val="0058544F"/>
    <w:rsid w:val="00586C84"/>
    <w:rsid w:val="00587389"/>
    <w:rsid w:val="0058747E"/>
    <w:rsid w:val="005876A4"/>
    <w:rsid w:val="005876C0"/>
    <w:rsid w:val="0058777F"/>
    <w:rsid w:val="005901D6"/>
    <w:rsid w:val="005907F6"/>
    <w:rsid w:val="00590C3A"/>
    <w:rsid w:val="00590DF5"/>
    <w:rsid w:val="005910AD"/>
    <w:rsid w:val="00591856"/>
    <w:rsid w:val="00591E90"/>
    <w:rsid w:val="00591FBF"/>
    <w:rsid w:val="00592BF3"/>
    <w:rsid w:val="00592E10"/>
    <w:rsid w:val="00592F1F"/>
    <w:rsid w:val="0059318C"/>
    <w:rsid w:val="00593327"/>
    <w:rsid w:val="00593857"/>
    <w:rsid w:val="00593BC9"/>
    <w:rsid w:val="00593CE9"/>
    <w:rsid w:val="00594278"/>
    <w:rsid w:val="00594578"/>
    <w:rsid w:val="005946B3"/>
    <w:rsid w:val="0059481D"/>
    <w:rsid w:val="005956DA"/>
    <w:rsid w:val="00595885"/>
    <w:rsid w:val="0059598C"/>
    <w:rsid w:val="00595A28"/>
    <w:rsid w:val="00595CF5"/>
    <w:rsid w:val="00595D21"/>
    <w:rsid w:val="00595F3A"/>
    <w:rsid w:val="0059619E"/>
    <w:rsid w:val="00596D82"/>
    <w:rsid w:val="00596EA7"/>
    <w:rsid w:val="00596EDF"/>
    <w:rsid w:val="005971FE"/>
    <w:rsid w:val="00597305"/>
    <w:rsid w:val="005A069A"/>
    <w:rsid w:val="005A08C5"/>
    <w:rsid w:val="005A119B"/>
    <w:rsid w:val="005A1284"/>
    <w:rsid w:val="005A13C9"/>
    <w:rsid w:val="005A147A"/>
    <w:rsid w:val="005A15AA"/>
    <w:rsid w:val="005A1676"/>
    <w:rsid w:val="005A1BF2"/>
    <w:rsid w:val="005A1C81"/>
    <w:rsid w:val="005A1E32"/>
    <w:rsid w:val="005A1FFB"/>
    <w:rsid w:val="005A2C47"/>
    <w:rsid w:val="005A32DD"/>
    <w:rsid w:val="005A33E6"/>
    <w:rsid w:val="005A35B4"/>
    <w:rsid w:val="005A3899"/>
    <w:rsid w:val="005A39C4"/>
    <w:rsid w:val="005A39CC"/>
    <w:rsid w:val="005A3BC7"/>
    <w:rsid w:val="005A3DA4"/>
    <w:rsid w:val="005A3FC6"/>
    <w:rsid w:val="005A43AE"/>
    <w:rsid w:val="005A4A6D"/>
    <w:rsid w:val="005A4E6E"/>
    <w:rsid w:val="005A4F69"/>
    <w:rsid w:val="005A4FFD"/>
    <w:rsid w:val="005A54AA"/>
    <w:rsid w:val="005A5661"/>
    <w:rsid w:val="005A67DE"/>
    <w:rsid w:val="005A6BBA"/>
    <w:rsid w:val="005A6EF1"/>
    <w:rsid w:val="005A7075"/>
    <w:rsid w:val="005A70E4"/>
    <w:rsid w:val="005A7255"/>
    <w:rsid w:val="005A74C1"/>
    <w:rsid w:val="005A7683"/>
    <w:rsid w:val="005A77D8"/>
    <w:rsid w:val="005A77E1"/>
    <w:rsid w:val="005A7A5C"/>
    <w:rsid w:val="005A7D23"/>
    <w:rsid w:val="005B0058"/>
    <w:rsid w:val="005B008F"/>
    <w:rsid w:val="005B05E8"/>
    <w:rsid w:val="005B0EA2"/>
    <w:rsid w:val="005B16A2"/>
    <w:rsid w:val="005B180F"/>
    <w:rsid w:val="005B1E6C"/>
    <w:rsid w:val="005B1FEF"/>
    <w:rsid w:val="005B2359"/>
    <w:rsid w:val="005B2536"/>
    <w:rsid w:val="005B2AA3"/>
    <w:rsid w:val="005B39F9"/>
    <w:rsid w:val="005B4372"/>
    <w:rsid w:val="005B4666"/>
    <w:rsid w:val="005B4702"/>
    <w:rsid w:val="005B4FBF"/>
    <w:rsid w:val="005B50EC"/>
    <w:rsid w:val="005B51BA"/>
    <w:rsid w:val="005B559F"/>
    <w:rsid w:val="005B56AB"/>
    <w:rsid w:val="005B58BD"/>
    <w:rsid w:val="005B5C34"/>
    <w:rsid w:val="005B608F"/>
    <w:rsid w:val="005B6090"/>
    <w:rsid w:val="005B64DB"/>
    <w:rsid w:val="005B6E79"/>
    <w:rsid w:val="005B70A7"/>
    <w:rsid w:val="005B758F"/>
    <w:rsid w:val="005B7815"/>
    <w:rsid w:val="005B7BFF"/>
    <w:rsid w:val="005B7DE8"/>
    <w:rsid w:val="005B7E4A"/>
    <w:rsid w:val="005B7F49"/>
    <w:rsid w:val="005B7F59"/>
    <w:rsid w:val="005C0173"/>
    <w:rsid w:val="005C0429"/>
    <w:rsid w:val="005C0510"/>
    <w:rsid w:val="005C06E3"/>
    <w:rsid w:val="005C0CFB"/>
    <w:rsid w:val="005C0E4A"/>
    <w:rsid w:val="005C117B"/>
    <w:rsid w:val="005C1578"/>
    <w:rsid w:val="005C1740"/>
    <w:rsid w:val="005C2C79"/>
    <w:rsid w:val="005C3022"/>
    <w:rsid w:val="005C307E"/>
    <w:rsid w:val="005C30E0"/>
    <w:rsid w:val="005C3380"/>
    <w:rsid w:val="005C3694"/>
    <w:rsid w:val="005C3A32"/>
    <w:rsid w:val="005C4C44"/>
    <w:rsid w:val="005C4E46"/>
    <w:rsid w:val="005C56CA"/>
    <w:rsid w:val="005C60F0"/>
    <w:rsid w:val="005C6654"/>
    <w:rsid w:val="005C6983"/>
    <w:rsid w:val="005C710E"/>
    <w:rsid w:val="005C728E"/>
    <w:rsid w:val="005C7EAC"/>
    <w:rsid w:val="005C7FDF"/>
    <w:rsid w:val="005C7FE6"/>
    <w:rsid w:val="005D0224"/>
    <w:rsid w:val="005D02BF"/>
    <w:rsid w:val="005D0AF4"/>
    <w:rsid w:val="005D0DD2"/>
    <w:rsid w:val="005D0E52"/>
    <w:rsid w:val="005D0E94"/>
    <w:rsid w:val="005D1260"/>
    <w:rsid w:val="005D1515"/>
    <w:rsid w:val="005D19BD"/>
    <w:rsid w:val="005D1B5E"/>
    <w:rsid w:val="005D1BE5"/>
    <w:rsid w:val="005D1E46"/>
    <w:rsid w:val="005D2373"/>
    <w:rsid w:val="005D2854"/>
    <w:rsid w:val="005D2A46"/>
    <w:rsid w:val="005D2E40"/>
    <w:rsid w:val="005D30A2"/>
    <w:rsid w:val="005D30EA"/>
    <w:rsid w:val="005D3665"/>
    <w:rsid w:val="005D3AAC"/>
    <w:rsid w:val="005D3B4F"/>
    <w:rsid w:val="005D3E49"/>
    <w:rsid w:val="005D415E"/>
    <w:rsid w:val="005D4E52"/>
    <w:rsid w:val="005D511C"/>
    <w:rsid w:val="005D654B"/>
    <w:rsid w:val="005D6722"/>
    <w:rsid w:val="005D6816"/>
    <w:rsid w:val="005D6951"/>
    <w:rsid w:val="005D6DAB"/>
    <w:rsid w:val="005D6E21"/>
    <w:rsid w:val="005D7044"/>
    <w:rsid w:val="005D72A0"/>
    <w:rsid w:val="005D7651"/>
    <w:rsid w:val="005D76C0"/>
    <w:rsid w:val="005D777B"/>
    <w:rsid w:val="005D7914"/>
    <w:rsid w:val="005E0251"/>
    <w:rsid w:val="005E05AB"/>
    <w:rsid w:val="005E07FA"/>
    <w:rsid w:val="005E1016"/>
    <w:rsid w:val="005E1263"/>
    <w:rsid w:val="005E12F5"/>
    <w:rsid w:val="005E16E3"/>
    <w:rsid w:val="005E1910"/>
    <w:rsid w:val="005E1A47"/>
    <w:rsid w:val="005E1B58"/>
    <w:rsid w:val="005E24FC"/>
    <w:rsid w:val="005E2731"/>
    <w:rsid w:val="005E2927"/>
    <w:rsid w:val="005E2A18"/>
    <w:rsid w:val="005E2B41"/>
    <w:rsid w:val="005E35C0"/>
    <w:rsid w:val="005E383A"/>
    <w:rsid w:val="005E3E43"/>
    <w:rsid w:val="005E42CF"/>
    <w:rsid w:val="005E4BFD"/>
    <w:rsid w:val="005E4EF1"/>
    <w:rsid w:val="005E5561"/>
    <w:rsid w:val="005E55C1"/>
    <w:rsid w:val="005E565A"/>
    <w:rsid w:val="005E5840"/>
    <w:rsid w:val="005E58A4"/>
    <w:rsid w:val="005E5C9B"/>
    <w:rsid w:val="005E6424"/>
    <w:rsid w:val="005E669E"/>
    <w:rsid w:val="005E6708"/>
    <w:rsid w:val="005E68DB"/>
    <w:rsid w:val="005E6F85"/>
    <w:rsid w:val="005E7F55"/>
    <w:rsid w:val="005F01CE"/>
    <w:rsid w:val="005F065A"/>
    <w:rsid w:val="005F0C54"/>
    <w:rsid w:val="005F1193"/>
    <w:rsid w:val="005F354C"/>
    <w:rsid w:val="005F3C7D"/>
    <w:rsid w:val="005F3CEA"/>
    <w:rsid w:val="005F3DA4"/>
    <w:rsid w:val="005F3FD4"/>
    <w:rsid w:val="005F41AD"/>
    <w:rsid w:val="005F4205"/>
    <w:rsid w:val="005F425B"/>
    <w:rsid w:val="005F43A1"/>
    <w:rsid w:val="005F4C71"/>
    <w:rsid w:val="005F51A5"/>
    <w:rsid w:val="005F5770"/>
    <w:rsid w:val="005F5A83"/>
    <w:rsid w:val="005F5BE4"/>
    <w:rsid w:val="005F5CC9"/>
    <w:rsid w:val="005F6355"/>
    <w:rsid w:val="005F64F7"/>
    <w:rsid w:val="005F6D7F"/>
    <w:rsid w:val="005F71AC"/>
    <w:rsid w:val="005F7426"/>
    <w:rsid w:val="005F7B42"/>
    <w:rsid w:val="005F7BCF"/>
    <w:rsid w:val="005F7F6C"/>
    <w:rsid w:val="00600673"/>
    <w:rsid w:val="006006B2"/>
    <w:rsid w:val="006013C7"/>
    <w:rsid w:val="006014D9"/>
    <w:rsid w:val="00602049"/>
    <w:rsid w:val="0060235B"/>
    <w:rsid w:val="006026FA"/>
    <w:rsid w:val="006028FF"/>
    <w:rsid w:val="00602ADE"/>
    <w:rsid w:val="00602B68"/>
    <w:rsid w:val="00603A05"/>
    <w:rsid w:val="00603A1B"/>
    <w:rsid w:val="00603DBF"/>
    <w:rsid w:val="006042CA"/>
    <w:rsid w:val="00604635"/>
    <w:rsid w:val="006046A3"/>
    <w:rsid w:val="006046FA"/>
    <w:rsid w:val="00604869"/>
    <w:rsid w:val="00604C16"/>
    <w:rsid w:val="00605596"/>
    <w:rsid w:val="00605C31"/>
    <w:rsid w:val="006064F8"/>
    <w:rsid w:val="0060655A"/>
    <w:rsid w:val="006070B9"/>
    <w:rsid w:val="00607ECE"/>
    <w:rsid w:val="00610969"/>
    <w:rsid w:val="00610B2C"/>
    <w:rsid w:val="00610C49"/>
    <w:rsid w:val="00611088"/>
    <w:rsid w:val="006112AC"/>
    <w:rsid w:val="006115C2"/>
    <w:rsid w:val="006116D3"/>
    <w:rsid w:val="00611704"/>
    <w:rsid w:val="006118D8"/>
    <w:rsid w:val="00611941"/>
    <w:rsid w:val="00611CCE"/>
    <w:rsid w:val="00611D1A"/>
    <w:rsid w:val="00611F0F"/>
    <w:rsid w:val="0061256F"/>
    <w:rsid w:val="00612587"/>
    <w:rsid w:val="00612E03"/>
    <w:rsid w:val="00612F5E"/>
    <w:rsid w:val="006137FF"/>
    <w:rsid w:val="00613953"/>
    <w:rsid w:val="00613AC9"/>
    <w:rsid w:val="00615276"/>
    <w:rsid w:val="0061574D"/>
    <w:rsid w:val="00615D90"/>
    <w:rsid w:val="00615EAD"/>
    <w:rsid w:val="0061654B"/>
    <w:rsid w:val="00616954"/>
    <w:rsid w:val="00617501"/>
    <w:rsid w:val="006175E1"/>
    <w:rsid w:val="00617FDF"/>
    <w:rsid w:val="006201D9"/>
    <w:rsid w:val="00620419"/>
    <w:rsid w:val="00620485"/>
    <w:rsid w:val="0062076E"/>
    <w:rsid w:val="006208ED"/>
    <w:rsid w:val="00620B24"/>
    <w:rsid w:val="00620B2D"/>
    <w:rsid w:val="006215D1"/>
    <w:rsid w:val="00621802"/>
    <w:rsid w:val="00621E9C"/>
    <w:rsid w:val="00622152"/>
    <w:rsid w:val="00622807"/>
    <w:rsid w:val="006230B0"/>
    <w:rsid w:val="00623162"/>
    <w:rsid w:val="00623768"/>
    <w:rsid w:val="006238A7"/>
    <w:rsid w:val="00623FAB"/>
    <w:rsid w:val="006241D9"/>
    <w:rsid w:val="0062428B"/>
    <w:rsid w:val="00624724"/>
    <w:rsid w:val="00624C04"/>
    <w:rsid w:val="00624D63"/>
    <w:rsid w:val="0062542D"/>
    <w:rsid w:val="0062548A"/>
    <w:rsid w:val="0062584F"/>
    <w:rsid w:val="00625903"/>
    <w:rsid w:val="00625A41"/>
    <w:rsid w:val="00625D83"/>
    <w:rsid w:val="006266FF"/>
    <w:rsid w:val="0062677C"/>
    <w:rsid w:val="006267D4"/>
    <w:rsid w:val="006278FA"/>
    <w:rsid w:val="00627A6D"/>
    <w:rsid w:val="0063064E"/>
    <w:rsid w:val="006306A0"/>
    <w:rsid w:val="00630A90"/>
    <w:rsid w:val="00630B6A"/>
    <w:rsid w:val="00630DD3"/>
    <w:rsid w:val="00630EC1"/>
    <w:rsid w:val="00631553"/>
    <w:rsid w:val="006318B9"/>
    <w:rsid w:val="006319C5"/>
    <w:rsid w:val="00631AC9"/>
    <w:rsid w:val="00631C5D"/>
    <w:rsid w:val="00631DDE"/>
    <w:rsid w:val="00631EA4"/>
    <w:rsid w:val="0063221F"/>
    <w:rsid w:val="0063240E"/>
    <w:rsid w:val="00632557"/>
    <w:rsid w:val="006327A6"/>
    <w:rsid w:val="00632A9A"/>
    <w:rsid w:val="00632ADE"/>
    <w:rsid w:val="00632DB5"/>
    <w:rsid w:val="00632E5A"/>
    <w:rsid w:val="00632E93"/>
    <w:rsid w:val="00633044"/>
    <w:rsid w:val="006333A1"/>
    <w:rsid w:val="0063346D"/>
    <w:rsid w:val="00633779"/>
    <w:rsid w:val="00633A00"/>
    <w:rsid w:val="00634780"/>
    <w:rsid w:val="00634B5A"/>
    <w:rsid w:val="00634E35"/>
    <w:rsid w:val="006357B0"/>
    <w:rsid w:val="00635F03"/>
    <w:rsid w:val="0063604E"/>
    <w:rsid w:val="006361B1"/>
    <w:rsid w:val="0063694E"/>
    <w:rsid w:val="00636D79"/>
    <w:rsid w:val="00637028"/>
    <w:rsid w:val="00637088"/>
    <w:rsid w:val="006370B5"/>
    <w:rsid w:val="006370EB"/>
    <w:rsid w:val="00637349"/>
    <w:rsid w:val="00637699"/>
    <w:rsid w:val="00637A13"/>
    <w:rsid w:val="00637F65"/>
    <w:rsid w:val="00640199"/>
    <w:rsid w:val="00640C21"/>
    <w:rsid w:val="00640E66"/>
    <w:rsid w:val="00640E89"/>
    <w:rsid w:val="0064171E"/>
    <w:rsid w:val="00641D82"/>
    <w:rsid w:val="00641F60"/>
    <w:rsid w:val="0064210F"/>
    <w:rsid w:val="0064261F"/>
    <w:rsid w:val="00642644"/>
    <w:rsid w:val="006429A6"/>
    <w:rsid w:val="0064325B"/>
    <w:rsid w:val="00643B0B"/>
    <w:rsid w:val="00644098"/>
    <w:rsid w:val="006440F0"/>
    <w:rsid w:val="006440FB"/>
    <w:rsid w:val="00644ED2"/>
    <w:rsid w:val="00645E95"/>
    <w:rsid w:val="00646B1B"/>
    <w:rsid w:val="00646D2D"/>
    <w:rsid w:val="00647537"/>
    <w:rsid w:val="00647AEF"/>
    <w:rsid w:val="006505EA"/>
    <w:rsid w:val="006507A1"/>
    <w:rsid w:val="00650A96"/>
    <w:rsid w:val="006510EB"/>
    <w:rsid w:val="006514F5"/>
    <w:rsid w:val="00651660"/>
    <w:rsid w:val="00651F5C"/>
    <w:rsid w:val="00651FDD"/>
    <w:rsid w:val="006523FD"/>
    <w:rsid w:val="00652945"/>
    <w:rsid w:val="00652DF2"/>
    <w:rsid w:val="00652EE2"/>
    <w:rsid w:val="0065364D"/>
    <w:rsid w:val="00653CB5"/>
    <w:rsid w:val="00653D2C"/>
    <w:rsid w:val="00653E7E"/>
    <w:rsid w:val="00653EE9"/>
    <w:rsid w:val="006546C6"/>
    <w:rsid w:val="00654F59"/>
    <w:rsid w:val="006550FE"/>
    <w:rsid w:val="00655584"/>
    <w:rsid w:val="006556C6"/>
    <w:rsid w:val="00655F87"/>
    <w:rsid w:val="00656238"/>
    <w:rsid w:val="0065628E"/>
    <w:rsid w:val="0065691B"/>
    <w:rsid w:val="00657189"/>
    <w:rsid w:val="006574AC"/>
    <w:rsid w:val="006578C1"/>
    <w:rsid w:val="00657D87"/>
    <w:rsid w:val="006609B9"/>
    <w:rsid w:val="00660B0D"/>
    <w:rsid w:val="00660B36"/>
    <w:rsid w:val="00660CB2"/>
    <w:rsid w:val="006613D5"/>
    <w:rsid w:val="00661688"/>
    <w:rsid w:val="00661F70"/>
    <w:rsid w:val="00662116"/>
    <w:rsid w:val="0066339D"/>
    <w:rsid w:val="00663404"/>
    <w:rsid w:val="0066365B"/>
    <w:rsid w:val="00664358"/>
    <w:rsid w:val="00664718"/>
    <w:rsid w:val="0066478D"/>
    <w:rsid w:val="00664E5E"/>
    <w:rsid w:val="00665754"/>
    <w:rsid w:val="00665AE4"/>
    <w:rsid w:val="00665F5F"/>
    <w:rsid w:val="006664A5"/>
    <w:rsid w:val="00666520"/>
    <w:rsid w:val="006665B6"/>
    <w:rsid w:val="006666F0"/>
    <w:rsid w:val="006668AE"/>
    <w:rsid w:val="00666F41"/>
    <w:rsid w:val="006672BE"/>
    <w:rsid w:val="006675AB"/>
    <w:rsid w:val="006676BF"/>
    <w:rsid w:val="00667841"/>
    <w:rsid w:val="00667FCE"/>
    <w:rsid w:val="006700B1"/>
    <w:rsid w:val="006708E3"/>
    <w:rsid w:val="00670EB9"/>
    <w:rsid w:val="00671057"/>
    <w:rsid w:val="006711DA"/>
    <w:rsid w:val="00671549"/>
    <w:rsid w:val="006717E9"/>
    <w:rsid w:val="00672297"/>
    <w:rsid w:val="00672671"/>
    <w:rsid w:val="006728BE"/>
    <w:rsid w:val="00672B2F"/>
    <w:rsid w:val="006730C8"/>
    <w:rsid w:val="00673592"/>
    <w:rsid w:val="006738F2"/>
    <w:rsid w:val="00673929"/>
    <w:rsid w:val="00673A01"/>
    <w:rsid w:val="00673A3F"/>
    <w:rsid w:val="00673A71"/>
    <w:rsid w:val="00673C5A"/>
    <w:rsid w:val="00673FBD"/>
    <w:rsid w:val="006744CE"/>
    <w:rsid w:val="00674647"/>
    <w:rsid w:val="0067494B"/>
    <w:rsid w:val="00674E4F"/>
    <w:rsid w:val="00675423"/>
    <w:rsid w:val="0067545A"/>
    <w:rsid w:val="00675A70"/>
    <w:rsid w:val="00675A9C"/>
    <w:rsid w:val="006762F0"/>
    <w:rsid w:val="006765FC"/>
    <w:rsid w:val="00676950"/>
    <w:rsid w:val="00676B94"/>
    <w:rsid w:val="00676DBA"/>
    <w:rsid w:val="0067707D"/>
    <w:rsid w:val="00677891"/>
    <w:rsid w:val="006778CE"/>
    <w:rsid w:val="006778E2"/>
    <w:rsid w:val="00677B23"/>
    <w:rsid w:val="00680EE0"/>
    <w:rsid w:val="00681370"/>
    <w:rsid w:val="00681391"/>
    <w:rsid w:val="00681EBC"/>
    <w:rsid w:val="00682519"/>
    <w:rsid w:val="00682AF4"/>
    <w:rsid w:val="00683254"/>
    <w:rsid w:val="006837B9"/>
    <w:rsid w:val="006846D0"/>
    <w:rsid w:val="0068477F"/>
    <w:rsid w:val="006849E8"/>
    <w:rsid w:val="00684B1C"/>
    <w:rsid w:val="00684D44"/>
    <w:rsid w:val="00684D7E"/>
    <w:rsid w:val="006850D6"/>
    <w:rsid w:val="006855FF"/>
    <w:rsid w:val="0068591B"/>
    <w:rsid w:val="00685C1B"/>
    <w:rsid w:val="006865C7"/>
    <w:rsid w:val="00686791"/>
    <w:rsid w:val="0068681F"/>
    <w:rsid w:val="00686F9A"/>
    <w:rsid w:val="006877C8"/>
    <w:rsid w:val="00687CA3"/>
    <w:rsid w:val="00687EC4"/>
    <w:rsid w:val="006902D6"/>
    <w:rsid w:val="00690402"/>
    <w:rsid w:val="006904F6"/>
    <w:rsid w:val="00690643"/>
    <w:rsid w:val="00690BC9"/>
    <w:rsid w:val="00690E3D"/>
    <w:rsid w:val="00691ADB"/>
    <w:rsid w:val="00691FC5"/>
    <w:rsid w:val="00692BF1"/>
    <w:rsid w:val="00693168"/>
    <w:rsid w:val="00693971"/>
    <w:rsid w:val="006947B4"/>
    <w:rsid w:val="0069489F"/>
    <w:rsid w:val="00694966"/>
    <w:rsid w:val="00694AAF"/>
    <w:rsid w:val="00694F11"/>
    <w:rsid w:val="00695009"/>
    <w:rsid w:val="006950D9"/>
    <w:rsid w:val="00695B0E"/>
    <w:rsid w:val="0069610E"/>
    <w:rsid w:val="006961A4"/>
    <w:rsid w:val="00696B34"/>
    <w:rsid w:val="00697855"/>
    <w:rsid w:val="00697961"/>
    <w:rsid w:val="00697BD7"/>
    <w:rsid w:val="00697CFD"/>
    <w:rsid w:val="00697E1B"/>
    <w:rsid w:val="006A00ED"/>
    <w:rsid w:val="006A019B"/>
    <w:rsid w:val="006A01E8"/>
    <w:rsid w:val="006A033A"/>
    <w:rsid w:val="006A0ABD"/>
    <w:rsid w:val="006A0B62"/>
    <w:rsid w:val="006A131E"/>
    <w:rsid w:val="006A13F4"/>
    <w:rsid w:val="006A15E2"/>
    <w:rsid w:val="006A16E2"/>
    <w:rsid w:val="006A28FF"/>
    <w:rsid w:val="006A3400"/>
    <w:rsid w:val="006A3596"/>
    <w:rsid w:val="006A3B40"/>
    <w:rsid w:val="006A3C71"/>
    <w:rsid w:val="006A44B5"/>
    <w:rsid w:val="006A4702"/>
    <w:rsid w:val="006A4769"/>
    <w:rsid w:val="006A4AB6"/>
    <w:rsid w:val="006A4ADB"/>
    <w:rsid w:val="006A5807"/>
    <w:rsid w:val="006A5D00"/>
    <w:rsid w:val="006A5D6E"/>
    <w:rsid w:val="006A6209"/>
    <w:rsid w:val="006A65FD"/>
    <w:rsid w:val="006A6603"/>
    <w:rsid w:val="006A6CE9"/>
    <w:rsid w:val="006A6F9D"/>
    <w:rsid w:val="006A7385"/>
    <w:rsid w:val="006A7414"/>
    <w:rsid w:val="006A77D0"/>
    <w:rsid w:val="006A7C32"/>
    <w:rsid w:val="006A7C96"/>
    <w:rsid w:val="006A7F25"/>
    <w:rsid w:val="006A7F5C"/>
    <w:rsid w:val="006A7F64"/>
    <w:rsid w:val="006B02CB"/>
    <w:rsid w:val="006B031E"/>
    <w:rsid w:val="006B0742"/>
    <w:rsid w:val="006B0C84"/>
    <w:rsid w:val="006B11CD"/>
    <w:rsid w:val="006B242A"/>
    <w:rsid w:val="006B24EE"/>
    <w:rsid w:val="006B259F"/>
    <w:rsid w:val="006B28B8"/>
    <w:rsid w:val="006B2957"/>
    <w:rsid w:val="006B32EF"/>
    <w:rsid w:val="006B3446"/>
    <w:rsid w:val="006B3538"/>
    <w:rsid w:val="006B3557"/>
    <w:rsid w:val="006B36C2"/>
    <w:rsid w:val="006B3964"/>
    <w:rsid w:val="006B471D"/>
    <w:rsid w:val="006B48A7"/>
    <w:rsid w:val="006B4910"/>
    <w:rsid w:val="006B4A0A"/>
    <w:rsid w:val="006B4A31"/>
    <w:rsid w:val="006B4B54"/>
    <w:rsid w:val="006B4EE5"/>
    <w:rsid w:val="006B54DC"/>
    <w:rsid w:val="006B55BF"/>
    <w:rsid w:val="006B56E0"/>
    <w:rsid w:val="006B59ED"/>
    <w:rsid w:val="006B5BE6"/>
    <w:rsid w:val="006B6332"/>
    <w:rsid w:val="006B6346"/>
    <w:rsid w:val="006B6499"/>
    <w:rsid w:val="006B667E"/>
    <w:rsid w:val="006B673B"/>
    <w:rsid w:val="006B67E0"/>
    <w:rsid w:val="006B69BD"/>
    <w:rsid w:val="006B6F06"/>
    <w:rsid w:val="006B7346"/>
    <w:rsid w:val="006B78B9"/>
    <w:rsid w:val="006B7D09"/>
    <w:rsid w:val="006C025F"/>
    <w:rsid w:val="006C02E4"/>
    <w:rsid w:val="006C04A6"/>
    <w:rsid w:val="006C0985"/>
    <w:rsid w:val="006C0CD2"/>
    <w:rsid w:val="006C162D"/>
    <w:rsid w:val="006C1B31"/>
    <w:rsid w:val="006C2F4F"/>
    <w:rsid w:val="006C3280"/>
    <w:rsid w:val="006C33B8"/>
    <w:rsid w:val="006C40B9"/>
    <w:rsid w:val="006C47DB"/>
    <w:rsid w:val="006C48F1"/>
    <w:rsid w:val="006C49CF"/>
    <w:rsid w:val="006C4CE0"/>
    <w:rsid w:val="006C5456"/>
    <w:rsid w:val="006C5630"/>
    <w:rsid w:val="006C5816"/>
    <w:rsid w:val="006C588E"/>
    <w:rsid w:val="006C5C1A"/>
    <w:rsid w:val="006C5C92"/>
    <w:rsid w:val="006C6163"/>
    <w:rsid w:val="006C6686"/>
    <w:rsid w:val="006C6948"/>
    <w:rsid w:val="006C70A2"/>
    <w:rsid w:val="006C740E"/>
    <w:rsid w:val="006C749F"/>
    <w:rsid w:val="006C7775"/>
    <w:rsid w:val="006C77A7"/>
    <w:rsid w:val="006C785B"/>
    <w:rsid w:val="006C7988"/>
    <w:rsid w:val="006D006C"/>
    <w:rsid w:val="006D0087"/>
    <w:rsid w:val="006D06D6"/>
    <w:rsid w:val="006D0C9E"/>
    <w:rsid w:val="006D0CB6"/>
    <w:rsid w:val="006D0E26"/>
    <w:rsid w:val="006D112A"/>
    <w:rsid w:val="006D130C"/>
    <w:rsid w:val="006D15F2"/>
    <w:rsid w:val="006D23F6"/>
    <w:rsid w:val="006D2532"/>
    <w:rsid w:val="006D2601"/>
    <w:rsid w:val="006D268D"/>
    <w:rsid w:val="006D28AE"/>
    <w:rsid w:val="006D2C09"/>
    <w:rsid w:val="006D2C32"/>
    <w:rsid w:val="006D3089"/>
    <w:rsid w:val="006D3128"/>
    <w:rsid w:val="006D3434"/>
    <w:rsid w:val="006D36EF"/>
    <w:rsid w:val="006D3A95"/>
    <w:rsid w:val="006D3E5F"/>
    <w:rsid w:val="006D48F7"/>
    <w:rsid w:val="006D493B"/>
    <w:rsid w:val="006D51EC"/>
    <w:rsid w:val="006D51F0"/>
    <w:rsid w:val="006D5219"/>
    <w:rsid w:val="006D5810"/>
    <w:rsid w:val="006D5D26"/>
    <w:rsid w:val="006D625E"/>
    <w:rsid w:val="006D6328"/>
    <w:rsid w:val="006D6A8D"/>
    <w:rsid w:val="006D6FF5"/>
    <w:rsid w:val="006D70B5"/>
    <w:rsid w:val="006D7850"/>
    <w:rsid w:val="006D78A7"/>
    <w:rsid w:val="006D7AFF"/>
    <w:rsid w:val="006E0556"/>
    <w:rsid w:val="006E09C5"/>
    <w:rsid w:val="006E0CB0"/>
    <w:rsid w:val="006E11F0"/>
    <w:rsid w:val="006E128E"/>
    <w:rsid w:val="006E1359"/>
    <w:rsid w:val="006E1C61"/>
    <w:rsid w:val="006E2313"/>
    <w:rsid w:val="006E2533"/>
    <w:rsid w:val="006E258C"/>
    <w:rsid w:val="006E2699"/>
    <w:rsid w:val="006E2A99"/>
    <w:rsid w:val="006E2CC5"/>
    <w:rsid w:val="006E3B77"/>
    <w:rsid w:val="006E485B"/>
    <w:rsid w:val="006E4B5C"/>
    <w:rsid w:val="006E4B8F"/>
    <w:rsid w:val="006E4DC4"/>
    <w:rsid w:val="006E4FE0"/>
    <w:rsid w:val="006E5024"/>
    <w:rsid w:val="006E5236"/>
    <w:rsid w:val="006E5433"/>
    <w:rsid w:val="006E5B07"/>
    <w:rsid w:val="006E5CEE"/>
    <w:rsid w:val="006E613E"/>
    <w:rsid w:val="006E66F6"/>
    <w:rsid w:val="006E6DA5"/>
    <w:rsid w:val="006E7234"/>
    <w:rsid w:val="006E7C83"/>
    <w:rsid w:val="006E7DF9"/>
    <w:rsid w:val="006F07CD"/>
    <w:rsid w:val="006F0B1A"/>
    <w:rsid w:val="006F0C06"/>
    <w:rsid w:val="006F0CAD"/>
    <w:rsid w:val="006F1743"/>
    <w:rsid w:val="006F1A3C"/>
    <w:rsid w:val="006F1FF3"/>
    <w:rsid w:val="006F240A"/>
    <w:rsid w:val="006F25BC"/>
    <w:rsid w:val="006F2C9D"/>
    <w:rsid w:val="006F2DD3"/>
    <w:rsid w:val="006F2E52"/>
    <w:rsid w:val="006F3198"/>
    <w:rsid w:val="006F35D4"/>
    <w:rsid w:val="006F36A4"/>
    <w:rsid w:val="006F3891"/>
    <w:rsid w:val="006F40D9"/>
    <w:rsid w:val="006F40E5"/>
    <w:rsid w:val="006F4176"/>
    <w:rsid w:val="006F4470"/>
    <w:rsid w:val="006F4481"/>
    <w:rsid w:val="006F46F6"/>
    <w:rsid w:val="006F4CDC"/>
    <w:rsid w:val="006F4DD3"/>
    <w:rsid w:val="006F53E6"/>
    <w:rsid w:val="006F57D1"/>
    <w:rsid w:val="006F59E5"/>
    <w:rsid w:val="006F6038"/>
    <w:rsid w:val="006F60FE"/>
    <w:rsid w:val="006F6D71"/>
    <w:rsid w:val="006F7178"/>
    <w:rsid w:val="006F77D3"/>
    <w:rsid w:val="006F7A88"/>
    <w:rsid w:val="006F7A8D"/>
    <w:rsid w:val="006F7DB9"/>
    <w:rsid w:val="00700A2B"/>
    <w:rsid w:val="00701BCC"/>
    <w:rsid w:val="0070228D"/>
    <w:rsid w:val="007024A6"/>
    <w:rsid w:val="007026C4"/>
    <w:rsid w:val="00702853"/>
    <w:rsid w:val="00702F05"/>
    <w:rsid w:val="00703412"/>
    <w:rsid w:val="00703741"/>
    <w:rsid w:val="00703986"/>
    <w:rsid w:val="00703BA9"/>
    <w:rsid w:val="00703CF8"/>
    <w:rsid w:val="00703D76"/>
    <w:rsid w:val="007041AD"/>
    <w:rsid w:val="0070441C"/>
    <w:rsid w:val="007045E8"/>
    <w:rsid w:val="007047F7"/>
    <w:rsid w:val="00704913"/>
    <w:rsid w:val="00704E5B"/>
    <w:rsid w:val="00705857"/>
    <w:rsid w:val="00705B21"/>
    <w:rsid w:val="00705B22"/>
    <w:rsid w:val="00705B81"/>
    <w:rsid w:val="00705BBC"/>
    <w:rsid w:val="00706090"/>
    <w:rsid w:val="0070652B"/>
    <w:rsid w:val="007065F8"/>
    <w:rsid w:val="00706E86"/>
    <w:rsid w:val="0070744B"/>
    <w:rsid w:val="00710096"/>
    <w:rsid w:val="007106D8"/>
    <w:rsid w:val="00710866"/>
    <w:rsid w:val="00710D3B"/>
    <w:rsid w:val="0071113D"/>
    <w:rsid w:val="007115FE"/>
    <w:rsid w:val="0071161B"/>
    <w:rsid w:val="00711621"/>
    <w:rsid w:val="0071203F"/>
    <w:rsid w:val="00712104"/>
    <w:rsid w:val="007121D5"/>
    <w:rsid w:val="007136BB"/>
    <w:rsid w:val="007146BA"/>
    <w:rsid w:val="00714918"/>
    <w:rsid w:val="00715456"/>
    <w:rsid w:val="0071580F"/>
    <w:rsid w:val="0071599C"/>
    <w:rsid w:val="007161B9"/>
    <w:rsid w:val="007161EC"/>
    <w:rsid w:val="007166A9"/>
    <w:rsid w:val="00716B82"/>
    <w:rsid w:val="00716FAC"/>
    <w:rsid w:val="007174CB"/>
    <w:rsid w:val="0071774B"/>
    <w:rsid w:val="00717A49"/>
    <w:rsid w:val="00717D4E"/>
    <w:rsid w:val="0072032D"/>
    <w:rsid w:val="00720472"/>
    <w:rsid w:val="007206E9"/>
    <w:rsid w:val="00720AAE"/>
    <w:rsid w:val="00720C1C"/>
    <w:rsid w:val="00721F47"/>
    <w:rsid w:val="00722516"/>
    <w:rsid w:val="00722A9D"/>
    <w:rsid w:val="00723257"/>
    <w:rsid w:val="007234B9"/>
    <w:rsid w:val="007239CE"/>
    <w:rsid w:val="00723A4D"/>
    <w:rsid w:val="00723AE4"/>
    <w:rsid w:val="00723BA0"/>
    <w:rsid w:val="0072407D"/>
    <w:rsid w:val="00724901"/>
    <w:rsid w:val="00724A13"/>
    <w:rsid w:val="00724A98"/>
    <w:rsid w:val="007252B1"/>
    <w:rsid w:val="00725422"/>
    <w:rsid w:val="00725722"/>
    <w:rsid w:val="00725BA9"/>
    <w:rsid w:val="00725F3A"/>
    <w:rsid w:val="00726755"/>
    <w:rsid w:val="00727430"/>
    <w:rsid w:val="0072753A"/>
    <w:rsid w:val="00727BAA"/>
    <w:rsid w:val="0073031C"/>
    <w:rsid w:val="00730947"/>
    <w:rsid w:val="00730B01"/>
    <w:rsid w:val="007318A3"/>
    <w:rsid w:val="00731C02"/>
    <w:rsid w:val="00731F0B"/>
    <w:rsid w:val="007329FC"/>
    <w:rsid w:val="00732D58"/>
    <w:rsid w:val="007331EE"/>
    <w:rsid w:val="00734462"/>
    <w:rsid w:val="007349D6"/>
    <w:rsid w:val="007353E3"/>
    <w:rsid w:val="0073589B"/>
    <w:rsid w:val="00735DA9"/>
    <w:rsid w:val="00735E47"/>
    <w:rsid w:val="007362E8"/>
    <w:rsid w:val="00736FBD"/>
    <w:rsid w:val="00736FBF"/>
    <w:rsid w:val="00737143"/>
    <w:rsid w:val="00737451"/>
    <w:rsid w:val="00740005"/>
    <w:rsid w:val="0074002A"/>
    <w:rsid w:val="00740473"/>
    <w:rsid w:val="00740734"/>
    <w:rsid w:val="0074081D"/>
    <w:rsid w:val="00740D20"/>
    <w:rsid w:val="0074109D"/>
    <w:rsid w:val="00741797"/>
    <w:rsid w:val="00741AF7"/>
    <w:rsid w:val="00741E7F"/>
    <w:rsid w:val="00742428"/>
    <w:rsid w:val="00742862"/>
    <w:rsid w:val="00743279"/>
    <w:rsid w:val="007434C6"/>
    <w:rsid w:val="007438B2"/>
    <w:rsid w:val="00743EA6"/>
    <w:rsid w:val="00743F6B"/>
    <w:rsid w:val="00744024"/>
    <w:rsid w:val="00744AFB"/>
    <w:rsid w:val="0074534A"/>
    <w:rsid w:val="007454F0"/>
    <w:rsid w:val="0074568E"/>
    <w:rsid w:val="00745831"/>
    <w:rsid w:val="00745851"/>
    <w:rsid w:val="00745860"/>
    <w:rsid w:val="007463D5"/>
    <w:rsid w:val="007463DE"/>
    <w:rsid w:val="00746DF3"/>
    <w:rsid w:val="00747268"/>
    <w:rsid w:val="00747286"/>
    <w:rsid w:val="0074741B"/>
    <w:rsid w:val="00747429"/>
    <w:rsid w:val="0074784E"/>
    <w:rsid w:val="00747F5D"/>
    <w:rsid w:val="0075009A"/>
    <w:rsid w:val="00750691"/>
    <w:rsid w:val="00750A48"/>
    <w:rsid w:val="00750C16"/>
    <w:rsid w:val="00751914"/>
    <w:rsid w:val="00751D41"/>
    <w:rsid w:val="00752616"/>
    <w:rsid w:val="007526B9"/>
    <w:rsid w:val="00752FCE"/>
    <w:rsid w:val="0075328B"/>
    <w:rsid w:val="00753691"/>
    <w:rsid w:val="00753A3D"/>
    <w:rsid w:val="00753A79"/>
    <w:rsid w:val="00754020"/>
    <w:rsid w:val="00754AB2"/>
    <w:rsid w:val="00755BC7"/>
    <w:rsid w:val="00755C72"/>
    <w:rsid w:val="00755E59"/>
    <w:rsid w:val="007564F4"/>
    <w:rsid w:val="00756754"/>
    <w:rsid w:val="0075677B"/>
    <w:rsid w:val="007567EA"/>
    <w:rsid w:val="0075727A"/>
    <w:rsid w:val="00757585"/>
    <w:rsid w:val="0076002B"/>
    <w:rsid w:val="00760374"/>
    <w:rsid w:val="0076119F"/>
    <w:rsid w:val="007611DE"/>
    <w:rsid w:val="007612F6"/>
    <w:rsid w:val="0076137E"/>
    <w:rsid w:val="007615AF"/>
    <w:rsid w:val="00761EF8"/>
    <w:rsid w:val="00761F63"/>
    <w:rsid w:val="00762088"/>
    <w:rsid w:val="0076233E"/>
    <w:rsid w:val="0076247A"/>
    <w:rsid w:val="0076274B"/>
    <w:rsid w:val="00762993"/>
    <w:rsid w:val="00762A89"/>
    <w:rsid w:val="00762B95"/>
    <w:rsid w:val="0076310C"/>
    <w:rsid w:val="00763326"/>
    <w:rsid w:val="00763CFA"/>
    <w:rsid w:val="007647F8"/>
    <w:rsid w:val="00765E01"/>
    <w:rsid w:val="007661D9"/>
    <w:rsid w:val="007665B7"/>
    <w:rsid w:val="007669B9"/>
    <w:rsid w:val="00766BDB"/>
    <w:rsid w:val="00766BF3"/>
    <w:rsid w:val="00766C36"/>
    <w:rsid w:val="00766D51"/>
    <w:rsid w:val="00766FBD"/>
    <w:rsid w:val="00766FE3"/>
    <w:rsid w:val="00767025"/>
    <w:rsid w:val="00767138"/>
    <w:rsid w:val="0076715B"/>
    <w:rsid w:val="007678D0"/>
    <w:rsid w:val="007679BF"/>
    <w:rsid w:val="00767BF2"/>
    <w:rsid w:val="00767D44"/>
    <w:rsid w:val="00767D52"/>
    <w:rsid w:val="00767D67"/>
    <w:rsid w:val="00770CA0"/>
    <w:rsid w:val="00770DBE"/>
    <w:rsid w:val="00770E93"/>
    <w:rsid w:val="00771C29"/>
    <w:rsid w:val="00772142"/>
    <w:rsid w:val="007722D2"/>
    <w:rsid w:val="00772C51"/>
    <w:rsid w:val="0077305A"/>
    <w:rsid w:val="007737FE"/>
    <w:rsid w:val="007742B1"/>
    <w:rsid w:val="0077478F"/>
    <w:rsid w:val="00774B72"/>
    <w:rsid w:val="00774DB2"/>
    <w:rsid w:val="0077585F"/>
    <w:rsid w:val="007759CD"/>
    <w:rsid w:val="0077605C"/>
    <w:rsid w:val="00776E7E"/>
    <w:rsid w:val="00776ECD"/>
    <w:rsid w:val="007770C8"/>
    <w:rsid w:val="0077747B"/>
    <w:rsid w:val="0078022D"/>
    <w:rsid w:val="007805B2"/>
    <w:rsid w:val="00780F74"/>
    <w:rsid w:val="007810FC"/>
    <w:rsid w:val="00781471"/>
    <w:rsid w:val="0078149E"/>
    <w:rsid w:val="00781F0A"/>
    <w:rsid w:val="00782119"/>
    <w:rsid w:val="00782356"/>
    <w:rsid w:val="007824A3"/>
    <w:rsid w:val="00782A6E"/>
    <w:rsid w:val="00782E00"/>
    <w:rsid w:val="007830C6"/>
    <w:rsid w:val="0078332C"/>
    <w:rsid w:val="00783699"/>
    <w:rsid w:val="00783EDD"/>
    <w:rsid w:val="00783FEF"/>
    <w:rsid w:val="00784371"/>
    <w:rsid w:val="00784A54"/>
    <w:rsid w:val="00784C7F"/>
    <w:rsid w:val="00784D26"/>
    <w:rsid w:val="007852DE"/>
    <w:rsid w:val="00785942"/>
    <w:rsid w:val="00785EC9"/>
    <w:rsid w:val="00785FF1"/>
    <w:rsid w:val="00786130"/>
    <w:rsid w:val="007861C9"/>
    <w:rsid w:val="007863BC"/>
    <w:rsid w:val="00786793"/>
    <w:rsid w:val="007867F1"/>
    <w:rsid w:val="007872CD"/>
    <w:rsid w:val="007874C4"/>
    <w:rsid w:val="00787AAF"/>
    <w:rsid w:val="00787B54"/>
    <w:rsid w:val="00790095"/>
    <w:rsid w:val="00790AD0"/>
    <w:rsid w:val="00790BEB"/>
    <w:rsid w:val="00790D43"/>
    <w:rsid w:val="00790DE0"/>
    <w:rsid w:val="00791743"/>
    <w:rsid w:val="0079181D"/>
    <w:rsid w:val="00791CA1"/>
    <w:rsid w:val="00792377"/>
    <w:rsid w:val="007923D9"/>
    <w:rsid w:val="0079240C"/>
    <w:rsid w:val="007925A7"/>
    <w:rsid w:val="00792CBA"/>
    <w:rsid w:val="007931CE"/>
    <w:rsid w:val="007936CB"/>
    <w:rsid w:val="00793B4C"/>
    <w:rsid w:val="00793B7D"/>
    <w:rsid w:val="00793DC0"/>
    <w:rsid w:val="00793F71"/>
    <w:rsid w:val="00794397"/>
    <w:rsid w:val="00794729"/>
    <w:rsid w:val="00794740"/>
    <w:rsid w:val="00794A1F"/>
    <w:rsid w:val="00794A30"/>
    <w:rsid w:val="00794B50"/>
    <w:rsid w:val="00794CC6"/>
    <w:rsid w:val="00794CDE"/>
    <w:rsid w:val="00794DF3"/>
    <w:rsid w:val="00794E83"/>
    <w:rsid w:val="00794FA1"/>
    <w:rsid w:val="00795082"/>
    <w:rsid w:val="00795107"/>
    <w:rsid w:val="00795549"/>
    <w:rsid w:val="00795A0B"/>
    <w:rsid w:val="00795C0C"/>
    <w:rsid w:val="00795FED"/>
    <w:rsid w:val="007961AC"/>
    <w:rsid w:val="00796655"/>
    <w:rsid w:val="0079695B"/>
    <w:rsid w:val="007973AE"/>
    <w:rsid w:val="007973CA"/>
    <w:rsid w:val="00797539"/>
    <w:rsid w:val="0079785C"/>
    <w:rsid w:val="007978C4"/>
    <w:rsid w:val="00797A7A"/>
    <w:rsid w:val="00797C9F"/>
    <w:rsid w:val="00797DA9"/>
    <w:rsid w:val="007A004A"/>
    <w:rsid w:val="007A0CD3"/>
    <w:rsid w:val="007A0ED8"/>
    <w:rsid w:val="007A11F9"/>
    <w:rsid w:val="007A1625"/>
    <w:rsid w:val="007A1E1F"/>
    <w:rsid w:val="007A251A"/>
    <w:rsid w:val="007A27CA"/>
    <w:rsid w:val="007A2B25"/>
    <w:rsid w:val="007A2E8A"/>
    <w:rsid w:val="007A345F"/>
    <w:rsid w:val="007A3721"/>
    <w:rsid w:val="007A382C"/>
    <w:rsid w:val="007A3D5C"/>
    <w:rsid w:val="007A3E25"/>
    <w:rsid w:val="007A4202"/>
    <w:rsid w:val="007A4295"/>
    <w:rsid w:val="007A499A"/>
    <w:rsid w:val="007A4ED4"/>
    <w:rsid w:val="007A52C9"/>
    <w:rsid w:val="007A547B"/>
    <w:rsid w:val="007A54F9"/>
    <w:rsid w:val="007A56C3"/>
    <w:rsid w:val="007A5ABC"/>
    <w:rsid w:val="007A5BEE"/>
    <w:rsid w:val="007A6072"/>
    <w:rsid w:val="007A6925"/>
    <w:rsid w:val="007A69CB"/>
    <w:rsid w:val="007A6A03"/>
    <w:rsid w:val="007A6D59"/>
    <w:rsid w:val="007A7CDF"/>
    <w:rsid w:val="007A7E57"/>
    <w:rsid w:val="007B0263"/>
    <w:rsid w:val="007B068F"/>
    <w:rsid w:val="007B0A35"/>
    <w:rsid w:val="007B0A41"/>
    <w:rsid w:val="007B0AC8"/>
    <w:rsid w:val="007B0B4A"/>
    <w:rsid w:val="007B1372"/>
    <w:rsid w:val="007B1D2D"/>
    <w:rsid w:val="007B2116"/>
    <w:rsid w:val="007B238C"/>
    <w:rsid w:val="007B26F8"/>
    <w:rsid w:val="007B28A6"/>
    <w:rsid w:val="007B2A31"/>
    <w:rsid w:val="007B2E52"/>
    <w:rsid w:val="007B2E9F"/>
    <w:rsid w:val="007B3206"/>
    <w:rsid w:val="007B3441"/>
    <w:rsid w:val="007B34F3"/>
    <w:rsid w:val="007B3560"/>
    <w:rsid w:val="007B3566"/>
    <w:rsid w:val="007B3839"/>
    <w:rsid w:val="007B3916"/>
    <w:rsid w:val="007B3E08"/>
    <w:rsid w:val="007B3E17"/>
    <w:rsid w:val="007B3E79"/>
    <w:rsid w:val="007B5224"/>
    <w:rsid w:val="007B5339"/>
    <w:rsid w:val="007B57EA"/>
    <w:rsid w:val="007B5BBA"/>
    <w:rsid w:val="007B678B"/>
    <w:rsid w:val="007B6A7D"/>
    <w:rsid w:val="007B6B39"/>
    <w:rsid w:val="007B743A"/>
    <w:rsid w:val="007B7A9C"/>
    <w:rsid w:val="007C0D6C"/>
    <w:rsid w:val="007C17C5"/>
    <w:rsid w:val="007C1BB9"/>
    <w:rsid w:val="007C209B"/>
    <w:rsid w:val="007C22E8"/>
    <w:rsid w:val="007C257D"/>
    <w:rsid w:val="007C2BBD"/>
    <w:rsid w:val="007C3B6D"/>
    <w:rsid w:val="007C3ED4"/>
    <w:rsid w:val="007C40BD"/>
    <w:rsid w:val="007C4D15"/>
    <w:rsid w:val="007C4FF3"/>
    <w:rsid w:val="007C54DE"/>
    <w:rsid w:val="007C5637"/>
    <w:rsid w:val="007C5AB3"/>
    <w:rsid w:val="007C5E0F"/>
    <w:rsid w:val="007C62A4"/>
    <w:rsid w:val="007C65EF"/>
    <w:rsid w:val="007C6704"/>
    <w:rsid w:val="007C6A95"/>
    <w:rsid w:val="007C6C06"/>
    <w:rsid w:val="007C6E7F"/>
    <w:rsid w:val="007C72BF"/>
    <w:rsid w:val="007C7842"/>
    <w:rsid w:val="007C7CC3"/>
    <w:rsid w:val="007D096C"/>
    <w:rsid w:val="007D1303"/>
    <w:rsid w:val="007D13A6"/>
    <w:rsid w:val="007D1737"/>
    <w:rsid w:val="007D1B6A"/>
    <w:rsid w:val="007D2005"/>
    <w:rsid w:val="007D21FD"/>
    <w:rsid w:val="007D226B"/>
    <w:rsid w:val="007D229A"/>
    <w:rsid w:val="007D22E6"/>
    <w:rsid w:val="007D2B47"/>
    <w:rsid w:val="007D2C3E"/>
    <w:rsid w:val="007D2D1A"/>
    <w:rsid w:val="007D327C"/>
    <w:rsid w:val="007D38EF"/>
    <w:rsid w:val="007D429C"/>
    <w:rsid w:val="007D4F03"/>
    <w:rsid w:val="007D5691"/>
    <w:rsid w:val="007D5E3A"/>
    <w:rsid w:val="007D5E8B"/>
    <w:rsid w:val="007D6668"/>
    <w:rsid w:val="007D68B7"/>
    <w:rsid w:val="007D7FF1"/>
    <w:rsid w:val="007E03D1"/>
    <w:rsid w:val="007E0461"/>
    <w:rsid w:val="007E048A"/>
    <w:rsid w:val="007E072F"/>
    <w:rsid w:val="007E0AE5"/>
    <w:rsid w:val="007E15E6"/>
    <w:rsid w:val="007E1BCC"/>
    <w:rsid w:val="007E1D7F"/>
    <w:rsid w:val="007E227C"/>
    <w:rsid w:val="007E23EC"/>
    <w:rsid w:val="007E2520"/>
    <w:rsid w:val="007E2529"/>
    <w:rsid w:val="007E26EF"/>
    <w:rsid w:val="007E27B0"/>
    <w:rsid w:val="007E312F"/>
    <w:rsid w:val="007E3208"/>
    <w:rsid w:val="007E3257"/>
    <w:rsid w:val="007E43E0"/>
    <w:rsid w:val="007E452B"/>
    <w:rsid w:val="007E4551"/>
    <w:rsid w:val="007E4BCC"/>
    <w:rsid w:val="007E5020"/>
    <w:rsid w:val="007E551B"/>
    <w:rsid w:val="007E579B"/>
    <w:rsid w:val="007E591F"/>
    <w:rsid w:val="007E5CB3"/>
    <w:rsid w:val="007E5EE1"/>
    <w:rsid w:val="007E6433"/>
    <w:rsid w:val="007E6812"/>
    <w:rsid w:val="007E6A90"/>
    <w:rsid w:val="007E7ED9"/>
    <w:rsid w:val="007F0036"/>
    <w:rsid w:val="007F0090"/>
    <w:rsid w:val="007F012D"/>
    <w:rsid w:val="007F02B9"/>
    <w:rsid w:val="007F0719"/>
    <w:rsid w:val="007F08FA"/>
    <w:rsid w:val="007F0C5F"/>
    <w:rsid w:val="007F0CAB"/>
    <w:rsid w:val="007F0F70"/>
    <w:rsid w:val="007F16DF"/>
    <w:rsid w:val="007F1ACB"/>
    <w:rsid w:val="007F20BD"/>
    <w:rsid w:val="007F263B"/>
    <w:rsid w:val="007F3894"/>
    <w:rsid w:val="007F38A0"/>
    <w:rsid w:val="007F38E0"/>
    <w:rsid w:val="007F3999"/>
    <w:rsid w:val="007F3ED2"/>
    <w:rsid w:val="007F464D"/>
    <w:rsid w:val="007F47D7"/>
    <w:rsid w:val="007F4822"/>
    <w:rsid w:val="007F4A57"/>
    <w:rsid w:val="007F4CD6"/>
    <w:rsid w:val="007F5735"/>
    <w:rsid w:val="007F61F5"/>
    <w:rsid w:val="007F639B"/>
    <w:rsid w:val="007F6834"/>
    <w:rsid w:val="007F6862"/>
    <w:rsid w:val="007F68AB"/>
    <w:rsid w:val="007F6C7B"/>
    <w:rsid w:val="007F707B"/>
    <w:rsid w:val="007F72F3"/>
    <w:rsid w:val="007F73CD"/>
    <w:rsid w:val="007F790D"/>
    <w:rsid w:val="007F7949"/>
    <w:rsid w:val="007F7BB3"/>
    <w:rsid w:val="00800361"/>
    <w:rsid w:val="0080086C"/>
    <w:rsid w:val="00800C32"/>
    <w:rsid w:val="00800CEF"/>
    <w:rsid w:val="008013FC"/>
    <w:rsid w:val="008014C9"/>
    <w:rsid w:val="00801678"/>
    <w:rsid w:val="0080173D"/>
    <w:rsid w:val="00801816"/>
    <w:rsid w:val="00801CD8"/>
    <w:rsid w:val="0080223D"/>
    <w:rsid w:val="00802544"/>
    <w:rsid w:val="00802664"/>
    <w:rsid w:val="00802705"/>
    <w:rsid w:val="008029F3"/>
    <w:rsid w:val="00803443"/>
    <w:rsid w:val="00803B37"/>
    <w:rsid w:val="00803F22"/>
    <w:rsid w:val="0080444A"/>
    <w:rsid w:val="00804561"/>
    <w:rsid w:val="00804974"/>
    <w:rsid w:val="00804B26"/>
    <w:rsid w:val="00804FCA"/>
    <w:rsid w:val="0080518A"/>
    <w:rsid w:val="008053CC"/>
    <w:rsid w:val="008056CC"/>
    <w:rsid w:val="00805738"/>
    <w:rsid w:val="00805842"/>
    <w:rsid w:val="00805852"/>
    <w:rsid w:val="0080585B"/>
    <w:rsid w:val="00805A82"/>
    <w:rsid w:val="00805B64"/>
    <w:rsid w:val="008060AC"/>
    <w:rsid w:val="008061B7"/>
    <w:rsid w:val="00806360"/>
    <w:rsid w:val="0080636F"/>
    <w:rsid w:val="0080717B"/>
    <w:rsid w:val="00807703"/>
    <w:rsid w:val="0080783E"/>
    <w:rsid w:val="00807E0A"/>
    <w:rsid w:val="00810243"/>
    <w:rsid w:val="00810506"/>
    <w:rsid w:val="00810CFE"/>
    <w:rsid w:val="00810DB2"/>
    <w:rsid w:val="008110DF"/>
    <w:rsid w:val="0081155C"/>
    <w:rsid w:val="00811A9A"/>
    <w:rsid w:val="008122DD"/>
    <w:rsid w:val="00812334"/>
    <w:rsid w:val="008123C5"/>
    <w:rsid w:val="00812D62"/>
    <w:rsid w:val="0081338A"/>
    <w:rsid w:val="00813763"/>
    <w:rsid w:val="00813765"/>
    <w:rsid w:val="00813D32"/>
    <w:rsid w:val="00814026"/>
    <w:rsid w:val="008145A9"/>
    <w:rsid w:val="00814762"/>
    <w:rsid w:val="00814A18"/>
    <w:rsid w:val="00814EA7"/>
    <w:rsid w:val="00815D04"/>
    <w:rsid w:val="00815DD9"/>
    <w:rsid w:val="00816165"/>
    <w:rsid w:val="008161F8"/>
    <w:rsid w:val="008163F6"/>
    <w:rsid w:val="0081643A"/>
    <w:rsid w:val="008165EE"/>
    <w:rsid w:val="0081662C"/>
    <w:rsid w:val="008177CB"/>
    <w:rsid w:val="00820330"/>
    <w:rsid w:val="00821082"/>
    <w:rsid w:val="00821619"/>
    <w:rsid w:val="00821E50"/>
    <w:rsid w:val="00821F53"/>
    <w:rsid w:val="008220E6"/>
    <w:rsid w:val="008224A4"/>
    <w:rsid w:val="008224B3"/>
    <w:rsid w:val="008229EF"/>
    <w:rsid w:val="00822E49"/>
    <w:rsid w:val="00822F7C"/>
    <w:rsid w:val="008230E6"/>
    <w:rsid w:val="008234DB"/>
    <w:rsid w:val="008235CB"/>
    <w:rsid w:val="008239B5"/>
    <w:rsid w:val="00823A0E"/>
    <w:rsid w:val="00823C28"/>
    <w:rsid w:val="00824497"/>
    <w:rsid w:val="008245F7"/>
    <w:rsid w:val="00825156"/>
    <w:rsid w:val="00825531"/>
    <w:rsid w:val="00825B86"/>
    <w:rsid w:val="008260E3"/>
    <w:rsid w:val="008262A8"/>
    <w:rsid w:val="0082690B"/>
    <w:rsid w:val="00826C69"/>
    <w:rsid w:val="00826F89"/>
    <w:rsid w:val="008275EB"/>
    <w:rsid w:val="00827BA7"/>
    <w:rsid w:val="00827F44"/>
    <w:rsid w:val="0083013C"/>
    <w:rsid w:val="00830205"/>
    <w:rsid w:val="0083023A"/>
    <w:rsid w:val="00830758"/>
    <w:rsid w:val="00830868"/>
    <w:rsid w:val="0083120C"/>
    <w:rsid w:val="00831528"/>
    <w:rsid w:val="008315C5"/>
    <w:rsid w:val="008316B6"/>
    <w:rsid w:val="008318E0"/>
    <w:rsid w:val="00831ACE"/>
    <w:rsid w:val="00831F28"/>
    <w:rsid w:val="00832D2A"/>
    <w:rsid w:val="00832DB9"/>
    <w:rsid w:val="00833092"/>
    <w:rsid w:val="0083344A"/>
    <w:rsid w:val="008336B0"/>
    <w:rsid w:val="008336C5"/>
    <w:rsid w:val="00833BE5"/>
    <w:rsid w:val="00833C45"/>
    <w:rsid w:val="00833EE9"/>
    <w:rsid w:val="00833FD2"/>
    <w:rsid w:val="0083488D"/>
    <w:rsid w:val="008349D9"/>
    <w:rsid w:val="00834A2C"/>
    <w:rsid w:val="00834E00"/>
    <w:rsid w:val="008354A8"/>
    <w:rsid w:val="0083608C"/>
    <w:rsid w:val="008360AB"/>
    <w:rsid w:val="0083618D"/>
    <w:rsid w:val="00836190"/>
    <w:rsid w:val="008361A3"/>
    <w:rsid w:val="0083624A"/>
    <w:rsid w:val="0083624D"/>
    <w:rsid w:val="00836636"/>
    <w:rsid w:val="0083675A"/>
    <w:rsid w:val="00836875"/>
    <w:rsid w:val="00836EF2"/>
    <w:rsid w:val="00836F2A"/>
    <w:rsid w:val="00837AC8"/>
    <w:rsid w:val="00840041"/>
    <w:rsid w:val="00840234"/>
    <w:rsid w:val="008409CD"/>
    <w:rsid w:val="008412CC"/>
    <w:rsid w:val="008414C3"/>
    <w:rsid w:val="00841752"/>
    <w:rsid w:val="0084190B"/>
    <w:rsid w:val="00841D8F"/>
    <w:rsid w:val="00841FA9"/>
    <w:rsid w:val="0084212F"/>
    <w:rsid w:val="00842209"/>
    <w:rsid w:val="0084235D"/>
    <w:rsid w:val="0084278C"/>
    <w:rsid w:val="00842DD8"/>
    <w:rsid w:val="00842E28"/>
    <w:rsid w:val="00842F40"/>
    <w:rsid w:val="0084349E"/>
    <w:rsid w:val="00843B34"/>
    <w:rsid w:val="00843BA3"/>
    <w:rsid w:val="00843EA2"/>
    <w:rsid w:val="00843EFC"/>
    <w:rsid w:val="00844926"/>
    <w:rsid w:val="00844A39"/>
    <w:rsid w:val="00844E99"/>
    <w:rsid w:val="00845063"/>
    <w:rsid w:val="00845B3E"/>
    <w:rsid w:val="00845C76"/>
    <w:rsid w:val="0084628F"/>
    <w:rsid w:val="0084666A"/>
    <w:rsid w:val="00846874"/>
    <w:rsid w:val="00846902"/>
    <w:rsid w:val="00846BF9"/>
    <w:rsid w:val="00846D04"/>
    <w:rsid w:val="00846F5A"/>
    <w:rsid w:val="0084729E"/>
    <w:rsid w:val="008472E8"/>
    <w:rsid w:val="00847657"/>
    <w:rsid w:val="00847BDD"/>
    <w:rsid w:val="00847C70"/>
    <w:rsid w:val="00847FE3"/>
    <w:rsid w:val="008502DD"/>
    <w:rsid w:val="00850AEC"/>
    <w:rsid w:val="00850C0D"/>
    <w:rsid w:val="00850C18"/>
    <w:rsid w:val="00850F1A"/>
    <w:rsid w:val="008510DE"/>
    <w:rsid w:val="008517D0"/>
    <w:rsid w:val="008518D2"/>
    <w:rsid w:val="0085195F"/>
    <w:rsid w:val="008519B1"/>
    <w:rsid w:val="00851EA7"/>
    <w:rsid w:val="00852081"/>
    <w:rsid w:val="00852FD1"/>
    <w:rsid w:val="00853085"/>
    <w:rsid w:val="0085358A"/>
    <w:rsid w:val="008535D1"/>
    <w:rsid w:val="008537B1"/>
    <w:rsid w:val="008544B9"/>
    <w:rsid w:val="008548B3"/>
    <w:rsid w:val="00854FE4"/>
    <w:rsid w:val="008552AB"/>
    <w:rsid w:val="008557B7"/>
    <w:rsid w:val="0085589F"/>
    <w:rsid w:val="00855EEB"/>
    <w:rsid w:val="00855F13"/>
    <w:rsid w:val="0085660F"/>
    <w:rsid w:val="008567CC"/>
    <w:rsid w:val="00856BB2"/>
    <w:rsid w:val="00857519"/>
    <w:rsid w:val="0085769B"/>
    <w:rsid w:val="0085769E"/>
    <w:rsid w:val="00857B4F"/>
    <w:rsid w:val="00857D1A"/>
    <w:rsid w:val="00860424"/>
    <w:rsid w:val="00860941"/>
    <w:rsid w:val="00860A12"/>
    <w:rsid w:val="00860BA5"/>
    <w:rsid w:val="00861247"/>
    <w:rsid w:val="0086150A"/>
    <w:rsid w:val="00861682"/>
    <w:rsid w:val="00861736"/>
    <w:rsid w:val="00861866"/>
    <w:rsid w:val="008624BB"/>
    <w:rsid w:val="00862CCE"/>
    <w:rsid w:val="008632B2"/>
    <w:rsid w:val="008637FF"/>
    <w:rsid w:val="00864421"/>
    <w:rsid w:val="00864897"/>
    <w:rsid w:val="00864B53"/>
    <w:rsid w:val="00864CC8"/>
    <w:rsid w:val="008655C3"/>
    <w:rsid w:val="008657E2"/>
    <w:rsid w:val="00865BEB"/>
    <w:rsid w:val="008661E8"/>
    <w:rsid w:val="0086636E"/>
    <w:rsid w:val="00866755"/>
    <w:rsid w:val="00866AEE"/>
    <w:rsid w:val="00866D20"/>
    <w:rsid w:val="00866E46"/>
    <w:rsid w:val="0086700D"/>
    <w:rsid w:val="00867744"/>
    <w:rsid w:val="008677D5"/>
    <w:rsid w:val="00867CD9"/>
    <w:rsid w:val="00867DD2"/>
    <w:rsid w:val="00867E7A"/>
    <w:rsid w:val="0087031F"/>
    <w:rsid w:val="00870524"/>
    <w:rsid w:val="008709E4"/>
    <w:rsid w:val="00870A12"/>
    <w:rsid w:val="00871E63"/>
    <w:rsid w:val="00872BB7"/>
    <w:rsid w:val="00872DF5"/>
    <w:rsid w:val="00872FC8"/>
    <w:rsid w:val="008736B3"/>
    <w:rsid w:val="00873C26"/>
    <w:rsid w:val="00874108"/>
    <w:rsid w:val="008749B4"/>
    <w:rsid w:val="00874D18"/>
    <w:rsid w:val="00874EAB"/>
    <w:rsid w:val="00875604"/>
    <w:rsid w:val="008757EA"/>
    <w:rsid w:val="008760FF"/>
    <w:rsid w:val="00876465"/>
    <w:rsid w:val="008768B6"/>
    <w:rsid w:val="00876C7D"/>
    <w:rsid w:val="00876F55"/>
    <w:rsid w:val="00876FFE"/>
    <w:rsid w:val="00877484"/>
    <w:rsid w:val="00877797"/>
    <w:rsid w:val="00877A8A"/>
    <w:rsid w:val="00877AA3"/>
    <w:rsid w:val="00877E87"/>
    <w:rsid w:val="00877FA3"/>
    <w:rsid w:val="0088003E"/>
    <w:rsid w:val="008804A3"/>
    <w:rsid w:val="00880775"/>
    <w:rsid w:val="00880949"/>
    <w:rsid w:val="00880E3A"/>
    <w:rsid w:val="00881174"/>
    <w:rsid w:val="00881B48"/>
    <w:rsid w:val="00881BDE"/>
    <w:rsid w:val="00881E80"/>
    <w:rsid w:val="00881F6C"/>
    <w:rsid w:val="008822DE"/>
    <w:rsid w:val="008827DE"/>
    <w:rsid w:val="00883367"/>
    <w:rsid w:val="00883CF5"/>
    <w:rsid w:val="0088436A"/>
    <w:rsid w:val="008844DB"/>
    <w:rsid w:val="00884702"/>
    <w:rsid w:val="008848BA"/>
    <w:rsid w:val="0088492C"/>
    <w:rsid w:val="008849AF"/>
    <w:rsid w:val="0088520F"/>
    <w:rsid w:val="0088533A"/>
    <w:rsid w:val="00885375"/>
    <w:rsid w:val="0088548F"/>
    <w:rsid w:val="0088559F"/>
    <w:rsid w:val="008858FB"/>
    <w:rsid w:val="00885E71"/>
    <w:rsid w:val="00885F68"/>
    <w:rsid w:val="00886029"/>
    <w:rsid w:val="0088635A"/>
    <w:rsid w:val="00886A55"/>
    <w:rsid w:val="00886BD9"/>
    <w:rsid w:val="00886D09"/>
    <w:rsid w:val="008878E7"/>
    <w:rsid w:val="00887FC1"/>
    <w:rsid w:val="00890189"/>
    <w:rsid w:val="00890908"/>
    <w:rsid w:val="00890B8A"/>
    <w:rsid w:val="008919E9"/>
    <w:rsid w:val="00891BE1"/>
    <w:rsid w:val="008927EC"/>
    <w:rsid w:val="00892867"/>
    <w:rsid w:val="00892F7E"/>
    <w:rsid w:val="00892F85"/>
    <w:rsid w:val="0089312F"/>
    <w:rsid w:val="00893272"/>
    <w:rsid w:val="008932EF"/>
    <w:rsid w:val="00893680"/>
    <w:rsid w:val="00894290"/>
    <w:rsid w:val="008946A5"/>
    <w:rsid w:val="00895874"/>
    <w:rsid w:val="00895AF5"/>
    <w:rsid w:val="00895E84"/>
    <w:rsid w:val="00895EBF"/>
    <w:rsid w:val="00896314"/>
    <w:rsid w:val="00896940"/>
    <w:rsid w:val="00896D5C"/>
    <w:rsid w:val="00896EF3"/>
    <w:rsid w:val="008970AF"/>
    <w:rsid w:val="0089711A"/>
    <w:rsid w:val="00897129"/>
    <w:rsid w:val="00897350"/>
    <w:rsid w:val="00897519"/>
    <w:rsid w:val="00897976"/>
    <w:rsid w:val="008979C5"/>
    <w:rsid w:val="00897C9B"/>
    <w:rsid w:val="008A08E2"/>
    <w:rsid w:val="008A0A93"/>
    <w:rsid w:val="008A0CF8"/>
    <w:rsid w:val="008A1465"/>
    <w:rsid w:val="008A153E"/>
    <w:rsid w:val="008A155D"/>
    <w:rsid w:val="008A15DE"/>
    <w:rsid w:val="008A1987"/>
    <w:rsid w:val="008A284F"/>
    <w:rsid w:val="008A29D5"/>
    <w:rsid w:val="008A2E86"/>
    <w:rsid w:val="008A3219"/>
    <w:rsid w:val="008A35D4"/>
    <w:rsid w:val="008A3CC5"/>
    <w:rsid w:val="008A3F81"/>
    <w:rsid w:val="008A4851"/>
    <w:rsid w:val="008A4A6D"/>
    <w:rsid w:val="008A4DE2"/>
    <w:rsid w:val="008A4DFB"/>
    <w:rsid w:val="008A4F7E"/>
    <w:rsid w:val="008A517B"/>
    <w:rsid w:val="008A5289"/>
    <w:rsid w:val="008A537C"/>
    <w:rsid w:val="008A5824"/>
    <w:rsid w:val="008A5AC3"/>
    <w:rsid w:val="008A6518"/>
    <w:rsid w:val="008A68BA"/>
    <w:rsid w:val="008A7C82"/>
    <w:rsid w:val="008A7C8A"/>
    <w:rsid w:val="008B03E7"/>
    <w:rsid w:val="008B0494"/>
    <w:rsid w:val="008B05FB"/>
    <w:rsid w:val="008B0DF3"/>
    <w:rsid w:val="008B110F"/>
    <w:rsid w:val="008B1B83"/>
    <w:rsid w:val="008B1C12"/>
    <w:rsid w:val="008B2317"/>
    <w:rsid w:val="008B255E"/>
    <w:rsid w:val="008B2950"/>
    <w:rsid w:val="008B29C5"/>
    <w:rsid w:val="008B2C10"/>
    <w:rsid w:val="008B2E55"/>
    <w:rsid w:val="008B2E98"/>
    <w:rsid w:val="008B2FBA"/>
    <w:rsid w:val="008B406C"/>
    <w:rsid w:val="008B4351"/>
    <w:rsid w:val="008B49C7"/>
    <w:rsid w:val="008B4A21"/>
    <w:rsid w:val="008B4ECE"/>
    <w:rsid w:val="008B50A9"/>
    <w:rsid w:val="008B5513"/>
    <w:rsid w:val="008B557A"/>
    <w:rsid w:val="008B574E"/>
    <w:rsid w:val="008B5D3D"/>
    <w:rsid w:val="008B64FE"/>
    <w:rsid w:val="008B662D"/>
    <w:rsid w:val="008B6D3F"/>
    <w:rsid w:val="008B6D56"/>
    <w:rsid w:val="008B708B"/>
    <w:rsid w:val="008B7436"/>
    <w:rsid w:val="008B766E"/>
    <w:rsid w:val="008B7688"/>
    <w:rsid w:val="008B7B5E"/>
    <w:rsid w:val="008B7FBC"/>
    <w:rsid w:val="008C002D"/>
    <w:rsid w:val="008C005A"/>
    <w:rsid w:val="008C00D1"/>
    <w:rsid w:val="008C02EB"/>
    <w:rsid w:val="008C076E"/>
    <w:rsid w:val="008C0989"/>
    <w:rsid w:val="008C0AC7"/>
    <w:rsid w:val="008C14A7"/>
    <w:rsid w:val="008C1EF2"/>
    <w:rsid w:val="008C2800"/>
    <w:rsid w:val="008C376C"/>
    <w:rsid w:val="008C399A"/>
    <w:rsid w:val="008C3A33"/>
    <w:rsid w:val="008C3EB4"/>
    <w:rsid w:val="008C3FCF"/>
    <w:rsid w:val="008C434B"/>
    <w:rsid w:val="008C4EE6"/>
    <w:rsid w:val="008C504F"/>
    <w:rsid w:val="008C53E4"/>
    <w:rsid w:val="008C59AA"/>
    <w:rsid w:val="008C59E0"/>
    <w:rsid w:val="008C5B77"/>
    <w:rsid w:val="008C5BB5"/>
    <w:rsid w:val="008C5D7A"/>
    <w:rsid w:val="008C6270"/>
    <w:rsid w:val="008C665F"/>
    <w:rsid w:val="008C672F"/>
    <w:rsid w:val="008C679D"/>
    <w:rsid w:val="008C68E1"/>
    <w:rsid w:val="008C69A7"/>
    <w:rsid w:val="008C6A06"/>
    <w:rsid w:val="008C6C03"/>
    <w:rsid w:val="008C6E44"/>
    <w:rsid w:val="008C765D"/>
    <w:rsid w:val="008C7786"/>
    <w:rsid w:val="008C7A79"/>
    <w:rsid w:val="008C7CB7"/>
    <w:rsid w:val="008D03E7"/>
    <w:rsid w:val="008D0538"/>
    <w:rsid w:val="008D076C"/>
    <w:rsid w:val="008D15EC"/>
    <w:rsid w:val="008D1B10"/>
    <w:rsid w:val="008D1BA6"/>
    <w:rsid w:val="008D21C5"/>
    <w:rsid w:val="008D2354"/>
    <w:rsid w:val="008D28AC"/>
    <w:rsid w:val="008D2B71"/>
    <w:rsid w:val="008D2BA8"/>
    <w:rsid w:val="008D35A8"/>
    <w:rsid w:val="008D3CCF"/>
    <w:rsid w:val="008D3D7D"/>
    <w:rsid w:val="008D3DE5"/>
    <w:rsid w:val="008D417B"/>
    <w:rsid w:val="008D442B"/>
    <w:rsid w:val="008D49AE"/>
    <w:rsid w:val="008D4B31"/>
    <w:rsid w:val="008D4CF5"/>
    <w:rsid w:val="008D5A26"/>
    <w:rsid w:val="008D5A40"/>
    <w:rsid w:val="008D5AC1"/>
    <w:rsid w:val="008D5AC6"/>
    <w:rsid w:val="008D5BA9"/>
    <w:rsid w:val="008D6315"/>
    <w:rsid w:val="008D6617"/>
    <w:rsid w:val="008D6E5D"/>
    <w:rsid w:val="008D7030"/>
    <w:rsid w:val="008D70AB"/>
    <w:rsid w:val="008D71B1"/>
    <w:rsid w:val="008D7397"/>
    <w:rsid w:val="008D7E3C"/>
    <w:rsid w:val="008E0188"/>
    <w:rsid w:val="008E0457"/>
    <w:rsid w:val="008E055C"/>
    <w:rsid w:val="008E0674"/>
    <w:rsid w:val="008E123C"/>
    <w:rsid w:val="008E261A"/>
    <w:rsid w:val="008E2718"/>
    <w:rsid w:val="008E3568"/>
    <w:rsid w:val="008E362B"/>
    <w:rsid w:val="008E3D3D"/>
    <w:rsid w:val="008E3D87"/>
    <w:rsid w:val="008E413A"/>
    <w:rsid w:val="008E41B2"/>
    <w:rsid w:val="008E467F"/>
    <w:rsid w:val="008E4D29"/>
    <w:rsid w:val="008E54B7"/>
    <w:rsid w:val="008E57A3"/>
    <w:rsid w:val="008E6765"/>
    <w:rsid w:val="008E6D0B"/>
    <w:rsid w:val="008E71B2"/>
    <w:rsid w:val="008E764F"/>
    <w:rsid w:val="008E76EE"/>
    <w:rsid w:val="008E7A79"/>
    <w:rsid w:val="008E7C07"/>
    <w:rsid w:val="008E7E7A"/>
    <w:rsid w:val="008E7EE7"/>
    <w:rsid w:val="008F0797"/>
    <w:rsid w:val="008F0856"/>
    <w:rsid w:val="008F0C28"/>
    <w:rsid w:val="008F1714"/>
    <w:rsid w:val="008F177D"/>
    <w:rsid w:val="008F1B21"/>
    <w:rsid w:val="008F1DD9"/>
    <w:rsid w:val="008F1E9A"/>
    <w:rsid w:val="008F237D"/>
    <w:rsid w:val="008F294F"/>
    <w:rsid w:val="008F2AF4"/>
    <w:rsid w:val="008F2F1F"/>
    <w:rsid w:val="008F3559"/>
    <w:rsid w:val="008F38C1"/>
    <w:rsid w:val="008F46AA"/>
    <w:rsid w:val="008F4B3C"/>
    <w:rsid w:val="008F5332"/>
    <w:rsid w:val="008F58EB"/>
    <w:rsid w:val="008F5C3F"/>
    <w:rsid w:val="008F605C"/>
    <w:rsid w:val="008F61F7"/>
    <w:rsid w:val="008F6584"/>
    <w:rsid w:val="008F6AF4"/>
    <w:rsid w:val="008F6C50"/>
    <w:rsid w:val="008F702A"/>
    <w:rsid w:val="008F70E1"/>
    <w:rsid w:val="008F730D"/>
    <w:rsid w:val="008F75FF"/>
    <w:rsid w:val="008F7973"/>
    <w:rsid w:val="008F7C03"/>
    <w:rsid w:val="008F7CCD"/>
    <w:rsid w:val="008F7CF9"/>
    <w:rsid w:val="008F7E07"/>
    <w:rsid w:val="008F7E4F"/>
    <w:rsid w:val="008F7F09"/>
    <w:rsid w:val="0090007A"/>
    <w:rsid w:val="00900281"/>
    <w:rsid w:val="009008EE"/>
    <w:rsid w:val="0090090E"/>
    <w:rsid w:val="00900B3A"/>
    <w:rsid w:val="00900CFB"/>
    <w:rsid w:val="009012DA"/>
    <w:rsid w:val="009016A7"/>
    <w:rsid w:val="00901BD4"/>
    <w:rsid w:val="00902329"/>
    <w:rsid w:val="00902693"/>
    <w:rsid w:val="009026C5"/>
    <w:rsid w:val="0090274A"/>
    <w:rsid w:val="00902877"/>
    <w:rsid w:val="00902DEE"/>
    <w:rsid w:val="00903098"/>
    <w:rsid w:val="0090331C"/>
    <w:rsid w:val="00903696"/>
    <w:rsid w:val="0090398D"/>
    <w:rsid w:val="00903C22"/>
    <w:rsid w:val="00903CF7"/>
    <w:rsid w:val="00903E4A"/>
    <w:rsid w:val="00904362"/>
    <w:rsid w:val="0090477D"/>
    <w:rsid w:val="0090495F"/>
    <w:rsid w:val="00904993"/>
    <w:rsid w:val="00906517"/>
    <w:rsid w:val="00906EFE"/>
    <w:rsid w:val="009071AD"/>
    <w:rsid w:val="009072F5"/>
    <w:rsid w:val="009073B6"/>
    <w:rsid w:val="0090774B"/>
    <w:rsid w:val="0090782E"/>
    <w:rsid w:val="00907C7E"/>
    <w:rsid w:val="0091020E"/>
    <w:rsid w:val="00910A50"/>
    <w:rsid w:val="0091135C"/>
    <w:rsid w:val="0091150A"/>
    <w:rsid w:val="00911FE1"/>
    <w:rsid w:val="00912072"/>
    <w:rsid w:val="00912250"/>
    <w:rsid w:val="00912BB4"/>
    <w:rsid w:val="00912CBA"/>
    <w:rsid w:val="00912E23"/>
    <w:rsid w:val="00912F44"/>
    <w:rsid w:val="00913A2A"/>
    <w:rsid w:val="00913A36"/>
    <w:rsid w:val="00913E9B"/>
    <w:rsid w:val="00914141"/>
    <w:rsid w:val="00914899"/>
    <w:rsid w:val="009154D9"/>
    <w:rsid w:val="009155A2"/>
    <w:rsid w:val="00915748"/>
    <w:rsid w:val="009158B4"/>
    <w:rsid w:val="00915979"/>
    <w:rsid w:val="00915A06"/>
    <w:rsid w:val="00917438"/>
    <w:rsid w:val="009174C6"/>
    <w:rsid w:val="00917B54"/>
    <w:rsid w:val="00917C56"/>
    <w:rsid w:val="00917DAF"/>
    <w:rsid w:val="00920AA5"/>
    <w:rsid w:val="00922243"/>
    <w:rsid w:val="0092256C"/>
    <w:rsid w:val="00922C36"/>
    <w:rsid w:val="009231B2"/>
    <w:rsid w:val="00923220"/>
    <w:rsid w:val="00923343"/>
    <w:rsid w:val="0092367B"/>
    <w:rsid w:val="00923DE9"/>
    <w:rsid w:val="00924C1F"/>
    <w:rsid w:val="00924FD9"/>
    <w:rsid w:val="00925020"/>
    <w:rsid w:val="00925542"/>
    <w:rsid w:val="00925624"/>
    <w:rsid w:val="009256A6"/>
    <w:rsid w:val="0092578C"/>
    <w:rsid w:val="009257B9"/>
    <w:rsid w:val="0092580D"/>
    <w:rsid w:val="00925980"/>
    <w:rsid w:val="00925BD9"/>
    <w:rsid w:val="00925C7F"/>
    <w:rsid w:val="0092684E"/>
    <w:rsid w:val="00926959"/>
    <w:rsid w:val="00926BCA"/>
    <w:rsid w:val="00926CF2"/>
    <w:rsid w:val="00926E5A"/>
    <w:rsid w:val="00926F6E"/>
    <w:rsid w:val="00926FB0"/>
    <w:rsid w:val="00927535"/>
    <w:rsid w:val="00927B6F"/>
    <w:rsid w:val="00927DF1"/>
    <w:rsid w:val="009305B0"/>
    <w:rsid w:val="00930748"/>
    <w:rsid w:val="00930B1F"/>
    <w:rsid w:val="00930B5A"/>
    <w:rsid w:val="00930C26"/>
    <w:rsid w:val="00930EB0"/>
    <w:rsid w:val="0093107D"/>
    <w:rsid w:val="009312D6"/>
    <w:rsid w:val="00931F3A"/>
    <w:rsid w:val="00932526"/>
    <w:rsid w:val="00932D45"/>
    <w:rsid w:val="00932D8B"/>
    <w:rsid w:val="00933580"/>
    <w:rsid w:val="00933864"/>
    <w:rsid w:val="00933882"/>
    <w:rsid w:val="00933954"/>
    <w:rsid w:val="00933F1A"/>
    <w:rsid w:val="0093404A"/>
    <w:rsid w:val="00934817"/>
    <w:rsid w:val="00934934"/>
    <w:rsid w:val="009349AC"/>
    <w:rsid w:val="00934A3B"/>
    <w:rsid w:val="00934B64"/>
    <w:rsid w:val="009353C2"/>
    <w:rsid w:val="00935455"/>
    <w:rsid w:val="009354B1"/>
    <w:rsid w:val="00935AE6"/>
    <w:rsid w:val="009365BF"/>
    <w:rsid w:val="00937236"/>
    <w:rsid w:val="00937427"/>
    <w:rsid w:val="009375FE"/>
    <w:rsid w:val="0093765A"/>
    <w:rsid w:val="0093777A"/>
    <w:rsid w:val="00937A07"/>
    <w:rsid w:val="00937AA5"/>
    <w:rsid w:val="00937C99"/>
    <w:rsid w:val="00940A65"/>
    <w:rsid w:val="00940AA6"/>
    <w:rsid w:val="00940C09"/>
    <w:rsid w:val="009411FD"/>
    <w:rsid w:val="00941424"/>
    <w:rsid w:val="0094200F"/>
    <w:rsid w:val="009438D6"/>
    <w:rsid w:val="00943C0C"/>
    <w:rsid w:val="00943C0D"/>
    <w:rsid w:val="00943D54"/>
    <w:rsid w:val="009440BB"/>
    <w:rsid w:val="009442B0"/>
    <w:rsid w:val="009443A8"/>
    <w:rsid w:val="009446E9"/>
    <w:rsid w:val="00944802"/>
    <w:rsid w:val="009451F4"/>
    <w:rsid w:val="00945228"/>
    <w:rsid w:val="00945466"/>
    <w:rsid w:val="00945587"/>
    <w:rsid w:val="009457DF"/>
    <w:rsid w:val="00945F3F"/>
    <w:rsid w:val="0094607B"/>
    <w:rsid w:val="009460DF"/>
    <w:rsid w:val="00946229"/>
    <w:rsid w:val="009462E4"/>
    <w:rsid w:val="009463E0"/>
    <w:rsid w:val="00946749"/>
    <w:rsid w:val="00946B7A"/>
    <w:rsid w:val="00946C3B"/>
    <w:rsid w:val="00946E9D"/>
    <w:rsid w:val="00946EBC"/>
    <w:rsid w:val="0094743F"/>
    <w:rsid w:val="00947644"/>
    <w:rsid w:val="00947810"/>
    <w:rsid w:val="00947884"/>
    <w:rsid w:val="009478E2"/>
    <w:rsid w:val="009479CF"/>
    <w:rsid w:val="00947B0E"/>
    <w:rsid w:val="0095045F"/>
    <w:rsid w:val="00950532"/>
    <w:rsid w:val="009508D2"/>
    <w:rsid w:val="00950E83"/>
    <w:rsid w:val="009514B0"/>
    <w:rsid w:val="00951946"/>
    <w:rsid w:val="00951C01"/>
    <w:rsid w:val="00952315"/>
    <w:rsid w:val="009526A2"/>
    <w:rsid w:val="00952802"/>
    <w:rsid w:val="00952836"/>
    <w:rsid w:val="00952AF7"/>
    <w:rsid w:val="00952D76"/>
    <w:rsid w:val="009532A2"/>
    <w:rsid w:val="00953C1B"/>
    <w:rsid w:val="00953CA2"/>
    <w:rsid w:val="00954616"/>
    <w:rsid w:val="00954E6A"/>
    <w:rsid w:val="009556DC"/>
    <w:rsid w:val="00955DE0"/>
    <w:rsid w:val="009563B2"/>
    <w:rsid w:val="00956409"/>
    <w:rsid w:val="00956659"/>
    <w:rsid w:val="00956B47"/>
    <w:rsid w:val="009572A3"/>
    <w:rsid w:val="009572A9"/>
    <w:rsid w:val="009574F6"/>
    <w:rsid w:val="009576A8"/>
    <w:rsid w:val="00957AA0"/>
    <w:rsid w:val="00957B61"/>
    <w:rsid w:val="00957EE3"/>
    <w:rsid w:val="00960416"/>
    <w:rsid w:val="0096043D"/>
    <w:rsid w:val="0096080B"/>
    <w:rsid w:val="009609A4"/>
    <w:rsid w:val="009610BC"/>
    <w:rsid w:val="0096114C"/>
    <w:rsid w:val="00961182"/>
    <w:rsid w:val="009612E6"/>
    <w:rsid w:val="0096174A"/>
    <w:rsid w:val="00961CDA"/>
    <w:rsid w:val="00962429"/>
    <w:rsid w:val="00962A97"/>
    <w:rsid w:val="0096315F"/>
    <w:rsid w:val="00963B79"/>
    <w:rsid w:val="00964176"/>
    <w:rsid w:val="0096456E"/>
    <w:rsid w:val="00964C0F"/>
    <w:rsid w:val="00964CFA"/>
    <w:rsid w:val="00964DED"/>
    <w:rsid w:val="00964E9B"/>
    <w:rsid w:val="00965023"/>
    <w:rsid w:val="009654C8"/>
    <w:rsid w:val="00965C3C"/>
    <w:rsid w:val="00965FF8"/>
    <w:rsid w:val="00966050"/>
    <w:rsid w:val="00966087"/>
    <w:rsid w:val="009663C0"/>
    <w:rsid w:val="009664A2"/>
    <w:rsid w:val="009667EF"/>
    <w:rsid w:val="009669ED"/>
    <w:rsid w:val="00966A83"/>
    <w:rsid w:val="00966C48"/>
    <w:rsid w:val="00966D1F"/>
    <w:rsid w:val="0096706B"/>
    <w:rsid w:val="00967E96"/>
    <w:rsid w:val="00970095"/>
    <w:rsid w:val="00970703"/>
    <w:rsid w:val="00970DDD"/>
    <w:rsid w:val="009716D7"/>
    <w:rsid w:val="00971CEA"/>
    <w:rsid w:val="0097309B"/>
    <w:rsid w:val="009732FC"/>
    <w:rsid w:val="00973379"/>
    <w:rsid w:val="009733BB"/>
    <w:rsid w:val="009734EB"/>
    <w:rsid w:val="00973549"/>
    <w:rsid w:val="009736BE"/>
    <w:rsid w:val="00973A3D"/>
    <w:rsid w:val="00973F00"/>
    <w:rsid w:val="00973F80"/>
    <w:rsid w:val="0097401D"/>
    <w:rsid w:val="009743EA"/>
    <w:rsid w:val="009747E6"/>
    <w:rsid w:val="009749FA"/>
    <w:rsid w:val="00974CD2"/>
    <w:rsid w:val="00974DB9"/>
    <w:rsid w:val="00975073"/>
    <w:rsid w:val="00975A52"/>
    <w:rsid w:val="00976D66"/>
    <w:rsid w:val="009771C2"/>
    <w:rsid w:val="009777A9"/>
    <w:rsid w:val="00977B68"/>
    <w:rsid w:val="00977E5C"/>
    <w:rsid w:val="009801E0"/>
    <w:rsid w:val="00980440"/>
    <w:rsid w:val="00980735"/>
    <w:rsid w:val="00980A50"/>
    <w:rsid w:val="00980EB4"/>
    <w:rsid w:val="00980EFF"/>
    <w:rsid w:val="0098178F"/>
    <w:rsid w:val="00981BBC"/>
    <w:rsid w:val="00981D52"/>
    <w:rsid w:val="00981F13"/>
    <w:rsid w:val="00982012"/>
    <w:rsid w:val="00982090"/>
    <w:rsid w:val="009824BD"/>
    <w:rsid w:val="0098267E"/>
    <w:rsid w:val="00982C8B"/>
    <w:rsid w:val="00982ECC"/>
    <w:rsid w:val="0098445B"/>
    <w:rsid w:val="009844EB"/>
    <w:rsid w:val="00985729"/>
    <w:rsid w:val="00985878"/>
    <w:rsid w:val="009859E4"/>
    <w:rsid w:val="00985ED6"/>
    <w:rsid w:val="00985FD3"/>
    <w:rsid w:val="00986024"/>
    <w:rsid w:val="0098629D"/>
    <w:rsid w:val="009862D0"/>
    <w:rsid w:val="009863F9"/>
    <w:rsid w:val="009866DA"/>
    <w:rsid w:val="00986963"/>
    <w:rsid w:val="00986EC9"/>
    <w:rsid w:val="0098748D"/>
    <w:rsid w:val="0099039C"/>
    <w:rsid w:val="009905C1"/>
    <w:rsid w:val="0099060F"/>
    <w:rsid w:val="009907F1"/>
    <w:rsid w:val="00990847"/>
    <w:rsid w:val="00990DD1"/>
    <w:rsid w:val="00990F5B"/>
    <w:rsid w:val="0099163D"/>
    <w:rsid w:val="0099245F"/>
    <w:rsid w:val="00992765"/>
    <w:rsid w:val="00992C9E"/>
    <w:rsid w:val="00992E45"/>
    <w:rsid w:val="0099359A"/>
    <w:rsid w:val="00993BC5"/>
    <w:rsid w:val="00993CE3"/>
    <w:rsid w:val="00993E94"/>
    <w:rsid w:val="00993EAE"/>
    <w:rsid w:val="00994858"/>
    <w:rsid w:val="009948C7"/>
    <w:rsid w:val="00994BE0"/>
    <w:rsid w:val="009951DF"/>
    <w:rsid w:val="00995222"/>
    <w:rsid w:val="009952B7"/>
    <w:rsid w:val="00995806"/>
    <w:rsid w:val="00995CCD"/>
    <w:rsid w:val="0099624E"/>
    <w:rsid w:val="00996A1D"/>
    <w:rsid w:val="00996BC5"/>
    <w:rsid w:val="00996D61"/>
    <w:rsid w:val="00997473"/>
    <w:rsid w:val="0099765F"/>
    <w:rsid w:val="00997C20"/>
    <w:rsid w:val="00997C6C"/>
    <w:rsid w:val="009A0163"/>
    <w:rsid w:val="009A0844"/>
    <w:rsid w:val="009A08C9"/>
    <w:rsid w:val="009A0D42"/>
    <w:rsid w:val="009A1EB3"/>
    <w:rsid w:val="009A23EF"/>
    <w:rsid w:val="009A26AE"/>
    <w:rsid w:val="009A2D1E"/>
    <w:rsid w:val="009A2E30"/>
    <w:rsid w:val="009A3013"/>
    <w:rsid w:val="009A30E7"/>
    <w:rsid w:val="009A3157"/>
    <w:rsid w:val="009A31BF"/>
    <w:rsid w:val="009A33F6"/>
    <w:rsid w:val="009A36B9"/>
    <w:rsid w:val="009A3B9B"/>
    <w:rsid w:val="009A3EC2"/>
    <w:rsid w:val="009A3FF2"/>
    <w:rsid w:val="009A40C5"/>
    <w:rsid w:val="009A47A6"/>
    <w:rsid w:val="009A4FFA"/>
    <w:rsid w:val="009A539A"/>
    <w:rsid w:val="009A5418"/>
    <w:rsid w:val="009A552A"/>
    <w:rsid w:val="009A55C2"/>
    <w:rsid w:val="009A5C7F"/>
    <w:rsid w:val="009A5D6E"/>
    <w:rsid w:val="009A616B"/>
    <w:rsid w:val="009A6288"/>
    <w:rsid w:val="009A696B"/>
    <w:rsid w:val="009A698F"/>
    <w:rsid w:val="009A6CA1"/>
    <w:rsid w:val="009A6E93"/>
    <w:rsid w:val="009A7483"/>
    <w:rsid w:val="009A763F"/>
    <w:rsid w:val="009A7BCB"/>
    <w:rsid w:val="009B0219"/>
    <w:rsid w:val="009B0A7C"/>
    <w:rsid w:val="009B0B38"/>
    <w:rsid w:val="009B0BCE"/>
    <w:rsid w:val="009B0C5A"/>
    <w:rsid w:val="009B0D3F"/>
    <w:rsid w:val="009B0D55"/>
    <w:rsid w:val="009B1BE3"/>
    <w:rsid w:val="009B1F9C"/>
    <w:rsid w:val="009B20A2"/>
    <w:rsid w:val="009B2507"/>
    <w:rsid w:val="009B2575"/>
    <w:rsid w:val="009B25EF"/>
    <w:rsid w:val="009B2849"/>
    <w:rsid w:val="009B2CF8"/>
    <w:rsid w:val="009B31BA"/>
    <w:rsid w:val="009B3E35"/>
    <w:rsid w:val="009B4134"/>
    <w:rsid w:val="009B4F24"/>
    <w:rsid w:val="009B51F0"/>
    <w:rsid w:val="009B56E0"/>
    <w:rsid w:val="009B578A"/>
    <w:rsid w:val="009B606A"/>
    <w:rsid w:val="009B6181"/>
    <w:rsid w:val="009B6688"/>
    <w:rsid w:val="009B6DDB"/>
    <w:rsid w:val="009B7740"/>
    <w:rsid w:val="009B7805"/>
    <w:rsid w:val="009B7B58"/>
    <w:rsid w:val="009C08CB"/>
    <w:rsid w:val="009C0C8B"/>
    <w:rsid w:val="009C114C"/>
    <w:rsid w:val="009C140A"/>
    <w:rsid w:val="009C15E7"/>
    <w:rsid w:val="009C1D9C"/>
    <w:rsid w:val="009C1F84"/>
    <w:rsid w:val="009C2E0F"/>
    <w:rsid w:val="009C3422"/>
    <w:rsid w:val="009C3581"/>
    <w:rsid w:val="009C364F"/>
    <w:rsid w:val="009C38A9"/>
    <w:rsid w:val="009C3AE6"/>
    <w:rsid w:val="009C3B67"/>
    <w:rsid w:val="009C424E"/>
    <w:rsid w:val="009C44FE"/>
    <w:rsid w:val="009C4794"/>
    <w:rsid w:val="009C482E"/>
    <w:rsid w:val="009C5741"/>
    <w:rsid w:val="009C57C0"/>
    <w:rsid w:val="009C59A0"/>
    <w:rsid w:val="009C5AB1"/>
    <w:rsid w:val="009C5EF9"/>
    <w:rsid w:val="009C606A"/>
    <w:rsid w:val="009C614D"/>
    <w:rsid w:val="009C6439"/>
    <w:rsid w:val="009C6556"/>
    <w:rsid w:val="009C6B42"/>
    <w:rsid w:val="009C7CF7"/>
    <w:rsid w:val="009C7F26"/>
    <w:rsid w:val="009C7F86"/>
    <w:rsid w:val="009D077F"/>
    <w:rsid w:val="009D0984"/>
    <w:rsid w:val="009D0EE4"/>
    <w:rsid w:val="009D14E3"/>
    <w:rsid w:val="009D15FF"/>
    <w:rsid w:val="009D1A62"/>
    <w:rsid w:val="009D1C42"/>
    <w:rsid w:val="009D1F86"/>
    <w:rsid w:val="009D202F"/>
    <w:rsid w:val="009D2411"/>
    <w:rsid w:val="009D27ED"/>
    <w:rsid w:val="009D2CE3"/>
    <w:rsid w:val="009D3109"/>
    <w:rsid w:val="009D3206"/>
    <w:rsid w:val="009D33A8"/>
    <w:rsid w:val="009D379F"/>
    <w:rsid w:val="009D4A6C"/>
    <w:rsid w:val="009D5FD5"/>
    <w:rsid w:val="009D645C"/>
    <w:rsid w:val="009D683A"/>
    <w:rsid w:val="009D7191"/>
    <w:rsid w:val="009D71A4"/>
    <w:rsid w:val="009D786C"/>
    <w:rsid w:val="009D798C"/>
    <w:rsid w:val="009D7AA8"/>
    <w:rsid w:val="009D7BF8"/>
    <w:rsid w:val="009D7EE4"/>
    <w:rsid w:val="009E016A"/>
    <w:rsid w:val="009E02A7"/>
    <w:rsid w:val="009E0590"/>
    <w:rsid w:val="009E0603"/>
    <w:rsid w:val="009E13E6"/>
    <w:rsid w:val="009E1A7F"/>
    <w:rsid w:val="009E1C42"/>
    <w:rsid w:val="009E2010"/>
    <w:rsid w:val="009E2084"/>
    <w:rsid w:val="009E216C"/>
    <w:rsid w:val="009E2350"/>
    <w:rsid w:val="009E23CF"/>
    <w:rsid w:val="009E25B8"/>
    <w:rsid w:val="009E25F5"/>
    <w:rsid w:val="009E2645"/>
    <w:rsid w:val="009E2DEC"/>
    <w:rsid w:val="009E2E7B"/>
    <w:rsid w:val="009E3642"/>
    <w:rsid w:val="009E3B97"/>
    <w:rsid w:val="009E3BB4"/>
    <w:rsid w:val="009E3EDC"/>
    <w:rsid w:val="009E415D"/>
    <w:rsid w:val="009E454F"/>
    <w:rsid w:val="009E46A3"/>
    <w:rsid w:val="009E4999"/>
    <w:rsid w:val="009E5ABD"/>
    <w:rsid w:val="009E5C9E"/>
    <w:rsid w:val="009E65AA"/>
    <w:rsid w:val="009E65F8"/>
    <w:rsid w:val="009E6638"/>
    <w:rsid w:val="009E6EA4"/>
    <w:rsid w:val="009E774F"/>
    <w:rsid w:val="009E787C"/>
    <w:rsid w:val="009E7FB4"/>
    <w:rsid w:val="009F005F"/>
    <w:rsid w:val="009F030E"/>
    <w:rsid w:val="009F0777"/>
    <w:rsid w:val="009F08E9"/>
    <w:rsid w:val="009F0951"/>
    <w:rsid w:val="009F0AE8"/>
    <w:rsid w:val="009F0E75"/>
    <w:rsid w:val="009F10B1"/>
    <w:rsid w:val="009F18C5"/>
    <w:rsid w:val="009F1F7B"/>
    <w:rsid w:val="009F20C6"/>
    <w:rsid w:val="009F3F1D"/>
    <w:rsid w:val="009F3F62"/>
    <w:rsid w:val="009F4092"/>
    <w:rsid w:val="009F40C7"/>
    <w:rsid w:val="009F4357"/>
    <w:rsid w:val="009F44DE"/>
    <w:rsid w:val="009F4528"/>
    <w:rsid w:val="009F4A0E"/>
    <w:rsid w:val="009F4B46"/>
    <w:rsid w:val="009F4B7F"/>
    <w:rsid w:val="009F5186"/>
    <w:rsid w:val="009F5243"/>
    <w:rsid w:val="009F532E"/>
    <w:rsid w:val="009F540C"/>
    <w:rsid w:val="009F5732"/>
    <w:rsid w:val="009F576C"/>
    <w:rsid w:val="009F5852"/>
    <w:rsid w:val="009F5E13"/>
    <w:rsid w:val="009F6515"/>
    <w:rsid w:val="009F6767"/>
    <w:rsid w:val="009F6FD0"/>
    <w:rsid w:val="009F6FF5"/>
    <w:rsid w:val="009F7007"/>
    <w:rsid w:val="00A00313"/>
    <w:rsid w:val="00A003D5"/>
    <w:rsid w:val="00A007F3"/>
    <w:rsid w:val="00A01072"/>
    <w:rsid w:val="00A010B3"/>
    <w:rsid w:val="00A011B9"/>
    <w:rsid w:val="00A01289"/>
    <w:rsid w:val="00A01ACD"/>
    <w:rsid w:val="00A01B1C"/>
    <w:rsid w:val="00A01C92"/>
    <w:rsid w:val="00A01EC6"/>
    <w:rsid w:val="00A02061"/>
    <w:rsid w:val="00A0217F"/>
    <w:rsid w:val="00A024E9"/>
    <w:rsid w:val="00A027D9"/>
    <w:rsid w:val="00A02DDC"/>
    <w:rsid w:val="00A03952"/>
    <w:rsid w:val="00A03D8A"/>
    <w:rsid w:val="00A03E1B"/>
    <w:rsid w:val="00A03E48"/>
    <w:rsid w:val="00A03E83"/>
    <w:rsid w:val="00A04225"/>
    <w:rsid w:val="00A04BC0"/>
    <w:rsid w:val="00A04C33"/>
    <w:rsid w:val="00A04C7C"/>
    <w:rsid w:val="00A04C9D"/>
    <w:rsid w:val="00A05F93"/>
    <w:rsid w:val="00A05FEC"/>
    <w:rsid w:val="00A0632F"/>
    <w:rsid w:val="00A070B4"/>
    <w:rsid w:val="00A074A7"/>
    <w:rsid w:val="00A078E1"/>
    <w:rsid w:val="00A07C12"/>
    <w:rsid w:val="00A07F77"/>
    <w:rsid w:val="00A10278"/>
    <w:rsid w:val="00A10746"/>
    <w:rsid w:val="00A1082C"/>
    <w:rsid w:val="00A10AF6"/>
    <w:rsid w:val="00A10AFB"/>
    <w:rsid w:val="00A1129C"/>
    <w:rsid w:val="00A1139F"/>
    <w:rsid w:val="00A115FD"/>
    <w:rsid w:val="00A12235"/>
    <w:rsid w:val="00A127F3"/>
    <w:rsid w:val="00A12903"/>
    <w:rsid w:val="00A12CC7"/>
    <w:rsid w:val="00A12F7D"/>
    <w:rsid w:val="00A131FC"/>
    <w:rsid w:val="00A13705"/>
    <w:rsid w:val="00A140A0"/>
    <w:rsid w:val="00A1467F"/>
    <w:rsid w:val="00A14737"/>
    <w:rsid w:val="00A1508E"/>
    <w:rsid w:val="00A15616"/>
    <w:rsid w:val="00A158FB"/>
    <w:rsid w:val="00A15B23"/>
    <w:rsid w:val="00A15D00"/>
    <w:rsid w:val="00A15E5A"/>
    <w:rsid w:val="00A16298"/>
    <w:rsid w:val="00A16461"/>
    <w:rsid w:val="00A16584"/>
    <w:rsid w:val="00A16ADA"/>
    <w:rsid w:val="00A16C9B"/>
    <w:rsid w:val="00A16E8C"/>
    <w:rsid w:val="00A17419"/>
    <w:rsid w:val="00A1756E"/>
    <w:rsid w:val="00A17999"/>
    <w:rsid w:val="00A17D12"/>
    <w:rsid w:val="00A2038E"/>
    <w:rsid w:val="00A208B5"/>
    <w:rsid w:val="00A20A6F"/>
    <w:rsid w:val="00A20E42"/>
    <w:rsid w:val="00A21485"/>
    <w:rsid w:val="00A21544"/>
    <w:rsid w:val="00A21AAA"/>
    <w:rsid w:val="00A21C2D"/>
    <w:rsid w:val="00A21DEE"/>
    <w:rsid w:val="00A224BF"/>
    <w:rsid w:val="00A227DA"/>
    <w:rsid w:val="00A22A2B"/>
    <w:rsid w:val="00A22C82"/>
    <w:rsid w:val="00A2322D"/>
    <w:rsid w:val="00A23524"/>
    <w:rsid w:val="00A24389"/>
    <w:rsid w:val="00A243DC"/>
    <w:rsid w:val="00A24464"/>
    <w:rsid w:val="00A24CC9"/>
    <w:rsid w:val="00A24EB4"/>
    <w:rsid w:val="00A24FCC"/>
    <w:rsid w:val="00A25223"/>
    <w:rsid w:val="00A255CB"/>
    <w:rsid w:val="00A258D6"/>
    <w:rsid w:val="00A25D8C"/>
    <w:rsid w:val="00A25DA1"/>
    <w:rsid w:val="00A25E71"/>
    <w:rsid w:val="00A26085"/>
    <w:rsid w:val="00A26258"/>
    <w:rsid w:val="00A268FF"/>
    <w:rsid w:val="00A26999"/>
    <w:rsid w:val="00A26BB0"/>
    <w:rsid w:val="00A3034A"/>
    <w:rsid w:val="00A30507"/>
    <w:rsid w:val="00A30C8C"/>
    <w:rsid w:val="00A30F58"/>
    <w:rsid w:val="00A3105B"/>
    <w:rsid w:val="00A3112B"/>
    <w:rsid w:val="00A313D3"/>
    <w:rsid w:val="00A3240B"/>
    <w:rsid w:val="00A32CBE"/>
    <w:rsid w:val="00A32D5D"/>
    <w:rsid w:val="00A32FD1"/>
    <w:rsid w:val="00A33511"/>
    <w:rsid w:val="00A337C7"/>
    <w:rsid w:val="00A3390C"/>
    <w:rsid w:val="00A33C59"/>
    <w:rsid w:val="00A33E2C"/>
    <w:rsid w:val="00A35032"/>
    <w:rsid w:val="00A350A3"/>
    <w:rsid w:val="00A356CC"/>
    <w:rsid w:val="00A35C0A"/>
    <w:rsid w:val="00A3628A"/>
    <w:rsid w:val="00A362E6"/>
    <w:rsid w:val="00A369FD"/>
    <w:rsid w:val="00A3705A"/>
    <w:rsid w:val="00A37440"/>
    <w:rsid w:val="00A374B4"/>
    <w:rsid w:val="00A3760B"/>
    <w:rsid w:val="00A376B3"/>
    <w:rsid w:val="00A37769"/>
    <w:rsid w:val="00A378FE"/>
    <w:rsid w:val="00A400B0"/>
    <w:rsid w:val="00A40846"/>
    <w:rsid w:val="00A40913"/>
    <w:rsid w:val="00A41232"/>
    <w:rsid w:val="00A4141E"/>
    <w:rsid w:val="00A4272A"/>
    <w:rsid w:val="00A4299E"/>
    <w:rsid w:val="00A42D30"/>
    <w:rsid w:val="00A42E21"/>
    <w:rsid w:val="00A43132"/>
    <w:rsid w:val="00A43992"/>
    <w:rsid w:val="00A43B3E"/>
    <w:rsid w:val="00A43CDE"/>
    <w:rsid w:val="00A43F5B"/>
    <w:rsid w:val="00A4481E"/>
    <w:rsid w:val="00A44CFC"/>
    <w:rsid w:val="00A45A05"/>
    <w:rsid w:val="00A45FCC"/>
    <w:rsid w:val="00A461C4"/>
    <w:rsid w:val="00A46596"/>
    <w:rsid w:val="00A465BD"/>
    <w:rsid w:val="00A46F18"/>
    <w:rsid w:val="00A471D1"/>
    <w:rsid w:val="00A47355"/>
    <w:rsid w:val="00A473A2"/>
    <w:rsid w:val="00A47765"/>
    <w:rsid w:val="00A5054B"/>
    <w:rsid w:val="00A508C0"/>
    <w:rsid w:val="00A50A13"/>
    <w:rsid w:val="00A50AF4"/>
    <w:rsid w:val="00A50CB9"/>
    <w:rsid w:val="00A50DEF"/>
    <w:rsid w:val="00A51026"/>
    <w:rsid w:val="00A517B8"/>
    <w:rsid w:val="00A526E7"/>
    <w:rsid w:val="00A52EDC"/>
    <w:rsid w:val="00A52FA5"/>
    <w:rsid w:val="00A530E0"/>
    <w:rsid w:val="00A53219"/>
    <w:rsid w:val="00A53579"/>
    <w:rsid w:val="00A537CE"/>
    <w:rsid w:val="00A53BDA"/>
    <w:rsid w:val="00A53E2B"/>
    <w:rsid w:val="00A540C5"/>
    <w:rsid w:val="00A548C0"/>
    <w:rsid w:val="00A54EC7"/>
    <w:rsid w:val="00A550B6"/>
    <w:rsid w:val="00A55112"/>
    <w:rsid w:val="00A5528D"/>
    <w:rsid w:val="00A555E7"/>
    <w:rsid w:val="00A55722"/>
    <w:rsid w:val="00A5575E"/>
    <w:rsid w:val="00A55A9B"/>
    <w:rsid w:val="00A55C47"/>
    <w:rsid w:val="00A56043"/>
    <w:rsid w:val="00A56461"/>
    <w:rsid w:val="00A566C3"/>
    <w:rsid w:val="00A56E72"/>
    <w:rsid w:val="00A5773A"/>
    <w:rsid w:val="00A57798"/>
    <w:rsid w:val="00A57883"/>
    <w:rsid w:val="00A579E8"/>
    <w:rsid w:val="00A57C81"/>
    <w:rsid w:val="00A57CE6"/>
    <w:rsid w:val="00A602C6"/>
    <w:rsid w:val="00A60319"/>
    <w:rsid w:val="00A60B4C"/>
    <w:rsid w:val="00A60CA9"/>
    <w:rsid w:val="00A6132C"/>
    <w:rsid w:val="00A61466"/>
    <w:rsid w:val="00A61613"/>
    <w:rsid w:val="00A61877"/>
    <w:rsid w:val="00A61A2C"/>
    <w:rsid w:val="00A61DE2"/>
    <w:rsid w:val="00A622AB"/>
    <w:rsid w:val="00A6251E"/>
    <w:rsid w:val="00A627CE"/>
    <w:rsid w:val="00A627F7"/>
    <w:rsid w:val="00A62854"/>
    <w:rsid w:val="00A62893"/>
    <w:rsid w:val="00A62CA3"/>
    <w:rsid w:val="00A62EB7"/>
    <w:rsid w:val="00A62F59"/>
    <w:rsid w:val="00A63680"/>
    <w:rsid w:val="00A63829"/>
    <w:rsid w:val="00A64103"/>
    <w:rsid w:val="00A64366"/>
    <w:rsid w:val="00A64428"/>
    <w:rsid w:val="00A64484"/>
    <w:rsid w:val="00A645B1"/>
    <w:rsid w:val="00A64627"/>
    <w:rsid w:val="00A64C7D"/>
    <w:rsid w:val="00A65299"/>
    <w:rsid w:val="00A65F28"/>
    <w:rsid w:val="00A660D4"/>
    <w:rsid w:val="00A66235"/>
    <w:rsid w:val="00A66237"/>
    <w:rsid w:val="00A66384"/>
    <w:rsid w:val="00A667CF"/>
    <w:rsid w:val="00A66A5B"/>
    <w:rsid w:val="00A66AF7"/>
    <w:rsid w:val="00A66B99"/>
    <w:rsid w:val="00A6742E"/>
    <w:rsid w:val="00A67AC6"/>
    <w:rsid w:val="00A70C1E"/>
    <w:rsid w:val="00A70CDE"/>
    <w:rsid w:val="00A71465"/>
    <w:rsid w:val="00A71687"/>
    <w:rsid w:val="00A7170C"/>
    <w:rsid w:val="00A71AD9"/>
    <w:rsid w:val="00A7205D"/>
    <w:rsid w:val="00A7227A"/>
    <w:rsid w:val="00A729DC"/>
    <w:rsid w:val="00A72A3D"/>
    <w:rsid w:val="00A72C44"/>
    <w:rsid w:val="00A73118"/>
    <w:rsid w:val="00A73469"/>
    <w:rsid w:val="00A73731"/>
    <w:rsid w:val="00A7374C"/>
    <w:rsid w:val="00A73794"/>
    <w:rsid w:val="00A73D4A"/>
    <w:rsid w:val="00A73D7B"/>
    <w:rsid w:val="00A74A04"/>
    <w:rsid w:val="00A74A68"/>
    <w:rsid w:val="00A74B7A"/>
    <w:rsid w:val="00A74BC1"/>
    <w:rsid w:val="00A74E27"/>
    <w:rsid w:val="00A7529C"/>
    <w:rsid w:val="00A7571D"/>
    <w:rsid w:val="00A75AF4"/>
    <w:rsid w:val="00A76550"/>
    <w:rsid w:val="00A76DB0"/>
    <w:rsid w:val="00A77069"/>
    <w:rsid w:val="00A7715D"/>
    <w:rsid w:val="00A7726D"/>
    <w:rsid w:val="00A77343"/>
    <w:rsid w:val="00A77802"/>
    <w:rsid w:val="00A80472"/>
    <w:rsid w:val="00A807E7"/>
    <w:rsid w:val="00A807EB"/>
    <w:rsid w:val="00A808AA"/>
    <w:rsid w:val="00A809D6"/>
    <w:rsid w:val="00A81183"/>
    <w:rsid w:val="00A811C2"/>
    <w:rsid w:val="00A816D7"/>
    <w:rsid w:val="00A827BD"/>
    <w:rsid w:val="00A82EEE"/>
    <w:rsid w:val="00A832A7"/>
    <w:rsid w:val="00A83311"/>
    <w:rsid w:val="00A8350F"/>
    <w:rsid w:val="00A8390C"/>
    <w:rsid w:val="00A83A80"/>
    <w:rsid w:val="00A83B7F"/>
    <w:rsid w:val="00A8442C"/>
    <w:rsid w:val="00A845C5"/>
    <w:rsid w:val="00A84767"/>
    <w:rsid w:val="00A84881"/>
    <w:rsid w:val="00A8539C"/>
    <w:rsid w:val="00A857F6"/>
    <w:rsid w:val="00A858C2"/>
    <w:rsid w:val="00A8638C"/>
    <w:rsid w:val="00A8640E"/>
    <w:rsid w:val="00A86410"/>
    <w:rsid w:val="00A86ABD"/>
    <w:rsid w:val="00A86BED"/>
    <w:rsid w:val="00A86CEF"/>
    <w:rsid w:val="00A86D6A"/>
    <w:rsid w:val="00A86FB5"/>
    <w:rsid w:val="00A86FE4"/>
    <w:rsid w:val="00A8707B"/>
    <w:rsid w:val="00A8729F"/>
    <w:rsid w:val="00A87595"/>
    <w:rsid w:val="00A87600"/>
    <w:rsid w:val="00A87741"/>
    <w:rsid w:val="00A87BA8"/>
    <w:rsid w:val="00A87BFA"/>
    <w:rsid w:val="00A902A6"/>
    <w:rsid w:val="00A905F6"/>
    <w:rsid w:val="00A906A8"/>
    <w:rsid w:val="00A90B74"/>
    <w:rsid w:val="00A90E16"/>
    <w:rsid w:val="00A90EBA"/>
    <w:rsid w:val="00A91B17"/>
    <w:rsid w:val="00A91C79"/>
    <w:rsid w:val="00A92BC8"/>
    <w:rsid w:val="00A92EAC"/>
    <w:rsid w:val="00A93302"/>
    <w:rsid w:val="00A93A79"/>
    <w:rsid w:val="00A93CE7"/>
    <w:rsid w:val="00A945A6"/>
    <w:rsid w:val="00A947B7"/>
    <w:rsid w:val="00A94819"/>
    <w:rsid w:val="00A94859"/>
    <w:rsid w:val="00A9487A"/>
    <w:rsid w:val="00A94930"/>
    <w:rsid w:val="00A94FCA"/>
    <w:rsid w:val="00A950CF"/>
    <w:rsid w:val="00A95112"/>
    <w:rsid w:val="00A9528A"/>
    <w:rsid w:val="00A95332"/>
    <w:rsid w:val="00A954C1"/>
    <w:rsid w:val="00A95F70"/>
    <w:rsid w:val="00A9614F"/>
    <w:rsid w:val="00A97162"/>
    <w:rsid w:val="00A97F26"/>
    <w:rsid w:val="00A97FC7"/>
    <w:rsid w:val="00AA02D2"/>
    <w:rsid w:val="00AA0502"/>
    <w:rsid w:val="00AA09E6"/>
    <w:rsid w:val="00AA1305"/>
    <w:rsid w:val="00AA1609"/>
    <w:rsid w:val="00AA22B7"/>
    <w:rsid w:val="00AA2DF7"/>
    <w:rsid w:val="00AA2E14"/>
    <w:rsid w:val="00AA2EC2"/>
    <w:rsid w:val="00AA3B85"/>
    <w:rsid w:val="00AA3BC6"/>
    <w:rsid w:val="00AA3E4A"/>
    <w:rsid w:val="00AA3FB0"/>
    <w:rsid w:val="00AA41C2"/>
    <w:rsid w:val="00AA45E1"/>
    <w:rsid w:val="00AA4A53"/>
    <w:rsid w:val="00AA4D92"/>
    <w:rsid w:val="00AA5495"/>
    <w:rsid w:val="00AA54D2"/>
    <w:rsid w:val="00AA54F5"/>
    <w:rsid w:val="00AA570A"/>
    <w:rsid w:val="00AA5CBD"/>
    <w:rsid w:val="00AA5EED"/>
    <w:rsid w:val="00AA5F4B"/>
    <w:rsid w:val="00AA5F5B"/>
    <w:rsid w:val="00AA60C2"/>
    <w:rsid w:val="00AA6316"/>
    <w:rsid w:val="00AA648A"/>
    <w:rsid w:val="00AA66C5"/>
    <w:rsid w:val="00AA687A"/>
    <w:rsid w:val="00AA6BF4"/>
    <w:rsid w:val="00AA70B7"/>
    <w:rsid w:val="00AA7584"/>
    <w:rsid w:val="00AA75E0"/>
    <w:rsid w:val="00AA76BC"/>
    <w:rsid w:val="00AA780E"/>
    <w:rsid w:val="00AA7CC9"/>
    <w:rsid w:val="00AA7D1C"/>
    <w:rsid w:val="00AA7FB3"/>
    <w:rsid w:val="00AB061B"/>
    <w:rsid w:val="00AB06CB"/>
    <w:rsid w:val="00AB1519"/>
    <w:rsid w:val="00AB1BE1"/>
    <w:rsid w:val="00AB23C6"/>
    <w:rsid w:val="00AB2494"/>
    <w:rsid w:val="00AB2BF2"/>
    <w:rsid w:val="00AB33E9"/>
    <w:rsid w:val="00AB3A10"/>
    <w:rsid w:val="00AB3AD4"/>
    <w:rsid w:val="00AB3C1E"/>
    <w:rsid w:val="00AB41AD"/>
    <w:rsid w:val="00AB43AC"/>
    <w:rsid w:val="00AB4904"/>
    <w:rsid w:val="00AB49C0"/>
    <w:rsid w:val="00AB4ADB"/>
    <w:rsid w:val="00AB5168"/>
    <w:rsid w:val="00AB53A8"/>
    <w:rsid w:val="00AB5713"/>
    <w:rsid w:val="00AB590F"/>
    <w:rsid w:val="00AB5F6E"/>
    <w:rsid w:val="00AB656C"/>
    <w:rsid w:val="00AB65AD"/>
    <w:rsid w:val="00AB6B79"/>
    <w:rsid w:val="00AB7109"/>
    <w:rsid w:val="00AB71D8"/>
    <w:rsid w:val="00AB71F7"/>
    <w:rsid w:val="00AB7FE3"/>
    <w:rsid w:val="00AC0534"/>
    <w:rsid w:val="00AC0740"/>
    <w:rsid w:val="00AC0BCB"/>
    <w:rsid w:val="00AC0F31"/>
    <w:rsid w:val="00AC14F4"/>
    <w:rsid w:val="00AC14FE"/>
    <w:rsid w:val="00AC1651"/>
    <w:rsid w:val="00AC19F5"/>
    <w:rsid w:val="00AC2550"/>
    <w:rsid w:val="00AC28BC"/>
    <w:rsid w:val="00AC2ED8"/>
    <w:rsid w:val="00AC3148"/>
    <w:rsid w:val="00AC341A"/>
    <w:rsid w:val="00AC3580"/>
    <w:rsid w:val="00AC36D7"/>
    <w:rsid w:val="00AC437E"/>
    <w:rsid w:val="00AC44DC"/>
    <w:rsid w:val="00AC4714"/>
    <w:rsid w:val="00AC5082"/>
    <w:rsid w:val="00AC5944"/>
    <w:rsid w:val="00AC5CEA"/>
    <w:rsid w:val="00AC6331"/>
    <w:rsid w:val="00AC720A"/>
    <w:rsid w:val="00AC73B0"/>
    <w:rsid w:val="00AC781B"/>
    <w:rsid w:val="00AD006B"/>
    <w:rsid w:val="00AD056E"/>
    <w:rsid w:val="00AD101E"/>
    <w:rsid w:val="00AD1112"/>
    <w:rsid w:val="00AD182C"/>
    <w:rsid w:val="00AD1984"/>
    <w:rsid w:val="00AD1A23"/>
    <w:rsid w:val="00AD250D"/>
    <w:rsid w:val="00AD370A"/>
    <w:rsid w:val="00AD378E"/>
    <w:rsid w:val="00AD388E"/>
    <w:rsid w:val="00AD3AA1"/>
    <w:rsid w:val="00AD4379"/>
    <w:rsid w:val="00AD4CBE"/>
    <w:rsid w:val="00AD4DC6"/>
    <w:rsid w:val="00AD56E1"/>
    <w:rsid w:val="00AD5AF7"/>
    <w:rsid w:val="00AD5F3D"/>
    <w:rsid w:val="00AD6551"/>
    <w:rsid w:val="00AD6581"/>
    <w:rsid w:val="00AD65C5"/>
    <w:rsid w:val="00AD65DC"/>
    <w:rsid w:val="00AD661A"/>
    <w:rsid w:val="00AD70CF"/>
    <w:rsid w:val="00AD75E2"/>
    <w:rsid w:val="00AD7B29"/>
    <w:rsid w:val="00AE0279"/>
    <w:rsid w:val="00AE03F5"/>
    <w:rsid w:val="00AE046F"/>
    <w:rsid w:val="00AE147A"/>
    <w:rsid w:val="00AE1531"/>
    <w:rsid w:val="00AE1A6A"/>
    <w:rsid w:val="00AE2CDA"/>
    <w:rsid w:val="00AE308D"/>
    <w:rsid w:val="00AE431B"/>
    <w:rsid w:val="00AE4633"/>
    <w:rsid w:val="00AE48EC"/>
    <w:rsid w:val="00AE4A8C"/>
    <w:rsid w:val="00AE4B73"/>
    <w:rsid w:val="00AE52BC"/>
    <w:rsid w:val="00AE55D4"/>
    <w:rsid w:val="00AE5A8F"/>
    <w:rsid w:val="00AE5BB9"/>
    <w:rsid w:val="00AE5DBE"/>
    <w:rsid w:val="00AE5E25"/>
    <w:rsid w:val="00AE5E61"/>
    <w:rsid w:val="00AE6610"/>
    <w:rsid w:val="00AE6993"/>
    <w:rsid w:val="00AE6AE5"/>
    <w:rsid w:val="00AE6CBF"/>
    <w:rsid w:val="00AE6E7A"/>
    <w:rsid w:val="00AE7110"/>
    <w:rsid w:val="00AE713F"/>
    <w:rsid w:val="00AE73E7"/>
    <w:rsid w:val="00AE73F5"/>
    <w:rsid w:val="00AE77BF"/>
    <w:rsid w:val="00AE79F8"/>
    <w:rsid w:val="00AE7B83"/>
    <w:rsid w:val="00AE7E14"/>
    <w:rsid w:val="00AE7F59"/>
    <w:rsid w:val="00AF0549"/>
    <w:rsid w:val="00AF0E1F"/>
    <w:rsid w:val="00AF0E36"/>
    <w:rsid w:val="00AF10C3"/>
    <w:rsid w:val="00AF1407"/>
    <w:rsid w:val="00AF18CB"/>
    <w:rsid w:val="00AF1A1D"/>
    <w:rsid w:val="00AF1CE2"/>
    <w:rsid w:val="00AF1FA6"/>
    <w:rsid w:val="00AF2A18"/>
    <w:rsid w:val="00AF2D8C"/>
    <w:rsid w:val="00AF33AB"/>
    <w:rsid w:val="00AF3530"/>
    <w:rsid w:val="00AF3725"/>
    <w:rsid w:val="00AF3A97"/>
    <w:rsid w:val="00AF3A9E"/>
    <w:rsid w:val="00AF3DE8"/>
    <w:rsid w:val="00AF3E5D"/>
    <w:rsid w:val="00AF4F50"/>
    <w:rsid w:val="00AF51CC"/>
    <w:rsid w:val="00AF5396"/>
    <w:rsid w:val="00AF59C8"/>
    <w:rsid w:val="00AF5B21"/>
    <w:rsid w:val="00AF5D7A"/>
    <w:rsid w:val="00AF5EBC"/>
    <w:rsid w:val="00AF6893"/>
    <w:rsid w:val="00AF6D6A"/>
    <w:rsid w:val="00AF7024"/>
    <w:rsid w:val="00AF7917"/>
    <w:rsid w:val="00AF7FFB"/>
    <w:rsid w:val="00B00357"/>
    <w:rsid w:val="00B00372"/>
    <w:rsid w:val="00B00AEC"/>
    <w:rsid w:val="00B00CAC"/>
    <w:rsid w:val="00B00FD7"/>
    <w:rsid w:val="00B010A1"/>
    <w:rsid w:val="00B01DC5"/>
    <w:rsid w:val="00B0272D"/>
    <w:rsid w:val="00B02D47"/>
    <w:rsid w:val="00B03850"/>
    <w:rsid w:val="00B03C22"/>
    <w:rsid w:val="00B03FCE"/>
    <w:rsid w:val="00B03FD3"/>
    <w:rsid w:val="00B0421B"/>
    <w:rsid w:val="00B053A6"/>
    <w:rsid w:val="00B05B2D"/>
    <w:rsid w:val="00B063AF"/>
    <w:rsid w:val="00B0681C"/>
    <w:rsid w:val="00B06952"/>
    <w:rsid w:val="00B06C67"/>
    <w:rsid w:val="00B06D38"/>
    <w:rsid w:val="00B07433"/>
    <w:rsid w:val="00B07B8F"/>
    <w:rsid w:val="00B07E32"/>
    <w:rsid w:val="00B10054"/>
    <w:rsid w:val="00B103DA"/>
    <w:rsid w:val="00B10749"/>
    <w:rsid w:val="00B108A9"/>
    <w:rsid w:val="00B10AF6"/>
    <w:rsid w:val="00B112E3"/>
    <w:rsid w:val="00B119A0"/>
    <w:rsid w:val="00B11B62"/>
    <w:rsid w:val="00B11BE0"/>
    <w:rsid w:val="00B1244C"/>
    <w:rsid w:val="00B125F2"/>
    <w:rsid w:val="00B12640"/>
    <w:rsid w:val="00B12A36"/>
    <w:rsid w:val="00B12CBC"/>
    <w:rsid w:val="00B12FB0"/>
    <w:rsid w:val="00B135B1"/>
    <w:rsid w:val="00B13A4B"/>
    <w:rsid w:val="00B13C20"/>
    <w:rsid w:val="00B13DF4"/>
    <w:rsid w:val="00B13F80"/>
    <w:rsid w:val="00B1491D"/>
    <w:rsid w:val="00B14A2D"/>
    <w:rsid w:val="00B151F9"/>
    <w:rsid w:val="00B1536F"/>
    <w:rsid w:val="00B153B0"/>
    <w:rsid w:val="00B153FE"/>
    <w:rsid w:val="00B15533"/>
    <w:rsid w:val="00B156AA"/>
    <w:rsid w:val="00B1573D"/>
    <w:rsid w:val="00B15A60"/>
    <w:rsid w:val="00B15ADC"/>
    <w:rsid w:val="00B15AF8"/>
    <w:rsid w:val="00B16940"/>
    <w:rsid w:val="00B17033"/>
    <w:rsid w:val="00B17124"/>
    <w:rsid w:val="00B173CA"/>
    <w:rsid w:val="00B1747F"/>
    <w:rsid w:val="00B174B2"/>
    <w:rsid w:val="00B17F07"/>
    <w:rsid w:val="00B204D4"/>
    <w:rsid w:val="00B20541"/>
    <w:rsid w:val="00B20E2C"/>
    <w:rsid w:val="00B20FA3"/>
    <w:rsid w:val="00B212B3"/>
    <w:rsid w:val="00B215C8"/>
    <w:rsid w:val="00B2174F"/>
    <w:rsid w:val="00B21F11"/>
    <w:rsid w:val="00B22623"/>
    <w:rsid w:val="00B22ABE"/>
    <w:rsid w:val="00B22D15"/>
    <w:rsid w:val="00B23380"/>
    <w:rsid w:val="00B23B89"/>
    <w:rsid w:val="00B23D63"/>
    <w:rsid w:val="00B2454E"/>
    <w:rsid w:val="00B2484D"/>
    <w:rsid w:val="00B24AF1"/>
    <w:rsid w:val="00B24F1A"/>
    <w:rsid w:val="00B25251"/>
    <w:rsid w:val="00B259BF"/>
    <w:rsid w:val="00B259DD"/>
    <w:rsid w:val="00B26302"/>
    <w:rsid w:val="00B26546"/>
    <w:rsid w:val="00B26AF2"/>
    <w:rsid w:val="00B26B2A"/>
    <w:rsid w:val="00B274D3"/>
    <w:rsid w:val="00B276B7"/>
    <w:rsid w:val="00B2770C"/>
    <w:rsid w:val="00B27BC2"/>
    <w:rsid w:val="00B27EE6"/>
    <w:rsid w:val="00B30380"/>
    <w:rsid w:val="00B30704"/>
    <w:rsid w:val="00B30E4D"/>
    <w:rsid w:val="00B30F96"/>
    <w:rsid w:val="00B314A1"/>
    <w:rsid w:val="00B318A7"/>
    <w:rsid w:val="00B31A21"/>
    <w:rsid w:val="00B32F92"/>
    <w:rsid w:val="00B3345E"/>
    <w:rsid w:val="00B3360F"/>
    <w:rsid w:val="00B3361A"/>
    <w:rsid w:val="00B33633"/>
    <w:rsid w:val="00B33B83"/>
    <w:rsid w:val="00B33B84"/>
    <w:rsid w:val="00B33C41"/>
    <w:rsid w:val="00B33CCB"/>
    <w:rsid w:val="00B33F7E"/>
    <w:rsid w:val="00B34AD1"/>
    <w:rsid w:val="00B34AE2"/>
    <w:rsid w:val="00B34D96"/>
    <w:rsid w:val="00B34E50"/>
    <w:rsid w:val="00B35860"/>
    <w:rsid w:val="00B359E5"/>
    <w:rsid w:val="00B35D4B"/>
    <w:rsid w:val="00B36620"/>
    <w:rsid w:val="00B36729"/>
    <w:rsid w:val="00B367AA"/>
    <w:rsid w:val="00B367E2"/>
    <w:rsid w:val="00B3688B"/>
    <w:rsid w:val="00B36AB5"/>
    <w:rsid w:val="00B374E5"/>
    <w:rsid w:val="00B37D54"/>
    <w:rsid w:val="00B37EA9"/>
    <w:rsid w:val="00B4026C"/>
    <w:rsid w:val="00B40652"/>
    <w:rsid w:val="00B4124F"/>
    <w:rsid w:val="00B4146B"/>
    <w:rsid w:val="00B41479"/>
    <w:rsid w:val="00B41512"/>
    <w:rsid w:val="00B41686"/>
    <w:rsid w:val="00B41A54"/>
    <w:rsid w:val="00B41A88"/>
    <w:rsid w:val="00B41C39"/>
    <w:rsid w:val="00B41C71"/>
    <w:rsid w:val="00B4232A"/>
    <w:rsid w:val="00B42792"/>
    <w:rsid w:val="00B42A38"/>
    <w:rsid w:val="00B42BE8"/>
    <w:rsid w:val="00B42F51"/>
    <w:rsid w:val="00B4309A"/>
    <w:rsid w:val="00B4335B"/>
    <w:rsid w:val="00B434D4"/>
    <w:rsid w:val="00B439A1"/>
    <w:rsid w:val="00B439B7"/>
    <w:rsid w:val="00B439E1"/>
    <w:rsid w:val="00B43C35"/>
    <w:rsid w:val="00B43E6E"/>
    <w:rsid w:val="00B446D8"/>
    <w:rsid w:val="00B45027"/>
    <w:rsid w:val="00B456F1"/>
    <w:rsid w:val="00B45867"/>
    <w:rsid w:val="00B458A9"/>
    <w:rsid w:val="00B45CA8"/>
    <w:rsid w:val="00B45D24"/>
    <w:rsid w:val="00B45E78"/>
    <w:rsid w:val="00B45F17"/>
    <w:rsid w:val="00B460C1"/>
    <w:rsid w:val="00B46BB8"/>
    <w:rsid w:val="00B47730"/>
    <w:rsid w:val="00B47B83"/>
    <w:rsid w:val="00B5007D"/>
    <w:rsid w:val="00B5064E"/>
    <w:rsid w:val="00B50F2A"/>
    <w:rsid w:val="00B51C3E"/>
    <w:rsid w:val="00B527C4"/>
    <w:rsid w:val="00B52E79"/>
    <w:rsid w:val="00B533BA"/>
    <w:rsid w:val="00B53822"/>
    <w:rsid w:val="00B53A3E"/>
    <w:rsid w:val="00B5421B"/>
    <w:rsid w:val="00B545AB"/>
    <w:rsid w:val="00B545E1"/>
    <w:rsid w:val="00B54795"/>
    <w:rsid w:val="00B547D0"/>
    <w:rsid w:val="00B54AFC"/>
    <w:rsid w:val="00B54B43"/>
    <w:rsid w:val="00B54C59"/>
    <w:rsid w:val="00B552D7"/>
    <w:rsid w:val="00B5530C"/>
    <w:rsid w:val="00B55684"/>
    <w:rsid w:val="00B55B06"/>
    <w:rsid w:val="00B56063"/>
    <w:rsid w:val="00B56229"/>
    <w:rsid w:val="00B5637E"/>
    <w:rsid w:val="00B563F0"/>
    <w:rsid w:val="00B565E0"/>
    <w:rsid w:val="00B5681E"/>
    <w:rsid w:val="00B56C86"/>
    <w:rsid w:val="00B56F56"/>
    <w:rsid w:val="00B57A16"/>
    <w:rsid w:val="00B601E2"/>
    <w:rsid w:val="00B609AB"/>
    <w:rsid w:val="00B611C3"/>
    <w:rsid w:val="00B61488"/>
    <w:rsid w:val="00B615FF"/>
    <w:rsid w:val="00B61C0B"/>
    <w:rsid w:val="00B622B0"/>
    <w:rsid w:val="00B62874"/>
    <w:rsid w:val="00B628DA"/>
    <w:rsid w:val="00B629C0"/>
    <w:rsid w:val="00B62C4A"/>
    <w:rsid w:val="00B62E70"/>
    <w:rsid w:val="00B6374E"/>
    <w:rsid w:val="00B638F1"/>
    <w:rsid w:val="00B63D8F"/>
    <w:rsid w:val="00B643EE"/>
    <w:rsid w:val="00B64BE8"/>
    <w:rsid w:val="00B6526A"/>
    <w:rsid w:val="00B6548B"/>
    <w:rsid w:val="00B6553B"/>
    <w:rsid w:val="00B657FA"/>
    <w:rsid w:val="00B65960"/>
    <w:rsid w:val="00B668B6"/>
    <w:rsid w:val="00B66980"/>
    <w:rsid w:val="00B66B9F"/>
    <w:rsid w:val="00B66E5C"/>
    <w:rsid w:val="00B6781E"/>
    <w:rsid w:val="00B67BD6"/>
    <w:rsid w:val="00B70870"/>
    <w:rsid w:val="00B70AEF"/>
    <w:rsid w:val="00B70BDF"/>
    <w:rsid w:val="00B70C5E"/>
    <w:rsid w:val="00B70FC5"/>
    <w:rsid w:val="00B711C6"/>
    <w:rsid w:val="00B722A4"/>
    <w:rsid w:val="00B7255C"/>
    <w:rsid w:val="00B727A9"/>
    <w:rsid w:val="00B72905"/>
    <w:rsid w:val="00B72945"/>
    <w:rsid w:val="00B72C9B"/>
    <w:rsid w:val="00B72EC6"/>
    <w:rsid w:val="00B7326A"/>
    <w:rsid w:val="00B74140"/>
    <w:rsid w:val="00B74EF8"/>
    <w:rsid w:val="00B752C3"/>
    <w:rsid w:val="00B754F0"/>
    <w:rsid w:val="00B758F6"/>
    <w:rsid w:val="00B75914"/>
    <w:rsid w:val="00B75ED9"/>
    <w:rsid w:val="00B762CF"/>
    <w:rsid w:val="00B76577"/>
    <w:rsid w:val="00B7667F"/>
    <w:rsid w:val="00B76F1C"/>
    <w:rsid w:val="00B76F99"/>
    <w:rsid w:val="00B76FF2"/>
    <w:rsid w:val="00B7778E"/>
    <w:rsid w:val="00B7796A"/>
    <w:rsid w:val="00B77BAA"/>
    <w:rsid w:val="00B80090"/>
    <w:rsid w:val="00B803A4"/>
    <w:rsid w:val="00B80423"/>
    <w:rsid w:val="00B80C64"/>
    <w:rsid w:val="00B80F5A"/>
    <w:rsid w:val="00B80FE9"/>
    <w:rsid w:val="00B8140F"/>
    <w:rsid w:val="00B814B0"/>
    <w:rsid w:val="00B8170A"/>
    <w:rsid w:val="00B8188A"/>
    <w:rsid w:val="00B81F82"/>
    <w:rsid w:val="00B82780"/>
    <w:rsid w:val="00B82904"/>
    <w:rsid w:val="00B82D73"/>
    <w:rsid w:val="00B82D80"/>
    <w:rsid w:val="00B83976"/>
    <w:rsid w:val="00B83B3F"/>
    <w:rsid w:val="00B83C1E"/>
    <w:rsid w:val="00B83EF5"/>
    <w:rsid w:val="00B84055"/>
    <w:rsid w:val="00B84583"/>
    <w:rsid w:val="00B84E1C"/>
    <w:rsid w:val="00B852EB"/>
    <w:rsid w:val="00B85922"/>
    <w:rsid w:val="00B85C82"/>
    <w:rsid w:val="00B867E3"/>
    <w:rsid w:val="00B871D1"/>
    <w:rsid w:val="00B873BC"/>
    <w:rsid w:val="00B8790B"/>
    <w:rsid w:val="00B87A6F"/>
    <w:rsid w:val="00B87A84"/>
    <w:rsid w:val="00B87DFB"/>
    <w:rsid w:val="00B90152"/>
    <w:rsid w:val="00B90203"/>
    <w:rsid w:val="00B90336"/>
    <w:rsid w:val="00B909DE"/>
    <w:rsid w:val="00B90A7C"/>
    <w:rsid w:val="00B91210"/>
    <w:rsid w:val="00B91653"/>
    <w:rsid w:val="00B91F8A"/>
    <w:rsid w:val="00B925BC"/>
    <w:rsid w:val="00B92793"/>
    <w:rsid w:val="00B92D4F"/>
    <w:rsid w:val="00B92E1E"/>
    <w:rsid w:val="00B938B8"/>
    <w:rsid w:val="00B93C96"/>
    <w:rsid w:val="00B93CAB"/>
    <w:rsid w:val="00B93DFB"/>
    <w:rsid w:val="00B93FCA"/>
    <w:rsid w:val="00B94067"/>
    <w:rsid w:val="00B9412E"/>
    <w:rsid w:val="00B9429C"/>
    <w:rsid w:val="00B942EF"/>
    <w:rsid w:val="00B9435A"/>
    <w:rsid w:val="00B947AE"/>
    <w:rsid w:val="00B94B90"/>
    <w:rsid w:val="00B94BFC"/>
    <w:rsid w:val="00B94C7B"/>
    <w:rsid w:val="00B94E2E"/>
    <w:rsid w:val="00B94FF4"/>
    <w:rsid w:val="00B951E3"/>
    <w:rsid w:val="00B953C9"/>
    <w:rsid w:val="00B955C6"/>
    <w:rsid w:val="00B95B51"/>
    <w:rsid w:val="00B96940"/>
    <w:rsid w:val="00B969D8"/>
    <w:rsid w:val="00B96B06"/>
    <w:rsid w:val="00B96BAE"/>
    <w:rsid w:val="00B96E13"/>
    <w:rsid w:val="00B97186"/>
    <w:rsid w:val="00B97405"/>
    <w:rsid w:val="00B97CE8"/>
    <w:rsid w:val="00BA0279"/>
    <w:rsid w:val="00BA0419"/>
    <w:rsid w:val="00BA0844"/>
    <w:rsid w:val="00BA0C1F"/>
    <w:rsid w:val="00BA1042"/>
    <w:rsid w:val="00BA12BE"/>
    <w:rsid w:val="00BA2060"/>
    <w:rsid w:val="00BA2354"/>
    <w:rsid w:val="00BA30E8"/>
    <w:rsid w:val="00BA343B"/>
    <w:rsid w:val="00BA356D"/>
    <w:rsid w:val="00BA4020"/>
    <w:rsid w:val="00BA414E"/>
    <w:rsid w:val="00BA45EA"/>
    <w:rsid w:val="00BA4681"/>
    <w:rsid w:val="00BA4726"/>
    <w:rsid w:val="00BA4CA3"/>
    <w:rsid w:val="00BA5002"/>
    <w:rsid w:val="00BA550B"/>
    <w:rsid w:val="00BA5799"/>
    <w:rsid w:val="00BA5B37"/>
    <w:rsid w:val="00BA5CB7"/>
    <w:rsid w:val="00BA6329"/>
    <w:rsid w:val="00BA681C"/>
    <w:rsid w:val="00BA6A21"/>
    <w:rsid w:val="00BA6A7E"/>
    <w:rsid w:val="00BA6B55"/>
    <w:rsid w:val="00BA6E08"/>
    <w:rsid w:val="00BA6F37"/>
    <w:rsid w:val="00BA7399"/>
    <w:rsid w:val="00BA756A"/>
    <w:rsid w:val="00BA7AA0"/>
    <w:rsid w:val="00BA7DEC"/>
    <w:rsid w:val="00BB00E6"/>
    <w:rsid w:val="00BB0562"/>
    <w:rsid w:val="00BB0692"/>
    <w:rsid w:val="00BB0914"/>
    <w:rsid w:val="00BB09A0"/>
    <w:rsid w:val="00BB0EAE"/>
    <w:rsid w:val="00BB0F4E"/>
    <w:rsid w:val="00BB11AC"/>
    <w:rsid w:val="00BB1355"/>
    <w:rsid w:val="00BB1365"/>
    <w:rsid w:val="00BB1D1D"/>
    <w:rsid w:val="00BB2915"/>
    <w:rsid w:val="00BB2DA3"/>
    <w:rsid w:val="00BB3FEE"/>
    <w:rsid w:val="00BB404B"/>
    <w:rsid w:val="00BB44DF"/>
    <w:rsid w:val="00BB4817"/>
    <w:rsid w:val="00BB49C9"/>
    <w:rsid w:val="00BB4BE9"/>
    <w:rsid w:val="00BB4D84"/>
    <w:rsid w:val="00BB5029"/>
    <w:rsid w:val="00BB535F"/>
    <w:rsid w:val="00BB572C"/>
    <w:rsid w:val="00BB57C0"/>
    <w:rsid w:val="00BB5AF3"/>
    <w:rsid w:val="00BB5D4B"/>
    <w:rsid w:val="00BB5FDA"/>
    <w:rsid w:val="00BB63E3"/>
    <w:rsid w:val="00BB6776"/>
    <w:rsid w:val="00BB6AF3"/>
    <w:rsid w:val="00BB773E"/>
    <w:rsid w:val="00BB7868"/>
    <w:rsid w:val="00BB7FB5"/>
    <w:rsid w:val="00BC0391"/>
    <w:rsid w:val="00BC03A4"/>
    <w:rsid w:val="00BC0636"/>
    <w:rsid w:val="00BC13B9"/>
    <w:rsid w:val="00BC18B2"/>
    <w:rsid w:val="00BC26BB"/>
    <w:rsid w:val="00BC277D"/>
    <w:rsid w:val="00BC313B"/>
    <w:rsid w:val="00BC3388"/>
    <w:rsid w:val="00BC3BDF"/>
    <w:rsid w:val="00BC40B9"/>
    <w:rsid w:val="00BC4142"/>
    <w:rsid w:val="00BC43CF"/>
    <w:rsid w:val="00BC493E"/>
    <w:rsid w:val="00BC4ED7"/>
    <w:rsid w:val="00BC5029"/>
    <w:rsid w:val="00BC53F2"/>
    <w:rsid w:val="00BC5413"/>
    <w:rsid w:val="00BC5886"/>
    <w:rsid w:val="00BC58E6"/>
    <w:rsid w:val="00BC592F"/>
    <w:rsid w:val="00BC5BBD"/>
    <w:rsid w:val="00BC5C56"/>
    <w:rsid w:val="00BC5CF3"/>
    <w:rsid w:val="00BC6204"/>
    <w:rsid w:val="00BC6531"/>
    <w:rsid w:val="00BC66FA"/>
    <w:rsid w:val="00BC6974"/>
    <w:rsid w:val="00BC70D4"/>
    <w:rsid w:val="00BC77E6"/>
    <w:rsid w:val="00BC7A3C"/>
    <w:rsid w:val="00BD0289"/>
    <w:rsid w:val="00BD03B5"/>
    <w:rsid w:val="00BD03F2"/>
    <w:rsid w:val="00BD048D"/>
    <w:rsid w:val="00BD06A4"/>
    <w:rsid w:val="00BD0815"/>
    <w:rsid w:val="00BD0944"/>
    <w:rsid w:val="00BD0ECF"/>
    <w:rsid w:val="00BD129B"/>
    <w:rsid w:val="00BD1B7C"/>
    <w:rsid w:val="00BD1C7D"/>
    <w:rsid w:val="00BD1D55"/>
    <w:rsid w:val="00BD1F51"/>
    <w:rsid w:val="00BD291F"/>
    <w:rsid w:val="00BD2943"/>
    <w:rsid w:val="00BD295B"/>
    <w:rsid w:val="00BD2DC9"/>
    <w:rsid w:val="00BD3396"/>
    <w:rsid w:val="00BD3B5C"/>
    <w:rsid w:val="00BD3BBA"/>
    <w:rsid w:val="00BD3E3F"/>
    <w:rsid w:val="00BD43EE"/>
    <w:rsid w:val="00BD4407"/>
    <w:rsid w:val="00BD4489"/>
    <w:rsid w:val="00BD477C"/>
    <w:rsid w:val="00BD492A"/>
    <w:rsid w:val="00BD4BB0"/>
    <w:rsid w:val="00BD4FE3"/>
    <w:rsid w:val="00BD5472"/>
    <w:rsid w:val="00BD5548"/>
    <w:rsid w:val="00BD59B9"/>
    <w:rsid w:val="00BD5D3B"/>
    <w:rsid w:val="00BD6171"/>
    <w:rsid w:val="00BD619B"/>
    <w:rsid w:val="00BD62D5"/>
    <w:rsid w:val="00BD63D6"/>
    <w:rsid w:val="00BD6547"/>
    <w:rsid w:val="00BD65E7"/>
    <w:rsid w:val="00BD66E2"/>
    <w:rsid w:val="00BD6830"/>
    <w:rsid w:val="00BD68D5"/>
    <w:rsid w:val="00BD6A59"/>
    <w:rsid w:val="00BD6B80"/>
    <w:rsid w:val="00BD6DE5"/>
    <w:rsid w:val="00BD7055"/>
    <w:rsid w:val="00BD757A"/>
    <w:rsid w:val="00BD78E1"/>
    <w:rsid w:val="00BD7BDB"/>
    <w:rsid w:val="00BD7ED7"/>
    <w:rsid w:val="00BE0048"/>
    <w:rsid w:val="00BE0D4E"/>
    <w:rsid w:val="00BE111E"/>
    <w:rsid w:val="00BE12FC"/>
    <w:rsid w:val="00BE1442"/>
    <w:rsid w:val="00BE184A"/>
    <w:rsid w:val="00BE190C"/>
    <w:rsid w:val="00BE2561"/>
    <w:rsid w:val="00BE2614"/>
    <w:rsid w:val="00BE2678"/>
    <w:rsid w:val="00BE27E1"/>
    <w:rsid w:val="00BE2A84"/>
    <w:rsid w:val="00BE2D28"/>
    <w:rsid w:val="00BE3277"/>
    <w:rsid w:val="00BE486E"/>
    <w:rsid w:val="00BE4E79"/>
    <w:rsid w:val="00BE5106"/>
    <w:rsid w:val="00BE552C"/>
    <w:rsid w:val="00BE5A2D"/>
    <w:rsid w:val="00BE5A31"/>
    <w:rsid w:val="00BE5B9D"/>
    <w:rsid w:val="00BE5F22"/>
    <w:rsid w:val="00BE62F9"/>
    <w:rsid w:val="00BE661F"/>
    <w:rsid w:val="00BE6A78"/>
    <w:rsid w:val="00BE6A8C"/>
    <w:rsid w:val="00BE7912"/>
    <w:rsid w:val="00BE792C"/>
    <w:rsid w:val="00BE7F46"/>
    <w:rsid w:val="00BE7F78"/>
    <w:rsid w:val="00BF0109"/>
    <w:rsid w:val="00BF0147"/>
    <w:rsid w:val="00BF0346"/>
    <w:rsid w:val="00BF03AF"/>
    <w:rsid w:val="00BF0A27"/>
    <w:rsid w:val="00BF0C0B"/>
    <w:rsid w:val="00BF0E8D"/>
    <w:rsid w:val="00BF10DB"/>
    <w:rsid w:val="00BF11D5"/>
    <w:rsid w:val="00BF12FA"/>
    <w:rsid w:val="00BF1450"/>
    <w:rsid w:val="00BF169E"/>
    <w:rsid w:val="00BF20E2"/>
    <w:rsid w:val="00BF27AD"/>
    <w:rsid w:val="00BF2C4A"/>
    <w:rsid w:val="00BF2E45"/>
    <w:rsid w:val="00BF34B0"/>
    <w:rsid w:val="00BF3C4B"/>
    <w:rsid w:val="00BF3D3E"/>
    <w:rsid w:val="00BF407B"/>
    <w:rsid w:val="00BF55BA"/>
    <w:rsid w:val="00BF5A95"/>
    <w:rsid w:val="00BF5FC5"/>
    <w:rsid w:val="00BF60A7"/>
    <w:rsid w:val="00BF6661"/>
    <w:rsid w:val="00BF6B8D"/>
    <w:rsid w:val="00BF6F10"/>
    <w:rsid w:val="00BF7250"/>
    <w:rsid w:val="00BF729B"/>
    <w:rsid w:val="00BF7553"/>
    <w:rsid w:val="00BF7D22"/>
    <w:rsid w:val="00C01347"/>
    <w:rsid w:val="00C01566"/>
    <w:rsid w:val="00C01605"/>
    <w:rsid w:val="00C020AE"/>
    <w:rsid w:val="00C023B3"/>
    <w:rsid w:val="00C026F3"/>
    <w:rsid w:val="00C02CFA"/>
    <w:rsid w:val="00C02D52"/>
    <w:rsid w:val="00C02D91"/>
    <w:rsid w:val="00C02F86"/>
    <w:rsid w:val="00C032B0"/>
    <w:rsid w:val="00C0352A"/>
    <w:rsid w:val="00C037E6"/>
    <w:rsid w:val="00C03A76"/>
    <w:rsid w:val="00C03C66"/>
    <w:rsid w:val="00C03D29"/>
    <w:rsid w:val="00C041CD"/>
    <w:rsid w:val="00C04445"/>
    <w:rsid w:val="00C044E2"/>
    <w:rsid w:val="00C048DD"/>
    <w:rsid w:val="00C04FCF"/>
    <w:rsid w:val="00C05468"/>
    <w:rsid w:val="00C05AAC"/>
    <w:rsid w:val="00C05CA8"/>
    <w:rsid w:val="00C06189"/>
    <w:rsid w:val="00C06421"/>
    <w:rsid w:val="00C069EB"/>
    <w:rsid w:val="00C0732A"/>
    <w:rsid w:val="00C07411"/>
    <w:rsid w:val="00C0795F"/>
    <w:rsid w:val="00C07A71"/>
    <w:rsid w:val="00C07B17"/>
    <w:rsid w:val="00C10008"/>
    <w:rsid w:val="00C1002C"/>
    <w:rsid w:val="00C1029F"/>
    <w:rsid w:val="00C1037B"/>
    <w:rsid w:val="00C10838"/>
    <w:rsid w:val="00C1088D"/>
    <w:rsid w:val="00C108A7"/>
    <w:rsid w:val="00C1097C"/>
    <w:rsid w:val="00C11375"/>
    <w:rsid w:val="00C117AE"/>
    <w:rsid w:val="00C1189C"/>
    <w:rsid w:val="00C11904"/>
    <w:rsid w:val="00C11EF6"/>
    <w:rsid w:val="00C1207A"/>
    <w:rsid w:val="00C126FB"/>
    <w:rsid w:val="00C12A6A"/>
    <w:rsid w:val="00C12A97"/>
    <w:rsid w:val="00C12B84"/>
    <w:rsid w:val="00C12D40"/>
    <w:rsid w:val="00C12D7D"/>
    <w:rsid w:val="00C131B7"/>
    <w:rsid w:val="00C133FC"/>
    <w:rsid w:val="00C1357A"/>
    <w:rsid w:val="00C13A07"/>
    <w:rsid w:val="00C13CA1"/>
    <w:rsid w:val="00C14160"/>
    <w:rsid w:val="00C14844"/>
    <w:rsid w:val="00C14D00"/>
    <w:rsid w:val="00C15017"/>
    <w:rsid w:val="00C15049"/>
    <w:rsid w:val="00C1575C"/>
    <w:rsid w:val="00C15835"/>
    <w:rsid w:val="00C158F1"/>
    <w:rsid w:val="00C16AA3"/>
    <w:rsid w:val="00C16B0E"/>
    <w:rsid w:val="00C17629"/>
    <w:rsid w:val="00C176F5"/>
    <w:rsid w:val="00C17AE1"/>
    <w:rsid w:val="00C17E75"/>
    <w:rsid w:val="00C20093"/>
    <w:rsid w:val="00C202E8"/>
    <w:rsid w:val="00C203BB"/>
    <w:rsid w:val="00C20CE4"/>
    <w:rsid w:val="00C2100D"/>
    <w:rsid w:val="00C21137"/>
    <w:rsid w:val="00C21211"/>
    <w:rsid w:val="00C2151A"/>
    <w:rsid w:val="00C217C6"/>
    <w:rsid w:val="00C22194"/>
    <w:rsid w:val="00C22B8A"/>
    <w:rsid w:val="00C22C3C"/>
    <w:rsid w:val="00C22D1F"/>
    <w:rsid w:val="00C23276"/>
    <w:rsid w:val="00C23A09"/>
    <w:rsid w:val="00C23A6C"/>
    <w:rsid w:val="00C23CDA"/>
    <w:rsid w:val="00C23F94"/>
    <w:rsid w:val="00C2412E"/>
    <w:rsid w:val="00C243EF"/>
    <w:rsid w:val="00C24A4F"/>
    <w:rsid w:val="00C24EF4"/>
    <w:rsid w:val="00C24F61"/>
    <w:rsid w:val="00C25851"/>
    <w:rsid w:val="00C25A5C"/>
    <w:rsid w:val="00C25B9C"/>
    <w:rsid w:val="00C25DC9"/>
    <w:rsid w:val="00C260CB"/>
    <w:rsid w:val="00C260F1"/>
    <w:rsid w:val="00C2614F"/>
    <w:rsid w:val="00C26812"/>
    <w:rsid w:val="00C268F7"/>
    <w:rsid w:val="00C26970"/>
    <w:rsid w:val="00C269D5"/>
    <w:rsid w:val="00C269D6"/>
    <w:rsid w:val="00C26F6D"/>
    <w:rsid w:val="00C2716D"/>
    <w:rsid w:val="00C274BC"/>
    <w:rsid w:val="00C30583"/>
    <w:rsid w:val="00C308AF"/>
    <w:rsid w:val="00C31343"/>
    <w:rsid w:val="00C31C1A"/>
    <w:rsid w:val="00C326B1"/>
    <w:rsid w:val="00C33401"/>
    <w:rsid w:val="00C335C6"/>
    <w:rsid w:val="00C346B6"/>
    <w:rsid w:val="00C35238"/>
    <w:rsid w:val="00C35444"/>
    <w:rsid w:val="00C35969"/>
    <w:rsid w:val="00C359CF"/>
    <w:rsid w:val="00C365AF"/>
    <w:rsid w:val="00C36973"/>
    <w:rsid w:val="00C36CB3"/>
    <w:rsid w:val="00C37246"/>
    <w:rsid w:val="00C37355"/>
    <w:rsid w:val="00C3757F"/>
    <w:rsid w:val="00C37AC2"/>
    <w:rsid w:val="00C400C1"/>
    <w:rsid w:val="00C40296"/>
    <w:rsid w:val="00C409A0"/>
    <w:rsid w:val="00C40F16"/>
    <w:rsid w:val="00C40F9F"/>
    <w:rsid w:val="00C40FD5"/>
    <w:rsid w:val="00C41BDF"/>
    <w:rsid w:val="00C4242E"/>
    <w:rsid w:val="00C4251A"/>
    <w:rsid w:val="00C42B4A"/>
    <w:rsid w:val="00C42E42"/>
    <w:rsid w:val="00C430DB"/>
    <w:rsid w:val="00C434DB"/>
    <w:rsid w:val="00C43E10"/>
    <w:rsid w:val="00C43E71"/>
    <w:rsid w:val="00C43FA9"/>
    <w:rsid w:val="00C43FD7"/>
    <w:rsid w:val="00C4457E"/>
    <w:rsid w:val="00C44626"/>
    <w:rsid w:val="00C44B38"/>
    <w:rsid w:val="00C44C9C"/>
    <w:rsid w:val="00C44CB5"/>
    <w:rsid w:val="00C45078"/>
    <w:rsid w:val="00C453D1"/>
    <w:rsid w:val="00C4546B"/>
    <w:rsid w:val="00C45666"/>
    <w:rsid w:val="00C459DD"/>
    <w:rsid w:val="00C460D5"/>
    <w:rsid w:val="00C46312"/>
    <w:rsid w:val="00C46693"/>
    <w:rsid w:val="00C46C84"/>
    <w:rsid w:val="00C46CA1"/>
    <w:rsid w:val="00C46D85"/>
    <w:rsid w:val="00C46EB4"/>
    <w:rsid w:val="00C46F62"/>
    <w:rsid w:val="00C47051"/>
    <w:rsid w:val="00C470AC"/>
    <w:rsid w:val="00C476FC"/>
    <w:rsid w:val="00C47A89"/>
    <w:rsid w:val="00C47A97"/>
    <w:rsid w:val="00C5027B"/>
    <w:rsid w:val="00C502C0"/>
    <w:rsid w:val="00C510F5"/>
    <w:rsid w:val="00C51232"/>
    <w:rsid w:val="00C51682"/>
    <w:rsid w:val="00C520FB"/>
    <w:rsid w:val="00C52682"/>
    <w:rsid w:val="00C52A91"/>
    <w:rsid w:val="00C52F8C"/>
    <w:rsid w:val="00C530A9"/>
    <w:rsid w:val="00C53C3A"/>
    <w:rsid w:val="00C53F2B"/>
    <w:rsid w:val="00C546AC"/>
    <w:rsid w:val="00C54A91"/>
    <w:rsid w:val="00C54DE6"/>
    <w:rsid w:val="00C550B8"/>
    <w:rsid w:val="00C55765"/>
    <w:rsid w:val="00C559C8"/>
    <w:rsid w:val="00C55F21"/>
    <w:rsid w:val="00C560DB"/>
    <w:rsid w:val="00C56103"/>
    <w:rsid w:val="00C56288"/>
    <w:rsid w:val="00C563E9"/>
    <w:rsid w:val="00C57179"/>
    <w:rsid w:val="00C5733D"/>
    <w:rsid w:val="00C573E8"/>
    <w:rsid w:val="00C5743E"/>
    <w:rsid w:val="00C57B46"/>
    <w:rsid w:val="00C603AA"/>
    <w:rsid w:val="00C605AA"/>
    <w:rsid w:val="00C60B12"/>
    <w:rsid w:val="00C60CA8"/>
    <w:rsid w:val="00C60E38"/>
    <w:rsid w:val="00C61252"/>
    <w:rsid w:val="00C6276C"/>
    <w:rsid w:val="00C6313F"/>
    <w:rsid w:val="00C635E6"/>
    <w:rsid w:val="00C6367D"/>
    <w:rsid w:val="00C636A5"/>
    <w:rsid w:val="00C638AC"/>
    <w:rsid w:val="00C63944"/>
    <w:rsid w:val="00C64008"/>
    <w:rsid w:val="00C646E0"/>
    <w:rsid w:val="00C64A1D"/>
    <w:rsid w:val="00C64FDE"/>
    <w:rsid w:val="00C65A0A"/>
    <w:rsid w:val="00C660D8"/>
    <w:rsid w:val="00C66341"/>
    <w:rsid w:val="00C66CC0"/>
    <w:rsid w:val="00C677E2"/>
    <w:rsid w:val="00C67EB9"/>
    <w:rsid w:val="00C70514"/>
    <w:rsid w:val="00C70567"/>
    <w:rsid w:val="00C70594"/>
    <w:rsid w:val="00C7090A"/>
    <w:rsid w:val="00C71020"/>
    <w:rsid w:val="00C710A4"/>
    <w:rsid w:val="00C71E0C"/>
    <w:rsid w:val="00C71EC0"/>
    <w:rsid w:val="00C721AA"/>
    <w:rsid w:val="00C7252F"/>
    <w:rsid w:val="00C726D3"/>
    <w:rsid w:val="00C729AF"/>
    <w:rsid w:val="00C72B86"/>
    <w:rsid w:val="00C72FB8"/>
    <w:rsid w:val="00C7322E"/>
    <w:rsid w:val="00C732A5"/>
    <w:rsid w:val="00C73915"/>
    <w:rsid w:val="00C73AEC"/>
    <w:rsid w:val="00C73BD9"/>
    <w:rsid w:val="00C73C08"/>
    <w:rsid w:val="00C7455D"/>
    <w:rsid w:val="00C7471E"/>
    <w:rsid w:val="00C75452"/>
    <w:rsid w:val="00C75656"/>
    <w:rsid w:val="00C75691"/>
    <w:rsid w:val="00C7595A"/>
    <w:rsid w:val="00C75C0D"/>
    <w:rsid w:val="00C7661A"/>
    <w:rsid w:val="00C76877"/>
    <w:rsid w:val="00C76896"/>
    <w:rsid w:val="00C7694C"/>
    <w:rsid w:val="00C76C80"/>
    <w:rsid w:val="00C77083"/>
    <w:rsid w:val="00C772D6"/>
    <w:rsid w:val="00C7756B"/>
    <w:rsid w:val="00C7777F"/>
    <w:rsid w:val="00C77889"/>
    <w:rsid w:val="00C77D0D"/>
    <w:rsid w:val="00C8011D"/>
    <w:rsid w:val="00C8013C"/>
    <w:rsid w:val="00C80222"/>
    <w:rsid w:val="00C806C0"/>
    <w:rsid w:val="00C807E4"/>
    <w:rsid w:val="00C80B9F"/>
    <w:rsid w:val="00C80EB3"/>
    <w:rsid w:val="00C81299"/>
    <w:rsid w:val="00C816FB"/>
    <w:rsid w:val="00C81A49"/>
    <w:rsid w:val="00C81B90"/>
    <w:rsid w:val="00C82283"/>
    <w:rsid w:val="00C827ED"/>
    <w:rsid w:val="00C8294A"/>
    <w:rsid w:val="00C82A94"/>
    <w:rsid w:val="00C82C0A"/>
    <w:rsid w:val="00C833E2"/>
    <w:rsid w:val="00C839E1"/>
    <w:rsid w:val="00C83F72"/>
    <w:rsid w:val="00C83FF9"/>
    <w:rsid w:val="00C840F0"/>
    <w:rsid w:val="00C8426E"/>
    <w:rsid w:val="00C843A2"/>
    <w:rsid w:val="00C84EF0"/>
    <w:rsid w:val="00C8515B"/>
    <w:rsid w:val="00C8563A"/>
    <w:rsid w:val="00C85B5A"/>
    <w:rsid w:val="00C85C9B"/>
    <w:rsid w:val="00C85CAF"/>
    <w:rsid w:val="00C85E38"/>
    <w:rsid w:val="00C85FB7"/>
    <w:rsid w:val="00C8609B"/>
    <w:rsid w:val="00C864D6"/>
    <w:rsid w:val="00C86613"/>
    <w:rsid w:val="00C87039"/>
    <w:rsid w:val="00C87197"/>
    <w:rsid w:val="00C87252"/>
    <w:rsid w:val="00C8725F"/>
    <w:rsid w:val="00C873C6"/>
    <w:rsid w:val="00C876E0"/>
    <w:rsid w:val="00C9015D"/>
    <w:rsid w:val="00C90210"/>
    <w:rsid w:val="00C90564"/>
    <w:rsid w:val="00C90A23"/>
    <w:rsid w:val="00C91182"/>
    <w:rsid w:val="00C91D46"/>
    <w:rsid w:val="00C92047"/>
    <w:rsid w:val="00C9208A"/>
    <w:rsid w:val="00C9215A"/>
    <w:rsid w:val="00C92341"/>
    <w:rsid w:val="00C92B3D"/>
    <w:rsid w:val="00C92D70"/>
    <w:rsid w:val="00C93270"/>
    <w:rsid w:val="00C93538"/>
    <w:rsid w:val="00C93853"/>
    <w:rsid w:val="00C93C4E"/>
    <w:rsid w:val="00C948FC"/>
    <w:rsid w:val="00C94972"/>
    <w:rsid w:val="00C94A2C"/>
    <w:rsid w:val="00C94E8D"/>
    <w:rsid w:val="00C94F79"/>
    <w:rsid w:val="00C95161"/>
    <w:rsid w:val="00C951A1"/>
    <w:rsid w:val="00C95351"/>
    <w:rsid w:val="00C9541A"/>
    <w:rsid w:val="00C95573"/>
    <w:rsid w:val="00C959AB"/>
    <w:rsid w:val="00C95A69"/>
    <w:rsid w:val="00C95CEE"/>
    <w:rsid w:val="00C95D2E"/>
    <w:rsid w:val="00C96101"/>
    <w:rsid w:val="00C963A8"/>
    <w:rsid w:val="00C966B6"/>
    <w:rsid w:val="00C96A04"/>
    <w:rsid w:val="00C96D62"/>
    <w:rsid w:val="00C96DD3"/>
    <w:rsid w:val="00C96EFB"/>
    <w:rsid w:val="00C973AE"/>
    <w:rsid w:val="00C9770A"/>
    <w:rsid w:val="00C97B49"/>
    <w:rsid w:val="00CA0413"/>
    <w:rsid w:val="00CA0600"/>
    <w:rsid w:val="00CA0D90"/>
    <w:rsid w:val="00CA117E"/>
    <w:rsid w:val="00CA12DB"/>
    <w:rsid w:val="00CA1476"/>
    <w:rsid w:val="00CA2715"/>
    <w:rsid w:val="00CA2937"/>
    <w:rsid w:val="00CA2C32"/>
    <w:rsid w:val="00CA2C81"/>
    <w:rsid w:val="00CA2CDE"/>
    <w:rsid w:val="00CA2CFD"/>
    <w:rsid w:val="00CA37A4"/>
    <w:rsid w:val="00CA3A96"/>
    <w:rsid w:val="00CA3AF3"/>
    <w:rsid w:val="00CA3E1D"/>
    <w:rsid w:val="00CA40ED"/>
    <w:rsid w:val="00CA487C"/>
    <w:rsid w:val="00CA4F1C"/>
    <w:rsid w:val="00CA549D"/>
    <w:rsid w:val="00CA55AC"/>
    <w:rsid w:val="00CA55CD"/>
    <w:rsid w:val="00CA57A2"/>
    <w:rsid w:val="00CA5D16"/>
    <w:rsid w:val="00CA62B1"/>
    <w:rsid w:val="00CA6339"/>
    <w:rsid w:val="00CA633D"/>
    <w:rsid w:val="00CA66E1"/>
    <w:rsid w:val="00CA736C"/>
    <w:rsid w:val="00CB0C12"/>
    <w:rsid w:val="00CB0D82"/>
    <w:rsid w:val="00CB1717"/>
    <w:rsid w:val="00CB1882"/>
    <w:rsid w:val="00CB1E23"/>
    <w:rsid w:val="00CB219D"/>
    <w:rsid w:val="00CB21AE"/>
    <w:rsid w:val="00CB2594"/>
    <w:rsid w:val="00CB2935"/>
    <w:rsid w:val="00CB2A2D"/>
    <w:rsid w:val="00CB2C75"/>
    <w:rsid w:val="00CB2F21"/>
    <w:rsid w:val="00CB3715"/>
    <w:rsid w:val="00CB38D5"/>
    <w:rsid w:val="00CB3934"/>
    <w:rsid w:val="00CB3B15"/>
    <w:rsid w:val="00CB3BA7"/>
    <w:rsid w:val="00CB3E6D"/>
    <w:rsid w:val="00CB4967"/>
    <w:rsid w:val="00CB4BB1"/>
    <w:rsid w:val="00CB50F7"/>
    <w:rsid w:val="00CB54E6"/>
    <w:rsid w:val="00CB5F02"/>
    <w:rsid w:val="00CB656E"/>
    <w:rsid w:val="00CB6664"/>
    <w:rsid w:val="00CB667A"/>
    <w:rsid w:val="00CB66D2"/>
    <w:rsid w:val="00CB6B1C"/>
    <w:rsid w:val="00CB6D51"/>
    <w:rsid w:val="00CB6E96"/>
    <w:rsid w:val="00CB72CB"/>
    <w:rsid w:val="00CB792D"/>
    <w:rsid w:val="00CB7A3A"/>
    <w:rsid w:val="00CB7C3E"/>
    <w:rsid w:val="00CB7C68"/>
    <w:rsid w:val="00CB7EE0"/>
    <w:rsid w:val="00CB7FD5"/>
    <w:rsid w:val="00CC03E8"/>
    <w:rsid w:val="00CC0B65"/>
    <w:rsid w:val="00CC171C"/>
    <w:rsid w:val="00CC18E3"/>
    <w:rsid w:val="00CC1C98"/>
    <w:rsid w:val="00CC1CA1"/>
    <w:rsid w:val="00CC21DB"/>
    <w:rsid w:val="00CC256A"/>
    <w:rsid w:val="00CC265D"/>
    <w:rsid w:val="00CC3493"/>
    <w:rsid w:val="00CC367F"/>
    <w:rsid w:val="00CC38D7"/>
    <w:rsid w:val="00CC396D"/>
    <w:rsid w:val="00CC3D87"/>
    <w:rsid w:val="00CC4881"/>
    <w:rsid w:val="00CC4A0B"/>
    <w:rsid w:val="00CC4A81"/>
    <w:rsid w:val="00CC4F4A"/>
    <w:rsid w:val="00CC5895"/>
    <w:rsid w:val="00CC59FA"/>
    <w:rsid w:val="00CC5C46"/>
    <w:rsid w:val="00CC6011"/>
    <w:rsid w:val="00CC7575"/>
    <w:rsid w:val="00CC786B"/>
    <w:rsid w:val="00CD0F91"/>
    <w:rsid w:val="00CD1095"/>
    <w:rsid w:val="00CD1A07"/>
    <w:rsid w:val="00CD1FA3"/>
    <w:rsid w:val="00CD2D4A"/>
    <w:rsid w:val="00CD2D5C"/>
    <w:rsid w:val="00CD3002"/>
    <w:rsid w:val="00CD345B"/>
    <w:rsid w:val="00CD39BA"/>
    <w:rsid w:val="00CD3BD3"/>
    <w:rsid w:val="00CD3F6E"/>
    <w:rsid w:val="00CD4492"/>
    <w:rsid w:val="00CD4786"/>
    <w:rsid w:val="00CD47CF"/>
    <w:rsid w:val="00CD4B0E"/>
    <w:rsid w:val="00CD4C4D"/>
    <w:rsid w:val="00CD503C"/>
    <w:rsid w:val="00CD5EB8"/>
    <w:rsid w:val="00CD5FC2"/>
    <w:rsid w:val="00CD6322"/>
    <w:rsid w:val="00CD7015"/>
    <w:rsid w:val="00CD70DF"/>
    <w:rsid w:val="00CD757E"/>
    <w:rsid w:val="00CD764F"/>
    <w:rsid w:val="00CD76EB"/>
    <w:rsid w:val="00CD7749"/>
    <w:rsid w:val="00CD7893"/>
    <w:rsid w:val="00CD7B37"/>
    <w:rsid w:val="00CD7F3B"/>
    <w:rsid w:val="00CE00E8"/>
    <w:rsid w:val="00CE07B8"/>
    <w:rsid w:val="00CE11F9"/>
    <w:rsid w:val="00CE1429"/>
    <w:rsid w:val="00CE1BA5"/>
    <w:rsid w:val="00CE2497"/>
    <w:rsid w:val="00CE2B37"/>
    <w:rsid w:val="00CE33A2"/>
    <w:rsid w:val="00CE35C1"/>
    <w:rsid w:val="00CE393F"/>
    <w:rsid w:val="00CE41CD"/>
    <w:rsid w:val="00CE4797"/>
    <w:rsid w:val="00CE47CA"/>
    <w:rsid w:val="00CE49C3"/>
    <w:rsid w:val="00CE4FAA"/>
    <w:rsid w:val="00CE4FE2"/>
    <w:rsid w:val="00CE5F9F"/>
    <w:rsid w:val="00CE64E2"/>
    <w:rsid w:val="00CE6658"/>
    <w:rsid w:val="00CE67CE"/>
    <w:rsid w:val="00CE6F10"/>
    <w:rsid w:val="00CE7150"/>
    <w:rsid w:val="00CE7197"/>
    <w:rsid w:val="00CE7631"/>
    <w:rsid w:val="00CE79A3"/>
    <w:rsid w:val="00CE7C58"/>
    <w:rsid w:val="00CE7D29"/>
    <w:rsid w:val="00CE7DCA"/>
    <w:rsid w:val="00CF006A"/>
    <w:rsid w:val="00CF00A9"/>
    <w:rsid w:val="00CF0282"/>
    <w:rsid w:val="00CF0A5C"/>
    <w:rsid w:val="00CF0AE2"/>
    <w:rsid w:val="00CF0EE5"/>
    <w:rsid w:val="00CF1166"/>
    <w:rsid w:val="00CF142D"/>
    <w:rsid w:val="00CF1501"/>
    <w:rsid w:val="00CF17E1"/>
    <w:rsid w:val="00CF1F4D"/>
    <w:rsid w:val="00CF201A"/>
    <w:rsid w:val="00CF25AA"/>
    <w:rsid w:val="00CF2768"/>
    <w:rsid w:val="00CF2BC3"/>
    <w:rsid w:val="00CF2D55"/>
    <w:rsid w:val="00CF31B4"/>
    <w:rsid w:val="00CF378F"/>
    <w:rsid w:val="00CF408E"/>
    <w:rsid w:val="00CF41FF"/>
    <w:rsid w:val="00CF4685"/>
    <w:rsid w:val="00CF5135"/>
    <w:rsid w:val="00CF5475"/>
    <w:rsid w:val="00CF5785"/>
    <w:rsid w:val="00CF5B57"/>
    <w:rsid w:val="00CF61BF"/>
    <w:rsid w:val="00CF69F4"/>
    <w:rsid w:val="00CF6D21"/>
    <w:rsid w:val="00CF704D"/>
    <w:rsid w:val="00CF743E"/>
    <w:rsid w:val="00CF76AB"/>
    <w:rsid w:val="00CF78C3"/>
    <w:rsid w:val="00CF7C1A"/>
    <w:rsid w:val="00D00306"/>
    <w:rsid w:val="00D00CEA"/>
    <w:rsid w:val="00D01105"/>
    <w:rsid w:val="00D01223"/>
    <w:rsid w:val="00D01521"/>
    <w:rsid w:val="00D015A8"/>
    <w:rsid w:val="00D01639"/>
    <w:rsid w:val="00D016C4"/>
    <w:rsid w:val="00D01A4A"/>
    <w:rsid w:val="00D01AF3"/>
    <w:rsid w:val="00D01BB9"/>
    <w:rsid w:val="00D01C63"/>
    <w:rsid w:val="00D021E7"/>
    <w:rsid w:val="00D02663"/>
    <w:rsid w:val="00D02E0F"/>
    <w:rsid w:val="00D036F0"/>
    <w:rsid w:val="00D0413F"/>
    <w:rsid w:val="00D04A0A"/>
    <w:rsid w:val="00D0503E"/>
    <w:rsid w:val="00D0504C"/>
    <w:rsid w:val="00D05087"/>
    <w:rsid w:val="00D05166"/>
    <w:rsid w:val="00D052CF"/>
    <w:rsid w:val="00D05329"/>
    <w:rsid w:val="00D0627C"/>
    <w:rsid w:val="00D0665F"/>
    <w:rsid w:val="00D06822"/>
    <w:rsid w:val="00D068FC"/>
    <w:rsid w:val="00D07054"/>
    <w:rsid w:val="00D07C26"/>
    <w:rsid w:val="00D07DC1"/>
    <w:rsid w:val="00D10495"/>
    <w:rsid w:val="00D1061D"/>
    <w:rsid w:val="00D1075C"/>
    <w:rsid w:val="00D10DD4"/>
    <w:rsid w:val="00D10F04"/>
    <w:rsid w:val="00D110C0"/>
    <w:rsid w:val="00D1122B"/>
    <w:rsid w:val="00D1122E"/>
    <w:rsid w:val="00D13433"/>
    <w:rsid w:val="00D138A4"/>
    <w:rsid w:val="00D13E75"/>
    <w:rsid w:val="00D14C5A"/>
    <w:rsid w:val="00D15285"/>
    <w:rsid w:val="00D156AA"/>
    <w:rsid w:val="00D15A1A"/>
    <w:rsid w:val="00D15FAA"/>
    <w:rsid w:val="00D160DB"/>
    <w:rsid w:val="00D1634F"/>
    <w:rsid w:val="00D163D9"/>
    <w:rsid w:val="00D1649B"/>
    <w:rsid w:val="00D166C6"/>
    <w:rsid w:val="00D16C22"/>
    <w:rsid w:val="00D17544"/>
    <w:rsid w:val="00D1760E"/>
    <w:rsid w:val="00D179C8"/>
    <w:rsid w:val="00D17F58"/>
    <w:rsid w:val="00D200ED"/>
    <w:rsid w:val="00D2019B"/>
    <w:rsid w:val="00D201A8"/>
    <w:rsid w:val="00D2020E"/>
    <w:rsid w:val="00D202B3"/>
    <w:rsid w:val="00D20315"/>
    <w:rsid w:val="00D2070E"/>
    <w:rsid w:val="00D20DD2"/>
    <w:rsid w:val="00D21380"/>
    <w:rsid w:val="00D21774"/>
    <w:rsid w:val="00D21840"/>
    <w:rsid w:val="00D21C08"/>
    <w:rsid w:val="00D21D1C"/>
    <w:rsid w:val="00D21F8D"/>
    <w:rsid w:val="00D2206A"/>
    <w:rsid w:val="00D224FA"/>
    <w:rsid w:val="00D231F7"/>
    <w:rsid w:val="00D23224"/>
    <w:rsid w:val="00D2331E"/>
    <w:rsid w:val="00D23B58"/>
    <w:rsid w:val="00D23D50"/>
    <w:rsid w:val="00D24240"/>
    <w:rsid w:val="00D24256"/>
    <w:rsid w:val="00D24576"/>
    <w:rsid w:val="00D24C9A"/>
    <w:rsid w:val="00D25E97"/>
    <w:rsid w:val="00D26ADA"/>
    <w:rsid w:val="00D26AF7"/>
    <w:rsid w:val="00D26C16"/>
    <w:rsid w:val="00D27510"/>
    <w:rsid w:val="00D279E7"/>
    <w:rsid w:val="00D27B93"/>
    <w:rsid w:val="00D3007C"/>
    <w:rsid w:val="00D30296"/>
    <w:rsid w:val="00D30496"/>
    <w:rsid w:val="00D30AC1"/>
    <w:rsid w:val="00D30CEA"/>
    <w:rsid w:val="00D31308"/>
    <w:rsid w:val="00D31886"/>
    <w:rsid w:val="00D318B6"/>
    <w:rsid w:val="00D31AB1"/>
    <w:rsid w:val="00D3206E"/>
    <w:rsid w:val="00D3215F"/>
    <w:rsid w:val="00D32739"/>
    <w:rsid w:val="00D32BD0"/>
    <w:rsid w:val="00D32DA1"/>
    <w:rsid w:val="00D33328"/>
    <w:rsid w:val="00D3366E"/>
    <w:rsid w:val="00D33D58"/>
    <w:rsid w:val="00D34BBA"/>
    <w:rsid w:val="00D35F4D"/>
    <w:rsid w:val="00D36050"/>
    <w:rsid w:val="00D361EF"/>
    <w:rsid w:val="00D361FF"/>
    <w:rsid w:val="00D36221"/>
    <w:rsid w:val="00D36329"/>
    <w:rsid w:val="00D365C7"/>
    <w:rsid w:val="00D3668E"/>
    <w:rsid w:val="00D366DC"/>
    <w:rsid w:val="00D36AD4"/>
    <w:rsid w:val="00D36CA3"/>
    <w:rsid w:val="00D373F3"/>
    <w:rsid w:val="00D374AC"/>
    <w:rsid w:val="00D3788E"/>
    <w:rsid w:val="00D37B26"/>
    <w:rsid w:val="00D37D03"/>
    <w:rsid w:val="00D37DBE"/>
    <w:rsid w:val="00D4027F"/>
    <w:rsid w:val="00D403A9"/>
    <w:rsid w:val="00D408D8"/>
    <w:rsid w:val="00D40B69"/>
    <w:rsid w:val="00D40C41"/>
    <w:rsid w:val="00D40E45"/>
    <w:rsid w:val="00D410C2"/>
    <w:rsid w:val="00D415F9"/>
    <w:rsid w:val="00D41832"/>
    <w:rsid w:val="00D41F7A"/>
    <w:rsid w:val="00D421F1"/>
    <w:rsid w:val="00D423B4"/>
    <w:rsid w:val="00D434A2"/>
    <w:rsid w:val="00D437D8"/>
    <w:rsid w:val="00D43B9D"/>
    <w:rsid w:val="00D43EA6"/>
    <w:rsid w:val="00D4402C"/>
    <w:rsid w:val="00D4426E"/>
    <w:rsid w:val="00D44F65"/>
    <w:rsid w:val="00D45083"/>
    <w:rsid w:val="00D45732"/>
    <w:rsid w:val="00D459D3"/>
    <w:rsid w:val="00D45F45"/>
    <w:rsid w:val="00D45FBE"/>
    <w:rsid w:val="00D4673C"/>
    <w:rsid w:val="00D46908"/>
    <w:rsid w:val="00D4693D"/>
    <w:rsid w:val="00D46A0F"/>
    <w:rsid w:val="00D46C1C"/>
    <w:rsid w:val="00D46FD3"/>
    <w:rsid w:val="00D475B6"/>
    <w:rsid w:val="00D477CE"/>
    <w:rsid w:val="00D47A29"/>
    <w:rsid w:val="00D47CC4"/>
    <w:rsid w:val="00D47FC3"/>
    <w:rsid w:val="00D50304"/>
    <w:rsid w:val="00D5061F"/>
    <w:rsid w:val="00D50810"/>
    <w:rsid w:val="00D50F4F"/>
    <w:rsid w:val="00D5193D"/>
    <w:rsid w:val="00D51E03"/>
    <w:rsid w:val="00D51E70"/>
    <w:rsid w:val="00D52175"/>
    <w:rsid w:val="00D5304B"/>
    <w:rsid w:val="00D530CF"/>
    <w:rsid w:val="00D53387"/>
    <w:rsid w:val="00D533D2"/>
    <w:rsid w:val="00D5397C"/>
    <w:rsid w:val="00D539AD"/>
    <w:rsid w:val="00D53B62"/>
    <w:rsid w:val="00D53BED"/>
    <w:rsid w:val="00D54066"/>
    <w:rsid w:val="00D543B1"/>
    <w:rsid w:val="00D55154"/>
    <w:rsid w:val="00D5522D"/>
    <w:rsid w:val="00D55379"/>
    <w:rsid w:val="00D555A2"/>
    <w:rsid w:val="00D55908"/>
    <w:rsid w:val="00D55A88"/>
    <w:rsid w:val="00D56476"/>
    <w:rsid w:val="00D564C0"/>
    <w:rsid w:val="00D56AF4"/>
    <w:rsid w:val="00D56D05"/>
    <w:rsid w:val="00D57495"/>
    <w:rsid w:val="00D57916"/>
    <w:rsid w:val="00D602B1"/>
    <w:rsid w:val="00D602EF"/>
    <w:rsid w:val="00D6052A"/>
    <w:rsid w:val="00D607F7"/>
    <w:rsid w:val="00D60BB2"/>
    <w:rsid w:val="00D60C85"/>
    <w:rsid w:val="00D60DB8"/>
    <w:rsid w:val="00D618B5"/>
    <w:rsid w:val="00D61C80"/>
    <w:rsid w:val="00D61DD5"/>
    <w:rsid w:val="00D620BE"/>
    <w:rsid w:val="00D62343"/>
    <w:rsid w:val="00D62660"/>
    <w:rsid w:val="00D627CE"/>
    <w:rsid w:val="00D627F5"/>
    <w:rsid w:val="00D62D7E"/>
    <w:rsid w:val="00D6301D"/>
    <w:rsid w:val="00D639F3"/>
    <w:rsid w:val="00D63D90"/>
    <w:rsid w:val="00D63FAF"/>
    <w:rsid w:val="00D64178"/>
    <w:rsid w:val="00D641AB"/>
    <w:rsid w:val="00D64A34"/>
    <w:rsid w:val="00D64F5F"/>
    <w:rsid w:val="00D652BD"/>
    <w:rsid w:val="00D65339"/>
    <w:rsid w:val="00D65B39"/>
    <w:rsid w:val="00D65DBA"/>
    <w:rsid w:val="00D66280"/>
    <w:rsid w:val="00D66B87"/>
    <w:rsid w:val="00D66C9D"/>
    <w:rsid w:val="00D673D5"/>
    <w:rsid w:val="00D67D62"/>
    <w:rsid w:val="00D70305"/>
    <w:rsid w:val="00D70629"/>
    <w:rsid w:val="00D7086C"/>
    <w:rsid w:val="00D70E2F"/>
    <w:rsid w:val="00D7120C"/>
    <w:rsid w:val="00D71362"/>
    <w:rsid w:val="00D71F23"/>
    <w:rsid w:val="00D724FF"/>
    <w:rsid w:val="00D7285F"/>
    <w:rsid w:val="00D72A65"/>
    <w:rsid w:val="00D72B46"/>
    <w:rsid w:val="00D7381B"/>
    <w:rsid w:val="00D7399E"/>
    <w:rsid w:val="00D73CEE"/>
    <w:rsid w:val="00D74245"/>
    <w:rsid w:val="00D7542D"/>
    <w:rsid w:val="00D75434"/>
    <w:rsid w:val="00D75493"/>
    <w:rsid w:val="00D75519"/>
    <w:rsid w:val="00D75567"/>
    <w:rsid w:val="00D75D8B"/>
    <w:rsid w:val="00D76684"/>
    <w:rsid w:val="00D775E6"/>
    <w:rsid w:val="00D77878"/>
    <w:rsid w:val="00D77F0A"/>
    <w:rsid w:val="00D77F91"/>
    <w:rsid w:val="00D802AF"/>
    <w:rsid w:val="00D8038A"/>
    <w:rsid w:val="00D803CD"/>
    <w:rsid w:val="00D81089"/>
    <w:rsid w:val="00D812E6"/>
    <w:rsid w:val="00D81494"/>
    <w:rsid w:val="00D81736"/>
    <w:rsid w:val="00D81E27"/>
    <w:rsid w:val="00D82C5D"/>
    <w:rsid w:val="00D83005"/>
    <w:rsid w:val="00D83464"/>
    <w:rsid w:val="00D83C90"/>
    <w:rsid w:val="00D83E4B"/>
    <w:rsid w:val="00D83ED2"/>
    <w:rsid w:val="00D84096"/>
    <w:rsid w:val="00D844CC"/>
    <w:rsid w:val="00D851F9"/>
    <w:rsid w:val="00D8549E"/>
    <w:rsid w:val="00D8594B"/>
    <w:rsid w:val="00D85BD3"/>
    <w:rsid w:val="00D85CB2"/>
    <w:rsid w:val="00D85F27"/>
    <w:rsid w:val="00D860F3"/>
    <w:rsid w:val="00D86587"/>
    <w:rsid w:val="00D86891"/>
    <w:rsid w:val="00D86FDA"/>
    <w:rsid w:val="00D87C11"/>
    <w:rsid w:val="00D87C41"/>
    <w:rsid w:val="00D90179"/>
    <w:rsid w:val="00D90293"/>
    <w:rsid w:val="00D90327"/>
    <w:rsid w:val="00D904F5"/>
    <w:rsid w:val="00D90873"/>
    <w:rsid w:val="00D90B44"/>
    <w:rsid w:val="00D9149C"/>
    <w:rsid w:val="00D914A2"/>
    <w:rsid w:val="00D91C4B"/>
    <w:rsid w:val="00D91FA1"/>
    <w:rsid w:val="00D92CD5"/>
    <w:rsid w:val="00D92FBE"/>
    <w:rsid w:val="00D9304A"/>
    <w:rsid w:val="00D93475"/>
    <w:rsid w:val="00D93563"/>
    <w:rsid w:val="00D937FA"/>
    <w:rsid w:val="00D93A39"/>
    <w:rsid w:val="00D93DA1"/>
    <w:rsid w:val="00D943AB"/>
    <w:rsid w:val="00D945CA"/>
    <w:rsid w:val="00D946CC"/>
    <w:rsid w:val="00D94A88"/>
    <w:rsid w:val="00D94DFE"/>
    <w:rsid w:val="00D94F19"/>
    <w:rsid w:val="00D9534F"/>
    <w:rsid w:val="00D95457"/>
    <w:rsid w:val="00D95B41"/>
    <w:rsid w:val="00D962F4"/>
    <w:rsid w:val="00D964D6"/>
    <w:rsid w:val="00D965E9"/>
    <w:rsid w:val="00D96778"/>
    <w:rsid w:val="00D97069"/>
    <w:rsid w:val="00D9721F"/>
    <w:rsid w:val="00D9746B"/>
    <w:rsid w:val="00D97865"/>
    <w:rsid w:val="00D978D1"/>
    <w:rsid w:val="00D97983"/>
    <w:rsid w:val="00D97B13"/>
    <w:rsid w:val="00D97BDA"/>
    <w:rsid w:val="00D97C32"/>
    <w:rsid w:val="00D97CA0"/>
    <w:rsid w:val="00D97E9A"/>
    <w:rsid w:val="00DA00AB"/>
    <w:rsid w:val="00DA0D9C"/>
    <w:rsid w:val="00DA1885"/>
    <w:rsid w:val="00DA2201"/>
    <w:rsid w:val="00DA2AEE"/>
    <w:rsid w:val="00DA2EF2"/>
    <w:rsid w:val="00DA3678"/>
    <w:rsid w:val="00DA39F7"/>
    <w:rsid w:val="00DA3B8D"/>
    <w:rsid w:val="00DA43B8"/>
    <w:rsid w:val="00DA46E0"/>
    <w:rsid w:val="00DA4ABC"/>
    <w:rsid w:val="00DA507D"/>
    <w:rsid w:val="00DA5940"/>
    <w:rsid w:val="00DA61D2"/>
    <w:rsid w:val="00DA6479"/>
    <w:rsid w:val="00DA686F"/>
    <w:rsid w:val="00DA6C07"/>
    <w:rsid w:val="00DA6FBD"/>
    <w:rsid w:val="00DB0A35"/>
    <w:rsid w:val="00DB0EE4"/>
    <w:rsid w:val="00DB0F0B"/>
    <w:rsid w:val="00DB10CC"/>
    <w:rsid w:val="00DB10DC"/>
    <w:rsid w:val="00DB1145"/>
    <w:rsid w:val="00DB13C4"/>
    <w:rsid w:val="00DB1618"/>
    <w:rsid w:val="00DB1938"/>
    <w:rsid w:val="00DB1A47"/>
    <w:rsid w:val="00DB1DF8"/>
    <w:rsid w:val="00DB2855"/>
    <w:rsid w:val="00DB325D"/>
    <w:rsid w:val="00DB35AF"/>
    <w:rsid w:val="00DB36D8"/>
    <w:rsid w:val="00DB3AD6"/>
    <w:rsid w:val="00DB3DF6"/>
    <w:rsid w:val="00DB44D5"/>
    <w:rsid w:val="00DB4D31"/>
    <w:rsid w:val="00DB514B"/>
    <w:rsid w:val="00DB51CC"/>
    <w:rsid w:val="00DB52EC"/>
    <w:rsid w:val="00DB53DF"/>
    <w:rsid w:val="00DB5B07"/>
    <w:rsid w:val="00DB6035"/>
    <w:rsid w:val="00DB627E"/>
    <w:rsid w:val="00DB660E"/>
    <w:rsid w:val="00DB73F4"/>
    <w:rsid w:val="00DB7BE5"/>
    <w:rsid w:val="00DB7C65"/>
    <w:rsid w:val="00DC03A0"/>
    <w:rsid w:val="00DC0C0C"/>
    <w:rsid w:val="00DC1411"/>
    <w:rsid w:val="00DC1446"/>
    <w:rsid w:val="00DC1770"/>
    <w:rsid w:val="00DC1B44"/>
    <w:rsid w:val="00DC1DC4"/>
    <w:rsid w:val="00DC2284"/>
    <w:rsid w:val="00DC243C"/>
    <w:rsid w:val="00DC25D4"/>
    <w:rsid w:val="00DC2691"/>
    <w:rsid w:val="00DC343E"/>
    <w:rsid w:val="00DC3815"/>
    <w:rsid w:val="00DC3C21"/>
    <w:rsid w:val="00DC4217"/>
    <w:rsid w:val="00DC4223"/>
    <w:rsid w:val="00DC4BCB"/>
    <w:rsid w:val="00DC4DFE"/>
    <w:rsid w:val="00DC5458"/>
    <w:rsid w:val="00DC55CF"/>
    <w:rsid w:val="00DC5E90"/>
    <w:rsid w:val="00DC5EEE"/>
    <w:rsid w:val="00DC5F45"/>
    <w:rsid w:val="00DC608C"/>
    <w:rsid w:val="00DC6D6B"/>
    <w:rsid w:val="00DC754F"/>
    <w:rsid w:val="00DC7967"/>
    <w:rsid w:val="00DC7AD6"/>
    <w:rsid w:val="00DC7BF6"/>
    <w:rsid w:val="00DD008D"/>
    <w:rsid w:val="00DD014A"/>
    <w:rsid w:val="00DD04DE"/>
    <w:rsid w:val="00DD05E8"/>
    <w:rsid w:val="00DD07EE"/>
    <w:rsid w:val="00DD1067"/>
    <w:rsid w:val="00DD1633"/>
    <w:rsid w:val="00DD17C8"/>
    <w:rsid w:val="00DD1AF5"/>
    <w:rsid w:val="00DD1D80"/>
    <w:rsid w:val="00DD1E4B"/>
    <w:rsid w:val="00DD1F38"/>
    <w:rsid w:val="00DD2637"/>
    <w:rsid w:val="00DD2F30"/>
    <w:rsid w:val="00DD3288"/>
    <w:rsid w:val="00DD349C"/>
    <w:rsid w:val="00DD3E0C"/>
    <w:rsid w:val="00DD4076"/>
    <w:rsid w:val="00DD4632"/>
    <w:rsid w:val="00DD4722"/>
    <w:rsid w:val="00DD497F"/>
    <w:rsid w:val="00DD498D"/>
    <w:rsid w:val="00DD4DC0"/>
    <w:rsid w:val="00DD5086"/>
    <w:rsid w:val="00DD5555"/>
    <w:rsid w:val="00DD57BD"/>
    <w:rsid w:val="00DD6102"/>
    <w:rsid w:val="00DD761F"/>
    <w:rsid w:val="00DD7ECB"/>
    <w:rsid w:val="00DE0444"/>
    <w:rsid w:val="00DE0728"/>
    <w:rsid w:val="00DE0BD2"/>
    <w:rsid w:val="00DE11A1"/>
    <w:rsid w:val="00DE16B4"/>
    <w:rsid w:val="00DE1734"/>
    <w:rsid w:val="00DE19F4"/>
    <w:rsid w:val="00DE1A79"/>
    <w:rsid w:val="00DE1A99"/>
    <w:rsid w:val="00DE1C20"/>
    <w:rsid w:val="00DE1FA5"/>
    <w:rsid w:val="00DE2AFA"/>
    <w:rsid w:val="00DE3592"/>
    <w:rsid w:val="00DE35E9"/>
    <w:rsid w:val="00DE3603"/>
    <w:rsid w:val="00DE47DB"/>
    <w:rsid w:val="00DE5440"/>
    <w:rsid w:val="00DE5A12"/>
    <w:rsid w:val="00DE6A5B"/>
    <w:rsid w:val="00DE7754"/>
    <w:rsid w:val="00DE7BAB"/>
    <w:rsid w:val="00DE7CEF"/>
    <w:rsid w:val="00DE7DCF"/>
    <w:rsid w:val="00DE7F1B"/>
    <w:rsid w:val="00DE7F4D"/>
    <w:rsid w:val="00DF00EC"/>
    <w:rsid w:val="00DF070B"/>
    <w:rsid w:val="00DF08FA"/>
    <w:rsid w:val="00DF0F61"/>
    <w:rsid w:val="00DF0FC6"/>
    <w:rsid w:val="00DF1CDE"/>
    <w:rsid w:val="00DF1CF5"/>
    <w:rsid w:val="00DF1DF5"/>
    <w:rsid w:val="00DF21D5"/>
    <w:rsid w:val="00DF2A63"/>
    <w:rsid w:val="00DF2BA8"/>
    <w:rsid w:val="00DF2C62"/>
    <w:rsid w:val="00DF332E"/>
    <w:rsid w:val="00DF3413"/>
    <w:rsid w:val="00DF5527"/>
    <w:rsid w:val="00DF5EB5"/>
    <w:rsid w:val="00DF5FE8"/>
    <w:rsid w:val="00DF60F1"/>
    <w:rsid w:val="00DF68D7"/>
    <w:rsid w:val="00DF6A5B"/>
    <w:rsid w:val="00DF6D7A"/>
    <w:rsid w:val="00DF7277"/>
    <w:rsid w:val="00E002CB"/>
    <w:rsid w:val="00E002E7"/>
    <w:rsid w:val="00E004FF"/>
    <w:rsid w:val="00E00858"/>
    <w:rsid w:val="00E00989"/>
    <w:rsid w:val="00E00C4B"/>
    <w:rsid w:val="00E01381"/>
    <w:rsid w:val="00E01467"/>
    <w:rsid w:val="00E01CAC"/>
    <w:rsid w:val="00E021E4"/>
    <w:rsid w:val="00E024FF"/>
    <w:rsid w:val="00E03140"/>
    <w:rsid w:val="00E034A0"/>
    <w:rsid w:val="00E03ABC"/>
    <w:rsid w:val="00E03BB9"/>
    <w:rsid w:val="00E04076"/>
    <w:rsid w:val="00E04A74"/>
    <w:rsid w:val="00E04AAD"/>
    <w:rsid w:val="00E04BD1"/>
    <w:rsid w:val="00E052E7"/>
    <w:rsid w:val="00E057A7"/>
    <w:rsid w:val="00E058BD"/>
    <w:rsid w:val="00E0596A"/>
    <w:rsid w:val="00E05E52"/>
    <w:rsid w:val="00E05F76"/>
    <w:rsid w:val="00E060D7"/>
    <w:rsid w:val="00E0620A"/>
    <w:rsid w:val="00E06520"/>
    <w:rsid w:val="00E066E7"/>
    <w:rsid w:val="00E0681B"/>
    <w:rsid w:val="00E06AE8"/>
    <w:rsid w:val="00E06FCB"/>
    <w:rsid w:val="00E070A3"/>
    <w:rsid w:val="00E10310"/>
    <w:rsid w:val="00E10950"/>
    <w:rsid w:val="00E10E26"/>
    <w:rsid w:val="00E1105E"/>
    <w:rsid w:val="00E11330"/>
    <w:rsid w:val="00E11442"/>
    <w:rsid w:val="00E11546"/>
    <w:rsid w:val="00E11674"/>
    <w:rsid w:val="00E117D5"/>
    <w:rsid w:val="00E11BE6"/>
    <w:rsid w:val="00E11F66"/>
    <w:rsid w:val="00E12462"/>
    <w:rsid w:val="00E12811"/>
    <w:rsid w:val="00E12EA9"/>
    <w:rsid w:val="00E130E4"/>
    <w:rsid w:val="00E13724"/>
    <w:rsid w:val="00E13A6D"/>
    <w:rsid w:val="00E1402D"/>
    <w:rsid w:val="00E14166"/>
    <w:rsid w:val="00E1476A"/>
    <w:rsid w:val="00E1494D"/>
    <w:rsid w:val="00E14B8C"/>
    <w:rsid w:val="00E14E78"/>
    <w:rsid w:val="00E15FF7"/>
    <w:rsid w:val="00E161B9"/>
    <w:rsid w:val="00E16315"/>
    <w:rsid w:val="00E163B4"/>
    <w:rsid w:val="00E16519"/>
    <w:rsid w:val="00E1695B"/>
    <w:rsid w:val="00E16B2D"/>
    <w:rsid w:val="00E16C79"/>
    <w:rsid w:val="00E16D2F"/>
    <w:rsid w:val="00E1725C"/>
    <w:rsid w:val="00E177C7"/>
    <w:rsid w:val="00E17B4A"/>
    <w:rsid w:val="00E17E63"/>
    <w:rsid w:val="00E200B1"/>
    <w:rsid w:val="00E2011B"/>
    <w:rsid w:val="00E201FE"/>
    <w:rsid w:val="00E20373"/>
    <w:rsid w:val="00E203BC"/>
    <w:rsid w:val="00E20459"/>
    <w:rsid w:val="00E20469"/>
    <w:rsid w:val="00E20AF7"/>
    <w:rsid w:val="00E20D7C"/>
    <w:rsid w:val="00E210E4"/>
    <w:rsid w:val="00E21219"/>
    <w:rsid w:val="00E21389"/>
    <w:rsid w:val="00E2161B"/>
    <w:rsid w:val="00E220FF"/>
    <w:rsid w:val="00E22533"/>
    <w:rsid w:val="00E225D8"/>
    <w:rsid w:val="00E22753"/>
    <w:rsid w:val="00E22C72"/>
    <w:rsid w:val="00E2322A"/>
    <w:rsid w:val="00E233A7"/>
    <w:rsid w:val="00E23709"/>
    <w:rsid w:val="00E24106"/>
    <w:rsid w:val="00E2412D"/>
    <w:rsid w:val="00E24525"/>
    <w:rsid w:val="00E24905"/>
    <w:rsid w:val="00E24C9D"/>
    <w:rsid w:val="00E24CFB"/>
    <w:rsid w:val="00E2549F"/>
    <w:rsid w:val="00E2567F"/>
    <w:rsid w:val="00E25788"/>
    <w:rsid w:val="00E25A04"/>
    <w:rsid w:val="00E25D9C"/>
    <w:rsid w:val="00E2639B"/>
    <w:rsid w:val="00E269CC"/>
    <w:rsid w:val="00E26A9E"/>
    <w:rsid w:val="00E26BEE"/>
    <w:rsid w:val="00E26D80"/>
    <w:rsid w:val="00E2760D"/>
    <w:rsid w:val="00E2790B"/>
    <w:rsid w:val="00E27DA4"/>
    <w:rsid w:val="00E27F17"/>
    <w:rsid w:val="00E305B9"/>
    <w:rsid w:val="00E30600"/>
    <w:rsid w:val="00E307BC"/>
    <w:rsid w:val="00E30A78"/>
    <w:rsid w:val="00E30EF2"/>
    <w:rsid w:val="00E3163E"/>
    <w:rsid w:val="00E3190E"/>
    <w:rsid w:val="00E31948"/>
    <w:rsid w:val="00E320E6"/>
    <w:rsid w:val="00E324BA"/>
    <w:rsid w:val="00E32AF2"/>
    <w:rsid w:val="00E32B2A"/>
    <w:rsid w:val="00E32D13"/>
    <w:rsid w:val="00E32E4A"/>
    <w:rsid w:val="00E33201"/>
    <w:rsid w:val="00E3322B"/>
    <w:rsid w:val="00E33357"/>
    <w:rsid w:val="00E33375"/>
    <w:rsid w:val="00E34303"/>
    <w:rsid w:val="00E344D2"/>
    <w:rsid w:val="00E3476E"/>
    <w:rsid w:val="00E34802"/>
    <w:rsid w:val="00E34EC0"/>
    <w:rsid w:val="00E3574D"/>
    <w:rsid w:val="00E3579E"/>
    <w:rsid w:val="00E358E7"/>
    <w:rsid w:val="00E3591B"/>
    <w:rsid w:val="00E35CC0"/>
    <w:rsid w:val="00E35D62"/>
    <w:rsid w:val="00E35D73"/>
    <w:rsid w:val="00E36490"/>
    <w:rsid w:val="00E368D9"/>
    <w:rsid w:val="00E36E50"/>
    <w:rsid w:val="00E371DC"/>
    <w:rsid w:val="00E37543"/>
    <w:rsid w:val="00E377E5"/>
    <w:rsid w:val="00E3781B"/>
    <w:rsid w:val="00E37ACA"/>
    <w:rsid w:val="00E37C89"/>
    <w:rsid w:val="00E37F49"/>
    <w:rsid w:val="00E37FA1"/>
    <w:rsid w:val="00E4035A"/>
    <w:rsid w:val="00E40702"/>
    <w:rsid w:val="00E41361"/>
    <w:rsid w:val="00E41601"/>
    <w:rsid w:val="00E41688"/>
    <w:rsid w:val="00E41751"/>
    <w:rsid w:val="00E417C1"/>
    <w:rsid w:val="00E41883"/>
    <w:rsid w:val="00E41BB4"/>
    <w:rsid w:val="00E41C52"/>
    <w:rsid w:val="00E41D43"/>
    <w:rsid w:val="00E41D5E"/>
    <w:rsid w:val="00E4293F"/>
    <w:rsid w:val="00E42F3E"/>
    <w:rsid w:val="00E43948"/>
    <w:rsid w:val="00E4398E"/>
    <w:rsid w:val="00E43B22"/>
    <w:rsid w:val="00E43CD3"/>
    <w:rsid w:val="00E443D5"/>
    <w:rsid w:val="00E44840"/>
    <w:rsid w:val="00E4505A"/>
    <w:rsid w:val="00E4515C"/>
    <w:rsid w:val="00E45988"/>
    <w:rsid w:val="00E45B0D"/>
    <w:rsid w:val="00E45DD0"/>
    <w:rsid w:val="00E45F4D"/>
    <w:rsid w:val="00E45F8C"/>
    <w:rsid w:val="00E462E6"/>
    <w:rsid w:val="00E4636F"/>
    <w:rsid w:val="00E46AE8"/>
    <w:rsid w:val="00E471FA"/>
    <w:rsid w:val="00E47533"/>
    <w:rsid w:val="00E47777"/>
    <w:rsid w:val="00E50189"/>
    <w:rsid w:val="00E501BA"/>
    <w:rsid w:val="00E50612"/>
    <w:rsid w:val="00E50C8D"/>
    <w:rsid w:val="00E51970"/>
    <w:rsid w:val="00E51FD2"/>
    <w:rsid w:val="00E5203A"/>
    <w:rsid w:val="00E52170"/>
    <w:rsid w:val="00E5255D"/>
    <w:rsid w:val="00E525A9"/>
    <w:rsid w:val="00E52685"/>
    <w:rsid w:val="00E52993"/>
    <w:rsid w:val="00E52B60"/>
    <w:rsid w:val="00E53B62"/>
    <w:rsid w:val="00E54282"/>
    <w:rsid w:val="00E54609"/>
    <w:rsid w:val="00E5473E"/>
    <w:rsid w:val="00E5493E"/>
    <w:rsid w:val="00E54F54"/>
    <w:rsid w:val="00E55081"/>
    <w:rsid w:val="00E55AEE"/>
    <w:rsid w:val="00E560DB"/>
    <w:rsid w:val="00E56C70"/>
    <w:rsid w:val="00E57436"/>
    <w:rsid w:val="00E57A68"/>
    <w:rsid w:val="00E57C8D"/>
    <w:rsid w:val="00E60810"/>
    <w:rsid w:val="00E60AD6"/>
    <w:rsid w:val="00E60C08"/>
    <w:rsid w:val="00E610A7"/>
    <w:rsid w:val="00E611FA"/>
    <w:rsid w:val="00E61338"/>
    <w:rsid w:val="00E613B1"/>
    <w:rsid w:val="00E61907"/>
    <w:rsid w:val="00E61A09"/>
    <w:rsid w:val="00E61ACD"/>
    <w:rsid w:val="00E61AED"/>
    <w:rsid w:val="00E61C92"/>
    <w:rsid w:val="00E61F26"/>
    <w:rsid w:val="00E620B5"/>
    <w:rsid w:val="00E623CE"/>
    <w:rsid w:val="00E62595"/>
    <w:rsid w:val="00E628FB"/>
    <w:rsid w:val="00E630DF"/>
    <w:rsid w:val="00E63264"/>
    <w:rsid w:val="00E6398A"/>
    <w:rsid w:val="00E6402F"/>
    <w:rsid w:val="00E6452F"/>
    <w:rsid w:val="00E652FE"/>
    <w:rsid w:val="00E65750"/>
    <w:rsid w:val="00E65A1D"/>
    <w:rsid w:val="00E65A5E"/>
    <w:rsid w:val="00E6607E"/>
    <w:rsid w:val="00E66241"/>
    <w:rsid w:val="00E66587"/>
    <w:rsid w:val="00E66917"/>
    <w:rsid w:val="00E66D4F"/>
    <w:rsid w:val="00E66DAF"/>
    <w:rsid w:val="00E66E5B"/>
    <w:rsid w:val="00E66F28"/>
    <w:rsid w:val="00E6730E"/>
    <w:rsid w:val="00E67430"/>
    <w:rsid w:val="00E677A8"/>
    <w:rsid w:val="00E67AA0"/>
    <w:rsid w:val="00E67C5F"/>
    <w:rsid w:val="00E67DE1"/>
    <w:rsid w:val="00E704E6"/>
    <w:rsid w:val="00E70BA7"/>
    <w:rsid w:val="00E70E67"/>
    <w:rsid w:val="00E71831"/>
    <w:rsid w:val="00E71879"/>
    <w:rsid w:val="00E71A2F"/>
    <w:rsid w:val="00E71D68"/>
    <w:rsid w:val="00E72097"/>
    <w:rsid w:val="00E7252E"/>
    <w:rsid w:val="00E72642"/>
    <w:rsid w:val="00E72E4F"/>
    <w:rsid w:val="00E72F7D"/>
    <w:rsid w:val="00E73029"/>
    <w:rsid w:val="00E73037"/>
    <w:rsid w:val="00E732FC"/>
    <w:rsid w:val="00E7343F"/>
    <w:rsid w:val="00E73706"/>
    <w:rsid w:val="00E73AEA"/>
    <w:rsid w:val="00E73D38"/>
    <w:rsid w:val="00E73D7B"/>
    <w:rsid w:val="00E73F97"/>
    <w:rsid w:val="00E740D1"/>
    <w:rsid w:val="00E74563"/>
    <w:rsid w:val="00E74568"/>
    <w:rsid w:val="00E749AA"/>
    <w:rsid w:val="00E74A6A"/>
    <w:rsid w:val="00E74E88"/>
    <w:rsid w:val="00E754C0"/>
    <w:rsid w:val="00E755FA"/>
    <w:rsid w:val="00E75BBF"/>
    <w:rsid w:val="00E76D22"/>
    <w:rsid w:val="00E76FC7"/>
    <w:rsid w:val="00E7701B"/>
    <w:rsid w:val="00E77024"/>
    <w:rsid w:val="00E771B3"/>
    <w:rsid w:val="00E77420"/>
    <w:rsid w:val="00E77BE3"/>
    <w:rsid w:val="00E77D66"/>
    <w:rsid w:val="00E80106"/>
    <w:rsid w:val="00E8025A"/>
    <w:rsid w:val="00E80591"/>
    <w:rsid w:val="00E80748"/>
    <w:rsid w:val="00E80A80"/>
    <w:rsid w:val="00E80BD0"/>
    <w:rsid w:val="00E80C6A"/>
    <w:rsid w:val="00E80EB7"/>
    <w:rsid w:val="00E8155B"/>
    <w:rsid w:val="00E8167B"/>
    <w:rsid w:val="00E81867"/>
    <w:rsid w:val="00E818B4"/>
    <w:rsid w:val="00E81B8F"/>
    <w:rsid w:val="00E822A3"/>
    <w:rsid w:val="00E8263E"/>
    <w:rsid w:val="00E827B1"/>
    <w:rsid w:val="00E82962"/>
    <w:rsid w:val="00E829B8"/>
    <w:rsid w:val="00E83035"/>
    <w:rsid w:val="00E8347D"/>
    <w:rsid w:val="00E83572"/>
    <w:rsid w:val="00E83DAE"/>
    <w:rsid w:val="00E83FC4"/>
    <w:rsid w:val="00E84192"/>
    <w:rsid w:val="00E84250"/>
    <w:rsid w:val="00E845C4"/>
    <w:rsid w:val="00E8468D"/>
    <w:rsid w:val="00E84B45"/>
    <w:rsid w:val="00E85182"/>
    <w:rsid w:val="00E85376"/>
    <w:rsid w:val="00E8547A"/>
    <w:rsid w:val="00E85D3B"/>
    <w:rsid w:val="00E8632B"/>
    <w:rsid w:val="00E8701B"/>
    <w:rsid w:val="00E87450"/>
    <w:rsid w:val="00E87519"/>
    <w:rsid w:val="00E876BC"/>
    <w:rsid w:val="00E87C12"/>
    <w:rsid w:val="00E9006F"/>
    <w:rsid w:val="00E906D3"/>
    <w:rsid w:val="00E90787"/>
    <w:rsid w:val="00E91996"/>
    <w:rsid w:val="00E91EFA"/>
    <w:rsid w:val="00E91F1A"/>
    <w:rsid w:val="00E9229A"/>
    <w:rsid w:val="00E92D5E"/>
    <w:rsid w:val="00E92D70"/>
    <w:rsid w:val="00E92ED4"/>
    <w:rsid w:val="00E93089"/>
    <w:rsid w:val="00E93095"/>
    <w:rsid w:val="00E93D5D"/>
    <w:rsid w:val="00E93D8E"/>
    <w:rsid w:val="00E9434D"/>
    <w:rsid w:val="00E9438E"/>
    <w:rsid w:val="00E94483"/>
    <w:rsid w:val="00E9458A"/>
    <w:rsid w:val="00E946A3"/>
    <w:rsid w:val="00E94F1D"/>
    <w:rsid w:val="00E955D7"/>
    <w:rsid w:val="00E956CA"/>
    <w:rsid w:val="00E9579A"/>
    <w:rsid w:val="00E957C8"/>
    <w:rsid w:val="00E95CA8"/>
    <w:rsid w:val="00E9611D"/>
    <w:rsid w:val="00E963D5"/>
    <w:rsid w:val="00E966CA"/>
    <w:rsid w:val="00E96B93"/>
    <w:rsid w:val="00E96CD8"/>
    <w:rsid w:val="00E96EB0"/>
    <w:rsid w:val="00E977E2"/>
    <w:rsid w:val="00EA02AC"/>
    <w:rsid w:val="00EA05A4"/>
    <w:rsid w:val="00EA0C90"/>
    <w:rsid w:val="00EA10F4"/>
    <w:rsid w:val="00EA1374"/>
    <w:rsid w:val="00EA1829"/>
    <w:rsid w:val="00EA1896"/>
    <w:rsid w:val="00EA1E7D"/>
    <w:rsid w:val="00EA23CC"/>
    <w:rsid w:val="00EA3043"/>
    <w:rsid w:val="00EA30C2"/>
    <w:rsid w:val="00EA3460"/>
    <w:rsid w:val="00EA3731"/>
    <w:rsid w:val="00EA3993"/>
    <w:rsid w:val="00EA3B65"/>
    <w:rsid w:val="00EA3F84"/>
    <w:rsid w:val="00EA42A7"/>
    <w:rsid w:val="00EA4333"/>
    <w:rsid w:val="00EA435A"/>
    <w:rsid w:val="00EA4741"/>
    <w:rsid w:val="00EA4932"/>
    <w:rsid w:val="00EA4C2B"/>
    <w:rsid w:val="00EA4E11"/>
    <w:rsid w:val="00EA4FB0"/>
    <w:rsid w:val="00EA5194"/>
    <w:rsid w:val="00EA5666"/>
    <w:rsid w:val="00EA5ACF"/>
    <w:rsid w:val="00EA5B7F"/>
    <w:rsid w:val="00EA5DC7"/>
    <w:rsid w:val="00EA5E92"/>
    <w:rsid w:val="00EA60BB"/>
    <w:rsid w:val="00EA63EF"/>
    <w:rsid w:val="00EA663F"/>
    <w:rsid w:val="00EA7691"/>
    <w:rsid w:val="00EA797B"/>
    <w:rsid w:val="00EA7FFC"/>
    <w:rsid w:val="00EB0997"/>
    <w:rsid w:val="00EB0FE5"/>
    <w:rsid w:val="00EB146C"/>
    <w:rsid w:val="00EB1D59"/>
    <w:rsid w:val="00EB2199"/>
    <w:rsid w:val="00EB26A2"/>
    <w:rsid w:val="00EB28AE"/>
    <w:rsid w:val="00EB28E2"/>
    <w:rsid w:val="00EB2AEC"/>
    <w:rsid w:val="00EB2B1F"/>
    <w:rsid w:val="00EB34DA"/>
    <w:rsid w:val="00EB3567"/>
    <w:rsid w:val="00EB362A"/>
    <w:rsid w:val="00EB3DD7"/>
    <w:rsid w:val="00EB3F92"/>
    <w:rsid w:val="00EB4691"/>
    <w:rsid w:val="00EB490B"/>
    <w:rsid w:val="00EB4D88"/>
    <w:rsid w:val="00EB580F"/>
    <w:rsid w:val="00EB60F8"/>
    <w:rsid w:val="00EB6C40"/>
    <w:rsid w:val="00EB6FBA"/>
    <w:rsid w:val="00EB701E"/>
    <w:rsid w:val="00EB70D1"/>
    <w:rsid w:val="00EB72B8"/>
    <w:rsid w:val="00EB75CC"/>
    <w:rsid w:val="00EB75D4"/>
    <w:rsid w:val="00EB7C4F"/>
    <w:rsid w:val="00EC026D"/>
    <w:rsid w:val="00EC072E"/>
    <w:rsid w:val="00EC0D12"/>
    <w:rsid w:val="00EC0DFE"/>
    <w:rsid w:val="00EC12FF"/>
    <w:rsid w:val="00EC1F18"/>
    <w:rsid w:val="00EC23A7"/>
    <w:rsid w:val="00EC23DD"/>
    <w:rsid w:val="00EC2490"/>
    <w:rsid w:val="00EC272F"/>
    <w:rsid w:val="00EC2801"/>
    <w:rsid w:val="00EC2EF3"/>
    <w:rsid w:val="00EC30B1"/>
    <w:rsid w:val="00EC30FF"/>
    <w:rsid w:val="00EC35EE"/>
    <w:rsid w:val="00EC378B"/>
    <w:rsid w:val="00EC42D0"/>
    <w:rsid w:val="00EC481F"/>
    <w:rsid w:val="00EC4EB7"/>
    <w:rsid w:val="00EC4F26"/>
    <w:rsid w:val="00EC5702"/>
    <w:rsid w:val="00EC58C9"/>
    <w:rsid w:val="00EC5C1F"/>
    <w:rsid w:val="00EC680B"/>
    <w:rsid w:val="00EC71A2"/>
    <w:rsid w:val="00EC7AA9"/>
    <w:rsid w:val="00ED0152"/>
    <w:rsid w:val="00ED084A"/>
    <w:rsid w:val="00ED157E"/>
    <w:rsid w:val="00ED15B4"/>
    <w:rsid w:val="00ED18B0"/>
    <w:rsid w:val="00ED192D"/>
    <w:rsid w:val="00ED1A6F"/>
    <w:rsid w:val="00ED2108"/>
    <w:rsid w:val="00ED241D"/>
    <w:rsid w:val="00ED28CD"/>
    <w:rsid w:val="00ED2BF1"/>
    <w:rsid w:val="00ED2C3D"/>
    <w:rsid w:val="00ED2E2E"/>
    <w:rsid w:val="00ED2F1D"/>
    <w:rsid w:val="00ED325E"/>
    <w:rsid w:val="00ED3425"/>
    <w:rsid w:val="00ED347B"/>
    <w:rsid w:val="00ED4083"/>
    <w:rsid w:val="00ED5195"/>
    <w:rsid w:val="00ED562A"/>
    <w:rsid w:val="00ED57A2"/>
    <w:rsid w:val="00ED5881"/>
    <w:rsid w:val="00ED5968"/>
    <w:rsid w:val="00ED5A3D"/>
    <w:rsid w:val="00ED64C6"/>
    <w:rsid w:val="00ED6B3D"/>
    <w:rsid w:val="00ED77CF"/>
    <w:rsid w:val="00ED7887"/>
    <w:rsid w:val="00ED78E1"/>
    <w:rsid w:val="00ED79F0"/>
    <w:rsid w:val="00ED7C29"/>
    <w:rsid w:val="00ED7F10"/>
    <w:rsid w:val="00EE051C"/>
    <w:rsid w:val="00EE0956"/>
    <w:rsid w:val="00EE10C1"/>
    <w:rsid w:val="00EE21C0"/>
    <w:rsid w:val="00EE2236"/>
    <w:rsid w:val="00EE2750"/>
    <w:rsid w:val="00EE27CA"/>
    <w:rsid w:val="00EE2B5D"/>
    <w:rsid w:val="00EE2C4C"/>
    <w:rsid w:val="00EE3075"/>
    <w:rsid w:val="00EE37C8"/>
    <w:rsid w:val="00EE3A5F"/>
    <w:rsid w:val="00EE3D07"/>
    <w:rsid w:val="00EE4228"/>
    <w:rsid w:val="00EE4BA6"/>
    <w:rsid w:val="00EE4DD5"/>
    <w:rsid w:val="00EE509D"/>
    <w:rsid w:val="00EE5263"/>
    <w:rsid w:val="00EE5344"/>
    <w:rsid w:val="00EE5A2D"/>
    <w:rsid w:val="00EE5C2C"/>
    <w:rsid w:val="00EE5DB1"/>
    <w:rsid w:val="00EE62EC"/>
    <w:rsid w:val="00EE67E9"/>
    <w:rsid w:val="00EE6B49"/>
    <w:rsid w:val="00EE6E87"/>
    <w:rsid w:val="00EE6F8D"/>
    <w:rsid w:val="00EE7DD5"/>
    <w:rsid w:val="00EF01DB"/>
    <w:rsid w:val="00EF0458"/>
    <w:rsid w:val="00EF04B4"/>
    <w:rsid w:val="00EF0B67"/>
    <w:rsid w:val="00EF0E2D"/>
    <w:rsid w:val="00EF1993"/>
    <w:rsid w:val="00EF222B"/>
    <w:rsid w:val="00EF225F"/>
    <w:rsid w:val="00EF2568"/>
    <w:rsid w:val="00EF2835"/>
    <w:rsid w:val="00EF29C6"/>
    <w:rsid w:val="00EF2A3E"/>
    <w:rsid w:val="00EF36C9"/>
    <w:rsid w:val="00EF38AB"/>
    <w:rsid w:val="00EF3903"/>
    <w:rsid w:val="00EF39FC"/>
    <w:rsid w:val="00EF3B8C"/>
    <w:rsid w:val="00EF3E76"/>
    <w:rsid w:val="00EF3F2A"/>
    <w:rsid w:val="00EF3FC8"/>
    <w:rsid w:val="00EF4307"/>
    <w:rsid w:val="00EF463E"/>
    <w:rsid w:val="00EF48DC"/>
    <w:rsid w:val="00EF48E1"/>
    <w:rsid w:val="00EF4C98"/>
    <w:rsid w:val="00EF56AA"/>
    <w:rsid w:val="00EF5C21"/>
    <w:rsid w:val="00EF5CB9"/>
    <w:rsid w:val="00EF67C5"/>
    <w:rsid w:val="00EF6B93"/>
    <w:rsid w:val="00EF6D9F"/>
    <w:rsid w:val="00EF70B7"/>
    <w:rsid w:val="00EF789B"/>
    <w:rsid w:val="00F00101"/>
    <w:rsid w:val="00F0063F"/>
    <w:rsid w:val="00F0074A"/>
    <w:rsid w:val="00F009A3"/>
    <w:rsid w:val="00F00DE2"/>
    <w:rsid w:val="00F01278"/>
    <w:rsid w:val="00F01361"/>
    <w:rsid w:val="00F01411"/>
    <w:rsid w:val="00F0178E"/>
    <w:rsid w:val="00F01CF6"/>
    <w:rsid w:val="00F01F10"/>
    <w:rsid w:val="00F02037"/>
    <w:rsid w:val="00F030AA"/>
    <w:rsid w:val="00F03170"/>
    <w:rsid w:val="00F0336E"/>
    <w:rsid w:val="00F03427"/>
    <w:rsid w:val="00F035C9"/>
    <w:rsid w:val="00F03F30"/>
    <w:rsid w:val="00F03FC4"/>
    <w:rsid w:val="00F04443"/>
    <w:rsid w:val="00F04A80"/>
    <w:rsid w:val="00F04BD1"/>
    <w:rsid w:val="00F04FB5"/>
    <w:rsid w:val="00F0502D"/>
    <w:rsid w:val="00F05CFD"/>
    <w:rsid w:val="00F060F6"/>
    <w:rsid w:val="00F06230"/>
    <w:rsid w:val="00F0641D"/>
    <w:rsid w:val="00F06F3E"/>
    <w:rsid w:val="00F0767A"/>
    <w:rsid w:val="00F0795B"/>
    <w:rsid w:val="00F07BAE"/>
    <w:rsid w:val="00F1018D"/>
    <w:rsid w:val="00F1060B"/>
    <w:rsid w:val="00F108BC"/>
    <w:rsid w:val="00F10AD2"/>
    <w:rsid w:val="00F10B83"/>
    <w:rsid w:val="00F112E4"/>
    <w:rsid w:val="00F11869"/>
    <w:rsid w:val="00F11FEA"/>
    <w:rsid w:val="00F120D1"/>
    <w:rsid w:val="00F123E3"/>
    <w:rsid w:val="00F12579"/>
    <w:rsid w:val="00F125E2"/>
    <w:rsid w:val="00F12614"/>
    <w:rsid w:val="00F12B5B"/>
    <w:rsid w:val="00F12BF3"/>
    <w:rsid w:val="00F1380F"/>
    <w:rsid w:val="00F13B0C"/>
    <w:rsid w:val="00F140BB"/>
    <w:rsid w:val="00F14442"/>
    <w:rsid w:val="00F1480A"/>
    <w:rsid w:val="00F14A31"/>
    <w:rsid w:val="00F16302"/>
    <w:rsid w:val="00F174A1"/>
    <w:rsid w:val="00F17EC4"/>
    <w:rsid w:val="00F17F30"/>
    <w:rsid w:val="00F20B0C"/>
    <w:rsid w:val="00F20BA8"/>
    <w:rsid w:val="00F20ED9"/>
    <w:rsid w:val="00F20F1B"/>
    <w:rsid w:val="00F21907"/>
    <w:rsid w:val="00F21B0C"/>
    <w:rsid w:val="00F21B67"/>
    <w:rsid w:val="00F21EF1"/>
    <w:rsid w:val="00F224BC"/>
    <w:rsid w:val="00F224F1"/>
    <w:rsid w:val="00F228A6"/>
    <w:rsid w:val="00F22F9F"/>
    <w:rsid w:val="00F233CC"/>
    <w:rsid w:val="00F23BDA"/>
    <w:rsid w:val="00F23BF9"/>
    <w:rsid w:val="00F23E28"/>
    <w:rsid w:val="00F2400F"/>
    <w:rsid w:val="00F24484"/>
    <w:rsid w:val="00F2469D"/>
    <w:rsid w:val="00F24A3D"/>
    <w:rsid w:val="00F24F20"/>
    <w:rsid w:val="00F25ECC"/>
    <w:rsid w:val="00F25F42"/>
    <w:rsid w:val="00F263C9"/>
    <w:rsid w:val="00F26F44"/>
    <w:rsid w:val="00F2790E"/>
    <w:rsid w:val="00F27D06"/>
    <w:rsid w:val="00F300FC"/>
    <w:rsid w:val="00F30342"/>
    <w:rsid w:val="00F304E0"/>
    <w:rsid w:val="00F30721"/>
    <w:rsid w:val="00F307E5"/>
    <w:rsid w:val="00F30F39"/>
    <w:rsid w:val="00F3137F"/>
    <w:rsid w:val="00F315C6"/>
    <w:rsid w:val="00F31A15"/>
    <w:rsid w:val="00F31A49"/>
    <w:rsid w:val="00F31B15"/>
    <w:rsid w:val="00F321A5"/>
    <w:rsid w:val="00F322F0"/>
    <w:rsid w:val="00F32737"/>
    <w:rsid w:val="00F32A7E"/>
    <w:rsid w:val="00F33506"/>
    <w:rsid w:val="00F337F3"/>
    <w:rsid w:val="00F33B25"/>
    <w:rsid w:val="00F341A2"/>
    <w:rsid w:val="00F348AC"/>
    <w:rsid w:val="00F34AC6"/>
    <w:rsid w:val="00F34B0D"/>
    <w:rsid w:val="00F34C54"/>
    <w:rsid w:val="00F34EAF"/>
    <w:rsid w:val="00F34FAD"/>
    <w:rsid w:val="00F350FE"/>
    <w:rsid w:val="00F353E2"/>
    <w:rsid w:val="00F35A8F"/>
    <w:rsid w:val="00F35EBD"/>
    <w:rsid w:val="00F35F6C"/>
    <w:rsid w:val="00F3664F"/>
    <w:rsid w:val="00F368F5"/>
    <w:rsid w:val="00F36F5E"/>
    <w:rsid w:val="00F37BB3"/>
    <w:rsid w:val="00F408FE"/>
    <w:rsid w:val="00F40DEA"/>
    <w:rsid w:val="00F410AA"/>
    <w:rsid w:val="00F4122F"/>
    <w:rsid w:val="00F41335"/>
    <w:rsid w:val="00F41374"/>
    <w:rsid w:val="00F41738"/>
    <w:rsid w:val="00F424E6"/>
    <w:rsid w:val="00F425A4"/>
    <w:rsid w:val="00F42629"/>
    <w:rsid w:val="00F4271D"/>
    <w:rsid w:val="00F42865"/>
    <w:rsid w:val="00F4294A"/>
    <w:rsid w:val="00F42AF2"/>
    <w:rsid w:val="00F42D74"/>
    <w:rsid w:val="00F42FE6"/>
    <w:rsid w:val="00F434FA"/>
    <w:rsid w:val="00F43528"/>
    <w:rsid w:val="00F4359C"/>
    <w:rsid w:val="00F437D9"/>
    <w:rsid w:val="00F43A73"/>
    <w:rsid w:val="00F43C1A"/>
    <w:rsid w:val="00F43D21"/>
    <w:rsid w:val="00F44374"/>
    <w:rsid w:val="00F4448C"/>
    <w:rsid w:val="00F4498C"/>
    <w:rsid w:val="00F44DB9"/>
    <w:rsid w:val="00F44E01"/>
    <w:rsid w:val="00F44EC2"/>
    <w:rsid w:val="00F45085"/>
    <w:rsid w:val="00F45236"/>
    <w:rsid w:val="00F454B4"/>
    <w:rsid w:val="00F45C47"/>
    <w:rsid w:val="00F4618D"/>
    <w:rsid w:val="00F4670D"/>
    <w:rsid w:val="00F46BCA"/>
    <w:rsid w:val="00F46C35"/>
    <w:rsid w:val="00F46CC7"/>
    <w:rsid w:val="00F47EAC"/>
    <w:rsid w:val="00F50017"/>
    <w:rsid w:val="00F5036A"/>
    <w:rsid w:val="00F5049E"/>
    <w:rsid w:val="00F50F31"/>
    <w:rsid w:val="00F51048"/>
    <w:rsid w:val="00F5104A"/>
    <w:rsid w:val="00F51626"/>
    <w:rsid w:val="00F51806"/>
    <w:rsid w:val="00F518F9"/>
    <w:rsid w:val="00F51C84"/>
    <w:rsid w:val="00F51D54"/>
    <w:rsid w:val="00F51F45"/>
    <w:rsid w:val="00F5268A"/>
    <w:rsid w:val="00F52A85"/>
    <w:rsid w:val="00F52BB5"/>
    <w:rsid w:val="00F53012"/>
    <w:rsid w:val="00F5310E"/>
    <w:rsid w:val="00F5317F"/>
    <w:rsid w:val="00F53594"/>
    <w:rsid w:val="00F540D0"/>
    <w:rsid w:val="00F54859"/>
    <w:rsid w:val="00F54937"/>
    <w:rsid w:val="00F54BE1"/>
    <w:rsid w:val="00F54CE1"/>
    <w:rsid w:val="00F54D78"/>
    <w:rsid w:val="00F54E72"/>
    <w:rsid w:val="00F5531C"/>
    <w:rsid w:val="00F553E2"/>
    <w:rsid w:val="00F55862"/>
    <w:rsid w:val="00F55B7A"/>
    <w:rsid w:val="00F55BDB"/>
    <w:rsid w:val="00F55FAC"/>
    <w:rsid w:val="00F5693F"/>
    <w:rsid w:val="00F57CC5"/>
    <w:rsid w:val="00F57E81"/>
    <w:rsid w:val="00F6020C"/>
    <w:rsid w:val="00F6044E"/>
    <w:rsid w:val="00F604A5"/>
    <w:rsid w:val="00F60802"/>
    <w:rsid w:val="00F6097D"/>
    <w:rsid w:val="00F60B2B"/>
    <w:rsid w:val="00F60E6F"/>
    <w:rsid w:val="00F60F1C"/>
    <w:rsid w:val="00F6139D"/>
    <w:rsid w:val="00F6166E"/>
    <w:rsid w:val="00F6200D"/>
    <w:rsid w:val="00F620F3"/>
    <w:rsid w:val="00F62B3D"/>
    <w:rsid w:val="00F62B62"/>
    <w:rsid w:val="00F62C48"/>
    <w:rsid w:val="00F635C0"/>
    <w:rsid w:val="00F638C6"/>
    <w:rsid w:val="00F63917"/>
    <w:rsid w:val="00F63C1E"/>
    <w:rsid w:val="00F63D7C"/>
    <w:rsid w:val="00F6450F"/>
    <w:rsid w:val="00F64816"/>
    <w:rsid w:val="00F64F55"/>
    <w:rsid w:val="00F65085"/>
    <w:rsid w:val="00F6517B"/>
    <w:rsid w:val="00F6518B"/>
    <w:rsid w:val="00F652BA"/>
    <w:rsid w:val="00F6541D"/>
    <w:rsid w:val="00F655E3"/>
    <w:rsid w:val="00F65700"/>
    <w:rsid w:val="00F65846"/>
    <w:rsid w:val="00F6591B"/>
    <w:rsid w:val="00F659E1"/>
    <w:rsid w:val="00F65E8D"/>
    <w:rsid w:val="00F663F0"/>
    <w:rsid w:val="00F66585"/>
    <w:rsid w:val="00F667BB"/>
    <w:rsid w:val="00F667DB"/>
    <w:rsid w:val="00F66CD1"/>
    <w:rsid w:val="00F66F27"/>
    <w:rsid w:val="00F675D6"/>
    <w:rsid w:val="00F67670"/>
    <w:rsid w:val="00F6786F"/>
    <w:rsid w:val="00F679C0"/>
    <w:rsid w:val="00F67B3E"/>
    <w:rsid w:val="00F700FE"/>
    <w:rsid w:val="00F70730"/>
    <w:rsid w:val="00F70A4F"/>
    <w:rsid w:val="00F70DC3"/>
    <w:rsid w:val="00F70E70"/>
    <w:rsid w:val="00F70EC0"/>
    <w:rsid w:val="00F71CB8"/>
    <w:rsid w:val="00F72556"/>
    <w:rsid w:val="00F727BC"/>
    <w:rsid w:val="00F72BB6"/>
    <w:rsid w:val="00F72BF2"/>
    <w:rsid w:val="00F72BF6"/>
    <w:rsid w:val="00F72CA7"/>
    <w:rsid w:val="00F73EBC"/>
    <w:rsid w:val="00F740E2"/>
    <w:rsid w:val="00F741C5"/>
    <w:rsid w:val="00F74314"/>
    <w:rsid w:val="00F74461"/>
    <w:rsid w:val="00F74516"/>
    <w:rsid w:val="00F74897"/>
    <w:rsid w:val="00F75106"/>
    <w:rsid w:val="00F754F2"/>
    <w:rsid w:val="00F75862"/>
    <w:rsid w:val="00F76274"/>
    <w:rsid w:val="00F76760"/>
    <w:rsid w:val="00F768D4"/>
    <w:rsid w:val="00F76B67"/>
    <w:rsid w:val="00F772A5"/>
    <w:rsid w:val="00F77333"/>
    <w:rsid w:val="00F7753F"/>
    <w:rsid w:val="00F77609"/>
    <w:rsid w:val="00F807C6"/>
    <w:rsid w:val="00F80F8D"/>
    <w:rsid w:val="00F815D8"/>
    <w:rsid w:val="00F81BDA"/>
    <w:rsid w:val="00F82573"/>
    <w:rsid w:val="00F82B47"/>
    <w:rsid w:val="00F82CB7"/>
    <w:rsid w:val="00F83070"/>
    <w:rsid w:val="00F8324A"/>
    <w:rsid w:val="00F8335F"/>
    <w:rsid w:val="00F83D14"/>
    <w:rsid w:val="00F84202"/>
    <w:rsid w:val="00F84411"/>
    <w:rsid w:val="00F853C6"/>
    <w:rsid w:val="00F856D7"/>
    <w:rsid w:val="00F8578D"/>
    <w:rsid w:val="00F857AF"/>
    <w:rsid w:val="00F8591F"/>
    <w:rsid w:val="00F85AFD"/>
    <w:rsid w:val="00F85D7B"/>
    <w:rsid w:val="00F85DCB"/>
    <w:rsid w:val="00F862DB"/>
    <w:rsid w:val="00F86608"/>
    <w:rsid w:val="00F86926"/>
    <w:rsid w:val="00F86A55"/>
    <w:rsid w:val="00F86CCC"/>
    <w:rsid w:val="00F871EA"/>
    <w:rsid w:val="00F87510"/>
    <w:rsid w:val="00F87CCD"/>
    <w:rsid w:val="00F900A0"/>
    <w:rsid w:val="00F9019D"/>
    <w:rsid w:val="00F9066C"/>
    <w:rsid w:val="00F909AB"/>
    <w:rsid w:val="00F90CD2"/>
    <w:rsid w:val="00F90DAD"/>
    <w:rsid w:val="00F90F7E"/>
    <w:rsid w:val="00F90F94"/>
    <w:rsid w:val="00F90FE2"/>
    <w:rsid w:val="00F91174"/>
    <w:rsid w:val="00F91B63"/>
    <w:rsid w:val="00F92264"/>
    <w:rsid w:val="00F92442"/>
    <w:rsid w:val="00F92942"/>
    <w:rsid w:val="00F92BFF"/>
    <w:rsid w:val="00F93464"/>
    <w:rsid w:val="00F93C69"/>
    <w:rsid w:val="00F93FDF"/>
    <w:rsid w:val="00F9408E"/>
    <w:rsid w:val="00F94253"/>
    <w:rsid w:val="00F94484"/>
    <w:rsid w:val="00F94DDD"/>
    <w:rsid w:val="00F950DE"/>
    <w:rsid w:val="00F95690"/>
    <w:rsid w:val="00F958B3"/>
    <w:rsid w:val="00F95C8E"/>
    <w:rsid w:val="00F95CF5"/>
    <w:rsid w:val="00F963B4"/>
    <w:rsid w:val="00F96A12"/>
    <w:rsid w:val="00F96CAC"/>
    <w:rsid w:val="00F96D4A"/>
    <w:rsid w:val="00F96FE0"/>
    <w:rsid w:val="00F973DF"/>
    <w:rsid w:val="00F975D1"/>
    <w:rsid w:val="00F97A97"/>
    <w:rsid w:val="00F97D61"/>
    <w:rsid w:val="00FA0153"/>
    <w:rsid w:val="00FA02BF"/>
    <w:rsid w:val="00FA090F"/>
    <w:rsid w:val="00FA0AC3"/>
    <w:rsid w:val="00FA105C"/>
    <w:rsid w:val="00FA1120"/>
    <w:rsid w:val="00FA1188"/>
    <w:rsid w:val="00FA1386"/>
    <w:rsid w:val="00FA17E0"/>
    <w:rsid w:val="00FA215E"/>
    <w:rsid w:val="00FA2317"/>
    <w:rsid w:val="00FA2B84"/>
    <w:rsid w:val="00FA30AA"/>
    <w:rsid w:val="00FA3524"/>
    <w:rsid w:val="00FA398E"/>
    <w:rsid w:val="00FA3BC4"/>
    <w:rsid w:val="00FA40D1"/>
    <w:rsid w:val="00FA44FC"/>
    <w:rsid w:val="00FA45D2"/>
    <w:rsid w:val="00FA49B3"/>
    <w:rsid w:val="00FA5125"/>
    <w:rsid w:val="00FA57C8"/>
    <w:rsid w:val="00FA6141"/>
    <w:rsid w:val="00FA646E"/>
    <w:rsid w:val="00FA656D"/>
    <w:rsid w:val="00FA6615"/>
    <w:rsid w:val="00FA6CA6"/>
    <w:rsid w:val="00FA71F9"/>
    <w:rsid w:val="00FA7324"/>
    <w:rsid w:val="00FA7777"/>
    <w:rsid w:val="00FB012E"/>
    <w:rsid w:val="00FB0651"/>
    <w:rsid w:val="00FB074C"/>
    <w:rsid w:val="00FB07F8"/>
    <w:rsid w:val="00FB11BD"/>
    <w:rsid w:val="00FB1245"/>
    <w:rsid w:val="00FB1997"/>
    <w:rsid w:val="00FB1E84"/>
    <w:rsid w:val="00FB229A"/>
    <w:rsid w:val="00FB330A"/>
    <w:rsid w:val="00FB343B"/>
    <w:rsid w:val="00FB3788"/>
    <w:rsid w:val="00FB37FB"/>
    <w:rsid w:val="00FB38C6"/>
    <w:rsid w:val="00FB3AB6"/>
    <w:rsid w:val="00FB3AD6"/>
    <w:rsid w:val="00FB41C8"/>
    <w:rsid w:val="00FB4350"/>
    <w:rsid w:val="00FB48FB"/>
    <w:rsid w:val="00FB4C42"/>
    <w:rsid w:val="00FB529B"/>
    <w:rsid w:val="00FB5D87"/>
    <w:rsid w:val="00FB5F66"/>
    <w:rsid w:val="00FB6940"/>
    <w:rsid w:val="00FB6E9C"/>
    <w:rsid w:val="00FB6F8C"/>
    <w:rsid w:val="00FB754C"/>
    <w:rsid w:val="00FB7684"/>
    <w:rsid w:val="00FB78AC"/>
    <w:rsid w:val="00FB7AD9"/>
    <w:rsid w:val="00FB7E97"/>
    <w:rsid w:val="00FC0064"/>
    <w:rsid w:val="00FC0333"/>
    <w:rsid w:val="00FC0471"/>
    <w:rsid w:val="00FC071F"/>
    <w:rsid w:val="00FC089F"/>
    <w:rsid w:val="00FC096E"/>
    <w:rsid w:val="00FC09FC"/>
    <w:rsid w:val="00FC0FE1"/>
    <w:rsid w:val="00FC12A5"/>
    <w:rsid w:val="00FC1346"/>
    <w:rsid w:val="00FC1C29"/>
    <w:rsid w:val="00FC25E7"/>
    <w:rsid w:val="00FC2B70"/>
    <w:rsid w:val="00FC2C00"/>
    <w:rsid w:val="00FC3FB9"/>
    <w:rsid w:val="00FC407F"/>
    <w:rsid w:val="00FC4A03"/>
    <w:rsid w:val="00FC4AA6"/>
    <w:rsid w:val="00FC4DA3"/>
    <w:rsid w:val="00FC543E"/>
    <w:rsid w:val="00FC5876"/>
    <w:rsid w:val="00FC5BB2"/>
    <w:rsid w:val="00FC5C82"/>
    <w:rsid w:val="00FC5CD1"/>
    <w:rsid w:val="00FC5DB1"/>
    <w:rsid w:val="00FC6259"/>
    <w:rsid w:val="00FC6301"/>
    <w:rsid w:val="00FC6884"/>
    <w:rsid w:val="00FC695D"/>
    <w:rsid w:val="00FC6A06"/>
    <w:rsid w:val="00FC6B3B"/>
    <w:rsid w:val="00FC6E13"/>
    <w:rsid w:val="00FC6F8D"/>
    <w:rsid w:val="00FC73B5"/>
    <w:rsid w:val="00FC75CA"/>
    <w:rsid w:val="00FC79C8"/>
    <w:rsid w:val="00FC7E8E"/>
    <w:rsid w:val="00FD0A52"/>
    <w:rsid w:val="00FD0A90"/>
    <w:rsid w:val="00FD1134"/>
    <w:rsid w:val="00FD1CD6"/>
    <w:rsid w:val="00FD2064"/>
    <w:rsid w:val="00FD21B6"/>
    <w:rsid w:val="00FD242E"/>
    <w:rsid w:val="00FD278A"/>
    <w:rsid w:val="00FD2FDC"/>
    <w:rsid w:val="00FD31BF"/>
    <w:rsid w:val="00FD4FF2"/>
    <w:rsid w:val="00FD5AC2"/>
    <w:rsid w:val="00FD5D16"/>
    <w:rsid w:val="00FD7226"/>
    <w:rsid w:val="00FD73CE"/>
    <w:rsid w:val="00FD790C"/>
    <w:rsid w:val="00FE0010"/>
    <w:rsid w:val="00FE0F5A"/>
    <w:rsid w:val="00FE169E"/>
    <w:rsid w:val="00FE1CB1"/>
    <w:rsid w:val="00FE1D90"/>
    <w:rsid w:val="00FE21AE"/>
    <w:rsid w:val="00FE29F6"/>
    <w:rsid w:val="00FE2AF5"/>
    <w:rsid w:val="00FE2F44"/>
    <w:rsid w:val="00FE3703"/>
    <w:rsid w:val="00FE3EDF"/>
    <w:rsid w:val="00FE42AC"/>
    <w:rsid w:val="00FE4C1E"/>
    <w:rsid w:val="00FE4F2D"/>
    <w:rsid w:val="00FE4F51"/>
    <w:rsid w:val="00FE4F59"/>
    <w:rsid w:val="00FE5212"/>
    <w:rsid w:val="00FE58B4"/>
    <w:rsid w:val="00FE5DFB"/>
    <w:rsid w:val="00FE5EB6"/>
    <w:rsid w:val="00FE5F70"/>
    <w:rsid w:val="00FE6628"/>
    <w:rsid w:val="00FE66B2"/>
    <w:rsid w:val="00FE67D0"/>
    <w:rsid w:val="00FE7358"/>
    <w:rsid w:val="00FE7467"/>
    <w:rsid w:val="00FE7B97"/>
    <w:rsid w:val="00FE7C18"/>
    <w:rsid w:val="00FE7CFF"/>
    <w:rsid w:val="00FE7F62"/>
    <w:rsid w:val="00FF0588"/>
    <w:rsid w:val="00FF05E9"/>
    <w:rsid w:val="00FF078B"/>
    <w:rsid w:val="00FF07E5"/>
    <w:rsid w:val="00FF0B9B"/>
    <w:rsid w:val="00FF13B2"/>
    <w:rsid w:val="00FF1984"/>
    <w:rsid w:val="00FF19D9"/>
    <w:rsid w:val="00FF1A7A"/>
    <w:rsid w:val="00FF1CD7"/>
    <w:rsid w:val="00FF2136"/>
    <w:rsid w:val="00FF2372"/>
    <w:rsid w:val="00FF24DE"/>
    <w:rsid w:val="00FF2B23"/>
    <w:rsid w:val="00FF2D61"/>
    <w:rsid w:val="00FF2D63"/>
    <w:rsid w:val="00FF32A1"/>
    <w:rsid w:val="00FF335B"/>
    <w:rsid w:val="00FF3440"/>
    <w:rsid w:val="00FF3740"/>
    <w:rsid w:val="00FF3770"/>
    <w:rsid w:val="00FF3870"/>
    <w:rsid w:val="00FF3C08"/>
    <w:rsid w:val="00FF3EF1"/>
    <w:rsid w:val="00FF404F"/>
    <w:rsid w:val="00FF4B1A"/>
    <w:rsid w:val="00FF4D09"/>
    <w:rsid w:val="00FF5273"/>
    <w:rsid w:val="00FF54A6"/>
    <w:rsid w:val="00FF563E"/>
    <w:rsid w:val="00FF63EA"/>
    <w:rsid w:val="00FF64C0"/>
    <w:rsid w:val="00FF66B8"/>
    <w:rsid w:val="00FF683E"/>
    <w:rsid w:val="00FF6848"/>
    <w:rsid w:val="00FF7686"/>
    <w:rsid w:val="00FF7D42"/>
    <w:rsid w:val="076B44D4"/>
    <w:rsid w:val="0BBFECFE"/>
    <w:rsid w:val="0C5E1BC2"/>
    <w:rsid w:val="151FDDFC"/>
    <w:rsid w:val="1DABC403"/>
    <w:rsid w:val="22ACBEE9"/>
    <w:rsid w:val="29BF5411"/>
    <w:rsid w:val="2B3B6E35"/>
    <w:rsid w:val="2F1D1125"/>
    <w:rsid w:val="33B77C89"/>
    <w:rsid w:val="37401427"/>
    <w:rsid w:val="3A662853"/>
    <w:rsid w:val="42710509"/>
    <w:rsid w:val="44537B01"/>
    <w:rsid w:val="52879610"/>
    <w:rsid w:val="55452305"/>
    <w:rsid w:val="56E3EB1C"/>
    <w:rsid w:val="6A815C24"/>
    <w:rsid w:val="7134ACB2"/>
    <w:rsid w:val="750E10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BFBC7"/>
  <w15:docId w15:val="{397E8ED6-B11F-41AC-9196-2D80095A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sz w:val="22"/>
        <w:szCs w:val="22"/>
        <w:lang w:val="en-US" w:eastAsia="en-US" w:bidi="ar-SA"/>
      </w:rPr>
    </w:rPrDefault>
    <w:pPrDefault>
      <w:pPr>
        <w:spacing w:line="288" w:lineRule="auto"/>
      </w:pPr>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378FE"/>
    <w:rPr>
      <w:rFonts w:ascii="Calibri" w:hAnsi="Calibri"/>
    </w:rPr>
  </w:style>
  <w:style w:type="paragraph" w:styleId="Heading1">
    <w:name w:val="heading 1"/>
    <w:aliases w:val="L1 Heading"/>
    <w:basedOn w:val="Normal"/>
    <w:next w:val="TextMain"/>
    <w:link w:val="Heading1Char"/>
    <w:qFormat/>
    <w:rsid w:val="000A73FA"/>
    <w:pPr>
      <w:keepNext/>
      <w:spacing w:before="240" w:after="160" w:line="240" w:lineRule="auto"/>
      <w:outlineLvl w:val="0"/>
    </w:pPr>
    <w:rPr>
      <w:rFonts w:ascii="MS Reference Sans Serif" w:hAnsi="MS Reference Sans Serif"/>
      <w:b/>
      <w:color w:val="587E39"/>
      <w:kern w:val="28"/>
      <w:sz w:val="24"/>
      <w:szCs w:val="34"/>
    </w:rPr>
  </w:style>
  <w:style w:type="paragraph" w:styleId="Heading2">
    <w:name w:val="heading 2"/>
    <w:aliases w:val="L2 Heading"/>
    <w:basedOn w:val="Normal"/>
    <w:next w:val="TextMain"/>
    <w:qFormat/>
    <w:rsid w:val="0080717B"/>
    <w:pPr>
      <w:keepNext/>
      <w:spacing w:before="160" w:after="160" w:line="240" w:lineRule="auto"/>
      <w:outlineLvl w:val="1"/>
    </w:pPr>
    <w:rPr>
      <w:rFonts w:ascii="MS Reference Sans Serif" w:hAnsi="MS Reference Sans Serif"/>
      <w:b/>
      <w:color w:val="44546A" w:themeColor="text2"/>
    </w:rPr>
  </w:style>
  <w:style w:type="paragraph" w:styleId="Heading3">
    <w:name w:val="heading 3"/>
    <w:aliases w:val="3"/>
    <w:basedOn w:val="Normal"/>
    <w:next w:val="ParaText"/>
    <w:link w:val="Heading3Char"/>
    <w:rsid w:val="0030515E"/>
    <w:pPr>
      <w:keepNext/>
      <w:numPr>
        <w:ilvl w:val="2"/>
        <w:numId w:val="58"/>
      </w:numPr>
      <w:spacing w:before="240"/>
      <w:outlineLvl w:val="2"/>
    </w:pPr>
    <w:rPr>
      <w:b/>
      <w:color w:val="587E39"/>
      <w:sz w:val="26"/>
      <w:szCs w:val="26"/>
    </w:rPr>
  </w:style>
  <w:style w:type="paragraph" w:styleId="Heading4">
    <w:name w:val="heading 4"/>
    <w:aliases w:val="4"/>
    <w:basedOn w:val="Normal"/>
    <w:next w:val="ParaText"/>
    <w:rsid w:val="0030515E"/>
    <w:pPr>
      <w:keepNext/>
      <w:numPr>
        <w:ilvl w:val="3"/>
        <w:numId w:val="58"/>
      </w:numPr>
      <w:spacing w:before="240"/>
      <w:outlineLvl w:val="3"/>
    </w:pPr>
    <w:rPr>
      <w:b/>
      <w:color w:val="587E39"/>
    </w:rPr>
  </w:style>
  <w:style w:type="paragraph" w:styleId="Heading5">
    <w:name w:val="heading 5"/>
    <w:basedOn w:val="Normal"/>
    <w:next w:val="ParaText"/>
    <w:rsid w:val="00BD4FE3"/>
    <w:pPr>
      <w:numPr>
        <w:ilvl w:val="4"/>
        <w:numId w:val="58"/>
      </w:numPr>
      <w:spacing w:before="240"/>
      <w:outlineLvl w:val="4"/>
    </w:pPr>
    <w:rPr>
      <w:b/>
      <w:color w:val="666666" w:themeColor="accent2"/>
    </w:rPr>
  </w:style>
  <w:style w:type="paragraph" w:styleId="Heading6">
    <w:name w:val="heading 6"/>
    <w:basedOn w:val="Normal"/>
    <w:next w:val="ParaText"/>
    <w:semiHidden/>
    <w:rsid w:val="00460C2E"/>
    <w:pPr>
      <w:numPr>
        <w:ilvl w:val="5"/>
        <w:numId w:val="58"/>
      </w:numPr>
      <w:spacing w:after="240"/>
      <w:outlineLvl w:val="5"/>
    </w:pPr>
    <w:rPr>
      <w:b/>
    </w:rPr>
  </w:style>
  <w:style w:type="paragraph" w:styleId="Heading7">
    <w:name w:val="heading 7"/>
    <w:basedOn w:val="Normal"/>
    <w:next w:val="ParaText"/>
    <w:rsid w:val="000B1D76"/>
    <w:pPr>
      <w:keepNext/>
      <w:numPr>
        <w:numId w:val="3"/>
      </w:numPr>
      <w:spacing w:before="240" w:after="120"/>
      <w:outlineLvl w:val="6"/>
    </w:pPr>
    <w:rPr>
      <w:b/>
      <w:color w:val="666666" w:themeColor="accent2"/>
      <w:kern w:val="28"/>
      <w:sz w:val="34"/>
      <w:szCs w:val="34"/>
    </w:rPr>
  </w:style>
  <w:style w:type="paragraph" w:styleId="Heading8">
    <w:name w:val="heading 8"/>
    <w:basedOn w:val="Normal"/>
    <w:next w:val="ParaText"/>
    <w:rsid w:val="000B1D76"/>
    <w:pPr>
      <w:keepNext/>
      <w:numPr>
        <w:ilvl w:val="1"/>
        <w:numId w:val="3"/>
      </w:numPr>
      <w:spacing w:before="240" w:after="120"/>
      <w:outlineLvl w:val="7"/>
    </w:pPr>
    <w:rPr>
      <w:b/>
      <w:color w:val="666666" w:themeColor="accent2"/>
      <w:sz w:val="30"/>
      <w:szCs w:val="30"/>
    </w:rPr>
  </w:style>
  <w:style w:type="paragraph" w:styleId="Heading9">
    <w:name w:val="heading 9"/>
    <w:basedOn w:val="Normal"/>
    <w:next w:val="ParaText"/>
    <w:rsid w:val="000B1D76"/>
    <w:pPr>
      <w:keepNext/>
      <w:numPr>
        <w:ilvl w:val="2"/>
        <w:numId w:val="3"/>
      </w:numPr>
      <w:spacing w:before="240"/>
      <w:outlineLvl w:val="8"/>
    </w:pPr>
    <w:rPr>
      <w:b/>
      <w:color w:val="666666"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Text">
    <w:name w:val="ParaText"/>
    <w:basedOn w:val="Normal"/>
    <w:link w:val="ParaTextChar"/>
    <w:rsid w:val="00A378FE"/>
    <w:pPr>
      <w:spacing w:before="240" w:after="120"/>
    </w:pPr>
  </w:style>
  <w:style w:type="paragraph" w:styleId="Header">
    <w:name w:val="header"/>
    <w:basedOn w:val="Normal"/>
    <w:link w:val="HeaderChar"/>
    <w:uiPriority w:val="99"/>
    <w:rsid w:val="00460C2E"/>
    <w:pPr>
      <w:tabs>
        <w:tab w:val="center" w:pos="4320"/>
        <w:tab w:val="right" w:pos="8640"/>
      </w:tabs>
      <w:spacing w:after="240"/>
      <w:jc w:val="both"/>
    </w:pPr>
    <w:rPr>
      <w:b/>
      <w:sz w:val="34"/>
    </w:rPr>
  </w:style>
  <w:style w:type="paragraph" w:styleId="Footer">
    <w:name w:val="footer"/>
    <w:aliases w:val="_z Other - Footer"/>
    <w:basedOn w:val="Normal"/>
    <w:link w:val="FooterChar"/>
    <w:uiPriority w:val="99"/>
    <w:rsid w:val="000B1D76"/>
    <w:pPr>
      <w:pBdr>
        <w:top w:val="single" w:sz="12" w:space="1" w:color="666666"/>
      </w:pBdr>
      <w:tabs>
        <w:tab w:val="right" w:pos="9360"/>
      </w:tabs>
      <w:spacing w:line="240" w:lineRule="auto"/>
    </w:pPr>
    <w:rPr>
      <w:color w:val="666666" w:themeColor="accent2"/>
      <w:sz w:val="18"/>
      <w:szCs w:val="18"/>
    </w:rPr>
  </w:style>
  <w:style w:type="character" w:styleId="PageNumber">
    <w:name w:val="page number"/>
    <w:basedOn w:val="DefaultParagraphFont"/>
    <w:rsid w:val="00460C2E"/>
    <w:rPr>
      <w:rFonts w:ascii="Georgia" w:hAnsi="Georgia"/>
      <w:color w:val="666666"/>
      <w:sz w:val="18"/>
    </w:rPr>
  </w:style>
  <w:style w:type="paragraph" w:styleId="TOC1">
    <w:name w:val="toc 1"/>
    <w:basedOn w:val="Normal"/>
    <w:next w:val="Normal"/>
    <w:autoRedefine/>
    <w:uiPriority w:val="39"/>
    <w:rsid w:val="00460C2E"/>
    <w:pPr>
      <w:tabs>
        <w:tab w:val="left" w:pos="432"/>
        <w:tab w:val="right" w:leader="dot" w:pos="9360"/>
      </w:tabs>
      <w:ind w:left="432" w:hanging="432"/>
    </w:pPr>
    <w:rPr>
      <w:rFonts w:cs="Arial"/>
      <w:noProof/>
    </w:rPr>
  </w:style>
  <w:style w:type="paragraph" w:customStyle="1" w:styleId="TOCTitle">
    <w:name w:val="TOC Title"/>
    <w:basedOn w:val="Header"/>
    <w:rsid w:val="00A378FE"/>
    <w:pPr>
      <w:spacing w:before="360" w:after="400"/>
    </w:pPr>
    <w:rPr>
      <w:color w:val="666666" w:themeColor="accent2"/>
      <w:sz w:val="42"/>
      <w:szCs w:val="42"/>
    </w:rPr>
  </w:style>
  <w:style w:type="paragraph" w:styleId="TOC9">
    <w:name w:val="toc 9"/>
    <w:basedOn w:val="Normal"/>
    <w:next w:val="Normal"/>
    <w:autoRedefine/>
    <w:semiHidden/>
    <w:rsid w:val="00460C2E"/>
    <w:pPr>
      <w:tabs>
        <w:tab w:val="right" w:pos="1728"/>
        <w:tab w:val="right" w:leader="dot" w:pos="9360"/>
      </w:tabs>
    </w:pPr>
    <w:rPr>
      <w:rFonts w:cs="Arial"/>
      <w:noProof/>
    </w:rPr>
  </w:style>
  <w:style w:type="paragraph" w:customStyle="1" w:styleId="ExhLst">
    <w:name w:val="Exh_Lst"/>
    <w:basedOn w:val="Normal"/>
    <w:rsid w:val="00A378FE"/>
    <w:pPr>
      <w:spacing w:after="240"/>
    </w:pPr>
    <w:rPr>
      <w:b/>
      <w:color w:val="666666" w:themeColor="accent2"/>
      <w:sz w:val="26"/>
    </w:rPr>
  </w:style>
  <w:style w:type="paragraph" w:customStyle="1" w:styleId="List1">
    <w:name w:val="List 1"/>
    <w:basedOn w:val="Normal"/>
    <w:rsid w:val="00460C2E"/>
    <w:pPr>
      <w:numPr>
        <w:numId w:val="14"/>
      </w:numPr>
      <w:tabs>
        <w:tab w:val="left" w:pos="360"/>
      </w:tabs>
      <w:spacing w:line="300" w:lineRule="auto"/>
      <w:outlineLvl w:val="0"/>
    </w:pPr>
  </w:style>
  <w:style w:type="paragraph" w:customStyle="1" w:styleId="Bullet1">
    <w:name w:val="Bullet 1"/>
    <w:aliases w:val="b,bullet,Body,Bullet,bullets,body,bd,b-heading 1/heading 2,heading1body-heading2body,b2,he... + Black,b1"/>
    <w:basedOn w:val="Normal"/>
    <w:link w:val="bChar"/>
    <w:rsid w:val="00A378FE"/>
    <w:pPr>
      <w:numPr>
        <w:numId w:val="15"/>
      </w:numPr>
      <w:spacing w:before="120" w:after="120"/>
    </w:pPr>
  </w:style>
  <w:style w:type="paragraph" w:styleId="BalloonText">
    <w:name w:val="Balloon Text"/>
    <w:basedOn w:val="Normal"/>
    <w:link w:val="BalloonTextChar"/>
    <w:semiHidden/>
    <w:rsid w:val="00460C2E"/>
    <w:pPr>
      <w:spacing w:line="240" w:lineRule="auto"/>
    </w:pPr>
    <w:rPr>
      <w:rFonts w:ascii="Tahoma" w:hAnsi="Tahoma" w:cs="Tahoma"/>
      <w:sz w:val="16"/>
      <w:szCs w:val="16"/>
    </w:rPr>
  </w:style>
  <w:style w:type="paragraph" w:customStyle="1" w:styleId="Exhibit">
    <w:name w:val="Exhibit"/>
    <w:basedOn w:val="Normal"/>
    <w:next w:val="Normal"/>
    <w:rsid w:val="00460C2E"/>
    <w:pPr>
      <w:spacing w:after="240"/>
    </w:pPr>
    <w:rPr>
      <w:rFonts w:ascii="Verdana" w:hAnsi="Verdana"/>
      <w:b/>
    </w:rPr>
  </w:style>
  <w:style w:type="paragraph" w:styleId="TableofFigures">
    <w:name w:val="table of figures"/>
    <w:basedOn w:val="Normal"/>
    <w:next w:val="Normal"/>
    <w:uiPriority w:val="99"/>
    <w:rsid w:val="00460C2E"/>
    <w:pPr>
      <w:ind w:left="440" w:hanging="440"/>
    </w:pPr>
  </w:style>
  <w:style w:type="paragraph" w:styleId="TOC2">
    <w:name w:val="toc 2"/>
    <w:basedOn w:val="Normal"/>
    <w:next w:val="Normal"/>
    <w:autoRedefine/>
    <w:uiPriority w:val="39"/>
    <w:rsid w:val="00460C2E"/>
    <w:pPr>
      <w:tabs>
        <w:tab w:val="left" w:pos="1080"/>
        <w:tab w:val="right" w:leader="dot" w:pos="9360"/>
      </w:tabs>
      <w:ind w:left="1440" w:hanging="1008"/>
    </w:pPr>
    <w:rPr>
      <w:noProof/>
    </w:rPr>
  </w:style>
  <w:style w:type="paragraph" w:styleId="TOC3">
    <w:name w:val="toc 3"/>
    <w:basedOn w:val="Normal"/>
    <w:next w:val="Normal"/>
    <w:autoRedefine/>
    <w:uiPriority w:val="39"/>
    <w:rsid w:val="00460C2E"/>
    <w:pPr>
      <w:tabs>
        <w:tab w:val="left" w:pos="1512"/>
        <w:tab w:val="right" w:leader="dot" w:pos="9360"/>
      </w:tabs>
      <w:ind w:left="2376" w:hanging="1512"/>
    </w:pPr>
    <w:rPr>
      <w:noProof/>
    </w:rPr>
  </w:style>
  <w:style w:type="paragraph" w:styleId="TOC4">
    <w:name w:val="toc 4"/>
    <w:basedOn w:val="Normal"/>
    <w:next w:val="Normal"/>
    <w:autoRedefine/>
    <w:semiHidden/>
    <w:rsid w:val="00460C2E"/>
    <w:pPr>
      <w:tabs>
        <w:tab w:val="left" w:pos="2592"/>
        <w:tab w:val="right" w:leader="dot" w:pos="9360"/>
      </w:tabs>
      <w:ind w:left="-810" w:firstLine="2538"/>
    </w:pPr>
    <w:rPr>
      <w:noProof/>
    </w:rPr>
  </w:style>
  <w:style w:type="paragraph" w:styleId="TOC5">
    <w:name w:val="toc 5"/>
    <w:basedOn w:val="Normal"/>
    <w:next w:val="Normal"/>
    <w:autoRedefine/>
    <w:semiHidden/>
    <w:rsid w:val="00460C2E"/>
    <w:pPr>
      <w:tabs>
        <w:tab w:val="left" w:pos="2736"/>
        <w:tab w:val="left" w:pos="3672"/>
        <w:tab w:val="right" w:leader="dot" w:pos="9360"/>
      </w:tabs>
      <w:ind w:left="-1350" w:firstLine="3942"/>
    </w:pPr>
    <w:rPr>
      <w:noProof/>
    </w:rPr>
  </w:style>
  <w:style w:type="paragraph" w:styleId="TOC6">
    <w:name w:val="toc 6"/>
    <w:basedOn w:val="Normal"/>
    <w:next w:val="Normal"/>
    <w:autoRedefine/>
    <w:semiHidden/>
    <w:rsid w:val="00460C2E"/>
    <w:pPr>
      <w:tabs>
        <w:tab w:val="left" w:pos="5040"/>
        <w:tab w:val="right" w:leader="dot" w:pos="9350"/>
      </w:tabs>
      <w:ind w:left="3708"/>
    </w:pPr>
  </w:style>
  <w:style w:type="paragraph" w:styleId="TOC7">
    <w:name w:val="toc 7"/>
    <w:basedOn w:val="Normal"/>
    <w:next w:val="Normal"/>
    <w:autoRedefine/>
    <w:semiHidden/>
    <w:rsid w:val="00460C2E"/>
    <w:pPr>
      <w:tabs>
        <w:tab w:val="left" w:pos="432"/>
        <w:tab w:val="right" w:leader="dot" w:pos="9360"/>
      </w:tabs>
      <w:ind w:left="432" w:hanging="432"/>
    </w:pPr>
    <w:rPr>
      <w:noProof/>
    </w:rPr>
  </w:style>
  <w:style w:type="paragraph" w:styleId="TOC8">
    <w:name w:val="toc 8"/>
    <w:basedOn w:val="Normal"/>
    <w:next w:val="Normal"/>
    <w:autoRedefine/>
    <w:semiHidden/>
    <w:rsid w:val="00460C2E"/>
    <w:pPr>
      <w:ind w:left="1540"/>
    </w:pPr>
  </w:style>
  <w:style w:type="paragraph" w:styleId="Caption">
    <w:name w:val="caption"/>
    <w:aliases w:val="_Main body - Caption,Caption Char,Table Caption,Podpis nad obiektem,Char,_Main body - Caption figure,Figure,_Caption"/>
    <w:basedOn w:val="Normal"/>
    <w:next w:val="Normal"/>
    <w:link w:val="CaptionChar1"/>
    <w:uiPriority w:val="35"/>
    <w:qFormat/>
    <w:rsid w:val="000B1CDA"/>
    <w:pPr>
      <w:keepNext/>
      <w:spacing w:before="120" w:after="60"/>
      <w:jc w:val="center"/>
    </w:pPr>
    <w:rPr>
      <w:b/>
    </w:rPr>
  </w:style>
  <w:style w:type="character" w:styleId="Hyperlink">
    <w:name w:val="Hyperlink"/>
    <w:aliases w:val="_z Other - Hyperlink"/>
    <w:basedOn w:val="DefaultParagraphFont"/>
    <w:uiPriority w:val="99"/>
    <w:rsid w:val="00460C2E"/>
    <w:rPr>
      <w:color w:val="0000FF"/>
      <w:u w:val="single"/>
    </w:rPr>
  </w:style>
  <w:style w:type="paragraph" w:customStyle="1" w:styleId="Bullets">
    <w:name w:val="Bullets"/>
    <w:basedOn w:val="Normal"/>
    <w:qFormat/>
    <w:rsid w:val="003C2D4E"/>
    <w:pPr>
      <w:numPr>
        <w:numId w:val="16"/>
      </w:numPr>
      <w:spacing w:line="240" w:lineRule="auto"/>
      <w:contextualSpacing/>
    </w:pPr>
    <w:rPr>
      <w:rFonts w:ascii="MS Reference Sans Serif" w:hAnsi="MS Reference Sans Serif" w:cs="Arial"/>
      <w:sz w:val="20"/>
    </w:rPr>
  </w:style>
  <w:style w:type="paragraph" w:customStyle="1" w:styleId="Bullet3">
    <w:name w:val="Bullet 3"/>
    <w:basedOn w:val="Normal"/>
    <w:rsid w:val="00A378FE"/>
    <w:pPr>
      <w:numPr>
        <w:numId w:val="17"/>
      </w:numPr>
    </w:pPr>
  </w:style>
  <w:style w:type="paragraph" w:customStyle="1" w:styleId="Headline">
    <w:name w:val="Headline"/>
    <w:basedOn w:val="Normal"/>
    <w:next w:val="SubHeadline"/>
    <w:rsid w:val="00A378FE"/>
    <w:rPr>
      <w:color w:val="666666" w:themeColor="accent2"/>
      <w:sz w:val="56"/>
      <w:szCs w:val="44"/>
      <w:lang w:val="en-GB"/>
    </w:rPr>
  </w:style>
  <w:style w:type="paragraph" w:customStyle="1" w:styleId="SubHeadline">
    <w:name w:val="Sub Headline"/>
    <w:basedOn w:val="Headline"/>
    <w:next w:val="Normal"/>
    <w:rsid w:val="00460C2E"/>
    <w:rPr>
      <w:sz w:val="44"/>
      <w:szCs w:val="30"/>
    </w:rPr>
  </w:style>
  <w:style w:type="paragraph" w:customStyle="1" w:styleId="Bullet1-hardreturn">
    <w:name w:val="Bullet 1 - hard return"/>
    <w:basedOn w:val="Bullet1"/>
    <w:rsid w:val="00460C2E"/>
    <w:pPr>
      <w:numPr>
        <w:numId w:val="0"/>
      </w:numPr>
      <w:spacing w:after="240"/>
    </w:pPr>
  </w:style>
  <w:style w:type="paragraph" w:customStyle="1" w:styleId="Bullet2-hardreturn">
    <w:name w:val="Bullet 2 - hard return"/>
    <w:basedOn w:val="Bullets"/>
    <w:rsid w:val="00460C2E"/>
    <w:pPr>
      <w:numPr>
        <w:numId w:val="0"/>
      </w:numPr>
      <w:spacing w:after="240"/>
    </w:pPr>
  </w:style>
  <w:style w:type="paragraph" w:customStyle="1" w:styleId="Bullet3-hardreturn">
    <w:name w:val="Bullet 3 - hard return"/>
    <w:basedOn w:val="Bullet3"/>
    <w:rsid w:val="00460C2E"/>
    <w:pPr>
      <w:numPr>
        <w:numId w:val="0"/>
      </w:numPr>
      <w:spacing w:after="240"/>
    </w:pPr>
  </w:style>
  <w:style w:type="paragraph" w:customStyle="1" w:styleId="Tabletext">
    <w:name w:val="Table text"/>
    <w:basedOn w:val="Normal"/>
    <w:qFormat/>
    <w:rsid w:val="00A378FE"/>
    <w:pPr>
      <w:spacing w:before="20" w:after="20"/>
    </w:pPr>
    <w:rPr>
      <w:sz w:val="20"/>
    </w:rPr>
  </w:style>
  <w:style w:type="paragraph" w:customStyle="1" w:styleId="Text">
    <w:name w:val="Text"/>
    <w:basedOn w:val="Normal"/>
    <w:rsid w:val="00460C2E"/>
    <w:rPr>
      <w:color w:val="44546A" w:themeColor="text2"/>
      <w:sz w:val="26"/>
      <w:szCs w:val="26"/>
      <w:lang w:val="en-GB"/>
    </w:rPr>
  </w:style>
  <w:style w:type="paragraph" w:styleId="FootnoteText">
    <w:name w:val="footnote text"/>
    <w:aliases w:val="Footnote Text1 Char,Footnote Text Char Ch,Footnote Text Char Ch Char Char Char,Footnote Text Char Ch Char Char,Footnote Text1 Char Char Char,ft Char,ft,TBG Style,ALTS FOOTNOTE,Footnote Text 2,fn,Footnote text,Char2 Char,EMI Footnote Text,f"/>
    <w:basedOn w:val="Normal"/>
    <w:link w:val="FootnoteTextChar"/>
    <w:rsid w:val="00460C2E"/>
    <w:pPr>
      <w:spacing w:after="60" w:line="240" w:lineRule="auto"/>
    </w:pPr>
    <w:rPr>
      <w:sz w:val="20"/>
      <w:szCs w:val="20"/>
    </w:rPr>
  </w:style>
  <w:style w:type="character" w:styleId="FootnoteReference">
    <w:name w:val="footnote reference"/>
    <w:aliases w:val="o,Footnote_Reference,Style 17,fr,o + Times New Roman"/>
    <w:basedOn w:val="DefaultParagraphFont"/>
    <w:rsid w:val="00460C2E"/>
    <w:rPr>
      <w:vertAlign w:val="superscript"/>
    </w:rPr>
  </w:style>
  <w:style w:type="character" w:customStyle="1" w:styleId="BalloonTextChar">
    <w:name w:val="Balloon Text Char"/>
    <w:basedOn w:val="DefaultParagraphFont"/>
    <w:link w:val="BalloonText"/>
    <w:semiHidden/>
    <w:rsid w:val="00460C2E"/>
    <w:rPr>
      <w:rFonts w:ascii="Tahoma" w:hAnsi="Tahoma" w:cs="Tahoma"/>
      <w:sz w:val="16"/>
      <w:szCs w:val="16"/>
    </w:rPr>
  </w:style>
  <w:style w:type="paragraph" w:styleId="List2">
    <w:name w:val="List 2"/>
    <w:basedOn w:val="Normal"/>
    <w:rsid w:val="00460C2E"/>
    <w:pPr>
      <w:numPr>
        <w:ilvl w:val="1"/>
        <w:numId w:val="14"/>
      </w:numPr>
      <w:tabs>
        <w:tab w:val="left" w:pos="360"/>
      </w:tabs>
      <w:contextualSpacing/>
      <w:outlineLvl w:val="1"/>
    </w:pPr>
  </w:style>
  <w:style w:type="paragraph" w:styleId="List3">
    <w:name w:val="List 3"/>
    <w:basedOn w:val="Normal"/>
    <w:rsid w:val="00460C2E"/>
    <w:pPr>
      <w:numPr>
        <w:ilvl w:val="2"/>
        <w:numId w:val="14"/>
      </w:numPr>
      <w:tabs>
        <w:tab w:val="left" w:pos="360"/>
      </w:tabs>
      <w:contextualSpacing/>
      <w:outlineLvl w:val="2"/>
    </w:pPr>
  </w:style>
  <w:style w:type="paragraph" w:customStyle="1" w:styleId="Tableleft-handcolumn">
    <w:name w:val="Table: left-hand column"/>
    <w:basedOn w:val="Tabletext"/>
    <w:next w:val="ParaText"/>
    <w:rsid w:val="00A378FE"/>
    <w:rPr>
      <w:b/>
    </w:rPr>
  </w:style>
  <w:style w:type="character" w:customStyle="1" w:styleId="ParaTextChar">
    <w:name w:val="ParaText Char"/>
    <w:basedOn w:val="DefaultParagraphFont"/>
    <w:link w:val="ParaText"/>
    <w:rsid w:val="00A378FE"/>
    <w:rPr>
      <w:rFonts w:ascii="Calibri" w:hAnsi="Calibri"/>
    </w:rPr>
  </w:style>
  <w:style w:type="table" w:styleId="LightList-Accent1">
    <w:name w:val="Light List Accent 1"/>
    <w:basedOn w:val="TableNormal"/>
    <w:uiPriority w:val="61"/>
    <w:rsid w:val="00460C2E"/>
    <w:pPr>
      <w:spacing w:line="240" w:lineRule="auto"/>
    </w:pPr>
    <w:tblPr>
      <w:tblStyleRowBandSize w:val="1"/>
      <w:tblStyleColBandSize w:val="1"/>
      <w:tblBorders>
        <w:top w:val="single" w:sz="8" w:space="0" w:color="CC0033" w:themeColor="accent1"/>
        <w:left w:val="single" w:sz="8" w:space="0" w:color="CC0033" w:themeColor="accent1"/>
        <w:bottom w:val="single" w:sz="8" w:space="0" w:color="CC0033" w:themeColor="accent1"/>
        <w:right w:val="single" w:sz="8" w:space="0" w:color="CC0033" w:themeColor="accent1"/>
      </w:tblBorders>
    </w:tblPr>
    <w:tblStylePr w:type="firstRow">
      <w:pPr>
        <w:spacing w:before="0" w:after="0" w:line="240" w:lineRule="auto"/>
      </w:pPr>
      <w:rPr>
        <w:b/>
        <w:bCs/>
        <w:color w:val="FFFFFF" w:themeColor="background1"/>
      </w:rPr>
      <w:tblPr/>
      <w:tcPr>
        <w:shd w:val="clear" w:color="auto" w:fill="CC0033" w:themeFill="accent1"/>
      </w:tcPr>
    </w:tblStylePr>
    <w:tblStylePr w:type="lastRow">
      <w:pPr>
        <w:spacing w:before="0" w:after="0" w:line="240" w:lineRule="auto"/>
      </w:pPr>
      <w:rPr>
        <w:b/>
        <w:bCs/>
      </w:rPr>
      <w:tblPr/>
      <w:tcPr>
        <w:tcBorders>
          <w:top w:val="double" w:sz="6" w:space="0" w:color="CC0033" w:themeColor="accent1"/>
          <w:left w:val="single" w:sz="8" w:space="0" w:color="CC0033" w:themeColor="accent1"/>
          <w:bottom w:val="single" w:sz="8" w:space="0" w:color="CC0033" w:themeColor="accent1"/>
          <w:right w:val="single" w:sz="8" w:space="0" w:color="CC0033" w:themeColor="accent1"/>
        </w:tcBorders>
      </w:tcPr>
    </w:tblStylePr>
    <w:tblStylePr w:type="firstCol">
      <w:rPr>
        <w:b/>
        <w:bCs/>
      </w:rPr>
    </w:tblStylePr>
    <w:tblStylePr w:type="lastCol">
      <w:rPr>
        <w:b/>
        <w:bCs/>
      </w:rPr>
    </w:tblStylePr>
    <w:tblStylePr w:type="band1Vert">
      <w:tblPr/>
      <w:tcPr>
        <w:tcBorders>
          <w:top w:val="single" w:sz="8" w:space="0" w:color="CC0033" w:themeColor="accent1"/>
          <w:left w:val="single" w:sz="8" w:space="0" w:color="CC0033" w:themeColor="accent1"/>
          <w:bottom w:val="single" w:sz="8" w:space="0" w:color="CC0033" w:themeColor="accent1"/>
          <w:right w:val="single" w:sz="8" w:space="0" w:color="CC0033" w:themeColor="accent1"/>
        </w:tcBorders>
      </w:tcPr>
    </w:tblStylePr>
    <w:tblStylePr w:type="band1Horz">
      <w:tblPr/>
      <w:tcPr>
        <w:tcBorders>
          <w:top w:val="single" w:sz="8" w:space="0" w:color="CC0033" w:themeColor="accent1"/>
          <w:left w:val="single" w:sz="8" w:space="0" w:color="CC0033" w:themeColor="accent1"/>
          <w:bottom w:val="single" w:sz="8" w:space="0" w:color="CC0033" w:themeColor="accent1"/>
          <w:right w:val="single" w:sz="8" w:space="0" w:color="CC0033" w:themeColor="accent1"/>
        </w:tcBorders>
      </w:tcPr>
    </w:tblStylePr>
  </w:style>
  <w:style w:type="table" w:styleId="TableGrid">
    <w:name w:val="Table Grid"/>
    <w:basedOn w:val="TableNormal"/>
    <w:uiPriority w:val="39"/>
    <w:rsid w:val="008071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pexTable">
    <w:name w:val="Apex Table"/>
    <w:basedOn w:val="TableNormal"/>
    <w:uiPriority w:val="99"/>
    <w:rsid w:val="00DB514B"/>
    <w:pPr>
      <w:spacing w:line="240" w:lineRule="auto"/>
    </w:pPr>
    <w:rPr>
      <w:rFonts w:ascii="MS Reference Sans Serif" w:hAnsi="MS Reference Sans Serif"/>
      <w:color w:val="000000" w:themeColor="text1"/>
      <w:sz w:val="20"/>
    </w:rPr>
    <w:tblPr>
      <w:tblBorders>
        <w:top w:val="single" w:sz="2" w:space="0" w:color="44546A" w:themeColor="text2"/>
        <w:left w:val="single" w:sz="2" w:space="0" w:color="44546A" w:themeColor="text2"/>
        <w:bottom w:val="single" w:sz="2" w:space="0" w:color="44546A" w:themeColor="text2"/>
        <w:right w:val="single" w:sz="2" w:space="0" w:color="44546A" w:themeColor="text2"/>
        <w:insideH w:val="single" w:sz="2" w:space="0" w:color="44546A" w:themeColor="text2"/>
        <w:insideV w:val="single" w:sz="2" w:space="0" w:color="44546A" w:themeColor="text2"/>
      </w:tblBorders>
    </w:tblPr>
    <w:tcPr>
      <w:shd w:val="clear" w:color="auto" w:fill="auto"/>
    </w:tcPr>
    <w:tblStylePr w:type="firstRow">
      <w:rPr>
        <w:rFonts w:ascii="Segoe UI Emoji" w:hAnsi="Segoe UI Emoji"/>
        <w:b/>
        <w:color w:val="E7E6E6" w:themeColor="background2"/>
        <w:sz w:val="20"/>
      </w:rPr>
      <w:tblPr/>
      <w:tcPr>
        <w:shd w:val="clear" w:color="auto" w:fill="CC0033" w:themeFill="accent1"/>
      </w:tcPr>
    </w:tblStylePr>
    <w:tblStylePr w:type="firstCol">
      <w:rPr>
        <w:rFonts w:ascii="Segoe UI Emoji" w:hAnsi="Segoe UI Emoji"/>
        <w:b/>
        <w:sz w:val="20"/>
      </w:rPr>
    </w:tblStylePr>
  </w:style>
  <w:style w:type="table" w:styleId="LightList">
    <w:name w:val="Light List"/>
    <w:basedOn w:val="TableNormal"/>
    <w:uiPriority w:val="61"/>
    <w:semiHidden/>
    <w:unhideWhenUsed/>
    <w:rsid w:val="0080717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overText">
    <w:name w:val="Cover Text"/>
    <w:basedOn w:val="Normal"/>
    <w:next w:val="Normal"/>
    <w:rsid w:val="00460C2E"/>
    <w:rPr>
      <w:sz w:val="28"/>
      <w:szCs w:val="28"/>
    </w:rPr>
  </w:style>
  <w:style w:type="paragraph" w:customStyle="1" w:styleId="TableColumnHead">
    <w:name w:val="Table Column Head"/>
    <w:basedOn w:val="Tabletext"/>
    <w:next w:val="Normal"/>
    <w:rsid w:val="00460C2E"/>
    <w:pPr>
      <w:keepNext/>
      <w:jc w:val="center"/>
    </w:pPr>
    <w:rPr>
      <w:rFonts w:ascii="Verdana" w:hAnsi="Verdana"/>
      <w:b/>
      <w:color w:val="FFFFFF" w:themeColor="background1"/>
    </w:rPr>
  </w:style>
  <w:style w:type="paragraph" w:styleId="ListParagraph">
    <w:name w:val="List Paragraph"/>
    <w:aliases w:val="Bullet Paragraphs,Bullet Styles para,TOC etc."/>
    <w:basedOn w:val="Normal"/>
    <w:link w:val="ListParagraphChar"/>
    <w:uiPriority w:val="34"/>
    <w:qFormat/>
    <w:rsid w:val="00322749"/>
    <w:pPr>
      <w:spacing w:before="80" w:after="120" w:line="312" w:lineRule="auto"/>
      <w:ind w:left="720"/>
      <w:contextualSpacing/>
    </w:pPr>
    <w:rPr>
      <w:rFonts w:ascii="MS Reference Sans Serif" w:hAnsi="MS Reference Sans Serif"/>
      <w:sz w:val="20"/>
    </w:rPr>
  </w:style>
  <w:style w:type="paragraph" w:customStyle="1" w:styleId="RFPText">
    <w:name w:val="RFP Text"/>
    <w:basedOn w:val="Normal"/>
    <w:rsid w:val="00460C2E"/>
    <w:pPr>
      <w:spacing w:before="120" w:after="120"/>
    </w:pPr>
    <w:rPr>
      <w:i/>
      <w:color w:val="0434B1"/>
    </w:rPr>
  </w:style>
  <w:style w:type="paragraph" w:customStyle="1" w:styleId="Question">
    <w:name w:val="Question"/>
    <w:basedOn w:val="Normal"/>
    <w:next w:val="ParaText"/>
    <w:rsid w:val="00460C2E"/>
    <w:pPr>
      <w:spacing w:before="180" w:line="264" w:lineRule="auto"/>
      <w:ind w:left="720" w:hanging="720"/>
    </w:pPr>
    <w:rPr>
      <w:b/>
    </w:rPr>
  </w:style>
  <w:style w:type="paragraph" w:styleId="BodyText">
    <w:name w:val="Body Text"/>
    <w:basedOn w:val="Normal"/>
    <w:link w:val="BodyTextChar"/>
    <w:uiPriority w:val="1"/>
    <w:rsid w:val="00460C2E"/>
    <w:pPr>
      <w:spacing w:line="312" w:lineRule="auto"/>
    </w:pPr>
    <w:rPr>
      <w:szCs w:val="24"/>
    </w:rPr>
  </w:style>
  <w:style w:type="character" w:customStyle="1" w:styleId="BodyTextChar">
    <w:name w:val="Body Text Char"/>
    <w:basedOn w:val="DefaultParagraphFont"/>
    <w:link w:val="BodyText"/>
    <w:uiPriority w:val="1"/>
    <w:rsid w:val="00460C2E"/>
    <w:rPr>
      <w:szCs w:val="24"/>
    </w:rPr>
  </w:style>
  <w:style w:type="paragraph" w:customStyle="1" w:styleId="Valediction">
    <w:name w:val="Valediction"/>
    <w:basedOn w:val="BodyText"/>
    <w:semiHidden/>
    <w:rsid w:val="00460C2E"/>
    <w:pPr>
      <w:keepNext/>
    </w:pPr>
  </w:style>
  <w:style w:type="paragraph" w:customStyle="1" w:styleId="ccenc">
    <w:name w:val="cc/enc"/>
    <w:basedOn w:val="BodyText"/>
    <w:semiHidden/>
    <w:rsid w:val="00460C2E"/>
    <w:pPr>
      <w:tabs>
        <w:tab w:val="left" w:pos="1418"/>
      </w:tabs>
      <w:spacing w:before="240"/>
      <w:ind w:left="1418" w:hanging="1418"/>
    </w:pPr>
  </w:style>
  <w:style w:type="paragraph" w:customStyle="1" w:styleId="LegalFooter">
    <w:name w:val="LegalFooter"/>
    <w:basedOn w:val="Footer"/>
    <w:semiHidden/>
    <w:rsid w:val="00460C2E"/>
    <w:pPr>
      <w:pBdr>
        <w:top w:val="none" w:sz="0" w:space="0" w:color="auto"/>
      </w:pBdr>
      <w:tabs>
        <w:tab w:val="clear" w:pos="9360"/>
      </w:tabs>
      <w:spacing w:line="264" w:lineRule="auto"/>
    </w:pPr>
    <w:rPr>
      <w:rFonts w:ascii="Verdana" w:hAnsi="Verdana"/>
      <w:noProof/>
      <w:color w:val="auto"/>
      <w:sz w:val="17"/>
      <w:szCs w:val="24"/>
    </w:rPr>
  </w:style>
  <w:style w:type="paragraph" w:customStyle="1" w:styleId="FooterDate">
    <w:name w:val="Footer Date"/>
    <w:basedOn w:val="Normal"/>
    <w:semiHidden/>
    <w:unhideWhenUsed/>
    <w:rsid w:val="00460C2E"/>
    <w:pPr>
      <w:keepNext/>
      <w:snapToGrid w:val="0"/>
      <w:jc w:val="right"/>
    </w:pPr>
    <w:rPr>
      <w:rFonts w:cstheme="minorHAnsi"/>
      <w:color w:val="666666"/>
      <w:sz w:val="18"/>
      <w:szCs w:val="18"/>
    </w:rPr>
  </w:style>
  <w:style w:type="paragraph" w:customStyle="1" w:styleId="FooterCompanyName">
    <w:name w:val="Footer Company Name"/>
    <w:basedOn w:val="FootnoteText"/>
    <w:unhideWhenUsed/>
    <w:rsid w:val="00460C2E"/>
    <w:pPr>
      <w:keepNext/>
    </w:pPr>
    <w:rPr>
      <w:rFonts w:ascii="Verdana" w:hAnsi="Verdana"/>
      <w:color w:val="666666"/>
    </w:rPr>
  </w:style>
  <w:style w:type="character" w:customStyle="1" w:styleId="FooterChar">
    <w:name w:val="Footer Char"/>
    <w:aliases w:val="_z Other - Footer Char"/>
    <w:basedOn w:val="DefaultParagraphFont"/>
    <w:link w:val="Footer"/>
    <w:uiPriority w:val="99"/>
    <w:rsid w:val="000B1D76"/>
    <w:rPr>
      <w:rFonts w:ascii="Calibri" w:hAnsi="Calibri"/>
      <w:color w:val="666666" w:themeColor="accent2"/>
      <w:sz w:val="18"/>
      <w:szCs w:val="18"/>
    </w:rPr>
  </w:style>
  <w:style w:type="character" w:customStyle="1" w:styleId="HeaderChar">
    <w:name w:val="Header Char"/>
    <w:basedOn w:val="DefaultParagraphFont"/>
    <w:link w:val="Header"/>
    <w:uiPriority w:val="99"/>
    <w:rsid w:val="00460C2E"/>
    <w:rPr>
      <w:b/>
      <w:sz w:val="34"/>
    </w:rPr>
  </w:style>
  <w:style w:type="paragraph" w:customStyle="1" w:styleId="BackCover">
    <w:name w:val="Back Cover"/>
    <w:basedOn w:val="BodyText"/>
    <w:next w:val="Normal"/>
    <w:rsid w:val="00460C2E"/>
    <w:pPr>
      <w:spacing w:line="264" w:lineRule="auto"/>
      <w:ind w:right="1440"/>
    </w:pPr>
    <w:rPr>
      <w:rFonts w:ascii="Verdana" w:hAnsi="Verdana" w:cs="Arial"/>
      <w:color w:val="666666"/>
      <w:sz w:val="20"/>
      <w:szCs w:val="20"/>
    </w:rPr>
  </w:style>
  <w:style w:type="table" w:styleId="LightList-Accent5">
    <w:name w:val="Light List Accent 5"/>
    <w:basedOn w:val="TableNormal"/>
    <w:uiPriority w:val="61"/>
    <w:rsid w:val="00460C2E"/>
    <w:pPr>
      <w:spacing w:line="240" w:lineRule="auto"/>
    </w:pPr>
    <w:tblPr>
      <w:tblStyleRowBandSize w:val="1"/>
      <w:tblStyleColBandSize w:val="1"/>
      <w:tblBorders>
        <w:top w:val="single" w:sz="8" w:space="0" w:color="69992F" w:themeColor="accent5"/>
        <w:left w:val="single" w:sz="8" w:space="0" w:color="69992F" w:themeColor="accent5"/>
        <w:bottom w:val="single" w:sz="8" w:space="0" w:color="69992F" w:themeColor="accent5"/>
        <w:right w:val="single" w:sz="8" w:space="0" w:color="69992F" w:themeColor="accent5"/>
      </w:tblBorders>
    </w:tblPr>
    <w:tblStylePr w:type="firstRow">
      <w:pPr>
        <w:spacing w:before="0" w:after="0" w:line="240" w:lineRule="auto"/>
      </w:pPr>
      <w:rPr>
        <w:b/>
        <w:bCs/>
        <w:color w:val="FFFFFF" w:themeColor="background1"/>
      </w:rPr>
      <w:tblPr/>
      <w:tcPr>
        <w:shd w:val="clear" w:color="auto" w:fill="69992F" w:themeFill="accent5"/>
      </w:tcPr>
    </w:tblStylePr>
    <w:tblStylePr w:type="lastRow">
      <w:pPr>
        <w:spacing w:before="0" w:after="0" w:line="240" w:lineRule="auto"/>
      </w:pPr>
      <w:rPr>
        <w:b/>
        <w:bCs/>
      </w:rPr>
      <w:tblPr/>
      <w:tcPr>
        <w:tcBorders>
          <w:top w:val="double" w:sz="6" w:space="0" w:color="69992F" w:themeColor="accent5"/>
          <w:left w:val="single" w:sz="8" w:space="0" w:color="69992F" w:themeColor="accent5"/>
          <w:bottom w:val="single" w:sz="8" w:space="0" w:color="69992F" w:themeColor="accent5"/>
          <w:right w:val="single" w:sz="8" w:space="0" w:color="69992F" w:themeColor="accent5"/>
        </w:tcBorders>
      </w:tcPr>
    </w:tblStylePr>
    <w:tblStylePr w:type="firstCol">
      <w:rPr>
        <w:b/>
        <w:bCs/>
      </w:rPr>
    </w:tblStylePr>
    <w:tblStylePr w:type="lastCol">
      <w:rPr>
        <w:b/>
        <w:bCs/>
      </w:rPr>
    </w:tblStylePr>
    <w:tblStylePr w:type="band1Vert">
      <w:tblPr/>
      <w:tcPr>
        <w:tcBorders>
          <w:top w:val="single" w:sz="8" w:space="0" w:color="69992F" w:themeColor="accent5"/>
          <w:left w:val="single" w:sz="8" w:space="0" w:color="69992F" w:themeColor="accent5"/>
          <w:bottom w:val="single" w:sz="8" w:space="0" w:color="69992F" w:themeColor="accent5"/>
          <w:right w:val="single" w:sz="8" w:space="0" w:color="69992F" w:themeColor="accent5"/>
        </w:tcBorders>
      </w:tcPr>
    </w:tblStylePr>
    <w:tblStylePr w:type="band1Horz">
      <w:tblPr/>
      <w:tcPr>
        <w:tcBorders>
          <w:top w:val="single" w:sz="8" w:space="0" w:color="69992F" w:themeColor="accent5"/>
          <w:left w:val="single" w:sz="8" w:space="0" w:color="69992F" w:themeColor="accent5"/>
          <w:bottom w:val="single" w:sz="8" w:space="0" w:color="69992F" w:themeColor="accent5"/>
          <w:right w:val="single" w:sz="8" w:space="0" w:color="69992F" w:themeColor="accent5"/>
        </w:tcBorders>
      </w:tcPr>
    </w:tblStylePr>
  </w:style>
  <w:style w:type="paragraph" w:styleId="BodyText3">
    <w:name w:val="Body Text 3"/>
    <w:basedOn w:val="Normal"/>
    <w:link w:val="BodyText3Char"/>
    <w:semiHidden/>
    <w:rsid w:val="00460C2E"/>
    <w:pPr>
      <w:spacing w:after="120"/>
    </w:pPr>
    <w:rPr>
      <w:sz w:val="16"/>
      <w:szCs w:val="16"/>
    </w:rPr>
  </w:style>
  <w:style w:type="character" w:customStyle="1" w:styleId="BodyText3Char">
    <w:name w:val="Body Text 3 Char"/>
    <w:basedOn w:val="DefaultParagraphFont"/>
    <w:link w:val="BodyText3"/>
    <w:semiHidden/>
    <w:rsid w:val="00460C2E"/>
    <w:rPr>
      <w:sz w:val="16"/>
      <w:szCs w:val="16"/>
    </w:rPr>
  </w:style>
  <w:style w:type="paragraph" w:styleId="BodyTextIndent">
    <w:name w:val="Body Text Indent"/>
    <w:basedOn w:val="Normal"/>
    <w:link w:val="BodyTextIndentChar"/>
    <w:semiHidden/>
    <w:rsid w:val="00460C2E"/>
    <w:pPr>
      <w:spacing w:after="120"/>
      <w:ind w:left="360"/>
    </w:pPr>
  </w:style>
  <w:style w:type="character" w:customStyle="1" w:styleId="BodyTextIndentChar">
    <w:name w:val="Body Text Indent Char"/>
    <w:basedOn w:val="DefaultParagraphFont"/>
    <w:link w:val="BodyTextIndent"/>
    <w:semiHidden/>
    <w:rsid w:val="00460C2E"/>
  </w:style>
  <w:style w:type="paragraph" w:styleId="BodyTextIndent2">
    <w:name w:val="Body Text Indent 2"/>
    <w:basedOn w:val="Normal"/>
    <w:link w:val="BodyTextIndent2Char"/>
    <w:semiHidden/>
    <w:rsid w:val="00460C2E"/>
    <w:pPr>
      <w:spacing w:after="120" w:line="480" w:lineRule="auto"/>
      <w:ind w:left="360"/>
    </w:pPr>
  </w:style>
  <w:style w:type="character" w:customStyle="1" w:styleId="BodyTextIndent2Char">
    <w:name w:val="Body Text Indent 2 Char"/>
    <w:basedOn w:val="DefaultParagraphFont"/>
    <w:link w:val="BodyTextIndent2"/>
    <w:semiHidden/>
    <w:rsid w:val="00460C2E"/>
  </w:style>
  <w:style w:type="paragraph" w:styleId="BodyTextIndent3">
    <w:name w:val="Body Text Indent 3"/>
    <w:basedOn w:val="Normal"/>
    <w:link w:val="BodyTextIndent3Char"/>
    <w:semiHidden/>
    <w:rsid w:val="00460C2E"/>
    <w:pPr>
      <w:spacing w:after="120"/>
      <w:ind w:left="360"/>
    </w:pPr>
    <w:rPr>
      <w:sz w:val="16"/>
      <w:szCs w:val="16"/>
    </w:rPr>
  </w:style>
  <w:style w:type="character" w:customStyle="1" w:styleId="BodyTextIndent3Char">
    <w:name w:val="Body Text Indent 3 Char"/>
    <w:basedOn w:val="DefaultParagraphFont"/>
    <w:link w:val="BodyTextIndent3"/>
    <w:semiHidden/>
    <w:rsid w:val="00460C2E"/>
    <w:rPr>
      <w:sz w:val="16"/>
      <w:szCs w:val="16"/>
    </w:rPr>
  </w:style>
  <w:style w:type="paragraph" w:styleId="CommentText">
    <w:name w:val="annotation text"/>
    <w:basedOn w:val="Normal"/>
    <w:link w:val="CommentTextChar"/>
    <w:uiPriority w:val="99"/>
    <w:rsid w:val="00460C2E"/>
    <w:pPr>
      <w:spacing w:line="240" w:lineRule="auto"/>
    </w:pPr>
    <w:rPr>
      <w:sz w:val="20"/>
      <w:szCs w:val="20"/>
    </w:rPr>
  </w:style>
  <w:style w:type="character" w:customStyle="1" w:styleId="CommentTextChar">
    <w:name w:val="Comment Text Char"/>
    <w:basedOn w:val="DefaultParagraphFont"/>
    <w:link w:val="CommentText"/>
    <w:uiPriority w:val="99"/>
    <w:rsid w:val="00460C2E"/>
    <w:rPr>
      <w:sz w:val="20"/>
      <w:szCs w:val="20"/>
    </w:rPr>
  </w:style>
  <w:style w:type="paragraph" w:styleId="CommentSubject">
    <w:name w:val="annotation subject"/>
    <w:basedOn w:val="CommentText"/>
    <w:next w:val="CommentText"/>
    <w:link w:val="CommentSubjectChar"/>
    <w:semiHidden/>
    <w:rsid w:val="00460C2E"/>
    <w:rPr>
      <w:b/>
      <w:bCs/>
    </w:rPr>
  </w:style>
  <w:style w:type="character" w:customStyle="1" w:styleId="CommentSubjectChar">
    <w:name w:val="Comment Subject Char"/>
    <w:basedOn w:val="CommentTextChar"/>
    <w:link w:val="CommentSubject"/>
    <w:semiHidden/>
    <w:rsid w:val="00460C2E"/>
    <w:rPr>
      <w:b/>
      <w:bCs/>
      <w:sz w:val="20"/>
      <w:szCs w:val="20"/>
    </w:rPr>
  </w:style>
  <w:style w:type="paragraph" w:styleId="Date">
    <w:name w:val="Date"/>
    <w:basedOn w:val="Normal"/>
    <w:next w:val="Normal"/>
    <w:link w:val="DateChar"/>
    <w:rsid w:val="00460C2E"/>
  </w:style>
  <w:style w:type="character" w:customStyle="1" w:styleId="DateChar">
    <w:name w:val="Date Char"/>
    <w:basedOn w:val="DefaultParagraphFont"/>
    <w:link w:val="Date"/>
    <w:rsid w:val="00460C2E"/>
  </w:style>
  <w:style w:type="paragraph" w:styleId="DocumentMap">
    <w:name w:val="Document Map"/>
    <w:basedOn w:val="Normal"/>
    <w:link w:val="DocumentMapChar"/>
    <w:rsid w:val="00460C2E"/>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460C2E"/>
    <w:rPr>
      <w:rFonts w:ascii="Tahoma" w:hAnsi="Tahoma" w:cs="Tahoma"/>
      <w:sz w:val="16"/>
      <w:szCs w:val="16"/>
    </w:rPr>
  </w:style>
  <w:style w:type="paragraph" w:styleId="E-mailSignature">
    <w:name w:val="E-mail Signature"/>
    <w:basedOn w:val="Normal"/>
    <w:link w:val="E-mailSignatureChar"/>
    <w:rsid w:val="00460C2E"/>
    <w:pPr>
      <w:spacing w:line="240" w:lineRule="auto"/>
    </w:pPr>
  </w:style>
  <w:style w:type="character" w:customStyle="1" w:styleId="E-mailSignatureChar">
    <w:name w:val="E-mail Signature Char"/>
    <w:basedOn w:val="DefaultParagraphFont"/>
    <w:link w:val="E-mailSignature"/>
    <w:rsid w:val="00460C2E"/>
  </w:style>
  <w:style w:type="character" w:styleId="EndnoteReference">
    <w:name w:val="endnote reference"/>
    <w:basedOn w:val="DefaultParagraphFont"/>
    <w:rsid w:val="00460C2E"/>
    <w:rPr>
      <w:vertAlign w:val="superscript"/>
    </w:rPr>
  </w:style>
  <w:style w:type="paragraph" w:styleId="EndnoteText">
    <w:name w:val="endnote text"/>
    <w:basedOn w:val="Normal"/>
    <w:link w:val="EndnoteTextChar"/>
    <w:rsid w:val="00460C2E"/>
    <w:pPr>
      <w:spacing w:line="240" w:lineRule="auto"/>
    </w:pPr>
    <w:rPr>
      <w:sz w:val="20"/>
      <w:szCs w:val="20"/>
    </w:rPr>
  </w:style>
  <w:style w:type="character" w:customStyle="1" w:styleId="EndnoteTextChar">
    <w:name w:val="Endnote Text Char"/>
    <w:basedOn w:val="DefaultParagraphFont"/>
    <w:link w:val="EndnoteText"/>
    <w:rsid w:val="00460C2E"/>
    <w:rPr>
      <w:sz w:val="20"/>
      <w:szCs w:val="20"/>
    </w:rPr>
  </w:style>
  <w:style w:type="paragraph" w:styleId="EnvelopeAddress">
    <w:name w:val="envelope address"/>
    <w:basedOn w:val="Normal"/>
    <w:semiHidden/>
    <w:rsid w:val="00460C2E"/>
    <w:pPr>
      <w:framePr w:w="7920" w:h="1980" w:hRule="exact" w:hSpace="180" w:wrap="auto" w:hAnchor="page" w:xAlign="center" w:yAlign="bottom"/>
      <w:spacing w:line="240" w:lineRule="auto"/>
      <w:ind w:left="2880"/>
    </w:pPr>
    <w:rPr>
      <w:rFonts w:eastAsiaTheme="majorEastAsia" w:cstheme="majorBidi"/>
      <w:sz w:val="24"/>
      <w:szCs w:val="24"/>
    </w:rPr>
  </w:style>
  <w:style w:type="paragraph" w:styleId="EnvelopeReturn">
    <w:name w:val="envelope return"/>
    <w:basedOn w:val="Normal"/>
    <w:semiHidden/>
    <w:rsid w:val="00460C2E"/>
    <w:pPr>
      <w:spacing w:line="240" w:lineRule="auto"/>
    </w:pPr>
    <w:rPr>
      <w:rFonts w:eastAsiaTheme="majorEastAsia" w:cstheme="majorBidi"/>
      <w:sz w:val="20"/>
      <w:szCs w:val="20"/>
    </w:rPr>
  </w:style>
  <w:style w:type="character" w:styleId="FollowedHyperlink">
    <w:name w:val="FollowedHyperlink"/>
    <w:basedOn w:val="DefaultParagraphFont"/>
    <w:rsid w:val="00460C2E"/>
    <w:rPr>
      <w:color w:val="3F9C35"/>
      <w:u w:val="single"/>
    </w:rPr>
  </w:style>
  <w:style w:type="paragraph" w:styleId="HTMLAddress">
    <w:name w:val="HTML Address"/>
    <w:basedOn w:val="Normal"/>
    <w:link w:val="HTMLAddressChar"/>
    <w:unhideWhenUsed/>
    <w:rsid w:val="00460C2E"/>
    <w:pPr>
      <w:spacing w:line="240" w:lineRule="auto"/>
    </w:pPr>
    <w:rPr>
      <w:i/>
      <w:iCs/>
    </w:rPr>
  </w:style>
  <w:style w:type="character" w:customStyle="1" w:styleId="HTMLAddressChar">
    <w:name w:val="HTML Address Char"/>
    <w:basedOn w:val="DefaultParagraphFont"/>
    <w:link w:val="HTMLAddress"/>
    <w:rsid w:val="00460C2E"/>
    <w:rPr>
      <w:i/>
      <w:iCs/>
    </w:rPr>
  </w:style>
  <w:style w:type="character" w:styleId="HTMLCite">
    <w:name w:val="HTML Cite"/>
    <w:basedOn w:val="DefaultParagraphFont"/>
    <w:unhideWhenUsed/>
    <w:rsid w:val="00460C2E"/>
    <w:rPr>
      <w:i/>
      <w:iCs/>
    </w:rPr>
  </w:style>
  <w:style w:type="paragraph" w:styleId="Index1">
    <w:name w:val="index 1"/>
    <w:basedOn w:val="Normal"/>
    <w:next w:val="Normal"/>
    <w:autoRedefine/>
    <w:rsid w:val="00460C2E"/>
    <w:pPr>
      <w:spacing w:line="240" w:lineRule="auto"/>
      <w:ind w:left="220" w:hanging="220"/>
    </w:pPr>
  </w:style>
  <w:style w:type="paragraph" w:styleId="Index2">
    <w:name w:val="index 2"/>
    <w:basedOn w:val="Normal"/>
    <w:next w:val="Normal"/>
    <w:autoRedefine/>
    <w:rsid w:val="00460C2E"/>
    <w:pPr>
      <w:spacing w:line="240" w:lineRule="auto"/>
      <w:ind w:left="440" w:hanging="220"/>
    </w:pPr>
  </w:style>
  <w:style w:type="paragraph" w:styleId="Index3">
    <w:name w:val="index 3"/>
    <w:basedOn w:val="Normal"/>
    <w:next w:val="Normal"/>
    <w:autoRedefine/>
    <w:rsid w:val="00460C2E"/>
    <w:pPr>
      <w:spacing w:line="240" w:lineRule="auto"/>
      <w:ind w:left="660" w:hanging="220"/>
    </w:pPr>
  </w:style>
  <w:style w:type="paragraph" w:styleId="Index4">
    <w:name w:val="index 4"/>
    <w:basedOn w:val="Normal"/>
    <w:next w:val="Normal"/>
    <w:autoRedefine/>
    <w:rsid w:val="00460C2E"/>
    <w:pPr>
      <w:spacing w:line="240" w:lineRule="auto"/>
      <w:ind w:left="880" w:hanging="220"/>
    </w:pPr>
  </w:style>
  <w:style w:type="paragraph" w:styleId="Index5">
    <w:name w:val="index 5"/>
    <w:basedOn w:val="Normal"/>
    <w:next w:val="Normal"/>
    <w:autoRedefine/>
    <w:rsid w:val="00460C2E"/>
    <w:pPr>
      <w:spacing w:line="240" w:lineRule="auto"/>
      <w:ind w:left="1100" w:hanging="220"/>
    </w:pPr>
  </w:style>
  <w:style w:type="paragraph" w:styleId="Index6">
    <w:name w:val="index 6"/>
    <w:basedOn w:val="Normal"/>
    <w:next w:val="Normal"/>
    <w:autoRedefine/>
    <w:rsid w:val="00460C2E"/>
    <w:pPr>
      <w:spacing w:line="240" w:lineRule="auto"/>
      <w:ind w:left="1320" w:hanging="220"/>
    </w:pPr>
  </w:style>
  <w:style w:type="paragraph" w:styleId="Index7">
    <w:name w:val="index 7"/>
    <w:basedOn w:val="Normal"/>
    <w:next w:val="Normal"/>
    <w:autoRedefine/>
    <w:rsid w:val="00460C2E"/>
    <w:pPr>
      <w:spacing w:line="240" w:lineRule="auto"/>
      <w:ind w:left="1540" w:hanging="220"/>
    </w:pPr>
  </w:style>
  <w:style w:type="paragraph" w:styleId="Index8">
    <w:name w:val="index 8"/>
    <w:basedOn w:val="Normal"/>
    <w:next w:val="Normal"/>
    <w:autoRedefine/>
    <w:rsid w:val="00460C2E"/>
    <w:pPr>
      <w:spacing w:line="240" w:lineRule="auto"/>
      <w:ind w:left="1760" w:hanging="220"/>
    </w:pPr>
  </w:style>
  <w:style w:type="paragraph" w:styleId="Index9">
    <w:name w:val="index 9"/>
    <w:basedOn w:val="Normal"/>
    <w:next w:val="Normal"/>
    <w:autoRedefine/>
    <w:rsid w:val="00460C2E"/>
    <w:pPr>
      <w:spacing w:line="240" w:lineRule="auto"/>
      <w:ind w:left="1980" w:hanging="220"/>
    </w:pPr>
  </w:style>
  <w:style w:type="paragraph" w:styleId="IndexHeading">
    <w:name w:val="index heading"/>
    <w:basedOn w:val="Normal"/>
    <w:next w:val="Index1"/>
    <w:rsid w:val="00460C2E"/>
    <w:rPr>
      <w:rFonts w:eastAsiaTheme="majorEastAsia" w:cstheme="majorBidi"/>
      <w:b/>
      <w:bCs/>
    </w:rPr>
  </w:style>
  <w:style w:type="paragraph" w:styleId="List">
    <w:name w:val="List"/>
    <w:basedOn w:val="Normal"/>
    <w:unhideWhenUsed/>
    <w:rsid w:val="00460C2E"/>
    <w:pPr>
      <w:ind w:left="360" w:hanging="360"/>
      <w:contextualSpacing/>
    </w:pPr>
  </w:style>
  <w:style w:type="paragraph" w:styleId="List4">
    <w:name w:val="List 4"/>
    <w:basedOn w:val="Normal"/>
    <w:rsid w:val="00460C2E"/>
    <w:pPr>
      <w:ind w:left="1440" w:hanging="360"/>
      <w:contextualSpacing/>
    </w:pPr>
  </w:style>
  <w:style w:type="paragraph" w:styleId="List5">
    <w:name w:val="List 5"/>
    <w:basedOn w:val="Normal"/>
    <w:rsid w:val="00460C2E"/>
    <w:pPr>
      <w:ind w:left="1800" w:hanging="360"/>
      <w:contextualSpacing/>
    </w:pPr>
  </w:style>
  <w:style w:type="paragraph" w:styleId="ListBullet">
    <w:name w:val="List Bullet"/>
    <w:basedOn w:val="Normal"/>
    <w:rsid w:val="00460C2E"/>
    <w:pPr>
      <w:numPr>
        <w:numId w:val="4"/>
      </w:numPr>
      <w:contextualSpacing/>
    </w:pPr>
  </w:style>
  <w:style w:type="paragraph" w:styleId="ListBullet2">
    <w:name w:val="List Bullet 2"/>
    <w:basedOn w:val="Normal"/>
    <w:rsid w:val="00460C2E"/>
    <w:pPr>
      <w:numPr>
        <w:numId w:val="6"/>
      </w:numPr>
      <w:contextualSpacing/>
    </w:pPr>
  </w:style>
  <w:style w:type="paragraph" w:styleId="ListBullet3">
    <w:name w:val="List Bullet 3"/>
    <w:basedOn w:val="Normal"/>
    <w:rsid w:val="00460C2E"/>
    <w:pPr>
      <w:numPr>
        <w:numId w:val="7"/>
      </w:numPr>
      <w:contextualSpacing/>
    </w:pPr>
  </w:style>
  <w:style w:type="paragraph" w:styleId="ListBullet4">
    <w:name w:val="List Bullet 4"/>
    <w:basedOn w:val="Normal"/>
    <w:rsid w:val="00460C2E"/>
    <w:pPr>
      <w:numPr>
        <w:numId w:val="8"/>
      </w:numPr>
      <w:contextualSpacing/>
    </w:pPr>
  </w:style>
  <w:style w:type="paragraph" w:styleId="ListBullet5">
    <w:name w:val="List Bullet 5"/>
    <w:basedOn w:val="Normal"/>
    <w:rsid w:val="00460C2E"/>
    <w:pPr>
      <w:numPr>
        <w:numId w:val="9"/>
      </w:numPr>
      <w:contextualSpacing/>
    </w:pPr>
  </w:style>
  <w:style w:type="paragraph" w:styleId="ListContinue">
    <w:name w:val="List Continue"/>
    <w:basedOn w:val="Normal"/>
    <w:rsid w:val="00460C2E"/>
    <w:pPr>
      <w:spacing w:after="120"/>
      <w:ind w:left="360"/>
      <w:contextualSpacing/>
    </w:pPr>
  </w:style>
  <w:style w:type="paragraph" w:styleId="ListContinue2">
    <w:name w:val="List Continue 2"/>
    <w:basedOn w:val="Normal"/>
    <w:rsid w:val="00460C2E"/>
    <w:pPr>
      <w:spacing w:after="120"/>
      <w:ind w:left="720"/>
      <w:contextualSpacing/>
    </w:pPr>
  </w:style>
  <w:style w:type="paragraph" w:styleId="ListContinue3">
    <w:name w:val="List Continue 3"/>
    <w:basedOn w:val="Normal"/>
    <w:rsid w:val="00460C2E"/>
    <w:pPr>
      <w:spacing w:after="120"/>
      <w:ind w:left="1080"/>
      <w:contextualSpacing/>
    </w:pPr>
  </w:style>
  <w:style w:type="paragraph" w:styleId="ListContinue4">
    <w:name w:val="List Continue 4"/>
    <w:basedOn w:val="Normal"/>
    <w:rsid w:val="00460C2E"/>
    <w:pPr>
      <w:spacing w:after="120"/>
      <w:ind w:left="1440"/>
      <w:contextualSpacing/>
    </w:pPr>
  </w:style>
  <w:style w:type="paragraph" w:styleId="ListContinue5">
    <w:name w:val="List Continue 5"/>
    <w:basedOn w:val="Normal"/>
    <w:rsid w:val="00460C2E"/>
    <w:pPr>
      <w:spacing w:after="120"/>
      <w:ind w:left="1800"/>
      <w:contextualSpacing/>
    </w:pPr>
  </w:style>
  <w:style w:type="paragraph" w:styleId="ListNumber">
    <w:name w:val="List Number"/>
    <w:basedOn w:val="Normal"/>
    <w:rsid w:val="00460C2E"/>
    <w:pPr>
      <w:numPr>
        <w:numId w:val="5"/>
      </w:numPr>
      <w:contextualSpacing/>
    </w:pPr>
  </w:style>
  <w:style w:type="paragraph" w:styleId="ListNumber2">
    <w:name w:val="List Number 2"/>
    <w:basedOn w:val="Normal"/>
    <w:rsid w:val="00460C2E"/>
    <w:pPr>
      <w:numPr>
        <w:numId w:val="10"/>
      </w:numPr>
      <w:contextualSpacing/>
    </w:pPr>
  </w:style>
  <w:style w:type="paragraph" w:styleId="ListNumber3">
    <w:name w:val="List Number 3"/>
    <w:basedOn w:val="Normal"/>
    <w:rsid w:val="00460C2E"/>
    <w:pPr>
      <w:numPr>
        <w:numId w:val="11"/>
      </w:numPr>
      <w:contextualSpacing/>
    </w:pPr>
  </w:style>
  <w:style w:type="paragraph" w:styleId="ListNumber4">
    <w:name w:val="List Number 4"/>
    <w:basedOn w:val="Normal"/>
    <w:rsid w:val="00460C2E"/>
    <w:pPr>
      <w:numPr>
        <w:numId w:val="12"/>
      </w:numPr>
      <w:contextualSpacing/>
    </w:pPr>
  </w:style>
  <w:style w:type="paragraph" w:styleId="ListNumber5">
    <w:name w:val="List Number 5"/>
    <w:basedOn w:val="Normal"/>
    <w:rsid w:val="00460C2E"/>
    <w:pPr>
      <w:numPr>
        <w:numId w:val="13"/>
      </w:numPr>
      <w:contextualSpacing/>
    </w:pPr>
  </w:style>
  <w:style w:type="paragraph" w:styleId="MessageHeader">
    <w:name w:val="Message Header"/>
    <w:basedOn w:val="Normal"/>
    <w:link w:val="MessageHeaderChar"/>
    <w:unhideWhenUsed/>
    <w:rsid w:val="00460C2E"/>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rsid w:val="00460C2E"/>
    <w:rPr>
      <w:rFonts w:eastAsiaTheme="majorEastAsia" w:cstheme="majorBidi"/>
      <w:sz w:val="24"/>
      <w:szCs w:val="24"/>
      <w:shd w:val="pct20" w:color="auto" w:fill="auto"/>
    </w:rPr>
  </w:style>
  <w:style w:type="paragraph" w:styleId="NormalWeb">
    <w:name w:val="Normal (Web)"/>
    <w:basedOn w:val="Normal"/>
    <w:uiPriority w:val="99"/>
    <w:rsid w:val="00460C2E"/>
    <w:rPr>
      <w:sz w:val="24"/>
      <w:szCs w:val="24"/>
    </w:rPr>
  </w:style>
  <w:style w:type="paragraph" w:styleId="NormalIndent">
    <w:name w:val="Normal Indent"/>
    <w:basedOn w:val="Normal"/>
    <w:rsid w:val="00460C2E"/>
    <w:pPr>
      <w:ind w:left="720"/>
    </w:pPr>
  </w:style>
  <w:style w:type="paragraph" w:styleId="Subtitle">
    <w:name w:val="Subtitle"/>
    <w:basedOn w:val="Normal"/>
    <w:next w:val="Normal"/>
    <w:link w:val="SubtitleChar"/>
    <w:rsid w:val="00460C2E"/>
    <w:pPr>
      <w:numPr>
        <w:ilvl w:val="1"/>
      </w:numPr>
    </w:pPr>
    <w:rPr>
      <w:rFonts w:eastAsiaTheme="majorEastAsia" w:cstheme="majorBidi"/>
      <w:i/>
      <w:iCs/>
      <w:color w:val="CC0033" w:themeColor="accent1"/>
      <w:spacing w:val="15"/>
      <w:sz w:val="24"/>
      <w:szCs w:val="24"/>
    </w:rPr>
  </w:style>
  <w:style w:type="character" w:customStyle="1" w:styleId="SubtitleChar">
    <w:name w:val="Subtitle Char"/>
    <w:basedOn w:val="DefaultParagraphFont"/>
    <w:link w:val="Subtitle"/>
    <w:rsid w:val="00460C2E"/>
    <w:rPr>
      <w:rFonts w:eastAsiaTheme="majorEastAsia" w:cstheme="majorBidi"/>
      <w:i/>
      <w:iCs/>
      <w:color w:val="CC0033" w:themeColor="accent1"/>
      <w:spacing w:val="15"/>
      <w:sz w:val="24"/>
      <w:szCs w:val="24"/>
    </w:rPr>
  </w:style>
  <w:style w:type="paragraph" w:styleId="Title">
    <w:name w:val="Title"/>
    <w:basedOn w:val="Normal"/>
    <w:next w:val="Normal"/>
    <w:link w:val="TitleChar"/>
    <w:rsid w:val="00460C2E"/>
    <w:pPr>
      <w:pBdr>
        <w:bottom w:val="single" w:sz="8" w:space="4" w:color="CC0033"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rsid w:val="00460C2E"/>
    <w:rPr>
      <w:rFonts w:eastAsiaTheme="majorEastAsia" w:cstheme="majorBidi"/>
      <w:color w:val="323E4F" w:themeColor="text2" w:themeShade="BF"/>
      <w:spacing w:val="5"/>
      <w:kern w:val="28"/>
      <w:sz w:val="52"/>
      <w:szCs w:val="52"/>
    </w:rPr>
  </w:style>
  <w:style w:type="paragraph" w:styleId="TOAHeading">
    <w:name w:val="toa heading"/>
    <w:basedOn w:val="Normal"/>
    <w:next w:val="Normal"/>
    <w:rsid w:val="00460C2E"/>
    <w:pPr>
      <w:spacing w:before="120"/>
    </w:pPr>
    <w:rPr>
      <w:rFonts w:eastAsiaTheme="majorEastAsia" w:cstheme="majorBidi"/>
      <w:b/>
      <w:bCs/>
      <w:color w:val="0091C4"/>
      <w:sz w:val="24"/>
      <w:szCs w:val="24"/>
    </w:rPr>
  </w:style>
  <w:style w:type="paragraph" w:styleId="TOCHeading">
    <w:name w:val="TOC Heading"/>
    <w:basedOn w:val="Heading1"/>
    <w:next w:val="Normal"/>
    <w:uiPriority w:val="39"/>
    <w:semiHidden/>
    <w:unhideWhenUsed/>
    <w:qFormat/>
    <w:rsid w:val="00460C2E"/>
    <w:pPr>
      <w:keepLines/>
      <w:spacing w:before="480" w:after="0"/>
      <w:outlineLvl w:val="9"/>
    </w:pPr>
    <w:rPr>
      <w:rFonts w:eastAsiaTheme="majorEastAsia" w:cstheme="majorBidi"/>
      <w:bCs/>
      <w:color w:val="980025" w:themeColor="accent1" w:themeShade="BF"/>
      <w:kern w:val="0"/>
      <w:sz w:val="28"/>
      <w:szCs w:val="28"/>
    </w:rPr>
  </w:style>
  <w:style w:type="paragraph" w:customStyle="1" w:styleId="CharChar3CharCharChar">
    <w:name w:val="Char Char3 Char Char Char"/>
    <w:basedOn w:val="Normal"/>
    <w:rsid w:val="00460C2E"/>
    <w:pPr>
      <w:spacing w:after="160" w:line="240" w:lineRule="exact"/>
    </w:pPr>
    <w:rPr>
      <w:rFonts w:ascii="Verdana" w:hAnsi="Verdana"/>
      <w:sz w:val="20"/>
      <w:szCs w:val="20"/>
    </w:rPr>
  </w:style>
  <w:style w:type="paragraph" w:customStyle="1" w:styleId="ProjectTitle">
    <w:name w:val="Project Title"/>
    <w:basedOn w:val="Normal"/>
    <w:next w:val="ParaText"/>
    <w:rsid w:val="003038B9"/>
    <w:pPr>
      <w:spacing w:before="120" w:line="240" w:lineRule="auto"/>
    </w:pPr>
    <w:rPr>
      <w:rFonts w:eastAsiaTheme="minorEastAsia"/>
      <w:b/>
      <w:color w:val="A97C43" w:themeColor="accent4"/>
      <w:lang w:eastAsia="zh-CN"/>
    </w:rPr>
  </w:style>
  <w:style w:type="paragraph" w:customStyle="1" w:styleId="Name">
    <w:name w:val="Name"/>
    <w:basedOn w:val="Normal"/>
    <w:next w:val="Normal"/>
    <w:rsid w:val="00E37F49"/>
    <w:pPr>
      <w:pageBreakBefore/>
      <w:tabs>
        <w:tab w:val="center" w:pos="4320"/>
        <w:tab w:val="right" w:pos="8640"/>
      </w:tabs>
      <w:spacing w:after="240" w:line="240" w:lineRule="auto"/>
    </w:pPr>
    <w:rPr>
      <w:rFonts w:asciiTheme="majorHAnsi" w:eastAsiaTheme="minorEastAsia" w:hAnsiTheme="majorHAnsi"/>
      <w:color w:val="666666"/>
      <w:sz w:val="36"/>
      <w:szCs w:val="40"/>
      <w:lang w:eastAsia="zh-CN"/>
    </w:rPr>
  </w:style>
  <w:style w:type="paragraph" w:customStyle="1" w:styleId="ResumeBullet">
    <w:name w:val="Resume Bullet"/>
    <w:basedOn w:val="Normal"/>
    <w:rsid w:val="001E49D3"/>
    <w:pPr>
      <w:spacing w:before="60" w:after="60" w:line="240" w:lineRule="atLeast"/>
      <w:ind w:left="1080" w:hanging="360"/>
    </w:pPr>
    <w:rPr>
      <w:rFonts w:asciiTheme="minorHAnsi" w:hAnsiTheme="minorHAnsi"/>
    </w:rPr>
  </w:style>
  <w:style w:type="paragraph" w:customStyle="1" w:styleId="ResumeHeading">
    <w:name w:val="Resume Heading"/>
    <w:basedOn w:val="Normal"/>
    <w:rsid w:val="00E37F49"/>
    <w:pPr>
      <w:keepNext/>
      <w:spacing w:before="240" w:after="60" w:line="240" w:lineRule="auto"/>
    </w:pPr>
    <w:rPr>
      <w:rFonts w:asciiTheme="minorHAnsi" w:eastAsiaTheme="minorEastAsia" w:hAnsiTheme="minorHAnsi"/>
      <w:b/>
      <w:color w:val="44546A" w:themeColor="text2"/>
      <w:sz w:val="26"/>
      <w:szCs w:val="24"/>
      <w:lang w:eastAsia="zh-CN"/>
    </w:rPr>
  </w:style>
  <w:style w:type="paragraph" w:customStyle="1" w:styleId="Resumebulletindent">
    <w:name w:val="Resume bullet indent"/>
    <w:basedOn w:val="Normal"/>
    <w:rsid w:val="00E37F49"/>
    <w:pPr>
      <w:numPr>
        <w:numId w:val="18"/>
      </w:numPr>
      <w:spacing w:before="60" w:after="60" w:line="240" w:lineRule="atLeast"/>
    </w:pPr>
    <w:rPr>
      <w:rFonts w:asciiTheme="minorHAnsi" w:eastAsiaTheme="minorEastAsia" w:hAnsiTheme="minorHAnsi"/>
      <w:szCs w:val="20"/>
      <w:lang w:eastAsia="zh-CN"/>
    </w:rPr>
  </w:style>
  <w:style w:type="paragraph" w:customStyle="1" w:styleId="Resumetext">
    <w:name w:val="Resume text"/>
    <w:basedOn w:val="Normal"/>
    <w:rsid w:val="001E49D3"/>
    <w:pPr>
      <w:tabs>
        <w:tab w:val="left" w:pos="-720"/>
      </w:tabs>
      <w:spacing w:before="120" w:line="240" w:lineRule="atLeast"/>
    </w:pPr>
    <w:rPr>
      <w:rFonts w:asciiTheme="minorHAnsi" w:hAnsiTheme="minorHAnsi"/>
      <w:szCs w:val="20"/>
    </w:rPr>
  </w:style>
  <w:style w:type="paragraph" w:customStyle="1" w:styleId="ResumeHeadingindent">
    <w:name w:val="Resume Heading indent"/>
    <w:basedOn w:val="Normal"/>
    <w:rsid w:val="00E37F49"/>
    <w:pPr>
      <w:keepLines/>
      <w:tabs>
        <w:tab w:val="left" w:pos="-720"/>
      </w:tabs>
      <w:spacing w:before="180" w:after="120" w:line="240" w:lineRule="atLeast"/>
      <w:ind w:left="360"/>
    </w:pPr>
    <w:rPr>
      <w:rFonts w:asciiTheme="minorHAnsi" w:eastAsiaTheme="minorEastAsia" w:hAnsiTheme="minorHAnsi"/>
      <w:b/>
      <w:szCs w:val="20"/>
      <w:lang w:eastAsia="zh-CN"/>
    </w:rPr>
  </w:style>
  <w:style w:type="paragraph" w:customStyle="1" w:styleId="Resumetext2">
    <w:name w:val="Resume text 2"/>
    <w:basedOn w:val="Resumetext"/>
    <w:rsid w:val="001E49D3"/>
    <w:pPr>
      <w:spacing w:before="0"/>
    </w:pPr>
  </w:style>
  <w:style w:type="paragraph" w:customStyle="1" w:styleId="Resumetextindent">
    <w:name w:val="Resume text indent"/>
    <w:basedOn w:val="Resumetext"/>
    <w:rsid w:val="001E49D3"/>
    <w:pPr>
      <w:ind w:left="360"/>
    </w:pPr>
  </w:style>
  <w:style w:type="paragraph" w:styleId="NoSpacing">
    <w:name w:val="No Spacing"/>
    <w:uiPriority w:val="1"/>
    <w:rsid w:val="00933580"/>
    <w:pPr>
      <w:spacing w:line="240" w:lineRule="auto"/>
    </w:pPr>
    <w:rPr>
      <w:rFonts w:asciiTheme="minorHAnsi" w:eastAsiaTheme="minorHAnsi" w:hAnsiTheme="minorHAnsi" w:cstheme="minorBidi"/>
      <w:color w:val="44546A" w:themeColor="text2"/>
      <w:sz w:val="20"/>
      <w:szCs w:val="20"/>
    </w:rPr>
  </w:style>
  <w:style w:type="character" w:styleId="CommentReference">
    <w:name w:val="annotation reference"/>
    <w:basedOn w:val="DefaultParagraphFont"/>
    <w:uiPriority w:val="99"/>
    <w:unhideWhenUsed/>
    <w:rsid w:val="00F82B47"/>
    <w:rPr>
      <w:sz w:val="16"/>
      <w:szCs w:val="16"/>
    </w:rPr>
  </w:style>
  <w:style w:type="paragraph" w:customStyle="1" w:styleId="smallroman">
    <w:name w:val="small roman"/>
    <w:basedOn w:val="Normal"/>
    <w:rsid w:val="0037735F"/>
    <w:pPr>
      <w:spacing w:after="240" w:line="240" w:lineRule="auto"/>
      <w:ind w:left="1440" w:hanging="360"/>
    </w:pPr>
    <w:rPr>
      <w:rFonts w:ascii="Arial" w:hAnsi="Arial"/>
      <w:sz w:val="20"/>
      <w:szCs w:val="20"/>
    </w:rPr>
  </w:style>
  <w:style w:type="character" w:customStyle="1" w:styleId="ListParagraphChar">
    <w:name w:val="List Paragraph Char"/>
    <w:aliases w:val="Bullet Paragraphs Char,Bullet Styles para Char,TOC etc. Char"/>
    <w:link w:val="ListParagraph"/>
    <w:uiPriority w:val="34"/>
    <w:locked/>
    <w:rsid w:val="00322749"/>
    <w:rPr>
      <w:rFonts w:ascii="MS Reference Sans Serif" w:hAnsi="MS Reference Sans Serif"/>
      <w:sz w:val="20"/>
    </w:rPr>
  </w:style>
  <w:style w:type="paragraph" w:styleId="Revision">
    <w:name w:val="Revision"/>
    <w:hidden/>
    <w:uiPriority w:val="99"/>
    <w:semiHidden/>
    <w:rsid w:val="00174426"/>
    <w:pPr>
      <w:spacing w:line="240" w:lineRule="auto"/>
    </w:pPr>
    <w:rPr>
      <w:rFonts w:ascii="Calibri" w:hAnsi="Calibri"/>
    </w:rPr>
  </w:style>
  <w:style w:type="paragraph" w:customStyle="1" w:styleId="BodyofText">
    <w:name w:val="Body of Text"/>
    <w:basedOn w:val="Normal"/>
    <w:next w:val="Normal"/>
    <w:link w:val="BodyofTextChar"/>
    <w:uiPriority w:val="99"/>
    <w:rsid w:val="000673F3"/>
    <w:pPr>
      <w:tabs>
        <w:tab w:val="left" w:pos="360"/>
        <w:tab w:val="left" w:pos="720"/>
        <w:tab w:val="left" w:pos="1080"/>
        <w:tab w:val="left" w:pos="1440"/>
        <w:tab w:val="left" w:pos="1800"/>
      </w:tabs>
      <w:spacing w:line="240" w:lineRule="auto"/>
      <w:jc w:val="both"/>
    </w:pPr>
    <w:rPr>
      <w:rFonts w:ascii="Arial" w:hAnsi="Arial"/>
      <w:sz w:val="20"/>
      <w:szCs w:val="20"/>
    </w:rPr>
  </w:style>
  <w:style w:type="character" w:customStyle="1" w:styleId="BodyofTextChar">
    <w:name w:val="Body of Text Char"/>
    <w:link w:val="BodyofText"/>
    <w:uiPriority w:val="99"/>
    <w:rsid w:val="000673F3"/>
    <w:rPr>
      <w:rFonts w:ascii="Arial" w:hAnsi="Arial"/>
      <w:sz w:val="20"/>
      <w:szCs w:val="20"/>
    </w:rPr>
  </w:style>
  <w:style w:type="paragraph" w:customStyle="1" w:styleId="TextMain">
    <w:name w:val="_Text Main"/>
    <w:link w:val="TextMainChar"/>
    <w:qFormat/>
    <w:rsid w:val="00E05F76"/>
    <w:pPr>
      <w:spacing w:after="160" w:line="240" w:lineRule="auto"/>
    </w:pPr>
    <w:rPr>
      <w:rFonts w:ascii="MS Reference Sans Serif" w:hAnsi="MS Reference Sans Serif" w:cs="Arial"/>
      <w:sz w:val="20"/>
    </w:rPr>
  </w:style>
  <w:style w:type="paragraph" w:customStyle="1" w:styleId="Mainbody-Projectname">
    <w:name w:val="_Main body - Project name"/>
    <w:next w:val="TextMain"/>
    <w:rsid w:val="007146BA"/>
    <w:pPr>
      <w:spacing w:after="60" w:line="264" w:lineRule="auto"/>
    </w:pPr>
    <w:rPr>
      <w:rFonts w:ascii="Arial" w:hAnsi="Arial" w:cs="Microsoft Sans Serif"/>
      <w:b/>
      <w:color w:val="0070CD"/>
      <w:sz w:val="24"/>
    </w:rPr>
  </w:style>
  <w:style w:type="character" w:customStyle="1" w:styleId="TextMainChar">
    <w:name w:val="_Text Main Char"/>
    <w:basedOn w:val="DefaultParagraphFont"/>
    <w:link w:val="TextMain"/>
    <w:rsid w:val="00DC7AD6"/>
    <w:rPr>
      <w:rFonts w:ascii="MS Reference Sans Serif" w:hAnsi="MS Reference Sans Serif" w:cs="Arial"/>
      <w:sz w:val="20"/>
    </w:rPr>
  </w:style>
  <w:style w:type="paragraph" w:customStyle="1" w:styleId="t">
    <w:name w:val="t"/>
    <w:aliases w:val="text,text + +Body,Line spacing:  Multiple 1.15 li + +Body,1... + Subscript,text + 11 pt,Before:  6 pt,After:  6 pt,Line spacing:  single"/>
    <w:link w:val="tChar"/>
    <w:rsid w:val="005B2359"/>
    <w:pPr>
      <w:numPr>
        <w:numId w:val="28"/>
      </w:numPr>
      <w:spacing w:after="240" w:line="264" w:lineRule="auto"/>
      <w:contextualSpacing/>
    </w:pPr>
    <w:rPr>
      <w:rFonts w:ascii="Microsoft Sans Serif" w:hAnsi="Microsoft Sans Serif" w:cs="Microsoft Sans Serif"/>
    </w:rPr>
  </w:style>
  <w:style w:type="paragraph" w:customStyle="1" w:styleId="Outline">
    <w:name w:val="Outline"/>
    <w:basedOn w:val="t"/>
    <w:rsid w:val="005B2359"/>
    <w:pPr>
      <w:numPr>
        <w:ilvl w:val="1"/>
      </w:numPr>
      <w:tabs>
        <w:tab w:val="num" w:pos="720"/>
      </w:tabs>
      <w:spacing w:after="120"/>
    </w:pPr>
  </w:style>
  <w:style w:type="character" w:customStyle="1" w:styleId="tChar">
    <w:name w:val="t Char"/>
    <w:aliases w:val="text Char,text1,text Char Char,text2,t Char1,text Char1,text5,text11,text3,text31,text4,text6,text61,text7,text9,text Char Char1,text + +Body Char,Line spacing:  Multiple 1.15 li + +Body Char,1... + Subscript Char,text + 11 pt Char,text8,text10"/>
    <w:basedOn w:val="DefaultParagraphFont"/>
    <w:link w:val="t"/>
    <w:rsid w:val="005B2359"/>
    <w:rPr>
      <w:rFonts w:ascii="Microsoft Sans Serif" w:hAnsi="Microsoft Sans Serif" w:cs="Microsoft Sans Serif"/>
    </w:rPr>
  </w:style>
  <w:style w:type="character" w:customStyle="1" w:styleId="bChar">
    <w:name w:val="b Char"/>
    <w:aliases w:val="bullet Char,bullet Char Char,Body Char,Body Char Char,Bullet Char,bullets Char,body Char,bd Char,b-heading 1/heading 2 Char,heading1body-heading2body Char,he... + Black Char,bullet + Times New Roman Char,10 pt Char,Left:  0&quot; Char"/>
    <w:basedOn w:val="DefaultParagraphFont"/>
    <w:link w:val="Bullet1"/>
    <w:rsid w:val="005B2359"/>
    <w:rPr>
      <w:rFonts w:ascii="Calibri" w:hAnsi="Calibri"/>
    </w:rPr>
  </w:style>
  <w:style w:type="character" w:customStyle="1" w:styleId="Heading1Char">
    <w:name w:val="Heading 1 Char"/>
    <w:aliases w:val="L1 Heading Char"/>
    <w:basedOn w:val="DefaultParagraphFont"/>
    <w:link w:val="Heading1"/>
    <w:rsid w:val="000A73FA"/>
    <w:rPr>
      <w:rFonts w:ascii="MS Reference Sans Serif" w:hAnsi="MS Reference Sans Serif"/>
      <w:b/>
      <w:color w:val="587E39"/>
      <w:kern w:val="28"/>
      <w:sz w:val="24"/>
      <w:szCs w:val="34"/>
    </w:rPr>
  </w:style>
  <w:style w:type="paragraph" w:customStyle="1" w:styleId="ob">
    <w:name w:val="ob"/>
    <w:aliases w:val="out of bullet,ob₩"/>
    <w:basedOn w:val="Bullet1"/>
    <w:next w:val="t"/>
    <w:link w:val="obChar"/>
    <w:rsid w:val="00F55FAC"/>
    <w:pPr>
      <w:numPr>
        <w:numId w:val="0"/>
      </w:numPr>
      <w:tabs>
        <w:tab w:val="num" w:pos="1080"/>
      </w:tabs>
      <w:spacing w:after="240" w:line="240" w:lineRule="auto"/>
      <w:ind w:left="720" w:hanging="1080"/>
    </w:pPr>
    <w:rPr>
      <w:rFonts w:ascii="Microsoft Sans Serif" w:hAnsi="Microsoft Sans Serif"/>
      <w:szCs w:val="20"/>
    </w:rPr>
  </w:style>
  <w:style w:type="character" w:customStyle="1" w:styleId="obChar">
    <w:name w:val="ob Char"/>
    <w:aliases w:val="out of bullet Char,ob Char₩"/>
    <w:basedOn w:val="DefaultParagraphFont"/>
    <w:link w:val="ob"/>
    <w:rsid w:val="00F55FAC"/>
    <w:rPr>
      <w:rFonts w:ascii="Microsoft Sans Serif" w:hAnsi="Microsoft Sans Serif"/>
      <w:szCs w:val="20"/>
    </w:rPr>
  </w:style>
  <w:style w:type="numbering" w:customStyle="1" w:styleId="n">
    <w:name w:val="n"/>
    <w:aliases w:val="number"/>
    <w:basedOn w:val="NoList"/>
    <w:rsid w:val="00F322F0"/>
    <w:pPr>
      <w:numPr>
        <w:numId w:val="29"/>
      </w:numPr>
    </w:pPr>
  </w:style>
  <w:style w:type="paragraph" w:customStyle="1" w:styleId="Mainbody-Bullets">
    <w:name w:val="_Main body - Bullets"/>
    <w:rsid w:val="00795082"/>
    <w:pPr>
      <w:numPr>
        <w:numId w:val="30"/>
      </w:numPr>
      <w:spacing w:after="120" w:line="264" w:lineRule="auto"/>
    </w:pPr>
    <w:rPr>
      <w:rFonts w:ascii="Calibri" w:hAnsi="Calibri" w:cs="Calibri"/>
      <w:color w:val="333333"/>
    </w:rPr>
  </w:style>
  <w:style w:type="paragraph" w:customStyle="1" w:styleId="Mainbody-Bulletsoutforlastbullet">
    <w:name w:val="_Main body - Bullets out (for last bullet)"/>
    <w:basedOn w:val="Mainbody-Bullets"/>
    <w:next w:val="TextMain"/>
    <w:rsid w:val="00F322F0"/>
    <w:pPr>
      <w:spacing w:after="240"/>
    </w:pPr>
  </w:style>
  <w:style w:type="character" w:customStyle="1" w:styleId="CaptionChar1">
    <w:name w:val="Caption Char1"/>
    <w:aliases w:val="_Main body - Caption Char,Caption Char Char,Table Caption Char,Podpis nad obiektem Char,Char Char,_Main body - Caption figure Char,Figure Char,_Caption Char1"/>
    <w:basedOn w:val="DefaultParagraphFont"/>
    <w:link w:val="Caption"/>
    <w:uiPriority w:val="35"/>
    <w:rsid w:val="00926BCA"/>
    <w:rPr>
      <w:rFonts w:ascii="Calibri" w:hAnsi="Calibri"/>
      <w:b/>
    </w:rPr>
  </w:style>
  <w:style w:type="paragraph" w:customStyle="1" w:styleId="Mainbody-Outline">
    <w:name w:val="_Main body - Outline"/>
    <w:rsid w:val="004E2531"/>
    <w:pPr>
      <w:numPr>
        <w:numId w:val="32"/>
      </w:numPr>
      <w:spacing w:after="120"/>
    </w:pPr>
    <w:rPr>
      <w:rFonts w:ascii="Arial" w:hAnsi="Arial" w:cs="Microsoft Sans Serif"/>
      <w:color w:val="333333"/>
    </w:rPr>
  </w:style>
  <w:style w:type="paragraph" w:customStyle="1" w:styleId="Mainbody-Outlineoutextraspaceafterlastitem">
    <w:name w:val="_Main body - Outline out (extra space after last item)"/>
    <w:basedOn w:val="Mainbody-Outline"/>
    <w:next w:val="TextMain"/>
    <w:rsid w:val="004E2531"/>
    <w:pPr>
      <w:spacing w:after="280"/>
    </w:pPr>
  </w:style>
  <w:style w:type="character" w:customStyle="1" w:styleId="Emphasis12ptBlueItalic">
    <w:name w:val="Emphasis 12pt Blue Italic"/>
    <w:basedOn w:val="DefaultParagraphFont"/>
    <w:uiPriority w:val="1"/>
    <w:rsid w:val="004E2531"/>
    <w:rPr>
      <w:rFonts w:ascii="Arial" w:hAnsi="Arial"/>
      <w:i/>
      <w:color w:val="0070CD"/>
      <w:sz w:val="24"/>
    </w:rPr>
  </w:style>
  <w:style w:type="paragraph" w:customStyle="1" w:styleId="Sidebars-Bullets">
    <w:name w:val="_Sidebars - Bullets"/>
    <w:rsid w:val="001E44D5"/>
    <w:pPr>
      <w:numPr>
        <w:numId w:val="31"/>
      </w:numPr>
      <w:tabs>
        <w:tab w:val="left" w:pos="360"/>
      </w:tabs>
      <w:spacing w:after="120"/>
    </w:pPr>
    <w:rPr>
      <w:rFonts w:ascii="Arial" w:eastAsiaTheme="minorHAnsi" w:hAnsi="Arial" w:cs="Arial"/>
      <w:color w:val="FFFFFF" w:themeColor="background1"/>
      <w:sz w:val="20"/>
      <w:szCs w:val="20"/>
    </w:rPr>
  </w:style>
  <w:style w:type="paragraph" w:customStyle="1" w:styleId="Sidebars-Text">
    <w:name w:val="_Sidebars - Text"/>
    <w:rsid w:val="001E44D5"/>
    <w:pPr>
      <w:spacing w:line="240" w:lineRule="auto"/>
      <w:ind w:left="86"/>
    </w:pPr>
    <w:rPr>
      <w:rFonts w:ascii="Arial" w:eastAsiaTheme="minorHAnsi" w:hAnsi="Arial" w:cs="Arial"/>
      <w:color w:val="FFFFFF" w:themeColor="background1"/>
      <w:sz w:val="20"/>
      <w:szCs w:val="20"/>
    </w:rPr>
  </w:style>
  <w:style w:type="character" w:customStyle="1" w:styleId="FootnoteTextChar">
    <w:name w:val="Footnote Text Char"/>
    <w:aliases w:val="Footnote Text1 Char Char,Footnote Text Char Ch Char,Footnote Text Char Ch Char Char Char Char,Footnote Text Char Ch Char Char Char1,Footnote Text1 Char Char Char Char,ft Char Char,ft Char1,TBG Style Char,ALTS FOOTNOTE Char,fn Char"/>
    <w:basedOn w:val="DefaultParagraphFont"/>
    <w:link w:val="FootnoteText"/>
    <w:rsid w:val="001E44D5"/>
    <w:rPr>
      <w:rFonts w:ascii="Calibri" w:hAnsi="Calibri"/>
      <w:sz w:val="20"/>
      <w:szCs w:val="20"/>
    </w:rPr>
  </w:style>
  <w:style w:type="character" w:customStyle="1" w:styleId="zOther-Crossrefintext">
    <w:name w:val="_zOther - Cross ref in text"/>
    <w:uiPriority w:val="1"/>
    <w:rsid w:val="0021317C"/>
    <w:rPr>
      <w:color w:val="0070CD"/>
    </w:rPr>
  </w:style>
  <w:style w:type="paragraph" w:customStyle="1" w:styleId="Text-nospacebelow">
    <w:name w:val="__Text - no space below"/>
    <w:basedOn w:val="TextMain"/>
    <w:next w:val="TextMain"/>
    <w:rsid w:val="00EE4BA6"/>
    <w:pPr>
      <w:spacing w:after="0"/>
    </w:pPr>
  </w:style>
  <w:style w:type="paragraph" w:customStyle="1" w:styleId="Sidebars-Heading">
    <w:name w:val="_Sidebars - Heading"/>
    <w:next w:val="Sidebars-Text"/>
    <w:rsid w:val="00EE4BA6"/>
    <w:pPr>
      <w:spacing w:after="120" w:line="240" w:lineRule="auto"/>
    </w:pPr>
    <w:rPr>
      <w:rFonts w:ascii="Arial" w:hAnsi="Arial" w:cs="Arial"/>
      <w:b/>
      <w:color w:val="FFFFFF" w:themeColor="background1"/>
      <w:kern w:val="20"/>
      <w:sz w:val="52"/>
      <w:szCs w:val="52"/>
    </w:rPr>
  </w:style>
  <w:style w:type="paragraph" w:customStyle="1" w:styleId="BodyParagraph">
    <w:name w:val="Body Paragraph"/>
    <w:link w:val="BodyParagraphChar"/>
    <w:rsid w:val="00EE4BA6"/>
    <w:pPr>
      <w:spacing w:after="240" w:line="271" w:lineRule="auto"/>
    </w:pPr>
    <w:rPr>
      <w:rFonts w:ascii="Arial" w:eastAsiaTheme="minorEastAsia" w:hAnsi="Arial" w:cstheme="minorBidi"/>
      <w:color w:val="1C1C1C"/>
    </w:rPr>
  </w:style>
  <w:style w:type="character" w:customStyle="1" w:styleId="BodyParagraphChar">
    <w:name w:val="Body Paragraph Char"/>
    <w:basedOn w:val="DefaultParagraphFont"/>
    <w:link w:val="BodyParagraph"/>
    <w:rsid w:val="00EE4BA6"/>
    <w:rPr>
      <w:rFonts w:ascii="Arial" w:eastAsiaTheme="minorEastAsia" w:hAnsi="Arial" w:cstheme="minorBidi"/>
      <w:color w:val="1C1C1C"/>
    </w:rPr>
  </w:style>
  <w:style w:type="paragraph" w:customStyle="1" w:styleId="TableHeader">
    <w:name w:val="Table Header"/>
    <w:rsid w:val="00EE4BA6"/>
    <w:pPr>
      <w:spacing w:before="100" w:after="100" w:line="240" w:lineRule="auto"/>
      <w:jc w:val="center"/>
    </w:pPr>
    <w:rPr>
      <w:rFonts w:ascii="Arial" w:eastAsiaTheme="minorEastAsia" w:hAnsi="Arial" w:cstheme="minorBidi"/>
      <w:b/>
      <w:color w:val="FFFFFF" w:themeColor="background1"/>
      <w:sz w:val="20"/>
    </w:rPr>
  </w:style>
  <w:style w:type="paragraph" w:customStyle="1" w:styleId="TableText0">
    <w:name w:val="Table Text"/>
    <w:rsid w:val="00EE4BA6"/>
    <w:pPr>
      <w:spacing w:before="60" w:after="60" w:line="240" w:lineRule="auto"/>
      <w:jc w:val="center"/>
    </w:pPr>
    <w:rPr>
      <w:rFonts w:ascii="Arial" w:eastAsiaTheme="minorEastAsia" w:hAnsi="Arial" w:cstheme="minorBidi"/>
      <w:sz w:val="20"/>
    </w:rPr>
  </w:style>
  <w:style w:type="paragraph" w:customStyle="1" w:styleId="TableHead">
    <w:name w:val="TableHead"/>
    <w:rsid w:val="00416999"/>
    <w:pPr>
      <w:keepNext/>
      <w:tabs>
        <w:tab w:val="left" w:pos="-1440"/>
        <w:tab w:val="left" w:pos="-720"/>
        <w:tab w:val="center" w:pos="720"/>
      </w:tabs>
      <w:spacing w:before="60" w:after="60" w:line="240" w:lineRule="atLeast"/>
      <w:jc w:val="center"/>
    </w:pPr>
    <w:rPr>
      <w:rFonts w:ascii="Microsoft Sans Serif" w:hAnsi="Microsoft Sans Serif" w:cs="Microsoft Sans Serif"/>
      <w:bCs/>
      <w:noProof/>
      <w:color w:val="FFFFFF"/>
      <w:szCs w:val="20"/>
    </w:rPr>
  </w:style>
  <w:style w:type="paragraph" w:customStyle="1" w:styleId="Tables-Bodycells">
    <w:name w:val="Tables - Body cells"/>
    <w:basedOn w:val="Normal"/>
    <w:rsid w:val="00D965E9"/>
    <w:pPr>
      <w:tabs>
        <w:tab w:val="center" w:pos="720"/>
      </w:tabs>
      <w:spacing w:before="60" w:after="60" w:line="240" w:lineRule="auto"/>
    </w:pPr>
    <w:rPr>
      <w:rFonts w:ascii="Lao UI" w:hAnsi="Lao UI" w:cs="Arial"/>
    </w:rPr>
  </w:style>
  <w:style w:type="paragraph" w:styleId="PlainText">
    <w:name w:val="Plain Text"/>
    <w:basedOn w:val="Normal"/>
    <w:link w:val="PlainTextChar"/>
    <w:uiPriority w:val="99"/>
    <w:unhideWhenUsed/>
    <w:rsid w:val="002A2545"/>
    <w:pPr>
      <w:spacing w:line="240" w:lineRule="auto"/>
    </w:pPr>
    <w:rPr>
      <w:rFonts w:eastAsiaTheme="minorHAnsi" w:cstheme="minorBidi"/>
      <w:szCs w:val="21"/>
    </w:rPr>
  </w:style>
  <w:style w:type="character" w:customStyle="1" w:styleId="PlainTextChar">
    <w:name w:val="Plain Text Char"/>
    <w:basedOn w:val="DefaultParagraphFont"/>
    <w:link w:val="PlainText"/>
    <w:uiPriority w:val="99"/>
    <w:rsid w:val="002A2545"/>
    <w:rPr>
      <w:rFonts w:ascii="Calibri" w:eastAsiaTheme="minorHAnsi" w:hAnsi="Calibri" w:cstheme="minorBidi"/>
      <w:szCs w:val="21"/>
    </w:rPr>
  </w:style>
  <w:style w:type="paragraph" w:customStyle="1" w:styleId="Bulletlevel1">
    <w:name w:val="Bullet level 1"/>
    <w:basedOn w:val="Normal"/>
    <w:rsid w:val="001D524C"/>
    <w:pPr>
      <w:numPr>
        <w:ilvl w:val="1"/>
        <w:numId w:val="41"/>
      </w:numPr>
    </w:pPr>
  </w:style>
  <w:style w:type="table" w:styleId="MediumList2-Accent1">
    <w:name w:val="Medium List 2 Accent 1"/>
    <w:basedOn w:val="TableNormal"/>
    <w:uiPriority w:val="66"/>
    <w:rsid w:val="002E186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0033" w:themeColor="accent1"/>
        <w:left w:val="single" w:sz="8" w:space="0" w:color="CC0033" w:themeColor="accent1"/>
        <w:bottom w:val="single" w:sz="8" w:space="0" w:color="CC0033" w:themeColor="accent1"/>
        <w:right w:val="single" w:sz="8" w:space="0" w:color="CC0033" w:themeColor="accent1"/>
      </w:tblBorders>
    </w:tblPr>
    <w:tblStylePr w:type="firstRow">
      <w:rPr>
        <w:sz w:val="24"/>
        <w:szCs w:val="24"/>
      </w:rPr>
      <w:tblPr/>
      <w:tcPr>
        <w:tcBorders>
          <w:top w:val="nil"/>
          <w:left w:val="nil"/>
          <w:bottom w:val="single" w:sz="24" w:space="0" w:color="CC0033" w:themeColor="accent1"/>
          <w:right w:val="nil"/>
          <w:insideH w:val="nil"/>
          <w:insideV w:val="nil"/>
        </w:tcBorders>
        <w:shd w:val="clear" w:color="auto" w:fill="FFFFFF" w:themeFill="background1"/>
      </w:tcPr>
    </w:tblStylePr>
    <w:tblStylePr w:type="lastRow">
      <w:tblPr/>
      <w:tcPr>
        <w:tcBorders>
          <w:top w:val="single" w:sz="8" w:space="0" w:color="CC00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0033" w:themeColor="accent1"/>
          <w:insideH w:val="nil"/>
          <w:insideV w:val="nil"/>
        </w:tcBorders>
        <w:shd w:val="clear" w:color="auto" w:fill="FFFFFF" w:themeFill="background1"/>
      </w:tcPr>
    </w:tblStylePr>
    <w:tblStylePr w:type="lastCol">
      <w:tblPr/>
      <w:tcPr>
        <w:tcBorders>
          <w:top w:val="nil"/>
          <w:left w:val="single" w:sz="8" w:space="0" w:color="CC00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3C6" w:themeFill="accent1" w:themeFillTint="3F"/>
      </w:tcPr>
    </w:tblStylePr>
    <w:tblStylePr w:type="band1Horz">
      <w:tblPr/>
      <w:tcPr>
        <w:tcBorders>
          <w:top w:val="nil"/>
          <w:bottom w:val="nil"/>
          <w:insideH w:val="nil"/>
          <w:insideV w:val="nil"/>
        </w:tcBorders>
        <w:shd w:val="clear" w:color="auto" w:fill="FFB3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nswerChar">
    <w:name w:val="Answer Char"/>
    <w:basedOn w:val="DefaultParagraphFont"/>
    <w:link w:val="Answer"/>
    <w:locked/>
    <w:rsid w:val="00CF2D55"/>
    <w:rPr>
      <w:rFonts w:ascii="Segoe UI" w:hAnsi="Segoe UI" w:cs="Segoe UI"/>
      <w:color w:val="080808"/>
    </w:rPr>
  </w:style>
  <w:style w:type="paragraph" w:customStyle="1" w:styleId="Answer">
    <w:name w:val="Answer"/>
    <w:basedOn w:val="Normal"/>
    <w:link w:val="AnswerChar"/>
    <w:rsid w:val="00CF2D55"/>
    <w:pPr>
      <w:spacing w:after="200" w:line="252" w:lineRule="auto"/>
      <w:ind w:left="540" w:firstLine="360"/>
    </w:pPr>
    <w:rPr>
      <w:rFonts w:ascii="Segoe UI" w:hAnsi="Segoe UI" w:cs="Segoe UI"/>
      <w:color w:val="080808"/>
    </w:rPr>
  </w:style>
  <w:style w:type="character" w:customStyle="1" w:styleId="Mention1">
    <w:name w:val="Mention1"/>
    <w:basedOn w:val="DefaultParagraphFont"/>
    <w:uiPriority w:val="99"/>
    <w:semiHidden/>
    <w:unhideWhenUsed/>
    <w:rsid w:val="00F5268A"/>
    <w:rPr>
      <w:color w:val="2B579A"/>
      <w:shd w:val="clear" w:color="auto" w:fill="E6E6E6"/>
    </w:rPr>
  </w:style>
  <w:style w:type="paragraph" w:customStyle="1" w:styleId="Header3Calibri">
    <w:name w:val="Header 3 Calibri"/>
    <w:basedOn w:val="Heading3"/>
    <w:link w:val="Header3CalibriChar"/>
    <w:rsid w:val="00330E0F"/>
  </w:style>
  <w:style w:type="paragraph" w:customStyle="1" w:styleId="Tabletitle">
    <w:name w:val="Table title"/>
    <w:basedOn w:val="Caption"/>
    <w:link w:val="TabletitleChar"/>
    <w:qFormat/>
    <w:rsid w:val="00243160"/>
    <w:rPr>
      <w:rFonts w:ascii="MS Reference Sans Serif" w:hAnsi="MS Reference Sans Serif" w:cs="Arial"/>
      <w:color w:val="587E39"/>
      <w:sz w:val="20"/>
      <w:szCs w:val="20"/>
    </w:rPr>
  </w:style>
  <w:style w:type="character" w:customStyle="1" w:styleId="Heading3Char">
    <w:name w:val="Heading 3 Char"/>
    <w:aliases w:val="3 Char"/>
    <w:basedOn w:val="DefaultParagraphFont"/>
    <w:link w:val="Heading3"/>
    <w:rsid w:val="0030515E"/>
    <w:rPr>
      <w:rFonts w:ascii="Calibri" w:hAnsi="Calibri"/>
      <w:b/>
      <w:color w:val="587E39"/>
      <w:sz w:val="26"/>
      <w:szCs w:val="26"/>
    </w:rPr>
  </w:style>
  <w:style w:type="character" w:customStyle="1" w:styleId="Header3CalibriChar">
    <w:name w:val="Header 3 Calibri Char"/>
    <w:basedOn w:val="Heading3Char"/>
    <w:link w:val="Header3Calibri"/>
    <w:rsid w:val="00330E0F"/>
    <w:rPr>
      <w:rFonts w:ascii="Calibri" w:hAnsi="Calibri"/>
      <w:b/>
      <w:color w:val="666666" w:themeColor="accent2"/>
      <w:sz w:val="26"/>
      <w:szCs w:val="26"/>
    </w:rPr>
  </w:style>
  <w:style w:type="character" w:customStyle="1" w:styleId="TabletitleChar">
    <w:name w:val="Table title Char"/>
    <w:basedOn w:val="CaptionChar1"/>
    <w:link w:val="Tabletitle"/>
    <w:rsid w:val="00243160"/>
    <w:rPr>
      <w:rFonts w:ascii="MS Reference Sans Serif" w:hAnsi="MS Reference Sans Serif" w:cs="Arial"/>
      <w:b/>
      <w:color w:val="587E39"/>
      <w:sz w:val="20"/>
      <w:szCs w:val="20"/>
    </w:rPr>
  </w:style>
  <w:style w:type="character" w:customStyle="1" w:styleId="Mention2">
    <w:name w:val="Mention2"/>
    <w:basedOn w:val="DefaultParagraphFont"/>
    <w:uiPriority w:val="99"/>
    <w:semiHidden/>
    <w:unhideWhenUsed/>
    <w:rsid w:val="00D021E7"/>
    <w:rPr>
      <w:color w:val="2B579A"/>
      <w:shd w:val="clear" w:color="auto" w:fill="E6E6E6"/>
    </w:rPr>
  </w:style>
  <w:style w:type="paragraph" w:customStyle="1" w:styleId="projectlink">
    <w:name w:val="project link"/>
    <w:basedOn w:val="ParaText"/>
    <w:link w:val="projectlinkChar"/>
    <w:rsid w:val="003362A6"/>
    <w:rPr>
      <w:b/>
    </w:rPr>
  </w:style>
  <w:style w:type="character" w:customStyle="1" w:styleId="projectlinkChar">
    <w:name w:val="project link Char"/>
    <w:basedOn w:val="ParaTextChar"/>
    <w:link w:val="projectlink"/>
    <w:rsid w:val="003362A6"/>
    <w:rPr>
      <w:rFonts w:ascii="Calibri" w:hAnsi="Calibri"/>
      <w:b/>
    </w:rPr>
  </w:style>
  <w:style w:type="paragraph" w:customStyle="1" w:styleId="Footnote">
    <w:name w:val="Footnote"/>
    <w:basedOn w:val="FootnoteText"/>
    <w:link w:val="FootnoteChar"/>
    <w:qFormat/>
    <w:rsid w:val="007A004A"/>
    <w:pPr>
      <w:spacing w:before="40" w:after="160"/>
      <w:ind w:left="187" w:hanging="187"/>
    </w:pPr>
    <w:rPr>
      <w:rFonts w:ascii="MS Reference Sans Serif" w:hAnsi="MS Reference Sans Serif" w:cs="Arial"/>
      <w:color w:val="44546A" w:themeColor="text2"/>
      <w:sz w:val="18"/>
      <w:lang w:eastAsia="zh-CN"/>
    </w:rPr>
  </w:style>
  <w:style w:type="character" w:customStyle="1" w:styleId="FootnoteChar">
    <w:name w:val="Footnote Char"/>
    <w:basedOn w:val="FootnoteTextChar"/>
    <w:link w:val="Footnote"/>
    <w:rsid w:val="007A004A"/>
    <w:rPr>
      <w:rFonts w:ascii="MS Reference Sans Serif" w:hAnsi="MS Reference Sans Serif" w:cs="Arial"/>
      <w:color w:val="44546A" w:themeColor="text2"/>
      <w:sz w:val="18"/>
      <w:szCs w:val="20"/>
      <w:lang w:eastAsia="zh-CN"/>
    </w:rPr>
  </w:style>
  <w:style w:type="paragraph" w:customStyle="1" w:styleId="BodyA">
    <w:name w:val="Body A"/>
    <w:rsid w:val="006904F6"/>
    <w:pPr>
      <w:pBdr>
        <w:top w:val="nil"/>
        <w:left w:val="nil"/>
        <w:bottom w:val="nil"/>
        <w:right w:val="nil"/>
        <w:between w:val="nil"/>
        <w:bar w:val="nil"/>
      </w:pBdr>
    </w:pPr>
    <w:rPr>
      <w:rFonts w:ascii="Calibri" w:eastAsia="Calibri" w:hAnsi="Calibri" w:cs="Calibri"/>
      <w:color w:val="000000"/>
      <w:u w:color="000000"/>
      <w:bdr w:val="nil"/>
    </w:rPr>
  </w:style>
  <w:style w:type="character" w:styleId="Strong">
    <w:name w:val="Strong"/>
    <w:basedOn w:val="DefaultParagraphFont"/>
    <w:uiPriority w:val="22"/>
    <w:qFormat/>
    <w:rsid w:val="00243160"/>
    <w:rPr>
      <w:b/>
      <w:bCs/>
    </w:rPr>
  </w:style>
  <w:style w:type="paragraph" w:customStyle="1" w:styleId="FigureTitle">
    <w:name w:val="Figure Title"/>
    <w:basedOn w:val="Tabletitle"/>
    <w:link w:val="FigureTitleChar"/>
    <w:qFormat/>
    <w:rsid w:val="007A004A"/>
    <w:pPr>
      <w:spacing w:before="240" w:after="40" w:line="264" w:lineRule="auto"/>
    </w:pPr>
    <w:rPr>
      <w:b w:val="0"/>
      <w:color w:val="660019" w:themeColor="accent1" w:themeShade="80"/>
    </w:rPr>
  </w:style>
  <w:style w:type="paragraph" w:customStyle="1" w:styleId="Tablerowheader">
    <w:name w:val="Table row header"/>
    <w:basedOn w:val="FigureTitle"/>
    <w:link w:val="TablerowheaderChar"/>
    <w:qFormat/>
    <w:rsid w:val="00886A55"/>
    <w:rPr>
      <w:color w:val="FFFFFF" w:themeColor="background1"/>
    </w:rPr>
  </w:style>
  <w:style w:type="character" w:customStyle="1" w:styleId="FigureTitleChar">
    <w:name w:val="Figure Title Char"/>
    <w:basedOn w:val="TabletitleChar"/>
    <w:link w:val="FigureTitle"/>
    <w:rsid w:val="007A004A"/>
    <w:rPr>
      <w:rFonts w:ascii="MS Reference Sans Serif" w:hAnsi="MS Reference Sans Serif" w:cs="Arial"/>
      <w:b w:val="0"/>
      <w:color w:val="660019" w:themeColor="accent1" w:themeShade="80"/>
      <w:sz w:val="20"/>
      <w:szCs w:val="20"/>
    </w:rPr>
  </w:style>
  <w:style w:type="character" w:customStyle="1" w:styleId="TablerowheaderChar">
    <w:name w:val="Table row header Char"/>
    <w:basedOn w:val="FigureTitleChar"/>
    <w:link w:val="Tablerowheader"/>
    <w:rsid w:val="00886A55"/>
    <w:rPr>
      <w:rFonts w:ascii="MS Reference Sans Serif" w:hAnsi="MS Reference Sans Serif" w:cs="Arial"/>
      <w:b w:val="0"/>
      <w:color w:val="FFFFFF" w:themeColor="background1"/>
      <w:sz w:val="20"/>
      <w:szCs w:val="20"/>
    </w:rPr>
  </w:style>
  <w:style w:type="paragraph" w:customStyle="1" w:styleId="paragraph">
    <w:name w:val="paragraph"/>
    <w:basedOn w:val="Normal"/>
    <w:rsid w:val="00307EE9"/>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307EE9"/>
  </w:style>
  <w:style w:type="character" w:customStyle="1" w:styleId="eop">
    <w:name w:val="eop"/>
    <w:basedOn w:val="DefaultParagraphFont"/>
    <w:rsid w:val="00307EE9"/>
  </w:style>
  <w:style w:type="character" w:customStyle="1" w:styleId="advancedproofingissue">
    <w:name w:val="advancedproofingissue"/>
    <w:basedOn w:val="DefaultParagraphFont"/>
    <w:rsid w:val="00307EE9"/>
  </w:style>
  <w:style w:type="character" w:customStyle="1" w:styleId="spellingerror">
    <w:name w:val="spellingerror"/>
    <w:basedOn w:val="DefaultParagraphFont"/>
    <w:rsid w:val="00307EE9"/>
  </w:style>
  <w:style w:type="paragraph" w:customStyle="1" w:styleId="L3Heading">
    <w:name w:val="L3 Heading"/>
    <w:basedOn w:val="Normal"/>
    <w:next w:val="TextMain"/>
    <w:link w:val="L3HeadingChar"/>
    <w:qFormat/>
    <w:rsid w:val="0080717B"/>
    <w:pPr>
      <w:spacing w:before="160" w:after="160" w:line="240" w:lineRule="auto"/>
      <w:outlineLvl w:val="2"/>
    </w:pPr>
    <w:rPr>
      <w:rFonts w:ascii="MS Reference Sans Serif" w:hAnsi="MS Reference Sans Serif"/>
      <w:b/>
      <w:i/>
      <w:color w:val="666666" w:themeColor="accent2"/>
    </w:rPr>
  </w:style>
  <w:style w:type="paragraph" w:customStyle="1" w:styleId="L4Heading">
    <w:name w:val="L4 Heading"/>
    <w:basedOn w:val="L3Heading"/>
    <w:next w:val="TextMain"/>
    <w:link w:val="L4HeadingChar"/>
    <w:qFormat/>
    <w:rsid w:val="007A004A"/>
    <w:pPr>
      <w:outlineLvl w:val="3"/>
    </w:pPr>
    <w:rPr>
      <w:b w:val="0"/>
      <w:color w:val="5F5F61"/>
      <w:sz w:val="20"/>
    </w:rPr>
  </w:style>
  <w:style w:type="character" w:customStyle="1" w:styleId="L3HeadingChar">
    <w:name w:val="L3 Heading Char"/>
    <w:basedOn w:val="DefaultParagraphFont"/>
    <w:link w:val="L3Heading"/>
    <w:rsid w:val="0080717B"/>
    <w:rPr>
      <w:rFonts w:ascii="MS Reference Sans Serif" w:hAnsi="MS Reference Sans Serif"/>
      <w:b/>
      <w:i/>
      <w:color w:val="666666" w:themeColor="accent2"/>
    </w:rPr>
  </w:style>
  <w:style w:type="character" w:customStyle="1" w:styleId="L4HeadingChar">
    <w:name w:val="L4 Heading Char"/>
    <w:basedOn w:val="L3HeadingChar"/>
    <w:link w:val="L4Heading"/>
    <w:rsid w:val="007A004A"/>
    <w:rPr>
      <w:rFonts w:ascii="MS Reference Sans Serif" w:hAnsi="MS Reference Sans Serif"/>
      <w:b w:val="0"/>
      <w:i/>
      <w:color w:val="5F5F61"/>
      <w:sz w:val="20"/>
    </w:rPr>
  </w:style>
  <w:style w:type="character" w:customStyle="1" w:styleId="CaptionChar">
    <w:name w:val="_Caption Char"/>
    <w:aliases w:val="_Main body - Caption Char1,Table Caption Char1,Podpis nad obiektem Char1,Char Char1,_Main body - Caption figure Char1,Figure Char1"/>
    <w:basedOn w:val="DefaultParagraphFont"/>
    <w:rsid w:val="007E1D7F"/>
    <w:rPr>
      <w:rFonts w:ascii="MS Reference Sans Serif" w:hAnsi="MS Reference Sans Serif"/>
      <w:color w:val="44546A" w:themeColor="text2"/>
      <w:sz w:val="20"/>
    </w:rPr>
  </w:style>
  <w:style w:type="table" w:customStyle="1" w:styleId="TableGrid0">
    <w:name w:val="Table Grid0"/>
    <w:basedOn w:val="TableNormal"/>
    <w:uiPriority w:val="39"/>
    <w:rsid w:val="00814A18"/>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00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991">
      <w:bodyDiv w:val="1"/>
      <w:marLeft w:val="0"/>
      <w:marRight w:val="0"/>
      <w:marTop w:val="0"/>
      <w:marBottom w:val="0"/>
      <w:divBdr>
        <w:top w:val="none" w:sz="0" w:space="0" w:color="auto"/>
        <w:left w:val="none" w:sz="0" w:space="0" w:color="auto"/>
        <w:bottom w:val="none" w:sz="0" w:space="0" w:color="auto"/>
        <w:right w:val="none" w:sz="0" w:space="0" w:color="auto"/>
      </w:divBdr>
    </w:div>
    <w:div w:id="39942788">
      <w:bodyDiv w:val="1"/>
      <w:marLeft w:val="0"/>
      <w:marRight w:val="0"/>
      <w:marTop w:val="0"/>
      <w:marBottom w:val="0"/>
      <w:divBdr>
        <w:top w:val="none" w:sz="0" w:space="0" w:color="auto"/>
        <w:left w:val="none" w:sz="0" w:space="0" w:color="auto"/>
        <w:bottom w:val="none" w:sz="0" w:space="0" w:color="auto"/>
        <w:right w:val="none" w:sz="0" w:space="0" w:color="auto"/>
      </w:divBdr>
    </w:div>
    <w:div w:id="156851277">
      <w:bodyDiv w:val="1"/>
      <w:marLeft w:val="0"/>
      <w:marRight w:val="0"/>
      <w:marTop w:val="0"/>
      <w:marBottom w:val="0"/>
      <w:divBdr>
        <w:top w:val="none" w:sz="0" w:space="0" w:color="auto"/>
        <w:left w:val="none" w:sz="0" w:space="0" w:color="auto"/>
        <w:bottom w:val="none" w:sz="0" w:space="0" w:color="auto"/>
        <w:right w:val="none" w:sz="0" w:space="0" w:color="auto"/>
      </w:divBdr>
    </w:div>
    <w:div w:id="231696215">
      <w:bodyDiv w:val="1"/>
      <w:marLeft w:val="0"/>
      <w:marRight w:val="0"/>
      <w:marTop w:val="0"/>
      <w:marBottom w:val="0"/>
      <w:divBdr>
        <w:top w:val="none" w:sz="0" w:space="0" w:color="auto"/>
        <w:left w:val="none" w:sz="0" w:space="0" w:color="auto"/>
        <w:bottom w:val="none" w:sz="0" w:space="0" w:color="auto"/>
        <w:right w:val="none" w:sz="0" w:space="0" w:color="auto"/>
      </w:divBdr>
      <w:divsChild>
        <w:div w:id="1431897262">
          <w:marLeft w:val="0"/>
          <w:marRight w:val="0"/>
          <w:marTop w:val="0"/>
          <w:marBottom w:val="0"/>
          <w:divBdr>
            <w:top w:val="none" w:sz="0" w:space="0" w:color="auto"/>
            <w:left w:val="none" w:sz="0" w:space="0" w:color="auto"/>
            <w:bottom w:val="none" w:sz="0" w:space="0" w:color="auto"/>
            <w:right w:val="none" w:sz="0" w:space="0" w:color="auto"/>
          </w:divBdr>
          <w:divsChild>
            <w:div w:id="1097599125">
              <w:marLeft w:val="0"/>
              <w:marRight w:val="0"/>
              <w:marTop w:val="0"/>
              <w:marBottom w:val="0"/>
              <w:divBdr>
                <w:top w:val="none" w:sz="0" w:space="0" w:color="auto"/>
                <w:left w:val="none" w:sz="0" w:space="0" w:color="auto"/>
                <w:bottom w:val="none" w:sz="0" w:space="0" w:color="auto"/>
                <w:right w:val="none" w:sz="0" w:space="0" w:color="auto"/>
              </w:divBdr>
              <w:divsChild>
                <w:div w:id="363674933">
                  <w:marLeft w:val="0"/>
                  <w:marRight w:val="0"/>
                  <w:marTop w:val="0"/>
                  <w:marBottom w:val="0"/>
                  <w:divBdr>
                    <w:top w:val="none" w:sz="0" w:space="0" w:color="auto"/>
                    <w:left w:val="none" w:sz="0" w:space="0" w:color="auto"/>
                    <w:bottom w:val="none" w:sz="0" w:space="0" w:color="auto"/>
                    <w:right w:val="none" w:sz="0" w:space="0" w:color="auto"/>
                  </w:divBdr>
                  <w:divsChild>
                    <w:div w:id="221255529">
                      <w:marLeft w:val="0"/>
                      <w:marRight w:val="0"/>
                      <w:marTop w:val="0"/>
                      <w:marBottom w:val="0"/>
                      <w:divBdr>
                        <w:top w:val="none" w:sz="0" w:space="0" w:color="auto"/>
                        <w:left w:val="none" w:sz="0" w:space="0" w:color="auto"/>
                        <w:bottom w:val="none" w:sz="0" w:space="0" w:color="auto"/>
                        <w:right w:val="none" w:sz="0" w:space="0" w:color="auto"/>
                      </w:divBdr>
                      <w:divsChild>
                        <w:div w:id="401371631">
                          <w:marLeft w:val="0"/>
                          <w:marRight w:val="0"/>
                          <w:marTop w:val="0"/>
                          <w:marBottom w:val="0"/>
                          <w:divBdr>
                            <w:top w:val="none" w:sz="0" w:space="0" w:color="auto"/>
                            <w:left w:val="none" w:sz="0" w:space="0" w:color="auto"/>
                            <w:bottom w:val="none" w:sz="0" w:space="0" w:color="auto"/>
                            <w:right w:val="none" w:sz="0" w:space="0" w:color="auto"/>
                          </w:divBdr>
                          <w:divsChild>
                            <w:div w:id="1418408407">
                              <w:marLeft w:val="0"/>
                              <w:marRight w:val="0"/>
                              <w:marTop w:val="0"/>
                              <w:marBottom w:val="0"/>
                              <w:divBdr>
                                <w:top w:val="none" w:sz="0" w:space="0" w:color="auto"/>
                                <w:left w:val="none" w:sz="0" w:space="0" w:color="auto"/>
                                <w:bottom w:val="none" w:sz="0" w:space="0" w:color="auto"/>
                                <w:right w:val="none" w:sz="0" w:space="0" w:color="auto"/>
                              </w:divBdr>
                              <w:divsChild>
                                <w:div w:id="929777054">
                                  <w:marLeft w:val="0"/>
                                  <w:marRight w:val="0"/>
                                  <w:marTop w:val="0"/>
                                  <w:marBottom w:val="0"/>
                                  <w:divBdr>
                                    <w:top w:val="none" w:sz="0" w:space="0" w:color="auto"/>
                                    <w:left w:val="none" w:sz="0" w:space="0" w:color="auto"/>
                                    <w:bottom w:val="none" w:sz="0" w:space="0" w:color="auto"/>
                                    <w:right w:val="none" w:sz="0" w:space="0" w:color="auto"/>
                                  </w:divBdr>
                                  <w:divsChild>
                                    <w:div w:id="920525734">
                                      <w:marLeft w:val="0"/>
                                      <w:marRight w:val="34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455971">
      <w:bodyDiv w:val="1"/>
      <w:marLeft w:val="0"/>
      <w:marRight w:val="0"/>
      <w:marTop w:val="0"/>
      <w:marBottom w:val="0"/>
      <w:divBdr>
        <w:top w:val="none" w:sz="0" w:space="0" w:color="auto"/>
        <w:left w:val="none" w:sz="0" w:space="0" w:color="auto"/>
        <w:bottom w:val="none" w:sz="0" w:space="0" w:color="auto"/>
        <w:right w:val="none" w:sz="0" w:space="0" w:color="auto"/>
      </w:divBdr>
    </w:div>
    <w:div w:id="285816824">
      <w:bodyDiv w:val="1"/>
      <w:marLeft w:val="0"/>
      <w:marRight w:val="0"/>
      <w:marTop w:val="0"/>
      <w:marBottom w:val="0"/>
      <w:divBdr>
        <w:top w:val="none" w:sz="0" w:space="0" w:color="auto"/>
        <w:left w:val="none" w:sz="0" w:space="0" w:color="auto"/>
        <w:bottom w:val="none" w:sz="0" w:space="0" w:color="auto"/>
        <w:right w:val="none" w:sz="0" w:space="0" w:color="auto"/>
      </w:divBdr>
    </w:div>
    <w:div w:id="295259128">
      <w:bodyDiv w:val="1"/>
      <w:marLeft w:val="0"/>
      <w:marRight w:val="0"/>
      <w:marTop w:val="0"/>
      <w:marBottom w:val="0"/>
      <w:divBdr>
        <w:top w:val="none" w:sz="0" w:space="0" w:color="auto"/>
        <w:left w:val="none" w:sz="0" w:space="0" w:color="auto"/>
        <w:bottom w:val="none" w:sz="0" w:space="0" w:color="auto"/>
        <w:right w:val="none" w:sz="0" w:space="0" w:color="auto"/>
      </w:divBdr>
      <w:divsChild>
        <w:div w:id="315887204">
          <w:marLeft w:val="0"/>
          <w:marRight w:val="0"/>
          <w:marTop w:val="0"/>
          <w:marBottom w:val="0"/>
          <w:divBdr>
            <w:top w:val="none" w:sz="0" w:space="0" w:color="auto"/>
            <w:left w:val="none" w:sz="0" w:space="0" w:color="auto"/>
            <w:bottom w:val="none" w:sz="0" w:space="0" w:color="auto"/>
            <w:right w:val="none" w:sz="0" w:space="0" w:color="auto"/>
          </w:divBdr>
          <w:divsChild>
            <w:div w:id="1538348989">
              <w:marLeft w:val="0"/>
              <w:marRight w:val="0"/>
              <w:marTop w:val="0"/>
              <w:marBottom w:val="0"/>
              <w:divBdr>
                <w:top w:val="none" w:sz="0" w:space="0" w:color="auto"/>
                <w:left w:val="none" w:sz="0" w:space="0" w:color="auto"/>
                <w:bottom w:val="none" w:sz="0" w:space="0" w:color="auto"/>
                <w:right w:val="none" w:sz="0" w:space="0" w:color="auto"/>
              </w:divBdr>
              <w:divsChild>
                <w:div w:id="348221564">
                  <w:marLeft w:val="0"/>
                  <w:marRight w:val="0"/>
                  <w:marTop w:val="0"/>
                  <w:marBottom w:val="0"/>
                  <w:divBdr>
                    <w:top w:val="none" w:sz="0" w:space="0" w:color="auto"/>
                    <w:left w:val="none" w:sz="0" w:space="0" w:color="auto"/>
                    <w:bottom w:val="none" w:sz="0" w:space="0" w:color="auto"/>
                    <w:right w:val="none" w:sz="0" w:space="0" w:color="auto"/>
                  </w:divBdr>
                  <w:divsChild>
                    <w:div w:id="622081799">
                      <w:marLeft w:val="0"/>
                      <w:marRight w:val="0"/>
                      <w:marTop w:val="0"/>
                      <w:marBottom w:val="0"/>
                      <w:divBdr>
                        <w:top w:val="none" w:sz="0" w:space="0" w:color="auto"/>
                        <w:left w:val="none" w:sz="0" w:space="0" w:color="auto"/>
                        <w:bottom w:val="none" w:sz="0" w:space="0" w:color="auto"/>
                        <w:right w:val="none" w:sz="0" w:space="0" w:color="auto"/>
                      </w:divBdr>
                      <w:divsChild>
                        <w:div w:id="2004428206">
                          <w:marLeft w:val="0"/>
                          <w:marRight w:val="0"/>
                          <w:marTop w:val="0"/>
                          <w:marBottom w:val="0"/>
                          <w:divBdr>
                            <w:top w:val="none" w:sz="0" w:space="0" w:color="auto"/>
                            <w:left w:val="none" w:sz="0" w:space="0" w:color="auto"/>
                            <w:bottom w:val="none" w:sz="0" w:space="0" w:color="auto"/>
                            <w:right w:val="none" w:sz="0" w:space="0" w:color="auto"/>
                          </w:divBdr>
                          <w:divsChild>
                            <w:div w:id="884682475">
                              <w:marLeft w:val="0"/>
                              <w:marRight w:val="0"/>
                              <w:marTop w:val="0"/>
                              <w:marBottom w:val="0"/>
                              <w:divBdr>
                                <w:top w:val="none" w:sz="0" w:space="0" w:color="auto"/>
                                <w:left w:val="none" w:sz="0" w:space="0" w:color="auto"/>
                                <w:bottom w:val="none" w:sz="0" w:space="0" w:color="auto"/>
                                <w:right w:val="none" w:sz="0" w:space="0" w:color="auto"/>
                              </w:divBdr>
                              <w:divsChild>
                                <w:div w:id="131220499">
                                  <w:marLeft w:val="0"/>
                                  <w:marRight w:val="0"/>
                                  <w:marTop w:val="0"/>
                                  <w:marBottom w:val="0"/>
                                  <w:divBdr>
                                    <w:top w:val="none" w:sz="0" w:space="0" w:color="auto"/>
                                    <w:left w:val="none" w:sz="0" w:space="0" w:color="auto"/>
                                    <w:bottom w:val="none" w:sz="0" w:space="0" w:color="auto"/>
                                    <w:right w:val="none" w:sz="0" w:space="0" w:color="auto"/>
                                  </w:divBdr>
                                  <w:divsChild>
                                    <w:div w:id="2008744340">
                                      <w:marLeft w:val="0"/>
                                      <w:marRight w:val="34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429619">
      <w:bodyDiv w:val="1"/>
      <w:marLeft w:val="0"/>
      <w:marRight w:val="0"/>
      <w:marTop w:val="0"/>
      <w:marBottom w:val="0"/>
      <w:divBdr>
        <w:top w:val="none" w:sz="0" w:space="0" w:color="auto"/>
        <w:left w:val="none" w:sz="0" w:space="0" w:color="auto"/>
        <w:bottom w:val="none" w:sz="0" w:space="0" w:color="auto"/>
        <w:right w:val="none" w:sz="0" w:space="0" w:color="auto"/>
      </w:divBdr>
      <w:divsChild>
        <w:div w:id="471026951">
          <w:marLeft w:val="0"/>
          <w:marRight w:val="0"/>
          <w:marTop w:val="0"/>
          <w:marBottom w:val="0"/>
          <w:divBdr>
            <w:top w:val="none" w:sz="0" w:space="0" w:color="auto"/>
            <w:left w:val="none" w:sz="0" w:space="0" w:color="auto"/>
            <w:bottom w:val="none" w:sz="0" w:space="0" w:color="auto"/>
            <w:right w:val="none" w:sz="0" w:space="0" w:color="auto"/>
          </w:divBdr>
          <w:divsChild>
            <w:div w:id="300110778">
              <w:marLeft w:val="0"/>
              <w:marRight w:val="0"/>
              <w:marTop w:val="0"/>
              <w:marBottom w:val="0"/>
              <w:divBdr>
                <w:top w:val="none" w:sz="0" w:space="0" w:color="auto"/>
                <w:left w:val="none" w:sz="0" w:space="0" w:color="auto"/>
                <w:bottom w:val="none" w:sz="0" w:space="0" w:color="auto"/>
                <w:right w:val="none" w:sz="0" w:space="0" w:color="auto"/>
              </w:divBdr>
              <w:divsChild>
                <w:div w:id="719133144">
                  <w:marLeft w:val="0"/>
                  <w:marRight w:val="0"/>
                  <w:marTop w:val="0"/>
                  <w:marBottom w:val="0"/>
                  <w:divBdr>
                    <w:top w:val="none" w:sz="0" w:space="0" w:color="auto"/>
                    <w:left w:val="none" w:sz="0" w:space="0" w:color="auto"/>
                    <w:bottom w:val="none" w:sz="0" w:space="0" w:color="auto"/>
                    <w:right w:val="none" w:sz="0" w:space="0" w:color="auto"/>
                  </w:divBdr>
                  <w:divsChild>
                    <w:div w:id="687482694">
                      <w:marLeft w:val="0"/>
                      <w:marRight w:val="0"/>
                      <w:marTop w:val="0"/>
                      <w:marBottom w:val="0"/>
                      <w:divBdr>
                        <w:top w:val="none" w:sz="0" w:space="0" w:color="auto"/>
                        <w:left w:val="none" w:sz="0" w:space="0" w:color="auto"/>
                        <w:bottom w:val="none" w:sz="0" w:space="0" w:color="auto"/>
                        <w:right w:val="none" w:sz="0" w:space="0" w:color="auto"/>
                      </w:divBdr>
                      <w:divsChild>
                        <w:div w:id="1823736620">
                          <w:marLeft w:val="0"/>
                          <w:marRight w:val="0"/>
                          <w:marTop w:val="0"/>
                          <w:marBottom w:val="0"/>
                          <w:divBdr>
                            <w:top w:val="none" w:sz="0" w:space="0" w:color="auto"/>
                            <w:left w:val="none" w:sz="0" w:space="0" w:color="auto"/>
                            <w:bottom w:val="none" w:sz="0" w:space="0" w:color="auto"/>
                            <w:right w:val="none" w:sz="0" w:space="0" w:color="auto"/>
                          </w:divBdr>
                          <w:divsChild>
                            <w:div w:id="13708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783976">
      <w:bodyDiv w:val="1"/>
      <w:marLeft w:val="0"/>
      <w:marRight w:val="0"/>
      <w:marTop w:val="0"/>
      <w:marBottom w:val="0"/>
      <w:divBdr>
        <w:top w:val="none" w:sz="0" w:space="0" w:color="auto"/>
        <w:left w:val="none" w:sz="0" w:space="0" w:color="auto"/>
        <w:bottom w:val="none" w:sz="0" w:space="0" w:color="auto"/>
        <w:right w:val="none" w:sz="0" w:space="0" w:color="auto"/>
      </w:divBdr>
    </w:div>
    <w:div w:id="458914552">
      <w:bodyDiv w:val="1"/>
      <w:marLeft w:val="0"/>
      <w:marRight w:val="0"/>
      <w:marTop w:val="0"/>
      <w:marBottom w:val="0"/>
      <w:divBdr>
        <w:top w:val="none" w:sz="0" w:space="0" w:color="auto"/>
        <w:left w:val="none" w:sz="0" w:space="0" w:color="auto"/>
        <w:bottom w:val="none" w:sz="0" w:space="0" w:color="auto"/>
        <w:right w:val="none" w:sz="0" w:space="0" w:color="auto"/>
      </w:divBdr>
    </w:div>
    <w:div w:id="492376427">
      <w:bodyDiv w:val="1"/>
      <w:marLeft w:val="0"/>
      <w:marRight w:val="0"/>
      <w:marTop w:val="0"/>
      <w:marBottom w:val="0"/>
      <w:divBdr>
        <w:top w:val="none" w:sz="0" w:space="0" w:color="auto"/>
        <w:left w:val="none" w:sz="0" w:space="0" w:color="auto"/>
        <w:bottom w:val="none" w:sz="0" w:space="0" w:color="auto"/>
        <w:right w:val="none" w:sz="0" w:space="0" w:color="auto"/>
      </w:divBdr>
    </w:div>
    <w:div w:id="538931818">
      <w:bodyDiv w:val="1"/>
      <w:marLeft w:val="0"/>
      <w:marRight w:val="0"/>
      <w:marTop w:val="0"/>
      <w:marBottom w:val="0"/>
      <w:divBdr>
        <w:top w:val="none" w:sz="0" w:space="0" w:color="auto"/>
        <w:left w:val="none" w:sz="0" w:space="0" w:color="auto"/>
        <w:bottom w:val="none" w:sz="0" w:space="0" w:color="auto"/>
        <w:right w:val="none" w:sz="0" w:space="0" w:color="auto"/>
      </w:divBdr>
    </w:div>
    <w:div w:id="540484167">
      <w:bodyDiv w:val="1"/>
      <w:marLeft w:val="0"/>
      <w:marRight w:val="0"/>
      <w:marTop w:val="0"/>
      <w:marBottom w:val="0"/>
      <w:divBdr>
        <w:top w:val="none" w:sz="0" w:space="0" w:color="auto"/>
        <w:left w:val="none" w:sz="0" w:space="0" w:color="auto"/>
        <w:bottom w:val="none" w:sz="0" w:space="0" w:color="auto"/>
        <w:right w:val="none" w:sz="0" w:space="0" w:color="auto"/>
      </w:divBdr>
    </w:div>
    <w:div w:id="602148541">
      <w:bodyDiv w:val="1"/>
      <w:marLeft w:val="0"/>
      <w:marRight w:val="0"/>
      <w:marTop w:val="0"/>
      <w:marBottom w:val="0"/>
      <w:divBdr>
        <w:top w:val="none" w:sz="0" w:space="0" w:color="auto"/>
        <w:left w:val="none" w:sz="0" w:space="0" w:color="auto"/>
        <w:bottom w:val="none" w:sz="0" w:space="0" w:color="auto"/>
        <w:right w:val="none" w:sz="0" w:space="0" w:color="auto"/>
      </w:divBdr>
      <w:divsChild>
        <w:div w:id="273681962">
          <w:marLeft w:val="0"/>
          <w:marRight w:val="0"/>
          <w:marTop w:val="0"/>
          <w:marBottom w:val="0"/>
          <w:divBdr>
            <w:top w:val="none" w:sz="0" w:space="0" w:color="auto"/>
            <w:left w:val="none" w:sz="0" w:space="0" w:color="auto"/>
            <w:bottom w:val="none" w:sz="0" w:space="0" w:color="auto"/>
            <w:right w:val="none" w:sz="0" w:space="0" w:color="auto"/>
          </w:divBdr>
          <w:divsChild>
            <w:div w:id="278606613">
              <w:marLeft w:val="0"/>
              <w:marRight w:val="0"/>
              <w:marTop w:val="0"/>
              <w:marBottom w:val="0"/>
              <w:divBdr>
                <w:top w:val="none" w:sz="0" w:space="0" w:color="auto"/>
                <w:left w:val="none" w:sz="0" w:space="0" w:color="auto"/>
                <w:bottom w:val="none" w:sz="0" w:space="0" w:color="auto"/>
                <w:right w:val="none" w:sz="0" w:space="0" w:color="auto"/>
              </w:divBdr>
            </w:div>
            <w:div w:id="1059863153">
              <w:marLeft w:val="0"/>
              <w:marRight w:val="0"/>
              <w:marTop w:val="0"/>
              <w:marBottom w:val="0"/>
              <w:divBdr>
                <w:top w:val="none" w:sz="0" w:space="0" w:color="auto"/>
                <w:left w:val="none" w:sz="0" w:space="0" w:color="auto"/>
                <w:bottom w:val="none" w:sz="0" w:space="0" w:color="auto"/>
                <w:right w:val="none" w:sz="0" w:space="0" w:color="auto"/>
              </w:divBdr>
            </w:div>
          </w:divsChild>
        </w:div>
        <w:div w:id="375207137">
          <w:marLeft w:val="0"/>
          <w:marRight w:val="0"/>
          <w:marTop w:val="0"/>
          <w:marBottom w:val="0"/>
          <w:divBdr>
            <w:top w:val="none" w:sz="0" w:space="0" w:color="auto"/>
            <w:left w:val="none" w:sz="0" w:space="0" w:color="auto"/>
            <w:bottom w:val="none" w:sz="0" w:space="0" w:color="auto"/>
            <w:right w:val="none" w:sz="0" w:space="0" w:color="auto"/>
          </w:divBdr>
          <w:divsChild>
            <w:div w:id="427122417">
              <w:marLeft w:val="0"/>
              <w:marRight w:val="0"/>
              <w:marTop w:val="0"/>
              <w:marBottom w:val="0"/>
              <w:divBdr>
                <w:top w:val="none" w:sz="0" w:space="0" w:color="auto"/>
                <w:left w:val="none" w:sz="0" w:space="0" w:color="auto"/>
                <w:bottom w:val="none" w:sz="0" w:space="0" w:color="auto"/>
                <w:right w:val="none" w:sz="0" w:space="0" w:color="auto"/>
              </w:divBdr>
            </w:div>
            <w:div w:id="1448088401">
              <w:marLeft w:val="0"/>
              <w:marRight w:val="0"/>
              <w:marTop w:val="0"/>
              <w:marBottom w:val="0"/>
              <w:divBdr>
                <w:top w:val="none" w:sz="0" w:space="0" w:color="auto"/>
                <w:left w:val="none" w:sz="0" w:space="0" w:color="auto"/>
                <w:bottom w:val="none" w:sz="0" w:space="0" w:color="auto"/>
                <w:right w:val="none" w:sz="0" w:space="0" w:color="auto"/>
              </w:divBdr>
            </w:div>
            <w:div w:id="1497644392">
              <w:marLeft w:val="0"/>
              <w:marRight w:val="0"/>
              <w:marTop w:val="0"/>
              <w:marBottom w:val="0"/>
              <w:divBdr>
                <w:top w:val="none" w:sz="0" w:space="0" w:color="auto"/>
                <w:left w:val="none" w:sz="0" w:space="0" w:color="auto"/>
                <w:bottom w:val="none" w:sz="0" w:space="0" w:color="auto"/>
                <w:right w:val="none" w:sz="0" w:space="0" w:color="auto"/>
              </w:divBdr>
            </w:div>
          </w:divsChild>
        </w:div>
        <w:div w:id="726413817">
          <w:marLeft w:val="0"/>
          <w:marRight w:val="0"/>
          <w:marTop w:val="0"/>
          <w:marBottom w:val="0"/>
          <w:divBdr>
            <w:top w:val="none" w:sz="0" w:space="0" w:color="auto"/>
            <w:left w:val="none" w:sz="0" w:space="0" w:color="auto"/>
            <w:bottom w:val="none" w:sz="0" w:space="0" w:color="auto"/>
            <w:right w:val="none" w:sz="0" w:space="0" w:color="auto"/>
          </w:divBdr>
          <w:divsChild>
            <w:div w:id="1573807856">
              <w:marLeft w:val="0"/>
              <w:marRight w:val="0"/>
              <w:marTop w:val="0"/>
              <w:marBottom w:val="0"/>
              <w:divBdr>
                <w:top w:val="none" w:sz="0" w:space="0" w:color="auto"/>
                <w:left w:val="none" w:sz="0" w:space="0" w:color="auto"/>
                <w:bottom w:val="none" w:sz="0" w:space="0" w:color="auto"/>
                <w:right w:val="none" w:sz="0" w:space="0" w:color="auto"/>
              </w:divBdr>
            </w:div>
          </w:divsChild>
        </w:div>
        <w:div w:id="820929623">
          <w:marLeft w:val="0"/>
          <w:marRight w:val="0"/>
          <w:marTop w:val="0"/>
          <w:marBottom w:val="0"/>
          <w:divBdr>
            <w:top w:val="none" w:sz="0" w:space="0" w:color="auto"/>
            <w:left w:val="none" w:sz="0" w:space="0" w:color="auto"/>
            <w:bottom w:val="none" w:sz="0" w:space="0" w:color="auto"/>
            <w:right w:val="none" w:sz="0" w:space="0" w:color="auto"/>
          </w:divBdr>
          <w:divsChild>
            <w:div w:id="1849639922">
              <w:marLeft w:val="0"/>
              <w:marRight w:val="0"/>
              <w:marTop w:val="0"/>
              <w:marBottom w:val="0"/>
              <w:divBdr>
                <w:top w:val="none" w:sz="0" w:space="0" w:color="auto"/>
                <w:left w:val="none" w:sz="0" w:space="0" w:color="auto"/>
                <w:bottom w:val="none" w:sz="0" w:space="0" w:color="auto"/>
                <w:right w:val="none" w:sz="0" w:space="0" w:color="auto"/>
              </w:divBdr>
            </w:div>
          </w:divsChild>
        </w:div>
        <w:div w:id="1271427441">
          <w:marLeft w:val="0"/>
          <w:marRight w:val="0"/>
          <w:marTop w:val="0"/>
          <w:marBottom w:val="0"/>
          <w:divBdr>
            <w:top w:val="none" w:sz="0" w:space="0" w:color="auto"/>
            <w:left w:val="none" w:sz="0" w:space="0" w:color="auto"/>
            <w:bottom w:val="none" w:sz="0" w:space="0" w:color="auto"/>
            <w:right w:val="none" w:sz="0" w:space="0" w:color="auto"/>
          </w:divBdr>
          <w:divsChild>
            <w:div w:id="2065372413">
              <w:marLeft w:val="0"/>
              <w:marRight w:val="0"/>
              <w:marTop w:val="0"/>
              <w:marBottom w:val="0"/>
              <w:divBdr>
                <w:top w:val="none" w:sz="0" w:space="0" w:color="auto"/>
                <w:left w:val="none" w:sz="0" w:space="0" w:color="auto"/>
                <w:bottom w:val="none" w:sz="0" w:space="0" w:color="auto"/>
                <w:right w:val="none" w:sz="0" w:space="0" w:color="auto"/>
              </w:divBdr>
            </w:div>
          </w:divsChild>
        </w:div>
        <w:div w:id="1391882541">
          <w:marLeft w:val="0"/>
          <w:marRight w:val="0"/>
          <w:marTop w:val="0"/>
          <w:marBottom w:val="0"/>
          <w:divBdr>
            <w:top w:val="none" w:sz="0" w:space="0" w:color="auto"/>
            <w:left w:val="none" w:sz="0" w:space="0" w:color="auto"/>
            <w:bottom w:val="none" w:sz="0" w:space="0" w:color="auto"/>
            <w:right w:val="none" w:sz="0" w:space="0" w:color="auto"/>
          </w:divBdr>
          <w:divsChild>
            <w:div w:id="1722704605">
              <w:marLeft w:val="0"/>
              <w:marRight w:val="0"/>
              <w:marTop w:val="0"/>
              <w:marBottom w:val="0"/>
              <w:divBdr>
                <w:top w:val="none" w:sz="0" w:space="0" w:color="auto"/>
                <w:left w:val="none" w:sz="0" w:space="0" w:color="auto"/>
                <w:bottom w:val="none" w:sz="0" w:space="0" w:color="auto"/>
                <w:right w:val="none" w:sz="0" w:space="0" w:color="auto"/>
              </w:divBdr>
            </w:div>
          </w:divsChild>
        </w:div>
        <w:div w:id="1461150936">
          <w:marLeft w:val="0"/>
          <w:marRight w:val="0"/>
          <w:marTop w:val="0"/>
          <w:marBottom w:val="0"/>
          <w:divBdr>
            <w:top w:val="none" w:sz="0" w:space="0" w:color="auto"/>
            <w:left w:val="none" w:sz="0" w:space="0" w:color="auto"/>
            <w:bottom w:val="none" w:sz="0" w:space="0" w:color="auto"/>
            <w:right w:val="none" w:sz="0" w:space="0" w:color="auto"/>
          </w:divBdr>
          <w:divsChild>
            <w:div w:id="419375709">
              <w:marLeft w:val="0"/>
              <w:marRight w:val="0"/>
              <w:marTop w:val="0"/>
              <w:marBottom w:val="0"/>
              <w:divBdr>
                <w:top w:val="none" w:sz="0" w:space="0" w:color="auto"/>
                <w:left w:val="none" w:sz="0" w:space="0" w:color="auto"/>
                <w:bottom w:val="none" w:sz="0" w:space="0" w:color="auto"/>
                <w:right w:val="none" w:sz="0" w:space="0" w:color="auto"/>
              </w:divBdr>
            </w:div>
          </w:divsChild>
        </w:div>
        <w:div w:id="1497454555">
          <w:marLeft w:val="0"/>
          <w:marRight w:val="0"/>
          <w:marTop w:val="0"/>
          <w:marBottom w:val="0"/>
          <w:divBdr>
            <w:top w:val="none" w:sz="0" w:space="0" w:color="auto"/>
            <w:left w:val="none" w:sz="0" w:space="0" w:color="auto"/>
            <w:bottom w:val="none" w:sz="0" w:space="0" w:color="auto"/>
            <w:right w:val="none" w:sz="0" w:space="0" w:color="auto"/>
          </w:divBdr>
          <w:divsChild>
            <w:div w:id="294919155">
              <w:marLeft w:val="0"/>
              <w:marRight w:val="0"/>
              <w:marTop w:val="0"/>
              <w:marBottom w:val="0"/>
              <w:divBdr>
                <w:top w:val="none" w:sz="0" w:space="0" w:color="auto"/>
                <w:left w:val="none" w:sz="0" w:space="0" w:color="auto"/>
                <w:bottom w:val="none" w:sz="0" w:space="0" w:color="auto"/>
                <w:right w:val="none" w:sz="0" w:space="0" w:color="auto"/>
              </w:divBdr>
            </w:div>
          </w:divsChild>
        </w:div>
        <w:div w:id="1839029308">
          <w:marLeft w:val="0"/>
          <w:marRight w:val="0"/>
          <w:marTop w:val="0"/>
          <w:marBottom w:val="0"/>
          <w:divBdr>
            <w:top w:val="none" w:sz="0" w:space="0" w:color="auto"/>
            <w:left w:val="none" w:sz="0" w:space="0" w:color="auto"/>
            <w:bottom w:val="none" w:sz="0" w:space="0" w:color="auto"/>
            <w:right w:val="none" w:sz="0" w:space="0" w:color="auto"/>
          </w:divBdr>
          <w:divsChild>
            <w:div w:id="843397043">
              <w:marLeft w:val="0"/>
              <w:marRight w:val="0"/>
              <w:marTop w:val="0"/>
              <w:marBottom w:val="0"/>
              <w:divBdr>
                <w:top w:val="none" w:sz="0" w:space="0" w:color="auto"/>
                <w:left w:val="none" w:sz="0" w:space="0" w:color="auto"/>
                <w:bottom w:val="none" w:sz="0" w:space="0" w:color="auto"/>
                <w:right w:val="none" w:sz="0" w:space="0" w:color="auto"/>
              </w:divBdr>
            </w:div>
            <w:div w:id="1424036107">
              <w:marLeft w:val="0"/>
              <w:marRight w:val="0"/>
              <w:marTop w:val="0"/>
              <w:marBottom w:val="0"/>
              <w:divBdr>
                <w:top w:val="none" w:sz="0" w:space="0" w:color="auto"/>
                <w:left w:val="none" w:sz="0" w:space="0" w:color="auto"/>
                <w:bottom w:val="none" w:sz="0" w:space="0" w:color="auto"/>
                <w:right w:val="none" w:sz="0" w:space="0" w:color="auto"/>
              </w:divBdr>
            </w:div>
          </w:divsChild>
        </w:div>
        <w:div w:id="1912545968">
          <w:marLeft w:val="0"/>
          <w:marRight w:val="0"/>
          <w:marTop w:val="0"/>
          <w:marBottom w:val="0"/>
          <w:divBdr>
            <w:top w:val="none" w:sz="0" w:space="0" w:color="auto"/>
            <w:left w:val="none" w:sz="0" w:space="0" w:color="auto"/>
            <w:bottom w:val="none" w:sz="0" w:space="0" w:color="auto"/>
            <w:right w:val="none" w:sz="0" w:space="0" w:color="auto"/>
          </w:divBdr>
          <w:divsChild>
            <w:div w:id="1048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6862">
      <w:bodyDiv w:val="1"/>
      <w:marLeft w:val="0"/>
      <w:marRight w:val="0"/>
      <w:marTop w:val="0"/>
      <w:marBottom w:val="0"/>
      <w:divBdr>
        <w:top w:val="none" w:sz="0" w:space="0" w:color="auto"/>
        <w:left w:val="none" w:sz="0" w:space="0" w:color="auto"/>
        <w:bottom w:val="none" w:sz="0" w:space="0" w:color="auto"/>
        <w:right w:val="none" w:sz="0" w:space="0" w:color="auto"/>
      </w:divBdr>
    </w:div>
    <w:div w:id="844856813">
      <w:bodyDiv w:val="1"/>
      <w:marLeft w:val="0"/>
      <w:marRight w:val="0"/>
      <w:marTop w:val="0"/>
      <w:marBottom w:val="0"/>
      <w:divBdr>
        <w:top w:val="none" w:sz="0" w:space="0" w:color="auto"/>
        <w:left w:val="none" w:sz="0" w:space="0" w:color="auto"/>
        <w:bottom w:val="none" w:sz="0" w:space="0" w:color="auto"/>
        <w:right w:val="none" w:sz="0" w:space="0" w:color="auto"/>
      </w:divBdr>
    </w:div>
    <w:div w:id="1138761380">
      <w:bodyDiv w:val="1"/>
      <w:marLeft w:val="0"/>
      <w:marRight w:val="0"/>
      <w:marTop w:val="0"/>
      <w:marBottom w:val="0"/>
      <w:divBdr>
        <w:top w:val="none" w:sz="0" w:space="0" w:color="auto"/>
        <w:left w:val="none" w:sz="0" w:space="0" w:color="auto"/>
        <w:bottom w:val="none" w:sz="0" w:space="0" w:color="auto"/>
        <w:right w:val="none" w:sz="0" w:space="0" w:color="auto"/>
      </w:divBdr>
    </w:div>
    <w:div w:id="1218668337">
      <w:bodyDiv w:val="1"/>
      <w:marLeft w:val="0"/>
      <w:marRight w:val="0"/>
      <w:marTop w:val="0"/>
      <w:marBottom w:val="0"/>
      <w:divBdr>
        <w:top w:val="none" w:sz="0" w:space="0" w:color="auto"/>
        <w:left w:val="none" w:sz="0" w:space="0" w:color="auto"/>
        <w:bottom w:val="none" w:sz="0" w:space="0" w:color="auto"/>
        <w:right w:val="none" w:sz="0" w:space="0" w:color="auto"/>
      </w:divBdr>
    </w:div>
    <w:div w:id="1246379195">
      <w:bodyDiv w:val="1"/>
      <w:marLeft w:val="0"/>
      <w:marRight w:val="0"/>
      <w:marTop w:val="0"/>
      <w:marBottom w:val="0"/>
      <w:divBdr>
        <w:top w:val="none" w:sz="0" w:space="0" w:color="auto"/>
        <w:left w:val="none" w:sz="0" w:space="0" w:color="auto"/>
        <w:bottom w:val="none" w:sz="0" w:space="0" w:color="auto"/>
        <w:right w:val="none" w:sz="0" w:space="0" w:color="auto"/>
      </w:divBdr>
      <w:divsChild>
        <w:div w:id="1464808540">
          <w:marLeft w:val="0"/>
          <w:marRight w:val="0"/>
          <w:marTop w:val="0"/>
          <w:marBottom w:val="0"/>
          <w:divBdr>
            <w:top w:val="none" w:sz="0" w:space="0" w:color="auto"/>
            <w:left w:val="none" w:sz="0" w:space="0" w:color="auto"/>
            <w:bottom w:val="none" w:sz="0" w:space="0" w:color="auto"/>
            <w:right w:val="none" w:sz="0" w:space="0" w:color="auto"/>
          </w:divBdr>
          <w:divsChild>
            <w:div w:id="2090030472">
              <w:marLeft w:val="0"/>
              <w:marRight w:val="0"/>
              <w:marTop w:val="0"/>
              <w:marBottom w:val="0"/>
              <w:divBdr>
                <w:top w:val="none" w:sz="0" w:space="0" w:color="auto"/>
                <w:left w:val="none" w:sz="0" w:space="0" w:color="auto"/>
                <w:bottom w:val="none" w:sz="0" w:space="0" w:color="auto"/>
                <w:right w:val="none" w:sz="0" w:space="0" w:color="auto"/>
              </w:divBdr>
              <w:divsChild>
                <w:div w:id="1513716818">
                  <w:marLeft w:val="0"/>
                  <w:marRight w:val="0"/>
                  <w:marTop w:val="0"/>
                  <w:marBottom w:val="0"/>
                  <w:divBdr>
                    <w:top w:val="none" w:sz="0" w:space="0" w:color="auto"/>
                    <w:left w:val="none" w:sz="0" w:space="0" w:color="auto"/>
                    <w:bottom w:val="none" w:sz="0" w:space="0" w:color="auto"/>
                    <w:right w:val="none" w:sz="0" w:space="0" w:color="auto"/>
                  </w:divBdr>
                  <w:divsChild>
                    <w:div w:id="764767899">
                      <w:marLeft w:val="0"/>
                      <w:marRight w:val="0"/>
                      <w:marTop w:val="0"/>
                      <w:marBottom w:val="0"/>
                      <w:divBdr>
                        <w:top w:val="none" w:sz="0" w:space="0" w:color="auto"/>
                        <w:left w:val="none" w:sz="0" w:space="0" w:color="auto"/>
                        <w:bottom w:val="none" w:sz="0" w:space="0" w:color="auto"/>
                        <w:right w:val="none" w:sz="0" w:space="0" w:color="auto"/>
                      </w:divBdr>
                      <w:divsChild>
                        <w:div w:id="1094980217">
                          <w:marLeft w:val="0"/>
                          <w:marRight w:val="0"/>
                          <w:marTop w:val="0"/>
                          <w:marBottom w:val="0"/>
                          <w:divBdr>
                            <w:top w:val="none" w:sz="0" w:space="0" w:color="auto"/>
                            <w:left w:val="none" w:sz="0" w:space="0" w:color="auto"/>
                            <w:bottom w:val="none" w:sz="0" w:space="0" w:color="auto"/>
                            <w:right w:val="none" w:sz="0" w:space="0" w:color="auto"/>
                          </w:divBdr>
                          <w:divsChild>
                            <w:div w:id="1773627341">
                              <w:marLeft w:val="0"/>
                              <w:marRight w:val="0"/>
                              <w:marTop w:val="0"/>
                              <w:marBottom w:val="0"/>
                              <w:divBdr>
                                <w:top w:val="none" w:sz="0" w:space="0" w:color="auto"/>
                                <w:left w:val="none" w:sz="0" w:space="0" w:color="auto"/>
                                <w:bottom w:val="none" w:sz="0" w:space="0" w:color="auto"/>
                                <w:right w:val="none" w:sz="0" w:space="0" w:color="auto"/>
                              </w:divBdr>
                              <w:divsChild>
                                <w:div w:id="1331837181">
                                  <w:marLeft w:val="0"/>
                                  <w:marRight w:val="0"/>
                                  <w:marTop w:val="0"/>
                                  <w:marBottom w:val="0"/>
                                  <w:divBdr>
                                    <w:top w:val="none" w:sz="0" w:space="0" w:color="auto"/>
                                    <w:left w:val="none" w:sz="0" w:space="0" w:color="auto"/>
                                    <w:bottom w:val="none" w:sz="0" w:space="0" w:color="auto"/>
                                    <w:right w:val="none" w:sz="0" w:space="0" w:color="auto"/>
                                  </w:divBdr>
                                  <w:divsChild>
                                    <w:div w:id="999308418">
                                      <w:marLeft w:val="0"/>
                                      <w:marRight w:val="34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630570">
      <w:bodyDiv w:val="1"/>
      <w:marLeft w:val="0"/>
      <w:marRight w:val="0"/>
      <w:marTop w:val="0"/>
      <w:marBottom w:val="0"/>
      <w:divBdr>
        <w:top w:val="none" w:sz="0" w:space="0" w:color="auto"/>
        <w:left w:val="none" w:sz="0" w:space="0" w:color="auto"/>
        <w:bottom w:val="none" w:sz="0" w:space="0" w:color="auto"/>
        <w:right w:val="none" w:sz="0" w:space="0" w:color="auto"/>
      </w:divBdr>
    </w:div>
    <w:div w:id="1493521313">
      <w:bodyDiv w:val="1"/>
      <w:marLeft w:val="0"/>
      <w:marRight w:val="0"/>
      <w:marTop w:val="0"/>
      <w:marBottom w:val="0"/>
      <w:divBdr>
        <w:top w:val="none" w:sz="0" w:space="0" w:color="auto"/>
        <w:left w:val="none" w:sz="0" w:space="0" w:color="auto"/>
        <w:bottom w:val="none" w:sz="0" w:space="0" w:color="auto"/>
        <w:right w:val="none" w:sz="0" w:space="0" w:color="auto"/>
      </w:divBdr>
    </w:div>
    <w:div w:id="1523591282">
      <w:bodyDiv w:val="1"/>
      <w:marLeft w:val="0"/>
      <w:marRight w:val="0"/>
      <w:marTop w:val="0"/>
      <w:marBottom w:val="0"/>
      <w:divBdr>
        <w:top w:val="none" w:sz="0" w:space="0" w:color="auto"/>
        <w:left w:val="none" w:sz="0" w:space="0" w:color="auto"/>
        <w:bottom w:val="none" w:sz="0" w:space="0" w:color="auto"/>
        <w:right w:val="none" w:sz="0" w:space="0" w:color="auto"/>
      </w:divBdr>
    </w:div>
    <w:div w:id="1629510031">
      <w:bodyDiv w:val="1"/>
      <w:marLeft w:val="0"/>
      <w:marRight w:val="0"/>
      <w:marTop w:val="0"/>
      <w:marBottom w:val="0"/>
      <w:divBdr>
        <w:top w:val="none" w:sz="0" w:space="0" w:color="auto"/>
        <w:left w:val="none" w:sz="0" w:space="0" w:color="auto"/>
        <w:bottom w:val="none" w:sz="0" w:space="0" w:color="auto"/>
        <w:right w:val="none" w:sz="0" w:space="0" w:color="auto"/>
      </w:divBdr>
    </w:div>
    <w:div w:id="1668090689">
      <w:bodyDiv w:val="1"/>
      <w:marLeft w:val="0"/>
      <w:marRight w:val="0"/>
      <w:marTop w:val="0"/>
      <w:marBottom w:val="0"/>
      <w:divBdr>
        <w:top w:val="none" w:sz="0" w:space="0" w:color="auto"/>
        <w:left w:val="none" w:sz="0" w:space="0" w:color="auto"/>
        <w:bottom w:val="none" w:sz="0" w:space="0" w:color="auto"/>
        <w:right w:val="none" w:sz="0" w:space="0" w:color="auto"/>
      </w:divBdr>
    </w:div>
    <w:div w:id="1709141393">
      <w:bodyDiv w:val="1"/>
      <w:marLeft w:val="0"/>
      <w:marRight w:val="0"/>
      <w:marTop w:val="0"/>
      <w:marBottom w:val="0"/>
      <w:divBdr>
        <w:top w:val="none" w:sz="0" w:space="0" w:color="auto"/>
        <w:left w:val="none" w:sz="0" w:space="0" w:color="auto"/>
        <w:bottom w:val="none" w:sz="0" w:space="0" w:color="auto"/>
        <w:right w:val="none" w:sz="0" w:space="0" w:color="auto"/>
      </w:divBdr>
    </w:div>
    <w:div w:id="1730031583">
      <w:bodyDiv w:val="1"/>
      <w:marLeft w:val="0"/>
      <w:marRight w:val="0"/>
      <w:marTop w:val="0"/>
      <w:marBottom w:val="0"/>
      <w:divBdr>
        <w:top w:val="none" w:sz="0" w:space="0" w:color="auto"/>
        <w:left w:val="none" w:sz="0" w:space="0" w:color="auto"/>
        <w:bottom w:val="none" w:sz="0" w:space="0" w:color="auto"/>
        <w:right w:val="none" w:sz="0" w:space="0" w:color="auto"/>
      </w:divBdr>
    </w:div>
    <w:div w:id="1743024320">
      <w:bodyDiv w:val="1"/>
      <w:marLeft w:val="0"/>
      <w:marRight w:val="0"/>
      <w:marTop w:val="0"/>
      <w:marBottom w:val="0"/>
      <w:divBdr>
        <w:top w:val="none" w:sz="0" w:space="0" w:color="auto"/>
        <w:left w:val="none" w:sz="0" w:space="0" w:color="auto"/>
        <w:bottom w:val="none" w:sz="0" w:space="0" w:color="auto"/>
        <w:right w:val="none" w:sz="0" w:space="0" w:color="auto"/>
      </w:divBdr>
    </w:div>
    <w:div w:id="1822429434">
      <w:bodyDiv w:val="1"/>
      <w:marLeft w:val="0"/>
      <w:marRight w:val="0"/>
      <w:marTop w:val="0"/>
      <w:marBottom w:val="0"/>
      <w:divBdr>
        <w:top w:val="none" w:sz="0" w:space="0" w:color="auto"/>
        <w:left w:val="none" w:sz="0" w:space="0" w:color="auto"/>
        <w:bottom w:val="none" w:sz="0" w:space="0" w:color="auto"/>
        <w:right w:val="none" w:sz="0" w:space="0" w:color="auto"/>
      </w:divBdr>
    </w:div>
    <w:div w:id="1839541125">
      <w:bodyDiv w:val="1"/>
      <w:marLeft w:val="0"/>
      <w:marRight w:val="0"/>
      <w:marTop w:val="0"/>
      <w:marBottom w:val="0"/>
      <w:divBdr>
        <w:top w:val="none" w:sz="0" w:space="0" w:color="auto"/>
        <w:left w:val="none" w:sz="0" w:space="0" w:color="auto"/>
        <w:bottom w:val="none" w:sz="0" w:space="0" w:color="auto"/>
        <w:right w:val="none" w:sz="0" w:space="0" w:color="auto"/>
      </w:divBdr>
    </w:div>
    <w:div w:id="2013608038">
      <w:bodyDiv w:val="1"/>
      <w:marLeft w:val="0"/>
      <w:marRight w:val="0"/>
      <w:marTop w:val="0"/>
      <w:marBottom w:val="0"/>
      <w:divBdr>
        <w:top w:val="none" w:sz="0" w:space="0" w:color="auto"/>
        <w:left w:val="none" w:sz="0" w:space="0" w:color="auto"/>
        <w:bottom w:val="none" w:sz="0" w:space="0" w:color="auto"/>
        <w:right w:val="none" w:sz="0" w:space="0" w:color="auto"/>
      </w:divBdr>
    </w:div>
    <w:div w:id="20461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yperlink" Target="#_Baseline_Estimates"/><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_ESRPP_Retailer_Sales"/><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hyperlink" Target="#_Configuration_Share"/><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hyperlink" Target="#_ESRPP-Qualified_Sales_Attributable"/><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_Total_Market_Size"/><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hyperlink" Target="#_Share_of_Non-Participant"/><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wnloads.regulations.gov/EERE-2017-BT-STD-0014-0030/content.pdf" TargetMode="External"/><Relationship Id="rId2" Type="http://schemas.openxmlformats.org/officeDocument/2006/relationships/hyperlink" Target="https://www.regulations.gov/document/EERE-2017-BT-STD-0003-0020" TargetMode="External"/><Relationship Id="rId1" Type="http://schemas.openxmlformats.org/officeDocument/2006/relationships/hyperlink" Target="https://neea.org/img/documents/Refrigerator-and-Freezer-Influence-Assessment-and-Baseline-Review.pdf" TargetMode="External"/><Relationship Id="rId4" Type="http://schemas.openxmlformats.org/officeDocument/2006/relationships/hyperlink" Target="https://www.regulations.gov/document/EERE-2017-BT-STD-0003-00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el_re\Downloads\rpp-evaluation-10212022.csv"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l_re\Downloads\rpp-evaluation-10212022.csv"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https://apexanalyticsllc.sharepoint.com/sites/ComEdPlanning2020/Shared%20Documents/General/Market%20Transformation%20Support/RPP%20work/Refrigerator%20Market%20Share%20Comparisons%20(Net%20of%20RAP).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https://apexanalyticsllc.sharepoint.com/sites/ComEdPlanning2020/Shared%20Documents/General/Market%20Transformation%20Support/RPP%20work/Refrigerator%20Market%20Share%20Comparisons%20(Net%20of%20RAP).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https://apexanalyticsllc.sharepoint.com/sites/ComEdPlanning2020/Shared%20Documents/General/Market%20Transformation%20Support/RPP%20work/Refrigerator%20Market%20Share%20Comparisons%20(Net%20of%20RAP).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apexanalyticsllc.sharepoint.com/sites/ComEdPlanning2020/Shared%20Documents/General/Market%20Transformation%20Support/RPP%20work/Refrigerator%20Market%20Share%20Comparisons%20(Net%20of%20RAP).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5.xml"/></Relationships>
</file>

<file path=word/charts/_rels/chart7.xml.rels><?xml version="1.0" encoding="UTF-8" standalone="yes"?>
<Relationships xmlns="http://schemas.openxmlformats.org/package/2006/relationships"><Relationship Id="rId3" Type="http://schemas.openxmlformats.org/officeDocument/2006/relationships/oleObject" Target="https://apexanalyticsllc.sharepoint.com/sites/ComEdPlanning2020/Shared%20Documents/General/Market%20Transformation%20Support/RPP%20work/ComEd_CW%20rpp-evaluation-0329202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Sheet1!$K$25</c:f>
              <c:strCache>
                <c:ptCount val="1"/>
                <c:pt idx="0">
                  <c:v>Electric</c:v>
                </c:pt>
              </c:strCache>
            </c:strRef>
          </c:tx>
          <c:spPr>
            <a:ln w="28575" cap="rnd">
              <a:solidFill>
                <a:schemeClr val="accent1"/>
              </a:solidFill>
              <a:round/>
            </a:ln>
            <a:effectLst/>
          </c:spPr>
          <c:marker>
            <c:symbol val="none"/>
          </c:marker>
          <c:cat>
            <c:numRef>
              <c:f>Sheet1!$L$24:$R$24</c:f>
              <c:numCache>
                <c:formatCode>General</c:formatCode>
                <c:ptCount val="7"/>
                <c:pt idx="0">
                  <c:v>2015</c:v>
                </c:pt>
                <c:pt idx="1">
                  <c:v>2016</c:v>
                </c:pt>
                <c:pt idx="2">
                  <c:v>2017</c:v>
                </c:pt>
                <c:pt idx="3">
                  <c:v>2018</c:v>
                </c:pt>
                <c:pt idx="4">
                  <c:v>2019</c:v>
                </c:pt>
                <c:pt idx="5">
                  <c:v>2020</c:v>
                </c:pt>
                <c:pt idx="6">
                  <c:v>2021</c:v>
                </c:pt>
              </c:numCache>
            </c:numRef>
          </c:cat>
          <c:val>
            <c:numRef>
              <c:f>Sheet1!$L$25:$R$25</c:f>
              <c:numCache>
                <c:formatCode>0%</c:formatCode>
                <c:ptCount val="7"/>
                <c:pt idx="0">
                  <c:v>0.21849359050586248</c:v>
                </c:pt>
                <c:pt idx="1">
                  <c:v>0.35364027884951493</c:v>
                </c:pt>
                <c:pt idx="2">
                  <c:v>0.39164227627833026</c:v>
                </c:pt>
                <c:pt idx="3">
                  <c:v>0.41923209011607943</c:v>
                </c:pt>
                <c:pt idx="4">
                  <c:v>0.42459275068862984</c:v>
                </c:pt>
                <c:pt idx="5">
                  <c:v>0.44247525450826419</c:v>
                </c:pt>
                <c:pt idx="6">
                  <c:v>0.43194464396877841</c:v>
                </c:pt>
              </c:numCache>
            </c:numRef>
          </c:val>
          <c:smooth val="0"/>
          <c:extLst>
            <c:ext xmlns:c16="http://schemas.microsoft.com/office/drawing/2014/chart" uri="{C3380CC4-5D6E-409C-BE32-E72D297353CC}">
              <c16:uniqueId val="{00000000-3858-4D2D-A164-2E2E84F6F0B6}"/>
            </c:ext>
          </c:extLst>
        </c:ser>
        <c:dLbls>
          <c:showLegendKey val="0"/>
          <c:showVal val="0"/>
          <c:showCatName val="0"/>
          <c:showSerName val="0"/>
          <c:showPercent val="0"/>
          <c:showBubbleSize val="0"/>
        </c:dLbls>
        <c:smooth val="0"/>
        <c:axId val="2072009280"/>
        <c:axId val="2072009696"/>
        <c:extLst>
          <c:ext xmlns:c15="http://schemas.microsoft.com/office/drawing/2012/chart" uri="{02D57815-91ED-43cb-92C2-25804820EDAC}">
            <c15:filteredLineSeries>
              <c15:ser>
                <c:idx val="1"/>
                <c:order val="1"/>
                <c:tx>
                  <c:strRef>
                    <c:extLst>
                      <c:ext uri="{02D57815-91ED-43cb-92C2-25804820EDAC}">
                        <c15:formulaRef>
                          <c15:sqref>Sheet1!$K$26</c15:sqref>
                        </c15:formulaRef>
                      </c:ext>
                    </c:extLst>
                    <c:strCache>
                      <c:ptCount val="1"/>
                      <c:pt idx="0">
                        <c:v>Gas</c:v>
                      </c:pt>
                    </c:strCache>
                  </c:strRef>
                </c:tx>
                <c:spPr>
                  <a:ln w="28575" cap="rnd">
                    <a:solidFill>
                      <a:schemeClr val="accent2"/>
                    </a:solidFill>
                    <a:round/>
                  </a:ln>
                  <a:effectLst/>
                </c:spPr>
                <c:marker>
                  <c:symbol val="none"/>
                </c:marker>
                <c:cat>
                  <c:numRef>
                    <c:extLst>
                      <c:ext uri="{02D57815-91ED-43cb-92C2-25804820EDAC}">
                        <c15:formulaRef>
                          <c15:sqref>Sheet1!$L$24:$R$24</c15:sqref>
                        </c15:formulaRef>
                      </c:ext>
                    </c:extLst>
                    <c:numCache>
                      <c:formatCode>General</c:formatCode>
                      <c:ptCount val="7"/>
                      <c:pt idx="0">
                        <c:v>2015</c:v>
                      </c:pt>
                      <c:pt idx="1">
                        <c:v>2016</c:v>
                      </c:pt>
                      <c:pt idx="2">
                        <c:v>2017</c:v>
                      </c:pt>
                      <c:pt idx="3">
                        <c:v>2018</c:v>
                      </c:pt>
                      <c:pt idx="4">
                        <c:v>2019</c:v>
                      </c:pt>
                      <c:pt idx="5">
                        <c:v>2020</c:v>
                      </c:pt>
                      <c:pt idx="6">
                        <c:v>2021</c:v>
                      </c:pt>
                    </c:numCache>
                  </c:numRef>
                </c:cat>
                <c:val>
                  <c:numRef>
                    <c:extLst>
                      <c:ext uri="{02D57815-91ED-43cb-92C2-25804820EDAC}">
                        <c15:formulaRef>
                          <c15:sqref>Sheet1!$L$26:$R$26</c15:sqref>
                        </c15:formulaRef>
                      </c:ext>
                    </c:extLst>
                    <c:numCache>
                      <c:formatCode>0%</c:formatCode>
                      <c:ptCount val="7"/>
                      <c:pt idx="0">
                        <c:v>0.19883040935672514</c:v>
                      </c:pt>
                      <c:pt idx="1">
                        <c:v>0.29340037712130734</c:v>
                      </c:pt>
                      <c:pt idx="2">
                        <c:v>0.32715327153271534</c:v>
                      </c:pt>
                      <c:pt idx="3">
                        <c:v>0.36274509803921567</c:v>
                      </c:pt>
                      <c:pt idx="4">
                        <c:v>0.49050346698824238</c:v>
                      </c:pt>
                      <c:pt idx="5">
                        <c:v>0.52322565432680967</c:v>
                      </c:pt>
                      <c:pt idx="6">
                        <c:v>0.55442334414080596</c:v>
                      </c:pt>
                    </c:numCache>
                  </c:numRef>
                </c:val>
                <c:smooth val="0"/>
                <c:extLst>
                  <c:ext xmlns:c16="http://schemas.microsoft.com/office/drawing/2014/chart" uri="{C3380CC4-5D6E-409C-BE32-E72D297353CC}">
                    <c16:uniqueId val="{00000001-3858-4D2D-A164-2E2E84F6F0B6}"/>
                  </c:ext>
                </c:extLst>
              </c15:ser>
            </c15:filteredLineSeries>
          </c:ext>
        </c:extLst>
      </c:lineChart>
      <c:catAx>
        <c:axId val="207200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2009696"/>
        <c:crosses val="autoZero"/>
        <c:auto val="1"/>
        <c:lblAlgn val="ctr"/>
        <c:lblOffset val="100"/>
        <c:noMultiLvlLbl val="0"/>
      </c:catAx>
      <c:valAx>
        <c:axId val="207200969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ENERGY</a:t>
                </a:r>
                <a:r>
                  <a:rPr lang="en-US" baseline="0"/>
                  <a:t> STAR Market Share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2009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Sheet2!$B$1</c:f>
              <c:strCache>
                <c:ptCount val="1"/>
                <c:pt idx="0">
                  <c:v>ENERGY STAR Market Share</c:v>
                </c:pt>
              </c:strCache>
            </c:strRef>
          </c:tx>
          <c:spPr>
            <a:ln w="19050" cap="rnd">
              <a:noFill/>
              <a:round/>
            </a:ln>
            <a:effectLst/>
          </c:spPr>
          <c:marker>
            <c:symbol val="circle"/>
            <c:size val="5"/>
            <c:spPr>
              <a:solidFill>
                <a:schemeClr val="accent1"/>
              </a:solidFill>
              <a:ln w="9525">
                <a:solidFill>
                  <a:schemeClr val="accent1"/>
                </a:solidFill>
              </a:ln>
              <a:effectLst/>
            </c:spPr>
          </c:marker>
          <c:yVal>
            <c:numRef>
              <c:f>Sheet2!$B$2:$B$92</c:f>
              <c:numCache>
                <c:formatCode>0%</c:formatCode>
                <c:ptCount val="91"/>
                <c:pt idx="0">
                  <c:v>0.1392978482446206</c:v>
                </c:pt>
                <c:pt idx="1">
                  <c:v>0.17344252705469435</c:v>
                </c:pt>
                <c:pt idx="2">
                  <c:v>0.17624067274665403</c:v>
                </c:pt>
                <c:pt idx="3">
                  <c:v>0.20385232744783308</c:v>
                </c:pt>
                <c:pt idx="4">
                  <c:v>0.21810325221742097</c:v>
                </c:pt>
                <c:pt idx="5">
                  <c:v>0.22300808314087761</c:v>
                </c:pt>
                <c:pt idx="6">
                  <c:v>0.23389960648814664</c:v>
                </c:pt>
                <c:pt idx="7">
                  <c:v>0.25850152059717996</c:v>
                </c:pt>
                <c:pt idx="8">
                  <c:v>0.23944367873700037</c:v>
                </c:pt>
                <c:pt idx="9">
                  <c:v>0.23171899946780203</c:v>
                </c:pt>
                <c:pt idx="10">
                  <c:v>0.2470661672908864</c:v>
                </c:pt>
                <c:pt idx="11">
                  <c:v>0.23658649398704903</c:v>
                </c:pt>
                <c:pt idx="12">
                  <c:v>0.3101929698134358</c:v>
                </c:pt>
                <c:pt idx="13">
                  <c:v>0.32077095164343489</c:v>
                </c:pt>
                <c:pt idx="14">
                  <c:v>0.34962693705758563</c:v>
                </c:pt>
                <c:pt idx="15">
                  <c:v>0.34964174567561701</c:v>
                </c:pt>
                <c:pt idx="16">
                  <c:v>0.34782608695652173</c:v>
                </c:pt>
                <c:pt idx="17">
                  <c:v>0.38425812759716449</c:v>
                </c:pt>
                <c:pt idx="18">
                  <c:v>0.358923652800339</c:v>
                </c:pt>
                <c:pt idx="19">
                  <c:v>0.37884839407555332</c:v>
                </c:pt>
                <c:pt idx="20">
                  <c:v>0.4447396909752977</c:v>
                </c:pt>
                <c:pt idx="21">
                  <c:v>0.38556876061120543</c:v>
                </c:pt>
                <c:pt idx="22">
                  <c:v>0.33736254511877778</c:v>
                </c:pt>
                <c:pt idx="23">
                  <c:v>0.36588337684943428</c:v>
                </c:pt>
                <c:pt idx="24">
                  <c:v>0.34868284588259696</c:v>
                </c:pt>
                <c:pt idx="25">
                  <c:v>0.39179742115892496</c:v>
                </c:pt>
                <c:pt idx="26">
                  <c:v>0.39536202009791294</c:v>
                </c:pt>
                <c:pt idx="27">
                  <c:v>0.41502337327387029</c:v>
                </c:pt>
                <c:pt idx="28">
                  <c:v>0.43781811630106754</c:v>
                </c:pt>
                <c:pt idx="29">
                  <c:v>0.38004211890490847</c:v>
                </c:pt>
                <c:pt idx="30">
                  <c:v>0.37870482658258547</c:v>
                </c:pt>
                <c:pt idx="31">
                  <c:v>0.39058531354066717</c:v>
                </c:pt>
                <c:pt idx="32">
                  <c:v>0.42410775331601258</c:v>
                </c:pt>
                <c:pt idx="33">
                  <c:v>0.378941742383752</c:v>
                </c:pt>
                <c:pt idx="34">
                  <c:v>0.39238038984051976</c:v>
                </c:pt>
                <c:pt idx="35">
                  <c:v>0.38646419402414378</c:v>
                </c:pt>
                <c:pt idx="36">
                  <c:v>0.42946005200632231</c:v>
                </c:pt>
                <c:pt idx="37">
                  <c:v>0.39846763823403342</c:v>
                </c:pt>
                <c:pt idx="38">
                  <c:v>0.45446528308542539</c:v>
                </c:pt>
                <c:pt idx="39">
                  <c:v>0.46163493330293009</c:v>
                </c:pt>
                <c:pt idx="40">
                  <c:v>0.44737263270205391</c:v>
                </c:pt>
                <c:pt idx="41">
                  <c:v>0.4414023568036583</c:v>
                </c:pt>
                <c:pt idx="42">
                  <c:v>0.37643662800021382</c:v>
                </c:pt>
                <c:pt idx="43">
                  <c:v>0.36785076648402387</c:v>
                </c:pt>
                <c:pt idx="44">
                  <c:v>0.44648501580442523</c:v>
                </c:pt>
                <c:pt idx="45">
                  <c:v>0.41557461406518009</c:v>
                </c:pt>
                <c:pt idx="46">
                  <c:v>0.38709491408142083</c:v>
                </c:pt>
                <c:pt idx="47">
                  <c:v>0.34329627207325047</c:v>
                </c:pt>
                <c:pt idx="48">
                  <c:v>0.41000412116216772</c:v>
                </c:pt>
                <c:pt idx="49">
                  <c:v>0.41579592551514799</c:v>
                </c:pt>
                <c:pt idx="50">
                  <c:v>0.45693533524852298</c:v>
                </c:pt>
                <c:pt idx="51">
                  <c:v>0.42631483386794167</c:v>
                </c:pt>
                <c:pt idx="52">
                  <c:v>0.42248891207931122</c:v>
                </c:pt>
                <c:pt idx="53">
                  <c:v>0.3975975261655566</c:v>
                </c:pt>
                <c:pt idx="54">
                  <c:v>0.43866932359127642</c:v>
                </c:pt>
                <c:pt idx="55">
                  <c:v>0.40225609024360975</c:v>
                </c:pt>
                <c:pt idx="56">
                  <c:v>0.51042848757581682</c:v>
                </c:pt>
                <c:pt idx="57">
                  <c:v>0.4295603466497569</c:v>
                </c:pt>
                <c:pt idx="58">
                  <c:v>0.40791993575091123</c:v>
                </c:pt>
                <c:pt idx="59">
                  <c:v>0.44024575902566332</c:v>
                </c:pt>
                <c:pt idx="60">
                  <c:v>0.43594817131550395</c:v>
                </c:pt>
                <c:pt idx="61">
                  <c:v>0.38585976141984291</c:v>
                </c:pt>
                <c:pt idx="62">
                  <c:v>0.41338479995827032</c:v>
                </c:pt>
                <c:pt idx="63">
                  <c:v>0.48051296347923056</c:v>
                </c:pt>
                <c:pt idx="64">
                  <c:v>0.48777442513786284</c:v>
                </c:pt>
                <c:pt idx="65">
                  <c:v>0.4657751299277475</c:v>
                </c:pt>
                <c:pt idx="66">
                  <c:v>0.46599496221662468</c:v>
                </c:pt>
                <c:pt idx="67">
                  <c:v>0.41105343511450382</c:v>
                </c:pt>
                <c:pt idx="68">
                  <c:v>0.45508242969232127</c:v>
                </c:pt>
                <c:pt idx="69">
                  <c:v>0.44054344901802528</c:v>
                </c:pt>
                <c:pt idx="70">
                  <c:v>0.38360134098528326</c:v>
                </c:pt>
                <c:pt idx="71">
                  <c:v>0.45940239298739521</c:v>
                </c:pt>
                <c:pt idx="72">
                  <c:v>0.43144580242301328</c:v>
                </c:pt>
                <c:pt idx="73">
                  <c:v>0.38810593154715811</c:v>
                </c:pt>
                <c:pt idx="74">
                  <c:v>0.44449776071657071</c:v>
                </c:pt>
                <c:pt idx="75">
                  <c:v>0.39415316174134096</c:v>
                </c:pt>
                <c:pt idx="76">
                  <c:v>0.4320368769806972</c:v>
                </c:pt>
                <c:pt idx="77">
                  <c:v>0.4359761830147289</c:v>
                </c:pt>
                <c:pt idx="78">
                  <c:v>0.43573189341472002</c:v>
                </c:pt>
                <c:pt idx="79">
                  <c:v>0.42350956130483691</c:v>
                </c:pt>
                <c:pt idx="80">
                  <c:v>0.50211066224864964</c:v>
                </c:pt>
                <c:pt idx="81">
                  <c:v>0.42255728894528627</c:v>
                </c:pt>
                <c:pt idx="82">
                  <c:v>0.39851078799249529</c:v>
                </c:pt>
                <c:pt idx="83">
                  <c:v>0.41400903808908973</c:v>
                </c:pt>
                <c:pt idx="84">
                  <c:v>0.43460051546391754</c:v>
                </c:pt>
                <c:pt idx="85">
                  <c:v>0.45826771653543308</c:v>
                </c:pt>
                <c:pt idx="86">
                  <c:v>0.43913472133619441</c:v>
                </c:pt>
                <c:pt idx="87">
                  <c:v>0.43275532495903879</c:v>
                </c:pt>
                <c:pt idx="88">
                  <c:v>0.47528235511942235</c:v>
                </c:pt>
                <c:pt idx="89">
                  <c:v>0.43872919818456885</c:v>
                </c:pt>
                <c:pt idx="90">
                  <c:v>0.46658407772054511</c:v>
                </c:pt>
              </c:numCache>
            </c:numRef>
          </c:yVal>
          <c:smooth val="0"/>
          <c:extLst>
            <c:ext xmlns:c16="http://schemas.microsoft.com/office/drawing/2014/chart" uri="{C3380CC4-5D6E-409C-BE32-E72D297353CC}">
              <c16:uniqueId val="{00000001-251F-4007-91F0-50420E8D7FE2}"/>
            </c:ext>
          </c:extLst>
        </c:ser>
        <c:ser>
          <c:idx val="1"/>
          <c:order val="1"/>
          <c:tx>
            <c:v>First Year Linear</c:v>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2"/>
                </a:solidFill>
                <a:prstDash val="sysDot"/>
              </a:ln>
              <a:effectLst/>
            </c:spPr>
            <c:trendlineType val="log"/>
            <c:forward val="79"/>
            <c:dispRSqr val="0"/>
            <c:dispEq val="0"/>
          </c:trendline>
          <c:trendline>
            <c:spPr>
              <a:ln w="19050" cap="rnd">
                <a:solidFill>
                  <a:schemeClr val="accent2"/>
                </a:solidFill>
                <a:prstDash val="sysDot"/>
              </a:ln>
              <a:effectLst/>
            </c:spPr>
            <c:trendlineType val="linear"/>
            <c:forward val="79"/>
            <c:dispRSqr val="0"/>
            <c:dispEq val="0"/>
          </c:trendline>
          <c:yVal>
            <c:numRef>
              <c:f>Sheet2!$C$2:$C$20</c:f>
              <c:numCache>
                <c:formatCode>0%</c:formatCode>
                <c:ptCount val="19"/>
                <c:pt idx="0">
                  <c:v>0.1392978482446206</c:v>
                </c:pt>
                <c:pt idx="1">
                  <c:v>0.17344252705469435</c:v>
                </c:pt>
                <c:pt idx="2">
                  <c:v>0.17624067274665403</c:v>
                </c:pt>
                <c:pt idx="3">
                  <c:v>0.20385232744783308</c:v>
                </c:pt>
                <c:pt idx="4">
                  <c:v>0.21810325221742097</c:v>
                </c:pt>
                <c:pt idx="5">
                  <c:v>0.22300808314087761</c:v>
                </c:pt>
                <c:pt idx="6">
                  <c:v>0.23389960648814664</c:v>
                </c:pt>
                <c:pt idx="7">
                  <c:v>0.25850152059717996</c:v>
                </c:pt>
                <c:pt idx="8">
                  <c:v>0.23944367873700037</c:v>
                </c:pt>
                <c:pt idx="9">
                  <c:v>0.23171899946780203</c:v>
                </c:pt>
                <c:pt idx="10">
                  <c:v>0.2470661672908864</c:v>
                </c:pt>
                <c:pt idx="11">
                  <c:v>0.23658649398704903</c:v>
                </c:pt>
                <c:pt idx="12">
                  <c:v>0.3101929698134358</c:v>
                </c:pt>
                <c:pt idx="13">
                  <c:v>0.32077095164343489</c:v>
                </c:pt>
                <c:pt idx="14">
                  <c:v>0.34962693705758563</c:v>
                </c:pt>
                <c:pt idx="15">
                  <c:v>0.34964174567561701</c:v>
                </c:pt>
                <c:pt idx="16">
                  <c:v>0.34782608695652173</c:v>
                </c:pt>
                <c:pt idx="17">
                  <c:v>0.38425812759716449</c:v>
                </c:pt>
                <c:pt idx="18">
                  <c:v>0.358923652800339</c:v>
                </c:pt>
              </c:numCache>
            </c:numRef>
          </c:yVal>
          <c:smooth val="0"/>
          <c:extLst>
            <c:ext xmlns:c16="http://schemas.microsoft.com/office/drawing/2014/chart" uri="{C3380CC4-5D6E-409C-BE32-E72D297353CC}">
              <c16:uniqueId val="{00000004-251F-4007-91F0-50420E8D7FE2}"/>
            </c:ext>
          </c:extLst>
        </c:ser>
        <c:ser>
          <c:idx val="2"/>
          <c:order val="2"/>
          <c:tx>
            <c:v>First Year Log</c:v>
          </c:tx>
          <c:spPr>
            <a:ln w="25400" cap="rnd">
              <a:noFill/>
              <a:round/>
            </a:ln>
            <a:effectLst/>
          </c:spPr>
          <c:marker>
            <c:symbol val="circle"/>
            <c:size val="5"/>
            <c:spPr>
              <a:solidFill>
                <a:schemeClr val="accent3"/>
              </a:solidFill>
              <a:ln w="9525">
                <a:solidFill>
                  <a:schemeClr val="accent3"/>
                </a:solidFill>
              </a:ln>
              <a:effectLst/>
            </c:spPr>
          </c:marker>
          <c:yVal>
            <c:numRef>
              <c:f>Sheet2!$D$2:$D$20</c:f>
              <c:numCache>
                <c:formatCode>0%</c:formatCode>
                <c:ptCount val="19"/>
                <c:pt idx="0">
                  <c:v>0.1392978482446206</c:v>
                </c:pt>
                <c:pt idx="1">
                  <c:v>0.17344252705469435</c:v>
                </c:pt>
                <c:pt idx="2">
                  <c:v>0.17624067274665403</c:v>
                </c:pt>
                <c:pt idx="3">
                  <c:v>0.20385232744783308</c:v>
                </c:pt>
                <c:pt idx="4">
                  <c:v>0.21810325221742097</c:v>
                </c:pt>
                <c:pt idx="5">
                  <c:v>0.22300808314087761</c:v>
                </c:pt>
                <c:pt idx="6">
                  <c:v>0.23389960648814664</c:v>
                </c:pt>
                <c:pt idx="7">
                  <c:v>0.25850152059717996</c:v>
                </c:pt>
                <c:pt idx="8">
                  <c:v>0.23944367873700037</c:v>
                </c:pt>
                <c:pt idx="9">
                  <c:v>0.23171899946780203</c:v>
                </c:pt>
                <c:pt idx="10">
                  <c:v>0.2470661672908864</c:v>
                </c:pt>
                <c:pt idx="11">
                  <c:v>0.23658649398704903</c:v>
                </c:pt>
                <c:pt idx="12">
                  <c:v>0.3101929698134358</c:v>
                </c:pt>
                <c:pt idx="13">
                  <c:v>0.32077095164343489</c:v>
                </c:pt>
                <c:pt idx="14">
                  <c:v>0.34962693705758563</c:v>
                </c:pt>
                <c:pt idx="15">
                  <c:v>0.34964174567561701</c:v>
                </c:pt>
                <c:pt idx="16">
                  <c:v>0.34782608695652173</c:v>
                </c:pt>
                <c:pt idx="17">
                  <c:v>0.38425812759716449</c:v>
                </c:pt>
                <c:pt idx="18">
                  <c:v>0.358923652800339</c:v>
                </c:pt>
              </c:numCache>
            </c:numRef>
          </c:yVal>
          <c:smooth val="0"/>
          <c:extLst>
            <c:ext xmlns:c16="http://schemas.microsoft.com/office/drawing/2014/chart" uri="{C3380CC4-5D6E-409C-BE32-E72D297353CC}">
              <c16:uniqueId val="{00000005-251F-4007-91F0-50420E8D7FE2}"/>
            </c:ext>
          </c:extLst>
        </c:ser>
        <c:dLbls>
          <c:showLegendKey val="0"/>
          <c:showVal val="0"/>
          <c:showCatName val="0"/>
          <c:showSerName val="0"/>
          <c:showPercent val="0"/>
          <c:showBubbleSize val="0"/>
        </c:dLbls>
        <c:axId val="2072615792"/>
        <c:axId val="2072595824"/>
      </c:scatterChart>
      <c:valAx>
        <c:axId val="2072615792"/>
        <c:scaling>
          <c:orientation val="minMax"/>
        </c:scaling>
        <c:delete val="0"/>
        <c:axPos val="b"/>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2595824"/>
        <c:crosses val="autoZero"/>
        <c:crossBetween val="midCat"/>
      </c:valAx>
      <c:valAx>
        <c:axId val="207259582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ENERGY</a:t>
                </a:r>
                <a:r>
                  <a:rPr lang="en-US" baseline="0"/>
                  <a:t> STAR Market Share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261579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Top Mount ESME Natural</a:t>
            </a:r>
            <a:r>
              <a:rPr lang="en-US" baseline="0"/>
              <a:t> Market Baseline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'Combined Annual'!$A$4:$B$4</c:f>
              <c:strCache>
                <c:ptCount val="2"/>
                <c:pt idx="0">
                  <c:v>Top Mount</c:v>
                </c:pt>
                <c:pt idx="1">
                  <c:v>ESME</c:v>
                </c:pt>
              </c:strCache>
            </c:strRef>
          </c:tx>
          <c:spPr>
            <a:ln w="28575" cap="rnd">
              <a:solidFill>
                <a:schemeClr val="accent1"/>
              </a:solidFill>
              <a:round/>
            </a:ln>
            <a:effectLst/>
          </c:spPr>
          <c:marker>
            <c:symbol val="none"/>
          </c:marker>
          <c:cat>
            <c:numRef>
              <c:f>'Combined Annual'!$C$3:$K$3</c:f>
              <c:numCache>
                <c:formatCode>General</c:formatCode>
                <c:ptCount val="9"/>
                <c:pt idx="0">
                  <c:v>2022</c:v>
                </c:pt>
                <c:pt idx="1">
                  <c:v>2023</c:v>
                </c:pt>
                <c:pt idx="2">
                  <c:v>2024</c:v>
                </c:pt>
                <c:pt idx="3">
                  <c:v>2025</c:v>
                </c:pt>
                <c:pt idx="4">
                  <c:v>2026</c:v>
                </c:pt>
                <c:pt idx="5">
                  <c:v>2027</c:v>
                </c:pt>
                <c:pt idx="6">
                  <c:v>2028</c:v>
                </c:pt>
                <c:pt idx="7">
                  <c:v>2029</c:v>
                </c:pt>
                <c:pt idx="8">
                  <c:v>2030</c:v>
                </c:pt>
              </c:numCache>
            </c:numRef>
          </c:cat>
          <c:val>
            <c:numRef>
              <c:f>'Combined Annual'!$C$4:$K$4</c:f>
              <c:numCache>
                <c:formatCode>0%</c:formatCode>
                <c:ptCount val="9"/>
                <c:pt idx="0">
                  <c:v>0.30205114435367619</c:v>
                </c:pt>
                <c:pt idx="1">
                  <c:v>0.32789336539966724</c:v>
                </c:pt>
                <c:pt idx="2">
                  <c:v>0.45315769245487481</c:v>
                </c:pt>
                <c:pt idx="3">
                  <c:v>0.67033157486237271</c:v>
                </c:pt>
                <c:pt idx="4">
                  <c:v>0.88750545726987062</c:v>
                </c:pt>
                <c:pt idx="5">
                  <c:v>1</c:v>
                </c:pt>
                <c:pt idx="6">
                  <c:v>1</c:v>
                </c:pt>
                <c:pt idx="7">
                  <c:v>1</c:v>
                </c:pt>
                <c:pt idx="8">
                  <c:v>1</c:v>
                </c:pt>
              </c:numCache>
            </c:numRef>
          </c:val>
          <c:smooth val="0"/>
          <c:extLst>
            <c:ext xmlns:c16="http://schemas.microsoft.com/office/drawing/2014/chart" uri="{C3380CC4-5D6E-409C-BE32-E72D297353CC}">
              <c16:uniqueId val="{00000000-C05F-420B-B677-C9EA840CDCBF}"/>
            </c:ext>
          </c:extLst>
        </c:ser>
        <c:dLbls>
          <c:showLegendKey val="0"/>
          <c:showVal val="0"/>
          <c:showCatName val="0"/>
          <c:showSerName val="0"/>
          <c:showPercent val="0"/>
          <c:showBubbleSize val="0"/>
        </c:dLbls>
        <c:smooth val="0"/>
        <c:axId val="502265743"/>
        <c:axId val="502254927"/>
        <c:extLst>
          <c:ext xmlns:c15="http://schemas.microsoft.com/office/drawing/2012/chart" uri="{02D57815-91ED-43cb-92C2-25804820EDAC}">
            <c15:filteredLineSeries>
              <c15:ser>
                <c:idx val="1"/>
                <c:order val="1"/>
                <c:tx>
                  <c:strRef>
                    <c:extLst>
                      <c:ext uri="{02D57815-91ED-43cb-92C2-25804820EDAC}">
                        <c15:formulaRef>
                          <c15:sqref>'Combined Annual'!$A$5:$B$5</c15:sqref>
                        </c15:formulaRef>
                      </c:ext>
                    </c:extLst>
                    <c:strCache>
                      <c:ptCount val="2"/>
                      <c:pt idx="0">
                        <c:v>Top Mount</c:v>
                      </c:pt>
                      <c:pt idx="1">
                        <c:v>ETA</c:v>
                      </c:pt>
                    </c:strCache>
                  </c:strRef>
                </c:tx>
                <c:spPr>
                  <a:ln w="28575" cap="rnd">
                    <a:solidFill>
                      <a:schemeClr val="accent2"/>
                    </a:solidFill>
                    <a:round/>
                  </a:ln>
                  <a:effectLst/>
                </c:spPr>
                <c:marker>
                  <c:symbol val="none"/>
                </c:marker>
                <c:cat>
                  <c:numRef>
                    <c:extLst>
                      <c:ext uri="{02D57815-91ED-43cb-92C2-25804820EDAC}">
                        <c15:formulaRef>
                          <c15:sqref>'Combined Annual'!$C$3:$K$3</c15:sqref>
                        </c15:formulaRef>
                      </c:ext>
                    </c:extLst>
                    <c:numCache>
                      <c:formatCode>General</c:formatCode>
                      <c:ptCount val="9"/>
                      <c:pt idx="0">
                        <c:v>2022</c:v>
                      </c:pt>
                      <c:pt idx="1">
                        <c:v>2023</c:v>
                      </c:pt>
                      <c:pt idx="2">
                        <c:v>2024</c:v>
                      </c:pt>
                      <c:pt idx="3">
                        <c:v>2025</c:v>
                      </c:pt>
                      <c:pt idx="4">
                        <c:v>2026</c:v>
                      </c:pt>
                      <c:pt idx="5">
                        <c:v>2027</c:v>
                      </c:pt>
                      <c:pt idx="6">
                        <c:v>2028</c:v>
                      </c:pt>
                      <c:pt idx="7">
                        <c:v>2029</c:v>
                      </c:pt>
                      <c:pt idx="8">
                        <c:v>2030</c:v>
                      </c:pt>
                    </c:numCache>
                  </c:numRef>
                </c:cat>
                <c:val>
                  <c:numRef>
                    <c:extLst>
                      <c:ext uri="{02D57815-91ED-43cb-92C2-25804820EDAC}">
                        <c15:formulaRef>
                          <c15:sqref>'Combined Annual'!$C$5:$K$5</c15:sqref>
                        </c15:formulaRef>
                      </c:ext>
                    </c:extLst>
                    <c:numCache>
                      <c:formatCode>0%</c:formatCode>
                      <c:ptCount val="9"/>
                      <c:pt idx="0">
                        <c:v>6.4501173255185288E-3</c:v>
                      </c:pt>
                      <c:pt idx="1">
                        <c:v>8.3868086556353263E-3</c:v>
                      </c:pt>
                      <c:pt idx="2">
                        <c:v>8.5732039598335752E-3</c:v>
                      </c:pt>
                      <c:pt idx="3">
                        <c:v>8.5732039598335752E-3</c:v>
                      </c:pt>
                      <c:pt idx="4">
                        <c:v>8.5732039598335752E-3</c:v>
                      </c:pt>
                      <c:pt idx="5">
                        <c:v>6.455923063174121E-2</c:v>
                      </c:pt>
                      <c:pt idx="6">
                        <c:v>0.11692236807550305</c:v>
                      </c:pt>
                      <c:pt idx="7">
                        <c:v>0.11913386188996383</c:v>
                      </c:pt>
                      <c:pt idx="8">
                        <c:v>0.1213453557044246</c:v>
                      </c:pt>
                    </c:numCache>
                  </c:numRef>
                </c:val>
                <c:smooth val="0"/>
                <c:extLst>
                  <c:ext xmlns:c16="http://schemas.microsoft.com/office/drawing/2014/chart" uri="{C3380CC4-5D6E-409C-BE32-E72D297353CC}">
                    <c16:uniqueId val="{00000001-C05F-420B-B677-C9EA840CDCBF}"/>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'Combined Annual'!$A$6:$B$6</c15:sqref>
                        </c15:formulaRef>
                      </c:ext>
                    </c:extLst>
                    <c:strCache>
                      <c:ptCount val="2"/>
                      <c:pt idx="0">
                        <c:v>Bottom Mount</c:v>
                      </c:pt>
                      <c:pt idx="1">
                        <c:v>ESME</c:v>
                      </c:pt>
                    </c:strCache>
                  </c:strRef>
                </c:tx>
                <c:spPr>
                  <a:ln w="28575" cap="rnd">
                    <a:solidFill>
                      <a:schemeClr val="accent3"/>
                    </a:solidFill>
                    <a:round/>
                  </a:ln>
                  <a:effectLst/>
                </c:spPr>
                <c:marker>
                  <c:symbol val="none"/>
                </c:marker>
                <c:cat>
                  <c:numRef>
                    <c:extLst xmlns:c15="http://schemas.microsoft.com/office/drawing/2012/chart">
                      <c:ext xmlns:c15="http://schemas.microsoft.com/office/drawing/2012/chart" uri="{02D57815-91ED-43cb-92C2-25804820EDAC}">
                        <c15:formulaRef>
                          <c15:sqref>'Combined Annual'!$C$3:$K$3</c15:sqref>
                        </c15:formulaRef>
                      </c:ext>
                    </c:extLst>
                    <c:numCache>
                      <c:formatCode>General</c:formatCode>
                      <c:ptCount val="9"/>
                      <c:pt idx="0">
                        <c:v>2022</c:v>
                      </c:pt>
                      <c:pt idx="1">
                        <c:v>2023</c:v>
                      </c:pt>
                      <c:pt idx="2">
                        <c:v>2024</c:v>
                      </c:pt>
                      <c:pt idx="3">
                        <c:v>2025</c:v>
                      </c:pt>
                      <c:pt idx="4">
                        <c:v>2026</c:v>
                      </c:pt>
                      <c:pt idx="5">
                        <c:v>2027</c:v>
                      </c:pt>
                      <c:pt idx="6">
                        <c:v>2028</c:v>
                      </c:pt>
                      <c:pt idx="7">
                        <c:v>2029</c:v>
                      </c:pt>
                      <c:pt idx="8">
                        <c:v>2030</c:v>
                      </c:pt>
                    </c:numCache>
                  </c:numRef>
                </c:cat>
                <c:val>
                  <c:numRef>
                    <c:extLst xmlns:c15="http://schemas.microsoft.com/office/drawing/2012/chart">
                      <c:ext xmlns:c15="http://schemas.microsoft.com/office/drawing/2012/chart" uri="{02D57815-91ED-43cb-92C2-25804820EDAC}">
                        <c15:formulaRef>
                          <c15:sqref>'Combined Annual'!$C$6:$K$6</c15:sqref>
                        </c15:formulaRef>
                      </c:ext>
                    </c:extLst>
                    <c:numCache>
                      <c:formatCode>0%</c:formatCode>
                      <c:ptCount val="9"/>
                      <c:pt idx="0">
                        <c:v>3.8668770562312077E-2</c:v>
                      </c:pt>
                      <c:pt idx="1">
                        <c:v>4.8711465583810599E-2</c:v>
                      </c:pt>
                      <c:pt idx="2">
                        <c:v>4.9678016713767592E-2</c:v>
                      </c:pt>
                      <c:pt idx="3">
                        <c:v>4.9678016713767592E-2</c:v>
                      </c:pt>
                      <c:pt idx="4">
                        <c:v>4.9678016713767592E-2</c:v>
                      </c:pt>
                      <c:pt idx="5">
                        <c:v>0.21907507510470364</c:v>
                      </c:pt>
                      <c:pt idx="6">
                        <c:v>0.40664656753819306</c:v>
                      </c:pt>
                      <c:pt idx="7">
                        <c:v>0.41811424830651761</c:v>
                      </c:pt>
                      <c:pt idx="8">
                        <c:v>0.42958192907484216</c:v>
                      </c:pt>
                    </c:numCache>
                  </c:numRef>
                </c:val>
                <c:smooth val="0"/>
                <c:extLst xmlns:c15="http://schemas.microsoft.com/office/drawing/2012/chart">
                  <c:ext xmlns:c16="http://schemas.microsoft.com/office/drawing/2014/chart" uri="{C3380CC4-5D6E-409C-BE32-E72D297353CC}">
                    <c16:uniqueId val="{00000002-C05F-420B-B677-C9EA840CDCBF}"/>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'Combined Annual'!$A$7:$B$7</c15:sqref>
                        </c15:formulaRef>
                      </c:ext>
                    </c:extLst>
                    <c:strCache>
                      <c:ptCount val="2"/>
                      <c:pt idx="0">
                        <c:v>Bottom Mount</c:v>
                      </c:pt>
                      <c:pt idx="1">
                        <c:v>ETA</c:v>
                      </c:pt>
                    </c:strCache>
                  </c:strRef>
                </c:tx>
                <c:spPr>
                  <a:ln w="28575" cap="rnd">
                    <a:solidFill>
                      <a:schemeClr val="accent4"/>
                    </a:solidFill>
                    <a:round/>
                  </a:ln>
                  <a:effectLst/>
                </c:spPr>
                <c:marker>
                  <c:symbol val="none"/>
                </c:marker>
                <c:cat>
                  <c:numRef>
                    <c:extLst xmlns:c15="http://schemas.microsoft.com/office/drawing/2012/chart">
                      <c:ext xmlns:c15="http://schemas.microsoft.com/office/drawing/2012/chart" uri="{02D57815-91ED-43cb-92C2-25804820EDAC}">
                        <c15:formulaRef>
                          <c15:sqref>'Combined Annual'!$C$3:$K$3</c15:sqref>
                        </c15:formulaRef>
                      </c:ext>
                    </c:extLst>
                    <c:numCache>
                      <c:formatCode>General</c:formatCode>
                      <c:ptCount val="9"/>
                      <c:pt idx="0">
                        <c:v>2022</c:v>
                      </c:pt>
                      <c:pt idx="1">
                        <c:v>2023</c:v>
                      </c:pt>
                      <c:pt idx="2">
                        <c:v>2024</c:v>
                      </c:pt>
                      <c:pt idx="3">
                        <c:v>2025</c:v>
                      </c:pt>
                      <c:pt idx="4">
                        <c:v>2026</c:v>
                      </c:pt>
                      <c:pt idx="5">
                        <c:v>2027</c:v>
                      </c:pt>
                      <c:pt idx="6">
                        <c:v>2028</c:v>
                      </c:pt>
                      <c:pt idx="7">
                        <c:v>2029</c:v>
                      </c:pt>
                      <c:pt idx="8">
                        <c:v>2030</c:v>
                      </c:pt>
                    </c:numCache>
                  </c:numRef>
                </c:cat>
                <c:val>
                  <c:numRef>
                    <c:extLst xmlns:c15="http://schemas.microsoft.com/office/drawing/2012/chart">
                      <c:ext xmlns:c15="http://schemas.microsoft.com/office/drawing/2012/chart" uri="{02D57815-91ED-43cb-92C2-25804820EDAC}">
                        <c15:formulaRef>
                          <c15:sqref>'Combined Annual'!$C$7:$K$7</c15:sqref>
                        </c15:formulaRef>
                      </c:ext>
                    </c:extLst>
                    <c:numCache>
                      <c:formatCode>0%</c:formatCode>
                      <c:ptCount val="9"/>
                      <c:pt idx="0">
                        <c:v>4.867427550496873E-2</c:v>
                      </c:pt>
                      <c:pt idx="1">
                        <c:v>5.8097488143146886E-2</c:v>
                      </c:pt>
                      <c:pt idx="2">
                        <c:v>5.9004417687831712E-2</c:v>
                      </c:pt>
                      <c:pt idx="3">
                        <c:v>5.9004417687831712E-2</c:v>
                      </c:pt>
                      <c:pt idx="4">
                        <c:v>5.9004417687831712E-2</c:v>
                      </c:pt>
                      <c:pt idx="5">
                        <c:v>0.14044623508370468</c:v>
                      </c:pt>
                      <c:pt idx="6">
                        <c:v>0.22025381785608147</c:v>
                      </c:pt>
                      <c:pt idx="7">
                        <c:v>0.23101411617394679</c:v>
                      </c:pt>
                      <c:pt idx="8">
                        <c:v>0.24177441449181206</c:v>
                      </c:pt>
                    </c:numCache>
                  </c:numRef>
                </c:val>
                <c:smooth val="0"/>
                <c:extLst xmlns:c15="http://schemas.microsoft.com/office/drawing/2012/chart">
                  <c:ext xmlns:c16="http://schemas.microsoft.com/office/drawing/2014/chart" uri="{C3380CC4-5D6E-409C-BE32-E72D297353CC}">
                    <c16:uniqueId val="{00000003-C05F-420B-B677-C9EA840CDCBF}"/>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'Combined Annual'!$A$8:$B$8</c15:sqref>
                        </c15:formulaRef>
                      </c:ext>
                    </c:extLst>
                    <c:strCache>
                      <c:ptCount val="2"/>
                      <c:pt idx="0">
                        <c:v>Side Mount</c:v>
                      </c:pt>
                      <c:pt idx="1">
                        <c:v>ESME</c:v>
                      </c:pt>
                    </c:strCache>
                  </c:strRef>
                </c:tx>
                <c:spPr>
                  <a:ln w="28575" cap="rnd">
                    <a:solidFill>
                      <a:schemeClr val="accent5"/>
                    </a:solidFill>
                    <a:round/>
                  </a:ln>
                  <a:effectLst/>
                </c:spPr>
                <c:marker>
                  <c:symbol val="none"/>
                </c:marker>
                <c:cat>
                  <c:numRef>
                    <c:extLst xmlns:c15="http://schemas.microsoft.com/office/drawing/2012/chart">
                      <c:ext xmlns:c15="http://schemas.microsoft.com/office/drawing/2012/chart" uri="{02D57815-91ED-43cb-92C2-25804820EDAC}">
                        <c15:formulaRef>
                          <c15:sqref>'Combined Annual'!$C$3:$K$3</c15:sqref>
                        </c15:formulaRef>
                      </c:ext>
                    </c:extLst>
                    <c:numCache>
                      <c:formatCode>General</c:formatCode>
                      <c:ptCount val="9"/>
                      <c:pt idx="0">
                        <c:v>2022</c:v>
                      </c:pt>
                      <c:pt idx="1">
                        <c:v>2023</c:v>
                      </c:pt>
                      <c:pt idx="2">
                        <c:v>2024</c:v>
                      </c:pt>
                      <c:pt idx="3">
                        <c:v>2025</c:v>
                      </c:pt>
                      <c:pt idx="4">
                        <c:v>2026</c:v>
                      </c:pt>
                      <c:pt idx="5">
                        <c:v>2027</c:v>
                      </c:pt>
                      <c:pt idx="6">
                        <c:v>2028</c:v>
                      </c:pt>
                      <c:pt idx="7">
                        <c:v>2029</c:v>
                      </c:pt>
                      <c:pt idx="8">
                        <c:v>2030</c:v>
                      </c:pt>
                    </c:numCache>
                  </c:numRef>
                </c:cat>
                <c:val>
                  <c:numRef>
                    <c:extLst xmlns:c15="http://schemas.microsoft.com/office/drawing/2012/chart">
                      <c:ext xmlns:c15="http://schemas.microsoft.com/office/drawing/2012/chart" uri="{02D57815-91ED-43cb-92C2-25804820EDAC}">
                        <c15:formulaRef>
                          <c15:sqref>'Combined Annual'!$C$8:$K$8</c15:sqref>
                        </c15:formulaRef>
                      </c:ext>
                    </c:extLst>
                    <c:numCache>
                      <c:formatCode>0%</c:formatCode>
                      <c:ptCount val="9"/>
                      <c:pt idx="0">
                        <c:v>0</c:v>
                      </c:pt>
                      <c:pt idx="1">
                        <c:v>0</c:v>
                      </c:pt>
                      <c:pt idx="2">
                        <c:v>0</c:v>
                      </c:pt>
                      <c:pt idx="3">
                        <c:v>0</c:v>
                      </c:pt>
                      <c:pt idx="4">
                        <c:v>0</c:v>
                      </c:pt>
                      <c:pt idx="5">
                        <c:v>5.3420195387794776E-3</c:v>
                      </c:pt>
                      <c:pt idx="6">
                        <c:v>1.1082866272457748E-2</c:v>
                      </c:pt>
                      <c:pt idx="7">
                        <c:v>1.1082866272457748E-2</c:v>
                      </c:pt>
                      <c:pt idx="8">
                        <c:v>1.1082866272457748E-2</c:v>
                      </c:pt>
                    </c:numCache>
                  </c:numRef>
                </c:val>
                <c:smooth val="0"/>
                <c:extLst xmlns:c15="http://schemas.microsoft.com/office/drawing/2012/chart">
                  <c:ext xmlns:c16="http://schemas.microsoft.com/office/drawing/2014/chart" uri="{C3380CC4-5D6E-409C-BE32-E72D297353CC}">
                    <c16:uniqueId val="{00000004-C05F-420B-B677-C9EA840CDCBF}"/>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'Combined Annual'!$A$9:$B$9</c15:sqref>
                        </c15:formulaRef>
                      </c:ext>
                    </c:extLst>
                    <c:strCache>
                      <c:ptCount val="2"/>
                      <c:pt idx="0">
                        <c:v>Side Mount</c:v>
                      </c:pt>
                      <c:pt idx="1">
                        <c:v>ETA</c:v>
                      </c:pt>
                    </c:strCache>
                  </c:strRef>
                </c:tx>
                <c:spPr>
                  <a:ln w="28575" cap="rnd">
                    <a:solidFill>
                      <a:schemeClr val="accent6"/>
                    </a:solidFill>
                    <a:round/>
                  </a:ln>
                  <a:effectLst/>
                </c:spPr>
                <c:marker>
                  <c:symbol val="none"/>
                </c:marker>
                <c:cat>
                  <c:numRef>
                    <c:extLst xmlns:c15="http://schemas.microsoft.com/office/drawing/2012/chart">
                      <c:ext xmlns:c15="http://schemas.microsoft.com/office/drawing/2012/chart" uri="{02D57815-91ED-43cb-92C2-25804820EDAC}">
                        <c15:formulaRef>
                          <c15:sqref>'Combined Annual'!$C$3:$K$3</c15:sqref>
                        </c15:formulaRef>
                      </c:ext>
                    </c:extLst>
                    <c:numCache>
                      <c:formatCode>General</c:formatCode>
                      <c:ptCount val="9"/>
                      <c:pt idx="0">
                        <c:v>2022</c:v>
                      </c:pt>
                      <c:pt idx="1">
                        <c:v>2023</c:v>
                      </c:pt>
                      <c:pt idx="2">
                        <c:v>2024</c:v>
                      </c:pt>
                      <c:pt idx="3">
                        <c:v>2025</c:v>
                      </c:pt>
                      <c:pt idx="4">
                        <c:v>2026</c:v>
                      </c:pt>
                      <c:pt idx="5">
                        <c:v>2027</c:v>
                      </c:pt>
                      <c:pt idx="6">
                        <c:v>2028</c:v>
                      </c:pt>
                      <c:pt idx="7">
                        <c:v>2029</c:v>
                      </c:pt>
                      <c:pt idx="8">
                        <c:v>2030</c:v>
                      </c:pt>
                    </c:numCache>
                  </c:numRef>
                </c:cat>
                <c:val>
                  <c:numRef>
                    <c:extLst xmlns:c15="http://schemas.microsoft.com/office/drawing/2012/chart">
                      <c:ext xmlns:c15="http://schemas.microsoft.com/office/drawing/2012/chart" uri="{02D57815-91ED-43cb-92C2-25804820EDAC}">
                        <c15:formulaRef>
                          <c15:sqref>'Combined Annual'!$C$9:$K$9</c15:sqref>
                        </c15:formulaRef>
                      </c:ext>
                    </c:extLst>
                    <c:numCache>
                      <c:formatCode>0%</c:formatCode>
                      <c:ptCount val="9"/>
                      <c:pt idx="0">
                        <c:v>3.1825277943989906E-2</c:v>
                      </c:pt>
                      <c:pt idx="1">
                        <c:v>4.1420937519929944E-2</c:v>
                      </c:pt>
                      <c:pt idx="2">
                        <c:v>4.2344464081869093E-2</c:v>
                      </c:pt>
                      <c:pt idx="3">
                        <c:v>4.2344464081869093E-2</c:v>
                      </c:pt>
                      <c:pt idx="4">
                        <c:v>4.2344464081869093E-2</c:v>
                      </c:pt>
                      <c:pt idx="5">
                        <c:v>3.8633338205067279E-2</c:v>
                      </c:pt>
                      <c:pt idx="6">
                        <c:v>4.0514474488946683E-2</c:v>
                      </c:pt>
                      <c:pt idx="7">
                        <c:v>5.147168871708252E-2</c:v>
                      </c:pt>
                      <c:pt idx="8">
                        <c:v>6.2428902945218356E-2</c:v>
                      </c:pt>
                    </c:numCache>
                  </c:numRef>
                </c:val>
                <c:smooth val="0"/>
                <c:extLst xmlns:c15="http://schemas.microsoft.com/office/drawing/2012/chart">
                  <c:ext xmlns:c16="http://schemas.microsoft.com/office/drawing/2014/chart" uri="{C3380CC4-5D6E-409C-BE32-E72D297353CC}">
                    <c16:uniqueId val="{00000005-C05F-420B-B677-C9EA840CDCBF}"/>
                  </c:ext>
                </c:extLst>
              </c15:ser>
            </c15:filteredLineSeries>
          </c:ext>
        </c:extLst>
      </c:lineChart>
      <c:catAx>
        <c:axId val="502265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254927"/>
        <c:crosses val="autoZero"/>
        <c:auto val="1"/>
        <c:lblAlgn val="ctr"/>
        <c:lblOffset val="100"/>
        <c:noMultiLvlLbl val="0"/>
      </c:catAx>
      <c:valAx>
        <c:axId val="502254927"/>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Efficient</a:t>
                </a:r>
                <a:r>
                  <a:rPr lang="en-US" baseline="0"/>
                  <a:t> Market Share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265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Other Configurations &amp; Efficiency Levels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1"/>
          <c:tx>
            <c:strRef>
              <c:f>'Combined Annual'!$A$5:$B$5</c:f>
              <c:strCache>
                <c:ptCount val="2"/>
                <c:pt idx="0">
                  <c:v>Top Mount</c:v>
                </c:pt>
                <c:pt idx="1">
                  <c:v>ETA</c:v>
                </c:pt>
              </c:strCache>
            </c:strRef>
          </c:tx>
          <c:spPr>
            <a:ln w="28575" cap="rnd">
              <a:solidFill>
                <a:schemeClr val="accent2"/>
              </a:solidFill>
              <a:round/>
            </a:ln>
            <a:effectLst/>
          </c:spPr>
          <c:marker>
            <c:symbol val="none"/>
          </c:marker>
          <c:cat>
            <c:numRef>
              <c:f>'Combined Annual'!$C$3:$K$3</c:f>
              <c:numCache>
                <c:formatCode>General</c:formatCode>
                <c:ptCount val="9"/>
                <c:pt idx="0">
                  <c:v>2022</c:v>
                </c:pt>
                <c:pt idx="1">
                  <c:v>2023</c:v>
                </c:pt>
                <c:pt idx="2">
                  <c:v>2024</c:v>
                </c:pt>
                <c:pt idx="3">
                  <c:v>2025</c:v>
                </c:pt>
                <c:pt idx="4">
                  <c:v>2026</c:v>
                </c:pt>
                <c:pt idx="5">
                  <c:v>2027</c:v>
                </c:pt>
                <c:pt idx="6">
                  <c:v>2028</c:v>
                </c:pt>
                <c:pt idx="7">
                  <c:v>2029</c:v>
                </c:pt>
                <c:pt idx="8">
                  <c:v>2030</c:v>
                </c:pt>
              </c:numCache>
            </c:numRef>
          </c:cat>
          <c:val>
            <c:numRef>
              <c:f>'Combined Annual'!$C$5:$K$5</c:f>
              <c:numCache>
                <c:formatCode>0%</c:formatCode>
                <c:ptCount val="9"/>
                <c:pt idx="0">
                  <c:v>0.11324169813433266</c:v>
                </c:pt>
                <c:pt idx="1">
                  <c:v>0.11324169813433266</c:v>
                </c:pt>
                <c:pt idx="2">
                  <c:v>0.11324169813433266</c:v>
                </c:pt>
                <c:pt idx="3">
                  <c:v>0.11324169813433266</c:v>
                </c:pt>
                <c:pt idx="4">
                  <c:v>0.11324169813433266</c:v>
                </c:pt>
                <c:pt idx="5">
                  <c:v>0.12857322438188584</c:v>
                </c:pt>
                <c:pt idx="6">
                  <c:v>0.15569233180646941</c:v>
                </c:pt>
                <c:pt idx="7">
                  <c:v>0.18281143923105297</c:v>
                </c:pt>
                <c:pt idx="8">
                  <c:v>0.2099305466556366</c:v>
                </c:pt>
              </c:numCache>
            </c:numRef>
          </c:val>
          <c:smooth val="0"/>
          <c:extLst>
            <c:ext xmlns:c16="http://schemas.microsoft.com/office/drawing/2014/chart" uri="{C3380CC4-5D6E-409C-BE32-E72D297353CC}">
              <c16:uniqueId val="{00000001-9A4F-4499-A6F1-F9EE13E2AD44}"/>
            </c:ext>
          </c:extLst>
        </c:ser>
        <c:ser>
          <c:idx val="2"/>
          <c:order val="2"/>
          <c:tx>
            <c:strRef>
              <c:f>'Combined Annual'!$A$6:$B$6</c:f>
              <c:strCache>
                <c:ptCount val="2"/>
                <c:pt idx="0">
                  <c:v>Bottom Mount</c:v>
                </c:pt>
                <c:pt idx="1">
                  <c:v>ESME</c:v>
                </c:pt>
              </c:strCache>
            </c:strRef>
          </c:tx>
          <c:spPr>
            <a:ln w="28575" cap="rnd">
              <a:solidFill>
                <a:schemeClr val="accent3"/>
              </a:solidFill>
              <a:round/>
            </a:ln>
            <a:effectLst/>
          </c:spPr>
          <c:marker>
            <c:symbol val="none"/>
          </c:marker>
          <c:cat>
            <c:numRef>
              <c:f>'Combined Annual'!$C$3:$K$3</c:f>
              <c:numCache>
                <c:formatCode>General</c:formatCode>
                <c:ptCount val="9"/>
                <c:pt idx="0">
                  <c:v>2022</c:v>
                </c:pt>
                <c:pt idx="1">
                  <c:v>2023</c:v>
                </c:pt>
                <c:pt idx="2">
                  <c:v>2024</c:v>
                </c:pt>
                <c:pt idx="3">
                  <c:v>2025</c:v>
                </c:pt>
                <c:pt idx="4">
                  <c:v>2026</c:v>
                </c:pt>
                <c:pt idx="5">
                  <c:v>2027</c:v>
                </c:pt>
                <c:pt idx="6">
                  <c:v>2028</c:v>
                </c:pt>
                <c:pt idx="7">
                  <c:v>2029</c:v>
                </c:pt>
                <c:pt idx="8">
                  <c:v>2030</c:v>
                </c:pt>
              </c:numCache>
            </c:numRef>
          </c:cat>
          <c:val>
            <c:numRef>
              <c:f>'Combined Annual'!$C$6:$K$6</c:f>
              <c:numCache>
                <c:formatCode>0%</c:formatCode>
                <c:ptCount val="9"/>
                <c:pt idx="0">
                  <c:v>3.8668770562312077E-2</c:v>
                </c:pt>
                <c:pt idx="1">
                  <c:v>4.8711465583810599E-2</c:v>
                </c:pt>
                <c:pt idx="2">
                  <c:v>4.9678016713767592E-2</c:v>
                </c:pt>
                <c:pt idx="3">
                  <c:v>4.9678016713767592E-2</c:v>
                </c:pt>
                <c:pt idx="4">
                  <c:v>4.9678016713767592E-2</c:v>
                </c:pt>
                <c:pt idx="5">
                  <c:v>0.21907507510470364</c:v>
                </c:pt>
                <c:pt idx="6">
                  <c:v>0.40664656753819306</c:v>
                </c:pt>
                <c:pt idx="7">
                  <c:v>0.41811424830651761</c:v>
                </c:pt>
                <c:pt idx="8">
                  <c:v>0.42958192907484216</c:v>
                </c:pt>
              </c:numCache>
            </c:numRef>
          </c:val>
          <c:smooth val="0"/>
          <c:extLst>
            <c:ext xmlns:c16="http://schemas.microsoft.com/office/drawing/2014/chart" uri="{C3380CC4-5D6E-409C-BE32-E72D297353CC}">
              <c16:uniqueId val="{00000002-9A4F-4499-A6F1-F9EE13E2AD44}"/>
            </c:ext>
          </c:extLst>
        </c:ser>
        <c:ser>
          <c:idx val="3"/>
          <c:order val="3"/>
          <c:tx>
            <c:strRef>
              <c:f>'Combined Annual'!$A$7:$B$7</c:f>
              <c:strCache>
                <c:ptCount val="2"/>
                <c:pt idx="0">
                  <c:v>Bottom Mount</c:v>
                </c:pt>
                <c:pt idx="1">
                  <c:v>ETA</c:v>
                </c:pt>
              </c:strCache>
            </c:strRef>
          </c:tx>
          <c:spPr>
            <a:ln w="28575" cap="rnd">
              <a:solidFill>
                <a:schemeClr val="accent4"/>
              </a:solidFill>
              <a:round/>
            </a:ln>
            <a:effectLst/>
          </c:spPr>
          <c:marker>
            <c:symbol val="none"/>
          </c:marker>
          <c:cat>
            <c:numRef>
              <c:f>'Combined Annual'!$C$3:$K$3</c:f>
              <c:numCache>
                <c:formatCode>General</c:formatCode>
                <c:ptCount val="9"/>
                <c:pt idx="0">
                  <c:v>2022</c:v>
                </c:pt>
                <c:pt idx="1">
                  <c:v>2023</c:v>
                </c:pt>
                <c:pt idx="2">
                  <c:v>2024</c:v>
                </c:pt>
                <c:pt idx="3">
                  <c:v>2025</c:v>
                </c:pt>
                <c:pt idx="4">
                  <c:v>2026</c:v>
                </c:pt>
                <c:pt idx="5">
                  <c:v>2027</c:v>
                </c:pt>
                <c:pt idx="6">
                  <c:v>2028</c:v>
                </c:pt>
                <c:pt idx="7">
                  <c:v>2029</c:v>
                </c:pt>
                <c:pt idx="8">
                  <c:v>2030</c:v>
                </c:pt>
              </c:numCache>
            </c:numRef>
          </c:cat>
          <c:val>
            <c:numRef>
              <c:f>'Combined Annual'!$C$7:$K$7</c:f>
              <c:numCache>
                <c:formatCode>0%</c:formatCode>
                <c:ptCount val="9"/>
                <c:pt idx="0">
                  <c:v>0.23720219155411354</c:v>
                </c:pt>
                <c:pt idx="1">
                  <c:v>0.23720219155411354</c:v>
                </c:pt>
                <c:pt idx="2">
                  <c:v>0.23720219155411354</c:v>
                </c:pt>
                <c:pt idx="3">
                  <c:v>0.23720219155411354</c:v>
                </c:pt>
                <c:pt idx="4">
                  <c:v>0.23720219155411354</c:v>
                </c:pt>
                <c:pt idx="5">
                  <c:v>0.26962836956768843</c:v>
                </c:pt>
                <c:pt idx="6">
                  <c:v>0.32698528177068248</c:v>
                </c:pt>
                <c:pt idx="7">
                  <c:v>0.38434219397367642</c:v>
                </c:pt>
                <c:pt idx="8">
                  <c:v>0.44169910617667035</c:v>
                </c:pt>
              </c:numCache>
            </c:numRef>
          </c:val>
          <c:smooth val="0"/>
          <c:extLst>
            <c:ext xmlns:c16="http://schemas.microsoft.com/office/drawing/2014/chart" uri="{C3380CC4-5D6E-409C-BE32-E72D297353CC}">
              <c16:uniqueId val="{00000003-9A4F-4499-A6F1-F9EE13E2AD44}"/>
            </c:ext>
          </c:extLst>
        </c:ser>
        <c:ser>
          <c:idx val="4"/>
          <c:order val="4"/>
          <c:tx>
            <c:strRef>
              <c:f>'Combined Annual'!$A$8:$B$8</c:f>
              <c:strCache>
                <c:ptCount val="2"/>
                <c:pt idx="0">
                  <c:v>Side Mount</c:v>
                </c:pt>
                <c:pt idx="1">
                  <c:v>ESME</c:v>
                </c:pt>
              </c:strCache>
            </c:strRef>
          </c:tx>
          <c:spPr>
            <a:ln w="28575" cap="rnd">
              <a:solidFill>
                <a:schemeClr val="accent5"/>
              </a:solidFill>
              <a:round/>
            </a:ln>
            <a:effectLst/>
          </c:spPr>
          <c:marker>
            <c:symbol val="none"/>
          </c:marker>
          <c:cat>
            <c:numRef>
              <c:f>'Combined Annual'!$C$3:$K$3</c:f>
              <c:numCache>
                <c:formatCode>General</c:formatCode>
                <c:ptCount val="9"/>
                <c:pt idx="0">
                  <c:v>2022</c:v>
                </c:pt>
                <c:pt idx="1">
                  <c:v>2023</c:v>
                </c:pt>
                <c:pt idx="2">
                  <c:v>2024</c:v>
                </c:pt>
                <c:pt idx="3">
                  <c:v>2025</c:v>
                </c:pt>
                <c:pt idx="4">
                  <c:v>2026</c:v>
                </c:pt>
                <c:pt idx="5">
                  <c:v>2027</c:v>
                </c:pt>
                <c:pt idx="6">
                  <c:v>2028</c:v>
                </c:pt>
                <c:pt idx="7">
                  <c:v>2029</c:v>
                </c:pt>
                <c:pt idx="8">
                  <c:v>2030</c:v>
                </c:pt>
              </c:numCache>
            </c:numRef>
          </c:cat>
          <c:val>
            <c:numRef>
              <c:f>'Combined Annual'!$C$8:$K$8</c:f>
              <c:numCache>
                <c:formatCode>0%</c:formatCode>
                <c:ptCount val="9"/>
                <c:pt idx="0">
                  <c:v>0</c:v>
                </c:pt>
                <c:pt idx="1">
                  <c:v>0</c:v>
                </c:pt>
                <c:pt idx="2">
                  <c:v>0</c:v>
                </c:pt>
                <c:pt idx="3">
                  <c:v>0</c:v>
                </c:pt>
                <c:pt idx="4">
                  <c:v>0</c:v>
                </c:pt>
                <c:pt idx="5">
                  <c:v>0</c:v>
                </c:pt>
                <c:pt idx="6">
                  <c:v>0</c:v>
                </c:pt>
                <c:pt idx="7">
                  <c:v>0</c:v>
                </c:pt>
                <c:pt idx="8">
                  <c:v>0</c:v>
                </c:pt>
              </c:numCache>
            </c:numRef>
          </c:val>
          <c:smooth val="0"/>
          <c:extLst>
            <c:ext xmlns:c16="http://schemas.microsoft.com/office/drawing/2014/chart" uri="{C3380CC4-5D6E-409C-BE32-E72D297353CC}">
              <c16:uniqueId val="{00000004-9A4F-4499-A6F1-F9EE13E2AD44}"/>
            </c:ext>
          </c:extLst>
        </c:ser>
        <c:ser>
          <c:idx val="5"/>
          <c:order val="5"/>
          <c:tx>
            <c:strRef>
              <c:f>'Combined Annual'!$A$9:$B$9</c:f>
              <c:strCache>
                <c:ptCount val="2"/>
                <c:pt idx="0">
                  <c:v>Side Mount</c:v>
                </c:pt>
                <c:pt idx="1">
                  <c:v>ETA</c:v>
                </c:pt>
              </c:strCache>
            </c:strRef>
          </c:tx>
          <c:spPr>
            <a:ln w="28575" cap="rnd">
              <a:solidFill>
                <a:schemeClr val="accent6"/>
              </a:solidFill>
              <a:round/>
            </a:ln>
            <a:effectLst/>
          </c:spPr>
          <c:marker>
            <c:symbol val="none"/>
          </c:marker>
          <c:cat>
            <c:numRef>
              <c:f>'Combined Annual'!$C$3:$K$3</c:f>
              <c:numCache>
                <c:formatCode>General</c:formatCode>
                <c:ptCount val="9"/>
                <c:pt idx="0">
                  <c:v>2022</c:v>
                </c:pt>
                <c:pt idx="1">
                  <c:v>2023</c:v>
                </c:pt>
                <c:pt idx="2">
                  <c:v>2024</c:v>
                </c:pt>
                <c:pt idx="3">
                  <c:v>2025</c:v>
                </c:pt>
                <c:pt idx="4">
                  <c:v>2026</c:v>
                </c:pt>
                <c:pt idx="5">
                  <c:v>2027</c:v>
                </c:pt>
                <c:pt idx="6">
                  <c:v>2028</c:v>
                </c:pt>
                <c:pt idx="7">
                  <c:v>2029</c:v>
                </c:pt>
                <c:pt idx="8">
                  <c:v>2030</c:v>
                </c:pt>
              </c:numCache>
            </c:numRef>
          </c:cat>
          <c:val>
            <c:numRef>
              <c:f>'Combined Annual'!$C$9:$K$9</c:f>
              <c:numCache>
                <c:formatCode>0%</c:formatCode>
                <c:ptCount val="9"/>
                <c:pt idx="0">
                  <c:v>7.8774574439861633E-2</c:v>
                </c:pt>
                <c:pt idx="1">
                  <c:v>7.8774574439861633E-2</c:v>
                </c:pt>
                <c:pt idx="2">
                  <c:v>7.8774574439861633E-2</c:v>
                </c:pt>
                <c:pt idx="3">
                  <c:v>7.8774574439861633E-2</c:v>
                </c:pt>
                <c:pt idx="4">
                  <c:v>7.8774574439861633E-2</c:v>
                </c:pt>
                <c:pt idx="5">
                  <c:v>0.10187860115520483</c:v>
                </c:pt>
                <c:pt idx="6">
                  <c:v>0.14842713323882292</c:v>
                </c:pt>
                <c:pt idx="7">
                  <c:v>0.19497566532244101</c:v>
                </c:pt>
                <c:pt idx="8">
                  <c:v>0.2415241974060591</c:v>
                </c:pt>
              </c:numCache>
            </c:numRef>
          </c:val>
          <c:smooth val="0"/>
          <c:extLst>
            <c:ext xmlns:c16="http://schemas.microsoft.com/office/drawing/2014/chart" uri="{C3380CC4-5D6E-409C-BE32-E72D297353CC}">
              <c16:uniqueId val="{00000005-9A4F-4499-A6F1-F9EE13E2AD44}"/>
            </c:ext>
          </c:extLst>
        </c:ser>
        <c:dLbls>
          <c:showLegendKey val="0"/>
          <c:showVal val="0"/>
          <c:showCatName val="0"/>
          <c:showSerName val="0"/>
          <c:showPercent val="0"/>
          <c:showBubbleSize val="0"/>
        </c:dLbls>
        <c:smooth val="0"/>
        <c:axId val="502265743"/>
        <c:axId val="502254927"/>
        <c:extLst>
          <c:ext xmlns:c15="http://schemas.microsoft.com/office/drawing/2012/chart" uri="{02D57815-91ED-43cb-92C2-25804820EDAC}">
            <c15:filteredLineSeries>
              <c15:ser>
                <c:idx val="0"/>
                <c:order val="0"/>
                <c:tx>
                  <c:strRef>
                    <c:extLst>
                      <c:ext uri="{02D57815-91ED-43cb-92C2-25804820EDAC}">
                        <c15:formulaRef>
                          <c15:sqref>'Combined Annual'!$A$4:$B$4</c15:sqref>
                        </c15:formulaRef>
                      </c:ext>
                    </c:extLst>
                    <c:strCache>
                      <c:ptCount val="2"/>
                      <c:pt idx="0">
                        <c:v>Top Mount</c:v>
                      </c:pt>
                      <c:pt idx="1">
                        <c:v>ESME</c:v>
                      </c:pt>
                    </c:strCache>
                  </c:strRef>
                </c:tx>
                <c:spPr>
                  <a:ln w="28575" cap="rnd">
                    <a:solidFill>
                      <a:schemeClr val="accent1"/>
                    </a:solidFill>
                    <a:round/>
                  </a:ln>
                  <a:effectLst/>
                </c:spPr>
                <c:marker>
                  <c:symbol val="none"/>
                </c:marker>
                <c:cat>
                  <c:numRef>
                    <c:extLst>
                      <c:ext uri="{02D57815-91ED-43cb-92C2-25804820EDAC}">
                        <c15:formulaRef>
                          <c15:sqref>'Combined Annual'!$C$3:$K$3</c15:sqref>
                        </c15:formulaRef>
                      </c:ext>
                    </c:extLst>
                    <c:numCache>
                      <c:formatCode>General</c:formatCode>
                      <c:ptCount val="9"/>
                      <c:pt idx="0">
                        <c:v>2022</c:v>
                      </c:pt>
                      <c:pt idx="1">
                        <c:v>2023</c:v>
                      </c:pt>
                      <c:pt idx="2">
                        <c:v>2024</c:v>
                      </c:pt>
                      <c:pt idx="3">
                        <c:v>2025</c:v>
                      </c:pt>
                      <c:pt idx="4">
                        <c:v>2026</c:v>
                      </c:pt>
                      <c:pt idx="5">
                        <c:v>2027</c:v>
                      </c:pt>
                      <c:pt idx="6">
                        <c:v>2028</c:v>
                      </c:pt>
                      <c:pt idx="7">
                        <c:v>2029</c:v>
                      </c:pt>
                      <c:pt idx="8">
                        <c:v>2030</c:v>
                      </c:pt>
                    </c:numCache>
                  </c:numRef>
                </c:cat>
                <c:val>
                  <c:numRef>
                    <c:extLst>
                      <c:ext uri="{02D57815-91ED-43cb-92C2-25804820EDAC}">
                        <c15:formulaRef>
                          <c15:sqref>'Combined Annual'!$C$4:$K$4</c15:sqref>
                        </c15:formulaRef>
                      </c:ext>
                    </c:extLst>
                    <c:numCache>
                      <c:formatCode>0%</c:formatCode>
                      <c:ptCount val="9"/>
                      <c:pt idx="0">
                        <c:v>0.30205114435367619</c:v>
                      </c:pt>
                      <c:pt idx="1">
                        <c:v>0.32789336539966724</c:v>
                      </c:pt>
                      <c:pt idx="2">
                        <c:v>0.45315769245487481</c:v>
                      </c:pt>
                      <c:pt idx="3">
                        <c:v>0.67033157486237271</c:v>
                      </c:pt>
                      <c:pt idx="4">
                        <c:v>0.88750545726987062</c:v>
                      </c:pt>
                      <c:pt idx="5">
                        <c:v>1</c:v>
                      </c:pt>
                      <c:pt idx="6">
                        <c:v>1</c:v>
                      </c:pt>
                      <c:pt idx="7">
                        <c:v>1</c:v>
                      </c:pt>
                      <c:pt idx="8">
                        <c:v>1</c:v>
                      </c:pt>
                    </c:numCache>
                  </c:numRef>
                </c:val>
                <c:smooth val="0"/>
                <c:extLst>
                  <c:ext xmlns:c16="http://schemas.microsoft.com/office/drawing/2014/chart" uri="{C3380CC4-5D6E-409C-BE32-E72D297353CC}">
                    <c16:uniqueId val="{00000000-9A4F-4499-A6F1-F9EE13E2AD44}"/>
                  </c:ext>
                </c:extLst>
              </c15:ser>
            </c15:filteredLineSeries>
          </c:ext>
        </c:extLst>
      </c:lineChart>
      <c:catAx>
        <c:axId val="502265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254927"/>
        <c:crosses val="autoZero"/>
        <c:auto val="1"/>
        <c:lblAlgn val="ctr"/>
        <c:lblOffset val="100"/>
        <c:noMultiLvlLbl val="0"/>
      </c:catAx>
      <c:valAx>
        <c:axId val="502254927"/>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Efficient Market Share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265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5"/>
          <c:order val="0"/>
          <c:tx>
            <c:strRef>
              <c:f>'Top Mount'!$T$2</c:f>
              <c:strCache>
                <c:ptCount val="1"/>
                <c:pt idx="0">
                  <c:v>Adjusted NMB</c:v>
                </c:pt>
              </c:strCache>
            </c:strRef>
          </c:tx>
          <c:spPr>
            <a:ln w="28575" cap="rnd">
              <a:solidFill>
                <a:schemeClr val="accent6"/>
              </a:solidFill>
              <a:round/>
            </a:ln>
            <a:effectLst/>
          </c:spPr>
          <c:marker>
            <c:symbol val="none"/>
          </c:marker>
          <c:val>
            <c:numRef>
              <c:f>'Top Mount'!$T$3:$T$84</c:f>
              <c:numCache>
                <c:formatCode>0%</c:formatCode>
                <c:ptCount val="82"/>
                <c:pt idx="0">
                  <c:v>0.12770361243671435</c:v>
                </c:pt>
                <c:pt idx="1">
                  <c:v>9.1564644551001981E-2</c:v>
                </c:pt>
                <c:pt idx="2">
                  <c:v>7.5141223598765142E-2</c:v>
                </c:pt>
                <c:pt idx="3">
                  <c:v>8.0492951543453942E-2</c:v>
                </c:pt>
                <c:pt idx="4">
                  <c:v>5.6185147406798946E-2</c:v>
                </c:pt>
                <c:pt idx="5">
                  <c:v>9.3464426686078225E-2</c:v>
                </c:pt>
                <c:pt idx="6">
                  <c:v>8.2900324121975663E-2</c:v>
                </c:pt>
                <c:pt idx="7">
                  <c:v>0.11490087752540674</c:v>
                </c:pt>
                <c:pt idx="8">
                  <c:v>4.0274619093774527E-2</c:v>
                </c:pt>
                <c:pt idx="9">
                  <c:v>9.3408734630386167E-2</c:v>
                </c:pt>
                <c:pt idx="10">
                  <c:v>9.7885212490894449E-2</c:v>
                </c:pt>
                <c:pt idx="11">
                  <c:v>0.11096209716468898</c:v>
                </c:pt>
                <c:pt idx="12">
                  <c:v>0.15158782598759163</c:v>
                </c:pt>
                <c:pt idx="13">
                  <c:v>0.16151213784017238</c:v>
                </c:pt>
                <c:pt idx="14">
                  <c:v>0.13661746651836332</c:v>
                </c:pt>
                <c:pt idx="15">
                  <c:v>0.17658779137415259</c:v>
                </c:pt>
                <c:pt idx="16">
                  <c:v>6.8635947721676929E-2</c:v>
                </c:pt>
                <c:pt idx="17">
                  <c:v>8.3094610658638254E-2</c:v>
                </c:pt>
                <c:pt idx="18">
                  <c:v>0.1605440952647908</c:v>
                </c:pt>
                <c:pt idx="19">
                  <c:v>9.6690267300322333E-2</c:v>
                </c:pt>
                <c:pt idx="20">
                  <c:v>0.13442107064758757</c:v>
                </c:pt>
                <c:pt idx="21">
                  <c:v>0.19071224009715693</c:v>
                </c:pt>
                <c:pt idx="22">
                  <c:v>0.18932621530396437</c:v>
                </c:pt>
                <c:pt idx="23">
                  <c:v>0.1002975948393653</c:v>
                </c:pt>
                <c:pt idx="24">
                  <c:v>0.1856336314238109</c:v>
                </c:pt>
                <c:pt idx="25">
                  <c:v>0.15892387065283087</c:v>
                </c:pt>
                <c:pt idx="26">
                  <c:v>0.16194927517092672</c:v>
                </c:pt>
                <c:pt idx="27">
                  <c:v>0.15276916495855841</c:v>
                </c:pt>
                <c:pt idx="28">
                  <c:v>0.12283433233727946</c:v>
                </c:pt>
                <c:pt idx="29">
                  <c:v>0.13861039453010909</c:v>
                </c:pt>
                <c:pt idx="30">
                  <c:v>0.12215771944631658</c:v>
                </c:pt>
                <c:pt idx="31">
                  <c:v>0.13259818464786166</c:v>
                </c:pt>
                <c:pt idx="32">
                  <c:v>0.16924339281798551</c:v>
                </c:pt>
                <c:pt idx="33">
                  <c:v>0.15213109335274488</c:v>
                </c:pt>
                <c:pt idx="34">
                  <c:v>0.15490520167506988</c:v>
                </c:pt>
                <c:pt idx="35">
                  <c:v>0.13693067690297916</c:v>
                </c:pt>
                <c:pt idx="36">
                  <c:v>0.1477288922521946</c:v>
                </c:pt>
                <c:pt idx="37">
                  <c:v>0.18450909490193157</c:v>
                </c:pt>
                <c:pt idx="38">
                  <c:v>0.17477002959549975</c:v>
                </c:pt>
                <c:pt idx="39">
                  <c:v>0.16081267868571875</c:v>
                </c:pt>
                <c:pt idx="40">
                  <c:v>0.17437917340859782</c:v>
                </c:pt>
                <c:pt idx="41">
                  <c:v>0.14942152519017082</c:v>
                </c:pt>
                <c:pt idx="42">
                  <c:v>0.18630830854261832</c:v>
                </c:pt>
                <c:pt idx="43">
                  <c:v>0.14812218466677607</c:v>
                </c:pt>
                <c:pt idx="44">
                  <c:v>0.18700981610374273</c:v>
                </c:pt>
                <c:pt idx="45">
                  <c:v>0.18161000602719818</c:v>
                </c:pt>
                <c:pt idx="46">
                  <c:v>0.20148548179913908</c:v>
                </c:pt>
                <c:pt idx="47">
                  <c:v>0.14394223152239724</c:v>
                </c:pt>
                <c:pt idx="48">
                  <c:v>0.17897775220558823</c:v>
                </c:pt>
                <c:pt idx="49">
                  <c:v>0.21806879488922423</c:v>
                </c:pt>
                <c:pt idx="50">
                  <c:v>0.20042104976804534</c:v>
                </c:pt>
                <c:pt idx="51">
                  <c:v>0.21420876661724209</c:v>
                </c:pt>
                <c:pt idx="52">
                  <c:v>0.24021416466061785</c:v>
                </c:pt>
                <c:pt idx="53">
                  <c:v>0.22921713484078465</c:v>
                </c:pt>
                <c:pt idx="54">
                  <c:v>0.25398789821915013</c:v>
                </c:pt>
                <c:pt idx="55">
                  <c:v>0.24648566649763559</c:v>
                </c:pt>
                <c:pt idx="56">
                  <c:v>0.23162227538433547</c:v>
                </c:pt>
                <c:pt idx="57">
                  <c:v>0.21424663680090256</c:v>
                </c:pt>
                <c:pt idx="58">
                  <c:v>0.20845288959477171</c:v>
                </c:pt>
                <c:pt idx="59">
                  <c:v>0.25346707462658968</c:v>
                </c:pt>
                <c:pt idx="60">
                  <c:v>0.23065004312405943</c:v>
                </c:pt>
                <c:pt idx="61">
                  <c:v>0.20803681495259818</c:v>
                </c:pt>
                <c:pt idx="62">
                  <c:v>0.31645012701801556</c:v>
                </c:pt>
                <c:pt idx="63">
                  <c:v>0.23977985840892124</c:v>
                </c:pt>
                <c:pt idx="64">
                  <c:v>0.24228145178180949</c:v>
                </c:pt>
                <c:pt idx="65">
                  <c:v>0.24486643160046073</c:v>
                </c:pt>
                <c:pt idx="66">
                  <c:v>0.24745141141911198</c:v>
                </c:pt>
                <c:pt idx="67">
                  <c:v>0.24995300479200022</c:v>
                </c:pt>
                <c:pt idx="68">
                  <c:v>0.25253798461065147</c:v>
                </c:pt>
                <c:pt idx="69">
                  <c:v>0.25503957798353971</c:v>
                </c:pt>
                <c:pt idx="70">
                  <c:v>0.25762455780219096</c:v>
                </c:pt>
                <c:pt idx="71">
                  <c:v>0.2602095376208422</c:v>
                </c:pt>
                <c:pt idx="72">
                  <c:v>0.26254435810220444</c:v>
                </c:pt>
                <c:pt idx="73">
                  <c:v>0.26512933792085569</c:v>
                </c:pt>
                <c:pt idx="74">
                  <c:v>0.26763093129374393</c:v>
                </c:pt>
                <c:pt idx="75">
                  <c:v>0.27021591111239518</c:v>
                </c:pt>
                <c:pt idx="76">
                  <c:v>0.27271750448528342</c:v>
                </c:pt>
                <c:pt idx="77">
                  <c:v>0.27530248430393467</c:v>
                </c:pt>
                <c:pt idx="78">
                  <c:v>0.27788746412258591</c:v>
                </c:pt>
                <c:pt idx="79">
                  <c:v>0.28038905749547416</c:v>
                </c:pt>
                <c:pt idx="80">
                  <c:v>0.28297403731412496</c:v>
                </c:pt>
                <c:pt idx="81">
                  <c:v>0.2854756306870132</c:v>
                </c:pt>
              </c:numCache>
            </c:numRef>
          </c:val>
          <c:smooth val="0"/>
          <c:extLst>
            <c:ext xmlns:c16="http://schemas.microsoft.com/office/drawing/2014/chart" uri="{C3380CC4-5D6E-409C-BE32-E72D297353CC}">
              <c16:uniqueId val="{00000003-CF37-4143-AFC4-13EB2CC2C282}"/>
            </c:ext>
          </c:extLst>
        </c:ser>
        <c:ser>
          <c:idx val="1"/>
          <c:order val="2"/>
          <c:tx>
            <c:strRef>
              <c:f>'Top Mount'!$E$1:$E$2</c:f>
              <c:strCache>
                <c:ptCount val="2"/>
                <c:pt idx="0">
                  <c:v>Focus</c:v>
                </c:pt>
                <c:pt idx="1">
                  <c:v>ESME 2019+ Market Share</c:v>
                </c:pt>
              </c:strCache>
            </c:strRef>
          </c:tx>
          <c:spPr>
            <a:ln w="28575" cap="rnd">
              <a:solidFill>
                <a:schemeClr val="accent2"/>
              </a:solidFill>
              <a:round/>
            </a:ln>
            <a:effectLst/>
          </c:spPr>
          <c:marker>
            <c:symbol val="none"/>
          </c:marker>
          <c:cat>
            <c:numRef>
              <c:f>'Top Mount'!$A$3:$A$84</c:f>
              <c:numCache>
                <c:formatCode>m/d/yyyy</c:formatCode>
                <c:ptCount val="82"/>
                <c:pt idx="0">
                  <c:v>42064</c:v>
                </c:pt>
                <c:pt idx="1">
                  <c:v>42095</c:v>
                </c:pt>
                <c:pt idx="2">
                  <c:v>42125</c:v>
                </c:pt>
                <c:pt idx="3">
                  <c:v>42156</c:v>
                </c:pt>
                <c:pt idx="4">
                  <c:v>42186</c:v>
                </c:pt>
                <c:pt idx="5">
                  <c:v>42217</c:v>
                </c:pt>
                <c:pt idx="6">
                  <c:v>42248</c:v>
                </c:pt>
                <c:pt idx="7">
                  <c:v>42278</c:v>
                </c:pt>
                <c:pt idx="8">
                  <c:v>42309</c:v>
                </c:pt>
                <c:pt idx="9">
                  <c:v>42339</c:v>
                </c:pt>
                <c:pt idx="10">
                  <c:v>42370</c:v>
                </c:pt>
                <c:pt idx="11">
                  <c:v>42401</c:v>
                </c:pt>
                <c:pt idx="12">
                  <c:v>42430</c:v>
                </c:pt>
                <c:pt idx="13">
                  <c:v>42461</c:v>
                </c:pt>
                <c:pt idx="14">
                  <c:v>42491</c:v>
                </c:pt>
                <c:pt idx="15">
                  <c:v>42522</c:v>
                </c:pt>
                <c:pt idx="16">
                  <c:v>42552</c:v>
                </c:pt>
                <c:pt idx="17">
                  <c:v>42583</c:v>
                </c:pt>
                <c:pt idx="18">
                  <c:v>42614</c:v>
                </c:pt>
                <c:pt idx="19">
                  <c:v>42644</c:v>
                </c:pt>
                <c:pt idx="20">
                  <c:v>42675</c:v>
                </c:pt>
                <c:pt idx="21">
                  <c:v>42705</c:v>
                </c:pt>
                <c:pt idx="22">
                  <c:v>42736</c:v>
                </c:pt>
                <c:pt idx="23">
                  <c:v>42767</c:v>
                </c:pt>
                <c:pt idx="24">
                  <c:v>42795</c:v>
                </c:pt>
                <c:pt idx="25">
                  <c:v>42826</c:v>
                </c:pt>
                <c:pt idx="26">
                  <c:v>42856</c:v>
                </c:pt>
                <c:pt idx="27">
                  <c:v>42887</c:v>
                </c:pt>
                <c:pt idx="28">
                  <c:v>42917</c:v>
                </c:pt>
                <c:pt idx="29">
                  <c:v>42948</c:v>
                </c:pt>
                <c:pt idx="30">
                  <c:v>42979</c:v>
                </c:pt>
                <c:pt idx="31">
                  <c:v>43009</c:v>
                </c:pt>
                <c:pt idx="32">
                  <c:v>43040</c:v>
                </c:pt>
                <c:pt idx="33">
                  <c:v>43070</c:v>
                </c:pt>
                <c:pt idx="34">
                  <c:v>43101</c:v>
                </c:pt>
                <c:pt idx="35">
                  <c:v>43132</c:v>
                </c:pt>
                <c:pt idx="36">
                  <c:v>43160</c:v>
                </c:pt>
                <c:pt idx="37">
                  <c:v>43191</c:v>
                </c:pt>
                <c:pt idx="38">
                  <c:v>43221</c:v>
                </c:pt>
                <c:pt idx="39">
                  <c:v>43252</c:v>
                </c:pt>
                <c:pt idx="40">
                  <c:v>43282</c:v>
                </c:pt>
                <c:pt idx="41">
                  <c:v>43313</c:v>
                </c:pt>
                <c:pt idx="42">
                  <c:v>43344</c:v>
                </c:pt>
                <c:pt idx="43">
                  <c:v>43374</c:v>
                </c:pt>
                <c:pt idx="44">
                  <c:v>43405</c:v>
                </c:pt>
                <c:pt idx="45">
                  <c:v>43435</c:v>
                </c:pt>
                <c:pt idx="46">
                  <c:v>43466</c:v>
                </c:pt>
                <c:pt idx="47">
                  <c:v>43497</c:v>
                </c:pt>
                <c:pt idx="48">
                  <c:v>43525</c:v>
                </c:pt>
                <c:pt idx="49">
                  <c:v>43556</c:v>
                </c:pt>
                <c:pt idx="50">
                  <c:v>43586</c:v>
                </c:pt>
                <c:pt idx="51">
                  <c:v>43617</c:v>
                </c:pt>
                <c:pt idx="52">
                  <c:v>43647</c:v>
                </c:pt>
                <c:pt idx="53">
                  <c:v>43678</c:v>
                </c:pt>
                <c:pt idx="54">
                  <c:v>43709</c:v>
                </c:pt>
                <c:pt idx="55">
                  <c:v>43739</c:v>
                </c:pt>
                <c:pt idx="56">
                  <c:v>43770</c:v>
                </c:pt>
                <c:pt idx="57">
                  <c:v>43800</c:v>
                </c:pt>
                <c:pt idx="58">
                  <c:v>43831</c:v>
                </c:pt>
                <c:pt idx="59">
                  <c:v>43862</c:v>
                </c:pt>
                <c:pt idx="60">
                  <c:v>43891</c:v>
                </c:pt>
                <c:pt idx="61">
                  <c:v>43922</c:v>
                </c:pt>
                <c:pt idx="62">
                  <c:v>43952</c:v>
                </c:pt>
                <c:pt idx="63">
                  <c:v>43983</c:v>
                </c:pt>
                <c:pt idx="64">
                  <c:v>44013</c:v>
                </c:pt>
                <c:pt idx="65">
                  <c:v>44044</c:v>
                </c:pt>
                <c:pt idx="66">
                  <c:v>44075</c:v>
                </c:pt>
                <c:pt idx="67">
                  <c:v>44105</c:v>
                </c:pt>
                <c:pt idx="68">
                  <c:v>44136</c:v>
                </c:pt>
                <c:pt idx="69">
                  <c:v>44166</c:v>
                </c:pt>
                <c:pt idx="70">
                  <c:v>44197</c:v>
                </c:pt>
                <c:pt idx="71">
                  <c:v>44228</c:v>
                </c:pt>
                <c:pt idx="72">
                  <c:v>44256</c:v>
                </c:pt>
                <c:pt idx="73">
                  <c:v>44287</c:v>
                </c:pt>
                <c:pt idx="74">
                  <c:v>44317</c:v>
                </c:pt>
                <c:pt idx="75">
                  <c:v>44348</c:v>
                </c:pt>
                <c:pt idx="76">
                  <c:v>44378</c:v>
                </c:pt>
                <c:pt idx="77">
                  <c:v>44409</c:v>
                </c:pt>
                <c:pt idx="78">
                  <c:v>44440</c:v>
                </c:pt>
                <c:pt idx="79">
                  <c:v>44470</c:v>
                </c:pt>
                <c:pt idx="80">
                  <c:v>44501</c:v>
                </c:pt>
                <c:pt idx="81">
                  <c:v>44531</c:v>
                </c:pt>
              </c:numCache>
            </c:numRef>
          </c:cat>
          <c:val>
            <c:numRef>
              <c:f>'Top Mount'!$E$3:$E$84</c:f>
              <c:numCache>
                <c:formatCode>0%</c:formatCode>
                <c:ptCount val="82"/>
                <c:pt idx="0">
                  <c:v>0.17557251908396945</c:v>
                </c:pt>
                <c:pt idx="1">
                  <c:v>0.13943355119825709</c:v>
                </c:pt>
                <c:pt idx="2">
                  <c:v>0.12301013024602026</c:v>
                </c:pt>
                <c:pt idx="3">
                  <c:v>0.12836185819070906</c:v>
                </c:pt>
                <c:pt idx="4">
                  <c:v>0.10405405405405406</c:v>
                </c:pt>
                <c:pt idx="5">
                  <c:v>0.14133333333333334</c:v>
                </c:pt>
                <c:pt idx="6">
                  <c:v>0.13076923076923078</c:v>
                </c:pt>
                <c:pt idx="7">
                  <c:v>0.16276978417266186</c:v>
                </c:pt>
                <c:pt idx="8">
                  <c:v>8.8143525741029641E-2</c:v>
                </c:pt>
                <c:pt idx="9">
                  <c:v>0.14127764127764128</c:v>
                </c:pt>
                <c:pt idx="10">
                  <c:v>0.14575411913814956</c:v>
                </c:pt>
                <c:pt idx="11">
                  <c:v>0.15883100381194409</c:v>
                </c:pt>
                <c:pt idx="12">
                  <c:v>0.19945673263484673</c:v>
                </c:pt>
                <c:pt idx="13">
                  <c:v>0.20938104448742748</c:v>
                </c:pt>
                <c:pt idx="14">
                  <c:v>0.18448637316561844</c:v>
                </c:pt>
                <c:pt idx="15">
                  <c:v>0.22445669802140772</c:v>
                </c:pt>
                <c:pt idx="16">
                  <c:v>0.11650485436893204</c:v>
                </c:pt>
                <c:pt idx="17">
                  <c:v>0.13096351730589337</c:v>
                </c:pt>
                <c:pt idx="18">
                  <c:v>0.2084130019120459</c:v>
                </c:pt>
                <c:pt idx="19">
                  <c:v>0.14455917394757745</c:v>
                </c:pt>
                <c:pt idx="20">
                  <c:v>0.1822899772948427</c:v>
                </c:pt>
                <c:pt idx="21">
                  <c:v>0.23858114674441205</c:v>
                </c:pt>
                <c:pt idx="22">
                  <c:v>0.2371951219512195</c:v>
                </c:pt>
                <c:pt idx="23">
                  <c:v>0.14816650148662042</c:v>
                </c:pt>
                <c:pt idx="24">
                  <c:v>0.233502538071066</c:v>
                </c:pt>
                <c:pt idx="25">
                  <c:v>0.20679277730008599</c:v>
                </c:pt>
                <c:pt idx="26">
                  <c:v>0.20981818181818182</c:v>
                </c:pt>
                <c:pt idx="27">
                  <c:v>0.20063807160581354</c:v>
                </c:pt>
                <c:pt idx="28">
                  <c:v>0.17070323898453457</c:v>
                </c:pt>
                <c:pt idx="29">
                  <c:v>0.18647930117736422</c:v>
                </c:pt>
                <c:pt idx="30">
                  <c:v>0.17002662609357169</c:v>
                </c:pt>
                <c:pt idx="31">
                  <c:v>0.18046709129511676</c:v>
                </c:pt>
                <c:pt idx="32">
                  <c:v>0.21711229946524063</c:v>
                </c:pt>
                <c:pt idx="33">
                  <c:v>0.2</c:v>
                </c:pt>
                <c:pt idx="34">
                  <c:v>0.20277410832232498</c:v>
                </c:pt>
                <c:pt idx="35">
                  <c:v>0.18479958355023426</c:v>
                </c:pt>
                <c:pt idx="36">
                  <c:v>0.19559779889944973</c:v>
                </c:pt>
                <c:pt idx="37">
                  <c:v>0.23237800154918667</c:v>
                </c:pt>
                <c:pt idx="38">
                  <c:v>0.22263893624275485</c:v>
                </c:pt>
                <c:pt idx="39">
                  <c:v>0.20868158533297385</c:v>
                </c:pt>
                <c:pt idx="40">
                  <c:v>0.22224808005585292</c:v>
                </c:pt>
                <c:pt idx="41">
                  <c:v>0.19729043183742592</c:v>
                </c:pt>
                <c:pt idx="42">
                  <c:v>0.23417721518987342</c:v>
                </c:pt>
                <c:pt idx="43">
                  <c:v>0.19599109131403117</c:v>
                </c:pt>
                <c:pt idx="44">
                  <c:v>0.23487872275099786</c:v>
                </c:pt>
              </c:numCache>
            </c:numRef>
          </c:val>
          <c:smooth val="0"/>
          <c:extLst>
            <c:ext xmlns:c16="http://schemas.microsoft.com/office/drawing/2014/chart" uri="{C3380CC4-5D6E-409C-BE32-E72D297353CC}">
              <c16:uniqueId val="{00000000-CF37-4143-AFC4-13EB2CC2C282}"/>
            </c:ext>
          </c:extLst>
        </c:ser>
        <c:ser>
          <c:idx val="3"/>
          <c:order val="4"/>
          <c:tx>
            <c:strRef>
              <c:f>'Top Mount'!$G$1:$G$2</c:f>
              <c:strCache>
                <c:ptCount val="2"/>
                <c:pt idx="0">
                  <c:v>NEEA</c:v>
                </c:pt>
                <c:pt idx="1">
                  <c:v>ESME 2019+ Market Share</c:v>
                </c:pt>
              </c:strCache>
            </c:strRef>
          </c:tx>
          <c:spPr>
            <a:ln w="28575" cap="rnd">
              <a:solidFill>
                <a:schemeClr val="accent4"/>
              </a:solidFill>
              <a:round/>
            </a:ln>
            <a:effectLst/>
          </c:spPr>
          <c:marker>
            <c:symbol val="none"/>
          </c:marker>
          <c:cat>
            <c:numRef>
              <c:f>'Top Mount'!$A$3:$A$84</c:f>
              <c:numCache>
                <c:formatCode>m/d/yyyy</c:formatCode>
                <c:ptCount val="82"/>
                <c:pt idx="0">
                  <c:v>42064</c:v>
                </c:pt>
                <c:pt idx="1">
                  <c:v>42095</c:v>
                </c:pt>
                <c:pt idx="2">
                  <c:v>42125</c:v>
                </c:pt>
                <c:pt idx="3">
                  <c:v>42156</c:v>
                </c:pt>
                <c:pt idx="4">
                  <c:v>42186</c:v>
                </c:pt>
                <c:pt idx="5">
                  <c:v>42217</c:v>
                </c:pt>
                <c:pt idx="6">
                  <c:v>42248</c:v>
                </c:pt>
                <c:pt idx="7">
                  <c:v>42278</c:v>
                </c:pt>
                <c:pt idx="8">
                  <c:v>42309</c:v>
                </c:pt>
                <c:pt idx="9">
                  <c:v>42339</c:v>
                </c:pt>
                <c:pt idx="10">
                  <c:v>42370</c:v>
                </c:pt>
                <c:pt idx="11">
                  <c:v>42401</c:v>
                </c:pt>
                <c:pt idx="12">
                  <c:v>42430</c:v>
                </c:pt>
                <c:pt idx="13">
                  <c:v>42461</c:v>
                </c:pt>
                <c:pt idx="14">
                  <c:v>42491</c:v>
                </c:pt>
                <c:pt idx="15">
                  <c:v>42522</c:v>
                </c:pt>
                <c:pt idx="16">
                  <c:v>42552</c:v>
                </c:pt>
                <c:pt idx="17">
                  <c:v>42583</c:v>
                </c:pt>
                <c:pt idx="18">
                  <c:v>42614</c:v>
                </c:pt>
                <c:pt idx="19">
                  <c:v>42644</c:v>
                </c:pt>
                <c:pt idx="20">
                  <c:v>42675</c:v>
                </c:pt>
                <c:pt idx="21">
                  <c:v>42705</c:v>
                </c:pt>
                <c:pt idx="22">
                  <c:v>42736</c:v>
                </c:pt>
                <c:pt idx="23">
                  <c:v>42767</c:v>
                </c:pt>
                <c:pt idx="24">
                  <c:v>42795</c:v>
                </c:pt>
                <c:pt idx="25">
                  <c:v>42826</c:v>
                </c:pt>
                <c:pt idx="26">
                  <c:v>42856</c:v>
                </c:pt>
                <c:pt idx="27">
                  <c:v>42887</c:v>
                </c:pt>
                <c:pt idx="28">
                  <c:v>42917</c:v>
                </c:pt>
                <c:pt idx="29">
                  <c:v>42948</c:v>
                </c:pt>
                <c:pt idx="30">
                  <c:v>42979</c:v>
                </c:pt>
                <c:pt idx="31">
                  <c:v>43009</c:v>
                </c:pt>
                <c:pt idx="32">
                  <c:v>43040</c:v>
                </c:pt>
                <c:pt idx="33">
                  <c:v>43070</c:v>
                </c:pt>
                <c:pt idx="34">
                  <c:v>43101</c:v>
                </c:pt>
                <c:pt idx="35">
                  <c:v>43132</c:v>
                </c:pt>
                <c:pt idx="36">
                  <c:v>43160</c:v>
                </c:pt>
                <c:pt idx="37">
                  <c:v>43191</c:v>
                </c:pt>
                <c:pt idx="38">
                  <c:v>43221</c:v>
                </c:pt>
                <c:pt idx="39">
                  <c:v>43252</c:v>
                </c:pt>
                <c:pt idx="40">
                  <c:v>43282</c:v>
                </c:pt>
                <c:pt idx="41">
                  <c:v>43313</c:v>
                </c:pt>
                <c:pt idx="42">
                  <c:v>43344</c:v>
                </c:pt>
                <c:pt idx="43">
                  <c:v>43374</c:v>
                </c:pt>
                <c:pt idx="44">
                  <c:v>43405</c:v>
                </c:pt>
                <c:pt idx="45">
                  <c:v>43435</c:v>
                </c:pt>
                <c:pt idx="46">
                  <c:v>43466</c:v>
                </c:pt>
                <c:pt idx="47">
                  <c:v>43497</c:v>
                </c:pt>
                <c:pt idx="48">
                  <c:v>43525</c:v>
                </c:pt>
                <c:pt idx="49">
                  <c:v>43556</c:v>
                </c:pt>
                <c:pt idx="50">
                  <c:v>43586</c:v>
                </c:pt>
                <c:pt idx="51">
                  <c:v>43617</c:v>
                </c:pt>
                <c:pt idx="52">
                  <c:v>43647</c:v>
                </c:pt>
                <c:pt idx="53">
                  <c:v>43678</c:v>
                </c:pt>
                <c:pt idx="54">
                  <c:v>43709</c:v>
                </c:pt>
                <c:pt idx="55">
                  <c:v>43739</c:v>
                </c:pt>
                <c:pt idx="56">
                  <c:v>43770</c:v>
                </c:pt>
                <c:pt idx="57">
                  <c:v>43800</c:v>
                </c:pt>
                <c:pt idx="58">
                  <c:v>43831</c:v>
                </c:pt>
                <c:pt idx="59">
                  <c:v>43862</c:v>
                </c:pt>
                <c:pt idx="60">
                  <c:v>43891</c:v>
                </c:pt>
                <c:pt idx="61">
                  <c:v>43922</c:v>
                </c:pt>
                <c:pt idx="62">
                  <c:v>43952</c:v>
                </c:pt>
                <c:pt idx="63">
                  <c:v>43983</c:v>
                </c:pt>
                <c:pt idx="64">
                  <c:v>44013</c:v>
                </c:pt>
                <c:pt idx="65">
                  <c:v>44044</c:v>
                </c:pt>
                <c:pt idx="66">
                  <c:v>44075</c:v>
                </c:pt>
                <c:pt idx="67">
                  <c:v>44105</c:v>
                </c:pt>
                <c:pt idx="68">
                  <c:v>44136</c:v>
                </c:pt>
                <c:pt idx="69">
                  <c:v>44166</c:v>
                </c:pt>
                <c:pt idx="70">
                  <c:v>44197</c:v>
                </c:pt>
                <c:pt idx="71">
                  <c:v>44228</c:v>
                </c:pt>
                <c:pt idx="72">
                  <c:v>44256</c:v>
                </c:pt>
                <c:pt idx="73">
                  <c:v>44287</c:v>
                </c:pt>
                <c:pt idx="74">
                  <c:v>44317</c:v>
                </c:pt>
                <c:pt idx="75">
                  <c:v>44348</c:v>
                </c:pt>
                <c:pt idx="76">
                  <c:v>44378</c:v>
                </c:pt>
                <c:pt idx="77">
                  <c:v>44409</c:v>
                </c:pt>
                <c:pt idx="78">
                  <c:v>44440</c:v>
                </c:pt>
                <c:pt idx="79">
                  <c:v>44470</c:v>
                </c:pt>
                <c:pt idx="80">
                  <c:v>44501</c:v>
                </c:pt>
                <c:pt idx="81">
                  <c:v>44531</c:v>
                </c:pt>
              </c:numCache>
            </c:numRef>
          </c:cat>
          <c:val>
            <c:numRef>
              <c:f>'Top Mount'!$G$3:$G$84</c:f>
              <c:numCache>
                <c:formatCode>0%</c:formatCode>
                <c:ptCount val="82"/>
                <c:pt idx="0">
                  <c:v>8.9590443686006827E-2</c:v>
                </c:pt>
                <c:pt idx="1">
                  <c:v>9.0692124105011929E-2</c:v>
                </c:pt>
                <c:pt idx="2">
                  <c:v>7.9061148857319338E-2</c:v>
                </c:pt>
                <c:pt idx="3">
                  <c:v>7.5523922499011464E-2</c:v>
                </c:pt>
                <c:pt idx="4">
                  <c:v>7.6070528967254414E-2</c:v>
                </c:pt>
                <c:pt idx="5">
                  <c:v>0.12426219322771047</c:v>
                </c:pt>
                <c:pt idx="6">
                  <c:v>0.10793832095945174</c:v>
                </c:pt>
                <c:pt idx="7">
                  <c:v>0.10008653014133256</c:v>
                </c:pt>
                <c:pt idx="8">
                  <c:v>7.372770769899957E-2</c:v>
                </c:pt>
                <c:pt idx="9">
                  <c:v>9.6811371494429505E-2</c:v>
                </c:pt>
                <c:pt idx="10">
                  <c:v>8.7167854828256647E-2</c:v>
                </c:pt>
                <c:pt idx="11">
                  <c:v>9.6786248131539618E-2</c:v>
                </c:pt>
                <c:pt idx="12">
                  <c:v>0.11758793969849246</c:v>
                </c:pt>
                <c:pt idx="13">
                  <c:v>0.15354107648725213</c:v>
                </c:pt>
                <c:pt idx="14">
                  <c:v>0.12318976866654129</c:v>
                </c:pt>
                <c:pt idx="15">
                  <c:v>0.11446409989594172</c:v>
                </c:pt>
                <c:pt idx="16">
                  <c:v>0.11865729898516784</c:v>
                </c:pt>
                <c:pt idx="17">
                  <c:v>0.11411411411411411</c:v>
                </c:pt>
                <c:pt idx="18">
                  <c:v>0.14188115665713377</c:v>
                </c:pt>
                <c:pt idx="19">
                  <c:v>0.1829173166926677</c:v>
                </c:pt>
                <c:pt idx="20">
                  <c:v>0.12111553784860558</c:v>
                </c:pt>
                <c:pt idx="21">
                  <c:v>0.1864406779661017</c:v>
                </c:pt>
                <c:pt idx="22">
                  <c:v>0.15846877673224979</c:v>
                </c:pt>
                <c:pt idx="23">
                  <c:v>0.14569397993311037</c:v>
                </c:pt>
                <c:pt idx="24">
                  <c:v>0.15098765432098765</c:v>
                </c:pt>
                <c:pt idx="25">
                  <c:v>0.14615384615384616</c:v>
                </c:pt>
                <c:pt idx="26">
                  <c:v>0.19253886010362695</c:v>
                </c:pt>
                <c:pt idx="27">
                  <c:v>0.20978120978120979</c:v>
                </c:pt>
                <c:pt idx="28">
                  <c:v>0.21917994823593515</c:v>
                </c:pt>
                <c:pt idx="29">
                  <c:v>0.16544438624061464</c:v>
                </c:pt>
                <c:pt idx="30">
                  <c:v>0.14593386952636284</c:v>
                </c:pt>
                <c:pt idx="31">
                  <c:v>0.16106094808126412</c:v>
                </c:pt>
                <c:pt idx="32">
                  <c:v>0.2023457702253417</c:v>
                </c:pt>
                <c:pt idx="33">
                  <c:v>0.13687623343670707</c:v>
                </c:pt>
                <c:pt idx="34">
                  <c:v>0.16922626883135877</c:v>
                </c:pt>
                <c:pt idx="35">
                  <c:v>0.17845828933474128</c:v>
                </c:pt>
                <c:pt idx="36">
                  <c:v>0.1794361913674114</c:v>
                </c:pt>
                <c:pt idx="37">
                  <c:v>0.18742934659733212</c:v>
                </c:pt>
                <c:pt idx="38">
                  <c:v>0.18348909657320872</c:v>
                </c:pt>
                <c:pt idx="39">
                  <c:v>0.17723482644948613</c:v>
                </c:pt>
                <c:pt idx="40">
                  <c:v>0.19223674713288957</c:v>
                </c:pt>
                <c:pt idx="41">
                  <c:v>0.19674502712477396</c:v>
                </c:pt>
                <c:pt idx="42">
                  <c:v>0.19562863050113222</c:v>
                </c:pt>
                <c:pt idx="43">
                  <c:v>0.20453168544771599</c:v>
                </c:pt>
                <c:pt idx="44">
                  <c:v>0.21663039535727241</c:v>
                </c:pt>
                <c:pt idx="45">
                  <c:v>0.19428733031674209</c:v>
                </c:pt>
                <c:pt idx="46">
                  <c:v>0.21416280608868299</c:v>
                </c:pt>
                <c:pt idx="47">
                  <c:v>0.15661955581194115</c:v>
                </c:pt>
                <c:pt idx="48">
                  <c:v>0.19165507649513214</c:v>
                </c:pt>
                <c:pt idx="49">
                  <c:v>0.23074611917876814</c:v>
                </c:pt>
                <c:pt idx="50">
                  <c:v>0.21309837405758925</c:v>
                </c:pt>
                <c:pt idx="51">
                  <c:v>0.19917989879602163</c:v>
                </c:pt>
                <c:pt idx="52">
                  <c:v>0.2229271171437002</c:v>
                </c:pt>
                <c:pt idx="53">
                  <c:v>0.18210915059499386</c:v>
                </c:pt>
                <c:pt idx="54">
                  <c:v>0.23253129716771731</c:v>
                </c:pt>
                <c:pt idx="55">
                  <c:v>0.23417410933359506</c:v>
                </c:pt>
                <c:pt idx="56">
                  <c:v>0.22537562604340566</c:v>
                </c:pt>
                <c:pt idx="57">
                  <c:v>0.22034976152623212</c:v>
                </c:pt>
                <c:pt idx="58">
                  <c:v>0.24770757442532346</c:v>
                </c:pt>
                <c:pt idx="59">
                  <c:v>0.21922342457033736</c:v>
                </c:pt>
                <c:pt idx="60">
                  <c:v>0.20708676140613314</c:v>
                </c:pt>
                <c:pt idx="61">
                  <c:v>0.23372755146736751</c:v>
                </c:pt>
                <c:pt idx="62">
                  <c:v>0.27051932838734871</c:v>
                </c:pt>
                <c:pt idx="63">
                  <c:v>0.32615012106537528</c:v>
                </c:pt>
                <c:pt idx="64">
                  <c:v>0.38991311718584448</c:v>
                </c:pt>
                <c:pt idx="65">
                  <c:v>0.3509036144578313</c:v>
                </c:pt>
                <c:pt idx="66">
                  <c:v>0.40026107530390798</c:v>
                </c:pt>
                <c:pt idx="67">
                  <c:v>0.37458619811560989</c:v>
                </c:pt>
                <c:pt idx="68">
                  <c:v>0.43656259565350475</c:v>
                </c:pt>
                <c:pt idx="69">
                  <c:v>0.37099268116688999</c:v>
                </c:pt>
                <c:pt idx="70">
                  <c:v>0.32418798123727766</c:v>
                </c:pt>
                <c:pt idx="71">
                  <c:v>0.35391171328671328</c:v>
                </c:pt>
                <c:pt idx="72">
                  <c:v>0.39454763331336129</c:v>
                </c:pt>
                <c:pt idx="73">
                  <c:v>0.28970917225950782</c:v>
                </c:pt>
                <c:pt idx="74">
                  <c:v>0.44464407939767281</c:v>
                </c:pt>
                <c:pt idx="75">
                  <c:v>0.47545582047685836</c:v>
                </c:pt>
                <c:pt idx="76">
                  <c:v>0.47526542993816356</c:v>
                </c:pt>
                <c:pt idx="77">
                  <c:v>0.40498560387937566</c:v>
                </c:pt>
                <c:pt idx="78">
                  <c:v>0.4175824175824176</c:v>
                </c:pt>
                <c:pt idx="79">
                  <c:v>0.48450315116981785</c:v>
                </c:pt>
                <c:pt idx="80">
                  <c:v>0.46478873239436619</c:v>
                </c:pt>
                <c:pt idx="81">
                  <c:v>0.43731710172070704</c:v>
                </c:pt>
              </c:numCache>
            </c:numRef>
          </c:val>
          <c:smooth val="0"/>
          <c:extLst>
            <c:ext xmlns:c16="http://schemas.microsoft.com/office/drawing/2014/chart" uri="{C3380CC4-5D6E-409C-BE32-E72D297353CC}">
              <c16:uniqueId val="{00000001-CF37-4143-AFC4-13EB2CC2C282}"/>
            </c:ext>
          </c:extLst>
        </c:ser>
        <c:ser>
          <c:idx val="12"/>
          <c:order val="7"/>
          <c:tx>
            <c:strRef>
              <c:f>'Top Mount'!$P$1:$P$2</c:f>
              <c:strCache>
                <c:ptCount val="2"/>
                <c:pt idx="0">
                  <c:v>ComEd - Net Market Share</c:v>
                </c:pt>
                <c:pt idx="1">
                  <c:v>ESME 2019+</c:v>
                </c:pt>
              </c:strCache>
            </c:strRef>
          </c:tx>
          <c:spPr>
            <a:ln w="28575" cap="rnd">
              <a:solidFill>
                <a:schemeClr val="accent1">
                  <a:lumMod val="80000"/>
                  <a:lumOff val="20000"/>
                </a:schemeClr>
              </a:solidFill>
              <a:round/>
            </a:ln>
            <a:effectLst/>
          </c:spPr>
          <c:marker>
            <c:symbol val="none"/>
          </c:marker>
          <c:cat>
            <c:numRef>
              <c:f>'Top Mount'!$A$3:$A$84</c:f>
              <c:numCache>
                <c:formatCode>m/d/yyyy</c:formatCode>
                <c:ptCount val="82"/>
                <c:pt idx="0">
                  <c:v>42064</c:v>
                </c:pt>
                <c:pt idx="1">
                  <c:v>42095</c:v>
                </c:pt>
                <c:pt idx="2">
                  <c:v>42125</c:v>
                </c:pt>
                <c:pt idx="3">
                  <c:v>42156</c:v>
                </c:pt>
                <c:pt idx="4">
                  <c:v>42186</c:v>
                </c:pt>
                <c:pt idx="5">
                  <c:v>42217</c:v>
                </c:pt>
                <c:pt idx="6">
                  <c:v>42248</c:v>
                </c:pt>
                <c:pt idx="7">
                  <c:v>42278</c:v>
                </c:pt>
                <c:pt idx="8">
                  <c:v>42309</c:v>
                </c:pt>
                <c:pt idx="9">
                  <c:v>42339</c:v>
                </c:pt>
                <c:pt idx="10">
                  <c:v>42370</c:v>
                </c:pt>
                <c:pt idx="11">
                  <c:v>42401</c:v>
                </c:pt>
                <c:pt idx="12">
                  <c:v>42430</c:v>
                </c:pt>
                <c:pt idx="13">
                  <c:v>42461</c:v>
                </c:pt>
                <c:pt idx="14">
                  <c:v>42491</c:v>
                </c:pt>
                <c:pt idx="15">
                  <c:v>42522</c:v>
                </c:pt>
                <c:pt idx="16">
                  <c:v>42552</c:v>
                </c:pt>
                <c:pt idx="17">
                  <c:v>42583</c:v>
                </c:pt>
                <c:pt idx="18">
                  <c:v>42614</c:v>
                </c:pt>
                <c:pt idx="19">
                  <c:v>42644</c:v>
                </c:pt>
                <c:pt idx="20">
                  <c:v>42675</c:v>
                </c:pt>
                <c:pt idx="21">
                  <c:v>42705</c:v>
                </c:pt>
                <c:pt idx="22">
                  <c:v>42736</c:v>
                </c:pt>
                <c:pt idx="23">
                  <c:v>42767</c:v>
                </c:pt>
                <c:pt idx="24">
                  <c:v>42795</c:v>
                </c:pt>
                <c:pt idx="25">
                  <c:v>42826</c:v>
                </c:pt>
                <c:pt idx="26">
                  <c:v>42856</c:v>
                </c:pt>
                <c:pt idx="27">
                  <c:v>42887</c:v>
                </c:pt>
                <c:pt idx="28">
                  <c:v>42917</c:v>
                </c:pt>
                <c:pt idx="29">
                  <c:v>42948</c:v>
                </c:pt>
                <c:pt idx="30">
                  <c:v>42979</c:v>
                </c:pt>
                <c:pt idx="31">
                  <c:v>43009</c:v>
                </c:pt>
                <c:pt idx="32">
                  <c:v>43040</c:v>
                </c:pt>
                <c:pt idx="33">
                  <c:v>43070</c:v>
                </c:pt>
                <c:pt idx="34">
                  <c:v>43101</c:v>
                </c:pt>
                <c:pt idx="35">
                  <c:v>43132</c:v>
                </c:pt>
                <c:pt idx="36">
                  <c:v>43160</c:v>
                </c:pt>
                <c:pt idx="37">
                  <c:v>43191</c:v>
                </c:pt>
                <c:pt idx="38">
                  <c:v>43221</c:v>
                </c:pt>
                <c:pt idx="39">
                  <c:v>43252</c:v>
                </c:pt>
                <c:pt idx="40">
                  <c:v>43282</c:v>
                </c:pt>
                <c:pt idx="41">
                  <c:v>43313</c:v>
                </c:pt>
                <c:pt idx="42">
                  <c:v>43344</c:v>
                </c:pt>
                <c:pt idx="43">
                  <c:v>43374</c:v>
                </c:pt>
                <c:pt idx="44">
                  <c:v>43405</c:v>
                </c:pt>
                <c:pt idx="45">
                  <c:v>43435</c:v>
                </c:pt>
                <c:pt idx="46">
                  <c:v>43466</c:v>
                </c:pt>
                <c:pt idx="47">
                  <c:v>43497</c:v>
                </c:pt>
                <c:pt idx="48">
                  <c:v>43525</c:v>
                </c:pt>
                <c:pt idx="49">
                  <c:v>43556</c:v>
                </c:pt>
                <c:pt idx="50">
                  <c:v>43586</c:v>
                </c:pt>
                <c:pt idx="51">
                  <c:v>43617</c:v>
                </c:pt>
                <c:pt idx="52">
                  <c:v>43647</c:v>
                </c:pt>
                <c:pt idx="53">
                  <c:v>43678</c:v>
                </c:pt>
                <c:pt idx="54">
                  <c:v>43709</c:v>
                </c:pt>
                <c:pt idx="55">
                  <c:v>43739</c:v>
                </c:pt>
                <c:pt idx="56">
                  <c:v>43770</c:v>
                </c:pt>
                <c:pt idx="57">
                  <c:v>43800</c:v>
                </c:pt>
                <c:pt idx="58">
                  <c:v>43831</c:v>
                </c:pt>
                <c:pt idx="59">
                  <c:v>43862</c:v>
                </c:pt>
                <c:pt idx="60">
                  <c:v>43891</c:v>
                </c:pt>
                <c:pt idx="61">
                  <c:v>43922</c:v>
                </c:pt>
                <c:pt idx="62">
                  <c:v>43952</c:v>
                </c:pt>
                <c:pt idx="63">
                  <c:v>43983</c:v>
                </c:pt>
                <c:pt idx="64">
                  <c:v>44013</c:v>
                </c:pt>
                <c:pt idx="65">
                  <c:v>44044</c:v>
                </c:pt>
                <c:pt idx="66">
                  <c:v>44075</c:v>
                </c:pt>
                <c:pt idx="67">
                  <c:v>44105</c:v>
                </c:pt>
                <c:pt idx="68">
                  <c:v>44136</c:v>
                </c:pt>
                <c:pt idx="69">
                  <c:v>44166</c:v>
                </c:pt>
                <c:pt idx="70">
                  <c:v>44197</c:v>
                </c:pt>
                <c:pt idx="71">
                  <c:v>44228</c:v>
                </c:pt>
                <c:pt idx="72">
                  <c:v>44256</c:v>
                </c:pt>
                <c:pt idx="73">
                  <c:v>44287</c:v>
                </c:pt>
                <c:pt idx="74">
                  <c:v>44317</c:v>
                </c:pt>
                <c:pt idx="75">
                  <c:v>44348</c:v>
                </c:pt>
                <c:pt idx="76">
                  <c:v>44378</c:v>
                </c:pt>
                <c:pt idx="77">
                  <c:v>44409</c:v>
                </c:pt>
                <c:pt idx="78">
                  <c:v>44440</c:v>
                </c:pt>
                <c:pt idx="79">
                  <c:v>44470</c:v>
                </c:pt>
                <c:pt idx="80">
                  <c:v>44501</c:v>
                </c:pt>
                <c:pt idx="81">
                  <c:v>44531</c:v>
                </c:pt>
              </c:numCache>
            </c:numRef>
          </c:cat>
          <c:val>
            <c:numRef>
              <c:f>'Top Mount'!$P$3:$P$84</c:f>
              <c:numCache>
                <c:formatCode>General</c:formatCode>
                <c:ptCount val="82"/>
                <c:pt idx="51" formatCode="0%">
                  <c:v>0.21420876661724209</c:v>
                </c:pt>
                <c:pt idx="52" formatCode="0%">
                  <c:v>0.24021416466061785</c:v>
                </c:pt>
                <c:pt idx="53" formatCode="0%">
                  <c:v>0.22921713484078465</c:v>
                </c:pt>
                <c:pt idx="54" formatCode="0%">
                  <c:v>0.25398789821915013</c:v>
                </c:pt>
                <c:pt idx="55" formatCode="0%">
                  <c:v>0.24648566649763559</c:v>
                </c:pt>
                <c:pt idx="56" formatCode="0%">
                  <c:v>0.23162227538433547</c:v>
                </c:pt>
                <c:pt idx="57" formatCode="0%">
                  <c:v>0.21424663680090256</c:v>
                </c:pt>
                <c:pt idx="58" formatCode="0%">
                  <c:v>0.20845288959477171</c:v>
                </c:pt>
                <c:pt idx="59" formatCode="0%">
                  <c:v>0.25346707462658968</c:v>
                </c:pt>
                <c:pt idx="60" formatCode="0%">
                  <c:v>0.23065004312405943</c:v>
                </c:pt>
                <c:pt idx="61" formatCode="0%">
                  <c:v>0.20803681495259818</c:v>
                </c:pt>
                <c:pt idx="62" formatCode="0%">
                  <c:v>0.31645012701801556</c:v>
                </c:pt>
                <c:pt idx="63" formatCode="0%">
                  <c:v>0.38861541786222847</c:v>
                </c:pt>
                <c:pt idx="64" formatCode="0%">
                  <c:v>0.35922076414054471</c:v>
                </c:pt>
                <c:pt idx="65" formatCode="0%">
                  <c:v>0.30616471143775947</c:v>
                </c:pt>
                <c:pt idx="66" formatCode="0%">
                  <c:v>0.50600084588883065</c:v>
                </c:pt>
                <c:pt idx="67" formatCode="0%">
                  <c:v>0.45388854899766834</c:v>
                </c:pt>
                <c:pt idx="68" formatCode="0%">
                  <c:v>0.52971828504848173</c:v>
                </c:pt>
                <c:pt idx="69" formatCode="0%">
                  <c:v>0.45816845170764936</c:v>
                </c:pt>
                <c:pt idx="70" formatCode="0%">
                  <c:v>0.39006880857842402</c:v>
                </c:pt>
                <c:pt idx="71" formatCode="0%">
                  <c:v>0.41017955586030552</c:v>
                </c:pt>
                <c:pt idx="72" formatCode="0%">
                  <c:v>0.48179115407274026</c:v>
                </c:pt>
                <c:pt idx="73" formatCode="0%">
                  <c:v>0.44684046527269838</c:v>
                </c:pt>
                <c:pt idx="74" formatCode="0%">
                  <c:v>0.4753376922127352</c:v>
                </c:pt>
                <c:pt idx="75" formatCode="0%">
                  <c:v>0.53827985171868209</c:v>
                </c:pt>
                <c:pt idx="76" formatCode="0%">
                  <c:v>0.49287107080897086</c:v>
                </c:pt>
                <c:pt idx="77" formatCode="0%">
                  <c:v>0.44233251861280226</c:v>
                </c:pt>
                <c:pt idx="78" formatCode="0%">
                  <c:v>0.49488685018045242</c:v>
                </c:pt>
                <c:pt idx="79" formatCode="0%">
                  <c:v>0.50586301964937086</c:v>
                </c:pt>
                <c:pt idx="80" formatCode="0%">
                  <c:v>0.56080318330063128</c:v>
                </c:pt>
                <c:pt idx="81" formatCode="0%">
                  <c:v>0.47988110629968533</c:v>
                </c:pt>
              </c:numCache>
            </c:numRef>
          </c:val>
          <c:smooth val="0"/>
          <c:extLst>
            <c:ext xmlns:c16="http://schemas.microsoft.com/office/drawing/2014/chart" uri="{C3380CC4-5D6E-409C-BE32-E72D297353CC}">
              <c16:uniqueId val="{00000002-CF37-4143-AFC4-13EB2CC2C282}"/>
            </c:ext>
          </c:extLst>
        </c:ser>
        <c:dLbls>
          <c:showLegendKey val="0"/>
          <c:showVal val="0"/>
          <c:showCatName val="0"/>
          <c:showSerName val="0"/>
          <c:showPercent val="0"/>
          <c:showBubbleSize val="0"/>
        </c:dLbls>
        <c:smooth val="0"/>
        <c:axId val="1958813200"/>
        <c:axId val="1958810288"/>
        <c:extLst>
          <c:ext xmlns:c15="http://schemas.microsoft.com/office/drawing/2012/chart" uri="{02D57815-91ED-43cb-92C2-25804820EDAC}">
            <c15:filteredLineSeries>
              <c15:ser>
                <c:idx val="0"/>
                <c:order val="1"/>
                <c:tx>
                  <c:strRef>
                    <c:extLst>
                      <c:ext uri="{02D57815-91ED-43cb-92C2-25804820EDAC}">
                        <c15:formulaRef>
                          <c15:sqref>'Top Mount'!$D$1:$D$2</c15:sqref>
                        </c15:formulaRef>
                      </c:ext>
                    </c:extLst>
                    <c:strCache>
                      <c:ptCount val="2"/>
                      <c:pt idx="0">
                        <c:v>Focus</c:v>
                      </c:pt>
                      <c:pt idx="1">
                        <c:v>ENERGY STAR V5 Market Share</c:v>
                      </c:pt>
                    </c:strCache>
                  </c:strRef>
                </c:tx>
                <c:spPr>
                  <a:ln w="28575" cap="rnd">
                    <a:solidFill>
                      <a:schemeClr val="accent1"/>
                    </a:solidFill>
                    <a:round/>
                  </a:ln>
                  <a:effectLst/>
                </c:spPr>
                <c:marker>
                  <c:symbol val="none"/>
                </c:marker>
                <c:cat>
                  <c:numRef>
                    <c:extLst>
                      <c:ext uri="{02D57815-91ED-43cb-92C2-25804820EDAC}">
                        <c15:formulaRef>
                          <c15:sqref>'Top Mount'!$A$3:$A$84</c15:sqref>
                        </c15:formulaRef>
                      </c:ext>
                    </c:extLst>
                    <c:numCache>
                      <c:formatCode>m/d/yyyy</c:formatCode>
                      <c:ptCount val="82"/>
                      <c:pt idx="0">
                        <c:v>42064</c:v>
                      </c:pt>
                      <c:pt idx="1">
                        <c:v>42095</c:v>
                      </c:pt>
                      <c:pt idx="2">
                        <c:v>42125</c:v>
                      </c:pt>
                      <c:pt idx="3">
                        <c:v>42156</c:v>
                      </c:pt>
                      <c:pt idx="4">
                        <c:v>42186</c:v>
                      </c:pt>
                      <c:pt idx="5">
                        <c:v>42217</c:v>
                      </c:pt>
                      <c:pt idx="6">
                        <c:v>42248</c:v>
                      </c:pt>
                      <c:pt idx="7">
                        <c:v>42278</c:v>
                      </c:pt>
                      <c:pt idx="8">
                        <c:v>42309</c:v>
                      </c:pt>
                      <c:pt idx="9">
                        <c:v>42339</c:v>
                      </c:pt>
                      <c:pt idx="10">
                        <c:v>42370</c:v>
                      </c:pt>
                      <c:pt idx="11">
                        <c:v>42401</c:v>
                      </c:pt>
                      <c:pt idx="12">
                        <c:v>42430</c:v>
                      </c:pt>
                      <c:pt idx="13">
                        <c:v>42461</c:v>
                      </c:pt>
                      <c:pt idx="14">
                        <c:v>42491</c:v>
                      </c:pt>
                      <c:pt idx="15">
                        <c:v>42522</c:v>
                      </c:pt>
                      <c:pt idx="16">
                        <c:v>42552</c:v>
                      </c:pt>
                      <c:pt idx="17">
                        <c:v>42583</c:v>
                      </c:pt>
                      <c:pt idx="18">
                        <c:v>42614</c:v>
                      </c:pt>
                      <c:pt idx="19">
                        <c:v>42644</c:v>
                      </c:pt>
                      <c:pt idx="20">
                        <c:v>42675</c:v>
                      </c:pt>
                      <c:pt idx="21">
                        <c:v>42705</c:v>
                      </c:pt>
                      <c:pt idx="22">
                        <c:v>42736</c:v>
                      </c:pt>
                      <c:pt idx="23">
                        <c:v>42767</c:v>
                      </c:pt>
                      <c:pt idx="24">
                        <c:v>42795</c:v>
                      </c:pt>
                      <c:pt idx="25">
                        <c:v>42826</c:v>
                      </c:pt>
                      <c:pt idx="26">
                        <c:v>42856</c:v>
                      </c:pt>
                      <c:pt idx="27">
                        <c:v>42887</c:v>
                      </c:pt>
                      <c:pt idx="28">
                        <c:v>42917</c:v>
                      </c:pt>
                      <c:pt idx="29">
                        <c:v>42948</c:v>
                      </c:pt>
                      <c:pt idx="30">
                        <c:v>42979</c:v>
                      </c:pt>
                      <c:pt idx="31">
                        <c:v>43009</c:v>
                      </c:pt>
                      <c:pt idx="32">
                        <c:v>43040</c:v>
                      </c:pt>
                      <c:pt idx="33">
                        <c:v>43070</c:v>
                      </c:pt>
                      <c:pt idx="34">
                        <c:v>43101</c:v>
                      </c:pt>
                      <c:pt idx="35">
                        <c:v>43132</c:v>
                      </c:pt>
                      <c:pt idx="36">
                        <c:v>43160</c:v>
                      </c:pt>
                      <c:pt idx="37">
                        <c:v>43191</c:v>
                      </c:pt>
                      <c:pt idx="38">
                        <c:v>43221</c:v>
                      </c:pt>
                      <c:pt idx="39">
                        <c:v>43252</c:v>
                      </c:pt>
                      <c:pt idx="40">
                        <c:v>43282</c:v>
                      </c:pt>
                      <c:pt idx="41">
                        <c:v>43313</c:v>
                      </c:pt>
                      <c:pt idx="42">
                        <c:v>43344</c:v>
                      </c:pt>
                      <c:pt idx="43">
                        <c:v>43374</c:v>
                      </c:pt>
                      <c:pt idx="44">
                        <c:v>43405</c:v>
                      </c:pt>
                      <c:pt idx="45">
                        <c:v>43435</c:v>
                      </c:pt>
                      <c:pt idx="46">
                        <c:v>43466</c:v>
                      </c:pt>
                      <c:pt idx="47">
                        <c:v>43497</c:v>
                      </c:pt>
                      <c:pt idx="48">
                        <c:v>43525</c:v>
                      </c:pt>
                      <c:pt idx="49">
                        <c:v>43556</c:v>
                      </c:pt>
                      <c:pt idx="50">
                        <c:v>43586</c:v>
                      </c:pt>
                      <c:pt idx="51">
                        <c:v>43617</c:v>
                      </c:pt>
                      <c:pt idx="52">
                        <c:v>43647</c:v>
                      </c:pt>
                      <c:pt idx="53">
                        <c:v>43678</c:v>
                      </c:pt>
                      <c:pt idx="54">
                        <c:v>43709</c:v>
                      </c:pt>
                      <c:pt idx="55">
                        <c:v>43739</c:v>
                      </c:pt>
                      <c:pt idx="56">
                        <c:v>43770</c:v>
                      </c:pt>
                      <c:pt idx="57">
                        <c:v>43800</c:v>
                      </c:pt>
                      <c:pt idx="58">
                        <c:v>43831</c:v>
                      </c:pt>
                      <c:pt idx="59">
                        <c:v>43862</c:v>
                      </c:pt>
                      <c:pt idx="60">
                        <c:v>43891</c:v>
                      </c:pt>
                      <c:pt idx="61">
                        <c:v>43922</c:v>
                      </c:pt>
                      <c:pt idx="62">
                        <c:v>43952</c:v>
                      </c:pt>
                      <c:pt idx="63">
                        <c:v>43983</c:v>
                      </c:pt>
                      <c:pt idx="64">
                        <c:v>44013</c:v>
                      </c:pt>
                      <c:pt idx="65">
                        <c:v>44044</c:v>
                      </c:pt>
                      <c:pt idx="66">
                        <c:v>44075</c:v>
                      </c:pt>
                      <c:pt idx="67">
                        <c:v>44105</c:v>
                      </c:pt>
                      <c:pt idx="68">
                        <c:v>44136</c:v>
                      </c:pt>
                      <c:pt idx="69">
                        <c:v>44166</c:v>
                      </c:pt>
                      <c:pt idx="70">
                        <c:v>44197</c:v>
                      </c:pt>
                      <c:pt idx="71">
                        <c:v>44228</c:v>
                      </c:pt>
                      <c:pt idx="72">
                        <c:v>44256</c:v>
                      </c:pt>
                      <c:pt idx="73">
                        <c:v>44287</c:v>
                      </c:pt>
                      <c:pt idx="74">
                        <c:v>44317</c:v>
                      </c:pt>
                      <c:pt idx="75">
                        <c:v>44348</c:v>
                      </c:pt>
                      <c:pt idx="76">
                        <c:v>44378</c:v>
                      </c:pt>
                      <c:pt idx="77">
                        <c:v>44409</c:v>
                      </c:pt>
                      <c:pt idx="78">
                        <c:v>44440</c:v>
                      </c:pt>
                      <c:pt idx="79">
                        <c:v>44470</c:v>
                      </c:pt>
                      <c:pt idx="80">
                        <c:v>44501</c:v>
                      </c:pt>
                      <c:pt idx="81">
                        <c:v>44531</c:v>
                      </c:pt>
                    </c:numCache>
                  </c:numRef>
                </c:cat>
                <c:val>
                  <c:numRef>
                    <c:extLst>
                      <c:ext uri="{02D57815-91ED-43cb-92C2-25804820EDAC}">
                        <c15:formulaRef>
                          <c15:sqref>'Top Mount'!$D$3:$D$84</c15:sqref>
                        </c15:formulaRef>
                      </c:ext>
                    </c:extLst>
                    <c:numCache>
                      <c:formatCode>0%</c:formatCode>
                      <c:ptCount val="82"/>
                      <c:pt idx="0">
                        <c:v>0.17557251908396945</c:v>
                      </c:pt>
                      <c:pt idx="1">
                        <c:v>0.13943355119825709</c:v>
                      </c:pt>
                      <c:pt idx="2">
                        <c:v>0.12301013024602026</c:v>
                      </c:pt>
                      <c:pt idx="3">
                        <c:v>0.12836185819070906</c:v>
                      </c:pt>
                      <c:pt idx="4">
                        <c:v>0.10405405405405406</c:v>
                      </c:pt>
                      <c:pt idx="5">
                        <c:v>0.14133333333333334</c:v>
                      </c:pt>
                      <c:pt idx="6">
                        <c:v>0.13076923076923078</c:v>
                      </c:pt>
                      <c:pt idx="7">
                        <c:v>0.16276978417266186</c:v>
                      </c:pt>
                      <c:pt idx="8">
                        <c:v>8.8143525741029641E-2</c:v>
                      </c:pt>
                      <c:pt idx="9">
                        <c:v>0.14127764127764128</c:v>
                      </c:pt>
                      <c:pt idx="10">
                        <c:v>0.14575411913814956</c:v>
                      </c:pt>
                      <c:pt idx="11">
                        <c:v>0.15883100381194409</c:v>
                      </c:pt>
                      <c:pt idx="12">
                        <c:v>0.19945673263484673</c:v>
                      </c:pt>
                      <c:pt idx="13">
                        <c:v>0.20938104448742748</c:v>
                      </c:pt>
                      <c:pt idx="14">
                        <c:v>0.18448637316561844</c:v>
                      </c:pt>
                      <c:pt idx="15">
                        <c:v>0.22445669802140772</c:v>
                      </c:pt>
                      <c:pt idx="16">
                        <c:v>0.11650485436893204</c:v>
                      </c:pt>
                      <c:pt idx="17">
                        <c:v>0.13096351730589337</c:v>
                      </c:pt>
                      <c:pt idx="18">
                        <c:v>0.2084130019120459</c:v>
                      </c:pt>
                      <c:pt idx="19">
                        <c:v>0.14455917394757745</c:v>
                      </c:pt>
                      <c:pt idx="20">
                        <c:v>0.1822899772948427</c:v>
                      </c:pt>
                      <c:pt idx="21">
                        <c:v>0.23858114674441205</c:v>
                      </c:pt>
                      <c:pt idx="22">
                        <c:v>0.2371951219512195</c:v>
                      </c:pt>
                      <c:pt idx="23">
                        <c:v>0.14816650148662042</c:v>
                      </c:pt>
                      <c:pt idx="24">
                        <c:v>0.233502538071066</c:v>
                      </c:pt>
                      <c:pt idx="25">
                        <c:v>0.20679277730008599</c:v>
                      </c:pt>
                      <c:pt idx="26">
                        <c:v>0.20981818181818182</c:v>
                      </c:pt>
                      <c:pt idx="27">
                        <c:v>0.20063807160581354</c:v>
                      </c:pt>
                      <c:pt idx="28">
                        <c:v>0.17070323898453457</c:v>
                      </c:pt>
                      <c:pt idx="29">
                        <c:v>0.18647930117736422</c:v>
                      </c:pt>
                      <c:pt idx="30">
                        <c:v>0.17002662609357169</c:v>
                      </c:pt>
                      <c:pt idx="31">
                        <c:v>0.18046709129511676</c:v>
                      </c:pt>
                      <c:pt idx="32">
                        <c:v>0.21711229946524063</c:v>
                      </c:pt>
                      <c:pt idx="33">
                        <c:v>0.2</c:v>
                      </c:pt>
                      <c:pt idx="34">
                        <c:v>0.20277410832232498</c:v>
                      </c:pt>
                      <c:pt idx="35">
                        <c:v>0.18479958355023426</c:v>
                      </c:pt>
                      <c:pt idx="36">
                        <c:v>0.19559779889944973</c:v>
                      </c:pt>
                      <c:pt idx="37">
                        <c:v>0.23237800154918667</c:v>
                      </c:pt>
                      <c:pt idx="38">
                        <c:v>0.22263893624275485</c:v>
                      </c:pt>
                      <c:pt idx="39">
                        <c:v>0.20868158533297385</c:v>
                      </c:pt>
                      <c:pt idx="40">
                        <c:v>0.22224808005585292</c:v>
                      </c:pt>
                      <c:pt idx="41">
                        <c:v>0.19729043183742592</c:v>
                      </c:pt>
                      <c:pt idx="42">
                        <c:v>0.23417721518987342</c:v>
                      </c:pt>
                      <c:pt idx="43">
                        <c:v>0.19599109131403117</c:v>
                      </c:pt>
                      <c:pt idx="44">
                        <c:v>0.23487872275099786</c:v>
                      </c:pt>
                    </c:numCache>
                  </c:numRef>
                </c:val>
                <c:smooth val="0"/>
                <c:extLst>
                  <c:ext xmlns:c16="http://schemas.microsoft.com/office/drawing/2014/chart" uri="{C3380CC4-5D6E-409C-BE32-E72D297353CC}">
                    <c16:uniqueId val="{00000004-CF37-4143-AFC4-13EB2CC2C282}"/>
                  </c:ext>
                </c:extLst>
              </c15:ser>
            </c15:filteredLineSeries>
            <c15:filteredLineSeries>
              <c15:ser>
                <c:idx val="2"/>
                <c:order val="3"/>
                <c:tx>
                  <c:strRef>
                    <c:extLst xmlns:c15="http://schemas.microsoft.com/office/drawing/2012/chart">
                      <c:ext xmlns:c15="http://schemas.microsoft.com/office/drawing/2012/chart" uri="{02D57815-91ED-43cb-92C2-25804820EDAC}">
                        <c15:formulaRef>
                          <c15:sqref>'Top Mount'!$F$1:$F$2</c15:sqref>
                        </c15:formulaRef>
                      </c:ext>
                    </c:extLst>
                    <c:strCache>
                      <c:ptCount val="2"/>
                      <c:pt idx="0">
                        <c:v>NEEA</c:v>
                      </c:pt>
                      <c:pt idx="1">
                        <c:v>ENERGY STAR V5 Market Share</c:v>
                      </c:pt>
                    </c:strCache>
                  </c:strRef>
                </c:tx>
                <c:spPr>
                  <a:ln w="28575" cap="rnd">
                    <a:solidFill>
                      <a:schemeClr val="accent3"/>
                    </a:solidFill>
                    <a:round/>
                  </a:ln>
                  <a:effectLst/>
                </c:spPr>
                <c:marker>
                  <c:symbol val="none"/>
                </c:marker>
                <c:cat>
                  <c:numRef>
                    <c:extLst xmlns:c15="http://schemas.microsoft.com/office/drawing/2012/chart">
                      <c:ext xmlns:c15="http://schemas.microsoft.com/office/drawing/2012/chart" uri="{02D57815-91ED-43cb-92C2-25804820EDAC}">
                        <c15:formulaRef>
                          <c15:sqref>'Top Mount'!$A$3:$A$84</c15:sqref>
                        </c15:formulaRef>
                      </c:ext>
                    </c:extLst>
                    <c:numCache>
                      <c:formatCode>m/d/yyyy</c:formatCode>
                      <c:ptCount val="82"/>
                      <c:pt idx="0">
                        <c:v>42064</c:v>
                      </c:pt>
                      <c:pt idx="1">
                        <c:v>42095</c:v>
                      </c:pt>
                      <c:pt idx="2">
                        <c:v>42125</c:v>
                      </c:pt>
                      <c:pt idx="3">
                        <c:v>42156</c:v>
                      </c:pt>
                      <c:pt idx="4">
                        <c:v>42186</c:v>
                      </c:pt>
                      <c:pt idx="5">
                        <c:v>42217</c:v>
                      </c:pt>
                      <c:pt idx="6">
                        <c:v>42248</c:v>
                      </c:pt>
                      <c:pt idx="7">
                        <c:v>42278</c:v>
                      </c:pt>
                      <c:pt idx="8">
                        <c:v>42309</c:v>
                      </c:pt>
                      <c:pt idx="9">
                        <c:v>42339</c:v>
                      </c:pt>
                      <c:pt idx="10">
                        <c:v>42370</c:v>
                      </c:pt>
                      <c:pt idx="11">
                        <c:v>42401</c:v>
                      </c:pt>
                      <c:pt idx="12">
                        <c:v>42430</c:v>
                      </c:pt>
                      <c:pt idx="13">
                        <c:v>42461</c:v>
                      </c:pt>
                      <c:pt idx="14">
                        <c:v>42491</c:v>
                      </c:pt>
                      <c:pt idx="15">
                        <c:v>42522</c:v>
                      </c:pt>
                      <c:pt idx="16">
                        <c:v>42552</c:v>
                      </c:pt>
                      <c:pt idx="17">
                        <c:v>42583</c:v>
                      </c:pt>
                      <c:pt idx="18">
                        <c:v>42614</c:v>
                      </c:pt>
                      <c:pt idx="19">
                        <c:v>42644</c:v>
                      </c:pt>
                      <c:pt idx="20">
                        <c:v>42675</c:v>
                      </c:pt>
                      <c:pt idx="21">
                        <c:v>42705</c:v>
                      </c:pt>
                      <c:pt idx="22">
                        <c:v>42736</c:v>
                      </c:pt>
                      <c:pt idx="23">
                        <c:v>42767</c:v>
                      </c:pt>
                      <c:pt idx="24">
                        <c:v>42795</c:v>
                      </c:pt>
                      <c:pt idx="25">
                        <c:v>42826</c:v>
                      </c:pt>
                      <c:pt idx="26">
                        <c:v>42856</c:v>
                      </c:pt>
                      <c:pt idx="27">
                        <c:v>42887</c:v>
                      </c:pt>
                      <c:pt idx="28">
                        <c:v>42917</c:v>
                      </c:pt>
                      <c:pt idx="29">
                        <c:v>42948</c:v>
                      </c:pt>
                      <c:pt idx="30">
                        <c:v>42979</c:v>
                      </c:pt>
                      <c:pt idx="31">
                        <c:v>43009</c:v>
                      </c:pt>
                      <c:pt idx="32">
                        <c:v>43040</c:v>
                      </c:pt>
                      <c:pt idx="33">
                        <c:v>43070</c:v>
                      </c:pt>
                      <c:pt idx="34">
                        <c:v>43101</c:v>
                      </c:pt>
                      <c:pt idx="35">
                        <c:v>43132</c:v>
                      </c:pt>
                      <c:pt idx="36">
                        <c:v>43160</c:v>
                      </c:pt>
                      <c:pt idx="37">
                        <c:v>43191</c:v>
                      </c:pt>
                      <c:pt idx="38">
                        <c:v>43221</c:v>
                      </c:pt>
                      <c:pt idx="39">
                        <c:v>43252</c:v>
                      </c:pt>
                      <c:pt idx="40">
                        <c:v>43282</c:v>
                      </c:pt>
                      <c:pt idx="41">
                        <c:v>43313</c:v>
                      </c:pt>
                      <c:pt idx="42">
                        <c:v>43344</c:v>
                      </c:pt>
                      <c:pt idx="43">
                        <c:v>43374</c:v>
                      </c:pt>
                      <c:pt idx="44">
                        <c:v>43405</c:v>
                      </c:pt>
                      <c:pt idx="45">
                        <c:v>43435</c:v>
                      </c:pt>
                      <c:pt idx="46">
                        <c:v>43466</c:v>
                      </c:pt>
                      <c:pt idx="47">
                        <c:v>43497</c:v>
                      </c:pt>
                      <c:pt idx="48">
                        <c:v>43525</c:v>
                      </c:pt>
                      <c:pt idx="49">
                        <c:v>43556</c:v>
                      </c:pt>
                      <c:pt idx="50">
                        <c:v>43586</c:v>
                      </c:pt>
                      <c:pt idx="51">
                        <c:v>43617</c:v>
                      </c:pt>
                      <c:pt idx="52">
                        <c:v>43647</c:v>
                      </c:pt>
                      <c:pt idx="53">
                        <c:v>43678</c:v>
                      </c:pt>
                      <c:pt idx="54">
                        <c:v>43709</c:v>
                      </c:pt>
                      <c:pt idx="55">
                        <c:v>43739</c:v>
                      </c:pt>
                      <c:pt idx="56">
                        <c:v>43770</c:v>
                      </c:pt>
                      <c:pt idx="57">
                        <c:v>43800</c:v>
                      </c:pt>
                      <c:pt idx="58">
                        <c:v>43831</c:v>
                      </c:pt>
                      <c:pt idx="59">
                        <c:v>43862</c:v>
                      </c:pt>
                      <c:pt idx="60">
                        <c:v>43891</c:v>
                      </c:pt>
                      <c:pt idx="61">
                        <c:v>43922</c:v>
                      </c:pt>
                      <c:pt idx="62">
                        <c:v>43952</c:v>
                      </c:pt>
                      <c:pt idx="63">
                        <c:v>43983</c:v>
                      </c:pt>
                      <c:pt idx="64">
                        <c:v>44013</c:v>
                      </c:pt>
                      <c:pt idx="65">
                        <c:v>44044</c:v>
                      </c:pt>
                      <c:pt idx="66">
                        <c:v>44075</c:v>
                      </c:pt>
                      <c:pt idx="67">
                        <c:v>44105</c:v>
                      </c:pt>
                      <c:pt idx="68">
                        <c:v>44136</c:v>
                      </c:pt>
                      <c:pt idx="69">
                        <c:v>44166</c:v>
                      </c:pt>
                      <c:pt idx="70">
                        <c:v>44197</c:v>
                      </c:pt>
                      <c:pt idx="71">
                        <c:v>44228</c:v>
                      </c:pt>
                      <c:pt idx="72">
                        <c:v>44256</c:v>
                      </c:pt>
                      <c:pt idx="73">
                        <c:v>44287</c:v>
                      </c:pt>
                      <c:pt idx="74">
                        <c:v>44317</c:v>
                      </c:pt>
                      <c:pt idx="75">
                        <c:v>44348</c:v>
                      </c:pt>
                      <c:pt idx="76">
                        <c:v>44378</c:v>
                      </c:pt>
                      <c:pt idx="77">
                        <c:v>44409</c:v>
                      </c:pt>
                      <c:pt idx="78">
                        <c:v>44440</c:v>
                      </c:pt>
                      <c:pt idx="79">
                        <c:v>44470</c:v>
                      </c:pt>
                      <c:pt idx="80">
                        <c:v>44501</c:v>
                      </c:pt>
                      <c:pt idx="81">
                        <c:v>44531</c:v>
                      </c:pt>
                    </c:numCache>
                  </c:numRef>
                </c:cat>
                <c:val>
                  <c:numRef>
                    <c:extLst xmlns:c15="http://schemas.microsoft.com/office/drawing/2012/chart">
                      <c:ext xmlns:c15="http://schemas.microsoft.com/office/drawing/2012/chart" uri="{02D57815-91ED-43cb-92C2-25804820EDAC}">
                        <c15:formulaRef>
                          <c15:sqref>'Top Mount'!$F$3:$F$84</c15:sqref>
                        </c15:formulaRef>
                      </c:ext>
                    </c:extLst>
                    <c:numCache>
                      <c:formatCode>0%</c:formatCode>
                      <c:ptCount val="82"/>
                      <c:pt idx="0">
                        <c:v>8.9590443686006827E-2</c:v>
                      </c:pt>
                      <c:pt idx="1">
                        <c:v>9.0692124105011929E-2</c:v>
                      </c:pt>
                      <c:pt idx="2">
                        <c:v>7.9061148857319338E-2</c:v>
                      </c:pt>
                      <c:pt idx="3">
                        <c:v>7.5523922499011464E-2</c:v>
                      </c:pt>
                      <c:pt idx="4">
                        <c:v>7.6070528967254414E-2</c:v>
                      </c:pt>
                      <c:pt idx="5">
                        <c:v>0.12426219322771047</c:v>
                      </c:pt>
                      <c:pt idx="6">
                        <c:v>0.10793832095945174</c:v>
                      </c:pt>
                      <c:pt idx="7">
                        <c:v>0.10008653014133256</c:v>
                      </c:pt>
                      <c:pt idx="8">
                        <c:v>7.372770769899957E-2</c:v>
                      </c:pt>
                      <c:pt idx="9">
                        <c:v>9.6811371494429505E-2</c:v>
                      </c:pt>
                      <c:pt idx="10">
                        <c:v>8.7167854828256647E-2</c:v>
                      </c:pt>
                      <c:pt idx="11">
                        <c:v>9.6786248131539618E-2</c:v>
                      </c:pt>
                      <c:pt idx="12">
                        <c:v>0.11758793969849246</c:v>
                      </c:pt>
                      <c:pt idx="13">
                        <c:v>0.15354107648725213</c:v>
                      </c:pt>
                      <c:pt idx="14">
                        <c:v>0.12318976866654129</c:v>
                      </c:pt>
                      <c:pt idx="15">
                        <c:v>0.11446409989594172</c:v>
                      </c:pt>
                      <c:pt idx="16">
                        <c:v>0.11865729898516784</c:v>
                      </c:pt>
                      <c:pt idx="17">
                        <c:v>0.11411411411411411</c:v>
                      </c:pt>
                      <c:pt idx="18">
                        <c:v>0.14188115665713377</c:v>
                      </c:pt>
                      <c:pt idx="19">
                        <c:v>0.1829173166926677</c:v>
                      </c:pt>
                      <c:pt idx="20">
                        <c:v>0.12111553784860558</c:v>
                      </c:pt>
                      <c:pt idx="21">
                        <c:v>0.1864406779661017</c:v>
                      </c:pt>
                      <c:pt idx="22">
                        <c:v>0.15846877673224979</c:v>
                      </c:pt>
                      <c:pt idx="23">
                        <c:v>0.14569397993311037</c:v>
                      </c:pt>
                      <c:pt idx="24">
                        <c:v>0.15098765432098765</c:v>
                      </c:pt>
                      <c:pt idx="25">
                        <c:v>0.14615384615384616</c:v>
                      </c:pt>
                      <c:pt idx="26">
                        <c:v>0.19253886010362695</c:v>
                      </c:pt>
                      <c:pt idx="27">
                        <c:v>0.20978120978120979</c:v>
                      </c:pt>
                      <c:pt idx="28">
                        <c:v>0.21917994823593515</c:v>
                      </c:pt>
                      <c:pt idx="29">
                        <c:v>0.16544438624061464</c:v>
                      </c:pt>
                      <c:pt idx="30">
                        <c:v>0.14593386952636284</c:v>
                      </c:pt>
                      <c:pt idx="31">
                        <c:v>0.16106094808126412</c:v>
                      </c:pt>
                      <c:pt idx="32">
                        <c:v>0.2023457702253417</c:v>
                      </c:pt>
                      <c:pt idx="33">
                        <c:v>0.13687623343670707</c:v>
                      </c:pt>
                      <c:pt idx="34">
                        <c:v>0.16922626883135877</c:v>
                      </c:pt>
                      <c:pt idx="35">
                        <c:v>0.17845828933474128</c:v>
                      </c:pt>
                      <c:pt idx="36">
                        <c:v>0.1794361913674114</c:v>
                      </c:pt>
                      <c:pt idx="37">
                        <c:v>0.18742934659733212</c:v>
                      </c:pt>
                      <c:pt idx="38">
                        <c:v>0.18348909657320872</c:v>
                      </c:pt>
                      <c:pt idx="39">
                        <c:v>0.17723482644948613</c:v>
                      </c:pt>
                      <c:pt idx="40">
                        <c:v>0.19223674713288957</c:v>
                      </c:pt>
                      <c:pt idx="41">
                        <c:v>0.19674502712477396</c:v>
                      </c:pt>
                      <c:pt idx="42">
                        <c:v>0.19562863050113222</c:v>
                      </c:pt>
                      <c:pt idx="43">
                        <c:v>0.20453168544771599</c:v>
                      </c:pt>
                      <c:pt idx="44">
                        <c:v>0.21663039535727241</c:v>
                      </c:pt>
                      <c:pt idx="45">
                        <c:v>0.19428733031674209</c:v>
                      </c:pt>
                      <c:pt idx="46">
                        <c:v>0.21416280608868299</c:v>
                      </c:pt>
                      <c:pt idx="47">
                        <c:v>0.15661955581194115</c:v>
                      </c:pt>
                      <c:pt idx="48">
                        <c:v>0.19165507649513214</c:v>
                      </c:pt>
                      <c:pt idx="49">
                        <c:v>0.23074611917876814</c:v>
                      </c:pt>
                      <c:pt idx="50">
                        <c:v>0.21309837405758925</c:v>
                      </c:pt>
                      <c:pt idx="51">
                        <c:v>0.19917989879602163</c:v>
                      </c:pt>
                      <c:pt idx="52">
                        <c:v>0.2229271171437002</c:v>
                      </c:pt>
                      <c:pt idx="53">
                        <c:v>0.18210915059499386</c:v>
                      </c:pt>
                      <c:pt idx="54">
                        <c:v>0.23253129716771731</c:v>
                      </c:pt>
                      <c:pt idx="55">
                        <c:v>0.23417410933359506</c:v>
                      </c:pt>
                      <c:pt idx="56">
                        <c:v>0.22537562604340566</c:v>
                      </c:pt>
                      <c:pt idx="57">
                        <c:v>0.22034976152623212</c:v>
                      </c:pt>
                      <c:pt idx="58">
                        <c:v>0.24770757442532346</c:v>
                      </c:pt>
                      <c:pt idx="59">
                        <c:v>0.21922342457033736</c:v>
                      </c:pt>
                      <c:pt idx="60">
                        <c:v>0.20708676140613314</c:v>
                      </c:pt>
                      <c:pt idx="61">
                        <c:v>0.23372755146736751</c:v>
                      </c:pt>
                      <c:pt idx="62">
                        <c:v>0.27051932838734871</c:v>
                      </c:pt>
                      <c:pt idx="63">
                        <c:v>0.32615012106537528</c:v>
                      </c:pt>
                      <c:pt idx="64">
                        <c:v>0.38991311718584448</c:v>
                      </c:pt>
                      <c:pt idx="65">
                        <c:v>0.3509036144578313</c:v>
                      </c:pt>
                      <c:pt idx="66">
                        <c:v>0.40026107530390798</c:v>
                      </c:pt>
                      <c:pt idx="67">
                        <c:v>0.37458619811560989</c:v>
                      </c:pt>
                      <c:pt idx="68">
                        <c:v>0.43656259565350475</c:v>
                      </c:pt>
                      <c:pt idx="69">
                        <c:v>0.37099268116688999</c:v>
                      </c:pt>
                      <c:pt idx="70">
                        <c:v>0.32418798123727766</c:v>
                      </c:pt>
                      <c:pt idx="71">
                        <c:v>0.35391171328671328</c:v>
                      </c:pt>
                      <c:pt idx="72">
                        <c:v>0.39454763331336129</c:v>
                      </c:pt>
                      <c:pt idx="73">
                        <c:v>0.28970917225950782</c:v>
                      </c:pt>
                      <c:pt idx="74">
                        <c:v>0.44464407939767281</c:v>
                      </c:pt>
                      <c:pt idx="75">
                        <c:v>0.47545582047685836</c:v>
                      </c:pt>
                      <c:pt idx="76">
                        <c:v>0.47526542993816356</c:v>
                      </c:pt>
                      <c:pt idx="77">
                        <c:v>0.40498560387937566</c:v>
                      </c:pt>
                      <c:pt idx="78">
                        <c:v>0.4175824175824176</c:v>
                      </c:pt>
                      <c:pt idx="79">
                        <c:v>0.48450315116981785</c:v>
                      </c:pt>
                      <c:pt idx="80">
                        <c:v>0.46478873239436619</c:v>
                      </c:pt>
                      <c:pt idx="81">
                        <c:v>0.43731710172070704</c:v>
                      </c:pt>
                    </c:numCache>
                  </c:numRef>
                </c:val>
                <c:smooth val="0"/>
                <c:extLst xmlns:c15="http://schemas.microsoft.com/office/drawing/2012/chart">
                  <c:ext xmlns:c16="http://schemas.microsoft.com/office/drawing/2014/chart" uri="{C3380CC4-5D6E-409C-BE32-E72D297353CC}">
                    <c16:uniqueId val="{00000005-CF37-4143-AFC4-13EB2CC2C282}"/>
                  </c:ext>
                </c:extLst>
              </c15:ser>
            </c15:filteredLineSeries>
            <c15:filteredLineSeries>
              <c15:ser>
                <c:idx val="4"/>
                <c:order val="5"/>
                <c:tx>
                  <c:strRef>
                    <c:extLst xmlns:c15="http://schemas.microsoft.com/office/drawing/2012/chart">
                      <c:ext xmlns:c15="http://schemas.microsoft.com/office/drawing/2012/chart" uri="{02D57815-91ED-43cb-92C2-25804820EDAC}">
                        <c15:formulaRef>
                          <c15:sqref>'Top Mount'!$H$1:$H$2</c15:sqref>
                        </c15:formulaRef>
                      </c:ext>
                    </c:extLst>
                    <c:strCache>
                      <c:ptCount val="2"/>
                      <c:pt idx="0">
                        <c:v>NEEA</c:v>
                      </c:pt>
                      <c:pt idx="1">
                        <c:v>ETA Market Share</c:v>
                      </c:pt>
                    </c:strCache>
                  </c:strRef>
                </c:tx>
                <c:spPr>
                  <a:ln w="28575" cap="rnd">
                    <a:solidFill>
                      <a:schemeClr val="accent5"/>
                    </a:solidFill>
                    <a:round/>
                  </a:ln>
                  <a:effectLst/>
                </c:spPr>
                <c:marker>
                  <c:symbol val="none"/>
                </c:marker>
                <c:cat>
                  <c:numRef>
                    <c:extLst xmlns:c15="http://schemas.microsoft.com/office/drawing/2012/chart">
                      <c:ext xmlns:c15="http://schemas.microsoft.com/office/drawing/2012/chart" uri="{02D57815-91ED-43cb-92C2-25804820EDAC}">
                        <c15:formulaRef>
                          <c15:sqref>'Top Mount'!$A$3:$A$84</c15:sqref>
                        </c15:formulaRef>
                      </c:ext>
                    </c:extLst>
                    <c:numCache>
                      <c:formatCode>m/d/yyyy</c:formatCode>
                      <c:ptCount val="82"/>
                      <c:pt idx="0">
                        <c:v>42064</c:v>
                      </c:pt>
                      <c:pt idx="1">
                        <c:v>42095</c:v>
                      </c:pt>
                      <c:pt idx="2">
                        <c:v>42125</c:v>
                      </c:pt>
                      <c:pt idx="3">
                        <c:v>42156</c:v>
                      </c:pt>
                      <c:pt idx="4">
                        <c:v>42186</c:v>
                      </c:pt>
                      <c:pt idx="5">
                        <c:v>42217</c:v>
                      </c:pt>
                      <c:pt idx="6">
                        <c:v>42248</c:v>
                      </c:pt>
                      <c:pt idx="7">
                        <c:v>42278</c:v>
                      </c:pt>
                      <c:pt idx="8">
                        <c:v>42309</c:v>
                      </c:pt>
                      <c:pt idx="9">
                        <c:v>42339</c:v>
                      </c:pt>
                      <c:pt idx="10">
                        <c:v>42370</c:v>
                      </c:pt>
                      <c:pt idx="11">
                        <c:v>42401</c:v>
                      </c:pt>
                      <c:pt idx="12">
                        <c:v>42430</c:v>
                      </c:pt>
                      <c:pt idx="13">
                        <c:v>42461</c:v>
                      </c:pt>
                      <c:pt idx="14">
                        <c:v>42491</c:v>
                      </c:pt>
                      <c:pt idx="15">
                        <c:v>42522</c:v>
                      </c:pt>
                      <c:pt idx="16">
                        <c:v>42552</c:v>
                      </c:pt>
                      <c:pt idx="17">
                        <c:v>42583</c:v>
                      </c:pt>
                      <c:pt idx="18">
                        <c:v>42614</c:v>
                      </c:pt>
                      <c:pt idx="19">
                        <c:v>42644</c:v>
                      </c:pt>
                      <c:pt idx="20">
                        <c:v>42675</c:v>
                      </c:pt>
                      <c:pt idx="21">
                        <c:v>42705</c:v>
                      </c:pt>
                      <c:pt idx="22">
                        <c:v>42736</c:v>
                      </c:pt>
                      <c:pt idx="23">
                        <c:v>42767</c:v>
                      </c:pt>
                      <c:pt idx="24">
                        <c:v>42795</c:v>
                      </c:pt>
                      <c:pt idx="25">
                        <c:v>42826</c:v>
                      </c:pt>
                      <c:pt idx="26">
                        <c:v>42856</c:v>
                      </c:pt>
                      <c:pt idx="27">
                        <c:v>42887</c:v>
                      </c:pt>
                      <c:pt idx="28">
                        <c:v>42917</c:v>
                      </c:pt>
                      <c:pt idx="29">
                        <c:v>42948</c:v>
                      </c:pt>
                      <c:pt idx="30">
                        <c:v>42979</c:v>
                      </c:pt>
                      <c:pt idx="31">
                        <c:v>43009</c:v>
                      </c:pt>
                      <c:pt idx="32">
                        <c:v>43040</c:v>
                      </c:pt>
                      <c:pt idx="33">
                        <c:v>43070</c:v>
                      </c:pt>
                      <c:pt idx="34">
                        <c:v>43101</c:v>
                      </c:pt>
                      <c:pt idx="35">
                        <c:v>43132</c:v>
                      </c:pt>
                      <c:pt idx="36">
                        <c:v>43160</c:v>
                      </c:pt>
                      <c:pt idx="37">
                        <c:v>43191</c:v>
                      </c:pt>
                      <c:pt idx="38">
                        <c:v>43221</c:v>
                      </c:pt>
                      <c:pt idx="39">
                        <c:v>43252</c:v>
                      </c:pt>
                      <c:pt idx="40">
                        <c:v>43282</c:v>
                      </c:pt>
                      <c:pt idx="41">
                        <c:v>43313</c:v>
                      </c:pt>
                      <c:pt idx="42">
                        <c:v>43344</c:v>
                      </c:pt>
                      <c:pt idx="43">
                        <c:v>43374</c:v>
                      </c:pt>
                      <c:pt idx="44">
                        <c:v>43405</c:v>
                      </c:pt>
                      <c:pt idx="45">
                        <c:v>43435</c:v>
                      </c:pt>
                      <c:pt idx="46">
                        <c:v>43466</c:v>
                      </c:pt>
                      <c:pt idx="47">
                        <c:v>43497</c:v>
                      </c:pt>
                      <c:pt idx="48">
                        <c:v>43525</c:v>
                      </c:pt>
                      <c:pt idx="49">
                        <c:v>43556</c:v>
                      </c:pt>
                      <c:pt idx="50">
                        <c:v>43586</c:v>
                      </c:pt>
                      <c:pt idx="51">
                        <c:v>43617</c:v>
                      </c:pt>
                      <c:pt idx="52">
                        <c:v>43647</c:v>
                      </c:pt>
                      <c:pt idx="53">
                        <c:v>43678</c:v>
                      </c:pt>
                      <c:pt idx="54">
                        <c:v>43709</c:v>
                      </c:pt>
                      <c:pt idx="55">
                        <c:v>43739</c:v>
                      </c:pt>
                      <c:pt idx="56">
                        <c:v>43770</c:v>
                      </c:pt>
                      <c:pt idx="57">
                        <c:v>43800</c:v>
                      </c:pt>
                      <c:pt idx="58">
                        <c:v>43831</c:v>
                      </c:pt>
                      <c:pt idx="59">
                        <c:v>43862</c:v>
                      </c:pt>
                      <c:pt idx="60">
                        <c:v>43891</c:v>
                      </c:pt>
                      <c:pt idx="61">
                        <c:v>43922</c:v>
                      </c:pt>
                      <c:pt idx="62">
                        <c:v>43952</c:v>
                      </c:pt>
                      <c:pt idx="63">
                        <c:v>43983</c:v>
                      </c:pt>
                      <c:pt idx="64">
                        <c:v>44013</c:v>
                      </c:pt>
                      <c:pt idx="65">
                        <c:v>44044</c:v>
                      </c:pt>
                      <c:pt idx="66">
                        <c:v>44075</c:v>
                      </c:pt>
                      <c:pt idx="67">
                        <c:v>44105</c:v>
                      </c:pt>
                      <c:pt idx="68">
                        <c:v>44136</c:v>
                      </c:pt>
                      <c:pt idx="69">
                        <c:v>44166</c:v>
                      </c:pt>
                      <c:pt idx="70">
                        <c:v>44197</c:v>
                      </c:pt>
                      <c:pt idx="71">
                        <c:v>44228</c:v>
                      </c:pt>
                      <c:pt idx="72">
                        <c:v>44256</c:v>
                      </c:pt>
                      <c:pt idx="73">
                        <c:v>44287</c:v>
                      </c:pt>
                      <c:pt idx="74">
                        <c:v>44317</c:v>
                      </c:pt>
                      <c:pt idx="75">
                        <c:v>44348</c:v>
                      </c:pt>
                      <c:pt idx="76">
                        <c:v>44378</c:v>
                      </c:pt>
                      <c:pt idx="77">
                        <c:v>44409</c:v>
                      </c:pt>
                      <c:pt idx="78">
                        <c:v>44440</c:v>
                      </c:pt>
                      <c:pt idx="79">
                        <c:v>44470</c:v>
                      </c:pt>
                      <c:pt idx="80">
                        <c:v>44501</c:v>
                      </c:pt>
                      <c:pt idx="81">
                        <c:v>44531</c:v>
                      </c:pt>
                    </c:numCache>
                  </c:numRef>
                </c:cat>
                <c:val>
                  <c:numRef>
                    <c:extLst xmlns:c15="http://schemas.microsoft.com/office/drawing/2012/chart">
                      <c:ext xmlns:c15="http://schemas.microsoft.com/office/drawing/2012/chart" uri="{02D57815-91ED-43cb-92C2-25804820EDAC}">
                        <c15:formulaRef>
                          <c15:sqref>'Top Mount'!$H$3:$H$84</c15:sqref>
                        </c15:formulaRef>
                      </c:ext>
                    </c:extLst>
                    <c:numCache>
                      <c:formatCode>0%</c:formatCode>
                      <c:ptCount val="8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9.814505839630975E-5</c:v>
                      </c:pt>
                      <c:pt idx="56">
                        <c:v>6.4923019847894638E-4</c:v>
                      </c:pt>
                      <c:pt idx="57">
                        <c:v>1.9077901430842607E-3</c:v>
                      </c:pt>
                      <c:pt idx="58">
                        <c:v>2.0097977640999875E-3</c:v>
                      </c:pt>
                      <c:pt idx="59">
                        <c:v>2.0369191597708466E-3</c:v>
                      </c:pt>
                      <c:pt idx="60">
                        <c:v>1.1219147344801795E-3</c:v>
                      </c:pt>
                      <c:pt idx="61">
                        <c:v>6.3074901445466488E-3</c:v>
                      </c:pt>
                      <c:pt idx="62">
                        <c:v>6.9504099960952751E-3</c:v>
                      </c:pt>
                      <c:pt idx="63">
                        <c:v>4.6166263115415655E-2</c:v>
                      </c:pt>
                      <c:pt idx="64">
                        <c:v>5.5449600904146357E-2</c:v>
                      </c:pt>
                      <c:pt idx="65">
                        <c:v>4.2089410272669624E-2</c:v>
                      </c:pt>
                      <c:pt idx="66">
                        <c:v>8.2075548666068365E-2</c:v>
                      </c:pt>
                      <c:pt idx="67">
                        <c:v>8.2505729564553099E-2</c:v>
                      </c:pt>
                      <c:pt idx="68">
                        <c:v>0.17217630853994489</c:v>
                      </c:pt>
                      <c:pt idx="69">
                        <c:v>9.0506133388310483E-2</c:v>
                      </c:pt>
                      <c:pt idx="70">
                        <c:v>7.4342862200194704E-2</c:v>
                      </c:pt>
                      <c:pt idx="71">
                        <c:v>9.680944055944056E-2</c:v>
                      </c:pt>
                      <c:pt idx="72">
                        <c:v>0.10535250649091273</c:v>
                      </c:pt>
                      <c:pt idx="73">
                        <c:v>6.6605653853976002E-2</c:v>
                      </c:pt>
                      <c:pt idx="74">
                        <c:v>0.10677618069815195</c:v>
                      </c:pt>
                      <c:pt idx="75">
                        <c:v>0.10014025245441795</c:v>
                      </c:pt>
                      <c:pt idx="76">
                        <c:v>0.12110605530276514</c:v>
                      </c:pt>
                      <c:pt idx="77">
                        <c:v>0.10630398545234127</c:v>
                      </c:pt>
                      <c:pt idx="78">
                        <c:v>0.13433118605532399</c:v>
                      </c:pt>
                      <c:pt idx="79">
                        <c:v>0.10808944142277475</c:v>
                      </c:pt>
                      <c:pt idx="80">
                        <c:v>0.12387367684367072</c:v>
                      </c:pt>
                      <c:pt idx="81">
                        <c:v>0.10406180498653869</c:v>
                      </c:pt>
                    </c:numCache>
                  </c:numRef>
                </c:val>
                <c:smooth val="0"/>
                <c:extLst xmlns:c15="http://schemas.microsoft.com/office/drawing/2012/chart">
                  <c:ext xmlns:c16="http://schemas.microsoft.com/office/drawing/2014/chart" uri="{C3380CC4-5D6E-409C-BE32-E72D297353CC}">
                    <c16:uniqueId val="{00000006-CF37-4143-AFC4-13EB2CC2C282}"/>
                  </c:ext>
                </c:extLst>
              </c15:ser>
            </c15:filteredLineSeries>
            <c15:filteredLineSeries>
              <c15:ser>
                <c:idx val="11"/>
                <c:order val="6"/>
                <c:tx>
                  <c:strRef>
                    <c:extLst xmlns:c15="http://schemas.microsoft.com/office/drawing/2012/chart">
                      <c:ext xmlns:c15="http://schemas.microsoft.com/office/drawing/2012/chart" uri="{02D57815-91ED-43cb-92C2-25804820EDAC}">
                        <c15:formulaRef>
                          <c15:sqref>'Top Mount'!$O$1:$O$2</c15:sqref>
                        </c15:formulaRef>
                      </c:ext>
                    </c:extLst>
                    <c:strCache>
                      <c:ptCount val="2"/>
                      <c:pt idx="0">
                        <c:v>ComEd - Net Market Share</c:v>
                      </c:pt>
                      <c:pt idx="1">
                        <c:v>ENERGY STAR V5</c:v>
                      </c:pt>
                    </c:strCache>
                  </c:strRef>
                </c:tx>
                <c:spPr>
                  <a:ln w="28575" cap="rnd">
                    <a:solidFill>
                      <a:schemeClr val="accent6">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'Top Mount'!$A$3:$A$84</c15:sqref>
                        </c15:formulaRef>
                      </c:ext>
                    </c:extLst>
                    <c:numCache>
                      <c:formatCode>m/d/yyyy</c:formatCode>
                      <c:ptCount val="82"/>
                      <c:pt idx="0">
                        <c:v>42064</c:v>
                      </c:pt>
                      <c:pt idx="1">
                        <c:v>42095</c:v>
                      </c:pt>
                      <c:pt idx="2">
                        <c:v>42125</c:v>
                      </c:pt>
                      <c:pt idx="3">
                        <c:v>42156</c:v>
                      </c:pt>
                      <c:pt idx="4">
                        <c:v>42186</c:v>
                      </c:pt>
                      <c:pt idx="5">
                        <c:v>42217</c:v>
                      </c:pt>
                      <c:pt idx="6">
                        <c:v>42248</c:v>
                      </c:pt>
                      <c:pt idx="7">
                        <c:v>42278</c:v>
                      </c:pt>
                      <c:pt idx="8">
                        <c:v>42309</c:v>
                      </c:pt>
                      <c:pt idx="9">
                        <c:v>42339</c:v>
                      </c:pt>
                      <c:pt idx="10">
                        <c:v>42370</c:v>
                      </c:pt>
                      <c:pt idx="11">
                        <c:v>42401</c:v>
                      </c:pt>
                      <c:pt idx="12">
                        <c:v>42430</c:v>
                      </c:pt>
                      <c:pt idx="13">
                        <c:v>42461</c:v>
                      </c:pt>
                      <c:pt idx="14">
                        <c:v>42491</c:v>
                      </c:pt>
                      <c:pt idx="15">
                        <c:v>42522</c:v>
                      </c:pt>
                      <c:pt idx="16">
                        <c:v>42552</c:v>
                      </c:pt>
                      <c:pt idx="17">
                        <c:v>42583</c:v>
                      </c:pt>
                      <c:pt idx="18">
                        <c:v>42614</c:v>
                      </c:pt>
                      <c:pt idx="19">
                        <c:v>42644</c:v>
                      </c:pt>
                      <c:pt idx="20">
                        <c:v>42675</c:v>
                      </c:pt>
                      <c:pt idx="21">
                        <c:v>42705</c:v>
                      </c:pt>
                      <c:pt idx="22">
                        <c:v>42736</c:v>
                      </c:pt>
                      <c:pt idx="23">
                        <c:v>42767</c:v>
                      </c:pt>
                      <c:pt idx="24">
                        <c:v>42795</c:v>
                      </c:pt>
                      <c:pt idx="25">
                        <c:v>42826</c:v>
                      </c:pt>
                      <c:pt idx="26">
                        <c:v>42856</c:v>
                      </c:pt>
                      <c:pt idx="27">
                        <c:v>42887</c:v>
                      </c:pt>
                      <c:pt idx="28">
                        <c:v>42917</c:v>
                      </c:pt>
                      <c:pt idx="29">
                        <c:v>42948</c:v>
                      </c:pt>
                      <c:pt idx="30">
                        <c:v>42979</c:v>
                      </c:pt>
                      <c:pt idx="31">
                        <c:v>43009</c:v>
                      </c:pt>
                      <c:pt idx="32">
                        <c:v>43040</c:v>
                      </c:pt>
                      <c:pt idx="33">
                        <c:v>43070</c:v>
                      </c:pt>
                      <c:pt idx="34">
                        <c:v>43101</c:v>
                      </c:pt>
                      <c:pt idx="35">
                        <c:v>43132</c:v>
                      </c:pt>
                      <c:pt idx="36">
                        <c:v>43160</c:v>
                      </c:pt>
                      <c:pt idx="37">
                        <c:v>43191</c:v>
                      </c:pt>
                      <c:pt idx="38">
                        <c:v>43221</c:v>
                      </c:pt>
                      <c:pt idx="39">
                        <c:v>43252</c:v>
                      </c:pt>
                      <c:pt idx="40">
                        <c:v>43282</c:v>
                      </c:pt>
                      <c:pt idx="41">
                        <c:v>43313</c:v>
                      </c:pt>
                      <c:pt idx="42">
                        <c:v>43344</c:v>
                      </c:pt>
                      <c:pt idx="43">
                        <c:v>43374</c:v>
                      </c:pt>
                      <c:pt idx="44">
                        <c:v>43405</c:v>
                      </c:pt>
                      <c:pt idx="45">
                        <c:v>43435</c:v>
                      </c:pt>
                      <c:pt idx="46">
                        <c:v>43466</c:v>
                      </c:pt>
                      <c:pt idx="47">
                        <c:v>43497</c:v>
                      </c:pt>
                      <c:pt idx="48">
                        <c:v>43525</c:v>
                      </c:pt>
                      <c:pt idx="49">
                        <c:v>43556</c:v>
                      </c:pt>
                      <c:pt idx="50">
                        <c:v>43586</c:v>
                      </c:pt>
                      <c:pt idx="51">
                        <c:v>43617</c:v>
                      </c:pt>
                      <c:pt idx="52">
                        <c:v>43647</c:v>
                      </c:pt>
                      <c:pt idx="53">
                        <c:v>43678</c:v>
                      </c:pt>
                      <c:pt idx="54">
                        <c:v>43709</c:v>
                      </c:pt>
                      <c:pt idx="55">
                        <c:v>43739</c:v>
                      </c:pt>
                      <c:pt idx="56">
                        <c:v>43770</c:v>
                      </c:pt>
                      <c:pt idx="57">
                        <c:v>43800</c:v>
                      </c:pt>
                      <c:pt idx="58">
                        <c:v>43831</c:v>
                      </c:pt>
                      <c:pt idx="59">
                        <c:v>43862</c:v>
                      </c:pt>
                      <c:pt idx="60">
                        <c:v>43891</c:v>
                      </c:pt>
                      <c:pt idx="61">
                        <c:v>43922</c:v>
                      </c:pt>
                      <c:pt idx="62">
                        <c:v>43952</c:v>
                      </c:pt>
                      <c:pt idx="63">
                        <c:v>43983</c:v>
                      </c:pt>
                      <c:pt idx="64">
                        <c:v>44013</c:v>
                      </c:pt>
                      <c:pt idx="65">
                        <c:v>44044</c:v>
                      </c:pt>
                      <c:pt idx="66">
                        <c:v>44075</c:v>
                      </c:pt>
                      <c:pt idx="67">
                        <c:v>44105</c:v>
                      </c:pt>
                      <c:pt idx="68">
                        <c:v>44136</c:v>
                      </c:pt>
                      <c:pt idx="69">
                        <c:v>44166</c:v>
                      </c:pt>
                      <c:pt idx="70">
                        <c:v>44197</c:v>
                      </c:pt>
                      <c:pt idx="71">
                        <c:v>44228</c:v>
                      </c:pt>
                      <c:pt idx="72">
                        <c:v>44256</c:v>
                      </c:pt>
                      <c:pt idx="73">
                        <c:v>44287</c:v>
                      </c:pt>
                      <c:pt idx="74">
                        <c:v>44317</c:v>
                      </c:pt>
                      <c:pt idx="75">
                        <c:v>44348</c:v>
                      </c:pt>
                      <c:pt idx="76">
                        <c:v>44378</c:v>
                      </c:pt>
                      <c:pt idx="77">
                        <c:v>44409</c:v>
                      </c:pt>
                      <c:pt idx="78">
                        <c:v>44440</c:v>
                      </c:pt>
                      <c:pt idx="79">
                        <c:v>44470</c:v>
                      </c:pt>
                      <c:pt idx="80">
                        <c:v>44501</c:v>
                      </c:pt>
                      <c:pt idx="81">
                        <c:v>44531</c:v>
                      </c:pt>
                    </c:numCache>
                  </c:numRef>
                </c:cat>
                <c:val>
                  <c:numRef>
                    <c:extLst xmlns:c15="http://schemas.microsoft.com/office/drawing/2012/chart">
                      <c:ext xmlns:c15="http://schemas.microsoft.com/office/drawing/2012/chart" uri="{02D57815-91ED-43cb-92C2-25804820EDAC}">
                        <c15:formulaRef>
                          <c15:sqref>'Top Mount'!$O$3:$O$84</c15:sqref>
                        </c15:formulaRef>
                      </c:ext>
                    </c:extLst>
                    <c:numCache>
                      <c:formatCode>General</c:formatCode>
                      <c:ptCount val="82"/>
                      <c:pt idx="51" formatCode="0%">
                        <c:v>0.21420876661724209</c:v>
                      </c:pt>
                      <c:pt idx="52" formatCode="0%">
                        <c:v>0.24021416466061785</c:v>
                      </c:pt>
                      <c:pt idx="53" formatCode="0%">
                        <c:v>0.22921713484078465</c:v>
                      </c:pt>
                      <c:pt idx="54" formatCode="0%">
                        <c:v>0.25398789821915013</c:v>
                      </c:pt>
                      <c:pt idx="55" formatCode="0%">
                        <c:v>0.24648566649763559</c:v>
                      </c:pt>
                      <c:pt idx="56" formatCode="0%">
                        <c:v>0.23162227538433547</c:v>
                      </c:pt>
                      <c:pt idx="57" formatCode="0%">
                        <c:v>0.21424663680090256</c:v>
                      </c:pt>
                      <c:pt idx="58" formatCode="0%">
                        <c:v>0.20845288959477171</c:v>
                      </c:pt>
                      <c:pt idx="59" formatCode="0%">
                        <c:v>0.25346707462658968</c:v>
                      </c:pt>
                      <c:pt idx="60" formatCode="0%">
                        <c:v>0.23065004312405943</c:v>
                      </c:pt>
                      <c:pt idx="61" formatCode="0%">
                        <c:v>0.20803681495259818</c:v>
                      </c:pt>
                      <c:pt idx="62" formatCode="0%">
                        <c:v>0.31645012701801556</c:v>
                      </c:pt>
                      <c:pt idx="63" formatCode="0%">
                        <c:v>0.38861541786222847</c:v>
                      </c:pt>
                      <c:pt idx="64" formatCode="0%">
                        <c:v>0.35922076414054471</c:v>
                      </c:pt>
                      <c:pt idx="65" formatCode="0%">
                        <c:v>0.30616471143775947</c:v>
                      </c:pt>
                      <c:pt idx="66" formatCode="0%">
                        <c:v>0.50600084588883065</c:v>
                      </c:pt>
                      <c:pt idx="67" formatCode="0%">
                        <c:v>0.45388854899766834</c:v>
                      </c:pt>
                      <c:pt idx="68" formatCode="0%">
                        <c:v>0.52971828504848173</c:v>
                      </c:pt>
                      <c:pt idx="69" formatCode="0%">
                        <c:v>0.45816845170764936</c:v>
                      </c:pt>
                      <c:pt idx="70" formatCode="0%">
                        <c:v>0.39006880857842402</c:v>
                      </c:pt>
                      <c:pt idx="71" formatCode="0%">
                        <c:v>0.41017955586030552</c:v>
                      </c:pt>
                      <c:pt idx="72" formatCode="0%">
                        <c:v>0.48179115407274026</c:v>
                      </c:pt>
                      <c:pt idx="73" formatCode="0%">
                        <c:v>0.44684046527269838</c:v>
                      </c:pt>
                      <c:pt idx="74" formatCode="0%">
                        <c:v>0.4753376922127352</c:v>
                      </c:pt>
                      <c:pt idx="75" formatCode="0%">
                        <c:v>0.53827985171868209</c:v>
                      </c:pt>
                      <c:pt idx="76" formatCode="0%">
                        <c:v>0.49287107080897086</c:v>
                      </c:pt>
                      <c:pt idx="77" formatCode="0%">
                        <c:v>0.44233251861280226</c:v>
                      </c:pt>
                      <c:pt idx="78" formatCode="0%">
                        <c:v>0.49488685018045242</c:v>
                      </c:pt>
                      <c:pt idx="79" formatCode="0%">
                        <c:v>0.50586301964937086</c:v>
                      </c:pt>
                      <c:pt idx="80" formatCode="0%">
                        <c:v>0.56080318330063128</c:v>
                      </c:pt>
                      <c:pt idx="81" formatCode="0%">
                        <c:v>0.47988110629968533</c:v>
                      </c:pt>
                    </c:numCache>
                  </c:numRef>
                </c:val>
                <c:smooth val="0"/>
                <c:extLst xmlns:c15="http://schemas.microsoft.com/office/drawing/2012/chart">
                  <c:ext xmlns:c16="http://schemas.microsoft.com/office/drawing/2014/chart" uri="{C3380CC4-5D6E-409C-BE32-E72D297353CC}">
                    <c16:uniqueId val="{00000007-CF37-4143-AFC4-13EB2CC2C282}"/>
                  </c:ext>
                </c:extLst>
              </c15:ser>
            </c15:filteredLineSeries>
            <c15:filteredLineSeries>
              <c15:ser>
                <c:idx val="13"/>
                <c:order val="8"/>
                <c:tx>
                  <c:strRef>
                    <c:extLst xmlns:c15="http://schemas.microsoft.com/office/drawing/2012/chart">
                      <c:ext xmlns:c15="http://schemas.microsoft.com/office/drawing/2012/chart" uri="{02D57815-91ED-43cb-92C2-25804820EDAC}">
                        <c15:formulaRef>
                          <c15:sqref>'Top Mount'!$Q$1:$Q$2</c15:sqref>
                        </c15:formulaRef>
                      </c:ext>
                    </c:extLst>
                    <c:strCache>
                      <c:ptCount val="2"/>
                      <c:pt idx="0">
                        <c:v>ComEd - Net Market Share</c:v>
                      </c:pt>
                      <c:pt idx="1">
                        <c:v>ETA </c:v>
                      </c:pt>
                    </c:strCache>
                  </c:strRef>
                </c:tx>
                <c:spPr>
                  <a:ln w="28575" cap="rnd">
                    <a:solidFill>
                      <a:schemeClr val="accent2">
                        <a:lumMod val="80000"/>
                        <a:lumOff val="20000"/>
                      </a:schemeClr>
                    </a:solidFill>
                    <a:round/>
                  </a:ln>
                  <a:effectLst/>
                </c:spPr>
                <c:marker>
                  <c:symbol val="none"/>
                </c:marker>
                <c:cat>
                  <c:numRef>
                    <c:extLst xmlns:c15="http://schemas.microsoft.com/office/drawing/2012/chart">
                      <c:ext xmlns:c15="http://schemas.microsoft.com/office/drawing/2012/chart" uri="{02D57815-91ED-43cb-92C2-25804820EDAC}">
                        <c15:formulaRef>
                          <c15:sqref>'Top Mount'!$A$3:$A$84</c15:sqref>
                        </c15:formulaRef>
                      </c:ext>
                    </c:extLst>
                    <c:numCache>
                      <c:formatCode>m/d/yyyy</c:formatCode>
                      <c:ptCount val="82"/>
                      <c:pt idx="0">
                        <c:v>42064</c:v>
                      </c:pt>
                      <c:pt idx="1">
                        <c:v>42095</c:v>
                      </c:pt>
                      <c:pt idx="2">
                        <c:v>42125</c:v>
                      </c:pt>
                      <c:pt idx="3">
                        <c:v>42156</c:v>
                      </c:pt>
                      <c:pt idx="4">
                        <c:v>42186</c:v>
                      </c:pt>
                      <c:pt idx="5">
                        <c:v>42217</c:v>
                      </c:pt>
                      <c:pt idx="6">
                        <c:v>42248</c:v>
                      </c:pt>
                      <c:pt idx="7">
                        <c:v>42278</c:v>
                      </c:pt>
                      <c:pt idx="8">
                        <c:v>42309</c:v>
                      </c:pt>
                      <c:pt idx="9">
                        <c:v>42339</c:v>
                      </c:pt>
                      <c:pt idx="10">
                        <c:v>42370</c:v>
                      </c:pt>
                      <c:pt idx="11">
                        <c:v>42401</c:v>
                      </c:pt>
                      <c:pt idx="12">
                        <c:v>42430</c:v>
                      </c:pt>
                      <c:pt idx="13">
                        <c:v>42461</c:v>
                      </c:pt>
                      <c:pt idx="14">
                        <c:v>42491</c:v>
                      </c:pt>
                      <c:pt idx="15">
                        <c:v>42522</c:v>
                      </c:pt>
                      <c:pt idx="16">
                        <c:v>42552</c:v>
                      </c:pt>
                      <c:pt idx="17">
                        <c:v>42583</c:v>
                      </c:pt>
                      <c:pt idx="18">
                        <c:v>42614</c:v>
                      </c:pt>
                      <c:pt idx="19">
                        <c:v>42644</c:v>
                      </c:pt>
                      <c:pt idx="20">
                        <c:v>42675</c:v>
                      </c:pt>
                      <c:pt idx="21">
                        <c:v>42705</c:v>
                      </c:pt>
                      <c:pt idx="22">
                        <c:v>42736</c:v>
                      </c:pt>
                      <c:pt idx="23">
                        <c:v>42767</c:v>
                      </c:pt>
                      <c:pt idx="24">
                        <c:v>42795</c:v>
                      </c:pt>
                      <c:pt idx="25">
                        <c:v>42826</c:v>
                      </c:pt>
                      <c:pt idx="26">
                        <c:v>42856</c:v>
                      </c:pt>
                      <c:pt idx="27">
                        <c:v>42887</c:v>
                      </c:pt>
                      <c:pt idx="28">
                        <c:v>42917</c:v>
                      </c:pt>
                      <c:pt idx="29">
                        <c:v>42948</c:v>
                      </c:pt>
                      <c:pt idx="30">
                        <c:v>42979</c:v>
                      </c:pt>
                      <c:pt idx="31">
                        <c:v>43009</c:v>
                      </c:pt>
                      <c:pt idx="32">
                        <c:v>43040</c:v>
                      </c:pt>
                      <c:pt idx="33">
                        <c:v>43070</c:v>
                      </c:pt>
                      <c:pt idx="34">
                        <c:v>43101</c:v>
                      </c:pt>
                      <c:pt idx="35">
                        <c:v>43132</c:v>
                      </c:pt>
                      <c:pt idx="36">
                        <c:v>43160</c:v>
                      </c:pt>
                      <c:pt idx="37">
                        <c:v>43191</c:v>
                      </c:pt>
                      <c:pt idx="38">
                        <c:v>43221</c:v>
                      </c:pt>
                      <c:pt idx="39">
                        <c:v>43252</c:v>
                      </c:pt>
                      <c:pt idx="40">
                        <c:v>43282</c:v>
                      </c:pt>
                      <c:pt idx="41">
                        <c:v>43313</c:v>
                      </c:pt>
                      <c:pt idx="42">
                        <c:v>43344</c:v>
                      </c:pt>
                      <c:pt idx="43">
                        <c:v>43374</c:v>
                      </c:pt>
                      <c:pt idx="44">
                        <c:v>43405</c:v>
                      </c:pt>
                      <c:pt idx="45">
                        <c:v>43435</c:v>
                      </c:pt>
                      <c:pt idx="46">
                        <c:v>43466</c:v>
                      </c:pt>
                      <c:pt idx="47">
                        <c:v>43497</c:v>
                      </c:pt>
                      <c:pt idx="48">
                        <c:v>43525</c:v>
                      </c:pt>
                      <c:pt idx="49">
                        <c:v>43556</c:v>
                      </c:pt>
                      <c:pt idx="50">
                        <c:v>43586</c:v>
                      </c:pt>
                      <c:pt idx="51">
                        <c:v>43617</c:v>
                      </c:pt>
                      <c:pt idx="52">
                        <c:v>43647</c:v>
                      </c:pt>
                      <c:pt idx="53">
                        <c:v>43678</c:v>
                      </c:pt>
                      <c:pt idx="54">
                        <c:v>43709</c:v>
                      </c:pt>
                      <c:pt idx="55">
                        <c:v>43739</c:v>
                      </c:pt>
                      <c:pt idx="56">
                        <c:v>43770</c:v>
                      </c:pt>
                      <c:pt idx="57">
                        <c:v>43800</c:v>
                      </c:pt>
                      <c:pt idx="58">
                        <c:v>43831</c:v>
                      </c:pt>
                      <c:pt idx="59">
                        <c:v>43862</c:v>
                      </c:pt>
                      <c:pt idx="60">
                        <c:v>43891</c:v>
                      </c:pt>
                      <c:pt idx="61">
                        <c:v>43922</c:v>
                      </c:pt>
                      <c:pt idx="62">
                        <c:v>43952</c:v>
                      </c:pt>
                      <c:pt idx="63">
                        <c:v>43983</c:v>
                      </c:pt>
                      <c:pt idx="64">
                        <c:v>44013</c:v>
                      </c:pt>
                      <c:pt idx="65">
                        <c:v>44044</c:v>
                      </c:pt>
                      <c:pt idx="66">
                        <c:v>44075</c:v>
                      </c:pt>
                      <c:pt idx="67">
                        <c:v>44105</c:v>
                      </c:pt>
                      <c:pt idx="68">
                        <c:v>44136</c:v>
                      </c:pt>
                      <c:pt idx="69">
                        <c:v>44166</c:v>
                      </c:pt>
                      <c:pt idx="70">
                        <c:v>44197</c:v>
                      </c:pt>
                      <c:pt idx="71">
                        <c:v>44228</c:v>
                      </c:pt>
                      <c:pt idx="72">
                        <c:v>44256</c:v>
                      </c:pt>
                      <c:pt idx="73">
                        <c:v>44287</c:v>
                      </c:pt>
                      <c:pt idx="74">
                        <c:v>44317</c:v>
                      </c:pt>
                      <c:pt idx="75">
                        <c:v>44348</c:v>
                      </c:pt>
                      <c:pt idx="76">
                        <c:v>44378</c:v>
                      </c:pt>
                      <c:pt idx="77">
                        <c:v>44409</c:v>
                      </c:pt>
                      <c:pt idx="78">
                        <c:v>44440</c:v>
                      </c:pt>
                      <c:pt idx="79">
                        <c:v>44470</c:v>
                      </c:pt>
                      <c:pt idx="80">
                        <c:v>44501</c:v>
                      </c:pt>
                      <c:pt idx="81">
                        <c:v>44531</c:v>
                      </c:pt>
                    </c:numCache>
                  </c:numRef>
                </c:cat>
                <c:val>
                  <c:numRef>
                    <c:extLst xmlns:c15="http://schemas.microsoft.com/office/drawing/2012/chart">
                      <c:ext xmlns:c15="http://schemas.microsoft.com/office/drawing/2012/chart" uri="{02D57815-91ED-43cb-92C2-25804820EDAC}">
                        <c15:formulaRef>
                          <c15:sqref>'Top Mount'!$Q$3:$Q$84</c15:sqref>
                        </c15:formulaRef>
                      </c:ext>
                    </c:extLst>
                    <c:numCache>
                      <c:formatCode>General</c:formatCode>
                      <c:ptCount val="82"/>
                      <c:pt idx="51" formatCode="0%">
                        <c:v>0</c:v>
                      </c:pt>
                      <c:pt idx="52" formatCode="0%">
                        <c:v>0</c:v>
                      </c:pt>
                      <c:pt idx="53" formatCode="0%">
                        <c:v>0</c:v>
                      </c:pt>
                      <c:pt idx="54" formatCode="0%">
                        <c:v>0</c:v>
                      </c:pt>
                      <c:pt idx="55" formatCode="0%">
                        <c:v>1.2871669455528383E-4</c:v>
                      </c:pt>
                      <c:pt idx="56" formatCode="0%">
                        <c:v>1.492942453854506E-3</c:v>
                      </c:pt>
                      <c:pt idx="57" formatCode="0%">
                        <c:v>8.2209799408089446E-4</c:v>
                      </c:pt>
                      <c:pt idx="58" formatCode="0%">
                        <c:v>-3.559137754250277E-4</c:v>
                      </c:pt>
                      <c:pt idx="59" formatCode="0%">
                        <c:v>-2.2755558320310767E-3</c:v>
                      </c:pt>
                      <c:pt idx="60" formatCode="0%">
                        <c:v>-5.1154532758349751E-4</c:v>
                      </c:pt>
                      <c:pt idx="61" formatCode="0%">
                        <c:v>2.3573159859138549E-3</c:v>
                      </c:pt>
                      <c:pt idx="62" formatCode="0%">
                        <c:v>4.5868613586014769E-3</c:v>
                      </c:pt>
                      <c:pt idx="63" formatCode="0%">
                        <c:v>5.3592969171951832E-2</c:v>
                      </c:pt>
                      <c:pt idx="64" formatCode="0%">
                        <c:v>6.5770923954227928E-2</c:v>
                      </c:pt>
                      <c:pt idx="65" formatCode="0%">
                        <c:v>4.8910442743542802E-2</c:v>
                      </c:pt>
                      <c:pt idx="66" formatCode="0%">
                        <c:v>9.7431557566423022E-2</c:v>
                      </c:pt>
                      <c:pt idx="67" formatCode="0%">
                        <c:v>5.353113870129058E-2</c:v>
                      </c:pt>
                      <c:pt idx="68" formatCode="0%">
                        <c:v>0.17911257355769042</c:v>
                      </c:pt>
                      <c:pt idx="69" formatCode="0%">
                        <c:v>5.8473661516350486E-2</c:v>
                      </c:pt>
                      <c:pt idx="70" formatCode="0%">
                        <c:v>3.8084158329077251E-2</c:v>
                      </c:pt>
                      <c:pt idx="71" formatCode="0%">
                        <c:v>8.6872844370318045E-2</c:v>
                      </c:pt>
                      <c:pt idx="72" formatCode="0%">
                        <c:v>7.722295654948283E-2</c:v>
                      </c:pt>
                      <c:pt idx="73" formatCode="0%">
                        <c:v>8.1727878780989249E-2</c:v>
                      </c:pt>
                      <c:pt idx="74" formatCode="0%">
                        <c:v>9.8714820773210407E-2</c:v>
                      </c:pt>
                      <c:pt idx="75" formatCode="0%">
                        <c:v>0.10739347212530721</c:v>
                      </c:pt>
                      <c:pt idx="76" formatCode="0%">
                        <c:v>0.1514013127403909</c:v>
                      </c:pt>
                      <c:pt idx="77" formatCode="0%">
                        <c:v>0.14178149565343462</c:v>
                      </c:pt>
                      <c:pt idx="78" formatCode="0%">
                        <c:v>0.1490480055464232</c:v>
                      </c:pt>
                      <c:pt idx="79" formatCode="0%">
                        <c:v>0.14253955427289797</c:v>
                      </c:pt>
                      <c:pt idx="80" formatCode="0%">
                        <c:v>0.14733146963317098</c:v>
                      </c:pt>
                      <c:pt idx="81" formatCode="0%">
                        <c:v>0.10611050614575274</c:v>
                      </c:pt>
                    </c:numCache>
                  </c:numRef>
                </c:val>
                <c:smooth val="0"/>
                <c:extLst xmlns:c15="http://schemas.microsoft.com/office/drawing/2012/chart">
                  <c:ext xmlns:c16="http://schemas.microsoft.com/office/drawing/2014/chart" uri="{C3380CC4-5D6E-409C-BE32-E72D297353CC}">
                    <c16:uniqueId val="{00000008-CF37-4143-AFC4-13EB2CC2C282}"/>
                  </c:ext>
                </c:extLst>
              </c15:ser>
            </c15:filteredLineSeries>
          </c:ext>
        </c:extLst>
      </c:lineChart>
      <c:catAx>
        <c:axId val="1958813200"/>
        <c:scaling>
          <c:orientation val="minMax"/>
        </c:scaling>
        <c:delete val="0"/>
        <c:axPos val="b"/>
        <c:numFmt formatCode="[$-409]mmmm\-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8810288"/>
        <c:crosses val="autoZero"/>
        <c:auto val="1"/>
        <c:lblAlgn val="ctr"/>
        <c:lblOffset val="100"/>
        <c:tickLblSkip val="12"/>
        <c:noMultiLvlLbl val="1"/>
      </c:catAx>
      <c:valAx>
        <c:axId val="195881028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8813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1"/>
          <c:order val="0"/>
          <c:tx>
            <c:strRef>
              <c:f>'Bottom Mount'!$AK$62</c:f>
              <c:strCache>
                <c:ptCount val="1"/>
                <c:pt idx="0">
                  <c:v>With Program Sales</c:v>
                </c:pt>
              </c:strCache>
            </c:strRef>
          </c:tx>
          <c:spPr>
            <a:ln w="25400" cap="rnd">
              <a:noFill/>
              <a:round/>
            </a:ln>
            <a:effectLst/>
          </c:spPr>
          <c:marker>
            <c:symbol val="circle"/>
            <c:size val="5"/>
            <c:spPr>
              <a:solidFill>
                <a:schemeClr val="accent2"/>
              </a:solidFill>
              <a:ln w="9525">
                <a:solidFill>
                  <a:schemeClr val="accent2"/>
                </a:solidFill>
              </a:ln>
              <a:effectLst/>
            </c:spPr>
          </c:marker>
          <c:yVal>
            <c:numRef>
              <c:f>'Bottom Mount'!$AK$63:$AK$84</c:f>
              <c:numCache>
                <c:formatCode>0%</c:formatCode>
                <c:ptCount val="22"/>
                <c:pt idx="0">
                  <c:v>1.1260158048197941E-3</c:v>
                </c:pt>
                <c:pt idx="1">
                  <c:v>1.0371617607027964E-2</c:v>
                </c:pt>
                <c:pt idx="2">
                  <c:v>5.658219122889558E-2</c:v>
                </c:pt>
                <c:pt idx="3">
                  <c:v>9.7229928917076131E-2</c:v>
                </c:pt>
                <c:pt idx="4">
                  <c:v>8.9477744690033639E-2</c:v>
                </c:pt>
                <c:pt idx="5">
                  <c:v>0.11152591175432287</c:v>
                </c:pt>
                <c:pt idx="6">
                  <c:v>0.16478013813206596</c:v>
                </c:pt>
                <c:pt idx="7">
                  <c:v>0.10218744782897445</c:v>
                </c:pt>
                <c:pt idx="8">
                  <c:v>0.24526246167650084</c:v>
                </c:pt>
                <c:pt idx="9">
                  <c:v>0.18389942053326155</c:v>
                </c:pt>
                <c:pt idx="10">
                  <c:v>0.15448265884136447</c:v>
                </c:pt>
                <c:pt idx="11">
                  <c:v>0.23841086030088721</c:v>
                </c:pt>
                <c:pt idx="12">
                  <c:v>0.13596964305623516</c:v>
                </c:pt>
                <c:pt idx="13">
                  <c:v>0.19735167373823448</c:v>
                </c:pt>
                <c:pt idx="14">
                  <c:v>0.20407405358245148</c:v>
                </c:pt>
                <c:pt idx="15">
                  <c:v>0.21685817345637537</c:v>
                </c:pt>
                <c:pt idx="16">
                  <c:v>0.21054539835353295</c:v>
                </c:pt>
                <c:pt idx="17">
                  <c:v>0.21869223227669857</c:v>
                </c:pt>
                <c:pt idx="18">
                  <c:v>0.24120179845298559</c:v>
                </c:pt>
                <c:pt idx="19">
                  <c:v>0.22644332126842084</c:v>
                </c:pt>
                <c:pt idx="20">
                  <c:v>0.29215792387733486</c:v>
                </c:pt>
                <c:pt idx="21">
                  <c:v>0.21647435932729905</c:v>
                </c:pt>
              </c:numCache>
            </c:numRef>
          </c:yVal>
          <c:smooth val="0"/>
          <c:extLst>
            <c:ext xmlns:c16="http://schemas.microsoft.com/office/drawing/2014/chart" uri="{C3380CC4-5D6E-409C-BE32-E72D297353CC}">
              <c16:uniqueId val="{00000000-8421-4761-BEE6-B2EDEA693352}"/>
            </c:ext>
          </c:extLst>
        </c:ser>
        <c:ser>
          <c:idx val="0"/>
          <c:order val="1"/>
          <c:tx>
            <c:strRef>
              <c:f>'Bottom Mount'!$AJ$62</c:f>
              <c:strCache>
                <c:ptCount val="1"/>
                <c:pt idx="0">
                  <c:v>Pre-Program Sales</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forward val="12"/>
            <c:dispRSqr val="1"/>
            <c:dispEq val="0"/>
            <c:trendlineLbl>
              <c:layout>
                <c:manualLayout>
                  <c:x val="4.6965811965811968E-2"/>
                  <c:y val="6.0812190142898806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yVal>
            <c:numRef>
              <c:f>'Bottom Mount'!$AJ$63:$AJ$75</c:f>
              <c:numCache>
                <c:formatCode>0%</c:formatCode>
                <c:ptCount val="13"/>
                <c:pt idx="0">
                  <c:v>1.1260158048197941E-3</c:v>
                </c:pt>
                <c:pt idx="1">
                  <c:v>1.0371617607027964E-2</c:v>
                </c:pt>
                <c:pt idx="2">
                  <c:v>5.658219122889558E-2</c:v>
                </c:pt>
                <c:pt idx="3">
                  <c:v>9.7229928917076131E-2</c:v>
                </c:pt>
                <c:pt idx="4">
                  <c:v>8.9477744690033639E-2</c:v>
                </c:pt>
                <c:pt idx="5">
                  <c:v>0.11152591175432287</c:v>
                </c:pt>
                <c:pt idx="6">
                  <c:v>0.16478013813206596</c:v>
                </c:pt>
                <c:pt idx="7">
                  <c:v>0.10218744782897445</c:v>
                </c:pt>
                <c:pt idx="8">
                  <c:v>0.24526246167650084</c:v>
                </c:pt>
                <c:pt idx="9">
                  <c:v>0.18389942053326155</c:v>
                </c:pt>
                <c:pt idx="10">
                  <c:v>0.15448265884136447</c:v>
                </c:pt>
                <c:pt idx="11">
                  <c:v>0.23841086030088721</c:v>
                </c:pt>
                <c:pt idx="12">
                  <c:v>0.13596964305623516</c:v>
                </c:pt>
              </c:numCache>
            </c:numRef>
          </c:yVal>
          <c:smooth val="0"/>
          <c:extLst>
            <c:ext xmlns:c16="http://schemas.microsoft.com/office/drawing/2014/chart" uri="{C3380CC4-5D6E-409C-BE32-E72D297353CC}">
              <c16:uniqueId val="{00000002-8421-4761-BEE6-B2EDEA693352}"/>
            </c:ext>
          </c:extLst>
        </c:ser>
        <c:dLbls>
          <c:showLegendKey val="0"/>
          <c:showVal val="0"/>
          <c:showCatName val="0"/>
          <c:showSerName val="0"/>
          <c:showPercent val="0"/>
          <c:showBubbleSize val="0"/>
        </c:dLbls>
        <c:axId val="1907477519"/>
        <c:axId val="1907475023"/>
      </c:scatterChart>
      <c:valAx>
        <c:axId val="1907477519"/>
        <c:scaling>
          <c:orientation val="minMax"/>
          <c:max val="25"/>
        </c:scaling>
        <c:delete val="0"/>
        <c:axPos val="b"/>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7475023"/>
        <c:crosses val="autoZero"/>
        <c:crossBetween val="midCat"/>
      </c:valAx>
      <c:valAx>
        <c:axId val="1907475023"/>
        <c:scaling>
          <c:orientation val="minMax"/>
          <c:max val="0.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ETA Market Share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747751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Focus on Energy Actual</c:v>
          </c:tx>
          <c:spPr>
            <a:ln w="28575" cap="rnd">
              <a:solidFill>
                <a:schemeClr val="accent1"/>
              </a:solidFill>
              <a:round/>
            </a:ln>
            <a:effectLst/>
          </c:spPr>
          <c:marker>
            <c:symbol val="none"/>
          </c:marker>
          <c:cat>
            <c:numRef>
              <c:f>'Sheet1 (2)'!$B$76:$CG$76</c:f>
              <c:numCache>
                <c:formatCode>m/d/yyyy</c:formatCode>
                <c:ptCount val="84"/>
                <c:pt idx="0">
                  <c:v>42064</c:v>
                </c:pt>
                <c:pt idx="1">
                  <c:v>42095</c:v>
                </c:pt>
                <c:pt idx="2">
                  <c:v>42125</c:v>
                </c:pt>
                <c:pt idx="3">
                  <c:v>42156</c:v>
                </c:pt>
                <c:pt idx="4">
                  <c:v>42186</c:v>
                </c:pt>
                <c:pt idx="5">
                  <c:v>42217</c:v>
                </c:pt>
                <c:pt idx="6">
                  <c:v>42248</c:v>
                </c:pt>
                <c:pt idx="7">
                  <c:v>42278</c:v>
                </c:pt>
                <c:pt idx="8">
                  <c:v>42309</c:v>
                </c:pt>
                <c:pt idx="9">
                  <c:v>42339</c:v>
                </c:pt>
                <c:pt idx="10">
                  <c:v>42370</c:v>
                </c:pt>
                <c:pt idx="11">
                  <c:v>42401</c:v>
                </c:pt>
                <c:pt idx="12">
                  <c:v>42430</c:v>
                </c:pt>
                <c:pt idx="13">
                  <c:v>42461</c:v>
                </c:pt>
                <c:pt idx="14">
                  <c:v>42491</c:v>
                </c:pt>
                <c:pt idx="15">
                  <c:v>42522</c:v>
                </c:pt>
                <c:pt idx="16">
                  <c:v>42552</c:v>
                </c:pt>
                <c:pt idx="17">
                  <c:v>42583</c:v>
                </c:pt>
                <c:pt idx="18">
                  <c:v>42614</c:v>
                </c:pt>
                <c:pt idx="19">
                  <c:v>42644</c:v>
                </c:pt>
                <c:pt idx="20">
                  <c:v>42675</c:v>
                </c:pt>
                <c:pt idx="21">
                  <c:v>42705</c:v>
                </c:pt>
                <c:pt idx="22">
                  <c:v>42736</c:v>
                </c:pt>
                <c:pt idx="23">
                  <c:v>42767</c:v>
                </c:pt>
                <c:pt idx="24">
                  <c:v>42795</c:v>
                </c:pt>
                <c:pt idx="25">
                  <c:v>42826</c:v>
                </c:pt>
                <c:pt idx="26">
                  <c:v>42856</c:v>
                </c:pt>
                <c:pt idx="27">
                  <c:v>42887</c:v>
                </c:pt>
                <c:pt idx="28">
                  <c:v>42917</c:v>
                </c:pt>
                <c:pt idx="29">
                  <c:v>42948</c:v>
                </c:pt>
                <c:pt idx="30">
                  <c:v>42979</c:v>
                </c:pt>
                <c:pt idx="31">
                  <c:v>43009</c:v>
                </c:pt>
                <c:pt idx="32">
                  <c:v>43040</c:v>
                </c:pt>
                <c:pt idx="33">
                  <c:v>43070</c:v>
                </c:pt>
                <c:pt idx="34">
                  <c:v>43101</c:v>
                </c:pt>
                <c:pt idx="35">
                  <c:v>43132</c:v>
                </c:pt>
                <c:pt idx="36">
                  <c:v>43160</c:v>
                </c:pt>
                <c:pt idx="37">
                  <c:v>43191</c:v>
                </c:pt>
                <c:pt idx="38">
                  <c:v>43221</c:v>
                </c:pt>
                <c:pt idx="39">
                  <c:v>43252</c:v>
                </c:pt>
                <c:pt idx="40">
                  <c:v>43282</c:v>
                </c:pt>
                <c:pt idx="41">
                  <c:v>43313</c:v>
                </c:pt>
                <c:pt idx="42">
                  <c:v>43344</c:v>
                </c:pt>
                <c:pt idx="43">
                  <c:v>43374</c:v>
                </c:pt>
                <c:pt idx="44">
                  <c:v>43405</c:v>
                </c:pt>
                <c:pt idx="45">
                  <c:v>43435</c:v>
                </c:pt>
                <c:pt idx="46">
                  <c:v>43466</c:v>
                </c:pt>
                <c:pt idx="47">
                  <c:v>43497</c:v>
                </c:pt>
                <c:pt idx="48">
                  <c:v>43525</c:v>
                </c:pt>
                <c:pt idx="49">
                  <c:v>43556</c:v>
                </c:pt>
                <c:pt idx="50">
                  <c:v>43586</c:v>
                </c:pt>
                <c:pt idx="51">
                  <c:v>43617</c:v>
                </c:pt>
                <c:pt idx="52">
                  <c:v>43647</c:v>
                </c:pt>
                <c:pt idx="53">
                  <c:v>43678</c:v>
                </c:pt>
                <c:pt idx="54">
                  <c:v>43709</c:v>
                </c:pt>
                <c:pt idx="55">
                  <c:v>43739</c:v>
                </c:pt>
                <c:pt idx="56">
                  <c:v>43770</c:v>
                </c:pt>
                <c:pt idx="57">
                  <c:v>43800</c:v>
                </c:pt>
                <c:pt idx="58">
                  <c:v>43831</c:v>
                </c:pt>
                <c:pt idx="59">
                  <c:v>43862</c:v>
                </c:pt>
                <c:pt idx="60">
                  <c:v>43891</c:v>
                </c:pt>
                <c:pt idx="61">
                  <c:v>43922</c:v>
                </c:pt>
                <c:pt idx="62">
                  <c:v>43952</c:v>
                </c:pt>
                <c:pt idx="63">
                  <c:v>43983</c:v>
                </c:pt>
                <c:pt idx="64">
                  <c:v>44013</c:v>
                </c:pt>
                <c:pt idx="65">
                  <c:v>44044</c:v>
                </c:pt>
                <c:pt idx="66">
                  <c:v>44075</c:v>
                </c:pt>
                <c:pt idx="67">
                  <c:v>44105</c:v>
                </c:pt>
                <c:pt idx="68">
                  <c:v>44136</c:v>
                </c:pt>
                <c:pt idx="69">
                  <c:v>44166</c:v>
                </c:pt>
                <c:pt idx="70">
                  <c:v>44197</c:v>
                </c:pt>
                <c:pt idx="71">
                  <c:v>44228</c:v>
                </c:pt>
                <c:pt idx="72">
                  <c:v>44256</c:v>
                </c:pt>
                <c:pt idx="73">
                  <c:v>44287</c:v>
                </c:pt>
                <c:pt idx="74">
                  <c:v>44317</c:v>
                </c:pt>
                <c:pt idx="75">
                  <c:v>44348</c:v>
                </c:pt>
                <c:pt idx="76">
                  <c:v>44378</c:v>
                </c:pt>
                <c:pt idx="77">
                  <c:v>44409</c:v>
                </c:pt>
                <c:pt idx="78">
                  <c:v>44440</c:v>
                </c:pt>
                <c:pt idx="79">
                  <c:v>44470</c:v>
                </c:pt>
                <c:pt idx="80">
                  <c:v>44501</c:v>
                </c:pt>
                <c:pt idx="81">
                  <c:v>44531</c:v>
                </c:pt>
                <c:pt idx="82">
                  <c:v>44562</c:v>
                </c:pt>
                <c:pt idx="83">
                  <c:v>44593</c:v>
                </c:pt>
              </c:numCache>
            </c:numRef>
          </c:cat>
          <c:val>
            <c:numRef>
              <c:f>'Sheet1 (2)'!$B$77:$CG$77</c:f>
              <c:numCache>
                <c:formatCode>0%</c:formatCode>
                <c:ptCount val="84"/>
                <c:pt idx="0">
                  <c:v>0.48318999218139169</c:v>
                </c:pt>
                <c:pt idx="1">
                  <c:v>0.41926910299003323</c:v>
                </c:pt>
                <c:pt idx="2">
                  <c:v>0.46453333333333335</c:v>
                </c:pt>
                <c:pt idx="3">
                  <c:v>0.45757441137272326</c:v>
                </c:pt>
                <c:pt idx="4">
                  <c:v>0.46971109040074555</c:v>
                </c:pt>
                <c:pt idx="5">
                  <c:v>0.45534729878721059</c:v>
                </c:pt>
                <c:pt idx="6">
                  <c:v>0.4765625</c:v>
                </c:pt>
                <c:pt idx="7">
                  <c:v>0.43248945147679324</c:v>
                </c:pt>
                <c:pt idx="8">
                  <c:v>0.49931318681318682</c:v>
                </c:pt>
                <c:pt idx="9">
                  <c:v>0.46234596074851664</c:v>
                </c:pt>
                <c:pt idx="10">
                  <c:v>0.46214928533615668</c:v>
                </c:pt>
                <c:pt idx="11">
                  <c:v>0.47022684310018903</c:v>
                </c:pt>
                <c:pt idx="12">
                  <c:v>0.33287229137851543</c:v>
                </c:pt>
                <c:pt idx="13">
                  <c:v>0.3827468078480224</c:v>
                </c:pt>
                <c:pt idx="14">
                  <c:v>0.4015882019285309</c:v>
                </c:pt>
                <c:pt idx="15">
                  <c:v>0.35200845665961944</c:v>
                </c:pt>
                <c:pt idx="16">
                  <c:v>0.40077569489334197</c:v>
                </c:pt>
                <c:pt idx="17">
                  <c:v>0.35325959049188044</c:v>
                </c:pt>
                <c:pt idx="18">
                  <c:v>0.41815196998123827</c:v>
                </c:pt>
                <c:pt idx="19">
                  <c:v>0.37525592278443992</c:v>
                </c:pt>
                <c:pt idx="20">
                  <c:v>0.46838220626371435</c:v>
                </c:pt>
                <c:pt idx="21">
                  <c:v>0.36563346373758654</c:v>
                </c:pt>
                <c:pt idx="22">
                  <c:v>0.45107466063348417</c:v>
                </c:pt>
                <c:pt idx="23">
                  <c:v>0.38173374613003097</c:v>
                </c:pt>
                <c:pt idx="24">
                  <c:v>0.39963598543941758</c:v>
                </c:pt>
                <c:pt idx="25">
                  <c:v>0.38111111111111112</c:v>
                </c:pt>
                <c:pt idx="26">
                  <c:v>0.3952210931062895</c:v>
                </c:pt>
                <c:pt idx="27">
                  <c:v>0.38590027020388112</c:v>
                </c:pt>
                <c:pt idx="28">
                  <c:v>0.43496621621621623</c:v>
                </c:pt>
                <c:pt idx="29">
                  <c:v>0.4108093716719915</c:v>
                </c:pt>
                <c:pt idx="30">
                  <c:v>0.43544916621839697</c:v>
                </c:pt>
                <c:pt idx="31">
                  <c:v>0.40490797546012269</c:v>
                </c:pt>
                <c:pt idx="32">
                  <c:v>0.46352985638699923</c:v>
                </c:pt>
                <c:pt idx="33">
                  <c:v>0.40252038547071906</c:v>
                </c:pt>
                <c:pt idx="34">
                  <c:v>0.40362438220757824</c:v>
                </c:pt>
                <c:pt idx="35">
                  <c:v>0.41792816859602255</c:v>
                </c:pt>
                <c:pt idx="36">
                  <c:v>0.36407416325547798</c:v>
                </c:pt>
                <c:pt idx="37">
                  <c:v>0.44001966568338252</c:v>
                </c:pt>
                <c:pt idx="38">
                  <c:v>0.39272520602443878</c:v>
                </c:pt>
                <c:pt idx="39">
                  <c:v>0.35855855855855856</c:v>
                </c:pt>
                <c:pt idx="40">
                  <c:v>0.38164470695138575</c:v>
                </c:pt>
                <c:pt idx="41">
                  <c:v>0.32200435729847493</c:v>
                </c:pt>
                <c:pt idx="42">
                  <c:v>0.38491251988184505</c:v>
                </c:pt>
                <c:pt idx="43">
                  <c:v>0.35102533172496986</c:v>
                </c:pt>
                <c:pt idx="44">
                  <c:v>0.47995283018867924</c:v>
                </c:pt>
                <c:pt idx="45">
                  <c:v>0.34933209071140103</c:v>
                </c:pt>
                <c:pt idx="46">
                  <c:v>0.31336223886480097</c:v>
                </c:pt>
                <c:pt idx="47">
                  <c:v>0.29900475984422326</c:v>
                </c:pt>
                <c:pt idx="48">
                  <c:v>0.36016864083517364</c:v>
                </c:pt>
                <c:pt idx="49">
                  <c:v>0.34911647585863614</c:v>
                </c:pt>
                <c:pt idx="50">
                  <c:v>0.36055393404955599</c:v>
                </c:pt>
              </c:numCache>
            </c:numRef>
          </c:val>
          <c:smooth val="0"/>
          <c:extLst>
            <c:ext xmlns:c16="http://schemas.microsoft.com/office/drawing/2014/chart" uri="{C3380CC4-5D6E-409C-BE32-E72D297353CC}">
              <c16:uniqueId val="{00000000-63D2-444C-A9E8-36A8C3B9CB58}"/>
            </c:ext>
          </c:extLst>
        </c:ser>
        <c:ser>
          <c:idx val="1"/>
          <c:order val="1"/>
          <c:tx>
            <c:strRef>
              <c:f>'Sheet1 (2)'!$A$78</c:f>
              <c:strCache>
                <c:ptCount val="1"/>
                <c:pt idx="0">
                  <c:v>ComEd Actual</c:v>
                </c:pt>
              </c:strCache>
            </c:strRef>
          </c:tx>
          <c:spPr>
            <a:ln w="28575" cap="rnd">
              <a:solidFill>
                <a:schemeClr val="accent2"/>
              </a:solidFill>
              <a:round/>
            </a:ln>
            <a:effectLst/>
          </c:spPr>
          <c:marker>
            <c:symbol val="none"/>
          </c:marker>
          <c:cat>
            <c:numRef>
              <c:f>'Sheet1 (2)'!$B$76:$CG$76</c:f>
              <c:numCache>
                <c:formatCode>m/d/yyyy</c:formatCode>
                <c:ptCount val="84"/>
                <c:pt idx="0">
                  <c:v>42064</c:v>
                </c:pt>
                <c:pt idx="1">
                  <c:v>42095</c:v>
                </c:pt>
                <c:pt idx="2">
                  <c:v>42125</c:v>
                </c:pt>
                <c:pt idx="3">
                  <c:v>42156</c:v>
                </c:pt>
                <c:pt idx="4">
                  <c:v>42186</c:v>
                </c:pt>
                <c:pt idx="5">
                  <c:v>42217</c:v>
                </c:pt>
                <c:pt idx="6">
                  <c:v>42248</c:v>
                </c:pt>
                <c:pt idx="7">
                  <c:v>42278</c:v>
                </c:pt>
                <c:pt idx="8">
                  <c:v>42309</c:v>
                </c:pt>
                <c:pt idx="9">
                  <c:v>42339</c:v>
                </c:pt>
                <c:pt idx="10">
                  <c:v>42370</c:v>
                </c:pt>
                <c:pt idx="11">
                  <c:v>42401</c:v>
                </c:pt>
                <c:pt idx="12">
                  <c:v>42430</c:v>
                </c:pt>
                <c:pt idx="13">
                  <c:v>42461</c:v>
                </c:pt>
                <c:pt idx="14">
                  <c:v>42491</c:v>
                </c:pt>
                <c:pt idx="15">
                  <c:v>42522</c:v>
                </c:pt>
                <c:pt idx="16">
                  <c:v>42552</c:v>
                </c:pt>
                <c:pt idx="17">
                  <c:v>42583</c:v>
                </c:pt>
                <c:pt idx="18">
                  <c:v>42614</c:v>
                </c:pt>
                <c:pt idx="19">
                  <c:v>42644</c:v>
                </c:pt>
                <c:pt idx="20">
                  <c:v>42675</c:v>
                </c:pt>
                <c:pt idx="21">
                  <c:v>42705</c:v>
                </c:pt>
                <c:pt idx="22">
                  <c:v>42736</c:v>
                </c:pt>
                <c:pt idx="23">
                  <c:v>42767</c:v>
                </c:pt>
                <c:pt idx="24">
                  <c:v>42795</c:v>
                </c:pt>
                <c:pt idx="25">
                  <c:v>42826</c:v>
                </c:pt>
                <c:pt idx="26">
                  <c:v>42856</c:v>
                </c:pt>
                <c:pt idx="27">
                  <c:v>42887</c:v>
                </c:pt>
                <c:pt idx="28">
                  <c:v>42917</c:v>
                </c:pt>
                <c:pt idx="29">
                  <c:v>42948</c:v>
                </c:pt>
                <c:pt idx="30">
                  <c:v>42979</c:v>
                </c:pt>
                <c:pt idx="31">
                  <c:v>43009</c:v>
                </c:pt>
                <c:pt idx="32">
                  <c:v>43040</c:v>
                </c:pt>
                <c:pt idx="33">
                  <c:v>43070</c:v>
                </c:pt>
                <c:pt idx="34">
                  <c:v>43101</c:v>
                </c:pt>
                <c:pt idx="35">
                  <c:v>43132</c:v>
                </c:pt>
                <c:pt idx="36">
                  <c:v>43160</c:v>
                </c:pt>
                <c:pt idx="37">
                  <c:v>43191</c:v>
                </c:pt>
                <c:pt idx="38">
                  <c:v>43221</c:v>
                </c:pt>
                <c:pt idx="39">
                  <c:v>43252</c:v>
                </c:pt>
                <c:pt idx="40">
                  <c:v>43282</c:v>
                </c:pt>
                <c:pt idx="41">
                  <c:v>43313</c:v>
                </c:pt>
                <c:pt idx="42">
                  <c:v>43344</c:v>
                </c:pt>
                <c:pt idx="43">
                  <c:v>43374</c:v>
                </c:pt>
                <c:pt idx="44">
                  <c:v>43405</c:v>
                </c:pt>
                <c:pt idx="45">
                  <c:v>43435</c:v>
                </c:pt>
                <c:pt idx="46">
                  <c:v>43466</c:v>
                </c:pt>
                <c:pt idx="47">
                  <c:v>43497</c:v>
                </c:pt>
                <c:pt idx="48">
                  <c:v>43525</c:v>
                </c:pt>
                <c:pt idx="49">
                  <c:v>43556</c:v>
                </c:pt>
                <c:pt idx="50">
                  <c:v>43586</c:v>
                </c:pt>
                <c:pt idx="51">
                  <c:v>43617</c:v>
                </c:pt>
                <c:pt idx="52">
                  <c:v>43647</c:v>
                </c:pt>
                <c:pt idx="53">
                  <c:v>43678</c:v>
                </c:pt>
                <c:pt idx="54">
                  <c:v>43709</c:v>
                </c:pt>
                <c:pt idx="55">
                  <c:v>43739</c:v>
                </c:pt>
                <c:pt idx="56">
                  <c:v>43770</c:v>
                </c:pt>
                <c:pt idx="57">
                  <c:v>43800</c:v>
                </c:pt>
                <c:pt idx="58">
                  <c:v>43831</c:v>
                </c:pt>
                <c:pt idx="59">
                  <c:v>43862</c:v>
                </c:pt>
                <c:pt idx="60">
                  <c:v>43891</c:v>
                </c:pt>
                <c:pt idx="61">
                  <c:v>43922</c:v>
                </c:pt>
                <c:pt idx="62">
                  <c:v>43952</c:v>
                </c:pt>
                <c:pt idx="63">
                  <c:v>43983</c:v>
                </c:pt>
                <c:pt idx="64">
                  <c:v>44013</c:v>
                </c:pt>
                <c:pt idx="65">
                  <c:v>44044</c:v>
                </c:pt>
                <c:pt idx="66">
                  <c:v>44075</c:v>
                </c:pt>
                <c:pt idx="67">
                  <c:v>44105</c:v>
                </c:pt>
                <c:pt idx="68">
                  <c:v>44136</c:v>
                </c:pt>
                <c:pt idx="69">
                  <c:v>44166</c:v>
                </c:pt>
                <c:pt idx="70">
                  <c:v>44197</c:v>
                </c:pt>
                <c:pt idx="71">
                  <c:v>44228</c:v>
                </c:pt>
                <c:pt idx="72">
                  <c:v>44256</c:v>
                </c:pt>
                <c:pt idx="73">
                  <c:v>44287</c:v>
                </c:pt>
                <c:pt idx="74">
                  <c:v>44317</c:v>
                </c:pt>
                <c:pt idx="75">
                  <c:v>44348</c:v>
                </c:pt>
                <c:pt idx="76">
                  <c:v>44378</c:v>
                </c:pt>
                <c:pt idx="77">
                  <c:v>44409</c:v>
                </c:pt>
                <c:pt idx="78">
                  <c:v>44440</c:v>
                </c:pt>
                <c:pt idx="79">
                  <c:v>44470</c:v>
                </c:pt>
                <c:pt idx="80">
                  <c:v>44501</c:v>
                </c:pt>
                <c:pt idx="81">
                  <c:v>44531</c:v>
                </c:pt>
                <c:pt idx="82">
                  <c:v>44562</c:v>
                </c:pt>
                <c:pt idx="83">
                  <c:v>44593</c:v>
                </c:pt>
              </c:numCache>
            </c:numRef>
          </c:cat>
          <c:val>
            <c:numRef>
              <c:f>'Sheet1 (2)'!$B$78:$CG$78</c:f>
              <c:numCache>
                <c:formatCode>General</c:formatCode>
                <c:ptCount val="84"/>
                <c:pt idx="51" formatCode="0%">
                  <c:v>0.37131147540983606</c:v>
                </c:pt>
                <c:pt idx="52" formatCode="0%">
                  <c:v>0.38257261410788379</c:v>
                </c:pt>
                <c:pt idx="53" formatCode="0%">
                  <c:v>0.39743378845204802</c:v>
                </c:pt>
                <c:pt idx="54" formatCode="0%">
                  <c:v>0.35475608336244036</c:v>
                </c:pt>
                <c:pt idx="55" formatCode="0%">
                  <c:v>0.33522355507088331</c:v>
                </c:pt>
                <c:pt idx="56" formatCode="0%">
                  <c:v>0.42598698868193563</c:v>
                </c:pt>
                <c:pt idx="57" formatCode="0%">
                  <c:v>0.38437533627461529</c:v>
                </c:pt>
                <c:pt idx="58" formatCode="0%">
                  <c:v>0.35805769016594274</c:v>
                </c:pt>
                <c:pt idx="59" formatCode="0%">
                  <c:v>0.375</c:v>
                </c:pt>
                <c:pt idx="60" formatCode="0%">
                  <c:v>0.37223828802776171</c:v>
                </c:pt>
                <c:pt idx="61" formatCode="0%">
                  <c:v>0.38174442190669372</c:v>
                </c:pt>
                <c:pt idx="62" formatCode="0%">
                  <c:v>0.43798737467508353</c:v>
                </c:pt>
                <c:pt idx="63" formatCode="0%">
                  <c:v>0.44844551449806341</c:v>
                </c:pt>
                <c:pt idx="64" formatCode="0%">
                  <c:v>0.41441767795689188</c:v>
                </c:pt>
                <c:pt idx="65" formatCode="0%">
                  <c:v>0.38380089509878834</c:v>
                </c:pt>
                <c:pt idx="66" formatCode="0%">
                  <c:v>0.50562631383702239</c:v>
                </c:pt>
                <c:pt idx="67" formatCode="0%">
                  <c:v>0.43265153404839113</c:v>
                </c:pt>
                <c:pt idx="68" formatCode="0%">
                  <c:v>0.54546396023198007</c:v>
                </c:pt>
                <c:pt idx="69" formatCode="0%">
                  <c:v>0.46637265711135611</c:v>
                </c:pt>
                <c:pt idx="70" formatCode="0%">
                  <c:v>0.487943426849061</c:v>
                </c:pt>
                <c:pt idx="71" formatCode="0%">
                  <c:v>0.52389176741508348</c:v>
                </c:pt>
                <c:pt idx="72" formatCode="0%">
                  <c:v>0.48745519713261648</c:v>
                </c:pt>
                <c:pt idx="73" formatCode="0%">
                  <c:v>0.49364903193981996</c:v>
                </c:pt>
                <c:pt idx="74" formatCode="0%">
                  <c:v>0.52527579100497035</c:v>
                </c:pt>
                <c:pt idx="75" formatCode="0%">
                  <c:v>0.51497452466757798</c:v>
                </c:pt>
                <c:pt idx="76" formatCode="0%">
                  <c:v>0.47306666666666669</c:v>
                </c:pt>
                <c:pt idx="77" formatCode="0%">
                  <c:v>0.48672927725602289</c:v>
                </c:pt>
                <c:pt idx="78" formatCode="0%">
                  <c:v>0.49727767695099817</c:v>
                </c:pt>
                <c:pt idx="79" formatCode="0%">
                  <c:v>0.41254167735316749</c:v>
                </c:pt>
                <c:pt idx="80" formatCode="0%">
                  <c:v>0.43807199511897499</c:v>
                </c:pt>
                <c:pt idx="81" formatCode="0%">
                  <c:v>0.44125185484958857</c:v>
                </c:pt>
                <c:pt idx="82" formatCode="0%">
                  <c:v>0.47754045307443366</c:v>
                </c:pt>
                <c:pt idx="83" formatCode="0%">
                  <c:v>0.49471244386498625</c:v>
                </c:pt>
              </c:numCache>
            </c:numRef>
          </c:val>
          <c:smooth val="0"/>
          <c:extLst>
            <c:ext xmlns:c16="http://schemas.microsoft.com/office/drawing/2014/chart" uri="{C3380CC4-5D6E-409C-BE32-E72D297353CC}">
              <c16:uniqueId val="{00000001-63D2-444C-A9E8-36A8C3B9CB58}"/>
            </c:ext>
          </c:extLst>
        </c:ser>
        <c:ser>
          <c:idx val="6"/>
          <c:order val="6"/>
          <c:tx>
            <c:v>Baseline Forecast from ComEd Data Only</c:v>
          </c:tx>
          <c:spPr>
            <a:ln w="28575" cap="rnd">
              <a:solidFill>
                <a:schemeClr val="accent2"/>
              </a:solidFill>
              <a:prstDash val="sysDash"/>
              <a:round/>
            </a:ln>
            <a:effectLst/>
          </c:spPr>
          <c:marker>
            <c:symbol val="none"/>
          </c:marker>
          <c:val>
            <c:numRef>
              <c:f>'Sheet1 (2)'!$B$84:$CG$84</c:f>
              <c:numCache>
                <c:formatCode>General</c:formatCode>
                <c:ptCount val="84"/>
                <c:pt idx="63">
                  <c:v>0.39674045634484978</c:v>
                </c:pt>
                <c:pt idx="64">
                  <c:v>0.39906423086128928</c:v>
                </c:pt>
                <c:pt idx="65">
                  <c:v>0.40146546452827625</c:v>
                </c:pt>
                <c:pt idx="66">
                  <c:v>0.40386669819526366</c:v>
                </c:pt>
                <c:pt idx="67">
                  <c:v>0.40619047271170272</c:v>
                </c:pt>
                <c:pt idx="68">
                  <c:v>0.40859170637868969</c:v>
                </c:pt>
                <c:pt idx="69">
                  <c:v>0.41091548089512919</c:v>
                </c:pt>
                <c:pt idx="70">
                  <c:v>0.41331671456211616</c:v>
                </c:pt>
                <c:pt idx="71">
                  <c:v>0.41571794822910313</c:v>
                </c:pt>
                <c:pt idx="72">
                  <c:v>0.41788680444444681</c:v>
                </c:pt>
                <c:pt idx="73">
                  <c:v>0.42028803811143378</c:v>
                </c:pt>
                <c:pt idx="74">
                  <c:v>0.42261181262787284</c:v>
                </c:pt>
                <c:pt idx="75">
                  <c:v>0.42501304629486025</c:v>
                </c:pt>
                <c:pt idx="76">
                  <c:v>0.42733682081129931</c:v>
                </c:pt>
                <c:pt idx="77">
                  <c:v>0.42973805447828628</c:v>
                </c:pt>
                <c:pt idx="78">
                  <c:v>0.43213928814527369</c:v>
                </c:pt>
                <c:pt idx="79">
                  <c:v>0.43446306266171275</c:v>
                </c:pt>
                <c:pt idx="80">
                  <c:v>0.43686429632870016</c:v>
                </c:pt>
                <c:pt idx="81">
                  <c:v>0.43918807084513922</c:v>
                </c:pt>
                <c:pt idx="82">
                  <c:v>0.44158930451212619</c:v>
                </c:pt>
                <c:pt idx="83">
                  <c:v>0.4439905381791136</c:v>
                </c:pt>
              </c:numCache>
            </c:numRef>
          </c:val>
          <c:smooth val="0"/>
          <c:extLst>
            <c:ext xmlns:c16="http://schemas.microsoft.com/office/drawing/2014/chart" uri="{C3380CC4-5D6E-409C-BE32-E72D297353CC}">
              <c16:uniqueId val="{00000003-63D2-444C-A9E8-36A8C3B9CB58}"/>
            </c:ext>
          </c:extLst>
        </c:ser>
        <c:ser>
          <c:idx val="7"/>
          <c:order val="7"/>
          <c:tx>
            <c:v>Baseline Forecast Combining Historical Focus and ComEd Data</c:v>
          </c:tx>
          <c:spPr>
            <a:ln w="28575" cap="rnd">
              <a:solidFill>
                <a:schemeClr val="accent6">
                  <a:lumMod val="75000"/>
                </a:schemeClr>
              </a:solidFill>
              <a:prstDash val="sysDash"/>
              <a:round/>
            </a:ln>
            <a:effectLst/>
          </c:spPr>
          <c:marker>
            <c:symbol val="none"/>
          </c:marker>
          <c:val>
            <c:numRef>
              <c:f>'Sheet1 (2)'!$B$85:$CG$85</c:f>
              <c:numCache>
                <c:formatCode>General</c:formatCode>
                <c:ptCount val="84"/>
                <c:pt idx="63">
                  <c:v>0.35657922676387499</c:v>
                </c:pt>
                <c:pt idx="64">
                  <c:v>0.35521528095715826</c:v>
                </c:pt>
                <c:pt idx="65">
                  <c:v>0.35380587029021759</c:v>
                </c:pt>
                <c:pt idx="66">
                  <c:v>0.35239645962327693</c:v>
                </c:pt>
                <c:pt idx="67">
                  <c:v>0.35103251381656042</c:v>
                </c:pt>
                <c:pt idx="68">
                  <c:v>0.34962310314961975</c:v>
                </c:pt>
                <c:pt idx="69">
                  <c:v>0.34825915734290325</c:v>
                </c:pt>
                <c:pt idx="70">
                  <c:v>0.34684974667596258</c:v>
                </c:pt>
                <c:pt idx="71">
                  <c:v>0.34544033600902191</c:v>
                </c:pt>
                <c:pt idx="72">
                  <c:v>0.34416731992275329</c:v>
                </c:pt>
                <c:pt idx="73">
                  <c:v>0.34275790925581262</c:v>
                </c:pt>
                <c:pt idx="74">
                  <c:v>0.34139396344909612</c:v>
                </c:pt>
                <c:pt idx="75">
                  <c:v>0.33998455278215545</c:v>
                </c:pt>
                <c:pt idx="76">
                  <c:v>0.3386206069754385</c:v>
                </c:pt>
                <c:pt idx="77">
                  <c:v>0.33721119630849827</c:v>
                </c:pt>
                <c:pt idx="78">
                  <c:v>0.3358017856415576</c:v>
                </c:pt>
                <c:pt idx="79">
                  <c:v>0.33443783983484066</c:v>
                </c:pt>
                <c:pt idx="80">
                  <c:v>0.33302842916790043</c:v>
                </c:pt>
                <c:pt idx="81">
                  <c:v>0.33166448336118348</c:v>
                </c:pt>
                <c:pt idx="82">
                  <c:v>0.33025507269424326</c:v>
                </c:pt>
                <c:pt idx="83">
                  <c:v>0.32884566202730259</c:v>
                </c:pt>
              </c:numCache>
            </c:numRef>
          </c:val>
          <c:smooth val="0"/>
          <c:extLst>
            <c:ext xmlns:c16="http://schemas.microsoft.com/office/drawing/2014/chart" uri="{C3380CC4-5D6E-409C-BE32-E72D297353CC}">
              <c16:uniqueId val="{00000004-63D2-444C-A9E8-36A8C3B9CB58}"/>
            </c:ext>
          </c:extLst>
        </c:ser>
        <c:dLbls>
          <c:showLegendKey val="0"/>
          <c:showVal val="0"/>
          <c:showCatName val="0"/>
          <c:showSerName val="0"/>
          <c:showPercent val="0"/>
          <c:showBubbleSize val="0"/>
        </c:dLbls>
        <c:smooth val="0"/>
        <c:axId val="320656880"/>
        <c:axId val="1024764816"/>
        <c:extLst>
          <c:ext xmlns:c15="http://schemas.microsoft.com/office/drawing/2012/chart" uri="{02D57815-91ED-43cb-92C2-25804820EDAC}">
            <c15:filteredLineSeries>
              <c15:ser>
                <c:idx val="2"/>
                <c:order val="2"/>
                <c:tx>
                  <c:strRef>
                    <c:extLst>
                      <c:ext uri="{02D57815-91ED-43cb-92C2-25804820EDAC}">
                        <c15:formulaRef>
                          <c15:sqref>'Sheet1 (2)'!$A$79</c15:sqref>
                        </c15:formulaRef>
                      </c:ext>
                    </c:extLst>
                    <c:strCache>
                      <c:ptCount val="1"/>
                      <c:pt idx="0">
                        <c:v>NEEA</c:v>
                      </c:pt>
                    </c:strCache>
                  </c:strRef>
                </c:tx>
                <c:spPr>
                  <a:ln w="28575" cap="rnd">
                    <a:solidFill>
                      <a:schemeClr val="accent3"/>
                    </a:solidFill>
                    <a:round/>
                  </a:ln>
                  <a:effectLst/>
                </c:spPr>
                <c:marker>
                  <c:symbol val="none"/>
                </c:marker>
                <c:cat>
                  <c:numRef>
                    <c:extLst>
                      <c:ext uri="{02D57815-91ED-43cb-92C2-25804820EDAC}">
                        <c15:formulaRef>
                          <c15:sqref>'Sheet1 (2)'!$B$76:$CG$76</c15:sqref>
                        </c15:formulaRef>
                      </c:ext>
                    </c:extLst>
                    <c:numCache>
                      <c:formatCode>m/d/yyyy</c:formatCode>
                      <c:ptCount val="84"/>
                      <c:pt idx="0">
                        <c:v>42064</c:v>
                      </c:pt>
                      <c:pt idx="1">
                        <c:v>42095</c:v>
                      </c:pt>
                      <c:pt idx="2">
                        <c:v>42125</c:v>
                      </c:pt>
                      <c:pt idx="3">
                        <c:v>42156</c:v>
                      </c:pt>
                      <c:pt idx="4">
                        <c:v>42186</c:v>
                      </c:pt>
                      <c:pt idx="5">
                        <c:v>42217</c:v>
                      </c:pt>
                      <c:pt idx="6">
                        <c:v>42248</c:v>
                      </c:pt>
                      <c:pt idx="7">
                        <c:v>42278</c:v>
                      </c:pt>
                      <c:pt idx="8">
                        <c:v>42309</c:v>
                      </c:pt>
                      <c:pt idx="9">
                        <c:v>42339</c:v>
                      </c:pt>
                      <c:pt idx="10">
                        <c:v>42370</c:v>
                      </c:pt>
                      <c:pt idx="11">
                        <c:v>42401</c:v>
                      </c:pt>
                      <c:pt idx="12">
                        <c:v>42430</c:v>
                      </c:pt>
                      <c:pt idx="13">
                        <c:v>42461</c:v>
                      </c:pt>
                      <c:pt idx="14">
                        <c:v>42491</c:v>
                      </c:pt>
                      <c:pt idx="15">
                        <c:v>42522</c:v>
                      </c:pt>
                      <c:pt idx="16">
                        <c:v>42552</c:v>
                      </c:pt>
                      <c:pt idx="17">
                        <c:v>42583</c:v>
                      </c:pt>
                      <c:pt idx="18">
                        <c:v>42614</c:v>
                      </c:pt>
                      <c:pt idx="19">
                        <c:v>42644</c:v>
                      </c:pt>
                      <c:pt idx="20">
                        <c:v>42675</c:v>
                      </c:pt>
                      <c:pt idx="21">
                        <c:v>42705</c:v>
                      </c:pt>
                      <c:pt idx="22">
                        <c:v>42736</c:v>
                      </c:pt>
                      <c:pt idx="23">
                        <c:v>42767</c:v>
                      </c:pt>
                      <c:pt idx="24">
                        <c:v>42795</c:v>
                      </c:pt>
                      <c:pt idx="25">
                        <c:v>42826</c:v>
                      </c:pt>
                      <c:pt idx="26">
                        <c:v>42856</c:v>
                      </c:pt>
                      <c:pt idx="27">
                        <c:v>42887</c:v>
                      </c:pt>
                      <c:pt idx="28">
                        <c:v>42917</c:v>
                      </c:pt>
                      <c:pt idx="29">
                        <c:v>42948</c:v>
                      </c:pt>
                      <c:pt idx="30">
                        <c:v>42979</c:v>
                      </c:pt>
                      <c:pt idx="31">
                        <c:v>43009</c:v>
                      </c:pt>
                      <c:pt idx="32">
                        <c:v>43040</c:v>
                      </c:pt>
                      <c:pt idx="33">
                        <c:v>43070</c:v>
                      </c:pt>
                      <c:pt idx="34">
                        <c:v>43101</c:v>
                      </c:pt>
                      <c:pt idx="35">
                        <c:v>43132</c:v>
                      </c:pt>
                      <c:pt idx="36">
                        <c:v>43160</c:v>
                      </c:pt>
                      <c:pt idx="37">
                        <c:v>43191</c:v>
                      </c:pt>
                      <c:pt idx="38">
                        <c:v>43221</c:v>
                      </c:pt>
                      <c:pt idx="39">
                        <c:v>43252</c:v>
                      </c:pt>
                      <c:pt idx="40">
                        <c:v>43282</c:v>
                      </c:pt>
                      <c:pt idx="41">
                        <c:v>43313</c:v>
                      </c:pt>
                      <c:pt idx="42">
                        <c:v>43344</c:v>
                      </c:pt>
                      <c:pt idx="43">
                        <c:v>43374</c:v>
                      </c:pt>
                      <c:pt idx="44">
                        <c:v>43405</c:v>
                      </c:pt>
                      <c:pt idx="45">
                        <c:v>43435</c:v>
                      </c:pt>
                      <c:pt idx="46">
                        <c:v>43466</c:v>
                      </c:pt>
                      <c:pt idx="47">
                        <c:v>43497</c:v>
                      </c:pt>
                      <c:pt idx="48">
                        <c:v>43525</c:v>
                      </c:pt>
                      <c:pt idx="49">
                        <c:v>43556</c:v>
                      </c:pt>
                      <c:pt idx="50">
                        <c:v>43586</c:v>
                      </c:pt>
                      <c:pt idx="51">
                        <c:v>43617</c:v>
                      </c:pt>
                      <c:pt idx="52">
                        <c:v>43647</c:v>
                      </c:pt>
                      <c:pt idx="53">
                        <c:v>43678</c:v>
                      </c:pt>
                      <c:pt idx="54">
                        <c:v>43709</c:v>
                      </c:pt>
                      <c:pt idx="55">
                        <c:v>43739</c:v>
                      </c:pt>
                      <c:pt idx="56">
                        <c:v>43770</c:v>
                      </c:pt>
                      <c:pt idx="57">
                        <c:v>43800</c:v>
                      </c:pt>
                      <c:pt idx="58">
                        <c:v>43831</c:v>
                      </c:pt>
                      <c:pt idx="59">
                        <c:v>43862</c:v>
                      </c:pt>
                      <c:pt idx="60">
                        <c:v>43891</c:v>
                      </c:pt>
                      <c:pt idx="61">
                        <c:v>43922</c:v>
                      </c:pt>
                      <c:pt idx="62">
                        <c:v>43952</c:v>
                      </c:pt>
                      <c:pt idx="63">
                        <c:v>43983</c:v>
                      </c:pt>
                      <c:pt idx="64">
                        <c:v>44013</c:v>
                      </c:pt>
                      <c:pt idx="65">
                        <c:v>44044</c:v>
                      </c:pt>
                      <c:pt idx="66">
                        <c:v>44075</c:v>
                      </c:pt>
                      <c:pt idx="67">
                        <c:v>44105</c:v>
                      </c:pt>
                      <c:pt idx="68">
                        <c:v>44136</c:v>
                      </c:pt>
                      <c:pt idx="69">
                        <c:v>44166</c:v>
                      </c:pt>
                      <c:pt idx="70">
                        <c:v>44197</c:v>
                      </c:pt>
                      <c:pt idx="71">
                        <c:v>44228</c:v>
                      </c:pt>
                      <c:pt idx="72">
                        <c:v>44256</c:v>
                      </c:pt>
                      <c:pt idx="73">
                        <c:v>44287</c:v>
                      </c:pt>
                      <c:pt idx="74">
                        <c:v>44317</c:v>
                      </c:pt>
                      <c:pt idx="75">
                        <c:v>44348</c:v>
                      </c:pt>
                      <c:pt idx="76">
                        <c:v>44378</c:v>
                      </c:pt>
                      <c:pt idx="77">
                        <c:v>44409</c:v>
                      </c:pt>
                      <c:pt idx="78">
                        <c:v>44440</c:v>
                      </c:pt>
                      <c:pt idx="79">
                        <c:v>44470</c:v>
                      </c:pt>
                      <c:pt idx="80">
                        <c:v>44501</c:v>
                      </c:pt>
                      <c:pt idx="81">
                        <c:v>44531</c:v>
                      </c:pt>
                      <c:pt idx="82">
                        <c:v>44562</c:v>
                      </c:pt>
                      <c:pt idx="83">
                        <c:v>44593</c:v>
                      </c:pt>
                    </c:numCache>
                  </c:numRef>
                </c:cat>
                <c:val>
                  <c:numRef>
                    <c:extLst>
                      <c:ext uri="{02D57815-91ED-43cb-92C2-25804820EDAC}">
                        <c15:formulaRef>
                          <c15:sqref>'Sheet1 (2)'!$B$79:$CG$79</c15:sqref>
                        </c15:formulaRef>
                      </c:ext>
                    </c:extLst>
                    <c:numCache>
                      <c:formatCode>General</c:formatCode>
                      <c:ptCount val="84"/>
                      <c:pt idx="2" formatCode="0%">
                        <c:v>0.47772585669781931</c:v>
                      </c:pt>
                      <c:pt idx="3" formatCode="0%">
                        <c:v>0.46757634827810268</c:v>
                      </c:pt>
                      <c:pt idx="4" formatCode="0%">
                        <c:v>0.50421559771153268</c:v>
                      </c:pt>
                      <c:pt idx="5" formatCode="0%">
                        <c:v>0.46246298554258841</c:v>
                      </c:pt>
                      <c:pt idx="6" formatCode="0%">
                        <c:v>0.45899647673429717</c:v>
                      </c:pt>
                      <c:pt idx="7" formatCode="0%">
                        <c:v>0.42976474599386294</c:v>
                      </c:pt>
                      <c:pt idx="8" formatCode="0%">
                        <c:v>0.51700214969708813</c:v>
                      </c:pt>
                      <c:pt idx="9" formatCode="0%">
                        <c:v>0.45660222130810368</c:v>
                      </c:pt>
                      <c:pt idx="10" formatCode="0%">
                        <c:v>0.43237800154918665</c:v>
                      </c:pt>
                      <c:pt idx="11" formatCode="0%">
                        <c:v>0.45631207715560673</c:v>
                      </c:pt>
                      <c:pt idx="12" formatCode="0%">
                        <c:v>0.37181392159103899</c:v>
                      </c:pt>
                      <c:pt idx="13" formatCode="0%">
                        <c:v>0.39403435468895082</c:v>
                      </c:pt>
                      <c:pt idx="14" formatCode="0%">
                        <c:v>0.43532474650589204</c:v>
                      </c:pt>
                      <c:pt idx="15" formatCode="0%">
                        <c:v>0.39588351215239764</c:v>
                      </c:pt>
                      <c:pt idx="16" formatCode="0%">
                        <c:v>0.44576523031203569</c:v>
                      </c:pt>
                      <c:pt idx="17" formatCode="0%">
                        <c:v>0.4301864801864802</c:v>
                      </c:pt>
                      <c:pt idx="18" formatCode="0%">
                        <c:v>0.44515934452598771</c:v>
                      </c:pt>
                      <c:pt idx="19" formatCode="0%">
                        <c:v>0.42388512724725658</c:v>
                      </c:pt>
                      <c:pt idx="20" formatCode="0%">
                        <c:v>0.50569492502883506</c:v>
                      </c:pt>
                      <c:pt idx="21" formatCode="0%">
                        <c:v>0.43687707641196011</c:v>
                      </c:pt>
                      <c:pt idx="22" formatCode="0%">
                        <c:v>0.43683360258481424</c:v>
                      </c:pt>
                      <c:pt idx="23" formatCode="0%">
                        <c:v>0.38177452549737023</c:v>
                      </c:pt>
                      <c:pt idx="24" formatCode="0%">
                        <c:v>0.34162865575529916</c:v>
                      </c:pt>
                      <c:pt idx="25" formatCode="0%">
                        <c:v>0.38355709158580353</c:v>
                      </c:pt>
                      <c:pt idx="26" formatCode="0%">
                        <c:v>0.37262627567497741</c:v>
                      </c:pt>
                      <c:pt idx="27" formatCode="0%">
                        <c:v>0.37965276864395631</c:v>
                      </c:pt>
                      <c:pt idx="28" formatCode="0%">
                        <c:v>0.42503317116320211</c:v>
                      </c:pt>
                      <c:pt idx="29" formatCode="0%">
                        <c:v>0.37569813376924127</c:v>
                      </c:pt>
                      <c:pt idx="30" formatCode="0%">
                        <c:v>0.41886890461658333</c:v>
                      </c:pt>
                      <c:pt idx="31" formatCode="0%">
                        <c:v>0.38827838827838829</c:v>
                      </c:pt>
                      <c:pt idx="32" formatCode="0%">
                        <c:v>0.44745538664904166</c:v>
                      </c:pt>
                      <c:pt idx="33" formatCode="0%">
                        <c:v>0.34307507713404184</c:v>
                      </c:pt>
                      <c:pt idx="34" formatCode="0%">
                        <c:v>0.36382322713257964</c:v>
                      </c:pt>
                      <c:pt idx="35" formatCode="0%">
                        <c:v>0.3874122021760088</c:v>
                      </c:pt>
                      <c:pt idx="36" formatCode="0%">
                        <c:v>0.36809251593402981</c:v>
                      </c:pt>
                      <c:pt idx="37" formatCode="0%">
                        <c:v>0.44459208078660645</c:v>
                      </c:pt>
                      <c:pt idx="38" formatCode="0%">
                        <c:v>0.40100060642813828</c:v>
                      </c:pt>
                      <c:pt idx="39" formatCode="0%">
                        <c:v>0.40145605824232972</c:v>
                      </c:pt>
                      <c:pt idx="40" formatCode="0%">
                        <c:v>0.4055296377607025</c:v>
                      </c:pt>
                      <c:pt idx="41" formatCode="0%">
                        <c:v>0.35665687889422043</c:v>
                      </c:pt>
                      <c:pt idx="42" formatCode="0%">
                        <c:v>0.38630099228224918</c:v>
                      </c:pt>
                      <c:pt idx="43" formatCode="0%">
                        <c:v>0.35524568393094291</c:v>
                      </c:pt>
                      <c:pt idx="44" formatCode="0%">
                        <c:v>0.48031454226661707</c:v>
                      </c:pt>
                      <c:pt idx="45" formatCode="0%">
                        <c:v>0.34933209071140103</c:v>
                      </c:pt>
                      <c:pt idx="46" formatCode="0%">
                        <c:v>0.31336223886480097</c:v>
                      </c:pt>
                      <c:pt idx="47" formatCode="0%">
                        <c:v>0.29900475984422326</c:v>
                      </c:pt>
                      <c:pt idx="48" formatCode="0%">
                        <c:v>0.36016864083517364</c:v>
                      </c:pt>
                      <c:pt idx="49" formatCode="0%">
                        <c:v>0.34911647585863614</c:v>
                      </c:pt>
                      <c:pt idx="50" formatCode="0%">
                        <c:v>0.36055393404955599</c:v>
                      </c:pt>
                      <c:pt idx="51" formatCode="0%">
                        <c:v>0.36869436201780414</c:v>
                      </c:pt>
                      <c:pt idx="52" formatCode="0%">
                        <c:v>0.39349028102377015</c:v>
                      </c:pt>
                      <c:pt idx="53" formatCode="0%">
                        <c:v>0.3799798285426122</c:v>
                      </c:pt>
                      <c:pt idx="54" formatCode="0%">
                        <c:v>0.38040753358616702</c:v>
                      </c:pt>
                      <c:pt idx="55" formatCode="0%">
                        <c:v>0.35053346265761398</c:v>
                      </c:pt>
                      <c:pt idx="56" formatCode="0%">
                        <c:v>0.4553874956890181</c:v>
                      </c:pt>
                      <c:pt idx="57" formatCode="0%">
                        <c:v>0.39039900951094603</c:v>
                      </c:pt>
                      <c:pt idx="58" formatCode="0%">
                        <c:v>0.35210125950866694</c:v>
                      </c:pt>
                      <c:pt idx="59" formatCode="0%">
                        <c:v>0.36553380125600293</c:v>
                      </c:pt>
                      <c:pt idx="60" formatCode="0%">
                        <c:v>0.38659449345094893</c:v>
                      </c:pt>
                      <c:pt idx="61" formatCode="0%">
                        <c:v>0.3786630806297977</c:v>
                      </c:pt>
                      <c:pt idx="62" formatCode="0%">
                        <c:v>0.45169237989088989</c:v>
                      </c:pt>
                      <c:pt idx="63" formatCode="0%">
                        <c:v>0.44661209920610501</c:v>
                      </c:pt>
                      <c:pt idx="64" formatCode="0%">
                        <c:v>0.45512076172782162</c:v>
                      </c:pt>
                      <c:pt idx="65" formatCode="0%">
                        <c:v>0.36441256830601093</c:v>
                      </c:pt>
                      <c:pt idx="66" formatCode="0%">
                        <c:v>0.41050668324525957</c:v>
                      </c:pt>
                      <c:pt idx="67" formatCode="0%">
                        <c:v>0.32462618248397923</c:v>
                      </c:pt>
                      <c:pt idx="68" formatCode="0%">
                        <c:v>0.46384178180305902</c:v>
                      </c:pt>
                      <c:pt idx="69" formatCode="0%">
                        <c:v>0.33997866382184289</c:v>
                      </c:pt>
                      <c:pt idx="70" formatCode="0%">
                        <c:v>0.36681604546945024</c:v>
                      </c:pt>
                      <c:pt idx="71" formatCode="0%">
                        <c:v>0.38456468727344623</c:v>
                      </c:pt>
                      <c:pt idx="72" formatCode="0%">
                        <c:v>0.35863366453054263</c:v>
                      </c:pt>
                      <c:pt idx="73" formatCode="0%">
                        <c:v>0.37068082928077811</c:v>
                      </c:pt>
                      <c:pt idx="74" formatCode="0%">
                        <c:v>0.4240988909426987</c:v>
                      </c:pt>
                      <c:pt idx="75" formatCode="0%">
                        <c:v>0.39255205552589428</c:v>
                      </c:pt>
                      <c:pt idx="76" formatCode="0%">
                        <c:v>0.37914612281488119</c:v>
                      </c:pt>
                      <c:pt idx="77" formatCode="0%">
                        <c:v>0.3675827607745159</c:v>
                      </c:pt>
                      <c:pt idx="78" formatCode="0%">
                        <c:v>0.38946791003839826</c:v>
                      </c:pt>
                      <c:pt idx="79" formatCode="0%">
                        <c:v>0.38479567841982154</c:v>
                      </c:pt>
                      <c:pt idx="80" formatCode="0%">
                        <c:v>0.38901774273244283</c:v>
                      </c:pt>
                      <c:pt idx="81" formatCode="0%">
                        <c:v>0.38954361054227266</c:v>
                      </c:pt>
                      <c:pt idx="82" formatCode="0%">
                        <c:v>0.39554482043419836</c:v>
                      </c:pt>
                      <c:pt idx="83" formatCode="0%">
                        <c:v>0.3983846303479846</c:v>
                      </c:pt>
                    </c:numCache>
                  </c:numRef>
                </c:val>
                <c:smooth val="0"/>
                <c:extLst>
                  <c:ext xmlns:c16="http://schemas.microsoft.com/office/drawing/2014/chart" uri="{C3380CC4-5D6E-409C-BE32-E72D297353CC}">
                    <c16:uniqueId val="{00000006-63D2-444C-A9E8-36A8C3B9CB58}"/>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'Sheet1 (2)'!$A$81</c15:sqref>
                        </c15:formulaRef>
                      </c:ext>
                    </c:extLst>
                    <c:strCache>
                      <c:ptCount val="1"/>
                      <c:pt idx="0">
                        <c:v>FOE 12 month pre</c:v>
                      </c:pt>
                    </c:strCache>
                  </c:strRef>
                </c:tx>
                <c:spPr>
                  <a:ln w="28575" cap="rnd">
                    <a:solidFill>
                      <a:schemeClr val="accent4"/>
                    </a:solidFill>
                    <a:round/>
                  </a:ln>
                  <a:effectLst/>
                </c:spPr>
                <c:marker>
                  <c:symbol val="none"/>
                </c:marker>
                <c:val>
                  <c:numRef>
                    <c:extLst xmlns:c15="http://schemas.microsoft.com/office/drawing/2012/chart">
                      <c:ext xmlns:c15="http://schemas.microsoft.com/office/drawing/2012/chart" uri="{02D57815-91ED-43cb-92C2-25804820EDAC}">
                        <c15:formulaRef>
                          <c15:sqref>'Sheet1 (2)'!$B$81:$CG$81</c15:sqref>
                        </c15:formulaRef>
                      </c:ext>
                    </c:extLst>
                    <c:numCache>
                      <c:formatCode>General</c:formatCode>
                      <c:ptCount val="84"/>
                      <c:pt idx="13">
                        <c:v>0.42963659646449504</c:v>
                      </c:pt>
                      <c:pt idx="14">
                        <c:v>0.42639001274686894</c:v>
                      </c:pt>
                      <c:pt idx="15">
                        <c:v>0.42303520957198959</c:v>
                      </c:pt>
                      <c:pt idx="16">
                        <c:v>0.41978862585436438</c:v>
                      </c:pt>
                      <c:pt idx="17">
                        <c:v>0.41643382267948414</c:v>
                      </c:pt>
                      <c:pt idx="18">
                        <c:v>0.41307901950460479</c:v>
                      </c:pt>
                      <c:pt idx="19">
                        <c:v>0.40983243578697959</c:v>
                      </c:pt>
                      <c:pt idx="20">
                        <c:v>0.40647763261209935</c:v>
                      </c:pt>
                      <c:pt idx="21">
                        <c:v>0.40323104889447414</c:v>
                      </c:pt>
                      <c:pt idx="22">
                        <c:v>0.39987624571959479</c:v>
                      </c:pt>
                      <c:pt idx="23">
                        <c:v>0.39652144254471455</c:v>
                      </c:pt>
                      <c:pt idx="24">
                        <c:v>0.39349129774159763</c:v>
                      </c:pt>
                      <c:pt idx="25">
                        <c:v>0.39013649456671828</c:v>
                      </c:pt>
                      <c:pt idx="26">
                        <c:v>0.38688991084909219</c:v>
                      </c:pt>
                      <c:pt idx="27">
                        <c:v>0.38353510767421284</c:v>
                      </c:pt>
                      <c:pt idx="28">
                        <c:v>0.38028852395658763</c:v>
                      </c:pt>
                      <c:pt idx="29">
                        <c:v>0.37693372078170739</c:v>
                      </c:pt>
                      <c:pt idx="30">
                        <c:v>0.37357891760682804</c:v>
                      </c:pt>
                      <c:pt idx="31">
                        <c:v>0.37033233388920284</c:v>
                      </c:pt>
                      <c:pt idx="32">
                        <c:v>0.3669775307143226</c:v>
                      </c:pt>
                      <c:pt idx="33">
                        <c:v>0.36373094699669739</c:v>
                      </c:pt>
                      <c:pt idx="34">
                        <c:v>0.36037614382181715</c:v>
                      </c:pt>
                      <c:pt idx="35">
                        <c:v>0.3570213406469378</c:v>
                      </c:pt>
                      <c:pt idx="36">
                        <c:v>0.35399119584382088</c:v>
                      </c:pt>
                      <c:pt idx="37">
                        <c:v>0.35063639266894064</c:v>
                      </c:pt>
                      <c:pt idx="38">
                        <c:v>0.34738980895131544</c:v>
                      </c:pt>
                      <c:pt idx="39">
                        <c:v>0.34403500577643609</c:v>
                      </c:pt>
                      <c:pt idx="40">
                        <c:v>0.34078842205880999</c:v>
                      </c:pt>
                      <c:pt idx="41">
                        <c:v>0.33743361888393064</c:v>
                      </c:pt>
                      <c:pt idx="42">
                        <c:v>0.33407881570905129</c:v>
                      </c:pt>
                      <c:pt idx="43">
                        <c:v>0.3308322319914252</c:v>
                      </c:pt>
                      <c:pt idx="44">
                        <c:v>0.32747742881654585</c:v>
                      </c:pt>
                      <c:pt idx="45">
                        <c:v>0.32423084509892064</c:v>
                      </c:pt>
                      <c:pt idx="46">
                        <c:v>0.3208760419240404</c:v>
                      </c:pt>
                      <c:pt idx="47">
                        <c:v>0.31752123874916105</c:v>
                      </c:pt>
                      <c:pt idx="48">
                        <c:v>0.31449109394604413</c:v>
                      </c:pt>
                      <c:pt idx="49">
                        <c:v>0.31113629077116389</c:v>
                      </c:pt>
                      <c:pt idx="50">
                        <c:v>0.30788970705353869</c:v>
                      </c:pt>
                      <c:pt idx="51">
                        <c:v>0.30453490387865934</c:v>
                      </c:pt>
                      <c:pt idx="52">
                        <c:v>0.30128832016103324</c:v>
                      </c:pt>
                      <c:pt idx="53">
                        <c:v>0.29793351698615389</c:v>
                      </c:pt>
                      <c:pt idx="54">
                        <c:v>0.29457871381127454</c:v>
                      </c:pt>
                      <c:pt idx="55">
                        <c:v>0.29133213009364844</c:v>
                      </c:pt>
                      <c:pt idx="56">
                        <c:v>0.28797732691876909</c:v>
                      </c:pt>
                      <c:pt idx="57">
                        <c:v>0.284730743201143</c:v>
                      </c:pt>
                      <c:pt idx="58">
                        <c:v>0.28137594002626365</c:v>
                      </c:pt>
                      <c:pt idx="59">
                        <c:v>0.2780211368513843</c:v>
                      </c:pt>
                      <c:pt idx="60">
                        <c:v>0.27488277259101235</c:v>
                      </c:pt>
                      <c:pt idx="61">
                        <c:v>0.271527969416133</c:v>
                      </c:pt>
                      <c:pt idx="62">
                        <c:v>0.26828138569850779</c:v>
                      </c:pt>
                      <c:pt idx="63">
                        <c:v>0.26492658252362755</c:v>
                      </c:pt>
                      <c:pt idx="64">
                        <c:v>0.26167999880600235</c:v>
                      </c:pt>
                      <c:pt idx="65">
                        <c:v>0.25832519563112299</c:v>
                      </c:pt>
                      <c:pt idx="66">
                        <c:v>0.25497039245624276</c:v>
                      </c:pt>
                      <c:pt idx="67">
                        <c:v>0.25172380873861755</c:v>
                      </c:pt>
                      <c:pt idx="68">
                        <c:v>0.2483690055637382</c:v>
                      </c:pt>
                      <c:pt idx="69">
                        <c:v>0.2451224218461121</c:v>
                      </c:pt>
                      <c:pt idx="70">
                        <c:v>0.24176761867123275</c:v>
                      </c:pt>
                      <c:pt idx="71">
                        <c:v>0.2384128154963534</c:v>
                      </c:pt>
                      <c:pt idx="72">
                        <c:v>0.2353826706932356</c:v>
                      </c:pt>
                      <c:pt idx="73">
                        <c:v>0.23202786751835625</c:v>
                      </c:pt>
                      <c:pt idx="74">
                        <c:v>0.22878128380073104</c:v>
                      </c:pt>
                      <c:pt idx="75">
                        <c:v>0.2254264806258508</c:v>
                      </c:pt>
                      <c:pt idx="76">
                        <c:v>0.22217989690822559</c:v>
                      </c:pt>
                      <c:pt idx="77">
                        <c:v>0.21882509373334624</c:v>
                      </c:pt>
                      <c:pt idx="78">
                        <c:v>0.215470290558466</c:v>
                      </c:pt>
                      <c:pt idx="79">
                        <c:v>0.2122237068408408</c:v>
                      </c:pt>
                      <c:pt idx="80">
                        <c:v>0.20886890366596056</c:v>
                      </c:pt>
                      <c:pt idx="81">
                        <c:v>0.20562231994833535</c:v>
                      </c:pt>
                      <c:pt idx="82">
                        <c:v>0.202267516773456</c:v>
                      </c:pt>
                      <c:pt idx="83">
                        <c:v>0.19891271359857576</c:v>
                      </c:pt>
                    </c:numCache>
                  </c:numRef>
                </c:val>
                <c:smooth val="0"/>
                <c:extLst xmlns:c15="http://schemas.microsoft.com/office/drawing/2012/chart">
                  <c:ext xmlns:c16="http://schemas.microsoft.com/office/drawing/2014/chart" uri="{C3380CC4-5D6E-409C-BE32-E72D297353CC}">
                    <c16:uniqueId val="{00000007-63D2-444C-A9E8-36A8C3B9CB58}"/>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'Sheet1 (2)'!$A$82</c15:sqref>
                        </c15:formulaRef>
                      </c:ext>
                    </c:extLst>
                    <c:strCache>
                      <c:ptCount val="1"/>
                      <c:pt idx="0">
                        <c:v>FOE Full pre</c:v>
                      </c:pt>
                    </c:strCache>
                  </c:strRef>
                </c:tx>
                <c:spPr>
                  <a:ln w="28575" cap="rnd">
                    <a:solidFill>
                      <a:schemeClr val="accent5"/>
                    </a:solidFill>
                    <a:round/>
                  </a:ln>
                  <a:effectLst/>
                </c:spPr>
                <c:marker>
                  <c:symbol val="none"/>
                </c:marker>
                <c:val>
                  <c:numRef>
                    <c:extLst xmlns:c15="http://schemas.microsoft.com/office/drawing/2012/chart">
                      <c:ext xmlns:c15="http://schemas.microsoft.com/office/drawing/2012/chart" uri="{02D57815-91ED-43cb-92C2-25804820EDAC}">
                        <c15:formulaRef>
                          <c15:sqref>'Sheet1 (2)'!$B$82:$CG$82</c15:sqref>
                        </c15:formulaRef>
                      </c:ext>
                    </c:extLst>
                    <c:numCache>
                      <c:formatCode>General</c:formatCode>
                      <c:ptCount val="84"/>
                      <c:pt idx="51">
                        <c:v>0.35420051247943141</c:v>
                      </c:pt>
                      <c:pt idx="52">
                        <c:v>0.35225612926413863</c:v>
                      </c:pt>
                      <c:pt idx="53">
                        <c:v>0.35024693327500289</c:v>
                      </c:pt>
                      <c:pt idx="54">
                        <c:v>0.34823773728586715</c:v>
                      </c:pt>
                      <c:pt idx="55">
                        <c:v>0.34629335407057438</c:v>
                      </c:pt>
                      <c:pt idx="56">
                        <c:v>0.34428415808143864</c:v>
                      </c:pt>
                      <c:pt idx="57">
                        <c:v>0.34233977486614631</c:v>
                      </c:pt>
                      <c:pt idx="58">
                        <c:v>0.34033057887701057</c:v>
                      </c:pt>
                      <c:pt idx="59">
                        <c:v>0.33832138288787483</c:v>
                      </c:pt>
                      <c:pt idx="60">
                        <c:v>0.33644181244642501</c:v>
                      </c:pt>
                      <c:pt idx="61">
                        <c:v>0.33443261645728928</c:v>
                      </c:pt>
                      <c:pt idx="62">
                        <c:v>0.33248823324199694</c:v>
                      </c:pt>
                      <c:pt idx="63">
                        <c:v>0.33047903725286121</c:v>
                      </c:pt>
                      <c:pt idx="64">
                        <c:v>0.32853465403756843</c:v>
                      </c:pt>
                      <c:pt idx="65">
                        <c:v>0.32652545804843269</c:v>
                      </c:pt>
                      <c:pt idx="66">
                        <c:v>0.32451626205929696</c:v>
                      </c:pt>
                      <c:pt idx="67">
                        <c:v>0.32257187884400418</c:v>
                      </c:pt>
                      <c:pt idx="68">
                        <c:v>0.32056268285486844</c:v>
                      </c:pt>
                      <c:pt idx="69">
                        <c:v>0.31861829963957611</c:v>
                      </c:pt>
                      <c:pt idx="70">
                        <c:v>0.31660910365044037</c:v>
                      </c:pt>
                      <c:pt idx="71">
                        <c:v>0.31459990766130463</c:v>
                      </c:pt>
                      <c:pt idx="72">
                        <c:v>0.31278514999369778</c:v>
                      </c:pt>
                      <c:pt idx="73">
                        <c:v>0.31077595400456204</c:v>
                      </c:pt>
                      <c:pt idx="74">
                        <c:v>0.3088315707892697</c:v>
                      </c:pt>
                      <c:pt idx="75">
                        <c:v>0.30682237480013397</c:v>
                      </c:pt>
                      <c:pt idx="76">
                        <c:v>0.30487799158484119</c:v>
                      </c:pt>
                      <c:pt idx="77">
                        <c:v>0.30286879559570545</c:v>
                      </c:pt>
                      <c:pt idx="78">
                        <c:v>0.30085959960656972</c:v>
                      </c:pt>
                      <c:pt idx="79">
                        <c:v>0.29891521639127694</c:v>
                      </c:pt>
                      <c:pt idx="80">
                        <c:v>0.2969060204021412</c:v>
                      </c:pt>
                      <c:pt idx="81">
                        <c:v>0.29496163718684887</c:v>
                      </c:pt>
                      <c:pt idx="82">
                        <c:v>0.29295244119771313</c:v>
                      </c:pt>
                      <c:pt idx="83">
                        <c:v>0.29094324520857739</c:v>
                      </c:pt>
                    </c:numCache>
                  </c:numRef>
                </c:val>
                <c:smooth val="0"/>
                <c:extLst xmlns:c15="http://schemas.microsoft.com/office/drawing/2012/chart">
                  <c:ext xmlns:c16="http://schemas.microsoft.com/office/drawing/2014/chart" uri="{C3380CC4-5D6E-409C-BE32-E72D297353CC}">
                    <c16:uniqueId val="{00000002-63D2-444C-A9E8-36A8C3B9CB58}"/>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'Sheet1 (2)'!$A$83</c15:sqref>
                        </c15:formulaRef>
                      </c:ext>
                    </c:extLst>
                    <c:strCache>
                      <c:ptCount val="1"/>
                      <c:pt idx="0">
                        <c:v>FOE no 12 pre</c:v>
                      </c:pt>
                    </c:strCache>
                  </c:strRef>
                </c:tx>
                <c:spPr>
                  <a:ln w="28575" cap="rnd">
                    <a:solidFill>
                      <a:schemeClr val="accent6"/>
                    </a:solidFill>
                    <a:round/>
                  </a:ln>
                  <a:effectLst/>
                </c:spPr>
                <c:marker>
                  <c:symbol val="none"/>
                </c:marker>
                <c:val>
                  <c:numRef>
                    <c:extLst xmlns:c15="http://schemas.microsoft.com/office/drawing/2012/chart">
                      <c:ext xmlns:c15="http://schemas.microsoft.com/office/drawing/2012/chart" uri="{02D57815-91ED-43cb-92C2-25804820EDAC}">
                        <c15:formulaRef>
                          <c15:sqref>'Sheet1 (2)'!$B$83:$CG$83</c15:sqref>
                        </c15:formulaRef>
                      </c:ext>
                    </c:extLst>
                    <c:numCache>
                      <c:formatCode>General</c:formatCode>
                      <c:ptCount val="84"/>
                      <c:pt idx="51">
                        <c:v>0.36983833471967675</c:v>
                      </c:pt>
                      <c:pt idx="52">
                        <c:v>0.36895051963220493</c:v>
                      </c:pt>
                      <c:pt idx="53">
                        <c:v>0.36803311070848399</c:v>
                      </c:pt>
                      <c:pt idx="54">
                        <c:v>0.36711570178476305</c:v>
                      </c:pt>
                      <c:pt idx="55">
                        <c:v>0.36622788669729123</c:v>
                      </c:pt>
                      <c:pt idx="56">
                        <c:v>0.36531047777357029</c:v>
                      </c:pt>
                      <c:pt idx="57">
                        <c:v>0.36442266268609846</c:v>
                      </c:pt>
                      <c:pt idx="58">
                        <c:v>0.36350525376237752</c:v>
                      </c:pt>
                      <c:pt idx="59">
                        <c:v>0.36258784483865658</c:v>
                      </c:pt>
                      <c:pt idx="60">
                        <c:v>0.36172962358743366</c:v>
                      </c:pt>
                      <c:pt idx="61">
                        <c:v>0.36081221466371272</c:v>
                      </c:pt>
                      <c:pt idx="62">
                        <c:v>0.35992439957624089</c:v>
                      </c:pt>
                      <c:pt idx="63">
                        <c:v>0.35900699065251995</c:v>
                      </c:pt>
                      <c:pt idx="64">
                        <c:v>0.35811917556504813</c:v>
                      </c:pt>
                      <c:pt idx="65">
                        <c:v>0.35720176664132719</c:v>
                      </c:pt>
                      <c:pt idx="66">
                        <c:v>0.35628435771760625</c:v>
                      </c:pt>
                      <c:pt idx="67">
                        <c:v>0.35539654263013443</c:v>
                      </c:pt>
                      <c:pt idx="68">
                        <c:v>0.35447913370641349</c:v>
                      </c:pt>
                      <c:pt idx="69">
                        <c:v>0.35359131861894166</c:v>
                      </c:pt>
                      <c:pt idx="70">
                        <c:v>0.35267390969522072</c:v>
                      </c:pt>
                      <c:pt idx="71">
                        <c:v>0.35175650077149978</c:v>
                      </c:pt>
                      <c:pt idx="72">
                        <c:v>0.35092787335652598</c:v>
                      </c:pt>
                      <c:pt idx="73">
                        <c:v>0.35001046443280504</c:v>
                      </c:pt>
                      <c:pt idx="74">
                        <c:v>0.34912264934533321</c:v>
                      </c:pt>
                      <c:pt idx="75">
                        <c:v>0.34820524042161227</c:v>
                      </c:pt>
                      <c:pt idx="76">
                        <c:v>0.34731742533414045</c:v>
                      </c:pt>
                      <c:pt idx="77">
                        <c:v>0.34640001641041951</c:v>
                      </c:pt>
                      <c:pt idx="78">
                        <c:v>0.34548260748669857</c:v>
                      </c:pt>
                      <c:pt idx="79">
                        <c:v>0.34459479239922675</c:v>
                      </c:pt>
                      <c:pt idx="80">
                        <c:v>0.3436773834755058</c:v>
                      </c:pt>
                      <c:pt idx="81">
                        <c:v>0.34278956838803398</c:v>
                      </c:pt>
                      <c:pt idx="82">
                        <c:v>0.34187215946431304</c:v>
                      </c:pt>
                      <c:pt idx="83">
                        <c:v>0.3409547505405921</c:v>
                      </c:pt>
                    </c:numCache>
                  </c:numRef>
                </c:val>
                <c:smooth val="0"/>
                <c:extLst xmlns:c15="http://schemas.microsoft.com/office/drawing/2012/chart">
                  <c:ext xmlns:c16="http://schemas.microsoft.com/office/drawing/2014/chart" uri="{C3380CC4-5D6E-409C-BE32-E72D297353CC}">
                    <c16:uniqueId val="{00000008-63D2-444C-A9E8-36A8C3B9CB58}"/>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'Sheet1 (2)'!$A$86</c15:sqref>
                        </c15:formulaRef>
                      </c:ext>
                    </c:extLst>
                    <c:strCache>
                      <c:ptCount val="1"/>
                      <c:pt idx="0">
                        <c:v>GH Annual</c:v>
                      </c:pt>
                    </c:strCache>
                  </c:strRef>
                </c:tx>
                <c:spPr>
                  <a:ln w="28575" cap="rnd">
                    <a:solidFill>
                      <a:schemeClr val="accent3">
                        <a:lumMod val="60000"/>
                      </a:schemeClr>
                    </a:solidFill>
                    <a:round/>
                  </a:ln>
                  <a:effectLst/>
                </c:spPr>
                <c:marker>
                  <c:symbol val="none"/>
                </c:marker>
                <c:val>
                  <c:numRef>
                    <c:extLst xmlns:c15="http://schemas.microsoft.com/office/drawing/2012/chart">
                      <c:ext xmlns:c15="http://schemas.microsoft.com/office/drawing/2012/chart" uri="{02D57815-91ED-43cb-92C2-25804820EDAC}">
                        <c15:formulaRef>
                          <c15:sqref>'Sheet1 (2)'!$B$86:$CG$86</c15:sqref>
                        </c15:formulaRef>
                      </c:ext>
                    </c:extLst>
                    <c:numCache>
                      <c:formatCode>General</c:formatCode>
                      <c:ptCount val="84"/>
                      <c:pt idx="51" formatCode="0%">
                        <c:v>0.38</c:v>
                      </c:pt>
                      <c:pt idx="52" formatCode="0%">
                        <c:v>0.38</c:v>
                      </c:pt>
                      <c:pt idx="53" formatCode="0%">
                        <c:v>0.38</c:v>
                      </c:pt>
                      <c:pt idx="54" formatCode="0%">
                        <c:v>0.38</c:v>
                      </c:pt>
                      <c:pt idx="55" formatCode="0%">
                        <c:v>0.38</c:v>
                      </c:pt>
                      <c:pt idx="56" formatCode="0%">
                        <c:v>0.38</c:v>
                      </c:pt>
                      <c:pt idx="57" formatCode="0%">
                        <c:v>0.38</c:v>
                      </c:pt>
                      <c:pt idx="58" formatCode="0%">
                        <c:v>0.37</c:v>
                      </c:pt>
                      <c:pt idx="59" formatCode="0%">
                        <c:v>0.37</c:v>
                      </c:pt>
                      <c:pt idx="60" formatCode="0%">
                        <c:v>0.37</c:v>
                      </c:pt>
                      <c:pt idx="61" formatCode="0%">
                        <c:v>0.37</c:v>
                      </c:pt>
                      <c:pt idx="62" formatCode="0%">
                        <c:v>0.37</c:v>
                      </c:pt>
                      <c:pt idx="63" formatCode="0%">
                        <c:v>0.37</c:v>
                      </c:pt>
                      <c:pt idx="64" formatCode="0%">
                        <c:v>0.37</c:v>
                      </c:pt>
                      <c:pt idx="65" formatCode="0%">
                        <c:v>0.37</c:v>
                      </c:pt>
                      <c:pt idx="66" formatCode="0%">
                        <c:v>0.37</c:v>
                      </c:pt>
                      <c:pt idx="67" formatCode="0%">
                        <c:v>0.37</c:v>
                      </c:pt>
                      <c:pt idx="68" formatCode="0%">
                        <c:v>0.37</c:v>
                      </c:pt>
                      <c:pt idx="69" formatCode="0%">
                        <c:v>0.37</c:v>
                      </c:pt>
                      <c:pt idx="70" formatCode="0%">
                        <c:v>0.36</c:v>
                      </c:pt>
                      <c:pt idx="71" formatCode="0%">
                        <c:v>0.36</c:v>
                      </c:pt>
                      <c:pt idx="72" formatCode="0%">
                        <c:v>0.36</c:v>
                      </c:pt>
                      <c:pt idx="73" formatCode="0%">
                        <c:v>0.36</c:v>
                      </c:pt>
                      <c:pt idx="74" formatCode="0%">
                        <c:v>0.36</c:v>
                      </c:pt>
                      <c:pt idx="75" formatCode="0%">
                        <c:v>0.36</c:v>
                      </c:pt>
                      <c:pt idx="76" formatCode="0%">
                        <c:v>0.36</c:v>
                      </c:pt>
                      <c:pt idx="77" formatCode="0%">
                        <c:v>0.36</c:v>
                      </c:pt>
                      <c:pt idx="78" formatCode="0%">
                        <c:v>0.36</c:v>
                      </c:pt>
                      <c:pt idx="79" formatCode="0%">
                        <c:v>0.36</c:v>
                      </c:pt>
                      <c:pt idx="80" formatCode="0%">
                        <c:v>0.36</c:v>
                      </c:pt>
                      <c:pt idx="81" formatCode="0%">
                        <c:v>0.36</c:v>
                      </c:pt>
                    </c:numCache>
                  </c:numRef>
                </c:val>
                <c:smooth val="0"/>
                <c:extLst xmlns:c15="http://schemas.microsoft.com/office/drawing/2012/chart">
                  <c:ext xmlns:c16="http://schemas.microsoft.com/office/drawing/2014/chart" uri="{C3380CC4-5D6E-409C-BE32-E72D297353CC}">
                    <c16:uniqueId val="{00000005-63D2-444C-A9E8-36A8C3B9CB58}"/>
                  </c:ext>
                </c:extLst>
              </c15:ser>
            </c15:filteredLineSeries>
          </c:ext>
        </c:extLst>
      </c:lineChart>
      <c:dateAx>
        <c:axId val="32065688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4764816"/>
        <c:crosses val="autoZero"/>
        <c:auto val="1"/>
        <c:lblOffset val="100"/>
        <c:baseTimeUnit val="months"/>
      </c:dateAx>
      <c:valAx>
        <c:axId val="1024764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Top-Load Washer ES Market</a:t>
                </a:r>
                <a:r>
                  <a:rPr lang="en-US" baseline="0"/>
                  <a:t> Share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0656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0.18376</cdr:x>
      <cdr:y>0.05093</cdr:y>
    </cdr:from>
    <cdr:to>
      <cdr:x>0.18376</cdr:x>
      <cdr:y>0.88889</cdr:y>
    </cdr:to>
    <cdr:cxnSp macro="">
      <cdr:nvCxnSpPr>
        <cdr:cNvPr id="3" name="Straight Connector 2"/>
        <cdr:cNvCxnSpPr/>
      </cdr:nvCxnSpPr>
      <cdr:spPr>
        <a:xfrm xmlns:a="http://schemas.openxmlformats.org/drawingml/2006/main" flipV="1">
          <a:off x="1092200" y="139700"/>
          <a:ext cx="0" cy="2298700"/>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0.17842</cdr:x>
      <cdr:y>0.04167</cdr:y>
    </cdr:from>
    <cdr:to>
      <cdr:x>0.38462</cdr:x>
      <cdr:y>0.25231</cdr:y>
    </cdr:to>
    <cdr:sp macro="" textlink="">
      <cdr:nvSpPr>
        <cdr:cNvPr id="4" name="Text Box 3"/>
        <cdr:cNvSpPr txBox="1"/>
      </cdr:nvSpPr>
      <cdr:spPr>
        <a:xfrm xmlns:a="http://schemas.openxmlformats.org/drawingml/2006/main">
          <a:off x="1060450" y="114300"/>
          <a:ext cx="1225550" cy="577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ENERGY</a:t>
          </a:r>
          <a:r>
            <a:rPr lang="en-US" sz="900" baseline="0"/>
            <a:t> STAR V1 specification effective 1/1/2015</a:t>
          </a:r>
          <a:endParaRPr lang="en-US" sz="900"/>
        </a:p>
      </cdr:txBody>
    </cdr:sp>
  </cdr:relSizeAnchor>
</c:userShapes>
</file>

<file path=word/drawings/drawing2.xml><?xml version="1.0" encoding="utf-8"?>
<c:userShapes xmlns:c="http://schemas.openxmlformats.org/drawingml/2006/chart">
  <cdr:relSizeAnchor xmlns:cdr="http://schemas.openxmlformats.org/drawingml/2006/chartDrawing">
    <cdr:from>
      <cdr:x>0.60296</cdr:x>
      <cdr:y>0</cdr:y>
    </cdr:from>
    <cdr:to>
      <cdr:x>0.81772</cdr:x>
      <cdr:y>0.19907</cdr:y>
    </cdr:to>
    <cdr:sp macro="" textlink="">
      <cdr:nvSpPr>
        <cdr:cNvPr id="2" name="Text Box 1"/>
        <cdr:cNvSpPr txBox="1"/>
      </cdr:nvSpPr>
      <cdr:spPr>
        <a:xfrm xmlns:a="http://schemas.openxmlformats.org/drawingml/2006/main">
          <a:off x="3583778" y="0"/>
          <a:ext cx="1276434" cy="5461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Linear trend line based on first 18 months of data</a:t>
          </a:r>
        </a:p>
      </cdr:txBody>
    </cdr:sp>
  </cdr:relSizeAnchor>
  <cdr:relSizeAnchor xmlns:cdr="http://schemas.openxmlformats.org/drawingml/2006/chartDrawing">
    <cdr:from>
      <cdr:x>0.79075</cdr:x>
      <cdr:y>0.38194</cdr:y>
    </cdr:from>
    <cdr:to>
      <cdr:x>0.97467</cdr:x>
      <cdr:y>0.61574</cdr:y>
    </cdr:to>
    <cdr:sp macro="" textlink="">
      <cdr:nvSpPr>
        <cdr:cNvPr id="3" name="Text Box 2"/>
        <cdr:cNvSpPr txBox="1"/>
      </cdr:nvSpPr>
      <cdr:spPr>
        <a:xfrm xmlns:a="http://schemas.openxmlformats.org/drawingml/2006/main">
          <a:off x="4559300" y="1047750"/>
          <a:ext cx="1060450" cy="6413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Logarithmic trend line based on first 18 months of data</a:t>
          </a:r>
        </a:p>
      </cdr:txBody>
    </cdr:sp>
  </cdr:relSizeAnchor>
  <cdr:relSizeAnchor xmlns:cdr="http://schemas.openxmlformats.org/drawingml/2006/chartDrawing">
    <cdr:from>
      <cdr:x>0.0938</cdr:x>
      <cdr:y>0.90973</cdr:y>
    </cdr:from>
    <cdr:to>
      <cdr:x>0.98611</cdr:x>
      <cdr:y>0.98011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57530" y="2495582"/>
          <a:ext cx="5303520" cy="193057"/>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0.12188</cdr:x>
      <cdr:y>0.15531</cdr:y>
    </cdr:from>
    <cdr:to>
      <cdr:x>0.26573</cdr:x>
      <cdr:y>0.79809</cdr:y>
    </cdr:to>
    <cdr:sp macro="" textlink="">
      <cdr:nvSpPr>
        <cdr:cNvPr id="2" name="Rectangle 1"/>
        <cdr:cNvSpPr/>
      </cdr:nvSpPr>
      <cdr:spPr>
        <a:xfrm xmlns:a="http://schemas.openxmlformats.org/drawingml/2006/main">
          <a:off x="724395" y="427512"/>
          <a:ext cx="855023" cy="1769423"/>
        </a:xfrm>
        <a:prstGeom xmlns:a="http://schemas.openxmlformats.org/drawingml/2006/main" prst="rect">
          <a:avLst/>
        </a:prstGeom>
        <a:solidFill xmlns:a="http://schemas.openxmlformats.org/drawingml/2006/main">
          <a:schemeClr val="accent3">
            <a:lumMod val="20000"/>
            <a:lumOff val="80000"/>
            <a:alpha val="50000"/>
          </a:schemeClr>
        </a:solidFill>
        <a:ln xmlns:a="http://schemas.openxmlformats.org/drawingml/2006/main">
          <a:noFill/>
        </a:ln>
      </cdr:spPr>
      <cdr:style>
        <a:lnRef xmlns:a="http://schemas.openxmlformats.org/drawingml/2006/main" idx="2">
          <a:schemeClr val="accent3">
            <a:shade val="50000"/>
          </a:schemeClr>
        </a:lnRef>
        <a:fillRef xmlns:a="http://schemas.openxmlformats.org/drawingml/2006/main" idx="1">
          <a:schemeClr val="accent3"/>
        </a:fillRef>
        <a:effectRef xmlns:a="http://schemas.openxmlformats.org/drawingml/2006/main" idx="0">
          <a:schemeClr val="accent3"/>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sz="800">
              <a:solidFill>
                <a:schemeClr val="tx1"/>
              </a:solidFill>
            </a:rPr>
            <a:t>Phase 1: Jun 2020 - May 2023 </a:t>
          </a:r>
        </a:p>
      </cdr:txBody>
    </cdr:sp>
  </cdr:relSizeAnchor>
  <cdr:relSizeAnchor xmlns:cdr="http://schemas.openxmlformats.org/drawingml/2006/chartDrawing">
    <cdr:from>
      <cdr:x>0.26474</cdr:x>
      <cdr:y>0.15531</cdr:y>
    </cdr:from>
    <cdr:to>
      <cdr:x>0.35864</cdr:x>
      <cdr:y>0.79594</cdr:y>
    </cdr:to>
    <cdr:sp macro="" textlink="">
      <cdr:nvSpPr>
        <cdr:cNvPr id="4" name="Rectangle 3"/>
        <cdr:cNvSpPr/>
      </cdr:nvSpPr>
      <cdr:spPr>
        <a:xfrm xmlns:a="http://schemas.openxmlformats.org/drawingml/2006/main">
          <a:off x="1573481" y="427512"/>
          <a:ext cx="558140" cy="1763486"/>
        </a:xfrm>
        <a:prstGeom xmlns:a="http://schemas.openxmlformats.org/drawingml/2006/main" prst="rect">
          <a:avLst/>
        </a:prstGeom>
        <a:solidFill xmlns:a="http://schemas.openxmlformats.org/drawingml/2006/main">
          <a:schemeClr val="accent1">
            <a:alpha val="5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sz="800">
              <a:solidFill>
                <a:schemeClr val="tx1"/>
              </a:solidFill>
            </a:rPr>
            <a:t>Phase 2: June - Dec 2023</a:t>
          </a:r>
        </a:p>
      </cdr:txBody>
    </cdr:sp>
  </cdr:relSizeAnchor>
  <cdr:relSizeAnchor xmlns:cdr="http://schemas.openxmlformats.org/drawingml/2006/chartDrawing">
    <cdr:from>
      <cdr:x>0.35864</cdr:x>
      <cdr:y>0.15531</cdr:y>
    </cdr:from>
    <cdr:to>
      <cdr:x>0.63936</cdr:x>
      <cdr:y>0.79594</cdr:y>
    </cdr:to>
    <cdr:sp macro="" textlink="">
      <cdr:nvSpPr>
        <cdr:cNvPr id="5" name="Rectangle 4"/>
        <cdr:cNvSpPr/>
      </cdr:nvSpPr>
      <cdr:spPr>
        <a:xfrm xmlns:a="http://schemas.openxmlformats.org/drawingml/2006/main">
          <a:off x="2131620" y="427512"/>
          <a:ext cx="1668484" cy="1763486"/>
        </a:xfrm>
        <a:prstGeom xmlns:a="http://schemas.openxmlformats.org/drawingml/2006/main" prst="rect">
          <a:avLst/>
        </a:prstGeom>
        <a:solidFill xmlns:a="http://schemas.openxmlformats.org/drawingml/2006/main">
          <a:schemeClr val="accent5">
            <a:alpha val="50000"/>
          </a:schemeClr>
        </a:solidFill>
        <a:ln xmlns:a="http://schemas.openxmlformats.org/drawingml/2006/main">
          <a:noFill/>
        </a:ln>
      </cdr:spPr>
      <cdr:style>
        <a:lnRef xmlns:a="http://schemas.openxmlformats.org/drawingml/2006/main" idx="2">
          <a:schemeClr val="accent5">
            <a:shade val="50000"/>
          </a:schemeClr>
        </a:lnRef>
        <a:fillRef xmlns:a="http://schemas.openxmlformats.org/drawingml/2006/main" idx="1">
          <a:schemeClr val="accent5"/>
        </a:fillRef>
        <a:effectRef xmlns:a="http://schemas.openxmlformats.org/drawingml/2006/main" idx="0">
          <a:schemeClr val="accent5"/>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sz="800">
              <a:solidFill>
                <a:schemeClr val="tx1"/>
              </a:solidFill>
            </a:rPr>
            <a:t>Phase 3: Jan 2024 - Dec 2026</a:t>
          </a:r>
        </a:p>
      </cdr:txBody>
    </cdr:sp>
  </cdr:relSizeAnchor>
  <cdr:relSizeAnchor xmlns:cdr="http://schemas.openxmlformats.org/drawingml/2006/chartDrawing">
    <cdr:from>
      <cdr:x>0.63936</cdr:x>
      <cdr:y>0.15746</cdr:y>
    </cdr:from>
    <cdr:to>
      <cdr:x>0.97602</cdr:x>
      <cdr:y>0.79378</cdr:y>
    </cdr:to>
    <cdr:sp macro="" textlink="">
      <cdr:nvSpPr>
        <cdr:cNvPr id="6" name="Rectangle 5"/>
        <cdr:cNvSpPr/>
      </cdr:nvSpPr>
      <cdr:spPr>
        <a:xfrm xmlns:a="http://schemas.openxmlformats.org/drawingml/2006/main">
          <a:off x="3800104" y="433450"/>
          <a:ext cx="2000992" cy="1751610"/>
        </a:xfrm>
        <a:prstGeom xmlns:a="http://schemas.openxmlformats.org/drawingml/2006/main" prst="rect">
          <a:avLst/>
        </a:prstGeom>
        <a:solidFill xmlns:a="http://schemas.openxmlformats.org/drawingml/2006/main">
          <a:schemeClr val="accent6">
            <a:alpha val="50000"/>
          </a:schemeClr>
        </a:solidFill>
        <a:ln xmlns:a="http://schemas.openxmlformats.org/drawingml/2006/main">
          <a:noFill/>
        </a:ln>
      </cdr:spPr>
      <cdr:style>
        <a:lnRef xmlns:a="http://schemas.openxmlformats.org/drawingml/2006/main" idx="2">
          <a:schemeClr val="accent6">
            <a:shade val="50000"/>
          </a:schemeClr>
        </a:lnRef>
        <a:fillRef xmlns:a="http://schemas.openxmlformats.org/drawingml/2006/main" idx="1">
          <a:schemeClr val="accent6"/>
        </a:fillRef>
        <a:effectRef xmlns:a="http://schemas.openxmlformats.org/drawingml/2006/main" idx="0">
          <a:schemeClr val="accent6"/>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sz="800">
              <a:solidFill>
                <a:schemeClr val="tx1"/>
              </a:solidFill>
            </a:rPr>
            <a:t>Phase 4: Jan 2027 - Dec 2030</a:t>
          </a:r>
        </a:p>
      </cdr:txBody>
    </cdr:sp>
  </cdr:relSizeAnchor>
</c:userShapes>
</file>

<file path=word/drawings/drawing4.xml><?xml version="1.0" encoding="utf-8"?>
<c:userShapes xmlns:c="http://schemas.openxmlformats.org/drawingml/2006/chart">
  <cdr:relSizeAnchor xmlns:cdr="http://schemas.openxmlformats.org/drawingml/2006/chartDrawing">
    <cdr:from>
      <cdr:x>0.12188</cdr:x>
      <cdr:y>0.17396</cdr:y>
    </cdr:from>
    <cdr:to>
      <cdr:x>0.27073</cdr:x>
      <cdr:y>0.72775</cdr:y>
    </cdr:to>
    <cdr:sp macro="" textlink="">
      <cdr:nvSpPr>
        <cdr:cNvPr id="2" name="Rectangle 1"/>
        <cdr:cNvSpPr/>
      </cdr:nvSpPr>
      <cdr:spPr>
        <a:xfrm xmlns:a="http://schemas.openxmlformats.org/drawingml/2006/main">
          <a:off x="724395" y="478313"/>
          <a:ext cx="884711" cy="1522680"/>
        </a:xfrm>
        <a:prstGeom xmlns:a="http://schemas.openxmlformats.org/drawingml/2006/main" prst="rect">
          <a:avLst/>
        </a:prstGeom>
        <a:solidFill xmlns:a="http://schemas.openxmlformats.org/drawingml/2006/main">
          <a:schemeClr val="accent3">
            <a:lumMod val="20000"/>
            <a:lumOff val="80000"/>
            <a:alpha val="50000"/>
          </a:schemeClr>
        </a:solidFill>
        <a:ln xmlns:a="http://schemas.openxmlformats.org/drawingml/2006/main">
          <a:noFill/>
        </a:ln>
      </cdr:spPr>
      <cdr:style>
        <a:lnRef xmlns:a="http://schemas.openxmlformats.org/drawingml/2006/main" idx="2">
          <a:schemeClr val="accent3">
            <a:shade val="50000"/>
          </a:schemeClr>
        </a:lnRef>
        <a:fillRef xmlns:a="http://schemas.openxmlformats.org/drawingml/2006/main" idx="1">
          <a:schemeClr val="accent3"/>
        </a:fillRef>
        <a:effectRef xmlns:a="http://schemas.openxmlformats.org/drawingml/2006/main" idx="0">
          <a:schemeClr val="accent3"/>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sz="800">
              <a:solidFill>
                <a:schemeClr val="tx1"/>
              </a:solidFill>
            </a:rPr>
            <a:t>Phase 1: Jun 2020 - May 2023 </a:t>
          </a:r>
        </a:p>
      </cdr:txBody>
    </cdr:sp>
  </cdr:relSizeAnchor>
  <cdr:relSizeAnchor xmlns:cdr="http://schemas.openxmlformats.org/drawingml/2006/chartDrawing">
    <cdr:from>
      <cdr:x>0.26929</cdr:x>
      <cdr:y>0.1718</cdr:y>
    </cdr:from>
    <cdr:to>
      <cdr:x>0.64236</cdr:x>
      <cdr:y>0.72559</cdr:y>
    </cdr:to>
    <cdr:sp macro="" textlink="">
      <cdr:nvSpPr>
        <cdr:cNvPr id="3" name="Rectangle 2"/>
        <cdr:cNvSpPr/>
      </cdr:nvSpPr>
      <cdr:spPr>
        <a:xfrm xmlns:a="http://schemas.openxmlformats.org/drawingml/2006/main">
          <a:off x="1600531" y="472374"/>
          <a:ext cx="2217386" cy="1522680"/>
        </a:xfrm>
        <a:prstGeom xmlns:a="http://schemas.openxmlformats.org/drawingml/2006/main" prst="rect">
          <a:avLst/>
        </a:prstGeom>
        <a:solidFill xmlns:a="http://schemas.openxmlformats.org/drawingml/2006/main">
          <a:schemeClr val="accent1">
            <a:alpha val="50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sz="800">
              <a:solidFill>
                <a:schemeClr val="tx1"/>
              </a:solidFill>
            </a:rPr>
            <a:t>Phase 2: June 2023- Dec 2026</a:t>
          </a:r>
        </a:p>
      </cdr:txBody>
    </cdr:sp>
  </cdr:relSizeAnchor>
  <cdr:relSizeAnchor xmlns:cdr="http://schemas.openxmlformats.org/drawingml/2006/chartDrawing">
    <cdr:from>
      <cdr:x>0.64191</cdr:x>
      <cdr:y>0.16964</cdr:y>
    </cdr:from>
    <cdr:to>
      <cdr:x>0.73826</cdr:x>
      <cdr:y>0.72991</cdr:y>
    </cdr:to>
    <cdr:sp macro="" textlink="">
      <cdr:nvSpPr>
        <cdr:cNvPr id="4" name="Rectangle 3"/>
        <cdr:cNvSpPr/>
      </cdr:nvSpPr>
      <cdr:spPr>
        <a:xfrm xmlns:a="http://schemas.openxmlformats.org/drawingml/2006/main">
          <a:off x="3815277" y="466436"/>
          <a:ext cx="572655" cy="1540494"/>
        </a:xfrm>
        <a:prstGeom xmlns:a="http://schemas.openxmlformats.org/drawingml/2006/main" prst="rect">
          <a:avLst/>
        </a:prstGeom>
        <a:solidFill xmlns:a="http://schemas.openxmlformats.org/drawingml/2006/main">
          <a:schemeClr val="accent5">
            <a:alpha val="50000"/>
          </a:schemeClr>
        </a:solidFill>
        <a:ln xmlns:a="http://schemas.openxmlformats.org/drawingml/2006/main">
          <a:noFill/>
        </a:ln>
      </cdr:spPr>
      <cdr:style>
        <a:lnRef xmlns:a="http://schemas.openxmlformats.org/drawingml/2006/main" idx="2">
          <a:schemeClr val="accent5">
            <a:shade val="50000"/>
          </a:schemeClr>
        </a:lnRef>
        <a:fillRef xmlns:a="http://schemas.openxmlformats.org/drawingml/2006/main" idx="1">
          <a:schemeClr val="accent5"/>
        </a:fillRef>
        <a:effectRef xmlns:a="http://schemas.openxmlformats.org/drawingml/2006/main" idx="0">
          <a:schemeClr val="accent5"/>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sz="800">
              <a:solidFill>
                <a:schemeClr val="tx1"/>
              </a:solidFill>
            </a:rPr>
            <a:t>Phase 3: Jan - Dec 2027</a:t>
          </a:r>
        </a:p>
      </cdr:txBody>
    </cdr:sp>
  </cdr:relSizeAnchor>
  <cdr:relSizeAnchor xmlns:cdr="http://schemas.openxmlformats.org/drawingml/2006/chartDrawing">
    <cdr:from>
      <cdr:x>0.73826</cdr:x>
      <cdr:y>0.16844</cdr:y>
    </cdr:from>
    <cdr:to>
      <cdr:x>0.98457</cdr:x>
      <cdr:y>0.73207</cdr:y>
    </cdr:to>
    <cdr:sp macro="" textlink="">
      <cdr:nvSpPr>
        <cdr:cNvPr id="5" name="Rectangle 4"/>
        <cdr:cNvSpPr/>
      </cdr:nvSpPr>
      <cdr:spPr>
        <a:xfrm xmlns:a="http://schemas.openxmlformats.org/drawingml/2006/main">
          <a:off x="4387932" y="463138"/>
          <a:ext cx="1463964" cy="1549730"/>
        </a:xfrm>
        <a:prstGeom xmlns:a="http://schemas.openxmlformats.org/drawingml/2006/main" prst="rect">
          <a:avLst/>
        </a:prstGeom>
        <a:solidFill xmlns:a="http://schemas.openxmlformats.org/drawingml/2006/main">
          <a:schemeClr val="accent6">
            <a:alpha val="50000"/>
          </a:schemeClr>
        </a:solidFill>
        <a:ln xmlns:a="http://schemas.openxmlformats.org/drawingml/2006/main">
          <a:noFill/>
        </a:ln>
      </cdr:spPr>
      <cdr:style>
        <a:lnRef xmlns:a="http://schemas.openxmlformats.org/drawingml/2006/main" idx="2">
          <a:schemeClr val="accent6">
            <a:shade val="50000"/>
          </a:schemeClr>
        </a:lnRef>
        <a:fillRef xmlns:a="http://schemas.openxmlformats.org/drawingml/2006/main" idx="1">
          <a:schemeClr val="accent6"/>
        </a:fillRef>
        <a:effectRef xmlns:a="http://schemas.openxmlformats.org/drawingml/2006/main" idx="0">
          <a:schemeClr val="accent6"/>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sz="800">
              <a:solidFill>
                <a:schemeClr val="tx1"/>
              </a:solidFill>
            </a:rPr>
            <a:t>Phase 4: Jan 2028 - Dec 2030</a:t>
          </a:r>
        </a:p>
      </cdr:txBody>
    </cdr:sp>
  </cdr:relSizeAnchor>
</c:userShapes>
</file>

<file path=word/drawings/drawing5.xml><?xml version="1.0" encoding="utf-8"?>
<c:userShapes xmlns:c="http://schemas.openxmlformats.org/drawingml/2006/chart">
  <cdr:relSizeAnchor xmlns:cdr="http://schemas.openxmlformats.org/drawingml/2006/chartDrawing">
    <cdr:from>
      <cdr:x>0.07265</cdr:x>
      <cdr:y>0.90509</cdr:y>
    </cdr:from>
    <cdr:to>
      <cdr:x>0.94957</cdr:x>
      <cdr:y>0.97843</cdr:y>
    </cdr:to>
    <cdr:pic>
      <cdr:nvPicPr>
        <cdr:cNvPr id="3" name="chart"/>
        <cdr:cNvPicPr preferRelativeResize="0">
          <a:picLocks xmlns:a="http://schemas.openxmlformats.org/drawingml/2006/main"/>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31800" y="2482851"/>
          <a:ext cx="5212080" cy="201168"/>
        </a:xfrm>
        <a:prstGeom xmlns:a="http://schemas.openxmlformats.org/drawingml/2006/main" prst="rect">
          <a:avLst/>
        </a:prstGeom>
      </cdr:spPr>
    </cdr:pic>
  </cdr:relSizeAnchor>
  <cdr:relSizeAnchor xmlns:cdr="http://schemas.openxmlformats.org/drawingml/2006/chartDrawing">
    <cdr:from>
      <cdr:x>0.94872</cdr:x>
      <cdr:y>0.90972</cdr:y>
    </cdr:from>
    <cdr:to>
      <cdr:x>0.98397</cdr:x>
      <cdr:y>0.96991</cdr:y>
    </cdr:to>
    <cdr:sp macro="" textlink="">
      <cdr:nvSpPr>
        <cdr:cNvPr id="4" name="Rectangle 3"/>
        <cdr:cNvSpPr/>
      </cdr:nvSpPr>
      <cdr:spPr>
        <a:xfrm xmlns:a="http://schemas.openxmlformats.org/drawingml/2006/main">
          <a:off x="5638800" y="2495550"/>
          <a:ext cx="209550" cy="165100"/>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0.14637</cdr:x>
      <cdr:y>0.05324</cdr:y>
    </cdr:from>
    <cdr:to>
      <cdr:x>0.14637</cdr:x>
      <cdr:y>0.89583</cdr:y>
    </cdr:to>
    <cdr:cxnSp macro="">
      <cdr:nvCxnSpPr>
        <cdr:cNvPr id="6" name="Straight Connector 5"/>
        <cdr:cNvCxnSpPr/>
      </cdr:nvCxnSpPr>
      <cdr:spPr>
        <a:xfrm xmlns:a="http://schemas.openxmlformats.org/drawingml/2006/main" flipV="1">
          <a:off x="869950" y="146050"/>
          <a:ext cx="0" cy="2311400"/>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0.13889</cdr:x>
      <cdr:y>0.04861</cdr:y>
    </cdr:from>
    <cdr:to>
      <cdr:x>0.34615</cdr:x>
      <cdr:y>0.29167</cdr:y>
    </cdr:to>
    <cdr:sp macro="" textlink="">
      <cdr:nvSpPr>
        <cdr:cNvPr id="7" name="Text Box 6"/>
        <cdr:cNvSpPr txBox="1"/>
      </cdr:nvSpPr>
      <cdr:spPr>
        <a:xfrm xmlns:a="http://schemas.openxmlformats.org/drawingml/2006/main">
          <a:off x="825500" y="133350"/>
          <a:ext cx="1231900" cy="666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March 2020: ETA</a:t>
          </a:r>
          <a:r>
            <a:rPr lang="en-US" sz="900" baseline="0"/>
            <a:t> for Advanced Adaptive Compressors Finalized</a:t>
          </a:r>
          <a:endParaRPr lang="en-US" sz="900"/>
        </a:p>
      </cdr:txBody>
    </cdr:sp>
  </cdr:relSizeAnchor>
  <cdr:relSizeAnchor xmlns:cdr="http://schemas.openxmlformats.org/drawingml/2006/chartDrawing">
    <cdr:from>
      <cdr:x>0.58974</cdr:x>
      <cdr:y>0.05324</cdr:y>
    </cdr:from>
    <cdr:to>
      <cdr:x>0.58974</cdr:x>
      <cdr:y>0.88889</cdr:y>
    </cdr:to>
    <cdr:cxnSp macro="">
      <cdr:nvCxnSpPr>
        <cdr:cNvPr id="9" name="Straight Connector 8"/>
        <cdr:cNvCxnSpPr/>
      </cdr:nvCxnSpPr>
      <cdr:spPr>
        <a:xfrm xmlns:a="http://schemas.openxmlformats.org/drawingml/2006/main" flipV="1">
          <a:off x="3505200" y="146050"/>
          <a:ext cx="0" cy="2292350"/>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0.58654</cdr:x>
      <cdr:y>0.03935</cdr:y>
    </cdr:from>
    <cdr:to>
      <cdr:x>0.7938</cdr:x>
      <cdr:y>0.28241</cdr:y>
    </cdr:to>
    <cdr:sp macro="" textlink="">
      <cdr:nvSpPr>
        <cdr:cNvPr id="10" name="Text Box 1"/>
        <cdr:cNvSpPr txBox="1"/>
      </cdr:nvSpPr>
      <cdr:spPr>
        <a:xfrm xmlns:a="http://schemas.openxmlformats.org/drawingml/2006/main">
          <a:off x="3486150" y="107950"/>
          <a:ext cx="1231900" cy="6667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t>April 2021: ComEd ESRPP Incentives for ETA Refrigerators Begin </a:t>
          </a:r>
        </a:p>
      </cdr:txBody>
    </cdr:sp>
  </cdr:relSizeAnchor>
</c:userShapes>
</file>

<file path=word/theme/theme1.xml><?xml version="1.0" encoding="utf-8"?>
<a:theme xmlns:a="http://schemas.openxmlformats.org/drawingml/2006/main" name="Apex">
  <a:themeElements>
    <a:clrScheme name="ComEd">
      <a:dk1>
        <a:sysClr val="windowText" lastClr="000000"/>
      </a:dk1>
      <a:lt1>
        <a:srgbClr val="FFFFFF"/>
      </a:lt1>
      <a:dk2>
        <a:srgbClr val="44546A"/>
      </a:dk2>
      <a:lt2>
        <a:srgbClr val="E7E6E6"/>
      </a:lt2>
      <a:accent1>
        <a:srgbClr val="CC0033"/>
      </a:accent1>
      <a:accent2>
        <a:srgbClr val="666666"/>
      </a:accent2>
      <a:accent3>
        <a:srgbClr val="009FC2"/>
      </a:accent3>
      <a:accent4>
        <a:srgbClr val="A97C43"/>
      </a:accent4>
      <a:accent5>
        <a:srgbClr val="69992F"/>
      </a:accent5>
      <a:accent6>
        <a:srgbClr val="C490AA"/>
      </a:accent6>
      <a:hlink>
        <a:srgbClr val="0563C1"/>
      </a:hlink>
      <a:folHlink>
        <a:srgbClr val="954F72"/>
      </a:folHlink>
    </a:clrScheme>
    <a:fontScheme name="Apex">
      <a:majorFont>
        <a:latin typeface="Roboto Slab"/>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ormat xmlns="http://schemas.microsoft.com/sharepoint/v3/fields"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2DFCCBDE95DE4DBA35E02BC4665E3F" ma:contentTypeVersion="13" ma:contentTypeDescription="Create a new document." ma:contentTypeScope="" ma:versionID="2ebfb8d13dba7277c9ca564129a7cf7b">
  <xsd:schema xmlns:xsd="http://www.w3.org/2001/XMLSchema" xmlns:xs="http://www.w3.org/2001/XMLSchema" xmlns:p="http://schemas.microsoft.com/office/2006/metadata/properties" xmlns:ns2="3c009ecd-c2c3-4c28-95f9-c02ad5ec3c77" xmlns:ns3="c9202995-7214-4528-ba83-0c7e972d20a8" xmlns:ns4="http://schemas.microsoft.com/sharepoint/v3/fields" targetNamespace="http://schemas.microsoft.com/office/2006/metadata/properties" ma:root="true" ma:fieldsID="d407b30ffe98fb3bba3a9eefbf66afb9" ns2:_="" ns3:_="" ns4:_="">
    <xsd:import namespace="3c009ecd-c2c3-4c28-95f9-c02ad5ec3c77"/>
    <xsd:import namespace="c9202995-7214-4528-ba83-0c7e972d20a8"/>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4:_DCDateCreated" minOccurs="0"/>
                <xsd:element ref="ns4:_Form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09ecd-c2c3-4c28-95f9-c02ad5ec3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202995-7214-4528-ba83-0c7e972d20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9" nillable="true" ma:displayName="Date Created" ma:description="The date on which this resource was created" ma:format="DateTime" ma:internalName="_DCDateCreated">
      <xsd:simpleType>
        <xsd:restriction base="dms:DateTime"/>
      </xsd:simpleType>
    </xsd:element>
    <xsd:element name="_Format" ma:index="20" nillable="true" ma:displayName="Format" ma:description="Media-type, file format or dimensions" ma:internalName="_Forma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159B6-61CC-4CE6-9045-356DDB5BCB9A}">
  <ds:schemaRefs>
    <ds:schemaRef ds:uri="c9202995-7214-4528-ba83-0c7e972d20a8"/>
    <ds:schemaRef ds:uri="http://schemas.microsoft.com/sharepoint/v3/fields"/>
    <ds:schemaRef ds:uri="http://purl.org/dc/term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3c009ecd-c2c3-4c28-95f9-c02ad5ec3c77"/>
  </ds:schemaRefs>
</ds:datastoreItem>
</file>

<file path=customXml/itemProps2.xml><?xml version="1.0" encoding="utf-8"?>
<ds:datastoreItem xmlns:ds="http://schemas.openxmlformats.org/officeDocument/2006/customXml" ds:itemID="{FF58561E-8879-4CF7-A21C-4D84D3DC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09ecd-c2c3-4c28-95f9-c02ad5ec3c77"/>
    <ds:schemaRef ds:uri="c9202995-7214-4528-ba83-0c7e972d20a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9B9F7-3DEF-4973-8CFC-DED5243AB45F}">
  <ds:schemaRefs>
    <ds:schemaRef ds:uri="http://schemas.openxmlformats.org/officeDocument/2006/bibliography"/>
  </ds:schemaRefs>
</ds:datastoreItem>
</file>

<file path=customXml/itemProps4.xml><?xml version="1.0" encoding="utf-8"?>
<ds:datastoreItem xmlns:ds="http://schemas.openxmlformats.org/officeDocument/2006/customXml" ds:itemID="{D598EF25-0CB0-4157-ADD2-5F96807A90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7695</Words>
  <Characters>43956</Characters>
  <Application>Microsoft Office Word</Application>
  <DocSecurity>4</DocSecurity>
  <Lines>366</Lines>
  <Paragraphs>103</Paragraphs>
  <ScaleCrop>false</ScaleCrop>
  <HeadingPairs>
    <vt:vector size="2" baseType="variant">
      <vt:variant>
        <vt:lpstr>Title</vt:lpstr>
      </vt:variant>
      <vt:variant>
        <vt:i4>1</vt:i4>
      </vt:variant>
    </vt:vector>
  </HeadingPairs>
  <TitlesOfParts>
    <vt:vector size="1" baseType="lpstr">
      <vt:lpstr>ComEd ESRPP Baseline Forecast</vt:lpstr>
    </vt:vector>
  </TitlesOfParts>
  <Company>Nexant Inc.</Company>
  <LinksUpToDate>false</LinksUpToDate>
  <CharactersWithSpaces>51548</CharactersWithSpaces>
  <SharedDoc>false</SharedDoc>
  <HLinks>
    <vt:vector size="24" baseType="variant">
      <vt:variant>
        <vt:i4>7405627</vt:i4>
      </vt:variant>
      <vt:variant>
        <vt:i4>9</vt:i4>
      </vt:variant>
      <vt:variant>
        <vt:i4>0</vt:i4>
      </vt:variant>
      <vt:variant>
        <vt:i4>5</vt:i4>
      </vt:variant>
      <vt:variant>
        <vt:lpwstr>https://www.regulations.gov/document/EERE-2017-BT-STD-0003-0020</vt:lpwstr>
      </vt:variant>
      <vt:variant>
        <vt:lpwstr/>
      </vt:variant>
      <vt:variant>
        <vt:i4>4587537</vt:i4>
      </vt:variant>
      <vt:variant>
        <vt:i4>6</vt:i4>
      </vt:variant>
      <vt:variant>
        <vt:i4>0</vt:i4>
      </vt:variant>
      <vt:variant>
        <vt:i4>5</vt:i4>
      </vt:variant>
      <vt:variant>
        <vt:lpwstr>https://downloads.regulations.gov/EERE-2017-BT-STD-0014-0030/content.pdf</vt:lpwstr>
      </vt:variant>
      <vt:variant>
        <vt:lpwstr/>
      </vt:variant>
      <vt:variant>
        <vt:i4>7405627</vt:i4>
      </vt:variant>
      <vt:variant>
        <vt:i4>3</vt:i4>
      </vt:variant>
      <vt:variant>
        <vt:i4>0</vt:i4>
      </vt:variant>
      <vt:variant>
        <vt:i4>5</vt:i4>
      </vt:variant>
      <vt:variant>
        <vt:lpwstr>https://www.regulations.gov/document/EERE-2017-BT-STD-0003-0020</vt:lpwstr>
      </vt:variant>
      <vt:variant>
        <vt:lpwstr/>
      </vt:variant>
      <vt:variant>
        <vt:i4>4718602</vt:i4>
      </vt:variant>
      <vt:variant>
        <vt:i4>0</vt:i4>
      </vt:variant>
      <vt:variant>
        <vt:i4>0</vt:i4>
      </vt:variant>
      <vt:variant>
        <vt:i4>5</vt:i4>
      </vt:variant>
      <vt:variant>
        <vt:lpwstr>https://neea.org/img/documents/Refrigerator-and-Freezer-Influence-Assessment-and-Baseline-Review.pdf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ComEd ESRPP Baseline Forecast</dc:title>
  <dc:subject/>
  <dc:creator>Joe Van Clock</dc:creator>
  <cp:keywords/>
  <cp:lastModifiedBy>Celia Johnson</cp:lastModifiedBy>
  <cp:revision>2</cp:revision>
  <cp:lastPrinted>2018-01-24T14:59:00Z</cp:lastPrinted>
  <dcterms:created xsi:type="dcterms:W3CDTF">2023-02-12T19:36:00Z</dcterms:created>
  <dcterms:modified xsi:type="dcterms:W3CDTF">2023-02-12T19:36:00Z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1099600</vt:r8>
  </property>
  <property fmtid="{D5CDD505-2E9C-101B-9397-08002B2CF9AE}" pid="3" name="xd_Signature">
    <vt:bool>false</vt:bool>
  </property>
  <property fmtid="{D5CDD505-2E9C-101B-9397-08002B2CF9AE}" pid="4" name="xd_ProgID">
    <vt:lpwstr/>
  </property>
  <property fmtid="{D5CDD505-2E9C-101B-9397-08002B2CF9AE}" pid="5" name="_ExtendedDescription">
    <vt:lpwstr/>
  </property>
  <property fmtid="{D5CDD505-2E9C-101B-9397-08002B2CF9AE}" pid="6" name="TriggerFlowInfo">
    <vt:lpwstr/>
  </property>
  <property fmtid="{D5CDD505-2E9C-101B-9397-08002B2CF9AE}" pid="7" name="TemplateUrl">
    <vt:lpwstr/>
  </property>
  <property fmtid="{D5CDD505-2E9C-101B-9397-08002B2CF9AE}" pid="8" name="ComplianceAssetId">
    <vt:lpwstr/>
  </property>
  <property fmtid="{D5CDD505-2E9C-101B-9397-08002B2CF9AE}" pid="9" name="ManagedInitiative">
    <vt:lpwstr>264;#Retail Product Portfolio|58d1b407-2c75-4ae0-8767-bcc5a8a94bfb</vt:lpwstr>
  </property>
  <property fmtid="{D5CDD505-2E9C-101B-9397-08002B2CF9AE}" pid="10" name="Document Type">
    <vt:lpwstr/>
  </property>
  <property fmtid="{D5CDD505-2E9C-101B-9397-08002B2CF9AE}" pid="11" name="Classification Level">
    <vt:lpwstr>3;#Internal|ce816b0c-cd99-4477-9c62-91c3c6088ced</vt:lpwstr>
  </property>
  <property fmtid="{D5CDD505-2E9C-101B-9397-08002B2CF9AE}" pid="12" name="MediaServiceImageTags">
    <vt:lpwstr/>
  </property>
  <property fmtid="{D5CDD505-2E9C-101B-9397-08002B2CF9AE}" pid="13" name="ContentTypeId">
    <vt:lpwstr>0x010100EE2DFCCBDE95DE4DBA35E02BC4665E3F</vt:lpwstr>
  </property>
</Properties>
</file>