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5414" w14:textId="77777777" w:rsidR="00CA597D" w:rsidRDefault="00CA597D"/>
    <w:tbl>
      <w:tblPr>
        <w:tblW w:w="5000" w:type="pct"/>
        <w:jc w:val="center"/>
        <w:tblLayout w:type="fixed"/>
        <w:tblLook w:val="01E0" w:firstRow="1" w:lastRow="1" w:firstColumn="1" w:lastColumn="1" w:noHBand="0" w:noVBand="0"/>
      </w:tblPr>
      <w:tblGrid>
        <w:gridCol w:w="2214"/>
        <w:gridCol w:w="4948"/>
        <w:gridCol w:w="2198"/>
      </w:tblGrid>
      <w:tr w:rsidR="000B29BC" w:rsidRPr="00FD0661" w14:paraId="30185416" w14:textId="77777777" w:rsidTr="2C9F9F2F">
        <w:trPr>
          <w:trHeight w:val="1152"/>
          <w:jc w:val="center"/>
        </w:trPr>
        <w:tc>
          <w:tcPr>
            <w:tcW w:w="10224" w:type="dxa"/>
            <w:gridSpan w:val="3"/>
            <w:vAlign w:val="center"/>
          </w:tcPr>
          <w:p w14:paraId="30185415" w14:textId="77777777" w:rsidR="00CA597D" w:rsidRPr="00FD0661" w:rsidRDefault="00CA597D">
            <w:pPr>
              <w:pStyle w:val="Title"/>
              <w:rPr>
                <w:rFonts w:cs="Arial"/>
                <w:bCs/>
              </w:rPr>
            </w:pPr>
          </w:p>
        </w:tc>
      </w:tr>
      <w:tr w:rsidR="00601C9E" w:rsidRPr="00FD0661" w14:paraId="30185419" w14:textId="77777777" w:rsidTr="2C9F9F2F">
        <w:trPr>
          <w:trHeight w:val="2114"/>
          <w:jc w:val="center"/>
        </w:trPr>
        <w:tc>
          <w:tcPr>
            <w:tcW w:w="10224" w:type="dxa"/>
            <w:gridSpan w:val="3"/>
            <w:vAlign w:val="center"/>
          </w:tcPr>
          <w:p w14:paraId="30185417" w14:textId="77777777" w:rsidR="00CA597D" w:rsidRPr="00FD0661" w:rsidRDefault="00A33C74">
            <w:pPr>
              <w:pStyle w:val="Title"/>
              <w:rPr>
                <w:rFonts w:cs="Arial"/>
                <w:b w:val="0"/>
                <w:bCs/>
              </w:rPr>
            </w:pPr>
            <w:r w:rsidRPr="00FD0661">
              <w:rPr>
                <w:rFonts w:cs="Arial"/>
                <w:bCs/>
              </w:rPr>
              <w:t xml:space="preserve">ComEd </w:t>
            </w:r>
            <w:bookmarkStart w:id="0" w:name="Title_Program_Name"/>
            <w:r w:rsidRPr="003B3336">
              <w:rPr>
                <w:rFonts w:cs="Arial"/>
                <w:bCs/>
              </w:rPr>
              <w:t>Contractor/Midstream Rebates</w:t>
            </w:r>
            <w:bookmarkEnd w:id="0"/>
            <w:r w:rsidRPr="00FD0661">
              <w:rPr>
                <w:rFonts w:cs="Arial"/>
                <w:bCs/>
              </w:rPr>
              <w:t xml:space="preserve"> Program Impact Evaluation Report</w:t>
            </w:r>
          </w:p>
          <w:p w14:paraId="30185418" w14:textId="77777777" w:rsidR="00CA597D" w:rsidRPr="00FD0661" w:rsidRDefault="00A33C74">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601C9E" w:rsidRPr="00FD0661" w14:paraId="3018541F" w14:textId="77777777" w:rsidTr="2C9F9F2F">
        <w:trPr>
          <w:trHeight w:val="2263"/>
          <w:jc w:val="center"/>
        </w:trPr>
        <w:tc>
          <w:tcPr>
            <w:tcW w:w="10224" w:type="dxa"/>
            <w:gridSpan w:val="3"/>
          </w:tcPr>
          <w:p w14:paraId="3018541A" w14:textId="77777777" w:rsidR="00CA597D" w:rsidRPr="00FD0661" w:rsidRDefault="00A33C74">
            <w:pPr>
              <w:pStyle w:val="Preparedfor"/>
              <w:spacing w:before="0" w:after="240"/>
              <w:rPr>
                <w:rFonts w:cs="Arial"/>
              </w:rPr>
            </w:pPr>
            <w:r w:rsidRPr="00FD0661">
              <w:rPr>
                <w:rFonts w:cs="Arial"/>
              </w:rPr>
              <w:t>Prepared for:</w:t>
            </w:r>
          </w:p>
          <w:p w14:paraId="3018541B" w14:textId="77777777" w:rsidR="00CA597D" w:rsidRPr="00FD0661" w:rsidRDefault="00A33C74">
            <w:pPr>
              <w:pStyle w:val="Preparedfor"/>
              <w:rPr>
                <w:rFonts w:cs="Arial"/>
              </w:rPr>
            </w:pPr>
            <w:r w:rsidRPr="00FD0661">
              <w:rPr>
                <w:rFonts w:cs="Arial"/>
              </w:rPr>
              <w:t>ComEd</w:t>
            </w:r>
          </w:p>
          <w:p w14:paraId="3018541C" w14:textId="77777777" w:rsidR="00CA597D" w:rsidRPr="00FD0661" w:rsidRDefault="00A33C74">
            <w:pPr>
              <w:pStyle w:val="CoverClientName"/>
              <w:spacing w:after="0"/>
              <w:rPr>
                <w:rFonts w:cs="Arial"/>
                <w:sz w:val="48"/>
                <w:szCs w:val="48"/>
              </w:rPr>
            </w:pPr>
            <w:r w:rsidRPr="00FD0661">
              <w:rPr>
                <w:rFonts w:cs="Arial"/>
                <w:sz w:val="48"/>
                <w:szCs w:val="48"/>
              </w:rPr>
              <w:t>DRAFT</w:t>
            </w:r>
          </w:p>
          <w:p w14:paraId="3018541D" w14:textId="77777777" w:rsidR="00CA597D" w:rsidRPr="00FD0661" w:rsidRDefault="00CA597D">
            <w:pPr>
              <w:pStyle w:val="CoverClientName"/>
              <w:spacing w:after="0"/>
              <w:rPr>
                <w:rFonts w:cs="Arial"/>
              </w:rPr>
            </w:pPr>
          </w:p>
          <w:p w14:paraId="3018541E" w14:textId="010D9B30" w:rsidR="00CA597D" w:rsidRPr="00FD0661" w:rsidRDefault="00DB4955">
            <w:pPr>
              <w:pStyle w:val="CoverClientName"/>
              <w:spacing w:after="0"/>
              <w:rPr>
                <w:rFonts w:cs="Arial"/>
              </w:rPr>
            </w:pPr>
            <w:r w:rsidRPr="2C9F9F2F">
              <w:rPr>
                <w:rFonts w:cs="Arial"/>
              </w:rPr>
              <w:t>February 2</w:t>
            </w:r>
            <w:r w:rsidR="009F2035" w:rsidRPr="2C9F9F2F">
              <w:rPr>
                <w:rFonts w:cs="Arial"/>
              </w:rPr>
              <w:t>8</w:t>
            </w:r>
            <w:r w:rsidRPr="2C9F9F2F">
              <w:rPr>
                <w:rFonts w:cs="Arial"/>
              </w:rPr>
              <w:t>, 2025</w:t>
            </w:r>
          </w:p>
        </w:tc>
      </w:tr>
      <w:tr w:rsidR="00601C9E" w:rsidRPr="00FD0661" w14:paraId="30185423" w14:textId="77777777" w:rsidTr="2C9F9F2F">
        <w:trPr>
          <w:trHeight w:val="419"/>
          <w:jc w:val="center"/>
        </w:trPr>
        <w:tc>
          <w:tcPr>
            <w:tcW w:w="7830" w:type="dxa"/>
            <w:gridSpan w:val="2"/>
          </w:tcPr>
          <w:p w14:paraId="30185420" w14:textId="77777777" w:rsidR="00CA597D" w:rsidRPr="00FD0661" w:rsidRDefault="00CA597D">
            <w:pPr>
              <w:rPr>
                <w:rStyle w:val="CoverText"/>
                <w:rFonts w:cs="Arial"/>
              </w:rPr>
            </w:pPr>
          </w:p>
          <w:p w14:paraId="30185421" w14:textId="4F32B7E7" w:rsidR="00CA597D" w:rsidRPr="00FD0661" w:rsidRDefault="00A33C74">
            <w:pPr>
              <w:rPr>
                <w:rStyle w:val="CoverText"/>
                <w:rFonts w:cs="Arial"/>
              </w:rPr>
            </w:pPr>
            <w:r w:rsidRPr="00FD0661">
              <w:rPr>
                <w:rStyle w:val="CoverText"/>
                <w:rFonts w:cs="Arial"/>
              </w:rPr>
              <w:t xml:space="preserve">Prepared by: </w:t>
            </w:r>
          </w:p>
        </w:tc>
        <w:tc>
          <w:tcPr>
            <w:tcW w:w="2394" w:type="dxa"/>
          </w:tcPr>
          <w:p w14:paraId="30185422" w14:textId="77777777" w:rsidR="00CA597D" w:rsidRPr="00FD0661" w:rsidRDefault="00CA597D">
            <w:pPr>
              <w:rPr>
                <w:rStyle w:val="CoverText"/>
                <w:rFonts w:cs="Arial"/>
              </w:rPr>
            </w:pPr>
          </w:p>
        </w:tc>
      </w:tr>
      <w:tr w:rsidR="00601C9E" w:rsidRPr="00FD0661" w14:paraId="30185429" w14:textId="77777777" w:rsidTr="2C9F9F2F">
        <w:trPr>
          <w:trHeight w:val="1296"/>
          <w:jc w:val="center"/>
        </w:trPr>
        <w:tc>
          <w:tcPr>
            <w:tcW w:w="2411" w:type="dxa"/>
            <w:vAlign w:val="center"/>
          </w:tcPr>
          <w:p w14:paraId="67CE2EBC" w14:textId="77777777" w:rsidR="00224F39" w:rsidRDefault="007B4F77" w:rsidP="00C84E9D">
            <w:pPr>
              <w:rPr>
                <w:rFonts w:ascii="Arial" w:hAnsi="Arial" w:cs="Arial"/>
                <w:noProof/>
              </w:rPr>
            </w:pPr>
            <w:r>
              <w:rPr>
                <w:rFonts w:ascii="Arial" w:hAnsi="Arial" w:cs="Arial"/>
                <w:noProof/>
              </w:rPr>
              <w:t>N</w:t>
            </w:r>
            <w:r w:rsidR="00B025EC">
              <w:rPr>
                <w:rFonts w:ascii="Arial" w:hAnsi="Arial" w:cs="Arial"/>
                <w:noProof/>
              </w:rPr>
              <w:t>atasha Herring</w:t>
            </w:r>
          </w:p>
          <w:p w14:paraId="30185425" w14:textId="3A339454" w:rsidR="00CA597D" w:rsidRPr="00224F39" w:rsidRDefault="00D75221" w:rsidP="00C84E9D">
            <w:pPr>
              <w:rPr>
                <w:rFonts w:ascii="Arial" w:hAnsi="Arial" w:cs="Arial"/>
                <w:noProof/>
              </w:rPr>
            </w:pPr>
            <w:r>
              <w:rPr>
                <w:rFonts w:ascii="Arial" w:hAnsi="Arial" w:cs="Arial"/>
                <w:noProof/>
              </w:rPr>
              <w:t>Guidehouse</w:t>
            </w:r>
          </w:p>
        </w:tc>
        <w:tc>
          <w:tcPr>
            <w:tcW w:w="5419" w:type="dxa"/>
            <w:vAlign w:val="center"/>
          </w:tcPr>
          <w:p w14:paraId="1538B6CB" w14:textId="77777777" w:rsidR="00224F39" w:rsidRDefault="007B4F77" w:rsidP="00857675">
            <w:pPr>
              <w:rPr>
                <w:rFonts w:ascii="Arial" w:hAnsi="Arial" w:cs="Arial"/>
                <w:noProof/>
              </w:rPr>
            </w:pPr>
            <w:r>
              <w:rPr>
                <w:rFonts w:ascii="Arial" w:hAnsi="Arial" w:cs="Arial"/>
                <w:noProof/>
              </w:rPr>
              <w:t>A</w:t>
            </w:r>
            <w:r w:rsidR="00D75221">
              <w:rPr>
                <w:rFonts w:ascii="Arial" w:hAnsi="Arial" w:cs="Arial"/>
                <w:noProof/>
              </w:rPr>
              <w:t>lan Tom</w:t>
            </w:r>
          </w:p>
          <w:p w14:paraId="30185427" w14:textId="2D6BA228" w:rsidR="00CA597D" w:rsidRPr="00224F39" w:rsidRDefault="00D75221" w:rsidP="00857675">
            <w:pPr>
              <w:rPr>
                <w:rStyle w:val="CoverText"/>
                <w:rFonts w:cs="Arial"/>
                <w:noProof/>
                <w:sz w:val="24"/>
              </w:rPr>
            </w:pPr>
            <w:r>
              <w:rPr>
                <w:rFonts w:ascii="Arial" w:hAnsi="Arial" w:cs="Arial"/>
                <w:noProof/>
              </w:rPr>
              <w:t>Guidehouse</w:t>
            </w:r>
          </w:p>
        </w:tc>
        <w:tc>
          <w:tcPr>
            <w:tcW w:w="2394" w:type="dxa"/>
          </w:tcPr>
          <w:p w14:paraId="30185428" w14:textId="77777777" w:rsidR="00CA597D" w:rsidRPr="00FD0661" w:rsidRDefault="00CA597D" w:rsidP="00857675">
            <w:pPr>
              <w:pStyle w:val="PresentedBy"/>
              <w:spacing w:after="120"/>
              <w:rPr>
                <w:rStyle w:val="CoverText"/>
                <w:rFonts w:cs="Arial"/>
                <w:bCs/>
                <w:iCs/>
              </w:rPr>
            </w:pPr>
          </w:p>
        </w:tc>
      </w:tr>
      <w:tr w:rsidR="008E3D52" w:rsidRPr="00FD0661" w14:paraId="3018542D" w14:textId="77777777" w:rsidTr="2C9F9F2F">
        <w:trPr>
          <w:trHeight w:val="900"/>
          <w:jc w:val="center"/>
        </w:trPr>
        <w:tc>
          <w:tcPr>
            <w:tcW w:w="2411" w:type="dxa"/>
            <w:vAlign w:val="center"/>
          </w:tcPr>
          <w:p w14:paraId="3018542A" w14:textId="77777777" w:rsidR="00CA597D" w:rsidRPr="00FD0661" w:rsidRDefault="00A33C74" w:rsidP="00633225">
            <w:pPr>
              <w:pStyle w:val="PresentedBy"/>
              <w:jc w:val="center"/>
              <w:rPr>
                <w:rFonts w:cs="Arial"/>
                <w:bCs/>
                <w:color w:val="auto"/>
              </w:rPr>
            </w:pPr>
            <w:r w:rsidRPr="00FD0661">
              <w:rPr>
                <w:rFonts w:cs="Arial"/>
                <w:noProof/>
              </w:rPr>
              <w:drawing>
                <wp:inline distT="0" distB="0" distL="0" distR="0" wp14:anchorId="301859CA" wp14:editId="301859CB">
                  <wp:extent cx="914400" cy="914400"/>
                  <wp:effectExtent l="0" t="0" r="0" b="0"/>
                  <wp:docPr id="1" name="Picture 1693534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5419" w:type="dxa"/>
            <w:vAlign w:val="center"/>
          </w:tcPr>
          <w:p w14:paraId="3018542B" w14:textId="77777777" w:rsidR="00CA597D" w:rsidRPr="00FD0661" w:rsidRDefault="00A33C74" w:rsidP="00633225">
            <w:pPr>
              <w:jc w:val="center"/>
              <w:rPr>
                <w:rStyle w:val="CoverText"/>
                <w:rFonts w:cs="Arial"/>
                <w:bCs/>
              </w:rPr>
            </w:pPr>
            <w:r w:rsidRPr="00FD0661">
              <w:rPr>
                <w:rFonts w:ascii="Arial" w:hAnsi="Arial" w:cs="Arial"/>
                <w:noProof/>
              </w:rPr>
              <w:drawing>
                <wp:inline distT="0" distB="0" distL="0" distR="0" wp14:anchorId="301859CC" wp14:editId="301859CD">
                  <wp:extent cx="1252479" cy="241885"/>
                  <wp:effectExtent l="0" t="0" r="5080" b="635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2479" cy="241885"/>
                          </a:xfrm>
                          <a:prstGeom prst="rect">
                            <a:avLst/>
                          </a:prstGeom>
                        </pic:spPr>
                      </pic:pic>
                    </a:graphicData>
                  </a:graphic>
                </wp:inline>
              </w:drawing>
            </w:r>
          </w:p>
        </w:tc>
        <w:tc>
          <w:tcPr>
            <w:tcW w:w="2394" w:type="dxa"/>
            <w:vAlign w:val="center"/>
          </w:tcPr>
          <w:p w14:paraId="3018542C" w14:textId="77777777" w:rsidR="00CA597D" w:rsidRPr="00FD0661" w:rsidRDefault="00A33C74" w:rsidP="00633225">
            <w:pPr>
              <w:pStyle w:val="PresentedBy"/>
              <w:jc w:val="center"/>
              <w:rPr>
                <w:rStyle w:val="CoverText"/>
                <w:rFonts w:cs="Arial"/>
                <w:bCs/>
                <w:iCs/>
              </w:rPr>
            </w:pPr>
            <w:r w:rsidRPr="00FD0661">
              <w:rPr>
                <w:rFonts w:cs="Arial"/>
                <w:noProof/>
              </w:rPr>
              <w:drawing>
                <wp:inline distT="0" distB="0" distL="0" distR="0" wp14:anchorId="301859CE" wp14:editId="25285626">
                  <wp:extent cx="806601" cy="646751"/>
                  <wp:effectExtent l="0" t="0" r="0" b="1270"/>
                  <wp:docPr id="5" name="Picture 12"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6601" cy="646751"/>
                          </a:xfrm>
                          <a:prstGeom prst="rect">
                            <a:avLst/>
                          </a:prstGeom>
                        </pic:spPr>
                      </pic:pic>
                    </a:graphicData>
                  </a:graphic>
                </wp:inline>
              </w:drawing>
            </w:r>
          </w:p>
        </w:tc>
      </w:tr>
      <w:tr w:rsidR="005A3B39" w:rsidRPr="00FD0661" w14:paraId="30185431" w14:textId="77777777" w:rsidTr="2C9F9F2F">
        <w:trPr>
          <w:trHeight w:val="900"/>
          <w:jc w:val="center"/>
        </w:trPr>
        <w:tc>
          <w:tcPr>
            <w:tcW w:w="2411" w:type="dxa"/>
            <w:vAlign w:val="center"/>
          </w:tcPr>
          <w:p w14:paraId="3018542E" w14:textId="77777777" w:rsidR="00CA597D" w:rsidRPr="00FD0661" w:rsidRDefault="00A33C74" w:rsidP="00633225">
            <w:pPr>
              <w:pStyle w:val="PresentedBy"/>
              <w:jc w:val="center"/>
              <w:rPr>
                <w:rFonts w:cs="Arial"/>
                <w:bCs/>
                <w:color w:val="auto"/>
              </w:rPr>
            </w:pPr>
            <w:r w:rsidRPr="00FD0661">
              <w:rPr>
                <w:rFonts w:cs="Arial"/>
                <w:noProof/>
              </w:rPr>
              <w:drawing>
                <wp:inline distT="0" distB="0" distL="0" distR="0" wp14:anchorId="301859D0" wp14:editId="19D89712">
                  <wp:extent cx="1320800" cy="438785"/>
                  <wp:effectExtent l="0" t="0" r="0"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0800" cy="438785"/>
                          </a:xfrm>
                          <a:prstGeom prst="rect">
                            <a:avLst/>
                          </a:prstGeom>
                          <a:noFill/>
                          <a:ln>
                            <a:noFill/>
                          </a:ln>
                        </pic:spPr>
                      </pic:pic>
                    </a:graphicData>
                  </a:graphic>
                </wp:inline>
              </w:drawing>
            </w:r>
          </w:p>
        </w:tc>
        <w:tc>
          <w:tcPr>
            <w:tcW w:w="5419" w:type="dxa"/>
            <w:vAlign w:val="center"/>
          </w:tcPr>
          <w:p w14:paraId="3018542F" w14:textId="77777777" w:rsidR="00CA597D" w:rsidRPr="00FD0661" w:rsidRDefault="00CA597D" w:rsidP="00633225">
            <w:pPr>
              <w:jc w:val="center"/>
              <w:rPr>
                <w:rStyle w:val="CoverText"/>
                <w:rFonts w:cs="Arial"/>
                <w:bCs/>
              </w:rPr>
            </w:pPr>
          </w:p>
        </w:tc>
        <w:tc>
          <w:tcPr>
            <w:tcW w:w="2394" w:type="dxa"/>
            <w:vAlign w:val="center"/>
          </w:tcPr>
          <w:p w14:paraId="30185430" w14:textId="77777777" w:rsidR="00CA597D" w:rsidRPr="00FD0661" w:rsidRDefault="00A33C74" w:rsidP="00633225">
            <w:pPr>
              <w:pStyle w:val="PresentedBy"/>
              <w:jc w:val="center"/>
              <w:rPr>
                <w:rStyle w:val="CoverText"/>
                <w:rFonts w:cs="Arial"/>
                <w:bCs/>
                <w:iCs/>
              </w:rPr>
            </w:pPr>
            <w:r w:rsidRPr="00FD0661">
              <w:rPr>
                <w:rFonts w:cs="Arial"/>
                <w:noProof/>
              </w:rPr>
              <w:drawing>
                <wp:inline distT="0" distB="0" distL="0" distR="0" wp14:anchorId="301859D2" wp14:editId="301859D3">
                  <wp:extent cx="1152525" cy="536961"/>
                  <wp:effectExtent l="0" t="0" r="0" b="0"/>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2525" cy="536961"/>
                          </a:xfrm>
                          <a:prstGeom prst="rect">
                            <a:avLst/>
                          </a:prstGeom>
                        </pic:spPr>
                      </pic:pic>
                    </a:graphicData>
                  </a:graphic>
                </wp:inline>
              </w:drawing>
            </w:r>
          </w:p>
        </w:tc>
      </w:tr>
    </w:tbl>
    <w:p w14:paraId="30185432" w14:textId="77777777" w:rsidR="00CA597D" w:rsidRDefault="00CA597D"/>
    <w:p w14:paraId="30185433" w14:textId="77777777" w:rsidR="00CA597D" w:rsidRDefault="00A33C74">
      <w:pPr>
        <w:suppressAutoHyphens w:val="0"/>
        <w:spacing w:before="0" w:after="0"/>
      </w:pPr>
      <w:r>
        <w:br w:type="page"/>
      </w:r>
    </w:p>
    <w:p w14:paraId="30185434" w14:textId="77777777" w:rsidR="00CA597D" w:rsidRPr="00CE32C9" w:rsidRDefault="00CA597D">
      <w:pPr>
        <w:rPr>
          <w:rFonts w:ascii="Arial" w:hAnsi="Arial" w:cs="Arial"/>
          <w:sz w:val="20"/>
          <w:szCs w:val="20"/>
        </w:rPr>
      </w:pPr>
    </w:p>
    <w:p w14:paraId="30185435" w14:textId="77777777" w:rsidR="00CA597D" w:rsidRPr="006C7A52" w:rsidRDefault="00A33C74" w:rsidP="006C7A52">
      <w:pPr>
        <w:spacing w:before="0" w:after="0"/>
        <w:rPr>
          <w:rFonts w:ascii="Arial" w:hAnsi="Arial" w:cs="Arial"/>
          <w:b/>
          <w:bCs/>
        </w:rPr>
      </w:pPr>
      <w:r w:rsidRPr="006C7A52">
        <w:rPr>
          <w:rFonts w:ascii="Arial" w:hAnsi="Arial" w:cs="Arial"/>
          <w:b/>
          <w:bCs/>
        </w:rPr>
        <w:t>Submitted to:</w:t>
      </w:r>
    </w:p>
    <w:p w14:paraId="30185436" w14:textId="77777777" w:rsidR="00CA597D" w:rsidRPr="006C7A52" w:rsidRDefault="00A33C74" w:rsidP="006C7A52">
      <w:pPr>
        <w:spacing w:before="0" w:after="0"/>
        <w:rPr>
          <w:rFonts w:ascii="Arial" w:hAnsi="Arial" w:cs="Arial"/>
        </w:rPr>
      </w:pPr>
      <w:r w:rsidRPr="006C7A52">
        <w:rPr>
          <w:rFonts w:ascii="Arial" w:hAnsi="Arial" w:cs="Arial"/>
        </w:rPr>
        <w:t>ComEd</w:t>
      </w:r>
    </w:p>
    <w:p w14:paraId="30185437" w14:textId="77777777" w:rsidR="00CA597D" w:rsidRPr="006C7A52" w:rsidRDefault="00A33C74" w:rsidP="006C7A52">
      <w:pPr>
        <w:spacing w:before="0" w:after="0"/>
        <w:rPr>
          <w:rFonts w:ascii="Arial" w:hAnsi="Arial" w:cs="Arial"/>
        </w:rPr>
      </w:pPr>
      <w:r w:rsidRPr="006C7A52">
        <w:rPr>
          <w:rFonts w:ascii="Arial" w:hAnsi="Arial" w:cs="Arial"/>
        </w:rPr>
        <w:t>2011 Swift Drive</w:t>
      </w:r>
    </w:p>
    <w:p w14:paraId="30185438" w14:textId="77777777" w:rsidR="00CA597D" w:rsidRPr="006C7A52" w:rsidRDefault="00A33C74" w:rsidP="006C7A52">
      <w:pPr>
        <w:spacing w:before="0" w:after="0"/>
        <w:rPr>
          <w:rFonts w:ascii="Arial" w:hAnsi="Arial" w:cs="Arial"/>
        </w:rPr>
      </w:pPr>
      <w:r w:rsidRPr="006C7A52">
        <w:rPr>
          <w:rFonts w:ascii="Arial" w:hAnsi="Arial" w:cs="Arial"/>
        </w:rPr>
        <w:t>Oak Brook, IL 60523</w:t>
      </w:r>
    </w:p>
    <w:p w14:paraId="30185439" w14:textId="77777777" w:rsidR="00CA597D" w:rsidRPr="006C7A52" w:rsidRDefault="00CA597D" w:rsidP="006C7A52">
      <w:pPr>
        <w:spacing w:before="0" w:after="0"/>
        <w:rPr>
          <w:rFonts w:ascii="Arial" w:hAnsi="Arial" w:cs="Arial"/>
        </w:rPr>
      </w:pPr>
    </w:p>
    <w:p w14:paraId="3018543A" w14:textId="77777777" w:rsidR="00CA597D" w:rsidRPr="006C7A52" w:rsidRDefault="00A33C74" w:rsidP="006C7A52">
      <w:pPr>
        <w:spacing w:before="0" w:after="0"/>
        <w:rPr>
          <w:rFonts w:ascii="Arial" w:hAnsi="Arial" w:cs="Arial"/>
          <w:b/>
          <w:bCs/>
        </w:rPr>
      </w:pPr>
      <w:r w:rsidRPr="006C7A52">
        <w:rPr>
          <w:rFonts w:ascii="Arial" w:hAnsi="Arial" w:cs="Arial"/>
          <w:b/>
          <w:bCs/>
        </w:rPr>
        <w:t>Submitted by:</w:t>
      </w:r>
    </w:p>
    <w:p w14:paraId="3018543B" w14:textId="77777777" w:rsidR="00CA597D" w:rsidRPr="006C7A52" w:rsidRDefault="00A33C74" w:rsidP="006C7A52">
      <w:pPr>
        <w:spacing w:before="0" w:after="0"/>
        <w:rPr>
          <w:rFonts w:ascii="Arial" w:hAnsi="Arial" w:cs="Arial"/>
        </w:rPr>
      </w:pPr>
      <w:r w:rsidRPr="006C7A52">
        <w:rPr>
          <w:rFonts w:ascii="Arial" w:hAnsi="Arial" w:cs="Arial"/>
        </w:rPr>
        <w:t>Guidehouse Inc.</w:t>
      </w:r>
    </w:p>
    <w:p w14:paraId="3018543C" w14:textId="77777777" w:rsidR="00CA597D" w:rsidRPr="006C7A52" w:rsidRDefault="00A33C74" w:rsidP="006C7A52">
      <w:pPr>
        <w:spacing w:before="0" w:after="0"/>
        <w:rPr>
          <w:rFonts w:ascii="Arial" w:hAnsi="Arial" w:cs="Arial"/>
        </w:rPr>
      </w:pPr>
      <w:r w:rsidRPr="006C7A52">
        <w:rPr>
          <w:rFonts w:ascii="Arial" w:hAnsi="Arial" w:cs="Arial"/>
        </w:rPr>
        <w:t>150 N. Riverside Plaza, Suite 2100</w:t>
      </w:r>
    </w:p>
    <w:p w14:paraId="3018543D" w14:textId="77777777" w:rsidR="00CA597D" w:rsidRPr="006C7A52" w:rsidRDefault="00A33C74" w:rsidP="006C7A52">
      <w:pPr>
        <w:spacing w:before="0" w:after="0"/>
        <w:rPr>
          <w:rFonts w:ascii="Arial" w:hAnsi="Arial" w:cs="Arial"/>
        </w:rPr>
      </w:pPr>
      <w:r w:rsidRPr="006C7A52">
        <w:rPr>
          <w:rFonts w:ascii="Arial" w:hAnsi="Arial" w:cs="Arial"/>
        </w:rPr>
        <w:t>Chicago, IL 60606</w:t>
      </w:r>
    </w:p>
    <w:p w14:paraId="3018543E" w14:textId="77777777" w:rsidR="00CA597D" w:rsidRPr="006C7A52" w:rsidRDefault="00CA597D" w:rsidP="006C7A52">
      <w:pPr>
        <w:spacing w:before="0" w:after="0"/>
        <w:rPr>
          <w:rFonts w:ascii="Arial" w:hAnsi="Arial" w:cs="Arial"/>
        </w:rPr>
      </w:pPr>
    </w:p>
    <w:p w14:paraId="3018543F" w14:textId="77777777" w:rsidR="00CA597D" w:rsidRPr="006C7A52" w:rsidRDefault="00CA597D" w:rsidP="006C7A52">
      <w:pPr>
        <w:spacing w:before="0" w:after="0"/>
        <w:rPr>
          <w:rFonts w:ascii="Arial" w:hAnsi="Arial" w:cs="Arial"/>
        </w:rPr>
      </w:pPr>
    </w:p>
    <w:p w14:paraId="30185440" w14:textId="77777777" w:rsidR="00CA597D" w:rsidRPr="006C7A52" w:rsidRDefault="00A33C74" w:rsidP="006C7A52">
      <w:pPr>
        <w:spacing w:before="0" w:after="0"/>
        <w:rPr>
          <w:rFonts w:ascii="Arial" w:hAnsi="Arial" w:cs="Arial"/>
        </w:rPr>
      </w:pPr>
      <w:r w:rsidRPr="006C7A52">
        <w:rPr>
          <w:rFonts w:ascii="Arial" w:hAnsi="Arial" w:cs="Arial"/>
          <w:b/>
        </w:rPr>
        <w:t>Contact:</w:t>
      </w:r>
    </w:p>
    <w:p w14:paraId="30185441" w14:textId="77777777" w:rsidR="00CA597D" w:rsidRPr="006C7A52" w:rsidRDefault="00CA597D" w:rsidP="006C7A52">
      <w:pPr>
        <w:pStyle w:val="Contactinfo"/>
        <w:rPr>
          <w:rFonts w:cs="Arial"/>
          <w:sz w:val="24"/>
          <w:szCs w:val="24"/>
        </w:rPr>
      </w:pPr>
    </w:p>
    <w:tbl>
      <w:tblPr>
        <w:tblW w:w="10345" w:type="dxa"/>
        <w:tblInd w:w="-90" w:type="dxa"/>
        <w:tblLayout w:type="fixed"/>
        <w:tblLook w:val="00A0" w:firstRow="1" w:lastRow="0" w:firstColumn="1" w:lastColumn="0" w:noHBand="0" w:noVBand="0"/>
      </w:tblPr>
      <w:tblGrid>
        <w:gridCol w:w="3145"/>
        <w:gridCol w:w="3330"/>
        <w:gridCol w:w="3870"/>
      </w:tblGrid>
      <w:tr w:rsidR="00AC1EC6" w:rsidRPr="00601FE0" w14:paraId="3018544A" w14:textId="77777777" w:rsidTr="00A33C74">
        <w:tc>
          <w:tcPr>
            <w:tcW w:w="3145" w:type="dxa"/>
          </w:tcPr>
          <w:p w14:paraId="30185442" w14:textId="77777777" w:rsidR="00CA597D" w:rsidRPr="00601FE0" w:rsidRDefault="00A33C74" w:rsidP="006C7A52">
            <w:pPr>
              <w:spacing w:before="0" w:after="0"/>
              <w:rPr>
                <w:rFonts w:ascii="Arial" w:hAnsi="Arial" w:cs="Arial"/>
                <w:sz w:val="21"/>
                <w:szCs w:val="21"/>
              </w:rPr>
            </w:pPr>
            <w:r w:rsidRPr="00601FE0">
              <w:rPr>
                <w:rFonts w:ascii="Arial" w:eastAsia="Arial" w:hAnsi="Arial" w:cs="Arial"/>
                <w:sz w:val="21"/>
                <w:szCs w:val="21"/>
              </w:rPr>
              <w:t>Charles Maglione, Partner</w:t>
            </w:r>
          </w:p>
          <w:p w14:paraId="30185443" w14:textId="77777777" w:rsidR="00CA597D" w:rsidRPr="00601FE0" w:rsidRDefault="00A33C74" w:rsidP="006C7A52">
            <w:pPr>
              <w:spacing w:before="0" w:after="0"/>
              <w:rPr>
                <w:rFonts w:ascii="Arial" w:hAnsi="Arial" w:cs="Arial"/>
                <w:sz w:val="21"/>
                <w:szCs w:val="21"/>
              </w:rPr>
            </w:pPr>
            <w:r w:rsidRPr="00601FE0">
              <w:rPr>
                <w:rFonts w:ascii="Arial" w:eastAsia="Arial" w:hAnsi="Arial" w:cs="Arial"/>
                <w:sz w:val="21"/>
                <w:szCs w:val="21"/>
              </w:rPr>
              <w:t>703.431.1983</w:t>
            </w:r>
          </w:p>
          <w:p w14:paraId="30185444" w14:textId="77777777" w:rsidR="00CA597D" w:rsidRPr="00601FE0" w:rsidRDefault="00CC7133" w:rsidP="00070D86">
            <w:pPr>
              <w:spacing w:before="0" w:after="0"/>
              <w:rPr>
                <w:rFonts w:cs="Arial"/>
                <w:sz w:val="21"/>
                <w:szCs w:val="21"/>
              </w:rPr>
            </w:pPr>
            <w:hyperlink r:id="rId16">
              <w:r w:rsidR="00A33C74" w:rsidRPr="00601FE0">
                <w:rPr>
                  <w:rFonts w:ascii="Arial" w:hAnsi="Arial" w:cs="Arial"/>
                  <w:b/>
                  <w:sz w:val="21"/>
                  <w:szCs w:val="21"/>
                  <w:u w:val="single" w:color="93D500" w:themeColor="accent1"/>
                </w:rPr>
                <w:t>cmaglione@guidehouse.com</w:t>
              </w:r>
            </w:hyperlink>
          </w:p>
        </w:tc>
        <w:tc>
          <w:tcPr>
            <w:tcW w:w="3330" w:type="dxa"/>
          </w:tcPr>
          <w:p w14:paraId="30185445" w14:textId="77777777" w:rsidR="00CA597D" w:rsidRPr="00601FE0" w:rsidRDefault="00A33C74" w:rsidP="006C7A52">
            <w:pPr>
              <w:spacing w:before="0" w:after="0"/>
              <w:rPr>
                <w:rFonts w:ascii="Arial" w:hAnsi="Arial" w:cs="Arial"/>
                <w:sz w:val="21"/>
                <w:szCs w:val="21"/>
              </w:rPr>
            </w:pPr>
            <w:r w:rsidRPr="00601FE0">
              <w:rPr>
                <w:rFonts w:ascii="Arial" w:hAnsi="Arial" w:cs="Arial"/>
                <w:sz w:val="21"/>
                <w:szCs w:val="21"/>
              </w:rPr>
              <w:t>Jeff Erickson, Director</w:t>
            </w:r>
          </w:p>
          <w:p w14:paraId="30185446" w14:textId="77777777" w:rsidR="00CA597D" w:rsidRPr="00601FE0" w:rsidRDefault="00A33C74" w:rsidP="006C7A52">
            <w:pPr>
              <w:spacing w:before="0" w:after="0"/>
              <w:rPr>
                <w:rFonts w:ascii="Arial" w:hAnsi="Arial" w:cs="Arial"/>
                <w:sz w:val="21"/>
                <w:szCs w:val="21"/>
              </w:rPr>
            </w:pPr>
            <w:r w:rsidRPr="00601FE0">
              <w:rPr>
                <w:rFonts w:ascii="Arial" w:hAnsi="Arial" w:cs="Arial"/>
                <w:sz w:val="21"/>
                <w:szCs w:val="21"/>
              </w:rPr>
              <w:t>608.616.4962</w:t>
            </w:r>
          </w:p>
          <w:p w14:paraId="30185447" w14:textId="77777777" w:rsidR="00CA597D" w:rsidRPr="00601FE0" w:rsidRDefault="00CC7133" w:rsidP="006C7A52">
            <w:pPr>
              <w:spacing w:before="0" w:after="0"/>
              <w:rPr>
                <w:rFonts w:ascii="Arial" w:hAnsi="Arial" w:cs="Arial"/>
                <w:sz w:val="21"/>
                <w:szCs w:val="21"/>
                <w:u w:color="93D500" w:themeColor="accent1"/>
              </w:rPr>
            </w:pPr>
            <w:hyperlink r:id="rId17" w:history="1">
              <w:r w:rsidR="00A33C74" w:rsidRPr="00601FE0">
                <w:rPr>
                  <w:rFonts w:ascii="Arial" w:hAnsi="Arial" w:cs="Arial"/>
                  <w:b/>
                  <w:sz w:val="21"/>
                  <w:szCs w:val="21"/>
                  <w:u w:val="single" w:color="93D500" w:themeColor="accent1"/>
                </w:rPr>
                <w:t>jeff.erickson@guidehouse.com</w:t>
              </w:r>
            </w:hyperlink>
          </w:p>
        </w:tc>
        <w:tc>
          <w:tcPr>
            <w:tcW w:w="3870" w:type="dxa"/>
          </w:tcPr>
          <w:p w14:paraId="1A9BE48A" w14:textId="0BD6F87D" w:rsidR="00272B79" w:rsidRPr="00272B79" w:rsidRDefault="00272B79" w:rsidP="00272B79">
            <w:pPr>
              <w:spacing w:before="0" w:after="0"/>
              <w:rPr>
                <w:rFonts w:ascii="Arial" w:hAnsi="Arial" w:cs="Arial"/>
                <w:sz w:val="21"/>
                <w:szCs w:val="21"/>
              </w:rPr>
            </w:pPr>
            <w:r w:rsidRPr="00272B79">
              <w:rPr>
                <w:rFonts w:ascii="Arial" w:hAnsi="Arial" w:cs="Arial"/>
                <w:sz w:val="21"/>
                <w:szCs w:val="21"/>
              </w:rPr>
              <w:t>N</w:t>
            </w:r>
            <w:r w:rsidR="001518D4">
              <w:rPr>
                <w:rFonts w:ascii="Arial" w:hAnsi="Arial" w:cs="Arial"/>
                <w:sz w:val="21"/>
                <w:szCs w:val="21"/>
              </w:rPr>
              <w:t>atasha Herring</w:t>
            </w:r>
            <w:r w:rsidRPr="00272B79">
              <w:rPr>
                <w:rFonts w:ascii="Arial" w:hAnsi="Arial" w:cs="Arial"/>
                <w:sz w:val="21"/>
                <w:szCs w:val="21"/>
              </w:rPr>
              <w:t xml:space="preserve">, </w:t>
            </w:r>
            <w:r w:rsidR="001144FF">
              <w:rPr>
                <w:rFonts w:ascii="Arial" w:hAnsi="Arial" w:cs="Arial"/>
                <w:sz w:val="21"/>
                <w:szCs w:val="21"/>
              </w:rPr>
              <w:t>Managing Consultant</w:t>
            </w:r>
          </w:p>
          <w:p w14:paraId="0C4E1FD8" w14:textId="3EFA3C6C" w:rsidR="00272B79" w:rsidRPr="00272B79" w:rsidRDefault="000B2A9F" w:rsidP="00272B79">
            <w:pPr>
              <w:spacing w:before="0" w:after="0"/>
              <w:rPr>
                <w:rFonts w:ascii="Arial" w:hAnsi="Arial" w:cs="Arial"/>
                <w:sz w:val="21"/>
                <w:szCs w:val="21"/>
              </w:rPr>
            </w:pPr>
            <w:r>
              <w:rPr>
                <w:rFonts w:ascii="Arial" w:hAnsi="Arial" w:cs="Arial"/>
                <w:sz w:val="21"/>
                <w:szCs w:val="21"/>
              </w:rPr>
              <w:t>303</w:t>
            </w:r>
            <w:r w:rsidR="00272B79" w:rsidRPr="00272B79">
              <w:rPr>
                <w:rFonts w:ascii="Arial" w:hAnsi="Arial" w:cs="Arial"/>
                <w:sz w:val="21"/>
                <w:szCs w:val="21"/>
              </w:rPr>
              <w:t>.</w:t>
            </w:r>
            <w:r>
              <w:rPr>
                <w:rFonts w:ascii="Arial" w:hAnsi="Arial" w:cs="Arial"/>
                <w:sz w:val="21"/>
                <w:szCs w:val="21"/>
              </w:rPr>
              <w:t>728</w:t>
            </w:r>
            <w:r w:rsidR="00272B79" w:rsidRPr="00272B79">
              <w:rPr>
                <w:rFonts w:ascii="Arial" w:hAnsi="Arial" w:cs="Arial"/>
                <w:sz w:val="21"/>
                <w:szCs w:val="21"/>
              </w:rPr>
              <w:t>.</w:t>
            </w:r>
            <w:r>
              <w:rPr>
                <w:rFonts w:ascii="Arial" w:hAnsi="Arial" w:cs="Arial"/>
                <w:sz w:val="21"/>
                <w:szCs w:val="21"/>
              </w:rPr>
              <w:t>2487</w:t>
            </w:r>
            <w:r w:rsidR="00272B79" w:rsidRPr="00272B79">
              <w:rPr>
                <w:rFonts w:ascii="Arial" w:hAnsi="Arial" w:cs="Arial"/>
                <w:sz w:val="21"/>
                <w:szCs w:val="21"/>
              </w:rPr>
              <w:t> </w:t>
            </w:r>
          </w:p>
          <w:p w14:paraId="620E4736" w14:textId="77777777" w:rsidR="00153A04" w:rsidRPr="00153A04" w:rsidRDefault="00153A04" w:rsidP="00153A04">
            <w:pPr>
              <w:spacing w:before="0" w:after="0"/>
              <w:rPr>
                <w:rFonts w:ascii="Arial" w:hAnsi="Arial" w:cs="Arial"/>
                <w:b/>
                <w:sz w:val="21"/>
                <w:szCs w:val="21"/>
                <w:u w:val="single" w:color="93D500" w:themeColor="accent1"/>
              </w:rPr>
            </w:pPr>
            <w:r w:rsidRPr="00153A04">
              <w:rPr>
                <w:rFonts w:ascii="Arial" w:hAnsi="Arial" w:cs="Arial"/>
                <w:b/>
                <w:sz w:val="21"/>
                <w:szCs w:val="21"/>
                <w:u w:val="single" w:color="93D500" w:themeColor="accent1"/>
              </w:rPr>
              <w:t>naherring@guidehouse.com</w:t>
            </w:r>
          </w:p>
          <w:p w14:paraId="30185449" w14:textId="3EB0817D" w:rsidR="00CA597D" w:rsidRPr="00272B79" w:rsidRDefault="00CA597D" w:rsidP="00272B79">
            <w:pPr>
              <w:spacing w:before="0" w:after="0"/>
              <w:rPr>
                <w:lang w:val="es-US"/>
              </w:rPr>
            </w:pPr>
          </w:p>
        </w:tc>
      </w:tr>
    </w:tbl>
    <w:p w14:paraId="3018544B" w14:textId="77777777" w:rsidR="00CA597D" w:rsidRPr="00CE32C9" w:rsidRDefault="00CA597D" w:rsidP="00AC1EC6">
      <w:pPr>
        <w:pStyle w:val="Contactinfo"/>
        <w:rPr>
          <w:rFonts w:cs="Arial"/>
          <w:sz w:val="20"/>
        </w:rPr>
      </w:pPr>
    </w:p>
    <w:p w14:paraId="3018544C" w14:textId="77777777" w:rsidR="00CA597D" w:rsidRPr="00CE32C9" w:rsidRDefault="00A33C74" w:rsidP="00AC1EC6">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3018544D" w14:textId="77777777" w:rsidR="00CA597D" w:rsidRPr="00CE32C9" w:rsidRDefault="00CA597D">
      <w:pPr>
        <w:rPr>
          <w:rFonts w:ascii="Arial" w:hAnsi="Arial" w:cs="Arial"/>
          <w:sz w:val="20"/>
          <w:szCs w:val="20"/>
        </w:rPr>
      </w:pPr>
    </w:p>
    <w:p w14:paraId="3018544E" w14:textId="77777777" w:rsidR="00CA597D" w:rsidRDefault="00CA597D">
      <w:pPr>
        <w:suppressAutoHyphens w:val="0"/>
        <w:spacing w:before="0" w:after="0"/>
      </w:pPr>
    </w:p>
    <w:p w14:paraId="3018544F" w14:textId="77777777" w:rsidR="00CA597D" w:rsidRDefault="00CA597D">
      <w:pPr>
        <w:suppressAutoHyphens w:val="0"/>
        <w:spacing w:before="0" w:after="0"/>
        <w:rPr>
          <w:rFonts w:ascii="Arial" w:eastAsia="Calibri" w:hAnsi="Arial"/>
          <w:b/>
          <w:i/>
          <w:sz w:val="44"/>
          <w:szCs w:val="22"/>
        </w:rPr>
        <w:sectPr w:rsidR="00CA597D" w:rsidSect="00505176">
          <w:headerReference w:type="default" r:id="rId18"/>
          <w:footerReference w:type="default" r:id="rId19"/>
          <w:headerReference w:type="first" r:id="rId20"/>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30185450" w14:textId="77777777" w:rsidR="00CA597D" w:rsidRDefault="00A33C74" w:rsidP="00950992">
      <w:pPr>
        <w:pStyle w:val="TOCHeading"/>
      </w:pPr>
      <w:r>
        <w:lastRenderedPageBreak/>
        <w:t>Table of Contents</w:t>
      </w:r>
      <w:bookmarkEnd w:id="1"/>
      <w:bookmarkEnd w:id="2"/>
    </w:p>
    <w:p w14:paraId="30185451" w14:textId="71F7DB48" w:rsidR="00CA597D" w:rsidRDefault="00A33C74">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87399541" w:history="1">
        <w:r w:rsidRPr="0096315A">
          <w:rPr>
            <w:rStyle w:val="Hyperlink"/>
            <w:noProof/>
          </w:rPr>
          <w:t>Introduction</w:t>
        </w:r>
        <w:r>
          <w:rPr>
            <w:noProof/>
            <w:webHidden/>
          </w:rPr>
          <w:tab/>
        </w:r>
        <w:r>
          <w:rPr>
            <w:noProof/>
            <w:webHidden/>
          </w:rPr>
          <w:fldChar w:fldCharType="begin"/>
        </w:r>
        <w:r>
          <w:rPr>
            <w:noProof/>
            <w:webHidden/>
          </w:rPr>
          <w:instrText xml:space="preserve"> PAGEREF _Toc187399541 \h </w:instrText>
        </w:r>
        <w:r>
          <w:rPr>
            <w:noProof/>
            <w:webHidden/>
          </w:rPr>
        </w:r>
        <w:r>
          <w:rPr>
            <w:noProof/>
            <w:webHidden/>
          </w:rPr>
          <w:fldChar w:fldCharType="separate"/>
        </w:r>
        <w:r w:rsidR="0001562D">
          <w:rPr>
            <w:noProof/>
            <w:webHidden/>
          </w:rPr>
          <w:t>2</w:t>
        </w:r>
        <w:r>
          <w:rPr>
            <w:noProof/>
            <w:webHidden/>
          </w:rPr>
          <w:fldChar w:fldCharType="end"/>
        </w:r>
      </w:hyperlink>
    </w:p>
    <w:p w14:paraId="30185452" w14:textId="58C86760" w:rsidR="00CA597D" w:rsidRDefault="00CC7133">
      <w:pPr>
        <w:pStyle w:val="TOC1"/>
        <w:rPr>
          <w:rFonts w:asciiTheme="minorHAnsi" w:eastAsiaTheme="minorEastAsia" w:hAnsiTheme="minorHAnsi" w:cstheme="minorBidi"/>
          <w:b w:val="0"/>
          <w:noProof/>
          <w:kern w:val="2"/>
          <w14:ligatures w14:val="standardContextual"/>
        </w:rPr>
      </w:pPr>
      <w:hyperlink w:anchor="_Toc187399542" w:history="1">
        <w:r w:rsidR="00A33C74" w:rsidRPr="0096315A">
          <w:rPr>
            <w:rStyle w:val="Hyperlink"/>
            <w:noProof/>
          </w:rPr>
          <w:t>Program Savings Detail</w:t>
        </w:r>
        <w:r w:rsidR="00A33C74">
          <w:rPr>
            <w:noProof/>
            <w:webHidden/>
          </w:rPr>
          <w:tab/>
        </w:r>
        <w:r w:rsidR="00A33C74">
          <w:rPr>
            <w:noProof/>
            <w:webHidden/>
          </w:rPr>
          <w:fldChar w:fldCharType="begin"/>
        </w:r>
        <w:r w:rsidR="00A33C74">
          <w:rPr>
            <w:noProof/>
            <w:webHidden/>
          </w:rPr>
          <w:instrText xml:space="preserve"> PAGEREF _Toc187399542 \h </w:instrText>
        </w:r>
        <w:r w:rsidR="00A33C74">
          <w:rPr>
            <w:noProof/>
            <w:webHidden/>
          </w:rPr>
        </w:r>
        <w:r w:rsidR="00A33C74">
          <w:rPr>
            <w:noProof/>
            <w:webHidden/>
          </w:rPr>
          <w:fldChar w:fldCharType="separate"/>
        </w:r>
        <w:r w:rsidR="0001562D">
          <w:rPr>
            <w:noProof/>
            <w:webHidden/>
          </w:rPr>
          <w:t>2</w:t>
        </w:r>
        <w:r w:rsidR="00A33C74">
          <w:rPr>
            <w:noProof/>
            <w:webHidden/>
          </w:rPr>
          <w:fldChar w:fldCharType="end"/>
        </w:r>
      </w:hyperlink>
    </w:p>
    <w:p w14:paraId="30185453" w14:textId="00929214" w:rsidR="00CA597D" w:rsidRDefault="00CC7133">
      <w:pPr>
        <w:pStyle w:val="TOC1"/>
        <w:rPr>
          <w:rFonts w:asciiTheme="minorHAnsi" w:eastAsiaTheme="minorEastAsia" w:hAnsiTheme="minorHAnsi" w:cstheme="minorBidi"/>
          <w:b w:val="0"/>
          <w:noProof/>
          <w:kern w:val="2"/>
          <w14:ligatures w14:val="standardContextual"/>
        </w:rPr>
      </w:pPr>
      <w:hyperlink w:anchor="_Toc187399543" w:history="1">
        <w:r w:rsidR="00A33C74" w:rsidRPr="0096315A">
          <w:rPr>
            <w:rStyle w:val="Hyperlink"/>
            <w:noProof/>
          </w:rPr>
          <w:t>Cumulative Persisting Annual Savings</w:t>
        </w:r>
        <w:r w:rsidR="00A33C74">
          <w:rPr>
            <w:noProof/>
            <w:webHidden/>
          </w:rPr>
          <w:tab/>
        </w:r>
        <w:r w:rsidR="00A33C74">
          <w:rPr>
            <w:noProof/>
            <w:webHidden/>
          </w:rPr>
          <w:fldChar w:fldCharType="begin"/>
        </w:r>
        <w:r w:rsidR="00A33C74">
          <w:rPr>
            <w:noProof/>
            <w:webHidden/>
          </w:rPr>
          <w:instrText xml:space="preserve"> PAGEREF _Toc187399543 \h </w:instrText>
        </w:r>
        <w:r w:rsidR="00A33C74">
          <w:rPr>
            <w:noProof/>
            <w:webHidden/>
          </w:rPr>
        </w:r>
        <w:r w:rsidR="00A33C74">
          <w:rPr>
            <w:noProof/>
            <w:webHidden/>
          </w:rPr>
          <w:fldChar w:fldCharType="separate"/>
        </w:r>
        <w:r w:rsidR="0001562D">
          <w:rPr>
            <w:noProof/>
            <w:webHidden/>
          </w:rPr>
          <w:t>5</w:t>
        </w:r>
        <w:r w:rsidR="00A33C74">
          <w:rPr>
            <w:noProof/>
            <w:webHidden/>
          </w:rPr>
          <w:fldChar w:fldCharType="end"/>
        </w:r>
      </w:hyperlink>
    </w:p>
    <w:p w14:paraId="30185454" w14:textId="77777777" w:rsidR="00CA597D" w:rsidRDefault="00A33C74">
      <w:pPr>
        <w:pStyle w:val="GHBodytext"/>
      </w:pPr>
      <w:r>
        <w:fldChar w:fldCharType="end"/>
      </w:r>
    </w:p>
    <w:p w14:paraId="30185458" w14:textId="4970BEDF" w:rsidR="00CA597D" w:rsidRDefault="00A33C74">
      <w:pPr>
        <w:pStyle w:val="GHTOC"/>
      </w:pPr>
      <w:bookmarkStart w:id="3" w:name="_Toc181693457"/>
      <w:bookmarkStart w:id="4" w:name="_Toc181693478"/>
      <w:bookmarkStart w:id="5" w:name="_Toc186529827"/>
      <w:r>
        <w:t>List of Tables</w:t>
      </w:r>
      <w:bookmarkEnd w:id="3"/>
      <w:bookmarkEnd w:id="4"/>
      <w:bookmarkEnd w:id="5"/>
      <w:r>
        <w:t xml:space="preserve"> </w:t>
      </w:r>
    </w:p>
    <w:p w14:paraId="30185459" w14:textId="6DD0ECB8" w:rsidR="00CA597D" w:rsidRDefault="00A33C74">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87399545" w:history="1">
        <w:r w:rsidRPr="00F53DC4">
          <w:rPr>
            <w:rStyle w:val="Hyperlink"/>
            <w:noProof/>
          </w:rPr>
          <w:t>Table 1. Total Annual Incremental Electric Savings - Total</w:t>
        </w:r>
        <w:r>
          <w:rPr>
            <w:noProof/>
            <w:webHidden/>
          </w:rPr>
          <w:tab/>
        </w:r>
        <w:r>
          <w:rPr>
            <w:noProof/>
            <w:webHidden/>
          </w:rPr>
          <w:fldChar w:fldCharType="begin"/>
        </w:r>
        <w:r>
          <w:rPr>
            <w:noProof/>
            <w:webHidden/>
          </w:rPr>
          <w:instrText xml:space="preserve"> PAGEREF _Toc187399545 \h </w:instrText>
        </w:r>
        <w:r>
          <w:rPr>
            <w:noProof/>
            <w:webHidden/>
          </w:rPr>
        </w:r>
        <w:r>
          <w:rPr>
            <w:noProof/>
            <w:webHidden/>
          </w:rPr>
          <w:fldChar w:fldCharType="separate"/>
        </w:r>
        <w:r w:rsidR="0001562D">
          <w:rPr>
            <w:noProof/>
            <w:webHidden/>
          </w:rPr>
          <w:t>2</w:t>
        </w:r>
        <w:r>
          <w:rPr>
            <w:noProof/>
            <w:webHidden/>
          </w:rPr>
          <w:fldChar w:fldCharType="end"/>
        </w:r>
      </w:hyperlink>
    </w:p>
    <w:p w14:paraId="3018545A" w14:textId="09D7D1A1" w:rsidR="00CA597D" w:rsidRDefault="00CC7133">
      <w:pPr>
        <w:pStyle w:val="TableofFigures"/>
        <w:rPr>
          <w:rFonts w:asciiTheme="minorHAnsi" w:eastAsiaTheme="minorEastAsia" w:hAnsiTheme="minorHAnsi" w:cstheme="minorBidi"/>
          <w:noProof/>
          <w:kern w:val="2"/>
          <w14:ligatures w14:val="standardContextual"/>
        </w:rPr>
      </w:pPr>
      <w:hyperlink w:anchor="_Toc187399546" w:history="1">
        <w:r w:rsidR="00A33C74" w:rsidRPr="00F53DC4">
          <w:rPr>
            <w:rStyle w:val="Hyperlink"/>
            <w:noProof/>
          </w:rPr>
          <w:t>Table 2. Incremental Electric Savings – Income Eligible</w:t>
        </w:r>
        <w:r w:rsidR="00A33C74">
          <w:rPr>
            <w:noProof/>
            <w:webHidden/>
          </w:rPr>
          <w:tab/>
        </w:r>
        <w:r w:rsidR="00A33C74">
          <w:rPr>
            <w:noProof/>
            <w:webHidden/>
          </w:rPr>
          <w:fldChar w:fldCharType="begin"/>
        </w:r>
        <w:r w:rsidR="00A33C74">
          <w:rPr>
            <w:noProof/>
            <w:webHidden/>
          </w:rPr>
          <w:instrText xml:space="preserve"> PAGEREF _Toc187399546 \h </w:instrText>
        </w:r>
        <w:r w:rsidR="00A33C74">
          <w:rPr>
            <w:noProof/>
            <w:webHidden/>
          </w:rPr>
        </w:r>
        <w:r w:rsidR="00A33C74">
          <w:rPr>
            <w:noProof/>
            <w:webHidden/>
          </w:rPr>
          <w:fldChar w:fldCharType="separate"/>
        </w:r>
        <w:r w:rsidR="0001562D">
          <w:rPr>
            <w:noProof/>
            <w:webHidden/>
          </w:rPr>
          <w:t>3</w:t>
        </w:r>
        <w:r w:rsidR="00A33C74">
          <w:rPr>
            <w:noProof/>
            <w:webHidden/>
          </w:rPr>
          <w:fldChar w:fldCharType="end"/>
        </w:r>
      </w:hyperlink>
    </w:p>
    <w:p w14:paraId="3018545B" w14:textId="6B5766E8" w:rsidR="00CA597D" w:rsidRDefault="00CC7133">
      <w:pPr>
        <w:pStyle w:val="TableofFigures"/>
        <w:rPr>
          <w:rFonts w:asciiTheme="minorHAnsi" w:eastAsiaTheme="minorEastAsia" w:hAnsiTheme="minorHAnsi" w:cstheme="minorBidi"/>
          <w:noProof/>
          <w:kern w:val="2"/>
          <w14:ligatures w14:val="standardContextual"/>
        </w:rPr>
      </w:pPr>
      <w:hyperlink w:anchor="_Toc187399547" w:history="1">
        <w:r w:rsidR="00A33C74" w:rsidRPr="00F53DC4">
          <w:rPr>
            <w:rStyle w:val="Hyperlink"/>
            <w:noProof/>
          </w:rPr>
          <w:t>Table 3. Total Annual Incremental Electric Savings – Non-Income Eligible</w:t>
        </w:r>
        <w:r w:rsidR="00A33C74">
          <w:rPr>
            <w:noProof/>
            <w:webHidden/>
          </w:rPr>
          <w:tab/>
        </w:r>
        <w:r w:rsidR="00A33C74">
          <w:rPr>
            <w:noProof/>
            <w:webHidden/>
          </w:rPr>
          <w:fldChar w:fldCharType="begin"/>
        </w:r>
        <w:r w:rsidR="00A33C74">
          <w:rPr>
            <w:noProof/>
            <w:webHidden/>
          </w:rPr>
          <w:instrText xml:space="preserve"> PAGEREF _Toc187399547 \h </w:instrText>
        </w:r>
        <w:r w:rsidR="00A33C74">
          <w:rPr>
            <w:noProof/>
            <w:webHidden/>
          </w:rPr>
        </w:r>
        <w:r w:rsidR="00A33C74">
          <w:rPr>
            <w:noProof/>
            <w:webHidden/>
          </w:rPr>
          <w:fldChar w:fldCharType="separate"/>
        </w:r>
        <w:r w:rsidR="0001562D">
          <w:rPr>
            <w:noProof/>
            <w:webHidden/>
          </w:rPr>
          <w:t>4</w:t>
        </w:r>
        <w:r w:rsidR="00A33C74">
          <w:rPr>
            <w:noProof/>
            <w:webHidden/>
          </w:rPr>
          <w:fldChar w:fldCharType="end"/>
        </w:r>
      </w:hyperlink>
    </w:p>
    <w:p w14:paraId="3018545C" w14:textId="76E6DA2D" w:rsidR="00CA597D" w:rsidRDefault="00CC7133">
      <w:pPr>
        <w:pStyle w:val="TableofFigures"/>
        <w:rPr>
          <w:rFonts w:asciiTheme="minorHAnsi" w:eastAsiaTheme="minorEastAsia" w:hAnsiTheme="minorHAnsi" w:cstheme="minorBidi"/>
          <w:noProof/>
          <w:kern w:val="2"/>
          <w14:ligatures w14:val="standardContextual"/>
        </w:rPr>
      </w:pPr>
      <w:hyperlink w:anchor="_Toc187399548" w:history="1">
        <w:r w:rsidR="00A33C74" w:rsidRPr="00F53DC4">
          <w:rPr>
            <w:rStyle w:val="Hyperlink"/>
            <w:noProof/>
          </w:rPr>
          <w:t>Table 4. CPAS – Electric</w:t>
        </w:r>
        <w:r w:rsidR="00A33C74">
          <w:rPr>
            <w:noProof/>
            <w:webHidden/>
          </w:rPr>
          <w:tab/>
        </w:r>
        <w:r w:rsidR="00A33C74">
          <w:rPr>
            <w:noProof/>
            <w:webHidden/>
          </w:rPr>
          <w:fldChar w:fldCharType="begin"/>
        </w:r>
        <w:r w:rsidR="00A33C74">
          <w:rPr>
            <w:noProof/>
            <w:webHidden/>
          </w:rPr>
          <w:instrText xml:space="preserve"> PAGEREF _Toc187399548 \h </w:instrText>
        </w:r>
        <w:r w:rsidR="00A33C74">
          <w:rPr>
            <w:noProof/>
            <w:webHidden/>
          </w:rPr>
        </w:r>
        <w:r w:rsidR="00A33C74">
          <w:rPr>
            <w:noProof/>
            <w:webHidden/>
          </w:rPr>
          <w:fldChar w:fldCharType="separate"/>
        </w:r>
        <w:r w:rsidR="0001562D">
          <w:rPr>
            <w:noProof/>
            <w:webHidden/>
          </w:rPr>
          <w:t>5</w:t>
        </w:r>
        <w:r w:rsidR="00A33C74">
          <w:rPr>
            <w:noProof/>
            <w:webHidden/>
          </w:rPr>
          <w:fldChar w:fldCharType="end"/>
        </w:r>
      </w:hyperlink>
    </w:p>
    <w:p w14:paraId="3018545D" w14:textId="4D17612D" w:rsidR="00CA597D" w:rsidRDefault="00CC7133">
      <w:pPr>
        <w:pStyle w:val="TableofFigures"/>
        <w:rPr>
          <w:rFonts w:asciiTheme="minorHAnsi" w:eastAsiaTheme="minorEastAsia" w:hAnsiTheme="minorHAnsi" w:cstheme="minorBidi"/>
          <w:noProof/>
          <w:kern w:val="2"/>
          <w14:ligatures w14:val="standardContextual"/>
        </w:rPr>
      </w:pPr>
      <w:hyperlink w:anchor="_Toc187399549" w:history="1">
        <w:r w:rsidR="00A33C74" w:rsidRPr="00F53DC4">
          <w:rPr>
            <w:rStyle w:val="Hyperlink"/>
            <w:noProof/>
          </w:rPr>
          <w:t>Table 5. CPAS – Other Fuel (Gas + Propane)</w:t>
        </w:r>
        <w:r w:rsidR="00A33C74">
          <w:rPr>
            <w:noProof/>
            <w:webHidden/>
          </w:rPr>
          <w:tab/>
        </w:r>
        <w:r w:rsidR="00A33C74">
          <w:rPr>
            <w:noProof/>
            <w:webHidden/>
          </w:rPr>
          <w:fldChar w:fldCharType="begin"/>
        </w:r>
        <w:r w:rsidR="00A33C74">
          <w:rPr>
            <w:noProof/>
            <w:webHidden/>
          </w:rPr>
          <w:instrText xml:space="preserve"> PAGEREF _Toc187399549 \h </w:instrText>
        </w:r>
        <w:r w:rsidR="00A33C74">
          <w:rPr>
            <w:noProof/>
            <w:webHidden/>
          </w:rPr>
        </w:r>
        <w:r w:rsidR="00A33C74">
          <w:rPr>
            <w:noProof/>
            <w:webHidden/>
          </w:rPr>
          <w:fldChar w:fldCharType="separate"/>
        </w:r>
        <w:r w:rsidR="0001562D">
          <w:rPr>
            <w:noProof/>
            <w:webHidden/>
          </w:rPr>
          <w:t>5</w:t>
        </w:r>
        <w:r w:rsidR="00A33C74">
          <w:rPr>
            <w:noProof/>
            <w:webHidden/>
          </w:rPr>
          <w:fldChar w:fldCharType="end"/>
        </w:r>
      </w:hyperlink>
    </w:p>
    <w:p w14:paraId="3018545E" w14:textId="04EAEAE5" w:rsidR="00CA597D" w:rsidRDefault="00CC7133">
      <w:pPr>
        <w:pStyle w:val="TableofFigures"/>
        <w:rPr>
          <w:rFonts w:asciiTheme="minorHAnsi" w:eastAsiaTheme="minorEastAsia" w:hAnsiTheme="minorHAnsi" w:cstheme="minorBidi"/>
          <w:noProof/>
          <w:kern w:val="2"/>
          <w14:ligatures w14:val="standardContextual"/>
        </w:rPr>
      </w:pPr>
      <w:hyperlink w:anchor="_Toc187399550" w:history="1">
        <w:r w:rsidR="00A33C74" w:rsidRPr="00F53DC4">
          <w:rPr>
            <w:rStyle w:val="Hyperlink"/>
            <w:noProof/>
          </w:rPr>
          <w:t>Table 6. CPAS – Total</w:t>
        </w:r>
        <w:r w:rsidR="00A33C74">
          <w:rPr>
            <w:noProof/>
            <w:webHidden/>
          </w:rPr>
          <w:tab/>
        </w:r>
        <w:r w:rsidR="00A33C74">
          <w:rPr>
            <w:noProof/>
            <w:webHidden/>
          </w:rPr>
          <w:fldChar w:fldCharType="begin"/>
        </w:r>
        <w:r w:rsidR="00A33C74">
          <w:rPr>
            <w:noProof/>
            <w:webHidden/>
          </w:rPr>
          <w:instrText xml:space="preserve"> PAGEREF _Toc187399550 \h </w:instrText>
        </w:r>
        <w:r w:rsidR="00A33C74">
          <w:rPr>
            <w:noProof/>
            <w:webHidden/>
          </w:rPr>
        </w:r>
        <w:r w:rsidR="00A33C74">
          <w:rPr>
            <w:noProof/>
            <w:webHidden/>
          </w:rPr>
          <w:fldChar w:fldCharType="separate"/>
        </w:r>
        <w:r w:rsidR="0001562D">
          <w:rPr>
            <w:noProof/>
            <w:webHidden/>
          </w:rPr>
          <w:t>6</w:t>
        </w:r>
        <w:r w:rsidR="00A33C74">
          <w:rPr>
            <w:noProof/>
            <w:webHidden/>
          </w:rPr>
          <w:fldChar w:fldCharType="end"/>
        </w:r>
      </w:hyperlink>
    </w:p>
    <w:p w14:paraId="3018545F" w14:textId="77777777" w:rsidR="00CA597D" w:rsidRPr="00FA4A7C" w:rsidRDefault="00A33C74" w:rsidP="00FA4A7C">
      <w:r>
        <w:fldChar w:fldCharType="end"/>
      </w:r>
      <w:bookmarkStart w:id="6" w:name="_Toc151371877"/>
      <w:bookmarkStart w:id="7" w:name="_Toc181693463"/>
      <w:bookmarkStart w:id="8" w:name="_Toc181693484"/>
    </w:p>
    <w:p w14:paraId="5BFD297B" w14:textId="77777777" w:rsidR="00CA597D" w:rsidRDefault="00CA597D">
      <w:pPr>
        <w:suppressAutoHyphens w:val="0"/>
        <w:spacing w:before="0" w:after="0"/>
        <w:rPr>
          <w:rFonts w:ascii="Arial" w:eastAsia="Calibri" w:hAnsi="Arial"/>
          <w:b/>
          <w:sz w:val="32"/>
          <w:szCs w:val="22"/>
        </w:rPr>
      </w:pPr>
    </w:p>
    <w:p w14:paraId="361D50B6" w14:textId="77777777" w:rsidR="00F941EF" w:rsidRPr="00F941EF" w:rsidRDefault="00F941EF" w:rsidP="00F941EF">
      <w:pPr>
        <w:rPr>
          <w:rFonts w:ascii="Arial" w:eastAsia="Calibri" w:hAnsi="Arial"/>
          <w:sz w:val="32"/>
          <w:szCs w:val="22"/>
        </w:rPr>
      </w:pPr>
    </w:p>
    <w:p w14:paraId="3A4DEB66" w14:textId="77777777" w:rsidR="00F941EF" w:rsidRPr="00F941EF" w:rsidRDefault="00F941EF" w:rsidP="00F941EF">
      <w:pPr>
        <w:rPr>
          <w:rFonts w:ascii="Arial" w:eastAsia="Calibri" w:hAnsi="Arial"/>
          <w:sz w:val="32"/>
          <w:szCs w:val="22"/>
        </w:rPr>
      </w:pPr>
    </w:p>
    <w:p w14:paraId="41FAF891" w14:textId="77777777" w:rsidR="00F941EF" w:rsidRPr="00F941EF" w:rsidRDefault="00F941EF" w:rsidP="00F941EF">
      <w:pPr>
        <w:rPr>
          <w:rFonts w:ascii="Arial" w:eastAsia="Calibri" w:hAnsi="Arial"/>
          <w:sz w:val="32"/>
          <w:szCs w:val="22"/>
        </w:rPr>
      </w:pPr>
    </w:p>
    <w:p w14:paraId="34F5D658" w14:textId="77777777" w:rsidR="00F941EF" w:rsidRPr="00F941EF" w:rsidRDefault="00F941EF" w:rsidP="00F941EF">
      <w:pPr>
        <w:rPr>
          <w:rFonts w:ascii="Arial" w:eastAsia="Calibri" w:hAnsi="Arial"/>
          <w:sz w:val="32"/>
          <w:szCs w:val="22"/>
        </w:rPr>
      </w:pPr>
    </w:p>
    <w:p w14:paraId="0FEE76E2" w14:textId="77777777" w:rsidR="00F941EF" w:rsidRPr="00F941EF" w:rsidRDefault="00F941EF" w:rsidP="00F941EF">
      <w:pPr>
        <w:rPr>
          <w:rFonts w:ascii="Arial" w:eastAsia="Calibri" w:hAnsi="Arial"/>
          <w:sz w:val="32"/>
          <w:szCs w:val="22"/>
        </w:rPr>
      </w:pPr>
    </w:p>
    <w:p w14:paraId="7D1A7BE0" w14:textId="77777777" w:rsidR="00F941EF" w:rsidRPr="00F941EF" w:rsidRDefault="00F941EF" w:rsidP="00F941EF">
      <w:pPr>
        <w:rPr>
          <w:rFonts w:ascii="Arial" w:eastAsia="Calibri" w:hAnsi="Arial"/>
          <w:sz w:val="32"/>
          <w:szCs w:val="22"/>
        </w:rPr>
      </w:pPr>
    </w:p>
    <w:p w14:paraId="6F332AB0" w14:textId="77777777" w:rsidR="00F941EF" w:rsidRPr="00F941EF" w:rsidRDefault="00F941EF" w:rsidP="00F941EF">
      <w:pPr>
        <w:rPr>
          <w:rFonts w:ascii="Arial" w:eastAsia="Calibri" w:hAnsi="Arial"/>
          <w:sz w:val="32"/>
          <w:szCs w:val="22"/>
        </w:rPr>
      </w:pPr>
    </w:p>
    <w:p w14:paraId="37FCBCCC" w14:textId="77777777" w:rsidR="00F941EF" w:rsidRPr="00F941EF" w:rsidRDefault="00F941EF" w:rsidP="00F941EF">
      <w:pPr>
        <w:rPr>
          <w:rFonts w:ascii="Arial" w:eastAsia="Calibri" w:hAnsi="Arial"/>
          <w:sz w:val="32"/>
          <w:szCs w:val="22"/>
        </w:rPr>
      </w:pPr>
    </w:p>
    <w:p w14:paraId="3A516B41" w14:textId="77777777" w:rsidR="00F941EF" w:rsidRPr="00F941EF" w:rsidRDefault="00F941EF" w:rsidP="00F941EF">
      <w:pPr>
        <w:jc w:val="right"/>
        <w:rPr>
          <w:rFonts w:ascii="Arial" w:eastAsia="Calibri" w:hAnsi="Arial"/>
          <w:sz w:val="32"/>
          <w:szCs w:val="22"/>
        </w:rPr>
      </w:pPr>
    </w:p>
    <w:p w14:paraId="06D45B63" w14:textId="77777777" w:rsidR="00F941EF" w:rsidRPr="00F941EF" w:rsidRDefault="00F941EF" w:rsidP="00F941EF">
      <w:pPr>
        <w:rPr>
          <w:rFonts w:ascii="Arial" w:eastAsia="Calibri" w:hAnsi="Arial"/>
          <w:sz w:val="32"/>
          <w:szCs w:val="22"/>
        </w:rPr>
      </w:pPr>
    </w:p>
    <w:p w14:paraId="30185460" w14:textId="77777777" w:rsidR="00F941EF" w:rsidRPr="00F941EF" w:rsidRDefault="00F941EF" w:rsidP="00F941EF">
      <w:pPr>
        <w:rPr>
          <w:rFonts w:ascii="Arial" w:eastAsia="Calibri" w:hAnsi="Arial"/>
          <w:sz w:val="32"/>
          <w:szCs w:val="22"/>
        </w:rPr>
        <w:sectPr w:rsidR="00F941EF" w:rsidRPr="00F941EF" w:rsidSect="00C93763">
          <w:pgSz w:w="12240" w:h="15840" w:code="1"/>
          <w:pgMar w:top="1440" w:right="1440" w:bottom="1440" w:left="1440" w:header="720" w:footer="720" w:gutter="0"/>
          <w:pgNumType w:start="1"/>
          <w:cols w:space="720"/>
          <w:docGrid w:linePitch="360"/>
        </w:sectPr>
      </w:pPr>
    </w:p>
    <w:p w14:paraId="30185461" w14:textId="77777777" w:rsidR="00CA597D" w:rsidRDefault="00A33C74" w:rsidP="00C93763">
      <w:pPr>
        <w:pStyle w:val="Heading10"/>
      </w:pPr>
      <w:bookmarkStart w:id="9" w:name="_Toc151976667"/>
      <w:bookmarkStart w:id="10" w:name="_Toc187399541"/>
      <w:bookmarkEnd w:id="6"/>
      <w:bookmarkEnd w:id="7"/>
      <w:bookmarkEnd w:id="8"/>
      <w:r>
        <w:lastRenderedPageBreak/>
        <w:t>Introduction</w:t>
      </w:r>
      <w:bookmarkEnd w:id="9"/>
      <w:bookmarkEnd w:id="10"/>
    </w:p>
    <w:p w14:paraId="0717C825" w14:textId="3C5493F7" w:rsidR="00CA597D" w:rsidRDefault="00A33C74" w:rsidP="00FB6842">
      <w:pPr>
        <w:pStyle w:val="BodyText"/>
      </w:pPr>
      <w:r w:rsidRPr="00F64B8B">
        <w:t xml:space="preserve">This report presents </w:t>
      </w:r>
      <w:r>
        <w:t xml:space="preserve">the results of the impact evaluation </w:t>
      </w:r>
      <w:r w:rsidR="002452AB">
        <w:t xml:space="preserve">results </w:t>
      </w:r>
      <w:r>
        <w:t xml:space="preserve">of the </w:t>
      </w:r>
      <w:r w:rsidR="00D92A5A" w:rsidRPr="00D92A5A">
        <w:t>Contractor/Midstream Rebates</w:t>
      </w:r>
      <w:r>
        <w:t xml:space="preserve"> program </w:t>
      </w:r>
      <w:r w:rsidR="002452AB">
        <w:t xml:space="preserve">for </w:t>
      </w:r>
      <w:r>
        <w:t>the program year from January 1 to December 31, 2024 (CY2024)</w:t>
      </w:r>
      <w:r w:rsidRPr="00B52A58">
        <w:t xml:space="preserve">. </w:t>
      </w:r>
      <w:r w:rsidR="00EF579C" w:rsidRPr="00CE17C0">
        <w:t>The program was designed to offer incentives for the installation of qualifying high efficiency equipment and services including</w:t>
      </w:r>
      <w:r w:rsidR="00BE20C9">
        <w:t>:</w:t>
      </w:r>
    </w:p>
    <w:p w14:paraId="7F5A58A7" w14:textId="77777777" w:rsidR="004A44CA" w:rsidRPr="00213227" w:rsidRDefault="004A44CA" w:rsidP="00F22A95">
      <w:pPr>
        <w:pStyle w:val="BodyText"/>
        <w:numPr>
          <w:ilvl w:val="0"/>
          <w:numId w:val="54"/>
        </w:numPr>
        <w:tabs>
          <w:tab w:val="left" w:pos="1440"/>
        </w:tabs>
        <w:spacing w:after="0"/>
        <w:ind w:hanging="720"/>
        <w:rPr>
          <w:rFonts w:cs="Arial"/>
          <w:szCs w:val="22"/>
        </w:rPr>
      </w:pPr>
      <w:r w:rsidRPr="00213227">
        <w:rPr>
          <w:rStyle w:val="normaltextrun"/>
          <w:rFonts w:eastAsiaTheme="majorEastAsia" w:cs="Arial"/>
          <w:szCs w:val="22"/>
        </w:rPr>
        <w:t>Air Source Heat Pumps (ASHPs)</w:t>
      </w:r>
      <w:r w:rsidRPr="00213227">
        <w:rPr>
          <w:rStyle w:val="eop"/>
          <w:rFonts w:eastAsiaTheme="majorEastAsia" w:cs="Arial"/>
          <w:szCs w:val="22"/>
        </w:rPr>
        <w:t> </w:t>
      </w:r>
    </w:p>
    <w:p w14:paraId="4807EFE2" w14:textId="77777777" w:rsidR="004A44CA" w:rsidRPr="00213227" w:rsidRDefault="004A44CA" w:rsidP="004A44CA">
      <w:pPr>
        <w:pStyle w:val="paragraph"/>
        <w:numPr>
          <w:ilvl w:val="0"/>
          <w:numId w:val="53"/>
        </w:numPr>
        <w:spacing w:before="0" w:beforeAutospacing="0" w:after="0" w:afterAutospacing="0"/>
        <w:ind w:left="1080" w:firstLine="0"/>
        <w:textAlignment w:val="baseline"/>
        <w:rPr>
          <w:rFonts w:ascii="Arial" w:hAnsi="Arial" w:cs="Arial"/>
          <w:sz w:val="22"/>
          <w:szCs w:val="22"/>
        </w:rPr>
      </w:pPr>
      <w:r w:rsidRPr="00213227">
        <w:rPr>
          <w:rStyle w:val="normaltextrun"/>
          <w:rFonts w:ascii="Arial" w:eastAsiaTheme="majorEastAsia" w:hAnsi="Arial" w:cs="Arial"/>
          <w:sz w:val="22"/>
          <w:szCs w:val="22"/>
        </w:rPr>
        <w:t>Ductless Mini-Split Heat Pumps (DMSHPs)</w:t>
      </w:r>
      <w:r w:rsidRPr="00213227">
        <w:rPr>
          <w:rStyle w:val="eop"/>
          <w:rFonts w:ascii="Arial" w:eastAsiaTheme="majorEastAsia" w:hAnsi="Arial" w:cs="Arial"/>
          <w:sz w:val="22"/>
          <w:szCs w:val="22"/>
        </w:rPr>
        <w:t> </w:t>
      </w:r>
    </w:p>
    <w:p w14:paraId="738A9C9F" w14:textId="77777777" w:rsidR="004A44CA" w:rsidRPr="00213227" w:rsidRDefault="004A44CA" w:rsidP="004A44CA">
      <w:pPr>
        <w:pStyle w:val="paragraph"/>
        <w:numPr>
          <w:ilvl w:val="0"/>
          <w:numId w:val="53"/>
        </w:numPr>
        <w:spacing w:before="0" w:beforeAutospacing="0" w:after="0" w:afterAutospacing="0"/>
        <w:ind w:left="1080" w:firstLine="0"/>
        <w:textAlignment w:val="baseline"/>
        <w:rPr>
          <w:rFonts w:ascii="Arial" w:hAnsi="Arial" w:cs="Arial"/>
          <w:sz w:val="22"/>
          <w:szCs w:val="22"/>
        </w:rPr>
      </w:pPr>
      <w:r w:rsidRPr="00213227">
        <w:rPr>
          <w:rStyle w:val="normaltextrun"/>
          <w:rFonts w:ascii="Arial" w:eastAsiaTheme="majorEastAsia" w:hAnsi="Arial" w:cs="Arial"/>
          <w:sz w:val="22"/>
          <w:szCs w:val="22"/>
        </w:rPr>
        <w:t>Ground Source Heat Pumps (GSHPs)</w:t>
      </w:r>
      <w:r w:rsidRPr="00213227">
        <w:rPr>
          <w:rStyle w:val="eop"/>
          <w:rFonts w:ascii="Arial" w:eastAsiaTheme="majorEastAsia" w:hAnsi="Arial" w:cs="Arial"/>
          <w:sz w:val="22"/>
          <w:szCs w:val="22"/>
        </w:rPr>
        <w:t> </w:t>
      </w:r>
    </w:p>
    <w:p w14:paraId="27A772B4" w14:textId="77777777" w:rsidR="00065D53" w:rsidRPr="00213227" w:rsidRDefault="00065D53" w:rsidP="00065D53">
      <w:pPr>
        <w:pStyle w:val="paragraph"/>
        <w:numPr>
          <w:ilvl w:val="0"/>
          <w:numId w:val="53"/>
        </w:numPr>
        <w:spacing w:before="0" w:beforeAutospacing="0" w:after="0" w:afterAutospacing="0"/>
        <w:ind w:left="1080" w:firstLine="0"/>
        <w:textAlignment w:val="baseline"/>
        <w:rPr>
          <w:rFonts w:ascii="Arial" w:hAnsi="Arial" w:cs="Arial"/>
          <w:sz w:val="22"/>
          <w:szCs w:val="22"/>
        </w:rPr>
      </w:pPr>
      <w:r w:rsidRPr="00213227">
        <w:rPr>
          <w:rStyle w:val="normaltextrun"/>
          <w:rFonts w:ascii="Arial" w:eastAsiaTheme="majorEastAsia" w:hAnsi="Arial" w:cs="Arial"/>
          <w:sz w:val="22"/>
          <w:szCs w:val="22"/>
        </w:rPr>
        <w:t>Smart Thermostats</w:t>
      </w:r>
      <w:r w:rsidRPr="00213227">
        <w:rPr>
          <w:rStyle w:val="eop"/>
          <w:rFonts w:ascii="Arial" w:eastAsiaTheme="majorEastAsia" w:hAnsi="Arial" w:cs="Arial"/>
          <w:sz w:val="22"/>
          <w:szCs w:val="22"/>
        </w:rPr>
        <w:t> </w:t>
      </w:r>
    </w:p>
    <w:p w14:paraId="5DE82F71" w14:textId="77777777" w:rsidR="004A44CA" w:rsidRPr="00D853B5" w:rsidRDefault="004A44CA" w:rsidP="004A44CA">
      <w:pPr>
        <w:pStyle w:val="paragraph"/>
        <w:numPr>
          <w:ilvl w:val="0"/>
          <w:numId w:val="53"/>
        </w:numPr>
        <w:spacing w:before="0" w:beforeAutospacing="0" w:after="0" w:afterAutospacing="0"/>
        <w:ind w:left="1080" w:firstLine="0"/>
        <w:textAlignment w:val="baseline"/>
        <w:rPr>
          <w:rStyle w:val="eop"/>
          <w:rFonts w:ascii="Arial" w:hAnsi="Arial" w:cs="Arial"/>
          <w:sz w:val="22"/>
          <w:szCs w:val="22"/>
        </w:rPr>
      </w:pPr>
      <w:r w:rsidRPr="00213227">
        <w:rPr>
          <w:rStyle w:val="normaltextrun"/>
          <w:rFonts w:ascii="Arial" w:eastAsiaTheme="majorEastAsia" w:hAnsi="Arial" w:cs="Arial"/>
          <w:sz w:val="22"/>
          <w:szCs w:val="22"/>
        </w:rPr>
        <w:t>Duct Sealing</w:t>
      </w:r>
      <w:r w:rsidRPr="00213227">
        <w:rPr>
          <w:rStyle w:val="eop"/>
          <w:rFonts w:ascii="Arial" w:eastAsiaTheme="majorEastAsia" w:hAnsi="Arial" w:cs="Arial"/>
          <w:sz w:val="22"/>
          <w:szCs w:val="22"/>
        </w:rPr>
        <w:t> </w:t>
      </w:r>
    </w:p>
    <w:p w14:paraId="0817B9F2" w14:textId="77777777" w:rsidR="00D853B5" w:rsidRPr="00213227" w:rsidRDefault="00D853B5" w:rsidP="00D853B5">
      <w:pPr>
        <w:pStyle w:val="paragraph"/>
        <w:spacing w:before="0" w:beforeAutospacing="0" w:after="0" w:afterAutospacing="0"/>
        <w:ind w:left="1080"/>
        <w:textAlignment w:val="baseline"/>
        <w:rPr>
          <w:rFonts w:ascii="Arial" w:hAnsi="Arial" w:cs="Arial"/>
          <w:sz w:val="22"/>
          <w:szCs w:val="22"/>
        </w:rPr>
      </w:pPr>
    </w:p>
    <w:p w14:paraId="26162163" w14:textId="3E123096" w:rsidR="00157DD3" w:rsidRDefault="00157DD3" w:rsidP="00FB6842">
      <w:pPr>
        <w:pStyle w:val="BodyText"/>
      </w:pPr>
      <w:r>
        <w:t>The m</w:t>
      </w:r>
      <w:r w:rsidRPr="00E91C5F">
        <w:t xml:space="preserve">idstream incentives are provided to HVAC distributors for products </w:t>
      </w:r>
      <w:r>
        <w:t>ASHP and DMSHP. The d</w:t>
      </w:r>
      <w:r w:rsidRPr="00E91C5F">
        <w:t>ownstream rebates are provided directly to customers for measures</w:t>
      </w:r>
      <w:r>
        <w:t>, Smart Thermostats and Duct Sealing.</w:t>
      </w:r>
    </w:p>
    <w:p w14:paraId="30185466" w14:textId="77777777" w:rsidR="00CA597D" w:rsidRDefault="00A33C74" w:rsidP="00C93763">
      <w:pPr>
        <w:pStyle w:val="Heading10"/>
      </w:pPr>
      <w:bookmarkStart w:id="11" w:name="_Toc151976668"/>
      <w:bookmarkStart w:id="12" w:name="_Toc187399542"/>
      <w:r>
        <w:t>Program Savings Detail</w:t>
      </w:r>
      <w:bookmarkEnd w:id="11"/>
      <w:bookmarkEnd w:id="12"/>
    </w:p>
    <w:bookmarkStart w:id="13" w:name="_Hlk117035428"/>
    <w:p w14:paraId="6E0DB242" w14:textId="4CFB5769" w:rsidR="002F293D" w:rsidRDefault="00A33C74" w:rsidP="00FB6842">
      <w:pPr>
        <w:pStyle w:val="BodyText"/>
      </w:pPr>
      <w:r w:rsidRPr="008E2DD7">
        <w:fldChar w:fldCharType="begin"/>
      </w:r>
      <w:r w:rsidRPr="008E2DD7">
        <w:instrText xml:space="preserve"> REF _Ref482008337 \h </w:instrText>
      </w:r>
      <w:r>
        <w:instrText xml:space="preserve"> \* MERGEFORMAT </w:instrText>
      </w:r>
      <w:r w:rsidRPr="008E2DD7">
        <w:fldChar w:fldCharType="separate"/>
      </w:r>
      <w:r>
        <w:t xml:space="preserve">Table </w:t>
      </w:r>
      <w:r>
        <w:rPr>
          <w:noProof/>
        </w:rPr>
        <w:t>1</w:t>
      </w:r>
      <w:r w:rsidRPr="008E2DD7">
        <w:fldChar w:fldCharType="end"/>
      </w:r>
      <w:bookmarkEnd w:id="13"/>
      <w:r w:rsidRPr="008E2DD7">
        <w:t xml:space="preserve"> summarizes the incremental energy and demand savings the </w:t>
      </w:r>
      <w:r w:rsidR="00F06B9A" w:rsidRPr="00D92A5A">
        <w:t>Contractor/ Midstream Rebates</w:t>
      </w:r>
      <w:r w:rsidR="00F06B9A" w:rsidRPr="008E2DD7">
        <w:t xml:space="preserve"> </w:t>
      </w:r>
      <w:r w:rsidRPr="008E2DD7">
        <w:t>Program achieved in CY202</w:t>
      </w:r>
      <w:r>
        <w:t>4</w:t>
      </w:r>
      <w:r w:rsidRPr="008E2DD7">
        <w:t>. The gas or other fuel savings are only those that ComEd may be able to claim, which excludes savings the gas utilities claim, either via joint or non-joint programs.</w:t>
      </w:r>
      <w:r w:rsidRPr="008E2DD7">
        <w:rPr>
          <w:rStyle w:val="FootnoteReference"/>
        </w:rPr>
        <w:footnoteReference w:id="2"/>
      </w:r>
      <w:r w:rsidRPr="008E2DD7">
        <w:t xml:space="preserve"> </w:t>
      </w:r>
      <w:r>
        <w:fldChar w:fldCharType="begin"/>
      </w:r>
      <w:r>
        <w:instrText xml:space="preserve"> REF _Ref187399174 \h </w:instrText>
      </w:r>
      <w:r>
        <w:fldChar w:fldCharType="separate"/>
      </w:r>
      <w:r>
        <w:t xml:space="preserve">Table </w:t>
      </w:r>
      <w:r>
        <w:rPr>
          <w:noProof/>
        </w:rPr>
        <w:t>2</w:t>
      </w:r>
      <w:r>
        <w:fldChar w:fldCharType="end"/>
      </w:r>
      <w:r>
        <w:t xml:space="preserve"> </w:t>
      </w:r>
      <w:r w:rsidRPr="008E2DD7">
        <w:t>summarizes the savings achieved from income eligible</w:t>
      </w:r>
      <w:r w:rsidR="0036346A">
        <w:t xml:space="preserve"> (IE)</w:t>
      </w:r>
      <w:r w:rsidRPr="008E2DD7">
        <w:t xml:space="preserve"> participants and </w:t>
      </w:r>
      <w:r w:rsidRPr="008E2DD7">
        <w:fldChar w:fldCharType="begin"/>
      </w:r>
      <w:r w:rsidRPr="008E2DD7">
        <w:instrText xml:space="preserve"> REF _Ref105416959 \h </w:instrText>
      </w:r>
      <w:r>
        <w:instrText xml:space="preserve"> \* MERGEFORMAT </w:instrText>
      </w:r>
      <w:r w:rsidRPr="008E2DD7">
        <w:fldChar w:fldCharType="separate"/>
      </w:r>
      <w:r>
        <w:t xml:space="preserve">Table </w:t>
      </w:r>
      <w:r>
        <w:rPr>
          <w:noProof/>
        </w:rPr>
        <w:t>3</w:t>
      </w:r>
      <w:r w:rsidRPr="008E2DD7">
        <w:fldChar w:fldCharType="end"/>
      </w:r>
      <w:r w:rsidRPr="008E2DD7">
        <w:t xml:space="preserve"> summarizes savings from non-income eligible</w:t>
      </w:r>
      <w:r w:rsidR="0036346A">
        <w:t xml:space="preserve"> (</w:t>
      </w:r>
      <w:r w:rsidR="00852DFB">
        <w:t>Non-IE)</w:t>
      </w:r>
      <w:r w:rsidRPr="008E2DD7">
        <w:t xml:space="preserve"> participants</w:t>
      </w:r>
      <w:r>
        <w:t>.</w:t>
      </w:r>
      <w:r w:rsidRPr="008E2DD7">
        <w:t xml:space="preserve"> </w:t>
      </w:r>
      <w:r>
        <w:t>T</w:t>
      </w:r>
      <w:r w:rsidRPr="008E2DD7">
        <w:t>ogether they make up the total shown in Table 1.</w:t>
      </w:r>
      <w:r w:rsidR="002F293D" w:rsidRPr="002F293D">
        <w:t xml:space="preserve"> </w:t>
      </w:r>
    </w:p>
    <w:p w14:paraId="30185469" w14:textId="56039A93" w:rsidR="00CA597D" w:rsidRDefault="002F293D" w:rsidP="00FB6842">
      <w:pPr>
        <w:pStyle w:val="BodyText"/>
      </w:pPr>
      <w:r w:rsidRPr="008E2DD7">
        <w:t xml:space="preserve">The electrification savings are those resulting from </w:t>
      </w:r>
      <w:r>
        <w:t>e</w:t>
      </w:r>
      <w:r w:rsidR="00852DFB">
        <w:t xml:space="preserve">nergy efficient </w:t>
      </w:r>
      <w:r>
        <w:t>e</w:t>
      </w:r>
      <w:r w:rsidR="00701DEC">
        <w:t>le</w:t>
      </w:r>
      <w:r>
        <w:t xml:space="preserve">ctrification </w:t>
      </w:r>
      <w:r w:rsidR="000D4A06">
        <w:t xml:space="preserve">(EEE) </w:t>
      </w:r>
      <w:r w:rsidRPr="008E2DD7">
        <w:t>measures.</w:t>
      </w:r>
      <w:r w:rsidRPr="008E2DD7">
        <w:rPr>
          <w:rStyle w:val="FootnoteReference"/>
        </w:rPr>
        <w:footnoteReference w:id="3"/>
      </w:r>
      <w:r>
        <w:t xml:space="preserve"> </w:t>
      </w:r>
      <w:r w:rsidR="00CD23C2">
        <w:t xml:space="preserve">Since the program does not collect enough end user information to determine whether specific </w:t>
      </w:r>
      <w:r w:rsidR="005C098D">
        <w:t xml:space="preserve">participants </w:t>
      </w:r>
      <w:r w:rsidR="007B6986">
        <w:t xml:space="preserve">qualified as </w:t>
      </w:r>
      <w:r w:rsidR="00701DEC">
        <w:t>IE</w:t>
      </w:r>
      <w:r w:rsidR="007B6986">
        <w:t>, a policy was established</w:t>
      </w:r>
      <w:r w:rsidR="00103656">
        <w:rPr>
          <w:rStyle w:val="FootnoteReference"/>
        </w:rPr>
        <w:footnoteReference w:id="4"/>
      </w:r>
      <w:r w:rsidR="007B6986">
        <w:t xml:space="preserve"> </w:t>
      </w:r>
      <w:r w:rsidR="008D68CE">
        <w:t xml:space="preserve">[footnote]to allocate 10% of the </w:t>
      </w:r>
      <w:r w:rsidR="00AE7862">
        <w:t xml:space="preserve">CY2024 </w:t>
      </w:r>
      <w:r w:rsidR="008D68CE">
        <w:t xml:space="preserve">total </w:t>
      </w:r>
      <w:r w:rsidR="002E1459">
        <w:t xml:space="preserve">electrification savings </w:t>
      </w:r>
      <w:r w:rsidR="00AE7862">
        <w:t xml:space="preserve">in this program </w:t>
      </w:r>
      <w:r w:rsidR="002E1459">
        <w:t xml:space="preserve">to </w:t>
      </w:r>
      <w:r w:rsidR="00100793">
        <w:t xml:space="preserve">the </w:t>
      </w:r>
      <w:r w:rsidR="00701DEC">
        <w:t>IE</w:t>
      </w:r>
      <w:r w:rsidR="00100793">
        <w:t xml:space="preserve"> population. </w:t>
      </w:r>
      <w:r w:rsidRPr="002F293D">
        <w:t xml:space="preserve">The evaluation recalculated savings for x kWh of savings from EEE measures to an </w:t>
      </w:r>
      <w:r w:rsidR="00167EE6">
        <w:t>energy efficiency</w:t>
      </w:r>
      <w:r w:rsidR="00751DB4">
        <w:t xml:space="preserve"> (EE) </w:t>
      </w:r>
      <w:r w:rsidRPr="002F293D">
        <w:t>baseline</w:t>
      </w:r>
      <w:r w:rsidR="00751DB4">
        <w:t xml:space="preserve"> </w:t>
      </w:r>
      <w:r>
        <w:t>to ensure the portfolio EEE IE savings represents</w:t>
      </w:r>
      <w:r w:rsidRPr="002F293D">
        <w:t xml:space="preserve"> 25% of the total EEE savings. </w:t>
      </w:r>
      <w:r w:rsidR="00F62753">
        <w:t>A</w:t>
      </w:r>
      <w:r w:rsidRPr="002F293D">
        <w:t>ll the reallocation was done with y measure</w:t>
      </w:r>
      <w:r w:rsidR="00F62753">
        <w:t>.</w:t>
      </w:r>
      <w:r w:rsidR="0072058F">
        <w:t xml:space="preserve"> Those </w:t>
      </w:r>
      <w:r w:rsidR="0087209A">
        <w:t>recalculated savings are shown in Table 1 in the row titled “ Electric</w:t>
      </w:r>
      <w:r w:rsidR="0087209A" w:rsidRPr="0087209A">
        <w:t xml:space="preserve"> Energy Savings - Indirect from Electrification (efficiency baseline)</w:t>
      </w:r>
      <w:r w:rsidR="0087209A">
        <w:t>”</w:t>
      </w:r>
      <w:r w:rsidR="004968ED">
        <w:t>.</w:t>
      </w:r>
    </w:p>
    <w:p w14:paraId="171C1174" w14:textId="77777777" w:rsidR="001B3CD5" w:rsidRDefault="001B3CD5" w:rsidP="001B3CD5">
      <w:pPr>
        <w:pStyle w:val="Caption"/>
      </w:pPr>
      <w:bookmarkStart w:id="14" w:name="_Ref482008337"/>
      <w:bookmarkStart w:id="15" w:name="_Toc398546653"/>
      <w:bookmarkStart w:id="16" w:name="_Toc423009515"/>
      <w:bookmarkStart w:id="17" w:name="_Toc426278633"/>
      <w:bookmarkStart w:id="18" w:name="_Toc88241752"/>
      <w:bookmarkStart w:id="19" w:name="_Toc159919732"/>
      <w:bookmarkStart w:id="20" w:name="_Toc187399545"/>
      <w:r>
        <w:t xml:space="preserve">Table </w:t>
      </w:r>
      <w:r>
        <w:fldChar w:fldCharType="begin"/>
      </w:r>
      <w:r>
        <w:instrText>SEQ Table \* ARABIC</w:instrText>
      </w:r>
      <w:r>
        <w:fldChar w:fldCharType="separate"/>
      </w:r>
      <w:r>
        <w:rPr>
          <w:noProof/>
        </w:rPr>
        <w:t>1</w:t>
      </w:r>
      <w:r>
        <w:fldChar w:fldCharType="end"/>
      </w:r>
      <w:bookmarkEnd w:id="14"/>
      <w:r w:rsidRPr="00F7087A">
        <w:t>. Total Annual Incremen</w:t>
      </w:r>
      <w:r>
        <w:t>t</w:t>
      </w:r>
      <w:r w:rsidRPr="00F7087A">
        <w:t>al Electric Savings</w:t>
      </w:r>
      <w:bookmarkEnd w:id="15"/>
      <w:bookmarkEnd w:id="16"/>
      <w:bookmarkEnd w:id="17"/>
      <w:bookmarkEnd w:id="18"/>
      <w:r>
        <w:t xml:space="preserve"> - Total</w:t>
      </w:r>
      <w:bookmarkStart w:id="21" w:name="Table_1"/>
      <w:bookmarkEnd w:id="19"/>
      <w:bookmarkEnd w:id="20"/>
      <w:bookmarkEnd w:id="21"/>
    </w:p>
    <w:tbl>
      <w:tblPr>
        <w:tblW w:w="0" w:type="pct"/>
        <w:jc w:val="center"/>
        <w:tblLook w:val="0420" w:firstRow="1" w:lastRow="0" w:firstColumn="0" w:lastColumn="0" w:noHBand="0" w:noVBand="1"/>
      </w:tblPr>
      <w:tblGrid>
        <w:gridCol w:w="2064"/>
        <w:gridCol w:w="325"/>
        <w:gridCol w:w="945"/>
        <w:gridCol w:w="1097"/>
        <w:gridCol w:w="941"/>
        <w:gridCol w:w="1035"/>
        <w:gridCol w:w="1024"/>
        <w:gridCol w:w="1024"/>
        <w:gridCol w:w="905"/>
      </w:tblGrid>
      <w:tr w:rsidR="001B3CD5" w14:paraId="2B121F74" w14:textId="77777777" w:rsidTr="00667283">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AD64A1C"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9E5EC22"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4A0DE00"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A714D0A"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7A54476"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A4035CF"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C5D4954"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1D2CA31"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EA3C039"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1B3CD5" w14:paraId="56979EA7" w14:textId="77777777" w:rsidTr="00667283">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4D6953"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CE7A3B"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34049F"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25,205,762</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A223C6"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433EDE"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25,310,295</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CF9F9D"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0.94</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2B497D"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AF1933"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669CBC"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23,740,743</w:t>
            </w:r>
          </w:p>
        </w:tc>
      </w:tr>
      <w:tr w:rsidR="001B3CD5" w14:paraId="58942E98" w14:textId="77777777" w:rsidTr="00667283">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E5C04"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0CB5C8"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A69991"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1,384,516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5E1655"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8B9FBB"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1,379,831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7BB581"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EEF745"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90F100"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7A6C29"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1,256,284</w:t>
            </w:r>
          </w:p>
        </w:tc>
      </w:tr>
      <w:tr w:rsidR="001B3CD5" w14:paraId="50723A68" w14:textId="77777777" w:rsidTr="00667283">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CC64EB" w14:textId="2ED01303"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lastRenderedPageBreak/>
              <w:t>Electric Energy Savings - Indirect from Electrification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487433"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9E806E"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51,523,741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B19C68"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CA0E36"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52,486,633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8FF70C"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05617F"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7A32AE"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F72C7B"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49,243,047</w:t>
            </w:r>
          </w:p>
        </w:tc>
      </w:tr>
      <w:tr w:rsidR="001B3CD5" w14:paraId="1B1D6820" w14:textId="77777777" w:rsidTr="00667283">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378BCF" w14:textId="2E6E75B4"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from Electrification (efficiency </w:t>
            </w:r>
            <w:r w:rsidR="00BF1934">
              <w:rPr>
                <w:rFonts w:ascii="Arial" w:eastAsia="DejaVu Sans" w:hAnsi="DejaVu Sans" w:cs="DejaVu Sans"/>
                <w:color w:val="000000"/>
                <w:sz w:val="14"/>
                <w:szCs w:val="14"/>
              </w:rPr>
              <w:t>baseline) |</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FB70D8"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24F6D8"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1E975C"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A16490"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9BAE5F"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7D45FB"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F2955D"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58C8D5"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1B3CD5" w14:paraId="61FD9A63" w14:textId="77777777" w:rsidTr="00667283">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3057CF"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A58548"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F6CFE8"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78,114,019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92CC53"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B56C36"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79,176,759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052836"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E47C3A"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7EAA65"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5B98B0"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74,240,075</w:t>
            </w:r>
          </w:p>
        </w:tc>
      </w:tr>
      <w:tr w:rsidR="001B3CD5" w14:paraId="12511857" w14:textId="77777777" w:rsidTr="00667283">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18AAF2"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62DDBB"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E12447"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98D5C"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0ECE5"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BCEB4D"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9BC835"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5C6DEC"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F1DA51"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1B3CD5" w14:paraId="36F65628" w14:textId="77777777" w:rsidTr="00667283">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1F7CF3"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94AB8"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8469E2"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2,992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DED273"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3C6D54"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3B0A67"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0AF7EC"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D5DECC"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D0E538"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2,540</w:t>
            </w:r>
          </w:p>
        </w:tc>
      </w:tr>
      <w:tr w:rsidR="001B3CD5" w14:paraId="09BA2548" w14:textId="77777777" w:rsidTr="00667283">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3541AF1"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w:t>
            </w:r>
            <w:r>
              <w:rPr>
                <w:rFonts w:ascii="Arial" w:eastAsia="DejaVu Sans" w:hAnsi="DejaVu Sans" w:cs="DejaVu Sans"/>
                <w:color w:val="000000"/>
                <w:sz w:val="14"/>
                <w:szCs w:val="14"/>
              </w:rPr>
              <w:br/>
              <w:t xml:space="preserve">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C9A644B"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A067BCA"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5C7FFF9"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4B3DC95"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32213E6"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623B3F"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878774"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641D05" w14:textId="77777777" w:rsidR="001B3CD5" w:rsidRDefault="001B3CD5" w:rsidP="0066728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bl>
    <w:p w14:paraId="301854C5" w14:textId="28F6165A" w:rsidR="00CA597D" w:rsidRPr="0085537E" w:rsidRDefault="00A33C74" w:rsidP="00CC7133">
      <w:pPr>
        <w:pStyle w:val="TableFigureNote"/>
      </w:pPr>
      <w:r>
        <w:t>N/A = not applicable (refers to a piece of data that cannot be produced or does not apply).</w:t>
      </w:r>
    </w:p>
    <w:p w14:paraId="301854C6" w14:textId="77777777" w:rsidR="00CA597D" w:rsidRDefault="00A33C74" w:rsidP="00C25FD6">
      <w:pPr>
        <w:pStyle w:val="TableFigureNote"/>
      </w:pPr>
      <w:r>
        <w:t xml:space="preserve">* The “Ex Ante Gross Savings" and “Verified Gross Savings" in row one (Electric Energy Savings - Direct) and row seven (Summer Peak Demand Savings) exclude gross carryover savings from CY2022 and CY2023. </w:t>
      </w:r>
    </w:p>
    <w:p w14:paraId="301854C7" w14:textId="77777777" w:rsidR="00CA597D" w:rsidRDefault="00A33C74" w:rsidP="00C25FD6">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301854C8" w14:textId="77777777" w:rsidR="00CA597D" w:rsidRDefault="00A33C74" w:rsidP="00C25FD6">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301854C9" w14:textId="77777777" w:rsidR="00CA597D" w:rsidRDefault="00A33C74" w:rsidP="00C25FD6">
      <w:pPr>
        <w:pStyle w:val="TableFigureNote"/>
      </w:pPr>
      <w:r>
        <w:t xml:space="preserve">§ Gas savings converted to kWh by multiplying Therms * 29.31 (which is based on 100,000 Btu/Therm and 3,412 Btu/kWh). The evaluation team will determine which gas savings will be converted to kWh and counted toward ComEd's electric savings goal while producing the portfolio-wide Summary Report. </w:t>
      </w:r>
    </w:p>
    <w:p w14:paraId="301854CA" w14:textId="77777777" w:rsidR="00CA597D" w:rsidRDefault="00A33C74" w:rsidP="00C25FD6">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using an efficiency baseline, which can be claimable towards ComEd’s electric savings goal (applied to only midstream programs).</w:t>
      </w:r>
      <w:r>
        <w:rPr>
          <w:rStyle w:val="FootnoteReference"/>
        </w:rPr>
        <w:footnoteReference w:id="5"/>
      </w:r>
      <w:r>
        <w:t xml:space="preserve"> The evaluation team determined which electrification savings are allocated toward ComEd's electrification savings goal, and which portion of electrification are converted to traditional efficiency electric savings based on analysis of portfolio-wide verified savings.</w:t>
      </w:r>
    </w:p>
    <w:p w14:paraId="301854CB" w14:textId="77777777" w:rsidR="00CA597D" w:rsidRDefault="00A33C74" w:rsidP="00C25FD6">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301854CC" w14:textId="77777777" w:rsidR="00CA597D" w:rsidRDefault="00A33C74" w:rsidP="00C25FD6">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6788B9E5" w14:textId="3DC2AFD8" w:rsidR="007B2242" w:rsidRDefault="00A33C74" w:rsidP="007B2242">
      <w:pPr>
        <w:pStyle w:val="TableFigureNote"/>
      </w:pPr>
      <w:r w:rsidRPr="00E003DD">
        <w:t>Note:</w:t>
      </w:r>
      <w:r>
        <w:t xml:space="preserve"> The program-level NTG values are calculated as Verified Net/Verified Gross. The program-level analysis typically used measure-level deemed NTG values, which are listed here: https://www.ilsag.info/evaluator-ntg-recommendations-for-2024.</w:t>
      </w:r>
      <w:r w:rsidRPr="00724FCD">
        <w:t xml:space="preserve"> The NTG ratio for eligible business customers in disadvantaged neighborhoods is set to 1.00 as per the “NTG Ratio for Disadvantaged Areas” policy</w:t>
      </w:r>
      <w:r>
        <w:t>.</w:t>
      </w:r>
      <w:r>
        <w:rPr>
          <w:rStyle w:val="FootnoteReference"/>
        </w:rPr>
        <w:footnoteReference w:id="6"/>
      </w:r>
    </w:p>
    <w:p w14:paraId="765C3819" w14:textId="77777777" w:rsidR="004A030F" w:rsidRPr="007F6F68" w:rsidRDefault="004A030F" w:rsidP="004A030F">
      <w:pPr>
        <w:pStyle w:val="TableFigureSource"/>
      </w:pPr>
      <w:r>
        <w:t>Source: Evaluation team analysis</w:t>
      </w:r>
    </w:p>
    <w:p w14:paraId="583DF93C" w14:textId="77777777" w:rsidR="003F21A5" w:rsidRPr="003F21A5" w:rsidRDefault="003F21A5" w:rsidP="003F21A5"/>
    <w:p w14:paraId="2EED0EF6" w14:textId="77777777" w:rsidR="007B2242" w:rsidRDefault="007B2242" w:rsidP="007B2242">
      <w:pPr>
        <w:pStyle w:val="Caption"/>
      </w:pPr>
      <w:bookmarkStart w:id="22" w:name="_Ref187399174"/>
      <w:bookmarkStart w:id="23" w:name="_Toc159919733"/>
      <w:bookmarkStart w:id="24" w:name="_Toc187399546"/>
      <w:r>
        <w:lastRenderedPageBreak/>
        <w:t xml:space="preserve">Table </w:t>
      </w:r>
      <w:r>
        <w:fldChar w:fldCharType="begin"/>
      </w:r>
      <w:r>
        <w:instrText>SEQ Table \* ARABIC</w:instrText>
      </w:r>
      <w:r>
        <w:fldChar w:fldCharType="separate"/>
      </w:r>
      <w:r>
        <w:rPr>
          <w:noProof/>
        </w:rPr>
        <w:t>2</w:t>
      </w:r>
      <w:r>
        <w:fldChar w:fldCharType="end"/>
      </w:r>
      <w:bookmarkEnd w:id="22"/>
      <w:r w:rsidRPr="00F7087A">
        <w:t>. Incremental Electric Savings</w:t>
      </w:r>
      <w:r>
        <w:t xml:space="preserve"> – Income Eligible</w:t>
      </w:r>
      <w:bookmarkStart w:id="25" w:name="Table_2"/>
      <w:bookmarkEnd w:id="23"/>
      <w:bookmarkEnd w:id="24"/>
      <w:bookmarkEnd w:id="25"/>
    </w:p>
    <w:tbl>
      <w:tblPr>
        <w:tblW w:w="5000" w:type="pct"/>
        <w:jc w:val="center"/>
        <w:tblLook w:val="0420" w:firstRow="1" w:lastRow="0" w:firstColumn="0" w:lastColumn="0" w:noHBand="0" w:noVBand="1"/>
      </w:tblPr>
      <w:tblGrid>
        <w:gridCol w:w="2107"/>
        <w:gridCol w:w="331"/>
        <w:gridCol w:w="905"/>
        <w:gridCol w:w="1115"/>
        <w:gridCol w:w="900"/>
        <w:gridCol w:w="1055"/>
        <w:gridCol w:w="1042"/>
        <w:gridCol w:w="1042"/>
        <w:gridCol w:w="863"/>
      </w:tblGrid>
      <w:tr w:rsidR="007B2242" w14:paraId="5219F08E" w14:textId="77777777" w:rsidTr="007B2242">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763AD36"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F8D326"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5C92D2C"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1D6DF0E"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37EF68"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BE84205"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839A078"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5CDEF97"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86D3F16"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7B2242" w14:paraId="277AC36A" w14:textId="77777777" w:rsidTr="007B2242">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2E4EF4"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7B88A"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8F4E10"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B2A40A"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4BE082"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F0C300"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75C6DF"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5B13C2"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1BC8A"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7B2242" w14:paraId="28BDC09C" w14:textId="77777777" w:rsidTr="007B2242">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A785B6"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C1668A"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87AAA8"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AA9F6F"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B34C33"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7F296E"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651FD4"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82CAB4"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A72830"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7B2242" w14:paraId="5CB270AC" w14:textId="77777777" w:rsidTr="007B2242">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92EE3A" w14:textId="16CBD0F9"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w:t>
            </w:r>
            <w:r w:rsidR="00BF1934">
              <w:rPr>
                <w:rFonts w:ascii="Arial" w:eastAsia="DejaVu Sans" w:hAnsi="DejaVu Sans" w:cs="DejaVu Sans"/>
                <w:color w:val="000000"/>
                <w:sz w:val="14"/>
                <w:szCs w:val="14"/>
              </w:rPr>
              <w:t>from Electrification</w:t>
            </w:r>
            <w:r>
              <w:rPr>
                <w:rFonts w:ascii="Arial" w:eastAsia="DejaVu Sans" w:hAnsi="DejaVu Sans" w:cs="DejaVu Sans"/>
                <w:color w:val="000000"/>
                <w:sz w:val="14"/>
                <w:szCs w:val="14"/>
              </w:rPr>
              <w:t xml:space="preserve">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9DA79"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CF1EA9"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5,152,374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D816E9"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F39023"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5,248,663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ED37A1"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7BD5B6"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C25FC3"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E0A1F7"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4,924,305</w:t>
            </w:r>
          </w:p>
        </w:tc>
      </w:tr>
      <w:tr w:rsidR="007B2242" w14:paraId="349C9A60" w14:textId="77777777" w:rsidTr="007B2242">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995EB6" w14:textId="4129CB78"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w:t>
            </w:r>
            <w:r w:rsidR="00BF1934">
              <w:rPr>
                <w:rFonts w:ascii="Arial" w:eastAsia="DejaVu Sans" w:hAnsi="DejaVu Sans" w:cs="DejaVu Sans"/>
                <w:color w:val="000000"/>
                <w:sz w:val="14"/>
                <w:szCs w:val="14"/>
              </w:rPr>
              <w:t>from Electrification</w:t>
            </w:r>
            <w:r>
              <w:rPr>
                <w:rFonts w:ascii="Arial" w:eastAsia="DejaVu Sans" w:hAnsi="DejaVu Sans" w:cs="DejaVu Sans"/>
                <w:color w:val="000000"/>
                <w:sz w:val="14"/>
                <w:szCs w:val="14"/>
              </w:rPr>
              <w:t xml:space="preserve">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D338FE"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3E500D"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91CC28"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51CE4F"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473E1"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BE6E02"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8F1287"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C689AE"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r>
      <w:tr w:rsidR="007B2242" w14:paraId="1EF15AFC" w14:textId="77777777" w:rsidTr="007B2242">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B1742"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183CA1"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DADDDC"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5,152,374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7DED94"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102A80"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5,248,663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3B1AFD"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870F04"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57BB48"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B8A727"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4,924,305</w:t>
            </w:r>
          </w:p>
        </w:tc>
      </w:tr>
      <w:tr w:rsidR="007B2242" w14:paraId="2DB0F37E" w14:textId="77777777" w:rsidTr="007B2242">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3C4AE4"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11E266"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27272A"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16545F"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AF7962"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D07945"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C92FA5"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35B625"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995DD2"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r>
      <w:tr w:rsidR="007B2242" w14:paraId="66E5F97B" w14:textId="77777777" w:rsidTr="007B2242">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79F712"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8669F"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55CFFC"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160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18B185"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0.90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5EECEB"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B3D6A8"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0.94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3E9213"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76885E"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5A5119"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w:t>
            </w:r>
          </w:p>
        </w:tc>
      </w:tr>
      <w:tr w:rsidR="007B2242" w14:paraId="2B9885ED" w14:textId="77777777" w:rsidTr="007B2242">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A0D5E0"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w:t>
            </w:r>
            <w:r>
              <w:rPr>
                <w:rFonts w:ascii="Arial" w:eastAsia="DejaVu Sans" w:hAnsi="DejaVu Sans" w:cs="DejaVu Sans"/>
                <w:color w:val="000000"/>
                <w:sz w:val="14"/>
                <w:szCs w:val="14"/>
              </w:rPr>
              <w:br/>
              <w:t xml:space="preserve">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839C551"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53B78D"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5B57144"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C71DC4"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DCD966F"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310FCEF"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DC44A26"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5D47CF" w14:textId="77777777" w:rsidR="007B2242" w:rsidRDefault="007B2242" w:rsidP="002400F3">
            <w:pPr>
              <w:keepNext/>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4"/>
                <w:szCs w:val="14"/>
              </w:rPr>
            </w:pPr>
          </w:p>
        </w:tc>
      </w:tr>
    </w:tbl>
    <w:p w14:paraId="2EDC2B71" w14:textId="77777777" w:rsidR="007B2242" w:rsidRPr="004B16A6" w:rsidRDefault="007B2242" w:rsidP="007B2242">
      <w:pPr>
        <w:pStyle w:val="TableFigureNote"/>
      </w:pPr>
      <w:r w:rsidRPr="004B16A6">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t>Table 1</w:t>
      </w:r>
      <w:r w:rsidRPr="004B16A6">
        <w:fldChar w:fldCharType="end"/>
      </w:r>
      <w:r>
        <w:t>.</w:t>
      </w:r>
    </w:p>
    <w:p w14:paraId="37206908" w14:textId="17789A85" w:rsidR="001B3CD5" w:rsidRPr="001B3CD5" w:rsidRDefault="007B2242" w:rsidP="007B2242">
      <w:pPr>
        <w:pStyle w:val="TableFigureSource"/>
      </w:pPr>
      <w:r w:rsidRPr="537FA5AC">
        <w:rPr>
          <w:rFonts w:eastAsia="Arial" w:cs="Arial"/>
        </w:rPr>
        <w:t>Source: Evaluation team analysis</w:t>
      </w:r>
    </w:p>
    <w:p w14:paraId="3018552C" w14:textId="77777777" w:rsidR="00CA597D" w:rsidRDefault="00A33C74" w:rsidP="001617A4">
      <w:pPr>
        <w:pStyle w:val="Caption"/>
      </w:pPr>
      <w:bookmarkStart w:id="26" w:name="_Ref105416959"/>
      <w:bookmarkStart w:id="27" w:name="_Toc159919734"/>
      <w:bookmarkStart w:id="28" w:name="_Toc187399547"/>
      <w:r>
        <w:t xml:space="preserve">Table </w:t>
      </w:r>
      <w:r>
        <w:fldChar w:fldCharType="begin"/>
      </w:r>
      <w:r>
        <w:instrText>SEQ Table \* ARABIC</w:instrText>
      </w:r>
      <w:r>
        <w:fldChar w:fldCharType="separate"/>
      </w:r>
      <w:r>
        <w:rPr>
          <w:noProof/>
        </w:rPr>
        <w:t>3</w:t>
      </w:r>
      <w:r>
        <w:fldChar w:fldCharType="end"/>
      </w:r>
      <w:bookmarkEnd w:id="26"/>
      <w:r w:rsidRPr="00F7087A">
        <w:t>. Total Annual Incremental Electric Savings</w:t>
      </w:r>
      <w:r>
        <w:t xml:space="preserve"> – Non-Income Eligible</w:t>
      </w:r>
      <w:bookmarkStart w:id="29" w:name="Table_3"/>
      <w:bookmarkEnd w:id="27"/>
      <w:bookmarkEnd w:id="28"/>
      <w:bookmarkEnd w:id="29"/>
    </w:p>
    <w:tbl>
      <w:tblPr>
        <w:tblW w:w="0" w:type="pct"/>
        <w:jc w:val="center"/>
        <w:tblLook w:val="0420" w:firstRow="1" w:lastRow="0" w:firstColumn="0" w:lastColumn="0" w:noHBand="0" w:noVBand="1"/>
      </w:tblPr>
      <w:tblGrid>
        <w:gridCol w:w="2071"/>
        <w:gridCol w:w="322"/>
        <w:gridCol w:w="944"/>
        <w:gridCol w:w="1097"/>
        <w:gridCol w:w="940"/>
        <w:gridCol w:w="1035"/>
        <w:gridCol w:w="1024"/>
        <w:gridCol w:w="1024"/>
        <w:gridCol w:w="903"/>
      </w:tblGrid>
      <w:tr w:rsidR="001E5D48" w14:paraId="30185536"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18552D"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18552E"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18552F"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185530"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185531"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185532"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185533"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185534"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185535"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1E5D48" w14:paraId="30185540"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37"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38"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39"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25,205,762</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3A"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3B"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25,310,295</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3C"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0.94</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3D"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3E"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3F"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23,740,743</w:t>
            </w:r>
          </w:p>
        </w:tc>
      </w:tr>
      <w:tr w:rsidR="001E5D48" w14:paraId="3018554A"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1"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2"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3"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1,384,516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4"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5"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1,379,831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6"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7"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8"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9"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1,256,284</w:t>
            </w:r>
          </w:p>
        </w:tc>
      </w:tr>
      <w:tr w:rsidR="001E5D48" w14:paraId="30185554"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B" w14:textId="0D97EC2E"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w:t>
            </w:r>
            <w:r w:rsidR="00BF1934">
              <w:rPr>
                <w:rFonts w:ascii="Arial" w:eastAsia="DejaVu Sans" w:hAnsi="DejaVu Sans" w:cs="DejaVu Sans"/>
                <w:color w:val="000000"/>
                <w:sz w:val="14"/>
                <w:szCs w:val="14"/>
              </w:rPr>
              <w:t>from Electrification</w:t>
            </w:r>
            <w:r>
              <w:rPr>
                <w:rFonts w:ascii="Arial" w:eastAsia="DejaVu Sans" w:hAnsi="DejaVu Sans" w:cs="DejaVu Sans"/>
                <w:color w:val="000000"/>
                <w:sz w:val="14"/>
                <w:szCs w:val="14"/>
              </w:rPr>
              <w:t xml:space="preserve">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C"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D"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46,371,367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E"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4F"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47,237,970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0"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1"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2"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3"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44,318,742</w:t>
            </w:r>
          </w:p>
        </w:tc>
      </w:tr>
      <w:tr w:rsidR="001E5D48" w14:paraId="3018555E"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5" w14:textId="5744C493"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w:t>
            </w:r>
            <w:r w:rsidR="00BF1934">
              <w:rPr>
                <w:rFonts w:ascii="Arial" w:eastAsia="DejaVu Sans" w:hAnsi="DejaVu Sans" w:cs="DejaVu Sans"/>
                <w:color w:val="000000"/>
                <w:sz w:val="14"/>
                <w:szCs w:val="14"/>
              </w:rPr>
              <w:t>from Electrification</w:t>
            </w:r>
            <w:r>
              <w:rPr>
                <w:rFonts w:ascii="Arial" w:eastAsia="DejaVu Sans" w:hAnsi="DejaVu Sans" w:cs="DejaVu Sans"/>
                <w:color w:val="000000"/>
                <w:sz w:val="14"/>
                <w:szCs w:val="14"/>
              </w:rPr>
              <w:t xml:space="preserve">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6" w14:textId="77777777" w:rsidR="001E5D48" w:rsidRDefault="001E5D48">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7"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8"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9"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A"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B"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C"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D"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r>
      <w:tr w:rsidR="001E5D48" w14:paraId="30185568"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5F"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0"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1"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72,961,645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2"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3"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73,928,096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4"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5"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6"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7"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69,315,770</w:t>
            </w:r>
          </w:p>
        </w:tc>
      </w:tr>
      <w:tr w:rsidR="001E5D48" w14:paraId="30185572"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9"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A"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B"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C"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D"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E"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6F"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70"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71"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r>
      <w:tr w:rsidR="001E5D48" w14:paraId="3018557C"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73"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74"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75"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2,832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76"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77"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78"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79"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7A"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7B" w14:textId="77777777" w:rsidR="001E5D48" w:rsidRDefault="00A33C74">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2,404</w:t>
            </w:r>
          </w:p>
        </w:tc>
      </w:tr>
      <w:tr w:rsidR="001E5D48" w14:paraId="30185586"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7D"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w:t>
            </w:r>
            <w:r>
              <w:rPr>
                <w:rFonts w:ascii="Arial" w:eastAsia="DejaVu Sans" w:hAnsi="DejaVu Sans" w:cs="DejaVu Sans"/>
                <w:color w:val="000000"/>
                <w:sz w:val="14"/>
                <w:szCs w:val="14"/>
              </w:rPr>
              <w:br/>
              <w:t xml:space="preserve">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7E" w14:textId="77777777" w:rsidR="001E5D48" w:rsidRDefault="00A33C74">
            <w:pPr>
              <w:pBdr>
                <w:top w:val="none" w:sz="0" w:space="0" w:color="000000"/>
                <w:left w:val="none" w:sz="0" w:space="0" w:color="000000"/>
                <w:bottom w:val="none" w:sz="0" w:space="0" w:color="000000"/>
                <w:right w:val="none" w:sz="0" w:space="0" w:color="000000"/>
              </w:pBdr>
              <w:spacing w:before="0" w:after="0"/>
              <w:ind w:lef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7F"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80"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81"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82"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83"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84"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85" w14:textId="77777777" w:rsidR="001E5D48" w:rsidRDefault="001E5D48">
            <w:pPr>
              <w:pBdr>
                <w:top w:val="none" w:sz="0" w:space="0" w:color="000000"/>
                <w:left w:val="none" w:sz="0" w:space="0" w:color="000000"/>
                <w:bottom w:val="none" w:sz="0" w:space="0" w:color="000000"/>
                <w:right w:val="none" w:sz="0" w:space="0" w:color="000000"/>
              </w:pBdr>
              <w:spacing w:before="0" w:after="0"/>
              <w:ind w:left="3"/>
              <w:jc w:val="right"/>
              <w:rPr>
                <w:rFonts w:ascii="Arial" w:eastAsia="DejaVu Sans" w:hAnsi="DejaVu Sans" w:cs="DejaVu Sans"/>
                <w:color w:val="000000"/>
                <w:sz w:val="14"/>
                <w:szCs w:val="14"/>
              </w:rPr>
            </w:pPr>
          </w:p>
        </w:tc>
      </w:tr>
    </w:tbl>
    <w:p w14:paraId="30185587" w14:textId="77777777" w:rsidR="00CA597D" w:rsidRPr="004B16A6" w:rsidRDefault="00A33C74" w:rsidP="00C25FD6">
      <w:pPr>
        <w:pStyle w:val="TableFigureNote"/>
      </w:pPr>
      <w:r w:rsidRPr="004B16A6">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t>Table 1</w:t>
      </w:r>
      <w:r w:rsidRPr="004B16A6">
        <w:fldChar w:fldCharType="end"/>
      </w:r>
      <w:r>
        <w:t>.</w:t>
      </w:r>
    </w:p>
    <w:p w14:paraId="30185588" w14:textId="77777777" w:rsidR="00CA597D" w:rsidRDefault="00A33C74" w:rsidP="00C25FD6">
      <w:pPr>
        <w:pStyle w:val="TableFigureSource"/>
      </w:pPr>
      <w:r w:rsidRPr="537FA5AC">
        <w:t>Source: Evaluation team analysis</w:t>
      </w:r>
    </w:p>
    <w:p w14:paraId="3018558F" w14:textId="77777777" w:rsidR="00CA597D" w:rsidRDefault="00CA597D" w:rsidP="00C25FD6">
      <w:pPr>
        <w:pStyle w:val="Heading10"/>
        <w:sectPr w:rsidR="00CA597D" w:rsidSect="0035634B">
          <w:pgSz w:w="12240" w:h="15840" w:code="1"/>
          <w:pgMar w:top="1440" w:right="1440" w:bottom="1440" w:left="1440" w:header="720" w:footer="720" w:gutter="0"/>
          <w:cols w:space="720"/>
          <w:docGrid w:linePitch="360"/>
        </w:sectPr>
      </w:pPr>
      <w:bookmarkStart w:id="30" w:name="_Toc151976669"/>
      <w:bookmarkStart w:id="31" w:name="_Toc187399543"/>
    </w:p>
    <w:p w14:paraId="30185590" w14:textId="77777777" w:rsidR="00CA597D" w:rsidRDefault="00A33C74" w:rsidP="00C25FD6">
      <w:pPr>
        <w:pStyle w:val="Heading10"/>
      </w:pPr>
      <w:r>
        <w:lastRenderedPageBreak/>
        <w:t>Cumulative Persisting Annual Savings</w:t>
      </w:r>
      <w:bookmarkEnd w:id="30"/>
      <w:bookmarkEnd w:id="31"/>
    </w:p>
    <w:p w14:paraId="30185592" w14:textId="77777777" w:rsidR="00CA597D" w:rsidRDefault="00A33C74" w:rsidP="000C5A2F">
      <w:pPr>
        <w:pStyle w:val="BodyText"/>
      </w:pPr>
      <w:r>
        <w:fldChar w:fldCharType="begin"/>
      </w:r>
      <w:r>
        <w:instrText xml:space="preserve"> REF _Ref105417109 \h  \* MERGEFORMAT </w:instrText>
      </w:r>
      <w:r>
        <w:fldChar w:fldCharType="separate"/>
      </w:r>
      <w:r>
        <w:t xml:space="preserve">Table </w:t>
      </w:r>
      <w:r>
        <w:rPr>
          <w:noProof/>
        </w:rPr>
        <w:t>4</w:t>
      </w:r>
      <w:r>
        <w:fldChar w:fldCharType="end"/>
      </w:r>
      <w:r>
        <w:t xml:space="preserve"> to </w:t>
      </w:r>
      <w:r>
        <w:fldChar w:fldCharType="begin"/>
      </w:r>
      <w:r>
        <w:instrText xml:space="preserve"> REF _Ref105417145 \h  \* MERGEFORMAT </w:instrText>
      </w:r>
      <w:r>
        <w:fldChar w:fldCharType="separate"/>
      </w:r>
      <w:r>
        <w:t xml:space="preserve">Table </w:t>
      </w:r>
      <w:r>
        <w:rPr>
          <w:noProof/>
        </w:rPr>
        <w:t>6</w:t>
      </w:r>
      <w:r>
        <w:fldChar w:fldCharType="end"/>
      </w:r>
      <w:r>
        <w:t xml:space="preserve"> show the </w:t>
      </w:r>
      <w:r w:rsidRPr="00B52A58">
        <w:t xml:space="preserve">cumulative </w:t>
      </w:r>
      <w:r w:rsidRPr="008419F0">
        <w:t xml:space="preserve">persisting annual savings (CPAS) for the measures installed in </w:t>
      </w:r>
      <w:r>
        <w:t>CY2024.</w:t>
      </w:r>
      <w:r w:rsidRPr="008419F0">
        <w:t xml:space="preserve"> The electric CPAS across all measures installed in </w:t>
      </w:r>
      <w:r>
        <w:t>CY2024</w:t>
      </w:r>
      <w:r w:rsidRPr="008419F0">
        <w:t xml:space="preserve"> is </w:t>
      </w:r>
      <w:r>
        <w:t xml:space="preserve">shown in </w:t>
      </w:r>
      <w:r>
        <w:fldChar w:fldCharType="begin"/>
      </w:r>
      <w:r>
        <w:instrText xml:space="preserve"> REF _Ref105417109 \h  \* MERGEFORMAT </w:instrText>
      </w:r>
      <w:r>
        <w:fldChar w:fldCharType="separate"/>
      </w:r>
      <w:r>
        <w:t xml:space="preserve">Table </w:t>
      </w:r>
      <w:r>
        <w:rPr>
          <w:noProof/>
        </w:rPr>
        <w:t>4</w:t>
      </w:r>
      <w:r>
        <w:fldChar w:fldCharType="end"/>
      </w:r>
      <w:r>
        <w:t>.</w:t>
      </w:r>
      <w:r w:rsidRPr="008419F0">
        <w:t xml:space="preserve"> </w:t>
      </w:r>
      <w:r w:rsidRPr="00C752CF">
        <w:t xml:space="preserve">The gas </w:t>
      </w:r>
      <w:r>
        <w:t xml:space="preserve">and other fuel </w:t>
      </w:r>
      <w:r w:rsidRPr="00C752CF">
        <w:t xml:space="preserve">contribution to CPAS (converted to equivalent electricity) </w:t>
      </w:r>
      <w:r>
        <w:t>are</w:t>
      </w:r>
      <w:r w:rsidRPr="00C752CF">
        <w:t xml:space="preserve"> </w:t>
      </w:r>
      <w:r>
        <w:t xml:space="preserve">shown in </w:t>
      </w:r>
      <w:r>
        <w:fldChar w:fldCharType="begin"/>
      </w:r>
      <w:r>
        <w:instrText xml:space="preserve"> REF _Ref105417178 \h  \* MERGEFORMAT </w:instrText>
      </w:r>
      <w:r>
        <w:fldChar w:fldCharType="separate"/>
      </w:r>
      <w:r>
        <w:t xml:space="preserve">Table </w:t>
      </w:r>
      <w:r>
        <w:rPr>
          <w:noProof/>
        </w:rPr>
        <w:t>5</w:t>
      </w:r>
      <w:r>
        <w:fldChar w:fldCharType="end"/>
      </w:r>
      <w:r w:rsidRPr="00C752CF">
        <w:t xml:space="preserve">. </w:t>
      </w:r>
      <w:r>
        <w:t xml:space="preserve">The combined savings are shown in </w:t>
      </w:r>
      <w:r>
        <w:fldChar w:fldCharType="begin"/>
      </w:r>
      <w:r>
        <w:instrText xml:space="preserve"> REF _Ref105417145 \h  \* MERGEFORMAT </w:instrText>
      </w:r>
      <w:r>
        <w:fldChar w:fldCharType="separate"/>
      </w:r>
      <w:r>
        <w:t xml:space="preserve">Table </w:t>
      </w:r>
      <w:r>
        <w:rPr>
          <w:noProof/>
        </w:rPr>
        <w:t>6</w:t>
      </w:r>
      <w:r>
        <w:fldChar w:fldCharType="end"/>
      </w:r>
      <w:r w:rsidRPr="00C752CF">
        <w:t>.</w:t>
      </w:r>
    </w:p>
    <w:p w14:paraId="30185594" w14:textId="77777777" w:rsidR="00CA597D" w:rsidRDefault="00A33C74" w:rsidP="00944D07">
      <w:pPr>
        <w:pStyle w:val="Caption"/>
      </w:pPr>
      <w:bookmarkStart w:id="32" w:name="_Ref105417109"/>
      <w:bookmarkStart w:id="33" w:name="_Toc159919735"/>
      <w:bookmarkStart w:id="34" w:name="_Toc187399548"/>
      <w:r>
        <w:t xml:space="preserve">Table </w:t>
      </w:r>
      <w:r>
        <w:fldChar w:fldCharType="begin"/>
      </w:r>
      <w:r>
        <w:instrText>SEQ Table \* ARABIC</w:instrText>
      </w:r>
      <w:r>
        <w:fldChar w:fldCharType="separate"/>
      </w:r>
      <w:r>
        <w:rPr>
          <w:noProof/>
        </w:rPr>
        <w:t>4</w:t>
      </w:r>
      <w:r>
        <w:fldChar w:fldCharType="end"/>
      </w:r>
      <w:bookmarkEnd w:id="32"/>
      <w:r>
        <w:t>. CPAS – Electric</w:t>
      </w:r>
      <w:bookmarkStart w:id="35" w:name="Table_4"/>
      <w:bookmarkEnd w:id="33"/>
      <w:bookmarkEnd w:id="34"/>
      <w:bookmarkEnd w:id="35"/>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1E5D48" w14:paraId="30185598" w14:textId="77777777">
        <w:trPr>
          <w:tblHeader/>
          <w:jc w:val="center"/>
        </w:trPr>
        <w:tc>
          <w:tcPr>
            <w:tcW w:w="6034"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018559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018559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7056" w:type="dxa"/>
            <w:gridSpan w:val="7"/>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018559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1E5D48" w14:paraId="301855A7"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9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9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9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9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9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9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9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A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A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A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A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A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A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5A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r>
      <w:tr w:rsidR="001E5D48" w14:paraId="301855B6"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A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A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77,796,928</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A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852,649,005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AB"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AC"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AD"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AE"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AF"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72,983,790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72,983,790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72,983,790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72,983,790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72,983,790</w:t>
            </w:r>
          </w:p>
        </w:tc>
      </w:tr>
      <w:tr w:rsidR="001E5D48" w14:paraId="301855C5"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9,255,057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18,819,448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22,705,543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27,544,170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38,510,215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B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78,155,545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77,484,052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77,122,570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75,767,639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75,343,479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73,472,131</w:t>
            </w:r>
          </w:p>
        </w:tc>
      </w:tr>
      <w:tr w:rsidR="001E5D48" w14:paraId="301855D4"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77,796,928</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852,649,005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9,255,057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18,819,448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22,705,543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27,544,170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38,510,215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78,155,545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C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72,983,790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150,106,360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148,751,430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148,327,269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146,455,921</w:t>
            </w:r>
          </w:p>
        </w:tc>
      </w:tr>
      <w:tr w:rsidR="001E5D48" w14:paraId="301855E3"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A"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B"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C"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D"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D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5F2"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A"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B"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C"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361,482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E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1,354,931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F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424,161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5F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1,871,348</w:t>
            </w:r>
          </w:p>
        </w:tc>
      </w:tr>
      <w:tr w:rsidR="001E5D48" w14:paraId="30185601"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F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F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F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F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F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F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F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FA"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FB"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F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F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361,482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F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1,354,931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5F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424,161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0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1,871,348</w:t>
            </w:r>
          </w:p>
        </w:tc>
      </w:tr>
    </w:tbl>
    <w:p w14:paraId="30185602" w14:textId="77777777" w:rsidR="00CA597D" w:rsidRDefault="00CA597D" w:rsidP="00E5723F">
      <w:pPr>
        <w:spacing w:before="0" w:after="0"/>
      </w:pPr>
      <w:bookmarkStart w:id="36" w:name="Table_4_2"/>
      <w:bookmarkEnd w:id="36"/>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1E5D48" w14:paraId="30185611"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0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0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0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0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0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0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0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0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0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0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0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0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0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1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r>
      <w:tr w:rsidR="001E5D48" w14:paraId="30185620"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77,796,928</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852,649,005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72,983,790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60,713,913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48,678,674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38,005,915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38,005,915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38,005,590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37,834,157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37,834,157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37,834,157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37,834,157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1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34,326,228</w:t>
            </w:r>
          </w:p>
        </w:tc>
      </w:tr>
      <w:tr w:rsidR="001E5D48" w14:paraId="3018562F"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2"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3"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69,626,485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65,916,777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63,421,019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62,785,486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62,378,498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56,099,119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55,452,772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51,619,269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46,121,342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27,143,908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2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2,177,732</w:t>
            </w:r>
          </w:p>
        </w:tc>
      </w:tr>
      <w:tr w:rsidR="001E5D48" w14:paraId="3018563E"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77,796,928</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852,649,005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142,610,275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126,630,690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112,099,693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100,791,402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100,384,413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94,104,709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93,286,929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89,453,426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83,955,499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64,978,065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36,503,960</w:t>
            </w:r>
          </w:p>
        </w:tc>
      </w:tr>
      <w:tr w:rsidR="001E5D48" w14:paraId="3018564D"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3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1"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12,269,877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12,035,239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10,672,759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171,433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3,507,929</w:t>
            </w:r>
          </w:p>
        </w:tc>
      </w:tr>
      <w:tr w:rsidR="001E5D48" w14:paraId="3018565C"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4F"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5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5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3,845,646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5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3,709,707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5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2,495,758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5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635,533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5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406,989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5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6,279,378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5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646,348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5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3,833,503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5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5,497,926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5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18,977,434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5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24,966,177</w:t>
            </w:r>
          </w:p>
        </w:tc>
      </w:tr>
      <w:tr w:rsidR="001E5D48" w14:paraId="3018566B"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5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5E"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5F"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6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3,845,646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6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15,979,585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6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14,530,997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6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11,308,292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6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406,989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6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6,279,704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6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817,780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6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3,833,503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6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5,497,926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6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18,977,434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6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28,474,106</w:t>
            </w:r>
          </w:p>
        </w:tc>
      </w:tr>
    </w:tbl>
    <w:p w14:paraId="3018566C" w14:textId="77777777" w:rsidR="00CA597D" w:rsidRPr="00944D07" w:rsidRDefault="00CA597D" w:rsidP="00E5723F">
      <w:pPr>
        <w:spacing w:before="0" w:after="0"/>
      </w:pPr>
      <w:bookmarkStart w:id="37" w:name="Table_4_3"/>
      <w:bookmarkEnd w:id="37"/>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1E5D48" w14:paraId="3018567B"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6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6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6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7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7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7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7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7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7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7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7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7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7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7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r>
      <w:tr w:rsidR="001E5D48" w14:paraId="3018568A"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7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7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77,796,928</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7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852,649,005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7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633,970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633,970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633,970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633,970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699"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C"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D"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1,386,910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8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882,557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874,983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812,937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679,841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520,117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380,049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226,701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6A8"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77,796,928</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852,649,005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2,020,880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1,516,527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9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1,508,953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1,446,907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1,307,345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1,147,621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1,007,554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854,205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6B7"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A"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B"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33,692,258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A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6C6"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A"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790,822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504,353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62,046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B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133,096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C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159,724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C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140,067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C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153,348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C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226,701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C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C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6D5"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C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C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C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C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34,483,080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C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504,353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C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7,574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C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62,046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C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139,562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C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159,724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D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140,067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D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153,348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D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226,701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D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6D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301856D6" w14:textId="77777777" w:rsidR="00CA597D" w:rsidRPr="00C34E77" w:rsidRDefault="00A33C74" w:rsidP="00C25FD6">
      <w:pPr>
        <w:pStyle w:val="TableFigureNote"/>
      </w:pPr>
      <w:r w:rsidRPr="00C34E77">
        <w:rPr>
          <w:rFonts w:eastAsiaTheme="minorEastAsia"/>
        </w:rPr>
        <w:t>† Lifetime savings are the sum of CPAS savings through the EUL.</w:t>
      </w:r>
    </w:p>
    <w:p w14:paraId="301856D7" w14:textId="77777777" w:rsidR="00CA597D" w:rsidRDefault="00A33C74" w:rsidP="00545C04">
      <w:pPr>
        <w:pStyle w:val="TableFigureNote"/>
        <w:keepNext w:val="0"/>
        <w:rPr>
          <w:rFonts w:eastAsiaTheme="minorEastAsia"/>
        </w:rPr>
      </w:pPr>
      <w:r w:rsidRPr="00C34E77">
        <w:rPr>
          <w:rFonts w:eastAsiaTheme="minorEastAsia"/>
        </w:rPr>
        <w:t xml:space="preserve">‡ Historical savings go back to CY2018. </w:t>
      </w:r>
    </w:p>
    <w:p w14:paraId="301856D8" w14:textId="77777777" w:rsidR="00CA597D" w:rsidRPr="00C34E77" w:rsidRDefault="00A33C74" w:rsidP="00C25FD6">
      <w:pPr>
        <w:pStyle w:val="TableFigureNote"/>
      </w:pPr>
      <w:r w:rsidRPr="00C34E77">
        <w:rPr>
          <w:rFonts w:eastAsiaTheme="minorEastAsia"/>
        </w:rPr>
        <w:t>§ Incremental expiring savings are equal to CPAS Yn-1 - CPAS Yn.</w:t>
      </w:r>
    </w:p>
    <w:p w14:paraId="301856D9" w14:textId="77777777" w:rsidR="00CA597D" w:rsidRPr="00C34E77" w:rsidRDefault="00A33C74" w:rsidP="00C25FD6">
      <w:pPr>
        <w:pStyle w:val="TableFigureNote"/>
      </w:pPr>
      <w:r w:rsidRPr="00C34E77">
        <w:rPr>
          <w:rFonts w:eastAsiaTheme="minorEastAsia"/>
        </w:rPr>
        <w:t>|| Historic incremental expiring savings are equal to Historic CPAS Yn-1 – Historic CPAS Yn.</w:t>
      </w:r>
    </w:p>
    <w:p w14:paraId="301856DA" w14:textId="77777777" w:rsidR="00CA597D" w:rsidRPr="00C34E77" w:rsidRDefault="00A33C74"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301856DB" w14:textId="77777777" w:rsidR="00CA597D" w:rsidRDefault="00A33C74" w:rsidP="00C25FD6">
      <w:pPr>
        <w:pStyle w:val="TableFigureSource"/>
      </w:pPr>
      <w:r w:rsidRPr="00B361A6">
        <w:t>Source: Evaluation team analysis</w:t>
      </w:r>
    </w:p>
    <w:p w14:paraId="2B92040C" w14:textId="77777777" w:rsidR="0079514A" w:rsidRDefault="0079514A">
      <w:pPr>
        <w:suppressAutoHyphens w:val="0"/>
        <w:spacing w:before="0" w:after="0"/>
        <w:rPr>
          <w:rFonts w:ascii="Arial" w:hAnsi="Arial" w:cs="Arial"/>
          <w:b/>
          <w:bCs/>
          <w:sz w:val="22"/>
          <w:szCs w:val="20"/>
        </w:rPr>
      </w:pPr>
      <w:bookmarkStart w:id="38" w:name="_Ref105417178"/>
      <w:bookmarkStart w:id="39" w:name="_Toc159919736"/>
      <w:bookmarkStart w:id="40" w:name="_Toc187399549"/>
      <w:r>
        <w:br w:type="page"/>
      </w:r>
    </w:p>
    <w:p w14:paraId="301856DD" w14:textId="502B636C" w:rsidR="00CA597D" w:rsidRDefault="00A33C74" w:rsidP="00944D07">
      <w:pPr>
        <w:pStyle w:val="Caption"/>
      </w:pPr>
      <w:r>
        <w:lastRenderedPageBreak/>
        <w:t xml:space="preserve">Table </w:t>
      </w:r>
      <w:r>
        <w:fldChar w:fldCharType="begin"/>
      </w:r>
      <w:r>
        <w:instrText>SEQ Table \* ARABIC</w:instrText>
      </w:r>
      <w:r>
        <w:fldChar w:fldCharType="separate"/>
      </w:r>
      <w:r>
        <w:rPr>
          <w:noProof/>
        </w:rPr>
        <w:t>5</w:t>
      </w:r>
      <w:r>
        <w:fldChar w:fldCharType="end"/>
      </w:r>
      <w:bookmarkEnd w:id="38"/>
      <w:r w:rsidRPr="00F7087A">
        <w:t xml:space="preserve">. CPAS – </w:t>
      </w:r>
      <w:r w:rsidRPr="00016EEF">
        <w:t>Other Fuel (Gas + Propane)</w:t>
      </w:r>
      <w:bookmarkStart w:id="41" w:name="Table_5"/>
      <w:bookmarkEnd w:id="39"/>
      <w:bookmarkEnd w:id="40"/>
      <w:bookmarkEnd w:id="41"/>
    </w:p>
    <w:tbl>
      <w:tblPr>
        <w:tblW w:w="0" w:type="auto"/>
        <w:jc w:val="center"/>
        <w:tblLayout w:type="fixed"/>
        <w:tblLook w:val="0420" w:firstRow="1" w:lastRow="0" w:firstColumn="0" w:lastColumn="0" w:noHBand="0" w:noVBand="1"/>
      </w:tblPr>
      <w:tblGrid>
        <w:gridCol w:w="5112"/>
        <w:gridCol w:w="1181"/>
        <w:gridCol w:w="1181"/>
        <w:gridCol w:w="864"/>
        <w:gridCol w:w="864"/>
        <w:gridCol w:w="864"/>
        <w:gridCol w:w="864"/>
        <w:gridCol w:w="864"/>
        <w:gridCol w:w="864"/>
        <w:gridCol w:w="864"/>
        <w:gridCol w:w="864"/>
        <w:gridCol w:w="864"/>
        <w:gridCol w:w="864"/>
        <w:gridCol w:w="864"/>
      </w:tblGrid>
      <w:tr w:rsidR="001E5D48" w14:paraId="301856E1" w14:textId="77777777">
        <w:trPr>
          <w:tblHeader/>
          <w:jc w:val="center"/>
        </w:trPr>
        <w:tc>
          <w:tcPr>
            <w:tcW w:w="7474"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01856DE"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3456"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01856D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Therms Savings</w:t>
            </w:r>
          </w:p>
        </w:tc>
        <w:tc>
          <w:tcPr>
            <w:tcW w:w="6048" w:type="dxa"/>
            <w:gridSpan w:val="7"/>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01856E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1E5D48" w14:paraId="301856F0"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(Therms)</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6E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r>
      <w:tr w:rsidR="001E5D48" w14:paraId="301856FF"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47,077</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491,182</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40,673</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40,673</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40,673</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40,673</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6F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40,673</w:t>
            </w:r>
          </w:p>
        </w:tc>
      </w:tr>
      <w:tr w:rsidR="001E5D48" w14:paraId="3018570E"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0" w14:textId="0251205E"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r w:rsidR="00BF1934">
              <w:rPr>
                <w:rFonts w:ascii="Arial" w:eastAsia="DejaVu Sans" w:hAnsi="DejaVu Sans" w:cs="DejaVu Sans"/>
                <w:color w:val="000000"/>
                <w:sz w:val="14"/>
                <w:szCs w:val="14"/>
              </w:rPr>
              <w:t xml:space="preserve">Equivalent) </w:t>
            </w:r>
            <w:r w:rsidR="00BF1934">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1,379,831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14,396,557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3"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r>
      <w:tr w:rsidR="001E5D48" w14:paraId="3018571D"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0F" w14:textId="6A46A3DA"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r w:rsidR="00BF1934">
              <w:rPr>
                <w:rFonts w:ascii="Arial" w:eastAsia="DejaVu Sans" w:hAnsi="DejaVu Sans" w:cs="DejaVu Sans"/>
                <w:color w:val="000000"/>
                <w:sz w:val="14"/>
                <w:szCs w:val="14"/>
              </w:rPr>
              <w:t xml:space="preserve">Equivalent) </w:t>
            </w:r>
            <w:r w:rsidR="00BF1934">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1"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9,010,884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20,163,675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28,677,238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35,222,981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38,755,320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41,730,823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A"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B"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C"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1E5D48" w14:paraId="3018572C"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1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1,379,831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14,396,557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9,010,884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20,163,675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28,677,238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35,222,981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38,755,320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41,730,823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r>
      <w:tr w:rsidR="001E5D48" w14:paraId="3018573B"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E"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2F"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1"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2"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3"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74A"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C" w14:textId="71D640CA"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r w:rsidR="00BF1934">
              <w:rPr>
                <w:rFonts w:ascii="Arial" w:eastAsia="DejaVu Sans" w:hAnsi="DejaVu Sans" w:cs="DejaVu Sans"/>
                <w:color w:val="000000"/>
                <w:sz w:val="14"/>
                <w:szCs w:val="14"/>
              </w:rPr>
              <w:t>Equivalent) |</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3F"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1"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2"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3"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759"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B" w14:textId="1759FF49"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r w:rsidR="00BF1934">
              <w:rPr>
                <w:rFonts w:ascii="Arial" w:eastAsia="DejaVu Sans" w:hAnsi="DejaVu Sans" w:cs="DejaVu Sans"/>
                <w:color w:val="000000"/>
                <w:sz w:val="14"/>
                <w:szCs w:val="14"/>
              </w:rPr>
              <w:t>Equivalent) #</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C"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D"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E"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4F"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5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51"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52"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53"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5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41,730,823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5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5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5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5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768"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5A" w14:textId="627B4714"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Program Total Incremental Expiring Other Fuel Savings (kWh </w:t>
            </w:r>
            <w:r w:rsidR="00BF1934">
              <w:rPr>
                <w:rFonts w:ascii="Arial" w:eastAsia="DejaVu Sans" w:hAnsi="DejaVu Sans" w:cs="DejaVu Sans"/>
                <w:color w:val="000000"/>
                <w:sz w:val="14"/>
                <w:szCs w:val="14"/>
              </w:rPr>
              <w:t>Equivalent) *</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5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5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5D"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5E"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5F"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6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61"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62"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6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40,538,698</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6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6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6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6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30185769" w14:textId="77777777" w:rsidR="00CA597D" w:rsidRDefault="00CA597D" w:rsidP="00E5723F">
      <w:pPr>
        <w:spacing w:before="0" w:after="0"/>
      </w:pPr>
      <w:bookmarkStart w:id="42" w:name="Table_5_2"/>
      <w:bookmarkEnd w:id="42"/>
    </w:p>
    <w:tbl>
      <w:tblPr>
        <w:tblW w:w="0" w:type="auto"/>
        <w:jc w:val="center"/>
        <w:tblLayout w:type="fixed"/>
        <w:tblLook w:val="0420" w:firstRow="1" w:lastRow="0" w:firstColumn="0" w:lastColumn="0" w:noHBand="0" w:noVBand="1"/>
      </w:tblPr>
      <w:tblGrid>
        <w:gridCol w:w="5112"/>
        <w:gridCol w:w="1181"/>
        <w:gridCol w:w="1181"/>
        <w:gridCol w:w="864"/>
        <w:gridCol w:w="864"/>
        <w:gridCol w:w="864"/>
        <w:gridCol w:w="864"/>
        <w:gridCol w:w="864"/>
        <w:gridCol w:w="864"/>
        <w:gridCol w:w="864"/>
        <w:gridCol w:w="864"/>
        <w:gridCol w:w="864"/>
        <w:gridCol w:w="864"/>
        <w:gridCol w:w="864"/>
      </w:tblGrid>
      <w:tr w:rsidR="001E5D48" w14:paraId="30185778"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6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6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(Therms)</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6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6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6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6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7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7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7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7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7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7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7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7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r>
      <w:tr w:rsidR="001E5D48" w14:paraId="30185787"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7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7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47,077</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7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491,182</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7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40,673</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7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40,673</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7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40,673</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7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40,673</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40,673</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40,673</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796"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8" w14:textId="0687BEAB"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r w:rsidR="00BF1934">
              <w:rPr>
                <w:rFonts w:ascii="Arial" w:eastAsia="DejaVu Sans" w:hAnsi="DejaVu Sans" w:cs="DejaVu Sans"/>
                <w:color w:val="000000"/>
                <w:sz w:val="14"/>
                <w:szCs w:val="14"/>
              </w:rPr>
              <w:t xml:space="preserve">Equivalent) </w:t>
            </w:r>
            <w:r w:rsidR="00BF1934">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1,379,831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14,396,557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8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7A5"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7" w14:textId="6C7E70C4"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r w:rsidR="00BF1934">
              <w:rPr>
                <w:rFonts w:ascii="Arial" w:eastAsia="DejaVu Sans" w:hAnsi="DejaVu Sans" w:cs="DejaVu Sans"/>
                <w:color w:val="000000"/>
                <w:sz w:val="14"/>
                <w:szCs w:val="14"/>
              </w:rPr>
              <w:t xml:space="preserve">Equivalent) </w:t>
            </w:r>
            <w:r w:rsidR="00BF1934">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A"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B"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C"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D"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E"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9F"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1"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2"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3"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1E5D48" w14:paraId="301857B4"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1,379,831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14,396,557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A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7C3"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40,673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B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A9E7C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p w14:paraId="023CD64F" w14:textId="77777777" w:rsidR="005A652A" w:rsidRPr="005A652A" w:rsidRDefault="005A652A" w:rsidP="005A652A">
            <w:pPr>
              <w:rPr>
                <w:rFonts w:ascii="Arial" w:eastAsia="DejaVu Sans" w:hAnsi="DejaVu Sans" w:cs="DejaVu Sans"/>
                <w:sz w:val="14"/>
                <w:szCs w:val="14"/>
              </w:rPr>
            </w:pPr>
          </w:p>
          <w:p w14:paraId="301857C2" w14:textId="77777777" w:rsidR="005A652A" w:rsidRPr="005A652A" w:rsidRDefault="005A652A" w:rsidP="005A652A">
            <w:pPr>
              <w:rPr>
                <w:rFonts w:ascii="Arial" w:eastAsia="DejaVu Sans" w:hAnsi="DejaVu Sans" w:cs="DejaVu Sans"/>
                <w:sz w:val="14"/>
                <w:szCs w:val="14"/>
              </w:rPr>
            </w:pPr>
          </w:p>
        </w:tc>
      </w:tr>
      <w:tr w:rsidR="001E5D48" w14:paraId="301857D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4" w14:textId="0D43ABE1"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r w:rsidR="00BF1934">
              <w:rPr>
                <w:rFonts w:ascii="Arial" w:eastAsia="DejaVu Sans" w:hAnsi="DejaVu Sans" w:cs="DejaVu Sans"/>
                <w:color w:val="000000"/>
                <w:sz w:val="14"/>
                <w:szCs w:val="14"/>
              </w:rPr>
              <w:t>Equivalent) |</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C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7E1"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3" w14:textId="4C3CD64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r w:rsidR="00BF1934">
              <w:rPr>
                <w:rFonts w:ascii="Arial" w:eastAsia="DejaVu Sans" w:hAnsi="DejaVu Sans" w:cs="DejaVu Sans"/>
                <w:color w:val="000000"/>
                <w:sz w:val="14"/>
                <w:szCs w:val="14"/>
              </w:rPr>
              <w:t>Equivalent) #</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D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7E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7F0"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2" w14:textId="5121C09A"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Program Total Incremental Expiring Other Fuel Savings (kWh </w:t>
            </w:r>
            <w:r w:rsidR="00BF1934">
              <w:rPr>
                <w:rFonts w:ascii="Arial" w:eastAsia="DejaVu Sans" w:hAnsi="DejaVu Sans" w:cs="DejaVu Sans"/>
                <w:color w:val="000000"/>
                <w:sz w:val="14"/>
                <w:szCs w:val="14"/>
              </w:rPr>
              <w:t>Equivalent) *</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1,192,125</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7E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301857F1" w14:textId="77777777" w:rsidR="00CA597D" w:rsidRPr="00944D07" w:rsidRDefault="00CA597D" w:rsidP="00E5723F">
      <w:pPr>
        <w:spacing w:before="0" w:after="0"/>
      </w:pPr>
      <w:bookmarkStart w:id="43" w:name="Table_5_3"/>
      <w:bookmarkEnd w:id="43"/>
    </w:p>
    <w:tbl>
      <w:tblPr>
        <w:tblW w:w="0" w:type="auto"/>
        <w:jc w:val="center"/>
        <w:tblLayout w:type="fixed"/>
        <w:tblLook w:val="0420" w:firstRow="1" w:lastRow="0" w:firstColumn="0" w:lastColumn="0" w:noHBand="0" w:noVBand="1"/>
      </w:tblPr>
      <w:tblGrid>
        <w:gridCol w:w="5112"/>
        <w:gridCol w:w="1181"/>
        <w:gridCol w:w="1181"/>
        <w:gridCol w:w="864"/>
        <w:gridCol w:w="864"/>
        <w:gridCol w:w="864"/>
        <w:gridCol w:w="864"/>
        <w:gridCol w:w="864"/>
        <w:gridCol w:w="864"/>
        <w:gridCol w:w="864"/>
        <w:gridCol w:w="864"/>
        <w:gridCol w:w="864"/>
        <w:gridCol w:w="864"/>
        <w:gridCol w:w="864"/>
      </w:tblGrid>
      <w:tr w:rsidR="001E5D48" w14:paraId="30185800"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(Therms)</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7F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r>
      <w:tr w:rsidR="001E5D48" w14:paraId="3018580F"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47,077</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491,182</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0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81E"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0" w14:textId="361D2F4B"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r w:rsidR="00BF1934">
              <w:rPr>
                <w:rFonts w:ascii="Arial" w:eastAsia="DejaVu Sans" w:hAnsi="DejaVu Sans" w:cs="DejaVu Sans"/>
                <w:color w:val="000000"/>
                <w:sz w:val="14"/>
                <w:szCs w:val="14"/>
              </w:rPr>
              <w:t xml:space="preserve">Equivalent) </w:t>
            </w:r>
            <w:r w:rsidR="00BF1934">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1,379,831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14,396,557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82D"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1F" w14:textId="3950C1CF"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r w:rsidR="00BF1934">
              <w:rPr>
                <w:rFonts w:ascii="Arial" w:eastAsia="DejaVu Sans" w:hAnsi="DejaVu Sans" w:cs="DejaVu Sans"/>
                <w:color w:val="000000"/>
                <w:sz w:val="14"/>
                <w:szCs w:val="14"/>
              </w:rPr>
              <w:t xml:space="preserve">Equivalent) </w:t>
            </w:r>
            <w:r w:rsidR="00BF1934">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1"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2"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3"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A"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B"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C"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1E5D48" w14:paraId="3018583C"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2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1,379,831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14,396,557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84B"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E"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3F"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85A"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C" w14:textId="49ED8C6E"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r w:rsidR="00BF1934">
              <w:rPr>
                <w:rFonts w:ascii="Arial" w:eastAsia="DejaVu Sans" w:hAnsi="DejaVu Sans" w:cs="DejaVu Sans"/>
                <w:color w:val="000000"/>
                <w:sz w:val="14"/>
                <w:szCs w:val="14"/>
              </w:rPr>
              <w:t>Equivalent) |</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4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869"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B" w14:textId="44EE83E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r w:rsidR="00BF1934">
              <w:rPr>
                <w:rFonts w:ascii="Arial" w:eastAsia="DejaVu Sans" w:hAnsi="DejaVu Sans" w:cs="DejaVu Sans"/>
                <w:color w:val="000000"/>
                <w:sz w:val="14"/>
                <w:szCs w:val="14"/>
              </w:rPr>
              <w:t>Equivalent) #</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C"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D"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5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6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6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6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6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6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6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6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6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6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878"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6A" w14:textId="7D144032"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Program Total Incremental Expiring Other Fuel Savings (kWh </w:t>
            </w:r>
            <w:r w:rsidR="00BF1934">
              <w:rPr>
                <w:rFonts w:ascii="Arial" w:eastAsia="DejaVu Sans" w:hAnsi="DejaVu Sans" w:cs="DejaVu Sans"/>
                <w:color w:val="000000"/>
                <w:sz w:val="14"/>
                <w:szCs w:val="14"/>
              </w:rPr>
              <w:t>Equivalent) *</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6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6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6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6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6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7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7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7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7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7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7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7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7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30185879" w14:textId="77777777" w:rsidR="00CA597D" w:rsidRPr="00C329CB" w:rsidRDefault="00A33C74" w:rsidP="00C25FD6">
      <w:pPr>
        <w:pStyle w:val="TableFigureNote"/>
        <w:rPr>
          <w:rFonts w:eastAsiaTheme="minorEastAsia"/>
        </w:rPr>
      </w:pPr>
      <w:r w:rsidRPr="00C329CB">
        <w:rPr>
          <w:rFonts w:eastAsiaTheme="minorEastAsia"/>
        </w:rPr>
        <w:t>† Lifetime savings are the sum of CPAS savings through the EUL.</w:t>
      </w:r>
    </w:p>
    <w:p w14:paraId="3018587A" w14:textId="77777777" w:rsidR="00CA597D" w:rsidRPr="00C329CB" w:rsidRDefault="00A33C74" w:rsidP="00C25FD6">
      <w:pPr>
        <w:pStyle w:val="TableFigureNote"/>
        <w:rPr>
          <w:rFonts w:eastAsiaTheme="minorEastAsia"/>
        </w:rPr>
      </w:pPr>
      <w:r w:rsidRPr="00C329CB">
        <w:rPr>
          <w:rFonts w:eastAsiaTheme="minorEastAsia"/>
        </w:rPr>
        <w:t xml:space="preserve">‡ </w:t>
      </w:r>
      <w:r>
        <w:rPr>
          <w:rFonts w:eastAsiaTheme="minorEastAsia"/>
        </w:rPr>
        <w:t xml:space="preserve">Fossil fuel savings (from natural gas, propane, etc.) are reported in therms. </w:t>
      </w:r>
      <w:r w:rsidRPr="00C329CB">
        <w:rPr>
          <w:rFonts w:eastAsiaTheme="minorEastAsia"/>
        </w:rPr>
        <w:t>kWh equivalent savings are calculated by multiplying therms savings by 29.31.</w:t>
      </w:r>
    </w:p>
    <w:p w14:paraId="3018587B" w14:textId="77777777" w:rsidR="00CA597D" w:rsidRDefault="00A33C74" w:rsidP="00C25FD6">
      <w:pPr>
        <w:pStyle w:val="TableFigureNote"/>
        <w:rPr>
          <w:rFonts w:eastAsiaTheme="minorEastAsia"/>
        </w:rPr>
      </w:pPr>
      <w:r w:rsidRPr="00C329CB">
        <w:rPr>
          <w:rFonts w:eastAsiaTheme="minorEastAsia"/>
        </w:rPr>
        <w:t>§ Historical savings go back to CY2018.</w:t>
      </w:r>
    </w:p>
    <w:p w14:paraId="3018587C" w14:textId="77777777" w:rsidR="00CA597D" w:rsidRPr="00C329CB" w:rsidRDefault="00A33C74" w:rsidP="00C25FD6">
      <w:pPr>
        <w:pStyle w:val="TableFigureNote"/>
        <w:rPr>
          <w:rFonts w:eastAsiaTheme="minorEastAsia"/>
        </w:rPr>
      </w:pPr>
      <w:r w:rsidRPr="00C329CB">
        <w:rPr>
          <w:rFonts w:eastAsiaTheme="minorEastAsia"/>
        </w:rPr>
        <w:t>|| Incremental expiring savings are equal to CPAS Yn-1 - CPAS Yn.</w:t>
      </w:r>
    </w:p>
    <w:p w14:paraId="3018587D" w14:textId="77777777" w:rsidR="00CA597D" w:rsidRPr="00C329CB" w:rsidRDefault="00A33C74" w:rsidP="00C25FD6">
      <w:pPr>
        <w:pStyle w:val="TableFigureNote"/>
        <w:rPr>
          <w:rFonts w:eastAsiaTheme="minorEastAsia"/>
        </w:rPr>
      </w:pPr>
      <w:r w:rsidRPr="00C329CB">
        <w:rPr>
          <w:rFonts w:eastAsiaTheme="minorEastAsia"/>
        </w:rPr>
        <w:t># Historic incremental expiring savings are equal to Historic CPAS Yn-1 – Historic CPAS Yn.</w:t>
      </w:r>
    </w:p>
    <w:p w14:paraId="3018587E" w14:textId="77777777" w:rsidR="00CA597D" w:rsidRDefault="00A33C74" w:rsidP="00C25FD6">
      <w:pPr>
        <w:pStyle w:val="TableFigureNote"/>
        <w:rPr>
          <w:rFonts w:eastAsiaTheme="minorEastAsia"/>
        </w:rPr>
      </w:pPr>
      <w:r w:rsidRPr="00C329CB">
        <w:rPr>
          <w:rFonts w:eastAsiaTheme="minorEastAsia"/>
        </w:rPr>
        <w:t xml:space="preserve">*† </w:t>
      </w:r>
      <w:r>
        <w:rPr>
          <w:rFonts w:eastAsiaTheme="minorEastAsia"/>
        </w:rPr>
        <w:t>Program</w:t>
      </w:r>
      <w:r w:rsidRPr="00C34E77">
        <w:rPr>
          <w:rFonts w:eastAsiaTheme="minorEastAsia"/>
        </w:rPr>
        <w:t xml:space="preserve"> </w:t>
      </w:r>
      <w:r w:rsidRPr="00C329CB">
        <w:rPr>
          <w:rFonts w:eastAsiaTheme="minorEastAsia"/>
        </w:rPr>
        <w:t xml:space="preserve">total incremental expiring savings are equal to current year total incremental expiring savings plus historic total incremental expiring savings. </w:t>
      </w:r>
    </w:p>
    <w:p w14:paraId="3018587F" w14:textId="77777777" w:rsidR="00CA597D" w:rsidRDefault="00A33C74" w:rsidP="00C25FD6">
      <w:pPr>
        <w:pStyle w:val="TableFigureSource"/>
      </w:pPr>
      <w:r>
        <w:t>Source: Evaluation team analysis</w:t>
      </w:r>
    </w:p>
    <w:p w14:paraId="7CF910BB" w14:textId="77777777" w:rsidR="0079514A" w:rsidRDefault="0079514A">
      <w:pPr>
        <w:suppressAutoHyphens w:val="0"/>
        <w:spacing w:before="0" w:after="0"/>
        <w:rPr>
          <w:rFonts w:ascii="Arial" w:hAnsi="Arial" w:cs="Arial"/>
          <w:b/>
          <w:bCs/>
          <w:sz w:val="22"/>
          <w:szCs w:val="20"/>
        </w:rPr>
      </w:pPr>
      <w:bookmarkStart w:id="44" w:name="_Ref105417145"/>
      <w:bookmarkStart w:id="45" w:name="_Toc159919737"/>
      <w:bookmarkStart w:id="46" w:name="_Toc187399550"/>
      <w:r>
        <w:br w:type="page"/>
      </w:r>
    </w:p>
    <w:p w14:paraId="30185881" w14:textId="16C775A6" w:rsidR="00CA597D" w:rsidRDefault="00A33C74" w:rsidP="00944D07">
      <w:pPr>
        <w:pStyle w:val="Caption"/>
      </w:pPr>
      <w:r>
        <w:lastRenderedPageBreak/>
        <w:t xml:space="preserve">Table </w:t>
      </w:r>
      <w:r>
        <w:fldChar w:fldCharType="begin"/>
      </w:r>
      <w:r>
        <w:instrText>SEQ Table \* ARABIC</w:instrText>
      </w:r>
      <w:r>
        <w:fldChar w:fldCharType="separate"/>
      </w:r>
      <w:r>
        <w:rPr>
          <w:noProof/>
        </w:rPr>
        <w:t>6</w:t>
      </w:r>
      <w:r>
        <w:fldChar w:fldCharType="end"/>
      </w:r>
      <w:bookmarkEnd w:id="44"/>
      <w:r w:rsidRPr="00F7087A">
        <w:t xml:space="preserve">. </w:t>
      </w:r>
      <w:r>
        <w:t>CPAS – Total</w:t>
      </w:r>
      <w:bookmarkStart w:id="47" w:name="Table_6"/>
      <w:bookmarkEnd w:id="45"/>
      <w:bookmarkEnd w:id="46"/>
      <w:bookmarkEnd w:id="47"/>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1E5D48" w14:paraId="30185885" w14:textId="77777777">
        <w:trPr>
          <w:tblHeader/>
          <w:jc w:val="center"/>
        </w:trPr>
        <w:tc>
          <w:tcPr>
            <w:tcW w:w="6034"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0185882"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018588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7056" w:type="dxa"/>
            <w:gridSpan w:val="7"/>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3018588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1E5D48" w14:paraId="30185894"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8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8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8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8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8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8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8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8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8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8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9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9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9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9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r>
      <w:tr w:rsidR="001E5D48" w14:paraId="301858A3"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9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9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79,176,759</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9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867,045,562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9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9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9A"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9B"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9C"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9D"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9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74,240,075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9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74,240,075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74,240,075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74,240,075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74,240,075</w:t>
            </w:r>
          </w:p>
        </w:tc>
      </w:tr>
      <w:tr w:rsidR="001E5D48" w14:paraId="301858B2"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18,265,941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38,983,124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51,382,780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62,767,151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77,265,535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119,886,368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D"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E"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AF"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1"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1E5D48" w14:paraId="301858C1"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79,176,759</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867,045,562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18,265,941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38,983,124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51,382,780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62,767,151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77,265,535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119,886,368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74,240,075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74,240,075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74,240,075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B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74,240,075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74,240,075</w:t>
            </w:r>
          </w:p>
        </w:tc>
      </w:tr>
      <w:tr w:rsidR="001E5D48" w14:paraId="301858D0"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3"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A"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B"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C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8DF"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2"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3"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119,886,368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D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8EE"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3"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119,886,368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8E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301858EF" w14:textId="77777777" w:rsidR="00CA597D" w:rsidRDefault="00CA597D" w:rsidP="00E5723F">
      <w:pPr>
        <w:spacing w:before="0" w:after="0"/>
      </w:pPr>
      <w:bookmarkStart w:id="48" w:name="Table_6_2"/>
      <w:bookmarkEnd w:id="48"/>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1E5D48" w14:paraId="301858FE"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8F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r>
      <w:tr w:rsidR="001E5D48" w14:paraId="3018590D"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8F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79,176,759</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867,045,562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74,240,075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61,970,197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49,934,958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39,262,199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39,262,199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39,261,874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37,898,316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37,898,316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37,898,316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37,898,316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34,390,387</w:t>
            </w:r>
          </w:p>
        </w:tc>
      </w:tr>
      <w:tr w:rsidR="001E5D48" w14:paraId="3018591C"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0F"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1"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2"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3"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A"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B"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1E5D48" w14:paraId="3018592B"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79,176,759</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1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867,045,562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74,240,075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61,970,197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49,934,958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39,262,199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39,262,199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39,261,874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37,898,316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37,898,316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37,898,316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37,898,316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34,390,387</w:t>
            </w:r>
          </w:p>
        </w:tc>
      </w:tr>
      <w:tr w:rsidR="001E5D48" w14:paraId="3018593A"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D"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E"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2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12,269,877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12,035,239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10,672,759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1,363,558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3,507,929</w:t>
            </w:r>
          </w:p>
        </w:tc>
      </w:tr>
      <w:tr w:rsidR="001E5D48" w14:paraId="30185949"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C"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D"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3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4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4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4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4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4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4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4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4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4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958"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4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4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4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4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4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12,269,877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4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12,035,239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5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10,672,759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5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5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5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1,363,558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5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5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5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5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3,507,929</w:t>
            </w:r>
          </w:p>
        </w:tc>
      </w:tr>
    </w:tbl>
    <w:p w14:paraId="30185959" w14:textId="77777777" w:rsidR="00CA597D" w:rsidRPr="00944D07" w:rsidRDefault="00CA597D" w:rsidP="00E5723F">
      <w:pPr>
        <w:spacing w:before="0" w:after="0"/>
      </w:pPr>
      <w:bookmarkStart w:id="49" w:name="Table_6_3"/>
      <w:bookmarkEnd w:id="49"/>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1E5D48" w14:paraId="30185968"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5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5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5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5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5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5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6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6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6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6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6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6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6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18596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r>
      <w:tr w:rsidR="001E5D48" w14:paraId="30185977"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6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6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79,176,759</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6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867,045,562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6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698,129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6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698,129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6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698,129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6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698,129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986"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9"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A"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B"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C"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D"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E"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7F"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0"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1"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2"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3"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4"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5"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1E5D48" w14:paraId="30185995"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79,176,759</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867,045,562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698,129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698,129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698,129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698,129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8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9A4"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8"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33,692,258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70,624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9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3"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9B3"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6"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7" w14:textId="77777777" w:rsidR="001E5D48" w:rsidRDefault="001E5D4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A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B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B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859B2"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1E5D48" w14:paraId="301859C2"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B4"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B5"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B6"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B7"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33,692,258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B8"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B9"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BA"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BB"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70,624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BC"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BD"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BE"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BF"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C0"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627,504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859C1" w14:textId="77777777" w:rsidR="001E5D48" w:rsidRDefault="00A33C74">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301859C3" w14:textId="77777777" w:rsidR="00CA597D" w:rsidRPr="00C34E77" w:rsidRDefault="00A33C74" w:rsidP="00C25FD6">
      <w:pPr>
        <w:pStyle w:val="TableFigureNote"/>
      </w:pPr>
      <w:r w:rsidRPr="00C34E77">
        <w:rPr>
          <w:rFonts w:eastAsiaTheme="minorEastAsia"/>
        </w:rPr>
        <w:t>† Lifetime savings are the sum of CPAS savings through the EUL.</w:t>
      </w:r>
    </w:p>
    <w:p w14:paraId="301859C4" w14:textId="77777777" w:rsidR="00CA597D" w:rsidRPr="00C34E77" w:rsidRDefault="00A33C74" w:rsidP="00C25FD6">
      <w:pPr>
        <w:pStyle w:val="TableFigureNote"/>
      </w:pPr>
      <w:r w:rsidRPr="00C34E77">
        <w:rPr>
          <w:rFonts w:eastAsiaTheme="minorEastAsia"/>
        </w:rPr>
        <w:t xml:space="preserve">‡ Historical savings go back to CY2018. </w:t>
      </w:r>
    </w:p>
    <w:p w14:paraId="301859C5" w14:textId="77777777" w:rsidR="00CA597D" w:rsidRPr="00C34E77" w:rsidRDefault="00A33C74" w:rsidP="00C25FD6">
      <w:pPr>
        <w:pStyle w:val="TableFigureNote"/>
      </w:pPr>
      <w:r w:rsidRPr="00C34E77">
        <w:rPr>
          <w:rFonts w:eastAsiaTheme="minorEastAsia"/>
        </w:rPr>
        <w:t>§ Incremental expiring savings are equal to CPAS Yn-1 - CPAS Yn.</w:t>
      </w:r>
    </w:p>
    <w:p w14:paraId="301859C6" w14:textId="77777777" w:rsidR="00CA597D" w:rsidRPr="00C34E77" w:rsidRDefault="00A33C74" w:rsidP="00C25FD6">
      <w:pPr>
        <w:pStyle w:val="TableFigureNote"/>
      </w:pPr>
      <w:r w:rsidRPr="00C34E77">
        <w:rPr>
          <w:rFonts w:eastAsiaTheme="minorEastAsia"/>
        </w:rPr>
        <w:t>|| Historic incremental expiring savings are equal to Historic CPAS Yn-1 – Historic CPAS Yn.</w:t>
      </w:r>
    </w:p>
    <w:p w14:paraId="301859C7" w14:textId="77777777" w:rsidR="00CA597D" w:rsidRPr="00C34E77" w:rsidRDefault="00A33C74"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301859C8" w14:textId="77777777" w:rsidR="00CA597D" w:rsidRDefault="00A33C74" w:rsidP="00C25FD6">
      <w:pPr>
        <w:pStyle w:val="TableFigureSource"/>
      </w:pPr>
      <w:r>
        <w:t>Source: Evaluation team analysis</w:t>
      </w:r>
    </w:p>
    <w:p w14:paraId="301859C9" w14:textId="77777777" w:rsidR="00CA597D" w:rsidRPr="00BB1B40" w:rsidRDefault="00CA597D" w:rsidP="00FB6842">
      <w:pPr>
        <w:pStyle w:val="BodyText"/>
      </w:pPr>
    </w:p>
    <w:sectPr w:rsidR="00CA597D" w:rsidRPr="00BB1B40" w:rsidSect="0035634B">
      <w:headerReference w:type="default" r:id="rId21"/>
      <w:footerReference w:type="default" r:id="rId22"/>
      <w:type w:val="continuous"/>
      <w:pgSz w:w="20160" w:h="1656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1E98" w14:textId="77777777" w:rsidR="00043004" w:rsidRDefault="00043004">
      <w:pPr>
        <w:spacing w:before="0" w:after="0"/>
      </w:pPr>
      <w:r>
        <w:separator/>
      </w:r>
    </w:p>
  </w:endnote>
  <w:endnote w:type="continuationSeparator" w:id="0">
    <w:p w14:paraId="002B69D5" w14:textId="77777777" w:rsidR="00043004" w:rsidRDefault="00043004">
      <w:pPr>
        <w:spacing w:before="0" w:after="0"/>
      </w:pPr>
      <w:r>
        <w:continuationSeparator/>
      </w:r>
    </w:p>
  </w:endnote>
  <w:endnote w:type="continuationNotice" w:id="1">
    <w:p w14:paraId="21996167" w14:textId="77777777" w:rsidR="00043004" w:rsidRDefault="000430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7D6383" w:rsidRPr="00582062" w14:paraId="301859DE" w14:textId="77777777" w:rsidTr="00553C21">
      <w:trPr>
        <w:trHeight w:val="144"/>
        <w:jc w:val="center"/>
      </w:trPr>
      <w:tc>
        <w:tcPr>
          <w:tcW w:w="7200" w:type="dxa"/>
          <w:tcBorders>
            <w:top w:val="single" w:sz="8" w:space="0" w:color="8C8C8C"/>
            <w:left w:val="nil"/>
            <w:bottom w:val="nil"/>
          </w:tcBorders>
        </w:tcPr>
        <w:p w14:paraId="301859DC" w14:textId="77777777" w:rsidR="00CA597D" w:rsidRPr="00582062" w:rsidRDefault="00CA597D" w:rsidP="000E2A29">
          <w:pPr>
            <w:pStyle w:val="Footer"/>
            <w:spacing w:before="120"/>
            <w:rPr>
              <w:sz w:val="2"/>
              <w:szCs w:val="2"/>
            </w:rPr>
          </w:pPr>
        </w:p>
      </w:tc>
      <w:tc>
        <w:tcPr>
          <w:tcW w:w="2880" w:type="dxa"/>
          <w:tcBorders>
            <w:top w:val="single" w:sz="8" w:space="0" w:color="8C8C8C"/>
          </w:tcBorders>
        </w:tcPr>
        <w:p w14:paraId="301859DD" w14:textId="77777777" w:rsidR="00CA597D" w:rsidRPr="00582062" w:rsidRDefault="00CA597D" w:rsidP="000E2A29">
          <w:pPr>
            <w:pStyle w:val="Footer"/>
            <w:spacing w:before="120"/>
            <w:jc w:val="right"/>
            <w:rPr>
              <w:sz w:val="2"/>
              <w:szCs w:val="2"/>
            </w:rPr>
          </w:pPr>
        </w:p>
      </w:tc>
    </w:tr>
    <w:tr w:rsidR="007D6383" w:rsidRPr="00EA2FA5" w14:paraId="301859E1" w14:textId="77777777" w:rsidTr="00553C21">
      <w:trPr>
        <w:trHeight w:val="195"/>
        <w:jc w:val="center"/>
      </w:trPr>
      <w:tc>
        <w:tcPr>
          <w:tcW w:w="7200" w:type="dxa"/>
          <w:tcBorders>
            <w:top w:val="nil"/>
            <w:left w:val="nil"/>
          </w:tcBorders>
          <w:vAlign w:val="center"/>
        </w:tcPr>
        <w:p w14:paraId="301859DF" w14:textId="77777777" w:rsidR="00CA597D" w:rsidRPr="0075421C" w:rsidRDefault="00A33C74"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301859E0" w14:textId="77777777" w:rsidR="00CA597D" w:rsidRPr="0075421C" w:rsidRDefault="00A33C74"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301859E2" w14:textId="77777777" w:rsidR="00CA597D" w:rsidRPr="000C64C5" w:rsidRDefault="00CA597D" w:rsidP="000E2A29">
    <w:pPr>
      <w:pStyle w:val="Footer"/>
      <w:ind w:right="360"/>
      <w:rPr>
        <w:sz w:val="2"/>
        <w:szCs w:val="2"/>
      </w:rPr>
    </w:pPr>
  </w:p>
  <w:p w14:paraId="301859E3" w14:textId="77777777" w:rsidR="00CA597D" w:rsidRPr="008B6585" w:rsidRDefault="00CA597D" w:rsidP="000E2A2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173EE6" w:rsidRPr="00582062" w14:paraId="301859EB" w14:textId="77777777" w:rsidTr="00553C21">
      <w:trPr>
        <w:trHeight w:val="144"/>
        <w:jc w:val="center"/>
      </w:trPr>
      <w:tc>
        <w:tcPr>
          <w:tcW w:w="7200" w:type="dxa"/>
          <w:tcBorders>
            <w:top w:val="single" w:sz="8" w:space="0" w:color="8C8C8C"/>
            <w:left w:val="nil"/>
            <w:bottom w:val="nil"/>
          </w:tcBorders>
        </w:tcPr>
        <w:p w14:paraId="301859E9" w14:textId="77777777" w:rsidR="00CA597D" w:rsidRPr="00582062" w:rsidRDefault="00CA597D" w:rsidP="000E2A29">
          <w:pPr>
            <w:pStyle w:val="Footer"/>
            <w:spacing w:before="120"/>
            <w:rPr>
              <w:sz w:val="2"/>
              <w:szCs w:val="2"/>
            </w:rPr>
          </w:pPr>
        </w:p>
      </w:tc>
      <w:tc>
        <w:tcPr>
          <w:tcW w:w="2880" w:type="dxa"/>
          <w:tcBorders>
            <w:top w:val="single" w:sz="8" w:space="0" w:color="8C8C8C"/>
          </w:tcBorders>
        </w:tcPr>
        <w:p w14:paraId="301859EA" w14:textId="77777777" w:rsidR="00CA597D" w:rsidRPr="00582062" w:rsidRDefault="00CA597D" w:rsidP="000E2A29">
          <w:pPr>
            <w:pStyle w:val="Footer"/>
            <w:spacing w:before="120"/>
            <w:jc w:val="right"/>
            <w:rPr>
              <w:sz w:val="2"/>
              <w:szCs w:val="2"/>
            </w:rPr>
          </w:pPr>
        </w:p>
      </w:tc>
    </w:tr>
    <w:tr w:rsidR="00173EE6" w:rsidRPr="00EA2FA5" w14:paraId="301859EE" w14:textId="77777777" w:rsidTr="00553C21">
      <w:trPr>
        <w:trHeight w:val="195"/>
        <w:jc w:val="center"/>
      </w:trPr>
      <w:tc>
        <w:tcPr>
          <w:tcW w:w="7200" w:type="dxa"/>
          <w:tcBorders>
            <w:top w:val="nil"/>
            <w:left w:val="nil"/>
          </w:tcBorders>
          <w:vAlign w:val="center"/>
        </w:tcPr>
        <w:p w14:paraId="301859EC" w14:textId="77777777" w:rsidR="00CA597D" w:rsidRPr="0075421C" w:rsidRDefault="00A33C74"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301859ED" w14:textId="2C5C18FD" w:rsidR="00CA597D" w:rsidRPr="0075421C" w:rsidRDefault="00A33C74" w:rsidP="000E2A29">
          <w:pPr>
            <w:pStyle w:val="Footer"/>
            <w:jc w:val="right"/>
            <w:rPr>
              <w:rStyle w:val="PageNumber"/>
              <w:sz w:val="18"/>
            </w:rPr>
          </w:pPr>
          <w:r w:rsidRPr="0075421C">
            <w:rPr>
              <w:rStyle w:val="PageNumber"/>
              <w:sz w:val="18"/>
            </w:rPr>
            <w:t>Page</w:t>
          </w:r>
          <w:r w:rsidR="0035634B">
            <w:rPr>
              <w:rStyle w:val="PageNumber"/>
              <w:sz w:val="18"/>
            </w:rPr>
            <w:t xml:space="preserv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301859EF" w14:textId="77777777" w:rsidR="00CA597D" w:rsidRPr="000C64C5" w:rsidRDefault="00CA597D" w:rsidP="000E2A29">
    <w:pPr>
      <w:pStyle w:val="Footer"/>
      <w:ind w:right="360"/>
      <w:rPr>
        <w:sz w:val="2"/>
        <w:szCs w:val="2"/>
      </w:rPr>
    </w:pPr>
  </w:p>
  <w:p w14:paraId="301859F0" w14:textId="77777777" w:rsidR="00CA597D" w:rsidRPr="008B6585" w:rsidRDefault="00CA597D" w:rsidP="000E2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E0AC" w14:textId="77777777" w:rsidR="00043004" w:rsidRDefault="00043004">
      <w:pPr>
        <w:spacing w:before="0" w:after="0"/>
      </w:pPr>
      <w:r>
        <w:separator/>
      </w:r>
    </w:p>
  </w:footnote>
  <w:footnote w:type="continuationSeparator" w:id="0">
    <w:p w14:paraId="2DF942DC" w14:textId="77777777" w:rsidR="00043004" w:rsidRDefault="00043004">
      <w:pPr>
        <w:spacing w:before="0" w:after="0"/>
      </w:pPr>
      <w:r>
        <w:continuationSeparator/>
      </w:r>
    </w:p>
  </w:footnote>
  <w:footnote w:type="continuationNotice" w:id="1">
    <w:p w14:paraId="2363939A" w14:textId="77777777" w:rsidR="00043004" w:rsidRDefault="00043004">
      <w:pPr>
        <w:spacing w:before="0" w:after="0"/>
      </w:pPr>
    </w:p>
  </w:footnote>
  <w:footnote w:id="2">
    <w:p w14:paraId="301859F7" w14:textId="77777777" w:rsidR="00CA597D" w:rsidRDefault="00A33C74" w:rsidP="00C93763">
      <w:pPr>
        <w:pStyle w:val="FootnoteText"/>
      </w:pPr>
      <w:r>
        <w:rPr>
          <w:rStyle w:val="FootnoteReference"/>
        </w:rPr>
        <w:footnoteRef/>
      </w:r>
      <w:r>
        <w:t xml:space="preserve"> The evaluation will determine which other fuel savings will be counted towards goal while producing the portfolio-wide Summary Report.</w:t>
      </w:r>
      <w:r w:rsidRPr="0085537E">
        <w:t xml:space="preserve"> According to Section 8-103B(b-25) of the Illinois Public Utilities Act, “In no event shall more than 10% of each year's applicable annual total savings requirement as defined in paragraph (7.5) of subsection (g) of this Section be met through savings of fuels other than electricity.”</w:t>
      </w:r>
    </w:p>
  </w:footnote>
  <w:footnote w:id="3">
    <w:p w14:paraId="287F230F" w14:textId="77777777" w:rsidR="002F293D" w:rsidRDefault="002F293D" w:rsidP="002F293D">
      <w:pPr>
        <w:pStyle w:val="FootnoteText"/>
      </w:pPr>
      <w:r>
        <w:rPr>
          <w:rStyle w:val="FootnoteReference"/>
        </w:rPr>
        <w:footnoteRef/>
      </w:r>
      <w:r>
        <w:t xml:space="preserve"> </w:t>
      </w:r>
      <w:r w:rsidRPr="000D3076">
        <w:t>The electrification savings counted toward ComEd's electric savings goal were determined by the evaluation team’s analysis of portfolio verified savings.</w:t>
      </w:r>
      <w:r>
        <w:t xml:space="preserve"> </w:t>
      </w:r>
      <w:r w:rsidRPr="004B16A6">
        <w:t>According to Section 8-103B(b-27) of the Illinois Public Utilities Act, “In no event shall electrification savings counted toward each year's applicable annual total savings requirement, as defined in paragraph (7.5) of subsection (g) of this Section, be greater than 5% per year for each year from 2022 through 2025."</w:t>
      </w:r>
    </w:p>
  </w:footnote>
  <w:footnote w:id="4">
    <w:p w14:paraId="0B5D0925" w14:textId="0DA546C0" w:rsidR="00103656" w:rsidRDefault="00103656">
      <w:pPr>
        <w:pStyle w:val="FootnoteText"/>
      </w:pPr>
      <w:r>
        <w:rPr>
          <w:rStyle w:val="FootnoteReference"/>
        </w:rPr>
        <w:footnoteRef/>
      </w:r>
      <w:r>
        <w:t xml:space="preserve"> </w:t>
      </w:r>
      <w:hyperlink r:id="rId1" w:history="1">
        <w:r w:rsidR="002312C5" w:rsidRPr="007B6094">
          <w:rPr>
            <w:rStyle w:val="Hyperlink"/>
            <w:color w:val="1B1B1B" w:themeColor="text1"/>
            <w:u w:val="none"/>
          </w:rPr>
          <w:t>Income Eligible Energy Efficient Electrification Attribution for Midstream Programs</w:t>
        </w:r>
      </w:hyperlink>
      <w:r w:rsidR="001563D5">
        <w:rPr>
          <w:color w:val="1B1B1B" w:themeColor="text1"/>
        </w:rPr>
        <w:t xml:space="preserve">. February 2025. </w:t>
      </w:r>
      <w:r w:rsidR="001563D5" w:rsidRPr="001563D5">
        <w:rPr>
          <w:color w:val="1B1B1B" w:themeColor="text1"/>
        </w:rPr>
        <w:t>https://www.ilsag.info/wp-content/uploads/ComEd-IE-EE-Policy_2_17-25_Final-Clean.pdf</w:t>
      </w:r>
    </w:p>
  </w:footnote>
  <w:footnote w:id="5">
    <w:p w14:paraId="301859F9" w14:textId="77777777" w:rsidR="00CA597D" w:rsidRDefault="00A33C74" w:rsidP="00C25FD6">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6">
    <w:p w14:paraId="301859FA" w14:textId="77777777" w:rsidR="00CA597D" w:rsidRDefault="00A33C74" w:rsidP="00C25FD6">
      <w:pPr>
        <w:pStyle w:val="FootnoteText"/>
      </w:pPr>
      <w:r>
        <w:rPr>
          <w:rStyle w:val="FootnoteReference"/>
        </w:rPr>
        <w:footnoteRef/>
      </w:r>
      <w:r>
        <w:t xml:space="preserve"> </w:t>
      </w:r>
      <w:r w:rsidRPr="002C0C8C">
        <w:t>Illinois Energy Efficiency Policy Manual Version 3.0, Section 7.4, available at https://www.ilsag.info/policy/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D5276B" w14:paraId="301859DA" w14:textId="77777777" w:rsidTr="00553C21">
      <w:trPr>
        <w:jc w:val="center"/>
      </w:trPr>
      <w:tc>
        <w:tcPr>
          <w:tcW w:w="2880" w:type="dxa"/>
          <w:vAlign w:val="center"/>
        </w:tcPr>
        <w:p w14:paraId="301859D8" w14:textId="77777777" w:rsidR="00CA597D" w:rsidRPr="006A71F6" w:rsidRDefault="00A33C74" w:rsidP="00D5276B">
          <w:pPr>
            <w:pStyle w:val="Header"/>
          </w:pPr>
          <w:r>
            <w:rPr>
              <w:noProof/>
            </w:rPr>
            <w:drawing>
              <wp:inline distT="0" distB="0" distL="0" distR="0" wp14:anchorId="301859F1" wp14:editId="301859F2">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301859D9" w14:textId="7D308FD0" w:rsidR="00CA597D" w:rsidRDefault="00A33C74"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CC7133">
            <w:rPr>
              <w:bCs/>
              <w:noProof/>
            </w:rPr>
            <w:t>ComEd Contractor/Midstream Rebates Program Impact Evaluation Report</w:t>
          </w:r>
          <w:r>
            <w:rPr>
              <w:bCs/>
              <w:noProof/>
            </w:rPr>
            <w:fldChar w:fldCharType="end"/>
          </w:r>
        </w:p>
      </w:tc>
    </w:tr>
  </w:tbl>
  <w:p w14:paraId="301859DB" w14:textId="77777777" w:rsidR="00CA597D" w:rsidRPr="00B21048" w:rsidRDefault="00CA597D" w:rsidP="000E2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59E4" w14:textId="77777777" w:rsidR="00CA597D" w:rsidRDefault="00A33C74">
    <w:pPr>
      <w:pStyle w:val="Header"/>
    </w:pPr>
    <w:r>
      <w:rPr>
        <w:noProof/>
      </w:rPr>
      <w:drawing>
        <wp:anchor distT="0" distB="0" distL="114300" distR="114300" simplePos="0" relativeHeight="251658240" behindDoc="0" locked="0" layoutInCell="1" allowOverlap="1" wp14:anchorId="301859F3" wp14:editId="301859F4">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173EE6" w14:paraId="301859E7" w14:textId="77777777" w:rsidTr="00553C21">
      <w:trPr>
        <w:jc w:val="center"/>
      </w:trPr>
      <w:tc>
        <w:tcPr>
          <w:tcW w:w="2880" w:type="dxa"/>
          <w:vAlign w:val="center"/>
        </w:tcPr>
        <w:p w14:paraId="301859E5" w14:textId="77777777" w:rsidR="00CA597D" w:rsidRPr="006A71F6" w:rsidRDefault="00A33C74" w:rsidP="00D5276B">
          <w:pPr>
            <w:pStyle w:val="Header"/>
          </w:pPr>
          <w:r>
            <w:rPr>
              <w:noProof/>
            </w:rPr>
            <w:drawing>
              <wp:inline distT="0" distB="0" distL="0" distR="0" wp14:anchorId="301859F5" wp14:editId="301859F6">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301859E6" w14:textId="0E602783" w:rsidR="00CA597D" w:rsidRDefault="00A33C74"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CC7133">
            <w:rPr>
              <w:bCs/>
              <w:noProof/>
            </w:rPr>
            <w:t>ComEd Contractor/Midstream Rebates Program Impact Evaluation Report</w:t>
          </w:r>
          <w:r>
            <w:rPr>
              <w:bCs/>
              <w:noProof/>
            </w:rPr>
            <w:fldChar w:fldCharType="end"/>
          </w:r>
        </w:p>
      </w:tc>
    </w:tr>
  </w:tbl>
  <w:p w14:paraId="301859E8" w14:textId="77777777" w:rsidR="00CA597D" w:rsidRPr="00B21048" w:rsidRDefault="00CA597D" w:rsidP="000E2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205EAB"/>
    <w:multiLevelType w:val="hybridMultilevel"/>
    <w:tmpl w:val="1A3E4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1"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1"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D544687"/>
    <w:multiLevelType w:val="multilevel"/>
    <w:tmpl w:val="F8F6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9"/>
  </w:num>
  <w:num w:numId="5" w16cid:durableId="64425076">
    <w:abstractNumId w:val="30"/>
  </w:num>
  <w:num w:numId="6" w16cid:durableId="713120234">
    <w:abstractNumId w:val="46"/>
  </w:num>
  <w:num w:numId="7" w16cid:durableId="552616304">
    <w:abstractNumId w:val="25"/>
  </w:num>
  <w:num w:numId="8" w16cid:durableId="214855693">
    <w:abstractNumId w:val="31"/>
  </w:num>
  <w:num w:numId="9" w16cid:durableId="1004866583">
    <w:abstractNumId w:val="52"/>
  </w:num>
  <w:num w:numId="10" w16cid:durableId="1468738738">
    <w:abstractNumId w:val="14"/>
  </w:num>
  <w:num w:numId="11" w16cid:durableId="1626041108">
    <w:abstractNumId w:val="42"/>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3"/>
  </w:num>
  <w:num w:numId="17" w16cid:durableId="305666350">
    <w:abstractNumId w:val="19"/>
  </w:num>
  <w:num w:numId="18" w16cid:durableId="1127162937">
    <w:abstractNumId w:val="28"/>
  </w:num>
  <w:num w:numId="19" w16cid:durableId="765805737">
    <w:abstractNumId w:val="41"/>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50"/>
  </w:num>
  <w:num w:numId="39" w16cid:durableId="1804958307">
    <w:abstractNumId w:val="15"/>
  </w:num>
  <w:num w:numId="40" w16cid:durableId="1690184655">
    <w:abstractNumId w:val="47"/>
  </w:num>
  <w:num w:numId="41" w16cid:durableId="944340633">
    <w:abstractNumId w:val="36"/>
  </w:num>
  <w:num w:numId="42" w16cid:durableId="1531138483">
    <w:abstractNumId w:val="48"/>
  </w:num>
  <w:num w:numId="43" w16cid:durableId="1511067297">
    <w:abstractNumId w:val="29"/>
  </w:num>
  <w:num w:numId="44" w16cid:durableId="1841580137">
    <w:abstractNumId w:val="45"/>
  </w:num>
  <w:num w:numId="45" w16cid:durableId="906184223">
    <w:abstractNumId w:val="27"/>
  </w:num>
  <w:num w:numId="46" w16cid:durableId="1094669190">
    <w:abstractNumId w:val="11"/>
  </w:num>
  <w:num w:numId="47" w16cid:durableId="847216447">
    <w:abstractNumId w:val="44"/>
  </w:num>
  <w:num w:numId="48" w16cid:durableId="1728801892">
    <w:abstractNumId w:val="51"/>
  </w:num>
  <w:num w:numId="49" w16cid:durableId="1403865142">
    <w:abstractNumId w:val="10"/>
  </w:num>
  <w:num w:numId="50" w16cid:durableId="1028262603">
    <w:abstractNumId w:val="40"/>
  </w:num>
  <w:num w:numId="51" w16cid:durableId="866140528">
    <w:abstractNumId w:val="21"/>
  </w:num>
  <w:num w:numId="52" w16cid:durableId="1843545826">
    <w:abstractNumId w:val="20"/>
  </w:num>
  <w:num w:numId="53" w16cid:durableId="1226994650">
    <w:abstractNumId w:val="53"/>
  </w:num>
  <w:num w:numId="54" w16cid:durableId="1239363848">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48"/>
    <w:rsid w:val="00007C2D"/>
    <w:rsid w:val="0001562D"/>
    <w:rsid w:val="00020CB8"/>
    <w:rsid w:val="00041F66"/>
    <w:rsid w:val="00043004"/>
    <w:rsid w:val="000433EE"/>
    <w:rsid w:val="0006073D"/>
    <w:rsid w:val="00065D53"/>
    <w:rsid w:val="000B2A9F"/>
    <w:rsid w:val="000C75BE"/>
    <w:rsid w:val="000D0FCD"/>
    <w:rsid w:val="000D4A06"/>
    <w:rsid w:val="00100793"/>
    <w:rsid w:val="00103656"/>
    <w:rsid w:val="001108E3"/>
    <w:rsid w:val="001144FF"/>
    <w:rsid w:val="001518D4"/>
    <w:rsid w:val="00153A04"/>
    <w:rsid w:val="001563D5"/>
    <w:rsid w:val="00157DD3"/>
    <w:rsid w:val="00167EE6"/>
    <w:rsid w:val="001B3CD5"/>
    <w:rsid w:val="001E5D48"/>
    <w:rsid w:val="00213227"/>
    <w:rsid w:val="00224F39"/>
    <w:rsid w:val="002312C5"/>
    <w:rsid w:val="002400F3"/>
    <w:rsid w:val="00241FED"/>
    <w:rsid w:val="002452AB"/>
    <w:rsid w:val="00251BAA"/>
    <w:rsid w:val="00272B79"/>
    <w:rsid w:val="00295BD1"/>
    <w:rsid w:val="002B6B86"/>
    <w:rsid w:val="002E1459"/>
    <w:rsid w:val="002E7D09"/>
    <w:rsid w:val="002F293D"/>
    <w:rsid w:val="00303D3F"/>
    <w:rsid w:val="0035634B"/>
    <w:rsid w:val="0036346A"/>
    <w:rsid w:val="003676A5"/>
    <w:rsid w:val="00381A91"/>
    <w:rsid w:val="003B0109"/>
    <w:rsid w:val="003F21A5"/>
    <w:rsid w:val="003F766C"/>
    <w:rsid w:val="00477DDE"/>
    <w:rsid w:val="004968ED"/>
    <w:rsid w:val="004A030F"/>
    <w:rsid w:val="004A44CA"/>
    <w:rsid w:val="005158C7"/>
    <w:rsid w:val="00571BB2"/>
    <w:rsid w:val="005A652A"/>
    <w:rsid w:val="005B490D"/>
    <w:rsid w:val="005C098D"/>
    <w:rsid w:val="005D14FD"/>
    <w:rsid w:val="00643FF9"/>
    <w:rsid w:val="00652602"/>
    <w:rsid w:val="00666D92"/>
    <w:rsid w:val="006779E5"/>
    <w:rsid w:val="006C292C"/>
    <w:rsid w:val="006C6414"/>
    <w:rsid w:val="006E6F9A"/>
    <w:rsid w:val="00701DEC"/>
    <w:rsid w:val="0072058F"/>
    <w:rsid w:val="00747A4C"/>
    <w:rsid w:val="00747F95"/>
    <w:rsid w:val="00751DB4"/>
    <w:rsid w:val="007725E1"/>
    <w:rsid w:val="0079514A"/>
    <w:rsid w:val="007A03C0"/>
    <w:rsid w:val="007B2242"/>
    <w:rsid w:val="007B4F77"/>
    <w:rsid w:val="007B6986"/>
    <w:rsid w:val="007D1268"/>
    <w:rsid w:val="007D1A78"/>
    <w:rsid w:val="007F6F68"/>
    <w:rsid w:val="00805EA1"/>
    <w:rsid w:val="00816B96"/>
    <w:rsid w:val="00852DFB"/>
    <w:rsid w:val="0087209A"/>
    <w:rsid w:val="008A4F0B"/>
    <w:rsid w:val="008C5A9F"/>
    <w:rsid w:val="008D2CC1"/>
    <w:rsid w:val="008D68CE"/>
    <w:rsid w:val="00912232"/>
    <w:rsid w:val="00943AF4"/>
    <w:rsid w:val="009A306A"/>
    <w:rsid w:val="009F2035"/>
    <w:rsid w:val="00A11A75"/>
    <w:rsid w:val="00A27E22"/>
    <w:rsid w:val="00A33C74"/>
    <w:rsid w:val="00A3635F"/>
    <w:rsid w:val="00AB0E31"/>
    <w:rsid w:val="00AE7862"/>
    <w:rsid w:val="00B025EC"/>
    <w:rsid w:val="00B05AEF"/>
    <w:rsid w:val="00B41978"/>
    <w:rsid w:val="00BE1BDB"/>
    <w:rsid w:val="00BE20C9"/>
    <w:rsid w:val="00BF1934"/>
    <w:rsid w:val="00C45737"/>
    <w:rsid w:val="00C7186E"/>
    <w:rsid w:val="00CA597D"/>
    <w:rsid w:val="00CC7133"/>
    <w:rsid w:val="00CD23C2"/>
    <w:rsid w:val="00CD58CE"/>
    <w:rsid w:val="00CE17C0"/>
    <w:rsid w:val="00D573DE"/>
    <w:rsid w:val="00D75221"/>
    <w:rsid w:val="00D8128B"/>
    <w:rsid w:val="00D853B5"/>
    <w:rsid w:val="00D91C42"/>
    <w:rsid w:val="00D92A5A"/>
    <w:rsid w:val="00DA34F4"/>
    <w:rsid w:val="00DB4955"/>
    <w:rsid w:val="00DC11E4"/>
    <w:rsid w:val="00E32F65"/>
    <w:rsid w:val="00E632FD"/>
    <w:rsid w:val="00E81A04"/>
    <w:rsid w:val="00E91C5F"/>
    <w:rsid w:val="00EB3C18"/>
    <w:rsid w:val="00EF579C"/>
    <w:rsid w:val="00F06B9A"/>
    <w:rsid w:val="00F1155D"/>
    <w:rsid w:val="00F22A95"/>
    <w:rsid w:val="00F25427"/>
    <w:rsid w:val="00F62753"/>
    <w:rsid w:val="00F941EF"/>
    <w:rsid w:val="00FA0950"/>
    <w:rsid w:val="00FC7DCE"/>
    <w:rsid w:val="00FE6308"/>
    <w:rsid w:val="2C9F9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85414"/>
  <w15:docId w15:val="{4F8F5D9E-105A-4E04-8090-33A7806F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 w:type="paragraph" w:customStyle="1" w:styleId="paragraph">
    <w:name w:val="paragraph"/>
    <w:basedOn w:val="Normal"/>
    <w:rsid w:val="004A44CA"/>
    <w:pPr>
      <w:suppressAutoHyphens w:val="0"/>
      <w:autoSpaceDN/>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34236863">
      <w:bodyDiv w:val="1"/>
      <w:marLeft w:val="0"/>
      <w:marRight w:val="0"/>
      <w:marTop w:val="0"/>
      <w:marBottom w:val="0"/>
      <w:divBdr>
        <w:top w:val="none" w:sz="0" w:space="0" w:color="auto"/>
        <w:left w:val="none" w:sz="0" w:space="0" w:color="auto"/>
        <w:bottom w:val="none" w:sz="0" w:space="0" w:color="auto"/>
        <w:right w:val="none" w:sz="0" w:space="0" w:color="auto"/>
      </w:divBdr>
      <w:divsChild>
        <w:div w:id="927930621">
          <w:marLeft w:val="0"/>
          <w:marRight w:val="0"/>
          <w:marTop w:val="0"/>
          <w:marBottom w:val="0"/>
          <w:divBdr>
            <w:top w:val="none" w:sz="0" w:space="0" w:color="auto"/>
            <w:left w:val="none" w:sz="0" w:space="0" w:color="auto"/>
            <w:bottom w:val="none" w:sz="0" w:space="0" w:color="auto"/>
            <w:right w:val="none" w:sz="0" w:space="0" w:color="auto"/>
          </w:divBdr>
          <w:divsChild>
            <w:div w:id="263155554">
              <w:marLeft w:val="0"/>
              <w:marRight w:val="0"/>
              <w:marTop w:val="0"/>
              <w:marBottom w:val="0"/>
              <w:divBdr>
                <w:top w:val="none" w:sz="0" w:space="0" w:color="auto"/>
                <w:left w:val="none" w:sz="0" w:space="0" w:color="auto"/>
                <w:bottom w:val="none" w:sz="0" w:space="0" w:color="auto"/>
                <w:right w:val="none" w:sz="0" w:space="0" w:color="auto"/>
              </w:divBdr>
              <w:divsChild>
                <w:div w:id="1728524742">
                  <w:marLeft w:val="0"/>
                  <w:marRight w:val="0"/>
                  <w:marTop w:val="0"/>
                  <w:marBottom w:val="0"/>
                  <w:divBdr>
                    <w:top w:val="none" w:sz="0" w:space="0" w:color="auto"/>
                    <w:left w:val="none" w:sz="0" w:space="0" w:color="auto"/>
                    <w:bottom w:val="none" w:sz="0" w:space="0" w:color="auto"/>
                    <w:right w:val="none" w:sz="0" w:space="0" w:color="auto"/>
                  </w:divBdr>
                  <w:divsChild>
                    <w:div w:id="1486313928">
                      <w:marLeft w:val="0"/>
                      <w:marRight w:val="0"/>
                      <w:marTop w:val="0"/>
                      <w:marBottom w:val="0"/>
                      <w:divBdr>
                        <w:top w:val="none" w:sz="0" w:space="0" w:color="auto"/>
                        <w:left w:val="none" w:sz="0" w:space="0" w:color="auto"/>
                        <w:bottom w:val="none" w:sz="0" w:space="0" w:color="auto"/>
                        <w:right w:val="none" w:sz="0" w:space="0" w:color="auto"/>
                      </w:divBdr>
                      <w:divsChild>
                        <w:div w:id="1931037997">
                          <w:marLeft w:val="0"/>
                          <w:marRight w:val="0"/>
                          <w:marTop w:val="0"/>
                          <w:marBottom w:val="0"/>
                          <w:divBdr>
                            <w:top w:val="none" w:sz="0" w:space="0" w:color="auto"/>
                            <w:left w:val="none" w:sz="0" w:space="0" w:color="auto"/>
                            <w:bottom w:val="none" w:sz="0" w:space="0" w:color="auto"/>
                            <w:right w:val="none" w:sz="0" w:space="0" w:color="auto"/>
                          </w:divBdr>
                          <w:divsChild>
                            <w:div w:id="15798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1375">
      <w:bodyDiv w:val="1"/>
      <w:marLeft w:val="0"/>
      <w:marRight w:val="0"/>
      <w:marTop w:val="0"/>
      <w:marBottom w:val="0"/>
      <w:divBdr>
        <w:top w:val="none" w:sz="0" w:space="0" w:color="auto"/>
        <w:left w:val="none" w:sz="0" w:space="0" w:color="auto"/>
        <w:bottom w:val="none" w:sz="0" w:space="0" w:color="auto"/>
        <w:right w:val="none" w:sz="0" w:space="0" w:color="auto"/>
      </w:divBdr>
      <w:divsChild>
        <w:div w:id="1568221399">
          <w:marLeft w:val="0"/>
          <w:marRight w:val="0"/>
          <w:marTop w:val="0"/>
          <w:marBottom w:val="0"/>
          <w:divBdr>
            <w:top w:val="none" w:sz="0" w:space="0" w:color="auto"/>
            <w:left w:val="none" w:sz="0" w:space="0" w:color="auto"/>
            <w:bottom w:val="none" w:sz="0" w:space="0" w:color="auto"/>
            <w:right w:val="none" w:sz="0" w:space="0" w:color="auto"/>
          </w:divBdr>
          <w:divsChild>
            <w:div w:id="1620987285">
              <w:marLeft w:val="0"/>
              <w:marRight w:val="0"/>
              <w:marTop w:val="0"/>
              <w:marBottom w:val="0"/>
              <w:divBdr>
                <w:top w:val="none" w:sz="0" w:space="0" w:color="auto"/>
                <w:left w:val="none" w:sz="0" w:space="0" w:color="auto"/>
                <w:bottom w:val="none" w:sz="0" w:space="0" w:color="auto"/>
                <w:right w:val="none" w:sz="0" w:space="0" w:color="auto"/>
              </w:divBdr>
              <w:divsChild>
                <w:div w:id="1940529297">
                  <w:marLeft w:val="0"/>
                  <w:marRight w:val="0"/>
                  <w:marTop w:val="0"/>
                  <w:marBottom w:val="0"/>
                  <w:divBdr>
                    <w:top w:val="none" w:sz="0" w:space="0" w:color="auto"/>
                    <w:left w:val="none" w:sz="0" w:space="0" w:color="auto"/>
                    <w:bottom w:val="none" w:sz="0" w:space="0" w:color="auto"/>
                    <w:right w:val="none" w:sz="0" w:space="0" w:color="auto"/>
                  </w:divBdr>
                  <w:divsChild>
                    <w:div w:id="2019497361">
                      <w:marLeft w:val="0"/>
                      <w:marRight w:val="0"/>
                      <w:marTop w:val="0"/>
                      <w:marBottom w:val="0"/>
                      <w:divBdr>
                        <w:top w:val="none" w:sz="0" w:space="0" w:color="auto"/>
                        <w:left w:val="none" w:sz="0" w:space="0" w:color="auto"/>
                        <w:bottom w:val="none" w:sz="0" w:space="0" w:color="auto"/>
                        <w:right w:val="none" w:sz="0" w:space="0" w:color="auto"/>
                      </w:divBdr>
                      <w:divsChild>
                        <w:div w:id="689530426">
                          <w:marLeft w:val="0"/>
                          <w:marRight w:val="0"/>
                          <w:marTop w:val="0"/>
                          <w:marBottom w:val="0"/>
                          <w:divBdr>
                            <w:top w:val="none" w:sz="0" w:space="0" w:color="auto"/>
                            <w:left w:val="none" w:sz="0" w:space="0" w:color="auto"/>
                            <w:bottom w:val="none" w:sz="0" w:space="0" w:color="auto"/>
                            <w:right w:val="none" w:sz="0" w:space="0" w:color="auto"/>
                          </w:divBdr>
                          <w:divsChild>
                            <w:div w:id="10183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jeff.erickson@guidehouse.com" TargetMode="External"/><Relationship Id="rId2" Type="http://schemas.openxmlformats.org/officeDocument/2006/relationships/customXml" Target="../customXml/item2.xml"/><Relationship Id="rId16" Type="http://schemas.openxmlformats.org/officeDocument/2006/relationships/hyperlink" Target="mailto:cmaglione@guidehous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lsag.info/wp-content/uploads/ComEd-IE-EE-Policy_2_17-25_Final-Clea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Props1.xml><?xml version="1.0" encoding="utf-8"?>
<ds:datastoreItem xmlns:ds="http://schemas.openxmlformats.org/officeDocument/2006/customXml" ds:itemID="{59BA77A4-96FF-4F37-8832-3FE05EB9CF87}">
  <ds:schemaRefs>
    <ds:schemaRef ds:uri="http://schemas.microsoft.com/sharepoint/v3/contenttype/forms"/>
  </ds:schemaRefs>
</ds:datastoreItem>
</file>

<file path=customXml/itemProps2.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3.xml><?xml version="1.0" encoding="utf-8"?>
<ds:datastoreItem xmlns:ds="http://schemas.openxmlformats.org/officeDocument/2006/customXml" ds:itemID="{62CE3F12-C6A6-4B58-BACF-13281A648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48528-2E6A-4EEA-853F-6A024FEF5A90}">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3165</Words>
  <Characters>18041</Characters>
  <Application>Microsoft Office Word</Application>
  <DocSecurity>4</DocSecurity>
  <Lines>150</Lines>
  <Paragraphs>42</Paragraphs>
  <ScaleCrop>false</ScaleCrop>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Natasha Herring</cp:lastModifiedBy>
  <cp:revision>2</cp:revision>
  <dcterms:created xsi:type="dcterms:W3CDTF">2025-02-28T20:46:00Z</dcterms:created>
  <dcterms:modified xsi:type="dcterms:W3CDTF">2025-02-28T20:46:00Z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