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B0D9" w14:textId="77777777" w:rsidR="004C3211" w:rsidRDefault="004C3211" w:rsidP="00FE1C61"/>
    <w:p w14:paraId="54394C92" w14:textId="77777777" w:rsidR="004C3211" w:rsidRDefault="004C3211" w:rsidP="00BA112B">
      <w:pPr>
        <w:pStyle w:val="Title"/>
      </w:pPr>
    </w:p>
    <w:p w14:paraId="353B71C7" w14:textId="04EEAF72" w:rsidR="009137D9" w:rsidRPr="00190360" w:rsidRDefault="000840E9" w:rsidP="00BA112B">
      <w:pPr>
        <w:pStyle w:val="Title"/>
      </w:pPr>
      <w:r w:rsidRPr="00190360">
        <w:t xml:space="preserve">ComEd </w:t>
      </w:r>
      <w:r w:rsidR="00064648">
        <w:t xml:space="preserve">Societal Non-Energy Impacts </w:t>
      </w:r>
      <w:r w:rsidR="006D75EA" w:rsidRPr="00190360">
        <w:t>CY20</w:t>
      </w:r>
      <w:r w:rsidR="00064648">
        <w:t>25</w:t>
      </w:r>
      <w:r w:rsidR="006D75EA" w:rsidRPr="00190360">
        <w:t xml:space="preserve"> </w:t>
      </w:r>
      <w:r w:rsidR="00064648">
        <w:t>Research Report</w:t>
      </w:r>
    </w:p>
    <w:p w14:paraId="4488B8FB" w14:textId="77777777" w:rsidR="003F708F" w:rsidRDefault="003F708F" w:rsidP="003F708F"/>
    <w:p w14:paraId="4C2D5F48" w14:textId="77777777" w:rsidR="00573576" w:rsidRPr="00AD1053" w:rsidRDefault="00573576" w:rsidP="003F708F">
      <w:pPr>
        <w:rPr>
          <w:sz w:val="32"/>
          <w:szCs w:val="36"/>
        </w:rPr>
      </w:pPr>
      <w:r w:rsidRPr="00AD1053">
        <w:rPr>
          <w:sz w:val="32"/>
          <w:szCs w:val="36"/>
        </w:rPr>
        <w:t xml:space="preserve">Energy </w:t>
      </w:r>
      <w:r w:rsidR="00AD1053" w:rsidRPr="00AD1053">
        <w:rPr>
          <w:sz w:val="32"/>
          <w:szCs w:val="36"/>
        </w:rPr>
        <w:t>Efficiency and Demand Response Plan</w:t>
      </w:r>
    </w:p>
    <w:p w14:paraId="03AD2ECB" w14:textId="71C286C3" w:rsidR="007D1E07" w:rsidRDefault="007531F7" w:rsidP="00BA112B">
      <w:pPr>
        <w:pStyle w:val="Subtitle"/>
      </w:pPr>
      <w:r>
        <w:t>Program Year 20</w:t>
      </w:r>
      <w:r w:rsidR="002A4CD8">
        <w:t>25</w:t>
      </w:r>
      <w:r>
        <w:t xml:space="preserve"> (CY20</w:t>
      </w:r>
      <w:r w:rsidR="002A4CD8">
        <w:t>25</w:t>
      </w:r>
      <w:r w:rsidRPr="00A61B1E">
        <w:t>)</w:t>
      </w:r>
    </w:p>
    <w:p w14:paraId="25E8C8DC" w14:textId="76B1ABA7" w:rsidR="009137D9" w:rsidRPr="00932BBC" w:rsidRDefault="007D1E07" w:rsidP="00BA112B">
      <w:pPr>
        <w:pStyle w:val="Subtitle"/>
      </w:pPr>
      <w:r w:rsidRPr="002A4CD8">
        <w:t>(</w:t>
      </w:r>
      <w:r w:rsidR="002A4CD8" w:rsidRPr="002A4CD8">
        <w:t>01</w:t>
      </w:r>
      <w:r w:rsidRPr="002A4CD8">
        <w:t>/</w:t>
      </w:r>
      <w:r w:rsidR="002A4CD8" w:rsidRPr="002A4CD8">
        <w:t>01</w:t>
      </w:r>
      <w:r w:rsidRPr="002A4CD8">
        <w:t>/</w:t>
      </w:r>
      <w:r w:rsidR="002A4CD8" w:rsidRPr="002A4CD8">
        <w:t>2025</w:t>
      </w:r>
      <w:r w:rsidRPr="002A4CD8">
        <w:t>-</w:t>
      </w:r>
      <w:r w:rsidR="002A4CD8" w:rsidRPr="002A4CD8">
        <w:t>12</w:t>
      </w:r>
      <w:r w:rsidR="000B5663" w:rsidRPr="002A4CD8">
        <w:t>/</w:t>
      </w:r>
      <w:r w:rsidR="003650DE">
        <w:t>31</w:t>
      </w:r>
      <w:r w:rsidR="000B5663" w:rsidRPr="002A4CD8">
        <w:t>/</w:t>
      </w:r>
      <w:r w:rsidR="002A4CD8" w:rsidRPr="002A4CD8">
        <w:t>2025</w:t>
      </w:r>
      <w:r w:rsidRPr="002A4CD8">
        <w:t>)</w:t>
      </w:r>
      <w:r w:rsidR="007531F7">
        <w:t xml:space="preserve"> </w:t>
      </w:r>
    </w:p>
    <w:p w14:paraId="6E6E72B7" w14:textId="77777777" w:rsidR="000B7F56" w:rsidRPr="005B6988" w:rsidRDefault="000B7F56">
      <w:pPr>
        <w:rPr>
          <w:sz w:val="40"/>
          <w:szCs w:val="40"/>
        </w:rPr>
      </w:pPr>
    </w:p>
    <w:p w14:paraId="1E33CBAC" w14:textId="77777777" w:rsidR="009137D9" w:rsidRPr="0056335A" w:rsidRDefault="009137D9">
      <w:pPr>
        <w:rPr>
          <w:rStyle w:val="Strong"/>
          <w:sz w:val="28"/>
          <w:szCs w:val="28"/>
        </w:rPr>
      </w:pPr>
      <w:r w:rsidRPr="0056335A">
        <w:rPr>
          <w:rStyle w:val="Strong"/>
          <w:sz w:val="28"/>
          <w:szCs w:val="28"/>
        </w:rPr>
        <w:t>Prepared for:</w:t>
      </w:r>
    </w:p>
    <w:p w14:paraId="44193C42" w14:textId="3915D76C" w:rsidR="009137D9" w:rsidRPr="0056335A" w:rsidRDefault="006A28C0">
      <w:pPr>
        <w:rPr>
          <w:rStyle w:val="Strong"/>
          <w:sz w:val="28"/>
          <w:szCs w:val="28"/>
        </w:rPr>
      </w:pPr>
      <w:r>
        <w:rPr>
          <w:noProof/>
        </w:rPr>
        <w:drawing>
          <wp:anchor distT="0" distB="0" distL="114300" distR="114300" simplePos="0" relativeHeight="251658240" behindDoc="1" locked="0" layoutInCell="1" allowOverlap="1" wp14:anchorId="1D703E69" wp14:editId="119619A5">
            <wp:simplePos x="0" y="0"/>
            <wp:positionH relativeFrom="margin">
              <wp:align>left</wp:align>
            </wp:positionH>
            <wp:positionV relativeFrom="paragraph">
              <wp:posOffset>436245</wp:posOffset>
            </wp:positionV>
            <wp:extent cx="1593850" cy="492760"/>
            <wp:effectExtent l="0" t="0" r="0" b="0"/>
            <wp:wrapTopAndBottom/>
            <wp:docPr id="5"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3850" cy="492760"/>
                    </a:xfrm>
                    <a:prstGeom prst="rect">
                      <a:avLst/>
                    </a:prstGeom>
                    <a:noFill/>
                  </pic:spPr>
                </pic:pic>
              </a:graphicData>
            </a:graphic>
            <wp14:sizeRelH relativeFrom="margin">
              <wp14:pctWidth>0</wp14:pctWidth>
            </wp14:sizeRelH>
            <wp14:sizeRelV relativeFrom="margin">
              <wp14:pctHeight>0</wp14:pctHeight>
            </wp14:sizeRelV>
          </wp:anchor>
        </w:drawing>
      </w:r>
      <w:r w:rsidR="009137D9" w:rsidRPr="0056335A">
        <w:rPr>
          <w:rStyle w:val="Strong"/>
          <w:sz w:val="28"/>
          <w:szCs w:val="28"/>
        </w:rPr>
        <w:t>ComEd</w:t>
      </w:r>
    </w:p>
    <w:p w14:paraId="1729815A" w14:textId="77777777" w:rsidR="009137D9" w:rsidRPr="0056335A" w:rsidRDefault="009137D9">
      <w:pPr>
        <w:rPr>
          <w:sz w:val="28"/>
          <w:szCs w:val="28"/>
        </w:rPr>
      </w:pPr>
    </w:p>
    <w:p w14:paraId="2E541736" w14:textId="77777777" w:rsidR="00BA112B" w:rsidRPr="0056335A" w:rsidRDefault="003F708F">
      <w:pPr>
        <w:rPr>
          <w:rStyle w:val="Strong"/>
          <w:sz w:val="28"/>
          <w:szCs w:val="28"/>
        </w:rPr>
      </w:pPr>
      <w:r w:rsidRPr="0056335A">
        <w:rPr>
          <w:rStyle w:val="Strong"/>
          <w:sz w:val="28"/>
          <w:szCs w:val="28"/>
        </w:rPr>
        <w:t>DRAFT</w:t>
      </w:r>
    </w:p>
    <w:p w14:paraId="6B0B5153" w14:textId="133B1F03" w:rsidR="00BA112B" w:rsidRPr="0056335A" w:rsidRDefault="002A4CD8">
      <w:pPr>
        <w:rPr>
          <w:rStyle w:val="Strong"/>
          <w:sz w:val="28"/>
          <w:szCs w:val="28"/>
        </w:rPr>
      </w:pPr>
      <w:r>
        <w:rPr>
          <w:rStyle w:val="Strong"/>
          <w:sz w:val="28"/>
          <w:szCs w:val="28"/>
        </w:rPr>
        <w:t>April</w:t>
      </w:r>
      <w:r w:rsidR="005D65FB">
        <w:rPr>
          <w:rStyle w:val="Strong"/>
          <w:sz w:val="28"/>
          <w:szCs w:val="28"/>
        </w:rPr>
        <w:t xml:space="preserve"> 24</w:t>
      </w:r>
      <w:r>
        <w:rPr>
          <w:rStyle w:val="Strong"/>
          <w:sz w:val="28"/>
          <w:szCs w:val="28"/>
        </w:rPr>
        <w:t>, 2026</w:t>
      </w:r>
    </w:p>
    <w:p w14:paraId="2C3BCDC5" w14:textId="77777777" w:rsidR="009137D9" w:rsidRDefault="009137D9"/>
    <w:p w14:paraId="0D51D8B5" w14:textId="77777777" w:rsidR="009137D9" w:rsidRPr="0010260D" w:rsidRDefault="00D06A86" w:rsidP="005B6988">
      <w:pPr>
        <w:pStyle w:val="NoSpacing"/>
        <w:rPr>
          <w:b/>
          <w:sz w:val="22"/>
          <w:szCs w:val="22"/>
        </w:rPr>
      </w:pPr>
      <w:r w:rsidRPr="0010260D">
        <w:rPr>
          <w:b/>
          <w:bCs/>
          <w:sz w:val="22"/>
          <w:szCs w:val="22"/>
        </w:rPr>
        <w:t>Prepared</w:t>
      </w:r>
      <w:r w:rsidR="009137D9" w:rsidRPr="0010260D">
        <w:rPr>
          <w:b/>
          <w:sz w:val="22"/>
          <w:szCs w:val="22"/>
        </w:rPr>
        <w:t xml:space="preserve"> by: </w:t>
      </w:r>
    </w:p>
    <w:p w14:paraId="17F35EF0" w14:textId="77777777" w:rsidR="00024074" w:rsidRPr="0010260D" w:rsidRDefault="00024074" w:rsidP="005B6988">
      <w:pPr>
        <w:pStyle w:val="NoSpacing"/>
        <w:rPr>
          <w:b/>
          <w:bCs/>
          <w:i/>
          <w:iCs/>
          <w:sz w:val="22"/>
          <w:szCs w:val="22"/>
        </w:rPr>
      </w:pPr>
    </w:p>
    <w:tbl>
      <w:tblPr>
        <w:tblW w:w="0" w:type="auto"/>
        <w:tblCellMar>
          <w:left w:w="0" w:type="dxa"/>
        </w:tblCellMar>
        <w:tblLook w:val="04A0" w:firstRow="1" w:lastRow="0" w:firstColumn="1" w:lastColumn="0" w:noHBand="0" w:noVBand="1"/>
      </w:tblPr>
      <w:tblGrid>
        <w:gridCol w:w="2337"/>
        <w:gridCol w:w="2337"/>
        <w:gridCol w:w="2338"/>
        <w:gridCol w:w="2338"/>
      </w:tblGrid>
      <w:tr w:rsidR="00DE1C51" w:rsidRPr="000E7807" w14:paraId="797979B8" w14:textId="77777777" w:rsidTr="000E7807">
        <w:trPr>
          <w:trHeight w:val="1134"/>
        </w:trPr>
        <w:tc>
          <w:tcPr>
            <w:tcW w:w="2337" w:type="dxa"/>
          </w:tcPr>
          <w:p w14:paraId="6E8DE617" w14:textId="0AF3B09E" w:rsidR="00DE1C51" w:rsidRPr="00064648" w:rsidRDefault="002A4CD8" w:rsidP="00751AB4">
            <w:pPr>
              <w:pStyle w:val="NoSpacing"/>
              <w:rPr>
                <w:b/>
                <w:bCs/>
                <w:sz w:val="22"/>
                <w:szCs w:val="22"/>
              </w:rPr>
            </w:pPr>
            <w:r w:rsidRPr="00064648">
              <w:rPr>
                <w:b/>
                <w:bCs/>
                <w:sz w:val="22"/>
                <w:szCs w:val="22"/>
              </w:rPr>
              <w:t>Harry Wang</w:t>
            </w:r>
          </w:p>
          <w:p w14:paraId="54C0F671" w14:textId="78866C0E" w:rsidR="00DE1C51" w:rsidRPr="00064648" w:rsidRDefault="00064648" w:rsidP="00751AB4">
            <w:pPr>
              <w:pStyle w:val="NoSpacing"/>
              <w:rPr>
                <w:sz w:val="22"/>
                <w:szCs w:val="22"/>
              </w:rPr>
            </w:pPr>
            <w:r w:rsidRPr="00064648">
              <w:rPr>
                <w:sz w:val="22"/>
                <w:szCs w:val="22"/>
              </w:rPr>
              <w:t>Guidehouse</w:t>
            </w:r>
          </w:p>
        </w:tc>
        <w:tc>
          <w:tcPr>
            <w:tcW w:w="2337" w:type="dxa"/>
          </w:tcPr>
          <w:p w14:paraId="09BB3115" w14:textId="38D50AD7" w:rsidR="00AB669D" w:rsidRPr="00064648" w:rsidRDefault="002A4CD8" w:rsidP="00AB669D">
            <w:pPr>
              <w:pStyle w:val="NoSpacing"/>
              <w:rPr>
                <w:b/>
                <w:bCs/>
                <w:sz w:val="22"/>
                <w:szCs w:val="22"/>
              </w:rPr>
            </w:pPr>
            <w:r w:rsidRPr="00064648">
              <w:rPr>
                <w:b/>
                <w:bCs/>
                <w:sz w:val="22"/>
                <w:szCs w:val="22"/>
              </w:rPr>
              <w:t>Yeab Lakew</w:t>
            </w:r>
          </w:p>
          <w:p w14:paraId="6D56B8E9" w14:textId="0251EA0F" w:rsidR="00DE1C51" w:rsidRPr="00064648" w:rsidRDefault="00064648" w:rsidP="00AB669D">
            <w:pPr>
              <w:pStyle w:val="NoSpacing"/>
              <w:rPr>
                <w:sz w:val="22"/>
                <w:szCs w:val="22"/>
              </w:rPr>
            </w:pPr>
            <w:r w:rsidRPr="00064648">
              <w:rPr>
                <w:sz w:val="22"/>
                <w:szCs w:val="22"/>
              </w:rPr>
              <w:t>Guidehouse</w:t>
            </w:r>
          </w:p>
        </w:tc>
        <w:tc>
          <w:tcPr>
            <w:tcW w:w="2338" w:type="dxa"/>
          </w:tcPr>
          <w:p w14:paraId="3300AB05" w14:textId="0C8A25F2" w:rsidR="00AB669D" w:rsidRPr="00064648" w:rsidRDefault="002A4CD8" w:rsidP="00AB669D">
            <w:pPr>
              <w:pStyle w:val="NoSpacing"/>
              <w:rPr>
                <w:b/>
                <w:bCs/>
                <w:sz w:val="22"/>
                <w:szCs w:val="22"/>
              </w:rPr>
            </w:pPr>
            <w:r w:rsidRPr="00064648">
              <w:rPr>
                <w:b/>
                <w:bCs/>
                <w:sz w:val="22"/>
                <w:szCs w:val="22"/>
              </w:rPr>
              <w:t>Victoria Moli</w:t>
            </w:r>
            <w:r w:rsidR="00064648" w:rsidRPr="00064648">
              <w:rPr>
                <w:b/>
                <w:bCs/>
                <w:sz w:val="22"/>
                <w:szCs w:val="22"/>
              </w:rPr>
              <w:t>tor</w:t>
            </w:r>
          </w:p>
          <w:p w14:paraId="3BADB9B4" w14:textId="5E8BCD05" w:rsidR="00DE1C51" w:rsidRPr="00064648" w:rsidRDefault="00064648" w:rsidP="00AB669D">
            <w:pPr>
              <w:pStyle w:val="NoSpacing"/>
              <w:rPr>
                <w:sz w:val="22"/>
                <w:szCs w:val="22"/>
              </w:rPr>
            </w:pPr>
            <w:r w:rsidRPr="00064648">
              <w:rPr>
                <w:sz w:val="22"/>
                <w:szCs w:val="22"/>
              </w:rPr>
              <w:t>Guidehouse</w:t>
            </w:r>
          </w:p>
        </w:tc>
        <w:tc>
          <w:tcPr>
            <w:tcW w:w="2338" w:type="dxa"/>
          </w:tcPr>
          <w:p w14:paraId="12BA14E5" w14:textId="79876838" w:rsidR="00AB669D" w:rsidRPr="00064648" w:rsidRDefault="00064648" w:rsidP="00AB669D">
            <w:pPr>
              <w:pStyle w:val="NoSpacing"/>
              <w:rPr>
                <w:b/>
                <w:bCs/>
                <w:sz w:val="22"/>
                <w:szCs w:val="22"/>
              </w:rPr>
            </w:pPr>
            <w:r w:rsidRPr="00064648">
              <w:rPr>
                <w:b/>
                <w:bCs/>
                <w:sz w:val="22"/>
                <w:szCs w:val="22"/>
              </w:rPr>
              <w:t>Sarah Karbachinskiy</w:t>
            </w:r>
          </w:p>
          <w:p w14:paraId="07C05B41" w14:textId="3D83AB70" w:rsidR="00DE1C51" w:rsidRPr="00064648" w:rsidRDefault="00064648" w:rsidP="00AB669D">
            <w:pPr>
              <w:pStyle w:val="NoSpacing"/>
              <w:rPr>
                <w:sz w:val="22"/>
                <w:szCs w:val="22"/>
              </w:rPr>
            </w:pPr>
            <w:r w:rsidRPr="00064648">
              <w:rPr>
                <w:sz w:val="22"/>
                <w:szCs w:val="22"/>
              </w:rPr>
              <w:t>Guidehouse</w:t>
            </w:r>
          </w:p>
        </w:tc>
      </w:tr>
    </w:tbl>
    <w:p w14:paraId="443F6F05" w14:textId="77777777" w:rsidR="009C65E3" w:rsidRDefault="009C65E3">
      <w:r>
        <w:br w:type="page"/>
      </w:r>
    </w:p>
    <w:tbl>
      <w:tblPr>
        <w:tblW w:w="0" w:type="auto"/>
        <w:tblInd w:w="-38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6"/>
        <w:gridCol w:w="1870"/>
        <w:gridCol w:w="1870"/>
        <w:gridCol w:w="1870"/>
        <w:gridCol w:w="1870"/>
        <w:gridCol w:w="1870"/>
      </w:tblGrid>
      <w:tr w:rsidR="000069F8" w:rsidRPr="000E7807" w14:paraId="0CC60E1A" w14:textId="77777777" w:rsidTr="000E7807">
        <w:tc>
          <w:tcPr>
            <w:tcW w:w="386" w:type="dxa"/>
          </w:tcPr>
          <w:p w14:paraId="5092F14D" w14:textId="77777777" w:rsidR="000069F8" w:rsidRPr="000E7807" w:rsidRDefault="000069F8" w:rsidP="005B6988">
            <w:pPr>
              <w:pStyle w:val="NoSpacing"/>
              <w:rPr>
                <w:i/>
                <w:iCs/>
                <w:noProof/>
              </w:rPr>
            </w:pPr>
          </w:p>
        </w:tc>
        <w:tc>
          <w:tcPr>
            <w:tcW w:w="1870" w:type="dxa"/>
          </w:tcPr>
          <w:p w14:paraId="303FF2B0" w14:textId="77777777" w:rsidR="006D6596" w:rsidRPr="000E7807" w:rsidRDefault="006D6596" w:rsidP="005B6988">
            <w:pPr>
              <w:pStyle w:val="NoSpacing"/>
              <w:rPr>
                <w:i/>
                <w:iCs/>
              </w:rPr>
            </w:pPr>
          </w:p>
        </w:tc>
        <w:tc>
          <w:tcPr>
            <w:tcW w:w="1870" w:type="dxa"/>
          </w:tcPr>
          <w:p w14:paraId="204E0A01" w14:textId="77777777" w:rsidR="006D6596" w:rsidRPr="000E7807" w:rsidRDefault="006D6596" w:rsidP="005B6988">
            <w:pPr>
              <w:pStyle w:val="NoSpacing"/>
              <w:rPr>
                <w:i/>
                <w:iCs/>
              </w:rPr>
            </w:pPr>
          </w:p>
        </w:tc>
        <w:tc>
          <w:tcPr>
            <w:tcW w:w="1870" w:type="dxa"/>
          </w:tcPr>
          <w:p w14:paraId="6CE28773" w14:textId="77777777" w:rsidR="006D6596" w:rsidRPr="000E7807" w:rsidRDefault="006D6596" w:rsidP="005B6988">
            <w:pPr>
              <w:pStyle w:val="NoSpacing"/>
              <w:rPr>
                <w:i/>
                <w:iCs/>
              </w:rPr>
            </w:pPr>
          </w:p>
        </w:tc>
        <w:tc>
          <w:tcPr>
            <w:tcW w:w="1870" w:type="dxa"/>
          </w:tcPr>
          <w:p w14:paraId="497344BB" w14:textId="77777777" w:rsidR="006D6596" w:rsidRPr="000E7807" w:rsidRDefault="006D6596" w:rsidP="005B6988">
            <w:pPr>
              <w:pStyle w:val="NoSpacing"/>
              <w:rPr>
                <w:i/>
                <w:iCs/>
              </w:rPr>
            </w:pPr>
          </w:p>
        </w:tc>
        <w:tc>
          <w:tcPr>
            <w:tcW w:w="1870" w:type="dxa"/>
          </w:tcPr>
          <w:p w14:paraId="6620A0CF" w14:textId="77777777" w:rsidR="006D6596" w:rsidRPr="000E7807" w:rsidRDefault="006D6596" w:rsidP="005B6988">
            <w:pPr>
              <w:pStyle w:val="NoSpacing"/>
              <w:rPr>
                <w:i/>
                <w:iCs/>
              </w:rPr>
            </w:pPr>
          </w:p>
        </w:tc>
      </w:tr>
    </w:tbl>
    <w:p w14:paraId="2517BA50" w14:textId="77777777" w:rsidR="00564AAD" w:rsidRPr="00564AAD" w:rsidRDefault="00564AAD" w:rsidP="00564AAD">
      <w:pPr>
        <w:pStyle w:val="NoSpacing"/>
        <w:rPr>
          <w:b/>
          <w:bCs/>
        </w:rPr>
      </w:pPr>
      <w:r w:rsidRPr="00564AAD">
        <w:rPr>
          <w:b/>
          <w:bCs/>
        </w:rPr>
        <w:t>Submitted to:</w:t>
      </w:r>
    </w:p>
    <w:p w14:paraId="1A5351C0" w14:textId="77777777" w:rsidR="00564AAD" w:rsidRPr="00564AAD" w:rsidRDefault="00564AAD" w:rsidP="00564AAD">
      <w:pPr>
        <w:pStyle w:val="NoSpacing"/>
      </w:pPr>
      <w:r w:rsidRPr="00564AAD">
        <w:t>ComEd</w:t>
      </w:r>
    </w:p>
    <w:p w14:paraId="0973FF8E" w14:textId="77777777" w:rsidR="00564AAD" w:rsidRPr="00564AAD" w:rsidRDefault="00564AAD" w:rsidP="00564AAD">
      <w:pPr>
        <w:pStyle w:val="NoSpacing"/>
      </w:pPr>
      <w:r w:rsidRPr="00564AAD">
        <w:t>2011 Swift Drive</w:t>
      </w:r>
    </w:p>
    <w:p w14:paraId="421FA508" w14:textId="77777777" w:rsidR="00564AAD" w:rsidRPr="00564AAD" w:rsidRDefault="00564AAD" w:rsidP="00564AAD">
      <w:pPr>
        <w:pStyle w:val="NoSpacing"/>
      </w:pPr>
      <w:r w:rsidRPr="00564AAD">
        <w:t>Oak Brook, IL 60523</w:t>
      </w:r>
    </w:p>
    <w:p w14:paraId="530AF175" w14:textId="77777777" w:rsidR="00564AAD" w:rsidRPr="00564AAD" w:rsidRDefault="00564AAD" w:rsidP="00564AAD">
      <w:pPr>
        <w:pStyle w:val="NoSpacing"/>
      </w:pPr>
    </w:p>
    <w:p w14:paraId="65DDEF44" w14:textId="77777777" w:rsidR="00564AAD" w:rsidRPr="00564AAD" w:rsidRDefault="00564AAD" w:rsidP="00564AAD">
      <w:pPr>
        <w:pStyle w:val="NoSpacing"/>
        <w:rPr>
          <w:b/>
          <w:bCs/>
        </w:rPr>
      </w:pPr>
      <w:r w:rsidRPr="00564AAD">
        <w:rPr>
          <w:b/>
          <w:bCs/>
        </w:rPr>
        <w:t>Submitted by:</w:t>
      </w:r>
    </w:p>
    <w:p w14:paraId="0E30F4C6" w14:textId="77777777" w:rsidR="00564AAD" w:rsidRPr="00564AAD" w:rsidRDefault="00564AAD" w:rsidP="00564AAD">
      <w:pPr>
        <w:pStyle w:val="NoSpacing"/>
      </w:pPr>
      <w:r w:rsidRPr="00564AAD">
        <w:t>Guidehouse Inc.</w:t>
      </w:r>
    </w:p>
    <w:p w14:paraId="072B0715" w14:textId="77777777" w:rsidR="00574AC0" w:rsidRDefault="00574AC0" w:rsidP="00574AC0">
      <w:pPr>
        <w:pStyle w:val="NoSpacing"/>
      </w:pPr>
      <w:r>
        <w:t>167 N. Green Street</w:t>
      </w:r>
    </w:p>
    <w:p w14:paraId="18BB581E" w14:textId="77777777" w:rsidR="00574AC0" w:rsidRDefault="00574AC0" w:rsidP="00574AC0">
      <w:pPr>
        <w:pStyle w:val="NoSpacing"/>
      </w:pPr>
      <w:r>
        <w:t>12th Floor</w:t>
      </w:r>
    </w:p>
    <w:p w14:paraId="6630462C" w14:textId="77777777" w:rsidR="00574AC0" w:rsidRPr="00564AAD" w:rsidRDefault="00574AC0" w:rsidP="00574AC0">
      <w:pPr>
        <w:pStyle w:val="NoSpacing"/>
      </w:pPr>
      <w:r>
        <w:t>Chicago, IL 60607</w:t>
      </w:r>
    </w:p>
    <w:p w14:paraId="6500E691" w14:textId="77777777" w:rsidR="00564AAD" w:rsidRPr="00564AAD" w:rsidRDefault="00564AAD" w:rsidP="00564AAD">
      <w:pPr>
        <w:pStyle w:val="NoSpacing"/>
      </w:pPr>
    </w:p>
    <w:p w14:paraId="6E9A27AF" w14:textId="77777777" w:rsidR="00564AAD" w:rsidRPr="00564AAD" w:rsidRDefault="00564AAD" w:rsidP="00564AAD">
      <w:pPr>
        <w:pStyle w:val="NoSpacing"/>
      </w:pPr>
    </w:p>
    <w:p w14:paraId="2AF14AB4" w14:textId="77777777" w:rsidR="00564AAD" w:rsidRPr="00631500" w:rsidRDefault="00564AAD" w:rsidP="00C844AA">
      <w:pPr>
        <w:pStyle w:val="NoSpacing"/>
        <w:rPr>
          <w:b/>
          <w:bCs/>
        </w:rPr>
      </w:pPr>
      <w:r w:rsidRPr="00631500">
        <w:rPr>
          <w:b/>
          <w:bCs/>
        </w:rPr>
        <w:t>Contact:</w:t>
      </w:r>
    </w:p>
    <w:p w14:paraId="05CBA50D"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600"/>
        <w:gridCol w:w="3330"/>
      </w:tblGrid>
      <w:tr w:rsidR="00FA22B3" w:rsidRPr="000E7807" w14:paraId="19FC34A3" w14:textId="77777777">
        <w:tc>
          <w:tcPr>
            <w:tcW w:w="3330" w:type="dxa"/>
          </w:tcPr>
          <w:p w14:paraId="5EFF00C7" w14:textId="77777777" w:rsidR="00064648" w:rsidRPr="00064648" w:rsidRDefault="00064648" w:rsidP="00064648">
            <w:pPr>
              <w:spacing w:after="0"/>
              <w:rPr>
                <w:rFonts w:eastAsia="Arial" w:cs="Arial"/>
                <w:sz w:val="21"/>
                <w:szCs w:val="21"/>
              </w:rPr>
            </w:pPr>
            <w:r w:rsidRPr="00064648">
              <w:rPr>
                <w:rFonts w:eastAsia="Arial" w:cs="Arial"/>
                <w:sz w:val="21"/>
                <w:szCs w:val="21"/>
              </w:rPr>
              <w:t>Charles Maglione, Partner</w:t>
            </w:r>
          </w:p>
          <w:p w14:paraId="3BFD3218" w14:textId="77777777" w:rsidR="00064648" w:rsidRDefault="00064648" w:rsidP="00064648">
            <w:pPr>
              <w:pStyle w:val="NoSpacing"/>
              <w:rPr>
                <w:rFonts w:eastAsia="Arial" w:cs="Arial"/>
                <w:sz w:val="21"/>
                <w:szCs w:val="21"/>
              </w:rPr>
            </w:pPr>
            <w:r w:rsidRPr="00064648">
              <w:rPr>
                <w:rFonts w:eastAsia="Arial" w:cs="Arial"/>
                <w:sz w:val="21"/>
                <w:szCs w:val="21"/>
              </w:rPr>
              <w:t>703.431.1983</w:t>
            </w:r>
          </w:p>
          <w:p w14:paraId="73FB3207" w14:textId="1ACCE2CF" w:rsidR="00FA22B3" w:rsidRPr="000E7807" w:rsidRDefault="00064648" w:rsidP="00064648">
            <w:pPr>
              <w:pStyle w:val="NoSpacing"/>
            </w:pPr>
            <w:hyperlink r:id="rId12">
              <w:r>
                <w:rPr>
                  <w:rFonts w:cs="Arial"/>
                  <w:b/>
                  <w:sz w:val="21"/>
                  <w:szCs w:val="21"/>
                  <w:u w:val="single" w:color="93D500"/>
                </w:rPr>
                <w:t>cmaglione</w:t>
              </w:r>
              <w:r w:rsidR="00FA22B3" w:rsidRPr="000E7807">
                <w:rPr>
                  <w:rFonts w:cs="Arial"/>
                  <w:b/>
                  <w:sz w:val="21"/>
                  <w:szCs w:val="21"/>
                  <w:u w:val="single" w:color="93D500"/>
                </w:rPr>
                <w:t>@g</w:t>
              </w:r>
              <w:r w:rsidR="00FA22B3" w:rsidRPr="000E7807">
                <w:rPr>
                  <w:rStyle w:val="GHHyperlinkChar"/>
                </w:rPr>
                <w:t>uidehouse.com</w:t>
              </w:r>
            </w:hyperlink>
          </w:p>
        </w:tc>
        <w:tc>
          <w:tcPr>
            <w:tcW w:w="3600" w:type="dxa"/>
          </w:tcPr>
          <w:p w14:paraId="5CD68D39" w14:textId="77777777" w:rsidR="00064648" w:rsidRPr="00064648" w:rsidRDefault="00064648" w:rsidP="00064648">
            <w:pPr>
              <w:spacing w:after="0"/>
              <w:rPr>
                <w:rFonts w:eastAsia="Arial" w:cs="Arial"/>
                <w:sz w:val="21"/>
                <w:szCs w:val="21"/>
              </w:rPr>
            </w:pPr>
            <w:r w:rsidRPr="00064648">
              <w:rPr>
                <w:rFonts w:eastAsia="Arial" w:cs="Arial"/>
                <w:sz w:val="21"/>
                <w:szCs w:val="21"/>
              </w:rPr>
              <w:t>Jeff Erickson, Director</w:t>
            </w:r>
          </w:p>
          <w:p w14:paraId="402D3E9F" w14:textId="77777777" w:rsidR="00064648" w:rsidRDefault="00064648" w:rsidP="00064648">
            <w:pPr>
              <w:pStyle w:val="NoSpacing"/>
              <w:rPr>
                <w:rFonts w:eastAsia="Arial" w:cs="Arial"/>
                <w:sz w:val="21"/>
                <w:szCs w:val="21"/>
              </w:rPr>
            </w:pPr>
            <w:r w:rsidRPr="00064648">
              <w:rPr>
                <w:rFonts w:eastAsia="Arial" w:cs="Arial"/>
                <w:sz w:val="21"/>
                <w:szCs w:val="21"/>
              </w:rPr>
              <w:t>608.616.4962</w:t>
            </w:r>
          </w:p>
          <w:p w14:paraId="1568D9DA" w14:textId="36D06848" w:rsidR="00FA22B3" w:rsidRPr="000E7807" w:rsidRDefault="00064648" w:rsidP="00064648">
            <w:pPr>
              <w:pStyle w:val="NoSpacing"/>
            </w:pPr>
            <w:hyperlink r:id="rId13">
              <w:r>
                <w:rPr>
                  <w:rFonts w:cs="Arial"/>
                  <w:b/>
                  <w:sz w:val="21"/>
                  <w:szCs w:val="21"/>
                  <w:u w:val="single" w:color="93D500"/>
                </w:rPr>
                <w:t>jeff.erickson</w:t>
              </w:r>
              <w:r w:rsidR="00FA22B3" w:rsidRPr="000E7807">
                <w:rPr>
                  <w:rFonts w:cs="Arial"/>
                  <w:b/>
                  <w:sz w:val="21"/>
                  <w:szCs w:val="21"/>
                  <w:u w:val="single" w:color="93D500"/>
                </w:rPr>
                <w:t>@guidehouse.com</w:t>
              </w:r>
            </w:hyperlink>
          </w:p>
        </w:tc>
        <w:tc>
          <w:tcPr>
            <w:tcW w:w="3330" w:type="dxa"/>
          </w:tcPr>
          <w:p w14:paraId="64E3574E" w14:textId="77777777" w:rsidR="00064648" w:rsidRPr="00064648" w:rsidRDefault="00064648" w:rsidP="00064648">
            <w:pPr>
              <w:spacing w:after="0"/>
              <w:rPr>
                <w:rFonts w:eastAsia="Arial" w:cs="Arial"/>
                <w:sz w:val="21"/>
                <w:szCs w:val="21"/>
              </w:rPr>
            </w:pPr>
            <w:r w:rsidRPr="00064648">
              <w:rPr>
                <w:rFonts w:eastAsia="Arial" w:cs="Arial"/>
                <w:sz w:val="21"/>
                <w:szCs w:val="21"/>
              </w:rPr>
              <w:t xml:space="preserve">Neil Curtis, Director </w:t>
            </w:r>
          </w:p>
          <w:p w14:paraId="27C79DE4" w14:textId="589F24C2" w:rsidR="00064648" w:rsidRDefault="00064648" w:rsidP="00064648">
            <w:pPr>
              <w:pStyle w:val="NoSpacing"/>
              <w:rPr>
                <w:rFonts w:eastAsia="Arial" w:cs="Arial"/>
                <w:sz w:val="21"/>
                <w:szCs w:val="21"/>
              </w:rPr>
            </w:pPr>
            <w:r w:rsidRPr="00064648">
              <w:rPr>
                <w:rFonts w:eastAsia="Arial" w:cs="Arial"/>
                <w:sz w:val="21"/>
                <w:szCs w:val="21"/>
              </w:rPr>
              <w:t>802.526.5119</w:t>
            </w:r>
          </w:p>
          <w:p w14:paraId="089A13F4" w14:textId="36158223" w:rsidR="00FA22B3" w:rsidRPr="00155AC0" w:rsidRDefault="00064648" w:rsidP="00064648">
            <w:pPr>
              <w:pStyle w:val="NoSpacing"/>
              <w:rPr>
                <w:rFonts w:cs="Arial"/>
                <w:b/>
                <w:sz w:val="21"/>
                <w:szCs w:val="21"/>
                <w:u w:val="single" w:color="92D050"/>
              </w:rPr>
            </w:pPr>
            <w:hyperlink r:id="rId14">
              <w:r w:rsidRPr="00155AC0">
                <w:rPr>
                  <w:rFonts w:cs="Arial"/>
                  <w:b/>
                  <w:sz w:val="21"/>
                  <w:szCs w:val="21"/>
                  <w:u w:val="single" w:color="92D050"/>
                </w:rPr>
                <w:t>neil.curtis</w:t>
              </w:r>
              <w:r w:rsidR="00FA22B3" w:rsidRPr="00155AC0">
                <w:rPr>
                  <w:rFonts w:cs="Arial"/>
                  <w:b/>
                  <w:sz w:val="21"/>
                  <w:szCs w:val="21"/>
                  <w:u w:val="single" w:color="92D050"/>
                </w:rPr>
                <w:t>@guidehouse.com</w:t>
              </w:r>
            </w:hyperlink>
          </w:p>
        </w:tc>
      </w:tr>
      <w:tr w:rsidR="00EF51D5" w:rsidRPr="000E7807" w14:paraId="12FD3BB1" w14:textId="77777777">
        <w:tc>
          <w:tcPr>
            <w:tcW w:w="3330" w:type="dxa"/>
          </w:tcPr>
          <w:p w14:paraId="19F0EFCB" w14:textId="77777777" w:rsidR="00EF51D5" w:rsidRPr="00064648" w:rsidRDefault="00EF51D5" w:rsidP="00064648">
            <w:pPr>
              <w:spacing w:after="0"/>
              <w:rPr>
                <w:rFonts w:eastAsia="Arial" w:cs="Arial"/>
                <w:sz w:val="21"/>
                <w:szCs w:val="21"/>
              </w:rPr>
            </w:pPr>
          </w:p>
        </w:tc>
        <w:tc>
          <w:tcPr>
            <w:tcW w:w="3600" w:type="dxa"/>
          </w:tcPr>
          <w:p w14:paraId="4B2BF020" w14:textId="77777777" w:rsidR="00EF51D5" w:rsidRPr="00064648" w:rsidRDefault="00EF51D5" w:rsidP="00064648">
            <w:pPr>
              <w:spacing w:after="0"/>
              <w:rPr>
                <w:rFonts w:eastAsia="Arial" w:cs="Arial"/>
                <w:sz w:val="21"/>
                <w:szCs w:val="21"/>
              </w:rPr>
            </w:pPr>
          </w:p>
        </w:tc>
        <w:tc>
          <w:tcPr>
            <w:tcW w:w="3330" w:type="dxa"/>
          </w:tcPr>
          <w:p w14:paraId="6FA7C9FF" w14:textId="77777777" w:rsidR="00EF51D5" w:rsidRPr="00064648" w:rsidRDefault="00EF51D5" w:rsidP="00064648">
            <w:pPr>
              <w:spacing w:after="0"/>
              <w:rPr>
                <w:rFonts w:eastAsia="Arial" w:cs="Arial"/>
                <w:sz w:val="21"/>
                <w:szCs w:val="21"/>
              </w:rPr>
            </w:pPr>
          </w:p>
        </w:tc>
      </w:tr>
      <w:tr w:rsidR="00064648" w:rsidRPr="000E7807" w14:paraId="51F21159" w14:textId="77777777">
        <w:tc>
          <w:tcPr>
            <w:tcW w:w="3330" w:type="dxa"/>
          </w:tcPr>
          <w:p w14:paraId="622F661D" w14:textId="77777777" w:rsidR="00064648" w:rsidRPr="00064648" w:rsidRDefault="00064648" w:rsidP="00064648">
            <w:pPr>
              <w:spacing w:after="0"/>
              <w:rPr>
                <w:rFonts w:eastAsia="Arial" w:cs="Arial"/>
                <w:sz w:val="21"/>
                <w:szCs w:val="21"/>
              </w:rPr>
            </w:pPr>
            <w:r w:rsidRPr="00064648">
              <w:rPr>
                <w:rFonts w:eastAsia="Arial" w:cs="Arial"/>
                <w:sz w:val="21"/>
                <w:szCs w:val="21"/>
              </w:rPr>
              <w:t>Charles Ampong, Associate Director</w:t>
            </w:r>
          </w:p>
          <w:p w14:paraId="1FD69D5A" w14:textId="77777777" w:rsidR="00064648" w:rsidRDefault="00064648" w:rsidP="00064648">
            <w:pPr>
              <w:spacing w:after="0"/>
              <w:rPr>
                <w:rFonts w:eastAsia="Arial" w:cs="Arial"/>
                <w:sz w:val="21"/>
                <w:szCs w:val="21"/>
              </w:rPr>
            </w:pPr>
            <w:r w:rsidRPr="00064648">
              <w:rPr>
                <w:rFonts w:eastAsia="Arial" w:cs="Arial"/>
                <w:sz w:val="21"/>
                <w:szCs w:val="21"/>
              </w:rPr>
              <w:t>608.446.3172</w:t>
            </w:r>
          </w:p>
          <w:p w14:paraId="32E6B644" w14:textId="6BEA6AF6" w:rsidR="00064648" w:rsidRPr="00064648" w:rsidRDefault="00064648" w:rsidP="00064648">
            <w:pPr>
              <w:spacing w:after="0"/>
              <w:rPr>
                <w:rFonts w:eastAsia="Arial" w:cs="Arial"/>
                <w:sz w:val="21"/>
                <w:szCs w:val="21"/>
              </w:rPr>
            </w:pPr>
            <w:hyperlink r:id="rId15">
              <w:r>
                <w:rPr>
                  <w:rFonts w:cs="Arial"/>
                  <w:b/>
                  <w:sz w:val="21"/>
                  <w:szCs w:val="21"/>
                  <w:u w:val="single" w:color="93D500"/>
                </w:rPr>
                <w:t>charles.ampong</w:t>
              </w:r>
              <w:r w:rsidRPr="000E7807">
                <w:rPr>
                  <w:rFonts w:cs="Arial"/>
                  <w:b/>
                  <w:sz w:val="21"/>
                  <w:szCs w:val="21"/>
                  <w:u w:val="single" w:color="93D500"/>
                </w:rPr>
                <w:t>@guidehouse.com</w:t>
              </w:r>
            </w:hyperlink>
          </w:p>
        </w:tc>
        <w:tc>
          <w:tcPr>
            <w:tcW w:w="3600" w:type="dxa"/>
          </w:tcPr>
          <w:p w14:paraId="57EB1A9B" w14:textId="77777777" w:rsidR="00064648" w:rsidRPr="000E7807" w:rsidRDefault="00064648" w:rsidP="00FA22B3">
            <w:pPr>
              <w:spacing w:after="0"/>
              <w:rPr>
                <w:rFonts w:eastAsia="Arial" w:cs="Arial"/>
                <w:sz w:val="21"/>
                <w:szCs w:val="21"/>
              </w:rPr>
            </w:pPr>
          </w:p>
        </w:tc>
        <w:tc>
          <w:tcPr>
            <w:tcW w:w="3330" w:type="dxa"/>
          </w:tcPr>
          <w:p w14:paraId="71688638" w14:textId="77777777" w:rsidR="00064648" w:rsidRPr="000E7807" w:rsidRDefault="00064648" w:rsidP="00FA22B3">
            <w:pPr>
              <w:spacing w:after="0"/>
              <w:rPr>
                <w:rFonts w:eastAsia="Arial" w:cs="Arial"/>
                <w:sz w:val="21"/>
                <w:szCs w:val="21"/>
              </w:rPr>
            </w:pPr>
          </w:p>
        </w:tc>
      </w:tr>
    </w:tbl>
    <w:p w14:paraId="7B7BFF25" w14:textId="77777777" w:rsidR="00564AAD" w:rsidRPr="00631500" w:rsidRDefault="00564AAD" w:rsidP="00564AAD">
      <w:pPr>
        <w:pStyle w:val="NoSpacing"/>
      </w:pPr>
    </w:p>
    <w:p w14:paraId="5EF8158B" w14:textId="77777777" w:rsidR="00631500" w:rsidRPr="00564AAD" w:rsidRDefault="00631500" w:rsidP="00564AAD">
      <w:pPr>
        <w:pStyle w:val="NoSpacing"/>
      </w:pPr>
    </w:p>
    <w:p w14:paraId="6E5F4CEF" w14:textId="48510779" w:rsidR="00E62C25" w:rsidRPr="00035A6D" w:rsidRDefault="00564AAD" w:rsidP="005B6988">
      <w:pPr>
        <w:pStyle w:val="NoSpacing"/>
        <w:rPr>
          <w:sz w:val="20"/>
          <w:szCs w:val="20"/>
        </w:rPr>
      </w:pPr>
      <w:r w:rsidRPr="00564AAD">
        <w:rPr>
          <w:sz w:val="20"/>
          <w:szCs w:val="20"/>
        </w:rPr>
        <w:t xml:space="preserve">This report was prepared by Guidehouse for ComEd.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r w:rsidR="00D47AE3" w:rsidRPr="00564AAD">
        <w:rPr>
          <w:sz w:val="20"/>
          <w:szCs w:val="20"/>
        </w:rPr>
        <w:t>parties and</w:t>
      </w:r>
      <w:r w:rsidRPr="00564AAD">
        <w:rPr>
          <w:sz w:val="20"/>
          <w:szCs w:val="20"/>
        </w:rPr>
        <w:t xml:space="preserve"> hereby disclaims any such liability.</w:t>
      </w:r>
      <w:r w:rsidR="00E62C25">
        <w:br w:type="page"/>
      </w:r>
    </w:p>
    <w:p w14:paraId="59176C0D" w14:textId="77777777" w:rsidR="00B64C95" w:rsidRPr="00C9706F" w:rsidRDefault="00C9706F" w:rsidP="00C9706F">
      <w:pPr>
        <w:pStyle w:val="TableofContents"/>
        <w:rPr>
          <w:rStyle w:val="TableofContentsChar"/>
        </w:rPr>
      </w:pPr>
      <w:r>
        <w:lastRenderedPageBreak/>
        <w:t xml:space="preserve">Table of </w:t>
      </w:r>
      <w:r w:rsidR="00B64C95" w:rsidRPr="00C9706F">
        <w:rPr>
          <w:rStyle w:val="TableofContentsChar"/>
        </w:rPr>
        <w:t>Contents</w:t>
      </w:r>
    </w:p>
    <w:p w14:paraId="2CD82908" w14:textId="1B98F1B3" w:rsidR="00D97146" w:rsidRDefault="00B64C95">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865871" w:history="1">
        <w:r w:rsidR="00D97146" w:rsidRPr="00812128">
          <w:rPr>
            <w:rStyle w:val="Hyperlink"/>
            <w:noProof/>
          </w:rPr>
          <w:t>1</w:t>
        </w:r>
        <w:r w:rsidR="00D97146">
          <w:rPr>
            <w:rFonts w:asciiTheme="minorHAnsi" w:eastAsiaTheme="minorEastAsia" w:hAnsiTheme="minorHAnsi" w:cstheme="minorBidi"/>
            <w:noProof/>
            <w:kern w:val="2"/>
            <w:sz w:val="24"/>
            <w:szCs w:val="24"/>
            <w14:ligatures w14:val="standardContextual"/>
          </w:rPr>
          <w:tab/>
        </w:r>
        <w:r w:rsidR="00D97146" w:rsidRPr="00812128">
          <w:rPr>
            <w:rStyle w:val="Hyperlink"/>
            <w:noProof/>
          </w:rPr>
          <w:t>Introduction</w:t>
        </w:r>
        <w:r w:rsidR="00D97146">
          <w:rPr>
            <w:noProof/>
            <w:webHidden/>
          </w:rPr>
          <w:tab/>
        </w:r>
        <w:r w:rsidR="00D97146">
          <w:rPr>
            <w:noProof/>
            <w:webHidden/>
          </w:rPr>
          <w:fldChar w:fldCharType="begin"/>
        </w:r>
        <w:r w:rsidR="00D97146">
          <w:rPr>
            <w:noProof/>
            <w:webHidden/>
          </w:rPr>
          <w:instrText xml:space="preserve"> PAGEREF _Toc227865871 \h </w:instrText>
        </w:r>
        <w:r w:rsidR="00D97146">
          <w:rPr>
            <w:noProof/>
            <w:webHidden/>
          </w:rPr>
        </w:r>
        <w:r w:rsidR="00D97146">
          <w:rPr>
            <w:noProof/>
            <w:webHidden/>
          </w:rPr>
          <w:fldChar w:fldCharType="separate"/>
        </w:r>
        <w:r w:rsidR="00D97146">
          <w:rPr>
            <w:noProof/>
            <w:webHidden/>
          </w:rPr>
          <w:t>1</w:t>
        </w:r>
        <w:r w:rsidR="00D97146">
          <w:rPr>
            <w:noProof/>
            <w:webHidden/>
          </w:rPr>
          <w:fldChar w:fldCharType="end"/>
        </w:r>
      </w:hyperlink>
    </w:p>
    <w:p w14:paraId="7BAAD3C5" w14:textId="3A706CE4" w:rsidR="00D97146" w:rsidRDefault="00D97146">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7865872" w:history="1">
        <w:r w:rsidRPr="00812128">
          <w:rPr>
            <w:rStyle w:val="Hyperlink"/>
            <w:noProof/>
          </w:rPr>
          <w:t>2</w:t>
        </w:r>
        <w:r>
          <w:rPr>
            <w:rFonts w:asciiTheme="minorHAnsi" w:eastAsiaTheme="minorEastAsia" w:hAnsiTheme="minorHAnsi" w:cstheme="minorBidi"/>
            <w:noProof/>
            <w:kern w:val="2"/>
            <w:sz w:val="24"/>
            <w:szCs w:val="24"/>
            <w14:ligatures w14:val="standardContextual"/>
          </w:rPr>
          <w:tab/>
        </w:r>
        <w:r w:rsidRPr="00812128">
          <w:rPr>
            <w:rStyle w:val="Hyperlink"/>
            <w:noProof/>
          </w:rPr>
          <w:t>Energy Efficiency’s Impacts on Emissions and Human Health</w:t>
        </w:r>
        <w:r>
          <w:rPr>
            <w:noProof/>
            <w:webHidden/>
          </w:rPr>
          <w:tab/>
        </w:r>
        <w:r>
          <w:rPr>
            <w:noProof/>
            <w:webHidden/>
          </w:rPr>
          <w:fldChar w:fldCharType="begin"/>
        </w:r>
        <w:r>
          <w:rPr>
            <w:noProof/>
            <w:webHidden/>
          </w:rPr>
          <w:instrText xml:space="preserve"> PAGEREF _Toc227865872 \h </w:instrText>
        </w:r>
        <w:r>
          <w:rPr>
            <w:noProof/>
            <w:webHidden/>
          </w:rPr>
        </w:r>
        <w:r>
          <w:rPr>
            <w:noProof/>
            <w:webHidden/>
          </w:rPr>
          <w:fldChar w:fldCharType="separate"/>
        </w:r>
        <w:r>
          <w:rPr>
            <w:noProof/>
            <w:webHidden/>
          </w:rPr>
          <w:t>2</w:t>
        </w:r>
        <w:r>
          <w:rPr>
            <w:noProof/>
            <w:webHidden/>
          </w:rPr>
          <w:fldChar w:fldCharType="end"/>
        </w:r>
      </w:hyperlink>
    </w:p>
    <w:p w14:paraId="638B31C9" w14:textId="68ABF622" w:rsidR="00D97146" w:rsidRDefault="00D97146">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7865873" w:history="1">
        <w:r w:rsidRPr="00812128">
          <w:rPr>
            <w:rStyle w:val="Hyperlink"/>
            <w:noProof/>
          </w:rPr>
          <w:t>3</w:t>
        </w:r>
        <w:r>
          <w:rPr>
            <w:rFonts w:asciiTheme="minorHAnsi" w:eastAsiaTheme="minorEastAsia" w:hAnsiTheme="minorHAnsi" w:cstheme="minorBidi"/>
            <w:noProof/>
            <w:kern w:val="2"/>
            <w:sz w:val="24"/>
            <w:szCs w:val="24"/>
            <w14:ligatures w14:val="standardContextual"/>
          </w:rPr>
          <w:tab/>
        </w:r>
        <w:r w:rsidRPr="00812128">
          <w:rPr>
            <w:rStyle w:val="Hyperlink"/>
            <w:noProof/>
          </w:rPr>
          <w:t>Methodology</w:t>
        </w:r>
        <w:r>
          <w:rPr>
            <w:noProof/>
            <w:webHidden/>
          </w:rPr>
          <w:tab/>
        </w:r>
        <w:r>
          <w:rPr>
            <w:noProof/>
            <w:webHidden/>
          </w:rPr>
          <w:fldChar w:fldCharType="begin"/>
        </w:r>
        <w:r>
          <w:rPr>
            <w:noProof/>
            <w:webHidden/>
          </w:rPr>
          <w:instrText xml:space="preserve"> PAGEREF _Toc227865873 \h </w:instrText>
        </w:r>
        <w:r>
          <w:rPr>
            <w:noProof/>
            <w:webHidden/>
          </w:rPr>
        </w:r>
        <w:r>
          <w:rPr>
            <w:noProof/>
            <w:webHidden/>
          </w:rPr>
          <w:fldChar w:fldCharType="separate"/>
        </w:r>
        <w:r>
          <w:rPr>
            <w:noProof/>
            <w:webHidden/>
          </w:rPr>
          <w:t>3</w:t>
        </w:r>
        <w:r>
          <w:rPr>
            <w:noProof/>
            <w:webHidden/>
          </w:rPr>
          <w:fldChar w:fldCharType="end"/>
        </w:r>
      </w:hyperlink>
    </w:p>
    <w:p w14:paraId="6E01EAB9" w14:textId="49270DF6" w:rsidR="00D97146" w:rsidRDefault="00D97146">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27865874" w:history="1">
        <w:r w:rsidRPr="00812128">
          <w:rPr>
            <w:rStyle w:val="Hyperlink"/>
            <w:noProof/>
          </w:rPr>
          <w:t>3.1</w:t>
        </w:r>
        <w:r>
          <w:rPr>
            <w:rFonts w:asciiTheme="minorHAnsi" w:eastAsiaTheme="minorEastAsia" w:hAnsiTheme="minorHAnsi" w:cstheme="minorBidi"/>
            <w:noProof/>
            <w:kern w:val="2"/>
            <w:sz w:val="24"/>
            <w:szCs w:val="24"/>
            <w14:ligatures w14:val="standardContextual"/>
          </w:rPr>
          <w:tab/>
        </w:r>
        <w:r w:rsidRPr="00812128">
          <w:rPr>
            <w:rStyle w:val="Hyperlink"/>
            <w:noProof/>
          </w:rPr>
          <w:t>AVERT and COBRA</w:t>
        </w:r>
        <w:r>
          <w:rPr>
            <w:noProof/>
            <w:webHidden/>
          </w:rPr>
          <w:tab/>
        </w:r>
        <w:r>
          <w:rPr>
            <w:noProof/>
            <w:webHidden/>
          </w:rPr>
          <w:fldChar w:fldCharType="begin"/>
        </w:r>
        <w:r>
          <w:rPr>
            <w:noProof/>
            <w:webHidden/>
          </w:rPr>
          <w:instrText xml:space="preserve"> PAGEREF _Toc227865874 \h </w:instrText>
        </w:r>
        <w:r>
          <w:rPr>
            <w:noProof/>
            <w:webHidden/>
          </w:rPr>
        </w:r>
        <w:r>
          <w:rPr>
            <w:noProof/>
            <w:webHidden/>
          </w:rPr>
          <w:fldChar w:fldCharType="separate"/>
        </w:r>
        <w:r>
          <w:rPr>
            <w:noProof/>
            <w:webHidden/>
          </w:rPr>
          <w:t>3</w:t>
        </w:r>
        <w:r>
          <w:rPr>
            <w:noProof/>
            <w:webHidden/>
          </w:rPr>
          <w:fldChar w:fldCharType="end"/>
        </w:r>
      </w:hyperlink>
    </w:p>
    <w:p w14:paraId="5A969AF7" w14:textId="5705F69A" w:rsidR="00D97146" w:rsidRDefault="00D97146">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27865875" w:history="1">
        <w:r w:rsidRPr="00812128">
          <w:rPr>
            <w:rStyle w:val="Hyperlink"/>
            <w:noProof/>
          </w:rPr>
          <w:t>3.2</w:t>
        </w:r>
        <w:r>
          <w:rPr>
            <w:rFonts w:asciiTheme="minorHAnsi" w:eastAsiaTheme="minorEastAsia" w:hAnsiTheme="minorHAnsi" w:cstheme="minorBidi"/>
            <w:noProof/>
            <w:kern w:val="2"/>
            <w:sz w:val="24"/>
            <w:szCs w:val="24"/>
            <w14:ligatures w14:val="standardContextual"/>
          </w:rPr>
          <w:tab/>
        </w:r>
        <w:r w:rsidRPr="00812128">
          <w:rPr>
            <w:rStyle w:val="Hyperlink"/>
            <w:noProof/>
          </w:rPr>
          <w:t>Estimation of Societal NEIs</w:t>
        </w:r>
        <w:r>
          <w:rPr>
            <w:noProof/>
            <w:webHidden/>
          </w:rPr>
          <w:tab/>
        </w:r>
        <w:r>
          <w:rPr>
            <w:noProof/>
            <w:webHidden/>
          </w:rPr>
          <w:fldChar w:fldCharType="begin"/>
        </w:r>
        <w:r>
          <w:rPr>
            <w:noProof/>
            <w:webHidden/>
          </w:rPr>
          <w:instrText xml:space="preserve"> PAGEREF _Toc227865875 \h </w:instrText>
        </w:r>
        <w:r>
          <w:rPr>
            <w:noProof/>
            <w:webHidden/>
          </w:rPr>
        </w:r>
        <w:r>
          <w:rPr>
            <w:noProof/>
            <w:webHidden/>
          </w:rPr>
          <w:fldChar w:fldCharType="separate"/>
        </w:r>
        <w:r>
          <w:rPr>
            <w:noProof/>
            <w:webHidden/>
          </w:rPr>
          <w:t>5</w:t>
        </w:r>
        <w:r>
          <w:rPr>
            <w:noProof/>
            <w:webHidden/>
          </w:rPr>
          <w:fldChar w:fldCharType="end"/>
        </w:r>
      </w:hyperlink>
    </w:p>
    <w:p w14:paraId="5EC3D4F6" w14:textId="135E50EA" w:rsidR="00D97146" w:rsidRDefault="00D97146">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7865876" w:history="1">
        <w:r w:rsidRPr="00812128">
          <w:rPr>
            <w:rStyle w:val="Hyperlink"/>
            <w:noProof/>
          </w:rPr>
          <w:t>4</w:t>
        </w:r>
        <w:r>
          <w:rPr>
            <w:rFonts w:asciiTheme="minorHAnsi" w:eastAsiaTheme="minorEastAsia" w:hAnsiTheme="minorHAnsi" w:cstheme="minorBidi"/>
            <w:noProof/>
            <w:kern w:val="2"/>
            <w:sz w:val="24"/>
            <w:szCs w:val="24"/>
            <w14:ligatures w14:val="standardContextual"/>
          </w:rPr>
          <w:tab/>
        </w:r>
        <w:r w:rsidRPr="00812128">
          <w:rPr>
            <w:rStyle w:val="Hyperlink"/>
            <w:noProof/>
          </w:rPr>
          <w:t>Analysis Findings and Recommendations</w:t>
        </w:r>
        <w:r>
          <w:rPr>
            <w:noProof/>
            <w:webHidden/>
          </w:rPr>
          <w:tab/>
        </w:r>
        <w:r>
          <w:rPr>
            <w:noProof/>
            <w:webHidden/>
          </w:rPr>
          <w:fldChar w:fldCharType="begin"/>
        </w:r>
        <w:r>
          <w:rPr>
            <w:noProof/>
            <w:webHidden/>
          </w:rPr>
          <w:instrText xml:space="preserve"> PAGEREF _Toc227865876 \h </w:instrText>
        </w:r>
        <w:r>
          <w:rPr>
            <w:noProof/>
            <w:webHidden/>
          </w:rPr>
        </w:r>
        <w:r>
          <w:rPr>
            <w:noProof/>
            <w:webHidden/>
          </w:rPr>
          <w:fldChar w:fldCharType="separate"/>
        </w:r>
        <w:r>
          <w:rPr>
            <w:noProof/>
            <w:webHidden/>
          </w:rPr>
          <w:t>7</w:t>
        </w:r>
        <w:r>
          <w:rPr>
            <w:noProof/>
            <w:webHidden/>
          </w:rPr>
          <w:fldChar w:fldCharType="end"/>
        </w:r>
      </w:hyperlink>
    </w:p>
    <w:p w14:paraId="19CDDC67" w14:textId="1B1B4EC9" w:rsidR="00D97146" w:rsidRDefault="00D97146">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27865877" w:history="1">
        <w:r w:rsidRPr="00812128">
          <w:rPr>
            <w:rStyle w:val="Hyperlink"/>
            <w:noProof/>
          </w:rPr>
          <w:t>4.1</w:t>
        </w:r>
        <w:r>
          <w:rPr>
            <w:rFonts w:asciiTheme="minorHAnsi" w:eastAsiaTheme="minorEastAsia" w:hAnsiTheme="minorHAnsi" w:cstheme="minorBidi"/>
            <w:noProof/>
            <w:kern w:val="2"/>
            <w:sz w:val="24"/>
            <w:szCs w:val="24"/>
            <w14:ligatures w14:val="standardContextual"/>
          </w:rPr>
          <w:tab/>
        </w:r>
        <w:r w:rsidRPr="00812128">
          <w:rPr>
            <w:rStyle w:val="Hyperlink"/>
            <w:noProof/>
          </w:rPr>
          <w:t>Analysis Findings</w:t>
        </w:r>
        <w:r>
          <w:rPr>
            <w:noProof/>
            <w:webHidden/>
          </w:rPr>
          <w:tab/>
        </w:r>
        <w:r>
          <w:rPr>
            <w:noProof/>
            <w:webHidden/>
          </w:rPr>
          <w:fldChar w:fldCharType="begin"/>
        </w:r>
        <w:r>
          <w:rPr>
            <w:noProof/>
            <w:webHidden/>
          </w:rPr>
          <w:instrText xml:space="preserve"> PAGEREF _Toc227865877 \h </w:instrText>
        </w:r>
        <w:r>
          <w:rPr>
            <w:noProof/>
            <w:webHidden/>
          </w:rPr>
        </w:r>
        <w:r>
          <w:rPr>
            <w:noProof/>
            <w:webHidden/>
          </w:rPr>
          <w:fldChar w:fldCharType="separate"/>
        </w:r>
        <w:r>
          <w:rPr>
            <w:noProof/>
            <w:webHidden/>
          </w:rPr>
          <w:t>7</w:t>
        </w:r>
        <w:r>
          <w:rPr>
            <w:noProof/>
            <w:webHidden/>
          </w:rPr>
          <w:fldChar w:fldCharType="end"/>
        </w:r>
      </w:hyperlink>
    </w:p>
    <w:p w14:paraId="098D18A3" w14:textId="7C63EDD1" w:rsidR="00D97146" w:rsidRDefault="00D97146">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7865878" w:history="1">
        <w:r w:rsidRPr="00812128">
          <w:rPr>
            <w:rStyle w:val="Hyperlink"/>
            <w:noProof/>
          </w:rPr>
          <w:t>5</w:t>
        </w:r>
        <w:r>
          <w:rPr>
            <w:rFonts w:asciiTheme="minorHAnsi" w:eastAsiaTheme="minorEastAsia" w:hAnsiTheme="minorHAnsi" w:cstheme="minorBidi"/>
            <w:noProof/>
            <w:kern w:val="2"/>
            <w:sz w:val="24"/>
            <w:szCs w:val="24"/>
            <w14:ligatures w14:val="standardContextual"/>
          </w:rPr>
          <w:tab/>
        </w:r>
        <w:r w:rsidRPr="00812128">
          <w:rPr>
            <w:rStyle w:val="Hyperlink"/>
            <w:noProof/>
          </w:rPr>
          <w:t>Program-Level Societal NEI Estimates</w:t>
        </w:r>
        <w:r>
          <w:rPr>
            <w:noProof/>
            <w:webHidden/>
          </w:rPr>
          <w:tab/>
        </w:r>
        <w:r>
          <w:rPr>
            <w:noProof/>
            <w:webHidden/>
          </w:rPr>
          <w:fldChar w:fldCharType="begin"/>
        </w:r>
        <w:r>
          <w:rPr>
            <w:noProof/>
            <w:webHidden/>
          </w:rPr>
          <w:instrText xml:space="preserve"> PAGEREF _Toc227865878 \h </w:instrText>
        </w:r>
        <w:r>
          <w:rPr>
            <w:noProof/>
            <w:webHidden/>
          </w:rPr>
        </w:r>
        <w:r>
          <w:rPr>
            <w:noProof/>
            <w:webHidden/>
          </w:rPr>
          <w:fldChar w:fldCharType="separate"/>
        </w:r>
        <w:r>
          <w:rPr>
            <w:noProof/>
            <w:webHidden/>
          </w:rPr>
          <w:t>9</w:t>
        </w:r>
        <w:r>
          <w:rPr>
            <w:noProof/>
            <w:webHidden/>
          </w:rPr>
          <w:fldChar w:fldCharType="end"/>
        </w:r>
      </w:hyperlink>
    </w:p>
    <w:p w14:paraId="04F6E80E" w14:textId="50A63B35" w:rsidR="00D97146" w:rsidRDefault="00D97146">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7865879" w:history="1">
        <w:r w:rsidRPr="00812128">
          <w:rPr>
            <w:rStyle w:val="Hyperlink"/>
            <w:noProof/>
          </w:rPr>
          <w:t>6</w:t>
        </w:r>
        <w:r>
          <w:rPr>
            <w:rFonts w:asciiTheme="minorHAnsi" w:eastAsiaTheme="minorEastAsia" w:hAnsiTheme="minorHAnsi" w:cstheme="minorBidi"/>
            <w:noProof/>
            <w:kern w:val="2"/>
            <w:sz w:val="24"/>
            <w:szCs w:val="24"/>
            <w14:ligatures w14:val="standardContextual"/>
          </w:rPr>
          <w:tab/>
        </w:r>
        <w:r w:rsidRPr="00812128">
          <w:rPr>
            <w:rStyle w:val="Hyperlink"/>
            <w:noProof/>
          </w:rPr>
          <w:t>Portfolio-Level Societal NEI Estimates</w:t>
        </w:r>
        <w:r>
          <w:rPr>
            <w:noProof/>
            <w:webHidden/>
          </w:rPr>
          <w:tab/>
        </w:r>
        <w:r>
          <w:rPr>
            <w:noProof/>
            <w:webHidden/>
          </w:rPr>
          <w:fldChar w:fldCharType="begin"/>
        </w:r>
        <w:r>
          <w:rPr>
            <w:noProof/>
            <w:webHidden/>
          </w:rPr>
          <w:instrText xml:space="preserve"> PAGEREF _Toc227865879 \h </w:instrText>
        </w:r>
        <w:r>
          <w:rPr>
            <w:noProof/>
            <w:webHidden/>
          </w:rPr>
        </w:r>
        <w:r>
          <w:rPr>
            <w:noProof/>
            <w:webHidden/>
          </w:rPr>
          <w:fldChar w:fldCharType="separate"/>
        </w:r>
        <w:r>
          <w:rPr>
            <w:noProof/>
            <w:webHidden/>
          </w:rPr>
          <w:t>10</w:t>
        </w:r>
        <w:r>
          <w:rPr>
            <w:noProof/>
            <w:webHidden/>
          </w:rPr>
          <w:fldChar w:fldCharType="end"/>
        </w:r>
      </w:hyperlink>
    </w:p>
    <w:p w14:paraId="0F311577" w14:textId="1829E406" w:rsidR="00D97146" w:rsidRDefault="00D97146">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27865880" w:history="1">
        <w:r w:rsidRPr="00812128">
          <w:rPr>
            <w:rStyle w:val="Hyperlink"/>
            <w:noProof/>
          </w:rPr>
          <w:t>7</w:t>
        </w:r>
        <w:r>
          <w:rPr>
            <w:rFonts w:asciiTheme="minorHAnsi" w:eastAsiaTheme="minorEastAsia" w:hAnsiTheme="minorHAnsi" w:cstheme="minorBidi"/>
            <w:noProof/>
            <w:kern w:val="2"/>
            <w:sz w:val="24"/>
            <w:szCs w:val="24"/>
            <w14:ligatures w14:val="standardContextual"/>
          </w:rPr>
          <w:tab/>
        </w:r>
        <w:r w:rsidRPr="00812128">
          <w:rPr>
            <w:rStyle w:val="Hyperlink"/>
            <w:noProof/>
          </w:rPr>
          <w:t>Portfolio-Level Carbon Reduction Estimates</w:t>
        </w:r>
        <w:r>
          <w:rPr>
            <w:noProof/>
            <w:webHidden/>
          </w:rPr>
          <w:tab/>
        </w:r>
        <w:r>
          <w:rPr>
            <w:noProof/>
            <w:webHidden/>
          </w:rPr>
          <w:fldChar w:fldCharType="begin"/>
        </w:r>
        <w:r>
          <w:rPr>
            <w:noProof/>
            <w:webHidden/>
          </w:rPr>
          <w:instrText xml:space="preserve"> PAGEREF _Toc227865880 \h </w:instrText>
        </w:r>
        <w:r>
          <w:rPr>
            <w:noProof/>
            <w:webHidden/>
          </w:rPr>
        </w:r>
        <w:r>
          <w:rPr>
            <w:noProof/>
            <w:webHidden/>
          </w:rPr>
          <w:fldChar w:fldCharType="separate"/>
        </w:r>
        <w:r>
          <w:rPr>
            <w:noProof/>
            <w:webHidden/>
          </w:rPr>
          <w:t>11</w:t>
        </w:r>
        <w:r>
          <w:rPr>
            <w:noProof/>
            <w:webHidden/>
          </w:rPr>
          <w:fldChar w:fldCharType="end"/>
        </w:r>
      </w:hyperlink>
    </w:p>
    <w:p w14:paraId="3C34D5BB" w14:textId="6911286E" w:rsidR="003A0007" w:rsidRDefault="00B64C95">
      <w:pPr>
        <w:rPr>
          <w:b/>
          <w:bCs/>
          <w:noProof/>
        </w:rPr>
      </w:pPr>
      <w:r>
        <w:rPr>
          <w:b/>
          <w:bCs/>
          <w:noProof/>
        </w:rPr>
        <w:fldChar w:fldCharType="end"/>
      </w:r>
    </w:p>
    <w:p w14:paraId="51F83382" w14:textId="77777777" w:rsidR="00C150D8" w:rsidRPr="00C150D8" w:rsidRDefault="00C150D8" w:rsidP="00C9706F">
      <w:pPr>
        <w:pStyle w:val="TableofContents"/>
      </w:pPr>
      <w:r>
        <w:t>Table of Tables</w:t>
      </w:r>
      <w:r w:rsidR="00D6202C">
        <w:t>, Figures, and Equations</w:t>
      </w:r>
    </w:p>
    <w:p w14:paraId="50CFAFAC" w14:textId="04DD2581" w:rsidR="00B6397B" w:rsidRDefault="00C150D8">
      <w:pPr>
        <w:pStyle w:val="TableofFigures"/>
        <w:tabs>
          <w:tab w:val="right" w:leader="dot" w:pos="9350"/>
        </w:tabs>
        <w:rPr>
          <w:rFonts w:asciiTheme="minorHAnsi" w:eastAsiaTheme="minorEastAsia" w:hAnsiTheme="minorHAnsi" w:cstheme="minorBidi"/>
          <w:noProof/>
          <w:kern w:val="2"/>
          <w:sz w:val="24"/>
          <w:lang w:eastAsia="en-US"/>
          <w14:ligatures w14:val="standardContextual"/>
        </w:rPr>
      </w:pPr>
      <w:r>
        <w:fldChar w:fldCharType="begin"/>
      </w:r>
      <w:r>
        <w:instrText xml:space="preserve"> TOC \h \z \c "Table" </w:instrText>
      </w:r>
      <w:r>
        <w:fldChar w:fldCharType="separate"/>
      </w:r>
      <w:hyperlink w:anchor="_Toc227865859" w:history="1">
        <w:r w:rsidR="00B6397B" w:rsidRPr="009D6D66">
          <w:rPr>
            <w:rStyle w:val="Hyperlink"/>
            <w:noProof/>
          </w:rPr>
          <w:t>Table 1. Total Discounted Societal NEI Estimates, CY2025 Programs</w:t>
        </w:r>
        <w:r w:rsidR="00B6397B">
          <w:rPr>
            <w:noProof/>
            <w:webHidden/>
          </w:rPr>
          <w:tab/>
        </w:r>
        <w:r w:rsidR="00B6397B">
          <w:rPr>
            <w:noProof/>
            <w:webHidden/>
          </w:rPr>
          <w:fldChar w:fldCharType="begin"/>
        </w:r>
        <w:r w:rsidR="00B6397B">
          <w:rPr>
            <w:noProof/>
            <w:webHidden/>
          </w:rPr>
          <w:instrText xml:space="preserve"> PAGEREF _Toc227865859 \h </w:instrText>
        </w:r>
        <w:r w:rsidR="00B6397B">
          <w:rPr>
            <w:noProof/>
            <w:webHidden/>
          </w:rPr>
        </w:r>
        <w:r w:rsidR="00B6397B">
          <w:rPr>
            <w:noProof/>
            <w:webHidden/>
          </w:rPr>
          <w:fldChar w:fldCharType="separate"/>
        </w:r>
        <w:r w:rsidR="00B6397B">
          <w:rPr>
            <w:noProof/>
            <w:webHidden/>
          </w:rPr>
          <w:t>8</w:t>
        </w:r>
        <w:r w:rsidR="00B6397B">
          <w:rPr>
            <w:noProof/>
            <w:webHidden/>
          </w:rPr>
          <w:fldChar w:fldCharType="end"/>
        </w:r>
      </w:hyperlink>
    </w:p>
    <w:p w14:paraId="4A933FD6" w14:textId="689D87BD" w:rsidR="00B6397B" w:rsidRDefault="00B6397B">
      <w:pPr>
        <w:pStyle w:val="TableofFigures"/>
        <w:tabs>
          <w:tab w:val="right" w:leader="dot" w:pos="9350"/>
        </w:tabs>
        <w:rPr>
          <w:rFonts w:asciiTheme="minorHAnsi" w:eastAsiaTheme="minorEastAsia" w:hAnsiTheme="minorHAnsi" w:cstheme="minorBidi"/>
          <w:noProof/>
          <w:kern w:val="2"/>
          <w:sz w:val="24"/>
          <w:lang w:eastAsia="en-US"/>
          <w14:ligatures w14:val="standardContextual"/>
        </w:rPr>
      </w:pPr>
      <w:hyperlink w:anchor="_Toc227865860" w:history="1">
        <w:r w:rsidRPr="009D6D66">
          <w:rPr>
            <w:rStyle w:val="Hyperlink"/>
            <w:noProof/>
          </w:rPr>
          <w:t>Table 2. CY2025 Societal NEI Estimates by Program in 2025 Dollars</w:t>
        </w:r>
        <w:r>
          <w:rPr>
            <w:noProof/>
            <w:webHidden/>
          </w:rPr>
          <w:tab/>
        </w:r>
        <w:r>
          <w:rPr>
            <w:noProof/>
            <w:webHidden/>
          </w:rPr>
          <w:fldChar w:fldCharType="begin"/>
        </w:r>
        <w:r>
          <w:rPr>
            <w:noProof/>
            <w:webHidden/>
          </w:rPr>
          <w:instrText xml:space="preserve"> PAGEREF _Toc227865860 \h </w:instrText>
        </w:r>
        <w:r>
          <w:rPr>
            <w:noProof/>
            <w:webHidden/>
          </w:rPr>
        </w:r>
        <w:r>
          <w:rPr>
            <w:noProof/>
            <w:webHidden/>
          </w:rPr>
          <w:fldChar w:fldCharType="separate"/>
        </w:r>
        <w:r>
          <w:rPr>
            <w:noProof/>
            <w:webHidden/>
          </w:rPr>
          <w:t>9</w:t>
        </w:r>
        <w:r>
          <w:rPr>
            <w:noProof/>
            <w:webHidden/>
          </w:rPr>
          <w:fldChar w:fldCharType="end"/>
        </w:r>
      </w:hyperlink>
    </w:p>
    <w:p w14:paraId="0E04D33B" w14:textId="44213FAF" w:rsidR="00B6397B" w:rsidRDefault="00B6397B">
      <w:pPr>
        <w:pStyle w:val="TableofFigures"/>
        <w:tabs>
          <w:tab w:val="right" w:leader="dot" w:pos="9350"/>
        </w:tabs>
        <w:rPr>
          <w:rFonts w:asciiTheme="minorHAnsi" w:eastAsiaTheme="minorEastAsia" w:hAnsiTheme="minorHAnsi" w:cstheme="minorBidi"/>
          <w:noProof/>
          <w:kern w:val="2"/>
          <w:sz w:val="24"/>
          <w:lang w:eastAsia="en-US"/>
          <w14:ligatures w14:val="standardContextual"/>
        </w:rPr>
      </w:pPr>
      <w:hyperlink w:anchor="_Toc227865861" w:history="1">
        <w:r w:rsidRPr="009D6D66">
          <w:rPr>
            <w:rStyle w:val="Hyperlink"/>
            <w:noProof/>
          </w:rPr>
          <w:t>Table 3. CY2025 Annual Portfolio-Level Societal NEI Estimates in 2025 Dollars</w:t>
        </w:r>
        <w:r>
          <w:rPr>
            <w:noProof/>
            <w:webHidden/>
          </w:rPr>
          <w:tab/>
        </w:r>
        <w:r>
          <w:rPr>
            <w:noProof/>
            <w:webHidden/>
          </w:rPr>
          <w:fldChar w:fldCharType="begin"/>
        </w:r>
        <w:r>
          <w:rPr>
            <w:noProof/>
            <w:webHidden/>
          </w:rPr>
          <w:instrText xml:space="preserve"> PAGEREF _Toc227865861 \h </w:instrText>
        </w:r>
        <w:r>
          <w:rPr>
            <w:noProof/>
            <w:webHidden/>
          </w:rPr>
        </w:r>
        <w:r>
          <w:rPr>
            <w:noProof/>
            <w:webHidden/>
          </w:rPr>
          <w:fldChar w:fldCharType="separate"/>
        </w:r>
        <w:r>
          <w:rPr>
            <w:noProof/>
            <w:webHidden/>
          </w:rPr>
          <w:t>10</w:t>
        </w:r>
        <w:r>
          <w:rPr>
            <w:noProof/>
            <w:webHidden/>
          </w:rPr>
          <w:fldChar w:fldCharType="end"/>
        </w:r>
      </w:hyperlink>
    </w:p>
    <w:p w14:paraId="6A2833C8" w14:textId="4D512E1D" w:rsidR="00B6397B" w:rsidRDefault="00B6397B">
      <w:pPr>
        <w:pStyle w:val="TableofFigures"/>
        <w:tabs>
          <w:tab w:val="right" w:leader="dot" w:pos="9350"/>
        </w:tabs>
        <w:rPr>
          <w:rFonts w:asciiTheme="minorHAnsi" w:eastAsiaTheme="minorEastAsia" w:hAnsiTheme="minorHAnsi" w:cstheme="minorBidi"/>
          <w:noProof/>
          <w:kern w:val="2"/>
          <w:sz w:val="24"/>
          <w:lang w:eastAsia="en-US"/>
          <w14:ligatures w14:val="standardContextual"/>
        </w:rPr>
      </w:pPr>
      <w:hyperlink w:anchor="_Toc227865862" w:history="1">
        <w:r w:rsidRPr="009D6D66">
          <w:rPr>
            <w:rStyle w:val="Hyperlink"/>
            <w:noProof/>
          </w:rPr>
          <w:t>Table 4. CY2025 Annual Portfolio-Level Carbon Reduction Estimates</w:t>
        </w:r>
        <w:r>
          <w:rPr>
            <w:noProof/>
            <w:webHidden/>
          </w:rPr>
          <w:tab/>
        </w:r>
        <w:r>
          <w:rPr>
            <w:noProof/>
            <w:webHidden/>
          </w:rPr>
          <w:fldChar w:fldCharType="begin"/>
        </w:r>
        <w:r>
          <w:rPr>
            <w:noProof/>
            <w:webHidden/>
          </w:rPr>
          <w:instrText xml:space="preserve"> PAGEREF _Toc227865862 \h </w:instrText>
        </w:r>
        <w:r>
          <w:rPr>
            <w:noProof/>
            <w:webHidden/>
          </w:rPr>
        </w:r>
        <w:r>
          <w:rPr>
            <w:noProof/>
            <w:webHidden/>
          </w:rPr>
          <w:fldChar w:fldCharType="separate"/>
        </w:r>
        <w:r>
          <w:rPr>
            <w:noProof/>
            <w:webHidden/>
          </w:rPr>
          <w:t>11</w:t>
        </w:r>
        <w:r>
          <w:rPr>
            <w:noProof/>
            <w:webHidden/>
          </w:rPr>
          <w:fldChar w:fldCharType="end"/>
        </w:r>
      </w:hyperlink>
    </w:p>
    <w:p w14:paraId="3F2E6910" w14:textId="23576616" w:rsidR="00B6397B" w:rsidRDefault="00C150D8">
      <w:pPr>
        <w:rPr>
          <w:noProof/>
        </w:rPr>
      </w:pPr>
      <w:r>
        <w:fldChar w:fldCharType="end"/>
      </w:r>
      <w:r w:rsidR="00D6202C">
        <w:fldChar w:fldCharType="begin"/>
      </w:r>
      <w:r w:rsidR="00D6202C">
        <w:instrText xml:space="preserve"> TOC \h \z \c "Figure" </w:instrText>
      </w:r>
      <w:r w:rsidR="00D6202C">
        <w:fldChar w:fldCharType="separate"/>
      </w:r>
    </w:p>
    <w:p w14:paraId="72817129" w14:textId="7A35617B" w:rsidR="00B6397B" w:rsidRDefault="00B6397B">
      <w:pPr>
        <w:pStyle w:val="TableofFigures"/>
        <w:tabs>
          <w:tab w:val="right" w:leader="dot" w:pos="9350"/>
        </w:tabs>
        <w:rPr>
          <w:rFonts w:asciiTheme="minorHAnsi" w:eastAsiaTheme="minorEastAsia" w:hAnsiTheme="minorHAnsi" w:cstheme="minorBidi"/>
          <w:noProof/>
          <w:kern w:val="2"/>
          <w:sz w:val="24"/>
          <w:lang w:eastAsia="en-US"/>
          <w14:ligatures w14:val="standardContextual"/>
        </w:rPr>
      </w:pPr>
      <w:hyperlink w:anchor="_Toc227865851" w:history="1">
        <w:r w:rsidRPr="00502127">
          <w:rPr>
            <w:rStyle w:val="Hyperlink"/>
            <w:noProof/>
          </w:rPr>
          <w:t>Figure 1. Least – Cost Merit Order Dispatch</w:t>
        </w:r>
        <w:r>
          <w:rPr>
            <w:noProof/>
            <w:webHidden/>
          </w:rPr>
          <w:tab/>
        </w:r>
        <w:r>
          <w:rPr>
            <w:noProof/>
            <w:webHidden/>
          </w:rPr>
          <w:fldChar w:fldCharType="begin"/>
        </w:r>
        <w:r>
          <w:rPr>
            <w:noProof/>
            <w:webHidden/>
          </w:rPr>
          <w:instrText xml:space="preserve"> PAGEREF _Toc227865851 \h </w:instrText>
        </w:r>
        <w:r>
          <w:rPr>
            <w:noProof/>
            <w:webHidden/>
          </w:rPr>
        </w:r>
        <w:r>
          <w:rPr>
            <w:noProof/>
            <w:webHidden/>
          </w:rPr>
          <w:fldChar w:fldCharType="separate"/>
        </w:r>
        <w:r>
          <w:rPr>
            <w:noProof/>
            <w:webHidden/>
          </w:rPr>
          <w:t>2</w:t>
        </w:r>
        <w:r>
          <w:rPr>
            <w:noProof/>
            <w:webHidden/>
          </w:rPr>
          <w:fldChar w:fldCharType="end"/>
        </w:r>
      </w:hyperlink>
    </w:p>
    <w:p w14:paraId="6ADF36BD" w14:textId="59910AF0" w:rsidR="00B6397B" w:rsidRDefault="00B6397B">
      <w:pPr>
        <w:pStyle w:val="TableofFigures"/>
        <w:tabs>
          <w:tab w:val="right" w:leader="dot" w:pos="9350"/>
        </w:tabs>
        <w:rPr>
          <w:rFonts w:asciiTheme="minorHAnsi" w:eastAsiaTheme="minorEastAsia" w:hAnsiTheme="minorHAnsi" w:cstheme="minorBidi"/>
          <w:noProof/>
          <w:kern w:val="2"/>
          <w:sz w:val="24"/>
          <w:lang w:eastAsia="en-US"/>
          <w14:ligatures w14:val="standardContextual"/>
        </w:rPr>
      </w:pPr>
      <w:hyperlink w:anchor="_Toc227865852" w:history="1">
        <w:r w:rsidRPr="00502127">
          <w:rPr>
            <w:rStyle w:val="Hyperlink"/>
            <w:noProof/>
          </w:rPr>
          <w:t>Figure 2. Flowchart of Annual Estimation of CY2025 Health Benefits</w:t>
        </w:r>
        <w:r>
          <w:rPr>
            <w:noProof/>
            <w:webHidden/>
          </w:rPr>
          <w:tab/>
        </w:r>
        <w:r>
          <w:rPr>
            <w:noProof/>
            <w:webHidden/>
          </w:rPr>
          <w:fldChar w:fldCharType="begin"/>
        </w:r>
        <w:r>
          <w:rPr>
            <w:noProof/>
            <w:webHidden/>
          </w:rPr>
          <w:instrText xml:space="preserve"> PAGEREF _Toc227865852 \h </w:instrText>
        </w:r>
        <w:r>
          <w:rPr>
            <w:noProof/>
            <w:webHidden/>
          </w:rPr>
        </w:r>
        <w:r>
          <w:rPr>
            <w:noProof/>
            <w:webHidden/>
          </w:rPr>
          <w:fldChar w:fldCharType="separate"/>
        </w:r>
        <w:r>
          <w:rPr>
            <w:noProof/>
            <w:webHidden/>
          </w:rPr>
          <w:t>5</w:t>
        </w:r>
        <w:r>
          <w:rPr>
            <w:noProof/>
            <w:webHidden/>
          </w:rPr>
          <w:fldChar w:fldCharType="end"/>
        </w:r>
      </w:hyperlink>
    </w:p>
    <w:p w14:paraId="1043F2D0" w14:textId="195496BC" w:rsidR="00B6397B" w:rsidRDefault="00B6397B">
      <w:pPr>
        <w:pStyle w:val="TableofFigures"/>
        <w:tabs>
          <w:tab w:val="right" w:leader="dot" w:pos="9350"/>
        </w:tabs>
        <w:rPr>
          <w:rFonts w:asciiTheme="minorHAnsi" w:eastAsiaTheme="minorEastAsia" w:hAnsiTheme="minorHAnsi" w:cstheme="minorBidi"/>
          <w:noProof/>
          <w:kern w:val="2"/>
          <w:sz w:val="24"/>
          <w:lang w:eastAsia="en-US"/>
          <w14:ligatures w14:val="standardContextual"/>
        </w:rPr>
      </w:pPr>
      <w:hyperlink w:anchor="_Toc227865853" w:history="1">
        <w:r w:rsidRPr="00502127">
          <w:rPr>
            <w:rStyle w:val="Hyperlink"/>
            <w:noProof/>
          </w:rPr>
          <w:t>Figure 3. ComEd CY2025 Electric CPAS Estimates: 2025-2064</w:t>
        </w:r>
        <w:r>
          <w:rPr>
            <w:noProof/>
            <w:webHidden/>
          </w:rPr>
          <w:tab/>
        </w:r>
        <w:r>
          <w:rPr>
            <w:noProof/>
            <w:webHidden/>
          </w:rPr>
          <w:fldChar w:fldCharType="begin"/>
        </w:r>
        <w:r>
          <w:rPr>
            <w:noProof/>
            <w:webHidden/>
          </w:rPr>
          <w:instrText xml:space="preserve"> PAGEREF _Toc227865853 \h </w:instrText>
        </w:r>
        <w:r>
          <w:rPr>
            <w:noProof/>
            <w:webHidden/>
          </w:rPr>
        </w:r>
        <w:r>
          <w:rPr>
            <w:noProof/>
            <w:webHidden/>
          </w:rPr>
          <w:fldChar w:fldCharType="separate"/>
        </w:r>
        <w:r>
          <w:rPr>
            <w:noProof/>
            <w:webHidden/>
          </w:rPr>
          <w:t>8</w:t>
        </w:r>
        <w:r>
          <w:rPr>
            <w:noProof/>
            <w:webHidden/>
          </w:rPr>
          <w:fldChar w:fldCharType="end"/>
        </w:r>
      </w:hyperlink>
    </w:p>
    <w:p w14:paraId="19C6DCAC" w14:textId="4A060972" w:rsidR="00B6397B" w:rsidRDefault="00B6397B">
      <w:pPr>
        <w:pStyle w:val="TableofFigures"/>
        <w:tabs>
          <w:tab w:val="right" w:leader="dot" w:pos="9350"/>
        </w:tabs>
        <w:rPr>
          <w:rFonts w:asciiTheme="minorHAnsi" w:eastAsiaTheme="minorEastAsia" w:hAnsiTheme="minorHAnsi" w:cstheme="minorBidi"/>
          <w:noProof/>
          <w:kern w:val="2"/>
          <w:sz w:val="24"/>
          <w:lang w:eastAsia="en-US"/>
          <w14:ligatures w14:val="standardContextual"/>
        </w:rPr>
      </w:pPr>
      <w:hyperlink w:anchor="_Toc227865854" w:history="1">
        <w:r w:rsidRPr="00502127">
          <w:rPr>
            <w:rStyle w:val="Hyperlink"/>
            <w:noProof/>
          </w:rPr>
          <w:t>Figure 4. ComEd CY2025 Societal NEI Estimates: 2025-2064</w:t>
        </w:r>
        <w:r>
          <w:rPr>
            <w:noProof/>
            <w:webHidden/>
          </w:rPr>
          <w:tab/>
        </w:r>
        <w:r>
          <w:rPr>
            <w:noProof/>
            <w:webHidden/>
          </w:rPr>
          <w:fldChar w:fldCharType="begin"/>
        </w:r>
        <w:r>
          <w:rPr>
            <w:noProof/>
            <w:webHidden/>
          </w:rPr>
          <w:instrText xml:space="preserve"> PAGEREF _Toc227865854 \h </w:instrText>
        </w:r>
        <w:r>
          <w:rPr>
            <w:noProof/>
            <w:webHidden/>
          </w:rPr>
        </w:r>
        <w:r>
          <w:rPr>
            <w:noProof/>
            <w:webHidden/>
          </w:rPr>
          <w:fldChar w:fldCharType="separate"/>
        </w:r>
        <w:r>
          <w:rPr>
            <w:noProof/>
            <w:webHidden/>
          </w:rPr>
          <w:t>8</w:t>
        </w:r>
        <w:r>
          <w:rPr>
            <w:noProof/>
            <w:webHidden/>
          </w:rPr>
          <w:fldChar w:fldCharType="end"/>
        </w:r>
      </w:hyperlink>
    </w:p>
    <w:p w14:paraId="649BF21B" w14:textId="4C27906C" w:rsidR="008F23F2" w:rsidRPr="000E7807" w:rsidRDefault="00D6202C" w:rsidP="00055C65">
      <w:pPr>
        <w:pStyle w:val="TableofFigures"/>
        <w:tabs>
          <w:tab w:val="right" w:leader="dot" w:pos="9350"/>
        </w:tabs>
        <w:rPr>
          <w:noProof/>
          <w:kern w:val="2"/>
          <w:sz w:val="24"/>
          <w:lang w:eastAsia="en-US"/>
        </w:rPr>
      </w:pPr>
      <w:r>
        <w:fldChar w:fldCharType="end"/>
      </w:r>
      <w:r w:rsidR="00B642BC">
        <w:fldChar w:fldCharType="begin"/>
      </w:r>
      <w:r w:rsidR="00B642BC">
        <w:instrText xml:space="preserve"> TOC \h \z \c "Equation" </w:instrText>
      </w:r>
      <w:r w:rsidR="00B642BC">
        <w:fldChar w:fldCharType="separate"/>
      </w:r>
    </w:p>
    <w:p w14:paraId="4DA3F1BD" w14:textId="77777777" w:rsidR="00035A6D" w:rsidRDefault="00B642BC">
      <w:pPr>
        <w:sectPr w:rsidR="00035A6D" w:rsidSect="00FB30FD">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r>
        <w:fldChar w:fldCharType="end"/>
      </w:r>
    </w:p>
    <w:p w14:paraId="0B3B681E" w14:textId="737B5F49" w:rsidR="005959A0" w:rsidRDefault="00155AC0" w:rsidP="005959A0">
      <w:pPr>
        <w:pStyle w:val="Heading1"/>
      </w:pPr>
      <w:bookmarkStart w:id="0" w:name="_Toc227865871"/>
      <w:r>
        <w:lastRenderedPageBreak/>
        <w:t>Introduction</w:t>
      </w:r>
      <w:bookmarkEnd w:id="0"/>
    </w:p>
    <w:p w14:paraId="56E302BA" w14:textId="3EAE5A13" w:rsidR="008B27BC" w:rsidRDefault="008B27BC" w:rsidP="008B27BC">
      <w:r>
        <w:t xml:space="preserve">Guidehouse conducted research to quantify and monetize societal Non-Energy Impacts (NEIs) associated with ComEd's CY2025 energy efficiency programs. This report presents research conducted by the Guidehouse team to develop monetized societal NEI values for use in </w:t>
      </w:r>
      <w:r w:rsidR="003C3A0F">
        <w:t xml:space="preserve">the </w:t>
      </w:r>
      <w:r>
        <w:t xml:space="preserve">ComEd </w:t>
      </w:r>
      <w:r w:rsidR="000A5E29">
        <w:t xml:space="preserve">portfolio </w:t>
      </w:r>
      <w:r>
        <w:t xml:space="preserve">cost-effectiveness tests. Since CY2020, ComEd has reported the total resource cost (TRC) test values with and without societal NEIs. </w:t>
      </w:r>
    </w:p>
    <w:p w14:paraId="5DEC7D73" w14:textId="25768D9B" w:rsidR="008B27BC" w:rsidRDefault="008B27BC" w:rsidP="008B27BC">
      <w:r>
        <w:t>Societal NEIs occur when energy efficiency programs reduce electricity generated from fossil fuels which reduces emissions, including PM</w:t>
      </w:r>
      <w:r w:rsidRPr="002939A0">
        <w:rPr>
          <w:vertAlign w:val="subscript"/>
        </w:rPr>
        <w:t>2.5</w:t>
      </w:r>
      <w:r>
        <w:t>, SO</w:t>
      </w:r>
      <w:r w:rsidRPr="002939A0">
        <w:rPr>
          <w:vertAlign w:val="subscript"/>
        </w:rPr>
        <w:t>2</w:t>
      </w:r>
      <w:r>
        <w:t>, NO</w:t>
      </w:r>
      <w:r w:rsidRPr="002939A0">
        <w:rPr>
          <w:vertAlign w:val="subscript"/>
        </w:rPr>
        <w:t>x</w:t>
      </w:r>
      <w:r>
        <w:t>, VOCs, NH</w:t>
      </w:r>
      <w:r w:rsidRPr="002939A0">
        <w:rPr>
          <w:vertAlign w:val="subscript"/>
        </w:rPr>
        <w:t>3</w:t>
      </w:r>
      <w:r>
        <w:t>, and CO</w:t>
      </w:r>
      <w:r w:rsidRPr="002939A0">
        <w:rPr>
          <w:vertAlign w:val="subscript"/>
        </w:rPr>
        <w:t>2</w:t>
      </w:r>
      <w:r>
        <w:t xml:space="preserve">. This reduction in emissions causes reduced adverse health impacts, which are monetizable. We used U.S. Environmental Protection Agency’s (EPA) </w:t>
      </w:r>
      <w:proofErr w:type="spellStart"/>
      <w:r>
        <w:t>AVoided</w:t>
      </w:r>
      <w:proofErr w:type="spellEnd"/>
      <w:r>
        <w:t xml:space="preserve"> Emissions and geneRation Tool (AVERT)</w:t>
      </w:r>
      <w:r w:rsidRPr="008B27BC">
        <w:rPr>
          <w:rStyle w:val="FootnoteReference"/>
        </w:rPr>
        <w:t xml:space="preserve"> </w:t>
      </w:r>
      <w:r>
        <w:rPr>
          <w:rStyle w:val="FootnoteReference"/>
        </w:rPr>
        <w:footnoteReference w:id="2"/>
      </w:r>
      <w:r>
        <w:t xml:space="preserve"> and CO–Benefits Risk Assessment (COBRA)</w:t>
      </w:r>
      <w:r w:rsidRPr="008B27BC">
        <w:rPr>
          <w:rStyle w:val="FootnoteReference"/>
        </w:rPr>
        <w:t xml:space="preserve"> </w:t>
      </w:r>
      <w:r>
        <w:rPr>
          <w:rStyle w:val="FootnoteReference"/>
        </w:rPr>
        <w:footnoteReference w:id="3"/>
      </w:r>
      <w:r>
        <w:t xml:space="preserve"> Health Impacts Screening and Mapping Tool to quantify and monetize these health impacts. At a high level, Societal NEIs associated with a ComEd energy efficiency program are represented by the total monetary value of illnesses and deaths avoided</w:t>
      </w:r>
      <w:r>
        <w:rPr>
          <w:rStyle w:val="FootnoteReference"/>
        </w:rPr>
        <w:footnoteReference w:id="4"/>
      </w:r>
      <w:r>
        <w:t xml:space="preserve"> due to program-induced reduced emissions over </w:t>
      </w:r>
      <w:r w:rsidR="0017179F">
        <w:t>4</w:t>
      </w:r>
      <w:r>
        <w:t xml:space="preserve">0 years, discounted to the year of implementation. </w:t>
      </w:r>
    </w:p>
    <w:p w14:paraId="3DC453E2" w14:textId="50C8551E" w:rsidR="008B27BC" w:rsidRPr="008B27BC" w:rsidRDefault="002A2842" w:rsidP="008B27BC">
      <w:r>
        <w:t>Guidehouse relies on</w:t>
      </w:r>
      <w:r w:rsidR="001675BF">
        <w:t xml:space="preserve"> guidelines</w:t>
      </w:r>
      <w:r w:rsidR="006E079F">
        <w:t xml:space="preserve"> from the</w:t>
      </w:r>
      <w:r w:rsidR="008B27BC">
        <w:t xml:space="preserve"> Climate and Equitable Jobs Act (CEJA)</w:t>
      </w:r>
      <w:r w:rsidR="002B58D2">
        <w:t xml:space="preserve">, </w:t>
      </w:r>
      <w:r w:rsidR="00677722">
        <w:t xml:space="preserve">the </w:t>
      </w:r>
      <w:r w:rsidR="008F36DF">
        <w:t xml:space="preserve">Illinois </w:t>
      </w:r>
      <w:r w:rsidR="00C92049" w:rsidRPr="005520C7">
        <w:rPr>
          <w:rFonts w:ascii="Aptos" w:hAnsi="Aptos"/>
        </w:rPr>
        <w:t>Policy Manual 3.0</w:t>
      </w:r>
      <w:r w:rsidR="00C92049" w:rsidRPr="005520C7">
        <w:rPr>
          <w:rStyle w:val="FootnoteReference"/>
          <w:rFonts w:ascii="Aptos" w:hAnsi="Aptos"/>
        </w:rPr>
        <w:footnoteReference w:id="5"/>
      </w:r>
      <w:r w:rsidR="002B58D2">
        <w:t>, and the</w:t>
      </w:r>
      <w:r w:rsidR="00757944" w:rsidRPr="00757944">
        <w:t xml:space="preserve"> Illinois</w:t>
      </w:r>
      <w:r w:rsidR="00D66FE0" w:rsidRPr="005520C7">
        <w:rPr>
          <w:rFonts w:ascii="Aptos" w:hAnsi="Aptos"/>
        </w:rPr>
        <w:t xml:space="preserve"> Technical Reference Manual 1</w:t>
      </w:r>
      <w:r w:rsidR="00D66FE0">
        <w:rPr>
          <w:rFonts w:ascii="Aptos" w:hAnsi="Aptos"/>
        </w:rPr>
        <w:t>3</w:t>
      </w:r>
      <w:r w:rsidR="00D66FE0" w:rsidRPr="005520C7">
        <w:rPr>
          <w:rFonts w:ascii="Aptos" w:hAnsi="Aptos"/>
        </w:rPr>
        <w:t>.0 (IL TRM v1</w:t>
      </w:r>
      <w:r w:rsidR="00D66FE0">
        <w:rPr>
          <w:rFonts w:ascii="Aptos" w:hAnsi="Aptos"/>
        </w:rPr>
        <w:t>3</w:t>
      </w:r>
      <w:r w:rsidR="00D66FE0" w:rsidRPr="005520C7">
        <w:rPr>
          <w:rFonts w:ascii="Aptos" w:hAnsi="Aptos"/>
        </w:rPr>
        <w:t>.0)</w:t>
      </w:r>
      <w:r w:rsidR="00D66FE0">
        <w:rPr>
          <w:rStyle w:val="FootnoteReference"/>
          <w:rFonts w:ascii="Aptos" w:hAnsi="Aptos"/>
        </w:rPr>
        <w:footnoteReference w:id="6"/>
      </w:r>
      <w:r w:rsidR="00D66FE0" w:rsidRPr="005520C7">
        <w:rPr>
          <w:rFonts w:ascii="Aptos" w:hAnsi="Aptos"/>
        </w:rPr>
        <w:t xml:space="preserve"> </w:t>
      </w:r>
      <w:r w:rsidR="0009567F">
        <w:t xml:space="preserve"> to </w:t>
      </w:r>
      <w:r w:rsidR="00B40059">
        <w:t>quantify</w:t>
      </w:r>
      <w:r w:rsidR="0009567F">
        <w:t xml:space="preserve"> and </w:t>
      </w:r>
      <w:r w:rsidR="00757944" w:rsidRPr="00757944">
        <w:t>monetize values for societal NEIs</w:t>
      </w:r>
      <w:r w:rsidR="00EC42AE">
        <w:t xml:space="preserve"> and for </w:t>
      </w:r>
      <w:r w:rsidR="008B27BC">
        <w:t xml:space="preserve">use in ComEd’s programmatic cost-effectiveness tests. </w:t>
      </w:r>
    </w:p>
    <w:p w14:paraId="7AAA20D1" w14:textId="065B50C9" w:rsidR="008B27BC" w:rsidRDefault="00D6623A" w:rsidP="008B27BC">
      <w:r>
        <w:t>CEJA</w:t>
      </w:r>
      <w:r w:rsidR="008B27BC">
        <w:t xml:space="preserve"> direct</w:t>
      </w:r>
      <w:r w:rsidR="00706343">
        <w:t>s</w:t>
      </w:r>
      <w:r w:rsidR="008B27BC">
        <w:t xml:space="preserve"> Illinois utilities to continue including the Societal NEIs in TRC tests and to report economic NEIs</w:t>
      </w:r>
      <w:r w:rsidR="00A55BFF">
        <w:t xml:space="preserve"> as follows</w:t>
      </w:r>
      <w:r w:rsidR="008B27BC">
        <w:t xml:space="preserve">: </w:t>
      </w:r>
    </w:p>
    <w:p w14:paraId="6BB9E40A" w14:textId="23F7D3F3" w:rsidR="008B27BC" w:rsidRDefault="008B27BC" w:rsidP="008B27BC">
      <w:pPr>
        <w:ind w:left="720"/>
      </w:pPr>
      <w:r>
        <w:t>“</w:t>
      </w:r>
      <w:r w:rsidRPr="00B82959">
        <w:rPr>
          <w:i/>
          <w:iCs/>
        </w:rPr>
        <w:t>The plan shall be determined to be cost-beneficial…[including]</w:t>
      </w:r>
      <w:r w:rsidRPr="00B82959">
        <w:rPr>
          <w:rFonts w:ascii="Arial" w:hAnsi="Arial" w:cs="Arial"/>
          <w:i/>
          <w:iCs/>
        </w:rPr>
        <w:t> </w:t>
      </w:r>
      <w:r w:rsidRPr="00B82959">
        <w:rPr>
          <w:i/>
          <w:iCs/>
        </w:rPr>
        <w:t>the societal value of reduced carbon emissions and surface-level pollutants, particularly in environmental justice communities</w:t>
      </w:r>
      <w:r w:rsidRPr="00B82959">
        <w:rPr>
          <w:rFonts w:cs="Aptos Narrow"/>
          <w:i/>
          <w:iCs/>
        </w:rPr>
        <w:t>…</w:t>
      </w:r>
      <w:r w:rsidRPr="00B82959">
        <w:rPr>
          <w:i/>
          <w:iCs/>
        </w:rPr>
        <w:t>. The independent evaluator shall determine</w:t>
      </w:r>
      <w:r w:rsidRPr="00B82959">
        <w:rPr>
          <w:rFonts w:cs="Aptos Narrow"/>
          <w:i/>
          <w:iCs/>
        </w:rPr>
        <w:t>…</w:t>
      </w:r>
      <w:r w:rsidRPr="00B82959">
        <w:rPr>
          <w:i/>
          <w:iCs/>
        </w:rPr>
        <w:t>an estimate of job impacts and other macroeconomic impacts of the efficiency programs for that</w:t>
      </w:r>
      <w:r w:rsidRPr="00B82959">
        <w:rPr>
          <w:rFonts w:ascii="Arial" w:hAnsi="Arial" w:cs="Arial"/>
          <w:i/>
          <w:iCs/>
        </w:rPr>
        <w:t> </w:t>
      </w:r>
      <w:r w:rsidRPr="00B82959">
        <w:rPr>
          <w:i/>
          <w:iCs/>
        </w:rPr>
        <w:t>[plan]</w:t>
      </w:r>
      <w:r w:rsidRPr="00B82959">
        <w:rPr>
          <w:rFonts w:ascii="Arial" w:hAnsi="Arial" w:cs="Arial"/>
          <w:i/>
          <w:iCs/>
        </w:rPr>
        <w:t> </w:t>
      </w:r>
      <w:r w:rsidRPr="00B82959">
        <w:rPr>
          <w:i/>
          <w:iCs/>
        </w:rPr>
        <w:t>year</w:t>
      </w:r>
      <w:r>
        <w:t>.</w:t>
      </w:r>
      <w:r>
        <w:rPr>
          <w:rFonts w:cs="Aptos Narrow"/>
        </w:rPr>
        <w:t>”</w:t>
      </w:r>
      <w:r w:rsidRPr="008B27BC">
        <w:rPr>
          <w:rStyle w:val="FootnoteReference"/>
        </w:rPr>
        <w:t xml:space="preserve"> </w:t>
      </w:r>
      <w:r>
        <w:rPr>
          <w:rStyle w:val="FootnoteReference"/>
        </w:rPr>
        <w:footnoteReference w:id="7"/>
      </w:r>
      <w:r>
        <w:t xml:space="preserve">    </w:t>
      </w:r>
    </w:p>
    <w:p w14:paraId="27074DC1" w14:textId="15A32170" w:rsidR="00155AC0" w:rsidRDefault="00155AC0" w:rsidP="00155AC0">
      <w:pPr>
        <w:pStyle w:val="Heading1"/>
      </w:pPr>
      <w:bookmarkStart w:id="1" w:name="_Toc227865872"/>
      <w:r>
        <w:lastRenderedPageBreak/>
        <w:t>Energy Efficiency Impacts on Emissions and Human Health</w:t>
      </w:r>
      <w:bookmarkEnd w:id="1"/>
    </w:p>
    <w:p w14:paraId="593EBE3C" w14:textId="77777777" w:rsidR="00B82959" w:rsidRDefault="00B82959" w:rsidP="00B82959">
      <w:r>
        <w:t xml:space="preserve">Energy efficiency programs reduce demand for electricity generated by fossil fuels by implementing energy efficiency measures. The corresponding emissions reductions are from the electric generation facilities operating at the margin (i.e., not providing baseload) that have the most flexibility to add generation to the grid quickly. The reduction in air emissions causes a reduction in adverse human health outcomes and deaths. Our research focuses on calculating the emissions from the marginal generators and then estimating the health benefits from those emissions. As we describe below, Guidehouse used tools that the EPA develops and maintains to estimate the health benefits of reductions in exposure to emissions. The first tool estimates energy efficiency impacts on demand at the operating margin to quantify displaced emissions that can be attributed to demand savings. Displaced emissions are then used </w:t>
      </w:r>
      <w:proofErr w:type="gramStart"/>
      <w:r>
        <w:t>in</w:t>
      </w:r>
      <w:proofErr w:type="gramEnd"/>
      <w:r>
        <w:t xml:space="preserve"> a second tool informed by population health, epidemiology, and economics research to quantify the economic benefits of reduced adverse health outcomes.  </w:t>
      </w:r>
    </w:p>
    <w:p w14:paraId="31B85779" w14:textId="2EB7C6FC" w:rsidR="00B82959" w:rsidRDefault="005E36EC" w:rsidP="00B82959">
      <w:r>
        <w:t>The s</w:t>
      </w:r>
      <w:r w:rsidR="00B82959">
        <w:t xml:space="preserve">pecific electric generating units impacted by these demand reductions depend on the load shape of the impacted customers, the hour of day, and time of year, among other factors. As </w:t>
      </w:r>
      <w:r w:rsidR="006A28C0">
        <w:fldChar w:fldCharType="begin"/>
      </w:r>
      <w:r w:rsidR="006A28C0">
        <w:instrText xml:space="preserve"> REF _Ref227751184 \h </w:instrText>
      </w:r>
      <w:r w:rsidR="006A28C0">
        <w:fldChar w:fldCharType="separate"/>
      </w:r>
      <w:r w:rsidR="006A28C0">
        <w:t xml:space="preserve">Figure </w:t>
      </w:r>
      <w:r w:rsidR="006A28C0">
        <w:rPr>
          <w:noProof/>
        </w:rPr>
        <w:t>1</w:t>
      </w:r>
      <w:r w:rsidR="006A28C0">
        <w:fldChar w:fldCharType="end"/>
      </w:r>
      <w:r w:rsidR="006A28C0">
        <w:t xml:space="preserve"> </w:t>
      </w:r>
      <w:r w:rsidR="00B82959">
        <w:t xml:space="preserve">shows below, electric generating units are dispatched in </w:t>
      </w:r>
      <w:proofErr w:type="gramStart"/>
      <w:r w:rsidR="00B82959">
        <w:t>the order</w:t>
      </w:r>
      <w:proofErr w:type="gramEnd"/>
      <w:r w:rsidR="00B82959">
        <w:t xml:space="preserve"> of their operating costs. Least-cost electric generating units tend to operate for the greatest portion of the year, and higher-cost electric generating units are reserved for periods of greater demand. Higher-cost, marginal generation units are often fueled by oil, coal, and natural gas combustion.</w:t>
      </w:r>
    </w:p>
    <w:p w14:paraId="20BA3B7F" w14:textId="48E5DB3D" w:rsidR="00B82959" w:rsidRDefault="00B82959" w:rsidP="00B82959">
      <w:pPr>
        <w:pStyle w:val="Caption"/>
      </w:pPr>
      <w:bookmarkStart w:id="2" w:name="_Ref227751184"/>
      <w:bookmarkStart w:id="3" w:name="_Toc227865851"/>
      <w:r>
        <w:lastRenderedPageBreak/>
        <w:t xml:space="preserve">Figure </w:t>
      </w:r>
      <w:fldSimple w:instr=" SEQ Figure \* ARABIC ">
        <w:r>
          <w:rPr>
            <w:noProof/>
          </w:rPr>
          <w:t>1</w:t>
        </w:r>
      </w:fldSimple>
      <w:bookmarkEnd w:id="2"/>
      <w:r>
        <w:t>. Least – Cost Merit Order Dispatch</w:t>
      </w:r>
      <w:bookmarkEnd w:id="3"/>
    </w:p>
    <w:p w14:paraId="68B814CE" w14:textId="6DAA1E45" w:rsidR="00B82959" w:rsidRDefault="006A28C0" w:rsidP="00450619">
      <w:pPr>
        <w:keepNext/>
        <w:spacing w:after="0" w:line="240" w:lineRule="auto"/>
        <w:contextualSpacing/>
        <w:jc w:val="center"/>
        <w:rPr>
          <w:rFonts w:ascii="Aptos" w:hAnsi="Aptos"/>
          <w:noProof/>
        </w:rPr>
      </w:pPr>
      <w:r w:rsidRPr="00B82959">
        <w:rPr>
          <w:rFonts w:ascii="Aptos" w:hAnsi="Aptos"/>
          <w:noProof/>
        </w:rPr>
        <w:drawing>
          <wp:inline distT="0" distB="0" distL="0" distR="0" wp14:anchorId="764CD0A2" wp14:editId="7D1D71F7">
            <wp:extent cx="4827905" cy="2853055"/>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7905" cy="2853055"/>
                    </a:xfrm>
                    <a:prstGeom prst="rect">
                      <a:avLst/>
                    </a:prstGeom>
                    <a:noFill/>
                    <a:ln>
                      <a:noFill/>
                    </a:ln>
                  </pic:spPr>
                </pic:pic>
              </a:graphicData>
            </a:graphic>
          </wp:inline>
        </w:drawing>
      </w:r>
    </w:p>
    <w:p w14:paraId="0A7E63D2" w14:textId="7A17E20C" w:rsidR="00B82959" w:rsidRPr="007C4787" w:rsidRDefault="00B82959" w:rsidP="007A7232">
      <w:pPr>
        <w:pStyle w:val="TableFigureSoureorNote"/>
        <w:ind w:left="720" w:firstLine="720"/>
        <w:rPr>
          <w:i w:val="0"/>
          <w:iCs/>
          <w:noProof/>
          <w:szCs w:val="20"/>
        </w:rPr>
      </w:pPr>
      <w:r w:rsidRPr="007C4787">
        <w:t>Figure Source: Synapse Energy Economics, 2015</w:t>
      </w:r>
      <w:r w:rsidRPr="007C4787">
        <w:rPr>
          <w:rStyle w:val="FootnoteReference"/>
          <w:i w:val="0"/>
          <w:iCs/>
        </w:rPr>
        <w:footnoteReference w:id="8"/>
      </w:r>
    </w:p>
    <w:p w14:paraId="2F3408AF" w14:textId="2B4EC8FC" w:rsidR="00B82959" w:rsidRDefault="00B82959" w:rsidP="00B82959">
      <w:r>
        <w:t xml:space="preserve">Energy efficiency programs reduce demand at the operating margin, therefore demand reductions attributed to energy efficiency programs displace electric generation </w:t>
      </w:r>
      <w:r w:rsidR="00DA7CB5">
        <w:t xml:space="preserve">from </w:t>
      </w:r>
      <w:r>
        <w:t>higher-cost marginal generation sources. In the PJM territory, marginal sources supply energy via combustion of natural gas (69.4% of marginal sources) and coal (24.4%).</w:t>
      </w:r>
      <w:r w:rsidR="007C4787">
        <w:rPr>
          <w:rStyle w:val="FootnoteReference"/>
        </w:rPr>
        <w:footnoteReference w:id="9"/>
      </w:r>
      <w:r>
        <w:t xml:space="preserve"> Therefore, electric demand reductions due to ComEd energy efficiency programs can be linked to reductions in generation among natural gas, and coal-fired electric generating units. </w:t>
      </w:r>
    </w:p>
    <w:p w14:paraId="096B6AA6" w14:textId="36D446D5" w:rsidR="00B82959" w:rsidRPr="00B82959" w:rsidRDefault="00B82959" w:rsidP="00B82959">
      <w:r>
        <w:t>Reducing generation from PJM's marginal generators causes substantial reductions in emissions of PM</w:t>
      </w:r>
      <w:r w:rsidRPr="007C4787">
        <w:rPr>
          <w:vertAlign w:val="subscript"/>
        </w:rPr>
        <w:t>2.5</w:t>
      </w:r>
      <w:r>
        <w:t>, SO</w:t>
      </w:r>
      <w:r w:rsidRPr="007C4787">
        <w:rPr>
          <w:vertAlign w:val="subscript"/>
        </w:rPr>
        <w:t>2</w:t>
      </w:r>
      <w:r>
        <w:t>, NO</w:t>
      </w:r>
      <w:r w:rsidRPr="007C4787">
        <w:rPr>
          <w:vertAlign w:val="subscript"/>
        </w:rPr>
        <w:t>x</w:t>
      </w:r>
      <w:r>
        <w:t>, and CO</w:t>
      </w:r>
      <w:r w:rsidRPr="007C4787">
        <w:rPr>
          <w:vertAlign w:val="subscript"/>
        </w:rPr>
        <w:t>2</w:t>
      </w:r>
      <w:r>
        <w:t xml:space="preserve">, since these pollutants are byproducts of coal and natural gas fuel combustion. The </w:t>
      </w:r>
      <w:proofErr w:type="gramStart"/>
      <w:r>
        <w:t>populations'</w:t>
      </w:r>
      <w:proofErr w:type="gramEnd"/>
      <w:r>
        <w:t xml:space="preserve"> exposure to these four pollutants increases the prevalence of numerous adverse health outcomes. For instance, premature infant and adult mortality have been linked to increased exposure to ambient air pollution. On an annual basis, the World Health Organization (WHO) estimates around 4.2 million premature deaths globally are linked to ambient air pollution exposure, with the most harmful pollutants being PM</w:t>
      </w:r>
      <w:r w:rsidRPr="007C4787">
        <w:rPr>
          <w:vertAlign w:val="subscript"/>
        </w:rPr>
        <w:t>2.5</w:t>
      </w:r>
      <w:r>
        <w:t>, SO</w:t>
      </w:r>
      <w:r w:rsidRPr="007C4787">
        <w:rPr>
          <w:vertAlign w:val="subscript"/>
        </w:rPr>
        <w:t>2</w:t>
      </w:r>
      <w:r>
        <w:t>, NO</w:t>
      </w:r>
      <w:r w:rsidRPr="007C4787">
        <w:rPr>
          <w:vertAlign w:val="subscript"/>
        </w:rPr>
        <w:t>2</w:t>
      </w:r>
      <w:r>
        <w:t>, and ozone.</w:t>
      </w:r>
      <w:r w:rsidR="007C4787" w:rsidRPr="007C4787">
        <w:rPr>
          <w:rStyle w:val="FootnoteReference"/>
        </w:rPr>
        <w:t xml:space="preserve"> </w:t>
      </w:r>
      <w:r w:rsidR="007C4787">
        <w:rPr>
          <w:rStyle w:val="FootnoteReference"/>
        </w:rPr>
        <w:footnoteReference w:id="10"/>
      </w:r>
      <w:r>
        <w:t xml:space="preserve"> Increased exposure to these pollutants also leads to the development or exacerbation of respiratory and cardiovascular conditions. Each of the adverse health </w:t>
      </w:r>
      <w:r>
        <w:lastRenderedPageBreak/>
        <w:t>effects from ambient pollution exposure, particularly exposure to PM</w:t>
      </w:r>
      <w:r w:rsidRPr="007C4787">
        <w:rPr>
          <w:vertAlign w:val="subscript"/>
        </w:rPr>
        <w:t xml:space="preserve">2.5 </w:t>
      </w:r>
      <w:r>
        <w:t>and ozone,</w:t>
      </w:r>
      <w:r w:rsidR="007C4787" w:rsidRPr="007C4787">
        <w:rPr>
          <w:rStyle w:val="FootnoteReference"/>
        </w:rPr>
        <w:t xml:space="preserve"> </w:t>
      </w:r>
      <w:r w:rsidR="007C4787">
        <w:rPr>
          <w:rStyle w:val="FootnoteReference"/>
        </w:rPr>
        <w:footnoteReference w:id="11"/>
      </w:r>
      <w:r>
        <w:t xml:space="preserve"> represents a substantial economic cost.</w:t>
      </w:r>
      <w:r w:rsidR="007C4787">
        <w:rPr>
          <w:rStyle w:val="FootnoteReference"/>
        </w:rPr>
        <w:footnoteReference w:id="12"/>
      </w:r>
      <w:r>
        <w:t xml:space="preserve">  </w:t>
      </w:r>
    </w:p>
    <w:p w14:paraId="4764C716" w14:textId="752E4E5E" w:rsidR="00155AC0" w:rsidRDefault="00155AC0" w:rsidP="00155AC0">
      <w:pPr>
        <w:pStyle w:val="Heading1"/>
      </w:pPr>
      <w:bookmarkStart w:id="4" w:name="_Toc227865873"/>
      <w:r>
        <w:t>Methodology</w:t>
      </w:r>
      <w:bookmarkEnd w:id="4"/>
    </w:p>
    <w:p w14:paraId="17FCFFBC" w14:textId="052B82CA" w:rsidR="007C4787" w:rsidRPr="007C4787" w:rsidRDefault="007C4787" w:rsidP="007C4787">
      <w:r w:rsidRPr="007C4787">
        <w:t xml:space="preserve">This section presents the methodology and usage of EPA tools to estimate the Societal NEIs associated with ComEd's CY2025 programs. Guidehouse first provides a summary of the two tools developed by the EPA that are essential to this analysis. This is followed by a summary of </w:t>
      </w:r>
      <w:proofErr w:type="spellStart"/>
      <w:r w:rsidRPr="007C4787">
        <w:t>Guidehouse's</w:t>
      </w:r>
      <w:proofErr w:type="spellEnd"/>
      <w:r w:rsidRPr="007C4787">
        <w:t xml:space="preserve"> methodology to quantify the health benefits attributed to CY2025 energy efficiency programs.</w:t>
      </w:r>
    </w:p>
    <w:p w14:paraId="0036710F" w14:textId="6A10C0E6" w:rsidR="00155AC0" w:rsidRDefault="00155AC0" w:rsidP="00155AC0">
      <w:pPr>
        <w:pStyle w:val="Heading2"/>
      </w:pPr>
      <w:bookmarkStart w:id="5" w:name="_Toc227865874"/>
      <w:r>
        <w:t>AVERT and COBRA</w:t>
      </w:r>
      <w:bookmarkEnd w:id="5"/>
    </w:p>
    <w:p w14:paraId="51DF0367" w14:textId="4610AE74" w:rsidR="007C4787" w:rsidRDefault="007C4787" w:rsidP="007C4787">
      <w:r>
        <w:t>The EPA developed the Avoided Emissions and geneRation Tool (AVERT) to estimate the emissions benefits of energy efficiency and renewable energy policies and programs.</w:t>
      </w:r>
      <w:r>
        <w:rPr>
          <w:rStyle w:val="FootnoteReference"/>
        </w:rPr>
        <w:footnoteReference w:id="13"/>
      </w:r>
      <w:r>
        <w:t xml:space="preserve"> The EPA also developed the CO-Benefits Risk Assessment (COBRA) to estimate the health and economic benefits associated with energy efficiency and renewable energy policies and programs.</w:t>
      </w:r>
      <w:r>
        <w:rPr>
          <w:rStyle w:val="FootnoteReference"/>
        </w:rPr>
        <w:footnoteReference w:id="14"/>
      </w:r>
      <w:r>
        <w:t xml:space="preserve">  </w:t>
      </w:r>
    </w:p>
    <w:p w14:paraId="73927370" w14:textId="77777777" w:rsidR="007C4787" w:rsidRDefault="007C4787" w:rsidP="007C4787">
      <w:proofErr w:type="gramStart"/>
      <w:r>
        <w:t>The EPA’s</w:t>
      </w:r>
      <w:proofErr w:type="gramEnd"/>
      <w:r>
        <w:t xml:space="preserve"> AVERT translates the impacts of energy efficiency programs into county-level reductions in PM2.5, SO2, NOx, VOCs, NH3, and CO2 from reduced electricity generation across fossil-fueled electricity generating units. AVERT was first released in 2014 and has been reviewed, well-documented, and tested across multiple scenarios. More specifically, since </w:t>
      </w:r>
      <w:proofErr w:type="gramStart"/>
      <w:r>
        <w:t>the AVERT’s</w:t>
      </w:r>
      <w:proofErr w:type="gramEnd"/>
      <w:r>
        <w:t xml:space="preserve"> inception, the EPA has:  </w:t>
      </w:r>
    </w:p>
    <w:p w14:paraId="5463748A" w14:textId="7EEC110C" w:rsidR="007C4787" w:rsidRDefault="007C4787" w:rsidP="0000024C">
      <w:pPr>
        <w:pStyle w:val="ListParagraph"/>
        <w:numPr>
          <w:ilvl w:val="0"/>
          <w:numId w:val="26"/>
        </w:numPr>
      </w:pPr>
      <w:r>
        <w:t xml:space="preserve">Conducted external and internal peer reviews </w:t>
      </w:r>
    </w:p>
    <w:p w14:paraId="067ABEDC" w14:textId="77AD4D5C" w:rsidR="007C4787" w:rsidRDefault="007C4787" w:rsidP="0000024C">
      <w:pPr>
        <w:pStyle w:val="ListParagraph"/>
        <w:numPr>
          <w:ilvl w:val="0"/>
          <w:numId w:val="26"/>
        </w:numPr>
      </w:pPr>
      <w:r>
        <w:t xml:space="preserve">Benchmarked AVERT against an industry-standard electric power sector model, PROSYM </w:t>
      </w:r>
    </w:p>
    <w:p w14:paraId="2DF8A08A" w14:textId="7D3739F2" w:rsidR="007C4787" w:rsidRDefault="007C4787" w:rsidP="0000024C">
      <w:pPr>
        <w:pStyle w:val="ListParagraph"/>
        <w:numPr>
          <w:ilvl w:val="0"/>
          <w:numId w:val="26"/>
        </w:numPr>
      </w:pPr>
      <w:r>
        <w:t>Worked with states to beta-test the tool for functionality, appropriate uses, and clarity of the user manual.</w:t>
      </w:r>
      <w:r>
        <w:rPr>
          <w:rStyle w:val="FootnoteReference"/>
        </w:rPr>
        <w:footnoteReference w:id="15"/>
      </w:r>
      <w:r>
        <w:t xml:space="preserve">  </w:t>
      </w:r>
    </w:p>
    <w:p w14:paraId="3633A4D3" w14:textId="67A1CBCE" w:rsidR="007C4787" w:rsidRDefault="007C4787" w:rsidP="007C4787">
      <w:r>
        <w:t>COBRA is a peer-reviewed screening tool that establishes the air quality, human health, and associated economic impacts of various state- and county-level emission reduction scenarios.</w:t>
      </w:r>
      <w:r w:rsidRPr="007C4787">
        <w:rPr>
          <w:rStyle w:val="FootnoteReference"/>
        </w:rPr>
        <w:t xml:space="preserve"> </w:t>
      </w:r>
      <w:r>
        <w:rPr>
          <w:rStyle w:val="FootnoteReference"/>
        </w:rPr>
        <w:footnoteReference w:id="16"/>
      </w:r>
      <w:r>
        <w:t xml:space="preserve">  COBRA was updated in 2024 by the EPA to estimate changes in annual ambient concentrations of both particulate matter</w:t>
      </w:r>
      <w:r w:rsidR="007C2366">
        <w:t xml:space="preserve"> </w:t>
      </w:r>
      <w:r>
        <w:t>(PM</w:t>
      </w:r>
      <w:r w:rsidRPr="007C4787">
        <w:rPr>
          <w:vertAlign w:val="subscript"/>
        </w:rPr>
        <w:t>2.5</w:t>
      </w:r>
      <w:r>
        <w:t xml:space="preserve">) and ozone </w:t>
      </w:r>
      <w:r w:rsidR="001E5A87">
        <w:t>I</w:t>
      </w:r>
      <w:r>
        <w:t>n previous years COBRA only estimated the health impacts of PM</w:t>
      </w:r>
      <w:r w:rsidRPr="007C4787">
        <w:rPr>
          <w:vertAlign w:val="subscript"/>
        </w:rPr>
        <w:t>2.5</w:t>
      </w:r>
      <w:r>
        <w:t>.</w:t>
      </w:r>
      <w:r>
        <w:rPr>
          <w:rStyle w:val="FootnoteReference"/>
        </w:rPr>
        <w:footnoteReference w:id="17"/>
      </w:r>
      <w:r>
        <w:t xml:space="preserve">  COBRA continues to use the county-level emissions reduction results from AVERT to estimate health outcomes changes. Using information from AVERT on county-level changes in emissions, COBRA quantifies county-level air quality </w:t>
      </w:r>
      <w:r>
        <w:lastRenderedPageBreak/>
        <w:t xml:space="preserve">changes, estimates the resulting changes in health outcomes, and then calculates monetary values associated with these changes in health outcomes. COBRA estimates the number of health incidents avoided and the corresponding economic values for the following conditions. The last three health incidence (Hospital Admissions related to Alzheimer’s and Parkinson’s Disease, Stroke and Lung Cancer, Hay Fever/Rhinitis) are additions to the 2024 COBRA update.  </w:t>
      </w:r>
    </w:p>
    <w:p w14:paraId="7647128F" w14:textId="43E3EC79" w:rsidR="007C4787" w:rsidRDefault="007C4787" w:rsidP="001E433A">
      <w:pPr>
        <w:pStyle w:val="ListParagraph"/>
        <w:numPr>
          <w:ilvl w:val="0"/>
          <w:numId w:val="29"/>
        </w:numPr>
      </w:pPr>
      <w:r>
        <w:t xml:space="preserve">Infant and Adult Mortality </w:t>
      </w:r>
    </w:p>
    <w:p w14:paraId="1F9FE4F9" w14:textId="0ED0399A" w:rsidR="007C4787" w:rsidRDefault="007C4787" w:rsidP="001E433A">
      <w:pPr>
        <w:pStyle w:val="ListParagraph"/>
        <w:numPr>
          <w:ilvl w:val="0"/>
          <w:numId w:val="29"/>
        </w:numPr>
      </w:pPr>
      <w:r>
        <w:t xml:space="preserve">Non-fatal Heart Attacks  </w:t>
      </w:r>
    </w:p>
    <w:p w14:paraId="541FE305" w14:textId="5BDA240B" w:rsidR="007C4787" w:rsidRDefault="007C4787" w:rsidP="001E433A">
      <w:pPr>
        <w:pStyle w:val="ListParagraph"/>
        <w:numPr>
          <w:ilvl w:val="0"/>
          <w:numId w:val="29"/>
        </w:numPr>
      </w:pPr>
      <w:r>
        <w:t xml:space="preserve">Hospital Admissions related to Respiratory and Cardiovascular Conditions </w:t>
      </w:r>
    </w:p>
    <w:p w14:paraId="66552A5B" w14:textId="67C34576" w:rsidR="007C4787" w:rsidRDefault="007C4787" w:rsidP="001E433A">
      <w:pPr>
        <w:pStyle w:val="ListParagraph"/>
        <w:numPr>
          <w:ilvl w:val="0"/>
          <w:numId w:val="29"/>
        </w:numPr>
      </w:pPr>
      <w:r>
        <w:t xml:space="preserve">Acute Bronchitis </w:t>
      </w:r>
    </w:p>
    <w:p w14:paraId="6C46C258" w14:textId="181C7BDA" w:rsidR="007C4787" w:rsidRDefault="007C4787" w:rsidP="001E433A">
      <w:pPr>
        <w:pStyle w:val="ListParagraph"/>
        <w:numPr>
          <w:ilvl w:val="0"/>
          <w:numId w:val="29"/>
        </w:numPr>
      </w:pPr>
      <w:r>
        <w:t xml:space="preserve">Upper and Lower Respiratory Symptoms,  </w:t>
      </w:r>
    </w:p>
    <w:p w14:paraId="719A8946" w14:textId="17AF4168" w:rsidR="007C4787" w:rsidRDefault="007C4787" w:rsidP="001E433A">
      <w:pPr>
        <w:pStyle w:val="ListParagraph"/>
        <w:numPr>
          <w:ilvl w:val="0"/>
          <w:numId w:val="29"/>
        </w:numPr>
      </w:pPr>
      <w:r>
        <w:t xml:space="preserve">Asthma Exacerbations (attacks, shortness of breath, &amp; wheezing) </w:t>
      </w:r>
    </w:p>
    <w:p w14:paraId="5091446E" w14:textId="2314E0A4" w:rsidR="007C4787" w:rsidRDefault="007C4787" w:rsidP="001E433A">
      <w:pPr>
        <w:pStyle w:val="ListParagraph"/>
        <w:numPr>
          <w:ilvl w:val="0"/>
          <w:numId w:val="29"/>
        </w:numPr>
      </w:pPr>
      <w:r>
        <w:t xml:space="preserve">Asthma Emergency Room Visits  </w:t>
      </w:r>
    </w:p>
    <w:p w14:paraId="6FFB0F7E" w14:textId="0811120B" w:rsidR="007C4787" w:rsidRDefault="007C4787" w:rsidP="001E433A">
      <w:pPr>
        <w:pStyle w:val="ListParagraph"/>
        <w:numPr>
          <w:ilvl w:val="0"/>
          <w:numId w:val="29"/>
        </w:numPr>
      </w:pPr>
      <w:r>
        <w:t xml:space="preserve">Minor Restricted Activity Days </w:t>
      </w:r>
    </w:p>
    <w:p w14:paraId="0D8E4552" w14:textId="056FAC5B" w:rsidR="007C4787" w:rsidRDefault="007C4787" w:rsidP="001E433A">
      <w:pPr>
        <w:pStyle w:val="ListParagraph"/>
        <w:numPr>
          <w:ilvl w:val="0"/>
          <w:numId w:val="29"/>
        </w:numPr>
      </w:pPr>
      <w:r>
        <w:t>Work Loss Days</w:t>
      </w:r>
    </w:p>
    <w:p w14:paraId="260607AC" w14:textId="08E1E509" w:rsidR="007C4787" w:rsidRDefault="007C4787" w:rsidP="001E433A">
      <w:pPr>
        <w:pStyle w:val="ListParagraph"/>
        <w:numPr>
          <w:ilvl w:val="0"/>
          <w:numId w:val="29"/>
        </w:numPr>
      </w:pPr>
      <w:r>
        <w:t>Hospital Admissions related to Alzheimer’s and Parkinson’s Disease</w:t>
      </w:r>
    </w:p>
    <w:p w14:paraId="506123C1" w14:textId="1E09A066" w:rsidR="007C4787" w:rsidRDefault="007C4787" w:rsidP="001E433A">
      <w:pPr>
        <w:pStyle w:val="ListParagraph"/>
        <w:numPr>
          <w:ilvl w:val="0"/>
          <w:numId w:val="29"/>
        </w:numPr>
      </w:pPr>
      <w:r>
        <w:t>Incidence of Stroke and Lung Cancer</w:t>
      </w:r>
    </w:p>
    <w:p w14:paraId="06107B5B" w14:textId="64B787DB" w:rsidR="007C4787" w:rsidRPr="007C4787" w:rsidRDefault="007C4787" w:rsidP="001E433A">
      <w:pPr>
        <w:pStyle w:val="ListParagraph"/>
        <w:numPr>
          <w:ilvl w:val="0"/>
          <w:numId w:val="29"/>
        </w:numPr>
      </w:pPr>
      <w:r>
        <w:t>Incidence of Hay Fever/Rhinitis</w:t>
      </w:r>
    </w:p>
    <w:p w14:paraId="6780D29E" w14:textId="4A4A3968" w:rsidR="00155AC0" w:rsidRDefault="00155AC0" w:rsidP="00155AC0">
      <w:pPr>
        <w:pStyle w:val="Heading2"/>
      </w:pPr>
      <w:bookmarkStart w:id="6" w:name="_Toc227865875"/>
      <w:bookmarkStart w:id="7" w:name="_Ref227933083"/>
      <w:r>
        <w:t>Estimation of Societal NEIs</w:t>
      </w:r>
      <w:bookmarkEnd w:id="6"/>
      <w:bookmarkEnd w:id="7"/>
    </w:p>
    <w:p w14:paraId="4E822846" w14:textId="77777777" w:rsidR="007C4787" w:rsidRDefault="007C4787" w:rsidP="007C4787">
      <w:r>
        <w:t xml:space="preserve">Guidehouse generated Societal NEI estimates for ComEd's CY2025 programs. Since ComEd programs cover a variety of measures with measure lives ranging from one to 40 years, Guidehouse included all cumulative persisting annual savings (CPAS) from CY2025 programs. This ensures that Guidehouse estimates can be associated with the full extent of CY2025 programs' energy savings.     </w:t>
      </w:r>
    </w:p>
    <w:p w14:paraId="08570EA1" w14:textId="25B3708D" w:rsidR="007C4787" w:rsidRDefault="007C4787" w:rsidP="007C4787">
      <w:r>
        <w:t>To generate Societal NEI estimates, Guidehouse adopted an annual modeling approach. Guidehouse used CPAS values for CY2025 programs</w:t>
      </w:r>
      <w:r w:rsidR="00503686">
        <w:t xml:space="preserve"> for annual Societal NEI estimates calculation</w:t>
      </w:r>
      <w:r>
        <w:t xml:space="preserve">, which spanned </w:t>
      </w:r>
      <w:r w:rsidR="00C05C15">
        <w:t>from</w:t>
      </w:r>
      <w:r>
        <w:t xml:space="preserve"> 2025 through 2064. The annual approach is illustrated in </w:t>
      </w:r>
      <w:r w:rsidR="006A28C0">
        <w:fldChar w:fldCharType="begin"/>
      </w:r>
      <w:r w:rsidR="006A28C0">
        <w:instrText xml:space="preserve"> REF _Ref227751213 \h </w:instrText>
      </w:r>
      <w:r w:rsidR="006A28C0">
        <w:fldChar w:fldCharType="separate"/>
      </w:r>
      <w:r w:rsidR="006A28C0">
        <w:t xml:space="preserve">Figure </w:t>
      </w:r>
      <w:r w:rsidR="006A28C0">
        <w:rPr>
          <w:noProof/>
        </w:rPr>
        <w:t>2</w:t>
      </w:r>
      <w:r w:rsidR="006A28C0">
        <w:fldChar w:fldCharType="end"/>
      </w:r>
      <w:r>
        <w:t xml:space="preserve">. Analyzing on an annual basis ensures that (1) each year's emissions impacts are consistent with generation activity expected in that year and (2) each year's health </w:t>
      </w:r>
      <w:proofErr w:type="gramStart"/>
      <w:r>
        <w:t>benefits estimates</w:t>
      </w:r>
      <w:proofErr w:type="gramEnd"/>
      <w:r>
        <w:t xml:space="preserve"> reflect the baseline population in that year. Additional detail providing context for each step in the analysis is provided in the following paragraphs.</w:t>
      </w:r>
    </w:p>
    <w:p w14:paraId="64EB4959" w14:textId="41C13FED" w:rsidR="007C4787" w:rsidRDefault="007C4787" w:rsidP="007C4787">
      <w:pPr>
        <w:pStyle w:val="Caption"/>
      </w:pPr>
      <w:bookmarkStart w:id="8" w:name="_Ref227751213"/>
      <w:bookmarkStart w:id="9" w:name="_Toc227865852"/>
      <w:r>
        <w:lastRenderedPageBreak/>
        <w:t xml:space="preserve">Figure </w:t>
      </w:r>
      <w:fldSimple w:instr=" SEQ Figure \* ARABIC ">
        <w:r>
          <w:rPr>
            <w:noProof/>
          </w:rPr>
          <w:t>2</w:t>
        </w:r>
      </w:fldSimple>
      <w:bookmarkEnd w:id="8"/>
      <w:r>
        <w:t>. Flowchart of Annual Estimation of CY2025 Health Benefits</w:t>
      </w:r>
      <w:bookmarkEnd w:id="9"/>
    </w:p>
    <w:p w14:paraId="762FEFF8" w14:textId="3EE85459" w:rsidR="007C4787" w:rsidRPr="007C4787" w:rsidRDefault="006A28C0" w:rsidP="007C4787">
      <w:pPr>
        <w:jc w:val="center"/>
      </w:pPr>
      <w:r w:rsidRPr="007C4787">
        <w:rPr>
          <w:rFonts w:ascii="Aptos" w:hAnsi="Aptos"/>
          <w:noProof/>
        </w:rPr>
        <w:drawing>
          <wp:inline distT="0" distB="0" distL="0" distR="0" wp14:anchorId="36517328" wp14:editId="2B39CA74">
            <wp:extent cx="4583219" cy="2450123"/>
            <wp:effectExtent l="0" t="0" r="8255" b="762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t="8130" b="6885"/>
                    <a:stretch>
                      <a:fillRect/>
                    </a:stretch>
                  </pic:blipFill>
                  <pic:spPr bwMode="auto">
                    <a:xfrm>
                      <a:off x="0" y="0"/>
                      <a:ext cx="4584065" cy="2450575"/>
                    </a:xfrm>
                    <a:prstGeom prst="rect">
                      <a:avLst/>
                    </a:prstGeom>
                    <a:noFill/>
                    <a:ln>
                      <a:noFill/>
                    </a:ln>
                    <a:extLst>
                      <a:ext uri="{53640926-AAD7-44D8-BBD7-CCE9431645EC}">
                        <a14:shadowObscured xmlns:a14="http://schemas.microsoft.com/office/drawing/2010/main"/>
                      </a:ext>
                    </a:extLst>
                  </pic:spPr>
                </pic:pic>
              </a:graphicData>
            </a:graphic>
          </wp:inline>
        </w:drawing>
      </w:r>
    </w:p>
    <w:p w14:paraId="5EF12A29" w14:textId="27E5907A" w:rsidR="007C4787" w:rsidRDefault="007C4787" w:rsidP="007A7232">
      <w:pPr>
        <w:pStyle w:val="TableFigureSoureorNote"/>
        <w:ind w:left="720" w:firstLine="720"/>
        <w:rPr>
          <w:i w:val="0"/>
          <w:iCs/>
          <w:szCs w:val="20"/>
        </w:rPr>
      </w:pPr>
      <w:r>
        <w:t>Source: Guidehouse</w:t>
      </w:r>
    </w:p>
    <w:p w14:paraId="5EFFDEA9" w14:textId="77777777" w:rsidR="00F8235B" w:rsidRPr="00F8235B" w:rsidRDefault="00F8235B" w:rsidP="00F8235B">
      <w:pPr>
        <w:rPr>
          <w:b/>
          <w:bCs/>
        </w:rPr>
      </w:pPr>
      <w:r w:rsidRPr="00F8235B">
        <w:rPr>
          <w:b/>
          <w:bCs/>
        </w:rPr>
        <w:t xml:space="preserve">Step 1: Gather ComEd CY2025 Portfolio-Level CPAS Values </w:t>
      </w:r>
    </w:p>
    <w:p w14:paraId="190DD868" w14:textId="4BBD4A22" w:rsidR="00F8235B" w:rsidRDefault="00F8235B" w:rsidP="00F8235B">
      <w:commentRangeStart w:id="10"/>
      <w:commentRangeStart w:id="11"/>
      <w:r>
        <w:t>For</w:t>
      </w:r>
      <w:commentRangeEnd w:id="10"/>
      <w:r w:rsidR="00885A6A">
        <w:rPr>
          <w:rStyle w:val="CommentReference"/>
          <w:sz w:val="22"/>
          <w:szCs w:val="24"/>
        </w:rPr>
        <w:commentReference w:id="10"/>
      </w:r>
      <w:commentRangeEnd w:id="11"/>
      <w:r w:rsidR="002D57C5">
        <w:rPr>
          <w:rStyle w:val="CommentReference"/>
          <w:sz w:val="22"/>
          <w:szCs w:val="24"/>
        </w:rPr>
        <w:commentReference w:id="11"/>
      </w:r>
      <w:r>
        <w:t xml:space="preserve"> this methodological summary, we focus on the annual estimation of societal health benefits for </w:t>
      </w:r>
      <w:r w:rsidR="00B27A46">
        <w:t xml:space="preserve">each </w:t>
      </w:r>
      <w:r>
        <w:t>program using that program’s CY2025 CPAS values beginning in 2025. In this first step, we gathered and aggregated ComEd CY2025 programs' CPAS data</w:t>
      </w:r>
      <w:r>
        <w:rPr>
          <w:rStyle w:val="FootnoteReference"/>
        </w:rPr>
        <w:footnoteReference w:id="18"/>
      </w:r>
      <w:r>
        <w:t xml:space="preserve"> to construct a 40-year portfolio-level CPAS curve.  </w:t>
      </w:r>
    </w:p>
    <w:p w14:paraId="4333CD8C" w14:textId="77777777" w:rsidR="00F8235B" w:rsidRPr="00F8235B" w:rsidRDefault="00F8235B" w:rsidP="00F8235B">
      <w:pPr>
        <w:rPr>
          <w:b/>
          <w:bCs/>
        </w:rPr>
      </w:pPr>
      <w:r w:rsidRPr="00F8235B">
        <w:rPr>
          <w:b/>
          <w:bCs/>
        </w:rPr>
        <w:t xml:space="preserve">Step 2: Execute AVERT </w:t>
      </w:r>
    </w:p>
    <w:p w14:paraId="35613D71" w14:textId="71912B9B" w:rsidR="00F8235B" w:rsidRDefault="00F8235B" w:rsidP="00F8235B">
      <w:r>
        <w:t xml:space="preserve">For each year, </w:t>
      </w:r>
      <w:r w:rsidR="0068698C">
        <w:t xml:space="preserve">we </w:t>
      </w:r>
      <w:r>
        <w:t>execute AVERT using portfolio-level CPAS values</w:t>
      </w:r>
      <w:r w:rsidR="001F088A">
        <w:t xml:space="preserve"> by </w:t>
      </w:r>
      <w:r w:rsidR="002D57C5">
        <w:t>analyzing all programs in the portfolio</w:t>
      </w:r>
      <w:r>
        <w:t>. AVERT uses a forecast</w:t>
      </w:r>
      <w:r>
        <w:rPr>
          <w:rStyle w:val="FootnoteReference"/>
        </w:rPr>
        <w:footnoteReference w:id="19"/>
      </w:r>
      <w:r>
        <w:t xml:space="preserve"> of patterns of dispatching electric generating units to estimate marginal emissions rates (</w:t>
      </w:r>
      <w:proofErr w:type="spellStart"/>
      <w:r>
        <w:t>lbs</w:t>
      </w:r>
      <w:proofErr w:type="spellEnd"/>
      <w:r>
        <w:t>/MWh) for PM2.5, SO2, NOx, VOCs, NH3, and CO2, then applies these emissions rates to energy efficiency savings (MWh) to determine a county-level reduction (</w:t>
      </w:r>
      <w:proofErr w:type="spellStart"/>
      <w:r>
        <w:t>lbs</w:t>
      </w:r>
      <w:proofErr w:type="spellEnd"/>
      <w:r>
        <w:t xml:space="preserve">) in each of the four pollutants.  </w:t>
      </w:r>
    </w:p>
    <w:p w14:paraId="6E7ED9C3" w14:textId="7B1DB03D" w:rsidR="00F8235B" w:rsidRDefault="00F8235B" w:rsidP="00F8235B">
      <w:r>
        <w:t>EPA currently maintains a 2023 baseline forecast of patterns of dispatching electric generating units for AVERT. This forecast is based on historical data through 2023, and EPA warns that this forecast is static and is only recommended for use for up to five years.</w:t>
      </w:r>
      <w:r>
        <w:rPr>
          <w:rStyle w:val="FootnoteReference"/>
        </w:rPr>
        <w:footnoteReference w:id="20"/>
      </w:r>
      <w:r>
        <w:t xml:space="preserve"> Guidehouse considered the use of county-level estimates of emissions reductions from AVERT without any adjustments; however, historical trends in marginal emissions rates do not support this approach. For ComEd and PJM, marginal emissions rates have dropped considerably over the past four years.</w:t>
      </w:r>
      <w:r>
        <w:rPr>
          <w:rStyle w:val="FootnoteReference"/>
        </w:rPr>
        <w:footnoteReference w:id="21"/>
      </w:r>
      <w:r>
        <w:t xml:space="preserve">  In PJM’s territory, the share of coal marginal generation </w:t>
      </w:r>
      <w:r>
        <w:lastRenderedPageBreak/>
        <w:t>sources dropped from 51.7% in 2015 to 24.4% in 2019. Transformations in the mix of electric generation sources, particularly marginal generation sources, can be expected to continue through 2050, as the use of renewables in electricity generation is forecasted to grow.</w:t>
      </w:r>
      <w:r>
        <w:rPr>
          <w:rStyle w:val="FootnoteReference"/>
        </w:rPr>
        <w:footnoteReference w:id="22"/>
      </w:r>
      <w:r>
        <w:t xml:space="preserve"> Marginal emissions rates are expected to continue to decline as the energy mix becomes cleaner. Failing to adjust the AVERT analysis approach to accommodate trends in marginal emissions rates beyond five years into the future, therefore, </w:t>
      </w:r>
      <w:r w:rsidR="00527296">
        <w:t xml:space="preserve">it will </w:t>
      </w:r>
      <w:r w:rsidR="00C11449">
        <w:t xml:space="preserve">likely </w:t>
      </w:r>
      <w:r w:rsidR="00527296">
        <w:t>overstate</w:t>
      </w:r>
      <w:r>
        <w:t xml:space="preserve"> county-level emissions reductions. In turn, this will overstate health benefits for these years.   </w:t>
      </w:r>
    </w:p>
    <w:p w14:paraId="1374F325" w14:textId="22EC04FB" w:rsidR="00F8235B" w:rsidRDefault="00F8235B" w:rsidP="00F8235B">
      <w:r>
        <w:t xml:space="preserve">To generate more reasonable bounds on electric emission reduction estimates, Guidehouse forecasted marginal emission rates from 2020-2050 using PJM data and developed a set of adjustment factors for each year, downscaling the rates to the AVERT forecast. To account for the 40-year measure life in CPAS, Guidehouse used a trendline of adjusted factors from 2045-2050 to determine adjustment factors for 2051-2064. </w:t>
      </w:r>
    </w:p>
    <w:p w14:paraId="08A09C1A" w14:textId="77777777" w:rsidR="00F8235B" w:rsidRPr="00F8235B" w:rsidRDefault="00F8235B" w:rsidP="00F8235B">
      <w:pPr>
        <w:rPr>
          <w:b/>
          <w:bCs/>
        </w:rPr>
      </w:pPr>
      <w:r w:rsidRPr="00F8235B">
        <w:rPr>
          <w:b/>
          <w:bCs/>
        </w:rPr>
        <w:t xml:space="preserve">Step 3: Execute COBRA </w:t>
      </w:r>
    </w:p>
    <w:p w14:paraId="149133C4" w14:textId="593CB756" w:rsidR="00F8235B" w:rsidRDefault="00F8235B" w:rsidP="00F8235B">
      <w:r>
        <w:t xml:space="preserve">Guidehouse used the AVERT outputs in COBRA to estimate health impacts of reduced pollution exposure over a 40-year period. Reduced exposure to emissions in </w:t>
      </w:r>
      <w:commentRangeStart w:id="13"/>
      <w:r>
        <w:t xml:space="preserve">one year reduces acute morbidity </w:t>
      </w:r>
      <w:r w:rsidR="005F49DF">
        <w:t>for that specific</w:t>
      </w:r>
      <w:r>
        <w:t xml:space="preserve"> year of analysis</w:t>
      </w:r>
      <w:commentRangeEnd w:id="13"/>
      <w:r w:rsidR="00B00396">
        <w:rPr>
          <w:rStyle w:val="CommentReference"/>
          <w:sz w:val="22"/>
          <w:szCs w:val="24"/>
        </w:rPr>
        <w:commentReference w:id="13"/>
      </w:r>
      <w:r w:rsidR="005F49DF">
        <w:t>,</w:t>
      </w:r>
      <w:r>
        <w:t xml:space="preserve"> and reduces the incidence of premature mortality for up to 20 years.</w:t>
      </w:r>
      <w:r>
        <w:rPr>
          <w:rStyle w:val="FootnoteReference"/>
        </w:rPr>
        <w:footnoteReference w:id="23"/>
      </w:r>
      <w:r>
        <w:t xml:space="preserve"> COBRA includes adjustments for inflation throughout the 20 years, then discounts this stream of health benefits back to the year in which the energy savings are realized.</w:t>
      </w:r>
      <w:r>
        <w:rPr>
          <w:rStyle w:val="FootnoteReference"/>
        </w:rPr>
        <w:footnoteReference w:id="24"/>
      </w:r>
      <w:r>
        <w:t xml:space="preserve"> Guidehouse </w:t>
      </w:r>
      <w:r w:rsidR="00D3270C">
        <w:t>uses</w:t>
      </w:r>
      <w:r>
        <w:t xml:space="preserve"> a 2.40% discount rate for 2025-2064 from the TRM v13.0.</w:t>
      </w:r>
    </w:p>
    <w:p w14:paraId="217BA106" w14:textId="77777777" w:rsidR="00F8235B" w:rsidRDefault="00F8235B" w:rsidP="00F8235B">
      <w:r>
        <w:t xml:space="preserve">For each year of COBRA analysis, we used the average of national low- and high-sensitivity estimates for the health benefit estimate. Low- and high-sensitivity estimates of health benefits are based on two peer-reviewed studies estimating the link between ambient air pollution exposure and increases in premature mortality. Each study assessed premature mortality using a robust sample pool intended to represent the United States population, paying special attention to urban and rural populations and age brackets. Since both studies are credible, Guidehouse does not believe that either estimate is more representative than the other of the United States population and resulting population health impacts. Therefore, we used the </w:t>
      </w:r>
      <w:proofErr w:type="gramStart"/>
      <w:r>
        <w:t>mean</w:t>
      </w:r>
      <w:proofErr w:type="gramEnd"/>
      <w:r>
        <w:t xml:space="preserve"> of national low- and high-sensitivity estimates to construct annual health benefits estimates. In addition, since emission reductions and health benefits due to ComEd’s energy efficiency programs accrue both without and outside of Illinois, we used national societal NEIs in our analyses.  </w:t>
      </w:r>
    </w:p>
    <w:p w14:paraId="1EDD2D36" w14:textId="77777777" w:rsidR="00F8235B" w:rsidRPr="00F8235B" w:rsidRDefault="00F8235B" w:rsidP="00A87355">
      <w:pPr>
        <w:keepNext/>
        <w:rPr>
          <w:b/>
          <w:bCs/>
        </w:rPr>
      </w:pPr>
      <w:r w:rsidRPr="00F8235B">
        <w:rPr>
          <w:b/>
          <w:bCs/>
        </w:rPr>
        <w:lastRenderedPageBreak/>
        <w:t xml:space="preserve">Step 4: Discount Results to CY2025 </w:t>
      </w:r>
    </w:p>
    <w:p w14:paraId="52A4239D" w14:textId="2A6A6BF9" w:rsidR="00F8235B" w:rsidRPr="00F8235B" w:rsidRDefault="00971851" w:rsidP="00F8235B">
      <w:r>
        <w:t>W</w:t>
      </w:r>
      <w:r w:rsidRPr="00971851">
        <w:t>e discount future health benefits to present dollars using a 0.42% real discount rate.</w:t>
      </w:r>
      <w:r w:rsidR="00444386">
        <w:rPr>
          <w:rStyle w:val="FootnoteReference"/>
        </w:rPr>
        <w:footnoteReference w:id="25"/>
      </w:r>
      <w:r>
        <w:t xml:space="preserve"> </w:t>
      </w:r>
      <w:r w:rsidR="00F8235B">
        <w:t>Health benefits estimates are expressed using dollars in the analysis year of interest</w:t>
      </w:r>
      <w:r w:rsidR="00FA73F9">
        <w:t xml:space="preserve"> (</w:t>
      </w:r>
      <w:r w:rsidR="00A159B5">
        <w:t xml:space="preserve">i.e., 2025 for </w:t>
      </w:r>
      <w:r w:rsidR="00FD767E">
        <w:t>C</w:t>
      </w:r>
      <w:r w:rsidR="00A159B5">
        <w:t>Y25 analysis)</w:t>
      </w:r>
      <w:r w:rsidR="00F8235B">
        <w:t xml:space="preserve">. For the cost-effectiveness test on a CY2025 program, we used the CY2025 program’s Societal NEI value adjusted to 2025 dollars. To remain consistent with other inputs to TRC tests, Guidehouse discounted each year's county-level COBRA results back to 2025 using </w:t>
      </w:r>
      <w:r w:rsidR="00444386">
        <w:t>the</w:t>
      </w:r>
      <w:r w:rsidR="00F8235B">
        <w:t xml:space="preserve"> 0.42% real discount rate.</w:t>
      </w:r>
    </w:p>
    <w:p w14:paraId="24DFDA0A" w14:textId="05C8A073" w:rsidR="004F42CB" w:rsidRDefault="004F42CB" w:rsidP="004F42CB">
      <w:pPr>
        <w:pStyle w:val="Heading1"/>
      </w:pPr>
      <w:bookmarkStart w:id="14" w:name="_Toc227865876"/>
      <w:r>
        <w:t>Analysis Findings and Recommendations</w:t>
      </w:r>
      <w:bookmarkEnd w:id="14"/>
    </w:p>
    <w:p w14:paraId="11279594" w14:textId="1FB14CE0" w:rsidR="004C64BF" w:rsidRDefault="004F42CB" w:rsidP="004C64BF">
      <w:pPr>
        <w:pStyle w:val="Heading2"/>
      </w:pPr>
      <w:bookmarkStart w:id="15" w:name="_Toc227865877"/>
      <w:r>
        <w:t>Analysis Findings</w:t>
      </w:r>
      <w:bookmarkEnd w:id="15"/>
    </w:p>
    <w:p w14:paraId="0E2179D1" w14:textId="3DD292ED" w:rsidR="00F8235B" w:rsidRDefault="006A28C0" w:rsidP="00F8235B">
      <w:r>
        <w:fldChar w:fldCharType="begin"/>
      </w:r>
      <w:r>
        <w:instrText xml:space="preserve"> REF _Ref227751265 \h </w:instrText>
      </w:r>
      <w:r>
        <w:fldChar w:fldCharType="separate"/>
      </w:r>
      <w:r>
        <w:t xml:space="preserve">Figure </w:t>
      </w:r>
      <w:r>
        <w:rPr>
          <w:noProof/>
        </w:rPr>
        <w:t>3</w:t>
      </w:r>
      <w:r>
        <w:fldChar w:fldCharType="end"/>
      </w:r>
      <w:r>
        <w:t xml:space="preserve"> </w:t>
      </w:r>
      <w:r w:rsidR="00F8235B" w:rsidRPr="00F8235B">
        <w:t xml:space="preserve">shows the CPAS Lifetime Net Saving estimates for CY2025, which is diminishing year-over-year from 2025 through 2064 as measures begin to reach </w:t>
      </w:r>
      <w:r w:rsidR="00E10F9C">
        <w:t xml:space="preserve">the end of </w:t>
      </w:r>
      <w:r w:rsidR="00F8235B" w:rsidRPr="00F8235B">
        <w:t xml:space="preserve">their effective useful lives. </w:t>
      </w:r>
      <w:r w:rsidR="009F5623">
        <w:t>T</w:t>
      </w:r>
      <w:r w:rsidR="00F8235B" w:rsidRPr="00F8235B">
        <w:t xml:space="preserve">he curve of Lifetime Health Benefits of Societal NEIs is shown in </w:t>
      </w:r>
      <w:r>
        <w:fldChar w:fldCharType="begin"/>
      </w:r>
      <w:r>
        <w:instrText xml:space="preserve"> REF _Ref227751275 \h </w:instrText>
      </w:r>
      <w:r>
        <w:fldChar w:fldCharType="separate"/>
      </w:r>
      <w:r>
        <w:t xml:space="preserve">Figure </w:t>
      </w:r>
      <w:r>
        <w:rPr>
          <w:noProof/>
        </w:rPr>
        <w:t>4</w:t>
      </w:r>
      <w:r>
        <w:fldChar w:fldCharType="end"/>
      </w:r>
      <w:r w:rsidR="00F8235B" w:rsidRPr="00F8235B">
        <w:t>, which follows a similar trend as the program-level CPAS, diminishing at a steeper rate than CPAS due to predicted improvements in the efficiency of marginal generation.</w:t>
      </w:r>
    </w:p>
    <w:p w14:paraId="6EDCE20D" w14:textId="283486A8" w:rsidR="00F8235B" w:rsidRDefault="00F8235B" w:rsidP="004F4FFC">
      <w:pPr>
        <w:pStyle w:val="Caption"/>
        <w:spacing w:after="0"/>
      </w:pPr>
      <w:bookmarkStart w:id="16" w:name="_Ref227751265"/>
      <w:bookmarkStart w:id="17" w:name="_Toc227865853"/>
      <w:r>
        <w:t xml:space="preserve">Figure </w:t>
      </w:r>
      <w:fldSimple w:instr=" SEQ Figure \* ARABIC ">
        <w:r>
          <w:rPr>
            <w:noProof/>
          </w:rPr>
          <w:t>3</w:t>
        </w:r>
      </w:fldSimple>
      <w:bookmarkEnd w:id="16"/>
      <w:r>
        <w:t>. ComEd CY2025 Electric CPAS Estimates: 2025-2064</w:t>
      </w:r>
      <w:bookmarkEnd w:id="17"/>
    </w:p>
    <w:p w14:paraId="3E65DE7A" w14:textId="32AE30C1" w:rsidR="00F8235B" w:rsidRDefault="006A28C0" w:rsidP="00004CEF">
      <w:pPr>
        <w:spacing w:after="0"/>
        <w:jc w:val="center"/>
      </w:pPr>
      <w:r>
        <w:rPr>
          <w:noProof/>
        </w:rPr>
        <w:drawing>
          <wp:inline distT="0" distB="0" distL="0" distR="0" wp14:anchorId="3D45373A" wp14:editId="63AB0365">
            <wp:extent cx="5248910" cy="25971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48910" cy="2597150"/>
                    </a:xfrm>
                    <a:prstGeom prst="rect">
                      <a:avLst/>
                    </a:prstGeom>
                    <a:noFill/>
                  </pic:spPr>
                </pic:pic>
              </a:graphicData>
            </a:graphic>
          </wp:inline>
        </w:drawing>
      </w:r>
    </w:p>
    <w:p w14:paraId="0EFD3469" w14:textId="181251CF" w:rsidR="00F8235B" w:rsidRPr="003E090D" w:rsidRDefault="003E090D" w:rsidP="00552F48">
      <w:pPr>
        <w:pStyle w:val="TableFigureSoureorNote"/>
        <w:ind w:firstLine="720"/>
        <w:rPr>
          <w:i w:val="0"/>
          <w:iCs/>
          <w:szCs w:val="20"/>
        </w:rPr>
      </w:pPr>
      <w:r>
        <w:t>Source: ComEd Summary Impact Evaluation Report, CY2025 CPAS Electric.</w:t>
      </w:r>
    </w:p>
    <w:p w14:paraId="7F8E43F6" w14:textId="05E88857" w:rsidR="00F8235B" w:rsidRDefault="00F8235B" w:rsidP="004F4FFC">
      <w:pPr>
        <w:pStyle w:val="Caption"/>
        <w:spacing w:after="0"/>
      </w:pPr>
      <w:bookmarkStart w:id="18" w:name="_Ref227751275"/>
      <w:bookmarkStart w:id="19" w:name="_Toc227865854"/>
      <w:r>
        <w:lastRenderedPageBreak/>
        <w:t xml:space="preserve">Figure </w:t>
      </w:r>
      <w:fldSimple w:instr=" SEQ Figure \* ARABIC ">
        <w:r w:rsidR="003E090D">
          <w:rPr>
            <w:noProof/>
          </w:rPr>
          <w:t>4</w:t>
        </w:r>
      </w:fldSimple>
      <w:bookmarkEnd w:id="18"/>
      <w:r>
        <w:t xml:space="preserve">. ComEd CY2025 </w:t>
      </w:r>
      <w:r w:rsidR="003E090D">
        <w:t>Societal NEI</w:t>
      </w:r>
      <w:r>
        <w:t xml:space="preserve"> Estimates: 2025-2064</w:t>
      </w:r>
      <w:bookmarkEnd w:id="19"/>
    </w:p>
    <w:p w14:paraId="2EDC98A6" w14:textId="577E21C0" w:rsidR="00F8235B" w:rsidRDefault="006A28C0" w:rsidP="0067614D">
      <w:pPr>
        <w:spacing w:after="0"/>
        <w:jc w:val="center"/>
      </w:pPr>
      <w:r>
        <w:rPr>
          <w:noProof/>
        </w:rPr>
        <w:drawing>
          <wp:inline distT="0" distB="0" distL="0" distR="0" wp14:anchorId="6A5837EE" wp14:editId="1BAD03F9">
            <wp:extent cx="5200650" cy="25241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00650" cy="2524125"/>
                    </a:xfrm>
                    <a:prstGeom prst="rect">
                      <a:avLst/>
                    </a:prstGeom>
                    <a:noFill/>
                  </pic:spPr>
                </pic:pic>
              </a:graphicData>
            </a:graphic>
          </wp:inline>
        </w:drawing>
      </w:r>
    </w:p>
    <w:p w14:paraId="555F0D3F" w14:textId="7A8008C0" w:rsidR="003E090D" w:rsidRDefault="003E090D" w:rsidP="00552F48">
      <w:pPr>
        <w:pStyle w:val="TableFigureSoureorNote"/>
        <w:ind w:firstLine="720"/>
        <w:rPr>
          <w:i w:val="0"/>
          <w:iCs/>
          <w:szCs w:val="20"/>
        </w:rPr>
      </w:pPr>
      <w:r>
        <w:t>Source: Guidehouse analysis of ComEd CY2025 verified program savings.</w:t>
      </w:r>
    </w:p>
    <w:p w14:paraId="04ECFD78" w14:textId="2099396E" w:rsidR="003E090D" w:rsidRDefault="006A28C0" w:rsidP="003E090D">
      <w:r>
        <w:fldChar w:fldCharType="begin"/>
      </w:r>
      <w:r>
        <w:instrText xml:space="preserve"> REF _Ref227751314 \h </w:instrText>
      </w:r>
      <w:r>
        <w:fldChar w:fldCharType="separate"/>
      </w:r>
      <w:r>
        <w:t xml:space="preserve">Table </w:t>
      </w:r>
      <w:r>
        <w:rPr>
          <w:noProof/>
        </w:rPr>
        <w:t>1</w:t>
      </w:r>
      <w:r>
        <w:fldChar w:fldCharType="end"/>
      </w:r>
      <w:r>
        <w:t xml:space="preserve"> </w:t>
      </w:r>
      <w:r w:rsidR="003E090D" w:rsidRPr="003E090D">
        <w:t xml:space="preserve">presents the final </w:t>
      </w:r>
      <w:bookmarkStart w:id="20" w:name="x"/>
      <w:bookmarkEnd w:id="20"/>
      <w:r w:rsidR="003E090D" w:rsidRPr="003E090D">
        <w:t>societal health benefits estimates for ComEd's CY2025 programs implemented between January 1, 2025 – December 31, 2025. Societal health benefits are discounted to the program year of interest (i.e., CY2025 total health benefits are presented in 2025 dollars).</w:t>
      </w:r>
    </w:p>
    <w:p w14:paraId="12896CB4" w14:textId="7C0B43A6" w:rsidR="003E090D" w:rsidRDefault="003E090D" w:rsidP="004F4FFC">
      <w:pPr>
        <w:pStyle w:val="Caption"/>
        <w:spacing w:after="0"/>
      </w:pPr>
      <w:bookmarkStart w:id="21" w:name="_Ref227751314"/>
      <w:bookmarkStart w:id="22" w:name="_Ref227751289"/>
      <w:bookmarkStart w:id="23" w:name="_Toc227865859"/>
      <w:r>
        <w:t xml:space="preserve">Table </w:t>
      </w:r>
      <w:fldSimple w:instr=" SEQ Table \* ARABIC ">
        <w:r>
          <w:rPr>
            <w:noProof/>
          </w:rPr>
          <w:t>1</w:t>
        </w:r>
      </w:fldSimple>
      <w:bookmarkEnd w:id="21"/>
      <w:r>
        <w:t xml:space="preserve">. </w:t>
      </w:r>
      <w:r w:rsidRPr="003E090D">
        <w:t>Total Discounted Societal NEI Estimates, CY2025 Programs</w:t>
      </w:r>
      <w:bookmarkEnd w:id="22"/>
      <w:bookmarkEnd w:id="23"/>
    </w:p>
    <w:tbl>
      <w:tblPr>
        <w:tblW w:w="0" w:type="auto"/>
        <w:tblBorders>
          <w:insideH w:val="single" w:sz="18" w:space="0" w:color="93D500"/>
        </w:tblBorders>
        <w:tblLook w:val="04A0" w:firstRow="1" w:lastRow="0" w:firstColumn="1" w:lastColumn="0" w:noHBand="0" w:noVBand="1"/>
      </w:tblPr>
      <w:tblGrid>
        <w:gridCol w:w="2335"/>
        <w:gridCol w:w="2335"/>
        <w:gridCol w:w="2335"/>
        <w:gridCol w:w="2335"/>
      </w:tblGrid>
      <w:tr w:rsidR="003E090D" w:rsidRPr="007F1D90" w14:paraId="2AA39E47" w14:textId="77777777" w:rsidTr="007F1D90">
        <w:tc>
          <w:tcPr>
            <w:tcW w:w="2335" w:type="dxa"/>
            <w:tcBorders>
              <w:bottom w:val="single" w:sz="18" w:space="0" w:color="93D500"/>
            </w:tcBorders>
            <w:shd w:val="clear" w:color="auto" w:fill="03647A"/>
          </w:tcPr>
          <w:p w14:paraId="3D1BF8FA" w14:textId="27BD216C" w:rsidR="003E090D" w:rsidRPr="007F1D90" w:rsidRDefault="003E090D" w:rsidP="003E090D">
            <w:pPr>
              <w:spacing w:after="0" w:line="240" w:lineRule="auto"/>
              <w:rPr>
                <w:b/>
                <w:color w:val="FFFFFF"/>
                <w:sz w:val="20"/>
                <w:szCs w:val="20"/>
              </w:rPr>
            </w:pPr>
            <w:r w:rsidRPr="007F1D90">
              <w:rPr>
                <w:b/>
                <w:color w:val="FFFFFF"/>
                <w:sz w:val="20"/>
                <w:szCs w:val="20"/>
              </w:rPr>
              <w:t>Program Year</w:t>
            </w:r>
          </w:p>
        </w:tc>
        <w:tc>
          <w:tcPr>
            <w:tcW w:w="2335" w:type="dxa"/>
            <w:tcBorders>
              <w:bottom w:val="single" w:sz="18" w:space="0" w:color="93D500"/>
            </w:tcBorders>
            <w:shd w:val="clear" w:color="auto" w:fill="03647A"/>
          </w:tcPr>
          <w:p w14:paraId="752B6283" w14:textId="281B095B" w:rsidR="003E090D" w:rsidRPr="007F1D90" w:rsidRDefault="003E090D" w:rsidP="003E090D">
            <w:pPr>
              <w:spacing w:after="0" w:line="240" w:lineRule="auto"/>
              <w:jc w:val="right"/>
              <w:rPr>
                <w:b/>
                <w:color w:val="FFFFFF"/>
                <w:sz w:val="20"/>
                <w:szCs w:val="20"/>
              </w:rPr>
            </w:pPr>
            <w:r w:rsidRPr="007F1D90">
              <w:rPr>
                <w:b/>
                <w:color w:val="FFFFFF"/>
                <w:sz w:val="20"/>
                <w:szCs w:val="20"/>
              </w:rPr>
              <w:t>CY2025 Verified Net Lifetime Savings (kWh)</w:t>
            </w:r>
          </w:p>
        </w:tc>
        <w:tc>
          <w:tcPr>
            <w:tcW w:w="2335" w:type="dxa"/>
            <w:tcBorders>
              <w:bottom w:val="single" w:sz="18" w:space="0" w:color="93D500"/>
            </w:tcBorders>
            <w:shd w:val="clear" w:color="auto" w:fill="03647A"/>
          </w:tcPr>
          <w:p w14:paraId="1C6F37AC" w14:textId="525B5521" w:rsidR="003E090D" w:rsidRPr="007F1D90" w:rsidRDefault="003E090D" w:rsidP="003E090D">
            <w:pPr>
              <w:spacing w:after="0" w:line="240" w:lineRule="auto"/>
              <w:jc w:val="right"/>
              <w:rPr>
                <w:b/>
                <w:color w:val="FFFFFF"/>
                <w:sz w:val="20"/>
                <w:szCs w:val="20"/>
              </w:rPr>
            </w:pPr>
            <w:r w:rsidRPr="007F1D90">
              <w:rPr>
                <w:b/>
                <w:color w:val="FFFFFF"/>
                <w:sz w:val="20"/>
                <w:szCs w:val="20"/>
              </w:rPr>
              <w:t>Total Health Benefits</w:t>
            </w:r>
            <w:r w:rsidR="00B727B3">
              <w:rPr>
                <w:b/>
                <w:color w:val="FFFFFF"/>
                <w:sz w:val="20"/>
                <w:szCs w:val="20"/>
              </w:rPr>
              <w:t xml:space="preserve"> </w:t>
            </w:r>
            <w:r w:rsidR="00B727B3">
              <w:rPr>
                <w:b/>
                <w:color w:val="FFFFFF"/>
                <w:sz w:val="20"/>
                <w:szCs w:val="20"/>
              </w:rPr>
              <w:br/>
              <w:t>($)</w:t>
            </w:r>
          </w:p>
        </w:tc>
        <w:tc>
          <w:tcPr>
            <w:tcW w:w="2335" w:type="dxa"/>
            <w:tcBorders>
              <w:bottom w:val="single" w:sz="18" w:space="0" w:color="93D500"/>
            </w:tcBorders>
            <w:shd w:val="clear" w:color="auto" w:fill="03647A"/>
          </w:tcPr>
          <w:p w14:paraId="71B79387" w14:textId="14DDB453" w:rsidR="003E090D" w:rsidRPr="007F1D90" w:rsidRDefault="003E090D" w:rsidP="003E090D">
            <w:pPr>
              <w:spacing w:after="0" w:line="240" w:lineRule="auto"/>
              <w:jc w:val="right"/>
              <w:rPr>
                <w:b/>
                <w:color w:val="FFFFFF"/>
                <w:sz w:val="20"/>
                <w:szCs w:val="20"/>
              </w:rPr>
            </w:pPr>
            <w:r w:rsidRPr="007F1D90">
              <w:rPr>
                <w:b/>
                <w:color w:val="FFFFFF"/>
                <w:sz w:val="20"/>
                <w:szCs w:val="20"/>
              </w:rPr>
              <w:t>Total Health Benefits per kWh (</w:t>
            </w:r>
            <w:r w:rsidR="00E11D08">
              <w:rPr>
                <w:b/>
                <w:color w:val="FFFFFF"/>
                <w:sz w:val="20"/>
                <w:szCs w:val="20"/>
              </w:rPr>
              <w:t xml:space="preserve">$ </w:t>
            </w:r>
            <w:r w:rsidRPr="007F1D90">
              <w:rPr>
                <w:b/>
                <w:color w:val="FFFFFF"/>
                <w:sz w:val="20"/>
                <w:szCs w:val="20"/>
              </w:rPr>
              <w:t>Average)</w:t>
            </w:r>
          </w:p>
        </w:tc>
      </w:tr>
      <w:tr w:rsidR="003E090D" w:rsidRPr="007F1D90" w14:paraId="168D640E" w14:textId="77777777" w:rsidTr="007F1D90">
        <w:tc>
          <w:tcPr>
            <w:tcW w:w="2335" w:type="dxa"/>
            <w:tcBorders>
              <w:top w:val="single" w:sz="18" w:space="0" w:color="93D500"/>
              <w:bottom w:val="single" w:sz="4" w:space="0" w:color="auto"/>
            </w:tcBorders>
          </w:tcPr>
          <w:p w14:paraId="125D9FA8" w14:textId="4CC9EE18" w:rsidR="003E090D" w:rsidRPr="007F1D90" w:rsidRDefault="003E090D" w:rsidP="003E090D">
            <w:pPr>
              <w:spacing w:after="0" w:line="240" w:lineRule="auto"/>
              <w:rPr>
                <w:sz w:val="20"/>
                <w:szCs w:val="20"/>
              </w:rPr>
            </w:pPr>
            <w:r w:rsidRPr="007F1D90">
              <w:rPr>
                <w:sz w:val="20"/>
                <w:szCs w:val="20"/>
              </w:rPr>
              <w:t>CY2025</w:t>
            </w:r>
          </w:p>
        </w:tc>
        <w:tc>
          <w:tcPr>
            <w:tcW w:w="2335" w:type="dxa"/>
            <w:tcBorders>
              <w:top w:val="single" w:sz="18" w:space="0" w:color="93D500"/>
              <w:bottom w:val="single" w:sz="4" w:space="0" w:color="auto"/>
            </w:tcBorders>
          </w:tcPr>
          <w:p w14:paraId="2CC2ABFA" w14:textId="64E1F340" w:rsidR="003E090D" w:rsidRPr="007F1D90" w:rsidRDefault="003E090D" w:rsidP="003E090D">
            <w:pPr>
              <w:spacing w:after="0" w:line="240" w:lineRule="auto"/>
              <w:jc w:val="right"/>
              <w:rPr>
                <w:sz w:val="20"/>
                <w:szCs w:val="20"/>
              </w:rPr>
            </w:pPr>
            <w:r w:rsidRPr="007F1D90">
              <w:rPr>
                <w:sz w:val="20"/>
                <w:szCs w:val="20"/>
              </w:rPr>
              <w:t>19,156,864,438</w:t>
            </w:r>
          </w:p>
        </w:tc>
        <w:tc>
          <w:tcPr>
            <w:tcW w:w="2335" w:type="dxa"/>
            <w:tcBorders>
              <w:top w:val="single" w:sz="18" w:space="0" w:color="93D500"/>
              <w:bottom w:val="single" w:sz="4" w:space="0" w:color="auto"/>
            </w:tcBorders>
          </w:tcPr>
          <w:p w14:paraId="434C5549" w14:textId="2ECDB3BC" w:rsidR="003E090D" w:rsidRPr="007F1D90" w:rsidRDefault="003E090D" w:rsidP="003E090D">
            <w:pPr>
              <w:spacing w:after="0" w:line="240" w:lineRule="auto"/>
              <w:jc w:val="right"/>
              <w:rPr>
                <w:sz w:val="20"/>
                <w:szCs w:val="20"/>
              </w:rPr>
            </w:pPr>
            <w:r w:rsidRPr="007F1D90">
              <w:rPr>
                <w:sz w:val="20"/>
                <w:szCs w:val="20"/>
              </w:rPr>
              <w:t>$ 1,219,784,859</w:t>
            </w:r>
          </w:p>
        </w:tc>
        <w:tc>
          <w:tcPr>
            <w:tcW w:w="2335" w:type="dxa"/>
            <w:tcBorders>
              <w:top w:val="single" w:sz="18" w:space="0" w:color="93D500"/>
              <w:bottom w:val="single" w:sz="4" w:space="0" w:color="auto"/>
            </w:tcBorders>
          </w:tcPr>
          <w:p w14:paraId="6270A596" w14:textId="36C2A934" w:rsidR="003E090D" w:rsidRPr="007F1D90" w:rsidRDefault="003E090D" w:rsidP="003E090D">
            <w:pPr>
              <w:spacing w:after="0" w:line="240" w:lineRule="auto"/>
              <w:jc w:val="right"/>
              <w:rPr>
                <w:sz w:val="20"/>
                <w:szCs w:val="20"/>
              </w:rPr>
            </w:pPr>
            <w:r w:rsidRPr="007F1D90">
              <w:rPr>
                <w:sz w:val="20"/>
                <w:szCs w:val="20"/>
              </w:rPr>
              <w:t>$ 0.0637</w:t>
            </w:r>
          </w:p>
        </w:tc>
      </w:tr>
    </w:tbl>
    <w:p w14:paraId="4D716701" w14:textId="295D4337" w:rsidR="003E090D" w:rsidRPr="003E090D" w:rsidRDefault="003E090D" w:rsidP="003E090D">
      <w:pPr>
        <w:pStyle w:val="TableFigureSoureorNote"/>
      </w:pPr>
      <w:r w:rsidRPr="00E50A85">
        <w:t>Source</w:t>
      </w:r>
      <w:r>
        <w:t>:</w:t>
      </w:r>
      <w:r w:rsidRPr="003E090D">
        <w:t xml:space="preserve"> Guidehouse analysis of ComEd CY2025 verified program savings</w:t>
      </w:r>
      <w:r>
        <w:t>.</w:t>
      </w:r>
    </w:p>
    <w:p w14:paraId="39EBE3B7" w14:textId="29663874" w:rsidR="004C64BF" w:rsidRDefault="004C64BF" w:rsidP="004C64BF">
      <w:pPr>
        <w:pStyle w:val="Heading1"/>
      </w:pPr>
      <w:bookmarkStart w:id="24" w:name="_Toc227865878"/>
      <w:r>
        <w:t>Program-Level Societal NEI Estimates</w:t>
      </w:r>
      <w:bookmarkEnd w:id="24"/>
    </w:p>
    <w:p w14:paraId="422F0BB8" w14:textId="68EF9968" w:rsidR="003E090D" w:rsidRDefault="006A28C0" w:rsidP="003E090D">
      <w:r>
        <w:fldChar w:fldCharType="begin"/>
      </w:r>
      <w:r>
        <w:instrText xml:space="preserve"> REF _Ref227751324 \h </w:instrText>
      </w:r>
      <w:r>
        <w:fldChar w:fldCharType="separate"/>
      </w:r>
      <w:r>
        <w:t xml:space="preserve">Table </w:t>
      </w:r>
      <w:r>
        <w:rPr>
          <w:noProof/>
        </w:rPr>
        <w:t>2</w:t>
      </w:r>
      <w:r>
        <w:fldChar w:fldCharType="end"/>
      </w:r>
      <w:r>
        <w:t xml:space="preserve"> </w:t>
      </w:r>
      <w:r w:rsidR="003E090D" w:rsidRPr="003E090D">
        <w:t xml:space="preserve">provides Societal NEI estimates for ComEd CY2025 programs, expressed in both absolute dollars and dollars per kWh. Note that program-level dollar per kWh values </w:t>
      </w:r>
      <w:proofErr w:type="gramStart"/>
      <w:r w:rsidR="003E090D" w:rsidRPr="003E090D">
        <w:t>are</w:t>
      </w:r>
      <w:proofErr w:type="gramEnd"/>
      <w:r w:rsidR="003E090D" w:rsidRPr="003E090D">
        <w:t xml:space="preserve"> levelized to each program's CPAS. Each table assumes that CY2025 savings begin in the program year of interest, and societal health benefit estimates are expressed in the program year's dollars. Societal NEI estimates for each year are then estimated using the annual approach highlighted in the Methodology section, discounted back to 2025, then summed. The result is a lifetime Societal NEI estimate expressed in 2025 dollars.</w:t>
      </w:r>
    </w:p>
    <w:p w14:paraId="0AEC74F7" w14:textId="462D5517" w:rsidR="003E090D" w:rsidRDefault="003E090D" w:rsidP="00F804CA">
      <w:pPr>
        <w:pStyle w:val="Caption"/>
        <w:spacing w:after="0"/>
      </w:pPr>
      <w:bookmarkStart w:id="25" w:name="_Ref227751324"/>
      <w:bookmarkStart w:id="26" w:name="_Toc227865860"/>
      <w:r>
        <w:t xml:space="preserve">Table </w:t>
      </w:r>
      <w:fldSimple w:instr=" SEQ Table \* ARABIC ">
        <w:r w:rsidR="00055C65">
          <w:rPr>
            <w:noProof/>
          </w:rPr>
          <w:t>2</w:t>
        </w:r>
      </w:fldSimple>
      <w:bookmarkEnd w:id="25"/>
      <w:r>
        <w:t xml:space="preserve">. </w:t>
      </w:r>
      <w:r w:rsidR="00055C65" w:rsidRPr="00055C65">
        <w:t>CY2025 Societal NEI Estimates by Program in 2025 Dollars</w:t>
      </w:r>
      <w:bookmarkEnd w:id="26"/>
    </w:p>
    <w:tbl>
      <w:tblPr>
        <w:tblW w:w="0" w:type="auto"/>
        <w:tblBorders>
          <w:insideH w:val="dotted" w:sz="2" w:space="0" w:color="00BAD6"/>
        </w:tblBorders>
        <w:tblLayout w:type="fixed"/>
        <w:tblLook w:val="04A0" w:firstRow="1" w:lastRow="0" w:firstColumn="1" w:lastColumn="0" w:noHBand="0" w:noVBand="1"/>
      </w:tblPr>
      <w:tblGrid>
        <w:gridCol w:w="1548"/>
        <w:gridCol w:w="159"/>
        <w:gridCol w:w="1922"/>
        <w:gridCol w:w="2131"/>
        <w:gridCol w:w="1916"/>
        <w:gridCol w:w="1684"/>
      </w:tblGrid>
      <w:tr w:rsidR="003E090D" w:rsidRPr="00B95A75" w14:paraId="105B45F8" w14:textId="77777777" w:rsidTr="00E4566B">
        <w:trPr>
          <w:cantSplit/>
          <w:tblHeader/>
        </w:trPr>
        <w:tc>
          <w:tcPr>
            <w:tcW w:w="1548" w:type="dxa"/>
            <w:tcBorders>
              <w:top w:val="nil"/>
              <w:left w:val="nil"/>
              <w:bottom w:val="single" w:sz="18" w:space="0" w:color="93D500"/>
              <w:right w:val="nil"/>
            </w:tcBorders>
            <w:shd w:val="clear" w:color="auto" w:fill="03647A"/>
          </w:tcPr>
          <w:p w14:paraId="2C4FCD32" w14:textId="4FA5625E" w:rsidR="003E090D" w:rsidRPr="00B95A75" w:rsidRDefault="003E090D" w:rsidP="003E090D">
            <w:pPr>
              <w:spacing w:after="0" w:line="240" w:lineRule="auto"/>
              <w:rPr>
                <w:b/>
                <w:color w:val="FFFFFF"/>
                <w:sz w:val="20"/>
                <w:szCs w:val="20"/>
              </w:rPr>
            </w:pPr>
            <w:r w:rsidRPr="00B95A75">
              <w:rPr>
                <w:b/>
                <w:color w:val="FFFFFF"/>
                <w:sz w:val="20"/>
                <w:szCs w:val="20"/>
              </w:rPr>
              <w:t>Sector</w:t>
            </w:r>
          </w:p>
        </w:tc>
        <w:tc>
          <w:tcPr>
            <w:tcW w:w="2081" w:type="dxa"/>
            <w:gridSpan w:val="2"/>
            <w:tcBorders>
              <w:top w:val="nil"/>
              <w:left w:val="nil"/>
              <w:bottom w:val="single" w:sz="18" w:space="0" w:color="93D500"/>
              <w:right w:val="nil"/>
            </w:tcBorders>
            <w:shd w:val="clear" w:color="auto" w:fill="03647A"/>
          </w:tcPr>
          <w:p w14:paraId="0C7FCA1D" w14:textId="42C23EAE" w:rsidR="003E090D" w:rsidRPr="00B95A75" w:rsidRDefault="003E090D" w:rsidP="003E090D">
            <w:pPr>
              <w:spacing w:after="0" w:line="240" w:lineRule="auto"/>
              <w:rPr>
                <w:b/>
                <w:color w:val="FFFFFF"/>
                <w:sz w:val="20"/>
                <w:szCs w:val="20"/>
              </w:rPr>
            </w:pPr>
            <w:r w:rsidRPr="00B95A75">
              <w:rPr>
                <w:b/>
                <w:color w:val="FFFFFF"/>
                <w:sz w:val="20"/>
                <w:szCs w:val="20"/>
              </w:rPr>
              <w:t xml:space="preserve">Program </w:t>
            </w:r>
          </w:p>
        </w:tc>
        <w:tc>
          <w:tcPr>
            <w:tcW w:w="2131" w:type="dxa"/>
            <w:tcBorders>
              <w:top w:val="nil"/>
              <w:left w:val="nil"/>
              <w:bottom w:val="single" w:sz="18" w:space="0" w:color="93D500"/>
              <w:right w:val="nil"/>
            </w:tcBorders>
            <w:shd w:val="clear" w:color="auto" w:fill="03647A"/>
          </w:tcPr>
          <w:p w14:paraId="04A51E0D" w14:textId="30EB6843" w:rsidR="003E090D" w:rsidRPr="00B95A75" w:rsidRDefault="003E090D" w:rsidP="00055C65">
            <w:pPr>
              <w:spacing w:after="0" w:line="240" w:lineRule="auto"/>
              <w:jc w:val="right"/>
              <w:rPr>
                <w:b/>
                <w:color w:val="FFFFFF"/>
                <w:sz w:val="20"/>
                <w:szCs w:val="20"/>
              </w:rPr>
            </w:pPr>
            <w:r w:rsidRPr="00B95A75">
              <w:rPr>
                <w:b/>
                <w:color w:val="FFFFFF"/>
                <w:sz w:val="20"/>
                <w:szCs w:val="20"/>
              </w:rPr>
              <w:t xml:space="preserve">CY2025 Verified Net Lifetime Savings (kWh) </w:t>
            </w:r>
          </w:p>
        </w:tc>
        <w:tc>
          <w:tcPr>
            <w:tcW w:w="1916" w:type="dxa"/>
            <w:tcBorders>
              <w:top w:val="nil"/>
              <w:left w:val="nil"/>
              <w:bottom w:val="single" w:sz="18" w:space="0" w:color="93D500"/>
              <w:right w:val="nil"/>
            </w:tcBorders>
            <w:shd w:val="clear" w:color="auto" w:fill="03647A"/>
          </w:tcPr>
          <w:p w14:paraId="1D7970EF" w14:textId="185B85C2" w:rsidR="003E090D" w:rsidRPr="00B95A75" w:rsidRDefault="003E090D" w:rsidP="00055C65">
            <w:pPr>
              <w:spacing w:after="0" w:line="240" w:lineRule="auto"/>
              <w:jc w:val="right"/>
              <w:rPr>
                <w:b/>
                <w:color w:val="FFFFFF"/>
                <w:sz w:val="20"/>
                <w:szCs w:val="20"/>
              </w:rPr>
            </w:pPr>
            <w:r w:rsidRPr="00B95A75">
              <w:rPr>
                <w:b/>
                <w:color w:val="FFFFFF"/>
                <w:sz w:val="20"/>
                <w:szCs w:val="20"/>
              </w:rPr>
              <w:t xml:space="preserve">Health Benefits per kWh </w:t>
            </w:r>
            <w:r w:rsidR="00784690">
              <w:rPr>
                <w:b/>
                <w:color w:val="FFFFFF"/>
                <w:sz w:val="20"/>
                <w:szCs w:val="20"/>
              </w:rPr>
              <w:br/>
              <w:t>($)</w:t>
            </w:r>
          </w:p>
        </w:tc>
        <w:tc>
          <w:tcPr>
            <w:tcW w:w="1684" w:type="dxa"/>
            <w:tcBorders>
              <w:top w:val="nil"/>
              <w:left w:val="nil"/>
              <w:bottom w:val="single" w:sz="18" w:space="0" w:color="93D500"/>
              <w:right w:val="nil"/>
            </w:tcBorders>
            <w:shd w:val="clear" w:color="auto" w:fill="03647A"/>
          </w:tcPr>
          <w:p w14:paraId="56EE55B8" w14:textId="0A272066" w:rsidR="003E090D" w:rsidRPr="00B95A75" w:rsidRDefault="003E090D" w:rsidP="00055C65">
            <w:pPr>
              <w:spacing w:after="0" w:line="240" w:lineRule="auto"/>
              <w:jc w:val="right"/>
              <w:rPr>
                <w:b/>
                <w:color w:val="FFFFFF"/>
                <w:sz w:val="20"/>
                <w:szCs w:val="20"/>
              </w:rPr>
            </w:pPr>
            <w:r w:rsidRPr="00B95A75">
              <w:rPr>
                <w:b/>
                <w:color w:val="FFFFFF"/>
                <w:sz w:val="20"/>
                <w:szCs w:val="20"/>
              </w:rPr>
              <w:t xml:space="preserve">Total Health Benefits </w:t>
            </w:r>
            <w:r w:rsidR="00784690">
              <w:rPr>
                <w:b/>
                <w:color w:val="FFFFFF"/>
                <w:sz w:val="20"/>
                <w:szCs w:val="20"/>
              </w:rPr>
              <w:br/>
              <w:t>($)</w:t>
            </w:r>
          </w:p>
        </w:tc>
      </w:tr>
      <w:tr w:rsidR="003E090D" w:rsidRPr="00B95A75" w14:paraId="29BC78A8" w14:textId="77777777" w:rsidTr="00E4566B">
        <w:tc>
          <w:tcPr>
            <w:tcW w:w="1548" w:type="dxa"/>
            <w:tcBorders>
              <w:left w:val="nil"/>
            </w:tcBorders>
          </w:tcPr>
          <w:p w14:paraId="1897F192" w14:textId="7CC303D7" w:rsidR="003E090D" w:rsidRPr="00B95A75" w:rsidRDefault="003E090D" w:rsidP="003E090D">
            <w:pPr>
              <w:spacing w:after="0" w:line="240" w:lineRule="auto"/>
              <w:rPr>
                <w:sz w:val="20"/>
                <w:szCs w:val="20"/>
              </w:rPr>
            </w:pPr>
            <w:r w:rsidRPr="00B95A75">
              <w:rPr>
                <w:sz w:val="20"/>
                <w:szCs w:val="20"/>
              </w:rPr>
              <w:t>Business &amp; Public Sector</w:t>
            </w:r>
          </w:p>
        </w:tc>
        <w:tc>
          <w:tcPr>
            <w:tcW w:w="2081" w:type="dxa"/>
            <w:gridSpan w:val="2"/>
          </w:tcPr>
          <w:p w14:paraId="181B238A" w14:textId="1A129005" w:rsidR="003E090D" w:rsidRPr="00B95A75" w:rsidRDefault="00F57924" w:rsidP="003E090D">
            <w:pPr>
              <w:spacing w:after="0" w:line="240" w:lineRule="auto"/>
              <w:rPr>
                <w:sz w:val="20"/>
                <w:szCs w:val="20"/>
              </w:rPr>
            </w:pPr>
            <w:r w:rsidRPr="0006533E">
              <w:rPr>
                <w:sz w:val="20"/>
                <w:szCs w:val="20"/>
              </w:rPr>
              <w:t xml:space="preserve">Behavior Bus/Pub </w:t>
            </w:r>
          </w:p>
        </w:tc>
        <w:tc>
          <w:tcPr>
            <w:tcW w:w="2131" w:type="dxa"/>
          </w:tcPr>
          <w:p w14:paraId="09BB9EE0" w14:textId="552BD4AD" w:rsidR="003E090D" w:rsidRPr="00B95A75" w:rsidRDefault="00F57924" w:rsidP="00055C65">
            <w:pPr>
              <w:spacing w:after="0" w:line="240" w:lineRule="auto"/>
              <w:jc w:val="right"/>
              <w:rPr>
                <w:sz w:val="20"/>
                <w:szCs w:val="20"/>
              </w:rPr>
            </w:pPr>
            <w:r w:rsidRPr="00F57924">
              <w:rPr>
                <w:sz w:val="20"/>
                <w:szCs w:val="20"/>
              </w:rPr>
              <w:t>303</w:t>
            </w:r>
            <w:r w:rsidR="005874AB">
              <w:rPr>
                <w:sz w:val="20"/>
                <w:szCs w:val="20"/>
              </w:rPr>
              <w:t>,</w:t>
            </w:r>
            <w:r w:rsidRPr="00F57924">
              <w:rPr>
                <w:sz w:val="20"/>
                <w:szCs w:val="20"/>
              </w:rPr>
              <w:t>345</w:t>
            </w:r>
            <w:r w:rsidR="005874AB">
              <w:rPr>
                <w:sz w:val="20"/>
                <w:szCs w:val="20"/>
              </w:rPr>
              <w:t>,</w:t>
            </w:r>
            <w:r w:rsidRPr="00F57924">
              <w:rPr>
                <w:sz w:val="20"/>
                <w:szCs w:val="20"/>
              </w:rPr>
              <w:t>051</w:t>
            </w:r>
          </w:p>
        </w:tc>
        <w:tc>
          <w:tcPr>
            <w:tcW w:w="1916" w:type="dxa"/>
          </w:tcPr>
          <w:p w14:paraId="642F3322" w14:textId="0D8AC7EB" w:rsidR="003E090D" w:rsidRPr="00B95A75" w:rsidRDefault="00F57924" w:rsidP="00055C65">
            <w:pPr>
              <w:spacing w:after="0" w:line="240" w:lineRule="auto"/>
              <w:jc w:val="right"/>
              <w:rPr>
                <w:sz w:val="20"/>
                <w:szCs w:val="20"/>
              </w:rPr>
            </w:pPr>
            <w:r w:rsidRPr="00F57924">
              <w:rPr>
                <w:sz w:val="20"/>
                <w:szCs w:val="20"/>
              </w:rPr>
              <w:t xml:space="preserve"> $0.0754 </w:t>
            </w:r>
          </w:p>
        </w:tc>
        <w:tc>
          <w:tcPr>
            <w:tcW w:w="1684" w:type="dxa"/>
            <w:tcBorders>
              <w:right w:val="nil"/>
            </w:tcBorders>
          </w:tcPr>
          <w:p w14:paraId="01C97C91" w14:textId="20243866" w:rsidR="003E090D" w:rsidRPr="00B95A75" w:rsidRDefault="00F57924" w:rsidP="00055C65">
            <w:pPr>
              <w:spacing w:after="0" w:line="240" w:lineRule="auto"/>
              <w:jc w:val="right"/>
              <w:rPr>
                <w:sz w:val="20"/>
                <w:szCs w:val="20"/>
              </w:rPr>
            </w:pPr>
            <w:r w:rsidRPr="00F57924">
              <w:rPr>
                <w:sz w:val="20"/>
                <w:szCs w:val="20"/>
              </w:rPr>
              <w:t xml:space="preserve"> $22,857,122 </w:t>
            </w:r>
          </w:p>
        </w:tc>
      </w:tr>
      <w:tr w:rsidR="003E090D" w:rsidRPr="00B95A75" w14:paraId="2496A33C" w14:textId="77777777" w:rsidTr="00E4566B">
        <w:tc>
          <w:tcPr>
            <w:tcW w:w="1548" w:type="dxa"/>
            <w:tcBorders>
              <w:left w:val="nil"/>
            </w:tcBorders>
          </w:tcPr>
          <w:p w14:paraId="3E6D7E6E" w14:textId="793290A0" w:rsidR="003E090D" w:rsidRPr="00B95A75" w:rsidRDefault="003E090D" w:rsidP="003E090D">
            <w:pPr>
              <w:spacing w:after="0" w:line="240" w:lineRule="auto"/>
              <w:rPr>
                <w:sz w:val="20"/>
                <w:szCs w:val="20"/>
              </w:rPr>
            </w:pPr>
            <w:r w:rsidRPr="00B95A75">
              <w:rPr>
                <w:sz w:val="20"/>
                <w:szCs w:val="20"/>
              </w:rPr>
              <w:t>Business &amp; Public Sector</w:t>
            </w:r>
          </w:p>
        </w:tc>
        <w:tc>
          <w:tcPr>
            <w:tcW w:w="2081" w:type="dxa"/>
            <w:gridSpan w:val="2"/>
          </w:tcPr>
          <w:p w14:paraId="099811B0" w14:textId="2894531C" w:rsidR="003E090D" w:rsidRPr="00B95A75" w:rsidRDefault="00F57924" w:rsidP="003E090D">
            <w:pPr>
              <w:spacing w:after="0" w:line="240" w:lineRule="auto"/>
              <w:rPr>
                <w:sz w:val="20"/>
                <w:szCs w:val="20"/>
              </w:rPr>
            </w:pPr>
            <w:r w:rsidRPr="0006533E">
              <w:rPr>
                <w:sz w:val="20"/>
                <w:szCs w:val="20"/>
              </w:rPr>
              <w:t xml:space="preserve">Business Energy Analyzer (BEA) </w:t>
            </w:r>
          </w:p>
        </w:tc>
        <w:tc>
          <w:tcPr>
            <w:tcW w:w="2131" w:type="dxa"/>
          </w:tcPr>
          <w:p w14:paraId="66001CB9" w14:textId="5D451989" w:rsidR="003E090D" w:rsidRPr="00B95A75" w:rsidRDefault="00F57924" w:rsidP="00055C65">
            <w:pPr>
              <w:spacing w:after="0" w:line="240" w:lineRule="auto"/>
              <w:jc w:val="right"/>
              <w:rPr>
                <w:sz w:val="20"/>
                <w:szCs w:val="20"/>
              </w:rPr>
            </w:pPr>
            <w:r w:rsidRPr="00F57924">
              <w:rPr>
                <w:sz w:val="20"/>
                <w:szCs w:val="20"/>
              </w:rPr>
              <w:t>67</w:t>
            </w:r>
            <w:r w:rsidR="005874AB">
              <w:rPr>
                <w:sz w:val="20"/>
                <w:szCs w:val="20"/>
              </w:rPr>
              <w:t>,</w:t>
            </w:r>
            <w:r w:rsidRPr="00F57924">
              <w:rPr>
                <w:sz w:val="20"/>
                <w:szCs w:val="20"/>
              </w:rPr>
              <w:t>941</w:t>
            </w:r>
            <w:r w:rsidR="005874AB">
              <w:rPr>
                <w:sz w:val="20"/>
                <w:szCs w:val="20"/>
              </w:rPr>
              <w:t>,</w:t>
            </w:r>
            <w:r w:rsidRPr="00F57924">
              <w:rPr>
                <w:sz w:val="20"/>
                <w:szCs w:val="20"/>
              </w:rPr>
              <w:t>120</w:t>
            </w:r>
          </w:p>
        </w:tc>
        <w:tc>
          <w:tcPr>
            <w:tcW w:w="1916" w:type="dxa"/>
          </w:tcPr>
          <w:p w14:paraId="29EB4A9B" w14:textId="3EF177BC" w:rsidR="003E090D" w:rsidRPr="00B95A75" w:rsidRDefault="00F57924" w:rsidP="00055C65">
            <w:pPr>
              <w:spacing w:after="0" w:line="240" w:lineRule="auto"/>
              <w:jc w:val="right"/>
              <w:rPr>
                <w:sz w:val="20"/>
                <w:szCs w:val="20"/>
              </w:rPr>
            </w:pPr>
            <w:r w:rsidRPr="00F57924">
              <w:rPr>
                <w:sz w:val="20"/>
                <w:szCs w:val="20"/>
              </w:rPr>
              <w:t xml:space="preserve"> $0.0745 </w:t>
            </w:r>
          </w:p>
        </w:tc>
        <w:tc>
          <w:tcPr>
            <w:tcW w:w="1684" w:type="dxa"/>
            <w:tcBorders>
              <w:right w:val="nil"/>
            </w:tcBorders>
          </w:tcPr>
          <w:p w14:paraId="4299E297" w14:textId="508B2E67" w:rsidR="003E090D" w:rsidRPr="00B95A75" w:rsidRDefault="00F57924" w:rsidP="00055C65">
            <w:pPr>
              <w:spacing w:after="0" w:line="240" w:lineRule="auto"/>
              <w:jc w:val="right"/>
              <w:rPr>
                <w:sz w:val="20"/>
                <w:szCs w:val="20"/>
              </w:rPr>
            </w:pPr>
            <w:r w:rsidRPr="00F57924">
              <w:rPr>
                <w:sz w:val="20"/>
                <w:szCs w:val="20"/>
              </w:rPr>
              <w:t xml:space="preserve"> $5,061,108 </w:t>
            </w:r>
          </w:p>
        </w:tc>
      </w:tr>
      <w:tr w:rsidR="003E090D" w:rsidRPr="00B95A75" w14:paraId="25D1A217" w14:textId="77777777" w:rsidTr="00E4566B">
        <w:tc>
          <w:tcPr>
            <w:tcW w:w="1548" w:type="dxa"/>
            <w:tcBorders>
              <w:left w:val="nil"/>
            </w:tcBorders>
          </w:tcPr>
          <w:p w14:paraId="5C4B9967" w14:textId="5074B222" w:rsidR="003E090D" w:rsidRPr="00B95A75" w:rsidRDefault="003E090D" w:rsidP="003E090D">
            <w:pPr>
              <w:spacing w:after="0" w:line="240" w:lineRule="auto"/>
              <w:rPr>
                <w:sz w:val="20"/>
                <w:szCs w:val="20"/>
              </w:rPr>
            </w:pPr>
            <w:r w:rsidRPr="00B95A75">
              <w:rPr>
                <w:sz w:val="20"/>
                <w:szCs w:val="20"/>
              </w:rPr>
              <w:t>Business &amp; Public Sector</w:t>
            </w:r>
          </w:p>
        </w:tc>
        <w:tc>
          <w:tcPr>
            <w:tcW w:w="2081" w:type="dxa"/>
            <w:gridSpan w:val="2"/>
          </w:tcPr>
          <w:p w14:paraId="5B48E2D4" w14:textId="06800DB9" w:rsidR="003E090D" w:rsidRPr="00B95A75" w:rsidRDefault="00F57924" w:rsidP="003E090D">
            <w:pPr>
              <w:spacing w:after="0" w:line="240" w:lineRule="auto"/>
              <w:rPr>
                <w:sz w:val="20"/>
                <w:szCs w:val="20"/>
              </w:rPr>
            </w:pPr>
            <w:r w:rsidRPr="00E4566B">
              <w:rPr>
                <w:sz w:val="20"/>
                <w:szCs w:val="20"/>
              </w:rPr>
              <w:t xml:space="preserve">Incentives </w:t>
            </w:r>
          </w:p>
        </w:tc>
        <w:tc>
          <w:tcPr>
            <w:tcW w:w="2131" w:type="dxa"/>
          </w:tcPr>
          <w:p w14:paraId="1632B3C3" w14:textId="799B1FAF" w:rsidR="003E090D" w:rsidRPr="00B95A75" w:rsidRDefault="00F57924" w:rsidP="00055C65">
            <w:pPr>
              <w:spacing w:after="0" w:line="240" w:lineRule="auto"/>
              <w:jc w:val="right"/>
              <w:rPr>
                <w:sz w:val="20"/>
                <w:szCs w:val="20"/>
              </w:rPr>
            </w:pPr>
            <w:r w:rsidRPr="00E4566B">
              <w:rPr>
                <w:sz w:val="20"/>
                <w:szCs w:val="20"/>
              </w:rPr>
              <w:t>2</w:t>
            </w:r>
            <w:r w:rsidR="005874AB">
              <w:rPr>
                <w:sz w:val="20"/>
                <w:szCs w:val="20"/>
              </w:rPr>
              <w:t>,</w:t>
            </w:r>
            <w:r w:rsidRPr="00E4566B">
              <w:rPr>
                <w:sz w:val="20"/>
                <w:szCs w:val="20"/>
              </w:rPr>
              <w:t>244</w:t>
            </w:r>
            <w:r w:rsidR="005874AB">
              <w:rPr>
                <w:sz w:val="20"/>
                <w:szCs w:val="20"/>
              </w:rPr>
              <w:t>,</w:t>
            </w:r>
            <w:r w:rsidRPr="00E4566B">
              <w:rPr>
                <w:sz w:val="20"/>
                <w:szCs w:val="20"/>
              </w:rPr>
              <w:t>681</w:t>
            </w:r>
            <w:r w:rsidR="005874AB">
              <w:rPr>
                <w:sz w:val="20"/>
                <w:szCs w:val="20"/>
              </w:rPr>
              <w:t>,</w:t>
            </w:r>
            <w:r w:rsidRPr="00E4566B">
              <w:rPr>
                <w:sz w:val="20"/>
                <w:szCs w:val="20"/>
              </w:rPr>
              <w:t>108</w:t>
            </w:r>
          </w:p>
        </w:tc>
        <w:tc>
          <w:tcPr>
            <w:tcW w:w="1916" w:type="dxa"/>
          </w:tcPr>
          <w:p w14:paraId="32270407" w14:textId="4F1B8697" w:rsidR="003E090D" w:rsidRPr="00B95A75" w:rsidRDefault="00F57924" w:rsidP="00055C65">
            <w:pPr>
              <w:spacing w:after="0" w:line="240" w:lineRule="auto"/>
              <w:jc w:val="right"/>
              <w:rPr>
                <w:sz w:val="20"/>
                <w:szCs w:val="20"/>
              </w:rPr>
            </w:pPr>
            <w:r w:rsidRPr="00E4566B">
              <w:rPr>
                <w:sz w:val="20"/>
                <w:szCs w:val="20"/>
              </w:rPr>
              <w:t xml:space="preserve"> $0.0624 </w:t>
            </w:r>
          </w:p>
        </w:tc>
        <w:tc>
          <w:tcPr>
            <w:tcW w:w="1684" w:type="dxa"/>
            <w:tcBorders>
              <w:right w:val="nil"/>
            </w:tcBorders>
          </w:tcPr>
          <w:p w14:paraId="1DD23F43" w14:textId="6E073F2C" w:rsidR="003E090D" w:rsidRPr="00B95A75" w:rsidRDefault="00F57924" w:rsidP="00055C65">
            <w:pPr>
              <w:spacing w:after="0" w:line="240" w:lineRule="auto"/>
              <w:jc w:val="right"/>
              <w:rPr>
                <w:sz w:val="20"/>
                <w:szCs w:val="20"/>
              </w:rPr>
            </w:pPr>
            <w:r w:rsidRPr="00E4566B">
              <w:rPr>
                <w:sz w:val="20"/>
                <w:szCs w:val="20"/>
              </w:rPr>
              <w:t xml:space="preserve"> $140,041,518 </w:t>
            </w:r>
          </w:p>
        </w:tc>
      </w:tr>
      <w:tr w:rsidR="003E090D" w:rsidRPr="00B95A75" w14:paraId="7B83EFAF" w14:textId="77777777" w:rsidTr="00E4566B">
        <w:tc>
          <w:tcPr>
            <w:tcW w:w="1548" w:type="dxa"/>
            <w:tcBorders>
              <w:left w:val="nil"/>
            </w:tcBorders>
          </w:tcPr>
          <w:p w14:paraId="76442165" w14:textId="27B00FCF" w:rsidR="003E090D" w:rsidRPr="00B95A75" w:rsidRDefault="003E090D" w:rsidP="003E090D">
            <w:pPr>
              <w:spacing w:after="0" w:line="240" w:lineRule="auto"/>
              <w:rPr>
                <w:sz w:val="20"/>
                <w:szCs w:val="20"/>
              </w:rPr>
            </w:pPr>
            <w:r w:rsidRPr="00B95A75">
              <w:rPr>
                <w:sz w:val="20"/>
                <w:szCs w:val="20"/>
              </w:rPr>
              <w:lastRenderedPageBreak/>
              <w:t>Business &amp; Public Sector</w:t>
            </w:r>
          </w:p>
        </w:tc>
        <w:tc>
          <w:tcPr>
            <w:tcW w:w="2081" w:type="dxa"/>
            <w:gridSpan w:val="2"/>
          </w:tcPr>
          <w:p w14:paraId="2EC2261D" w14:textId="270F5F8A" w:rsidR="003E090D" w:rsidRPr="00B95A75" w:rsidRDefault="00F57924" w:rsidP="003E090D">
            <w:pPr>
              <w:spacing w:after="0" w:line="240" w:lineRule="auto"/>
              <w:rPr>
                <w:sz w:val="20"/>
                <w:szCs w:val="20"/>
              </w:rPr>
            </w:pPr>
            <w:r w:rsidRPr="00E4566B">
              <w:rPr>
                <w:sz w:val="20"/>
                <w:szCs w:val="20"/>
              </w:rPr>
              <w:t xml:space="preserve">Midstream/Upstream </w:t>
            </w:r>
          </w:p>
        </w:tc>
        <w:tc>
          <w:tcPr>
            <w:tcW w:w="2131" w:type="dxa"/>
          </w:tcPr>
          <w:p w14:paraId="693CFB47" w14:textId="13D101FC" w:rsidR="003E090D" w:rsidRPr="00B95A75" w:rsidRDefault="00F57924" w:rsidP="00055C65">
            <w:pPr>
              <w:spacing w:after="0" w:line="240" w:lineRule="auto"/>
              <w:jc w:val="right"/>
              <w:rPr>
                <w:sz w:val="20"/>
                <w:szCs w:val="20"/>
              </w:rPr>
            </w:pPr>
            <w:r w:rsidRPr="00E4566B">
              <w:rPr>
                <w:sz w:val="20"/>
                <w:szCs w:val="20"/>
              </w:rPr>
              <w:t>3</w:t>
            </w:r>
            <w:r w:rsidR="005874AB">
              <w:rPr>
                <w:sz w:val="20"/>
                <w:szCs w:val="20"/>
              </w:rPr>
              <w:t>,</w:t>
            </w:r>
            <w:r w:rsidRPr="00E4566B">
              <w:rPr>
                <w:sz w:val="20"/>
                <w:szCs w:val="20"/>
              </w:rPr>
              <w:t>602</w:t>
            </w:r>
            <w:r w:rsidR="005874AB">
              <w:rPr>
                <w:sz w:val="20"/>
                <w:szCs w:val="20"/>
              </w:rPr>
              <w:t>,</w:t>
            </w:r>
            <w:r w:rsidRPr="00E4566B">
              <w:rPr>
                <w:sz w:val="20"/>
                <w:szCs w:val="20"/>
              </w:rPr>
              <w:t>008</w:t>
            </w:r>
            <w:r w:rsidR="005874AB">
              <w:rPr>
                <w:sz w:val="20"/>
                <w:szCs w:val="20"/>
              </w:rPr>
              <w:t>,</w:t>
            </w:r>
            <w:r w:rsidRPr="00E4566B">
              <w:rPr>
                <w:sz w:val="20"/>
                <w:szCs w:val="20"/>
              </w:rPr>
              <w:t>042</w:t>
            </w:r>
          </w:p>
        </w:tc>
        <w:tc>
          <w:tcPr>
            <w:tcW w:w="1916" w:type="dxa"/>
          </w:tcPr>
          <w:p w14:paraId="6380BD57" w14:textId="5445D3A6" w:rsidR="003E090D" w:rsidRPr="00B95A75" w:rsidRDefault="00F57924" w:rsidP="00055C65">
            <w:pPr>
              <w:spacing w:after="0" w:line="240" w:lineRule="auto"/>
              <w:jc w:val="right"/>
              <w:rPr>
                <w:sz w:val="20"/>
                <w:szCs w:val="20"/>
              </w:rPr>
            </w:pPr>
            <w:r w:rsidRPr="00E4566B">
              <w:rPr>
                <w:sz w:val="20"/>
                <w:szCs w:val="20"/>
              </w:rPr>
              <w:t xml:space="preserve"> $0.0619 </w:t>
            </w:r>
          </w:p>
        </w:tc>
        <w:tc>
          <w:tcPr>
            <w:tcW w:w="1684" w:type="dxa"/>
            <w:tcBorders>
              <w:right w:val="nil"/>
            </w:tcBorders>
          </w:tcPr>
          <w:p w14:paraId="5CEC97AF" w14:textId="15D55C80" w:rsidR="003E090D" w:rsidRPr="00B95A75" w:rsidRDefault="00F57924" w:rsidP="00055C65">
            <w:pPr>
              <w:spacing w:after="0" w:line="240" w:lineRule="auto"/>
              <w:jc w:val="right"/>
              <w:rPr>
                <w:sz w:val="20"/>
                <w:szCs w:val="20"/>
              </w:rPr>
            </w:pPr>
            <w:r w:rsidRPr="00E4566B">
              <w:rPr>
                <w:sz w:val="20"/>
                <w:szCs w:val="20"/>
              </w:rPr>
              <w:t xml:space="preserve"> $222,985,552 </w:t>
            </w:r>
          </w:p>
        </w:tc>
      </w:tr>
      <w:tr w:rsidR="003E090D" w:rsidRPr="00B95A75" w14:paraId="4BBD5363" w14:textId="77777777" w:rsidTr="00E4566B">
        <w:tc>
          <w:tcPr>
            <w:tcW w:w="1548" w:type="dxa"/>
            <w:tcBorders>
              <w:left w:val="nil"/>
            </w:tcBorders>
          </w:tcPr>
          <w:p w14:paraId="520BDE5F" w14:textId="63F01607" w:rsidR="003E090D" w:rsidRPr="00B95A75" w:rsidRDefault="003E090D" w:rsidP="003E090D">
            <w:pPr>
              <w:spacing w:after="0" w:line="240" w:lineRule="auto"/>
              <w:rPr>
                <w:sz w:val="20"/>
                <w:szCs w:val="20"/>
              </w:rPr>
            </w:pPr>
            <w:r w:rsidRPr="00B95A75">
              <w:rPr>
                <w:sz w:val="20"/>
                <w:szCs w:val="20"/>
              </w:rPr>
              <w:t>Business &amp; Public Sector</w:t>
            </w:r>
          </w:p>
        </w:tc>
        <w:tc>
          <w:tcPr>
            <w:tcW w:w="2081" w:type="dxa"/>
            <w:gridSpan w:val="2"/>
          </w:tcPr>
          <w:p w14:paraId="2C5ED11B" w14:textId="354A6222" w:rsidR="003E090D" w:rsidRPr="00B95A75" w:rsidRDefault="00F57924" w:rsidP="003E090D">
            <w:pPr>
              <w:spacing w:after="0" w:line="240" w:lineRule="auto"/>
              <w:rPr>
                <w:sz w:val="20"/>
                <w:szCs w:val="20"/>
              </w:rPr>
            </w:pPr>
            <w:r w:rsidRPr="00E4566B">
              <w:rPr>
                <w:sz w:val="20"/>
                <w:szCs w:val="20"/>
              </w:rPr>
              <w:t xml:space="preserve">New Construction - Bus/Pub </w:t>
            </w:r>
          </w:p>
        </w:tc>
        <w:tc>
          <w:tcPr>
            <w:tcW w:w="2131" w:type="dxa"/>
          </w:tcPr>
          <w:p w14:paraId="4C88D68B" w14:textId="01A37EB5" w:rsidR="003E090D" w:rsidRPr="00B95A75" w:rsidRDefault="00F57924" w:rsidP="00055C65">
            <w:pPr>
              <w:spacing w:after="0" w:line="240" w:lineRule="auto"/>
              <w:jc w:val="right"/>
              <w:rPr>
                <w:sz w:val="20"/>
                <w:szCs w:val="20"/>
              </w:rPr>
            </w:pPr>
            <w:r w:rsidRPr="00E4566B">
              <w:rPr>
                <w:sz w:val="20"/>
                <w:szCs w:val="20"/>
              </w:rPr>
              <w:t>74</w:t>
            </w:r>
            <w:r w:rsidR="005874AB">
              <w:rPr>
                <w:sz w:val="20"/>
                <w:szCs w:val="20"/>
              </w:rPr>
              <w:t>,</w:t>
            </w:r>
            <w:r w:rsidRPr="00E4566B">
              <w:rPr>
                <w:sz w:val="20"/>
                <w:szCs w:val="20"/>
              </w:rPr>
              <w:t>939</w:t>
            </w:r>
            <w:r w:rsidR="005874AB">
              <w:rPr>
                <w:sz w:val="20"/>
                <w:szCs w:val="20"/>
              </w:rPr>
              <w:t>,</w:t>
            </w:r>
            <w:r w:rsidRPr="00E4566B">
              <w:rPr>
                <w:sz w:val="20"/>
                <w:szCs w:val="20"/>
              </w:rPr>
              <w:t>856</w:t>
            </w:r>
          </w:p>
        </w:tc>
        <w:tc>
          <w:tcPr>
            <w:tcW w:w="1916" w:type="dxa"/>
          </w:tcPr>
          <w:p w14:paraId="389B7541" w14:textId="78409CC0" w:rsidR="003E090D" w:rsidRPr="00B95A75" w:rsidRDefault="00F57924" w:rsidP="00055C65">
            <w:pPr>
              <w:spacing w:after="0" w:line="240" w:lineRule="auto"/>
              <w:jc w:val="right"/>
              <w:rPr>
                <w:sz w:val="20"/>
                <w:szCs w:val="20"/>
              </w:rPr>
            </w:pPr>
            <w:r w:rsidRPr="00E4566B">
              <w:rPr>
                <w:sz w:val="20"/>
                <w:szCs w:val="20"/>
              </w:rPr>
              <w:t xml:space="preserve"> $0.0574 </w:t>
            </w:r>
          </w:p>
        </w:tc>
        <w:tc>
          <w:tcPr>
            <w:tcW w:w="1684" w:type="dxa"/>
            <w:tcBorders>
              <w:right w:val="nil"/>
            </w:tcBorders>
          </w:tcPr>
          <w:p w14:paraId="3EEE0186" w14:textId="61CA5807" w:rsidR="003E090D" w:rsidRPr="00B95A75" w:rsidRDefault="00F57924" w:rsidP="00055C65">
            <w:pPr>
              <w:spacing w:after="0" w:line="240" w:lineRule="auto"/>
              <w:jc w:val="right"/>
              <w:rPr>
                <w:sz w:val="20"/>
                <w:szCs w:val="20"/>
              </w:rPr>
            </w:pPr>
            <w:r w:rsidRPr="00E4566B">
              <w:rPr>
                <w:sz w:val="20"/>
                <w:szCs w:val="20"/>
              </w:rPr>
              <w:t xml:space="preserve"> $4,301,814 </w:t>
            </w:r>
          </w:p>
        </w:tc>
      </w:tr>
      <w:tr w:rsidR="003E090D" w:rsidRPr="00B95A75" w14:paraId="12474875" w14:textId="77777777" w:rsidTr="00E4566B">
        <w:tc>
          <w:tcPr>
            <w:tcW w:w="1548" w:type="dxa"/>
            <w:tcBorders>
              <w:left w:val="nil"/>
            </w:tcBorders>
          </w:tcPr>
          <w:p w14:paraId="3934D169" w14:textId="595E8237" w:rsidR="003E090D" w:rsidRPr="00B95A75" w:rsidRDefault="003E090D" w:rsidP="003E090D">
            <w:pPr>
              <w:spacing w:after="0" w:line="240" w:lineRule="auto"/>
              <w:rPr>
                <w:sz w:val="20"/>
                <w:szCs w:val="20"/>
              </w:rPr>
            </w:pPr>
            <w:r w:rsidRPr="00B95A75">
              <w:rPr>
                <w:sz w:val="20"/>
                <w:szCs w:val="20"/>
              </w:rPr>
              <w:t>Business &amp; Public Sector</w:t>
            </w:r>
          </w:p>
        </w:tc>
        <w:tc>
          <w:tcPr>
            <w:tcW w:w="2081" w:type="dxa"/>
            <w:gridSpan w:val="2"/>
          </w:tcPr>
          <w:p w14:paraId="3A5277D2" w14:textId="2A9FE7AD" w:rsidR="003E090D" w:rsidRPr="00B95A75" w:rsidRDefault="00F57924" w:rsidP="003E090D">
            <w:pPr>
              <w:spacing w:after="0" w:line="240" w:lineRule="auto"/>
              <w:rPr>
                <w:sz w:val="20"/>
                <w:szCs w:val="20"/>
              </w:rPr>
            </w:pPr>
            <w:r w:rsidRPr="00E4566B">
              <w:rPr>
                <w:sz w:val="20"/>
                <w:szCs w:val="20"/>
              </w:rPr>
              <w:t xml:space="preserve">Small Business </w:t>
            </w:r>
          </w:p>
        </w:tc>
        <w:tc>
          <w:tcPr>
            <w:tcW w:w="2131" w:type="dxa"/>
          </w:tcPr>
          <w:p w14:paraId="08CB827E" w14:textId="5387973C" w:rsidR="003E090D" w:rsidRPr="00B95A75" w:rsidRDefault="00F57924" w:rsidP="00055C65">
            <w:pPr>
              <w:spacing w:after="0" w:line="240" w:lineRule="auto"/>
              <w:jc w:val="right"/>
              <w:rPr>
                <w:sz w:val="20"/>
                <w:szCs w:val="20"/>
              </w:rPr>
            </w:pPr>
            <w:r w:rsidRPr="00E4566B">
              <w:rPr>
                <w:sz w:val="20"/>
                <w:szCs w:val="20"/>
              </w:rPr>
              <w:t>2</w:t>
            </w:r>
            <w:r w:rsidR="005874AB">
              <w:rPr>
                <w:sz w:val="20"/>
                <w:szCs w:val="20"/>
              </w:rPr>
              <w:t>,</w:t>
            </w:r>
            <w:r w:rsidRPr="00E4566B">
              <w:rPr>
                <w:sz w:val="20"/>
                <w:szCs w:val="20"/>
              </w:rPr>
              <w:t>433</w:t>
            </w:r>
            <w:r w:rsidR="005874AB">
              <w:rPr>
                <w:sz w:val="20"/>
                <w:szCs w:val="20"/>
              </w:rPr>
              <w:t>,</w:t>
            </w:r>
            <w:r w:rsidRPr="00E4566B">
              <w:rPr>
                <w:sz w:val="20"/>
                <w:szCs w:val="20"/>
              </w:rPr>
              <w:t>450</w:t>
            </w:r>
            <w:r w:rsidR="005874AB">
              <w:rPr>
                <w:sz w:val="20"/>
                <w:szCs w:val="20"/>
              </w:rPr>
              <w:t>,</w:t>
            </w:r>
            <w:r w:rsidRPr="00E4566B">
              <w:rPr>
                <w:sz w:val="20"/>
                <w:szCs w:val="20"/>
              </w:rPr>
              <w:t>574</w:t>
            </w:r>
          </w:p>
        </w:tc>
        <w:tc>
          <w:tcPr>
            <w:tcW w:w="1916" w:type="dxa"/>
          </w:tcPr>
          <w:p w14:paraId="0259CF07" w14:textId="13C1CC44" w:rsidR="003E090D" w:rsidRPr="00B95A75" w:rsidRDefault="00F57924" w:rsidP="00055C65">
            <w:pPr>
              <w:spacing w:after="0" w:line="240" w:lineRule="auto"/>
              <w:jc w:val="right"/>
              <w:rPr>
                <w:sz w:val="20"/>
                <w:szCs w:val="20"/>
              </w:rPr>
            </w:pPr>
            <w:r w:rsidRPr="00E4566B">
              <w:rPr>
                <w:sz w:val="20"/>
                <w:szCs w:val="20"/>
              </w:rPr>
              <w:t xml:space="preserve"> $0.0626 </w:t>
            </w:r>
          </w:p>
        </w:tc>
        <w:tc>
          <w:tcPr>
            <w:tcW w:w="1684" w:type="dxa"/>
            <w:tcBorders>
              <w:right w:val="nil"/>
            </w:tcBorders>
          </w:tcPr>
          <w:p w14:paraId="4A67FC4F" w14:textId="0CC5FCA9" w:rsidR="003E090D" w:rsidRPr="00B95A75" w:rsidRDefault="00F57924" w:rsidP="00055C65">
            <w:pPr>
              <w:spacing w:after="0" w:line="240" w:lineRule="auto"/>
              <w:jc w:val="right"/>
              <w:rPr>
                <w:sz w:val="20"/>
                <w:szCs w:val="20"/>
              </w:rPr>
            </w:pPr>
            <w:r w:rsidRPr="00E4566B">
              <w:rPr>
                <w:sz w:val="20"/>
                <w:szCs w:val="20"/>
              </w:rPr>
              <w:t xml:space="preserve"> $152,407,942 </w:t>
            </w:r>
          </w:p>
        </w:tc>
      </w:tr>
      <w:tr w:rsidR="003E090D" w:rsidRPr="00B95A75" w14:paraId="062FB210" w14:textId="77777777" w:rsidTr="00E4566B">
        <w:tc>
          <w:tcPr>
            <w:tcW w:w="1548" w:type="dxa"/>
            <w:tcBorders>
              <w:left w:val="nil"/>
            </w:tcBorders>
          </w:tcPr>
          <w:p w14:paraId="53B36E3E" w14:textId="2422D888" w:rsidR="003E090D" w:rsidRPr="00B95A75" w:rsidRDefault="003E090D" w:rsidP="003E090D">
            <w:pPr>
              <w:spacing w:after="0" w:line="240" w:lineRule="auto"/>
              <w:rPr>
                <w:sz w:val="20"/>
                <w:szCs w:val="20"/>
              </w:rPr>
            </w:pPr>
            <w:r w:rsidRPr="00B95A75">
              <w:rPr>
                <w:sz w:val="20"/>
                <w:szCs w:val="20"/>
              </w:rPr>
              <w:t>Business &amp; Public Sector</w:t>
            </w:r>
          </w:p>
        </w:tc>
        <w:tc>
          <w:tcPr>
            <w:tcW w:w="2081" w:type="dxa"/>
            <w:gridSpan w:val="2"/>
          </w:tcPr>
          <w:p w14:paraId="25993424" w14:textId="227A9C77" w:rsidR="003E090D" w:rsidRPr="00B95A75" w:rsidRDefault="00F57924" w:rsidP="003E090D">
            <w:pPr>
              <w:spacing w:after="0" w:line="240" w:lineRule="auto"/>
              <w:rPr>
                <w:sz w:val="20"/>
                <w:szCs w:val="20"/>
              </w:rPr>
            </w:pPr>
            <w:r w:rsidRPr="00E4566B">
              <w:rPr>
                <w:sz w:val="20"/>
                <w:szCs w:val="20"/>
              </w:rPr>
              <w:t xml:space="preserve">Targeted Systems </w:t>
            </w:r>
          </w:p>
        </w:tc>
        <w:tc>
          <w:tcPr>
            <w:tcW w:w="2131" w:type="dxa"/>
          </w:tcPr>
          <w:p w14:paraId="017206F9" w14:textId="54D13621" w:rsidR="003E090D" w:rsidRPr="00B95A75" w:rsidRDefault="00F57924" w:rsidP="00055C65">
            <w:pPr>
              <w:spacing w:after="0" w:line="240" w:lineRule="auto"/>
              <w:jc w:val="right"/>
              <w:rPr>
                <w:sz w:val="20"/>
                <w:szCs w:val="20"/>
              </w:rPr>
            </w:pPr>
            <w:r w:rsidRPr="00E4566B">
              <w:rPr>
                <w:sz w:val="20"/>
                <w:szCs w:val="20"/>
              </w:rPr>
              <w:t>699</w:t>
            </w:r>
            <w:r w:rsidR="005874AB">
              <w:rPr>
                <w:sz w:val="20"/>
                <w:szCs w:val="20"/>
              </w:rPr>
              <w:t>,</w:t>
            </w:r>
            <w:r w:rsidRPr="00E4566B">
              <w:rPr>
                <w:sz w:val="20"/>
                <w:szCs w:val="20"/>
              </w:rPr>
              <w:t>105</w:t>
            </w:r>
            <w:r w:rsidR="005874AB">
              <w:rPr>
                <w:sz w:val="20"/>
                <w:szCs w:val="20"/>
              </w:rPr>
              <w:t>,</w:t>
            </w:r>
            <w:r w:rsidRPr="00E4566B">
              <w:rPr>
                <w:sz w:val="20"/>
                <w:szCs w:val="20"/>
              </w:rPr>
              <w:t>625</w:t>
            </w:r>
          </w:p>
        </w:tc>
        <w:tc>
          <w:tcPr>
            <w:tcW w:w="1916" w:type="dxa"/>
          </w:tcPr>
          <w:p w14:paraId="0E823349" w14:textId="791672F7" w:rsidR="003E090D" w:rsidRPr="00B95A75" w:rsidRDefault="00F57924" w:rsidP="00055C65">
            <w:pPr>
              <w:spacing w:after="0" w:line="240" w:lineRule="auto"/>
              <w:jc w:val="right"/>
              <w:rPr>
                <w:sz w:val="20"/>
                <w:szCs w:val="20"/>
              </w:rPr>
            </w:pPr>
            <w:r w:rsidRPr="00E4566B">
              <w:rPr>
                <w:sz w:val="20"/>
                <w:szCs w:val="20"/>
              </w:rPr>
              <w:t xml:space="preserve"> $0.0682 </w:t>
            </w:r>
          </w:p>
        </w:tc>
        <w:tc>
          <w:tcPr>
            <w:tcW w:w="1684" w:type="dxa"/>
            <w:tcBorders>
              <w:right w:val="nil"/>
            </w:tcBorders>
          </w:tcPr>
          <w:p w14:paraId="33F62D2C" w14:textId="6D456BE8" w:rsidR="003E090D" w:rsidRPr="00B95A75" w:rsidRDefault="00F57924" w:rsidP="00055C65">
            <w:pPr>
              <w:spacing w:after="0" w:line="240" w:lineRule="auto"/>
              <w:jc w:val="right"/>
              <w:rPr>
                <w:sz w:val="20"/>
                <w:szCs w:val="20"/>
              </w:rPr>
            </w:pPr>
            <w:r w:rsidRPr="00E4566B">
              <w:rPr>
                <w:sz w:val="20"/>
                <w:szCs w:val="20"/>
              </w:rPr>
              <w:t xml:space="preserve"> $47,647,860 </w:t>
            </w:r>
          </w:p>
        </w:tc>
      </w:tr>
      <w:tr w:rsidR="003E090D" w:rsidRPr="00B95A75" w14:paraId="7D90AC1B" w14:textId="77777777" w:rsidTr="00E4566B">
        <w:tc>
          <w:tcPr>
            <w:tcW w:w="1548" w:type="dxa"/>
            <w:tcBorders>
              <w:left w:val="nil"/>
            </w:tcBorders>
          </w:tcPr>
          <w:p w14:paraId="6ECECD10" w14:textId="7BEE1636" w:rsidR="003E090D" w:rsidRPr="00B95A75" w:rsidRDefault="003E090D" w:rsidP="003E090D">
            <w:pPr>
              <w:spacing w:after="0" w:line="240" w:lineRule="auto"/>
              <w:rPr>
                <w:sz w:val="20"/>
                <w:szCs w:val="20"/>
              </w:rPr>
            </w:pPr>
            <w:r w:rsidRPr="00B95A75">
              <w:rPr>
                <w:sz w:val="20"/>
                <w:szCs w:val="20"/>
              </w:rPr>
              <w:t>Res &amp; IE</w:t>
            </w:r>
          </w:p>
        </w:tc>
        <w:tc>
          <w:tcPr>
            <w:tcW w:w="2081" w:type="dxa"/>
            <w:gridSpan w:val="2"/>
          </w:tcPr>
          <w:p w14:paraId="0E9DDEAE" w14:textId="1B499EFE" w:rsidR="003E090D" w:rsidRPr="00B95A75" w:rsidRDefault="009B488A" w:rsidP="003E090D">
            <w:pPr>
              <w:spacing w:after="0" w:line="240" w:lineRule="auto"/>
              <w:rPr>
                <w:sz w:val="20"/>
                <w:szCs w:val="20"/>
              </w:rPr>
            </w:pPr>
            <w:r w:rsidRPr="00E4566B">
              <w:rPr>
                <w:sz w:val="20"/>
                <w:szCs w:val="20"/>
              </w:rPr>
              <w:t>ASI kWh Purchase</w:t>
            </w:r>
          </w:p>
        </w:tc>
        <w:tc>
          <w:tcPr>
            <w:tcW w:w="2131" w:type="dxa"/>
          </w:tcPr>
          <w:p w14:paraId="59747ED1" w14:textId="7265258D" w:rsidR="003E090D" w:rsidRPr="00B95A75" w:rsidRDefault="009B488A" w:rsidP="00055C65">
            <w:pPr>
              <w:spacing w:after="0" w:line="240" w:lineRule="auto"/>
              <w:jc w:val="right"/>
              <w:rPr>
                <w:sz w:val="20"/>
                <w:szCs w:val="20"/>
              </w:rPr>
            </w:pPr>
            <w:r w:rsidRPr="00E4566B">
              <w:rPr>
                <w:sz w:val="20"/>
                <w:szCs w:val="20"/>
              </w:rPr>
              <w:t>20</w:t>
            </w:r>
            <w:r w:rsidR="005874AB">
              <w:rPr>
                <w:sz w:val="20"/>
                <w:szCs w:val="20"/>
              </w:rPr>
              <w:t>,</w:t>
            </w:r>
            <w:r w:rsidRPr="00E4566B">
              <w:rPr>
                <w:sz w:val="20"/>
                <w:szCs w:val="20"/>
              </w:rPr>
              <w:t>630</w:t>
            </w:r>
            <w:r w:rsidR="005874AB">
              <w:rPr>
                <w:sz w:val="20"/>
                <w:szCs w:val="20"/>
              </w:rPr>
              <w:t>,</w:t>
            </w:r>
            <w:r w:rsidRPr="00E4566B">
              <w:rPr>
                <w:sz w:val="20"/>
                <w:szCs w:val="20"/>
              </w:rPr>
              <w:t>328</w:t>
            </w:r>
          </w:p>
        </w:tc>
        <w:tc>
          <w:tcPr>
            <w:tcW w:w="1916" w:type="dxa"/>
          </w:tcPr>
          <w:p w14:paraId="65320E4F" w14:textId="2D5E83AA" w:rsidR="003E090D" w:rsidRPr="00B95A75" w:rsidRDefault="009B488A" w:rsidP="00055C65">
            <w:pPr>
              <w:spacing w:after="0" w:line="240" w:lineRule="auto"/>
              <w:jc w:val="right"/>
              <w:rPr>
                <w:sz w:val="20"/>
                <w:szCs w:val="20"/>
              </w:rPr>
            </w:pPr>
            <w:r w:rsidRPr="00E4566B">
              <w:rPr>
                <w:sz w:val="20"/>
                <w:szCs w:val="20"/>
              </w:rPr>
              <w:t xml:space="preserve"> $0.0510 </w:t>
            </w:r>
          </w:p>
        </w:tc>
        <w:tc>
          <w:tcPr>
            <w:tcW w:w="1684" w:type="dxa"/>
            <w:tcBorders>
              <w:right w:val="nil"/>
            </w:tcBorders>
          </w:tcPr>
          <w:p w14:paraId="4C5BEC9A" w14:textId="1DEDEAE6" w:rsidR="003E090D" w:rsidRPr="00B95A75" w:rsidRDefault="009B488A" w:rsidP="00055C65">
            <w:pPr>
              <w:spacing w:after="0" w:line="240" w:lineRule="auto"/>
              <w:jc w:val="right"/>
              <w:rPr>
                <w:sz w:val="20"/>
                <w:szCs w:val="20"/>
              </w:rPr>
            </w:pPr>
            <w:r w:rsidRPr="00E4566B">
              <w:rPr>
                <w:sz w:val="20"/>
                <w:szCs w:val="20"/>
              </w:rPr>
              <w:t xml:space="preserve"> $1,052,243 </w:t>
            </w:r>
          </w:p>
        </w:tc>
      </w:tr>
      <w:tr w:rsidR="003E090D" w:rsidRPr="00B95A75" w14:paraId="5DD31DB6" w14:textId="77777777" w:rsidTr="00E4566B">
        <w:tc>
          <w:tcPr>
            <w:tcW w:w="1548" w:type="dxa"/>
            <w:tcBorders>
              <w:left w:val="nil"/>
            </w:tcBorders>
          </w:tcPr>
          <w:p w14:paraId="48780908" w14:textId="5D97C459" w:rsidR="003E090D" w:rsidRPr="00B95A75" w:rsidRDefault="003E090D" w:rsidP="003E090D">
            <w:pPr>
              <w:spacing w:after="0" w:line="240" w:lineRule="auto"/>
              <w:rPr>
                <w:sz w:val="20"/>
                <w:szCs w:val="20"/>
              </w:rPr>
            </w:pPr>
            <w:r w:rsidRPr="00B95A75">
              <w:rPr>
                <w:sz w:val="20"/>
                <w:szCs w:val="20"/>
              </w:rPr>
              <w:t>Res &amp; IE</w:t>
            </w:r>
          </w:p>
        </w:tc>
        <w:tc>
          <w:tcPr>
            <w:tcW w:w="2081" w:type="dxa"/>
            <w:gridSpan w:val="2"/>
          </w:tcPr>
          <w:p w14:paraId="3FFF556B" w14:textId="4B5940BC" w:rsidR="003E090D" w:rsidRPr="00B95A75" w:rsidRDefault="009B488A" w:rsidP="003E090D">
            <w:pPr>
              <w:spacing w:after="0" w:line="240" w:lineRule="auto"/>
              <w:rPr>
                <w:sz w:val="20"/>
                <w:szCs w:val="20"/>
              </w:rPr>
            </w:pPr>
            <w:r w:rsidRPr="00E4566B">
              <w:rPr>
                <w:sz w:val="20"/>
                <w:szCs w:val="20"/>
              </w:rPr>
              <w:t xml:space="preserve">Behavior - Res/IE </w:t>
            </w:r>
          </w:p>
        </w:tc>
        <w:tc>
          <w:tcPr>
            <w:tcW w:w="2131" w:type="dxa"/>
          </w:tcPr>
          <w:p w14:paraId="417CB7B9" w14:textId="3A155B91" w:rsidR="003E090D" w:rsidRPr="00B95A75" w:rsidRDefault="009B488A" w:rsidP="00055C65">
            <w:pPr>
              <w:spacing w:after="0" w:line="240" w:lineRule="auto"/>
              <w:jc w:val="right"/>
              <w:rPr>
                <w:sz w:val="20"/>
                <w:szCs w:val="20"/>
              </w:rPr>
            </w:pPr>
            <w:r w:rsidRPr="00E4566B">
              <w:rPr>
                <w:sz w:val="20"/>
                <w:szCs w:val="20"/>
              </w:rPr>
              <w:t>275</w:t>
            </w:r>
            <w:r w:rsidR="005874AB">
              <w:rPr>
                <w:sz w:val="20"/>
                <w:szCs w:val="20"/>
              </w:rPr>
              <w:t>,</w:t>
            </w:r>
            <w:r w:rsidRPr="00E4566B">
              <w:rPr>
                <w:sz w:val="20"/>
                <w:szCs w:val="20"/>
              </w:rPr>
              <w:t>065</w:t>
            </w:r>
            <w:r w:rsidR="005874AB">
              <w:rPr>
                <w:sz w:val="20"/>
                <w:szCs w:val="20"/>
              </w:rPr>
              <w:t>,</w:t>
            </w:r>
            <w:r w:rsidRPr="00E4566B">
              <w:rPr>
                <w:sz w:val="20"/>
                <w:szCs w:val="20"/>
              </w:rPr>
              <w:t>998</w:t>
            </w:r>
          </w:p>
        </w:tc>
        <w:tc>
          <w:tcPr>
            <w:tcW w:w="1916" w:type="dxa"/>
          </w:tcPr>
          <w:p w14:paraId="68A1037B" w14:textId="60669966" w:rsidR="003E090D" w:rsidRPr="00B95A75" w:rsidRDefault="009B488A" w:rsidP="00055C65">
            <w:pPr>
              <w:spacing w:after="0" w:line="240" w:lineRule="auto"/>
              <w:jc w:val="right"/>
              <w:rPr>
                <w:sz w:val="20"/>
                <w:szCs w:val="20"/>
              </w:rPr>
            </w:pPr>
            <w:r w:rsidRPr="00E4566B">
              <w:rPr>
                <w:sz w:val="20"/>
                <w:szCs w:val="20"/>
              </w:rPr>
              <w:t xml:space="preserve"> $0.0734 </w:t>
            </w:r>
          </w:p>
        </w:tc>
        <w:tc>
          <w:tcPr>
            <w:tcW w:w="1684" w:type="dxa"/>
            <w:tcBorders>
              <w:right w:val="nil"/>
            </w:tcBorders>
          </w:tcPr>
          <w:p w14:paraId="040F6645" w14:textId="5B17C215" w:rsidR="003E090D" w:rsidRPr="00B95A75" w:rsidRDefault="009B488A" w:rsidP="00055C65">
            <w:pPr>
              <w:spacing w:after="0" w:line="240" w:lineRule="auto"/>
              <w:jc w:val="right"/>
              <w:rPr>
                <w:sz w:val="20"/>
                <w:szCs w:val="20"/>
              </w:rPr>
            </w:pPr>
            <w:r w:rsidRPr="00E4566B">
              <w:rPr>
                <w:sz w:val="20"/>
                <w:szCs w:val="20"/>
              </w:rPr>
              <w:t xml:space="preserve"> $20,183,096 </w:t>
            </w:r>
          </w:p>
        </w:tc>
      </w:tr>
      <w:tr w:rsidR="003E090D" w:rsidRPr="00B95A75" w14:paraId="0A30287B" w14:textId="77777777" w:rsidTr="00E4566B">
        <w:tc>
          <w:tcPr>
            <w:tcW w:w="1548" w:type="dxa"/>
            <w:tcBorders>
              <w:left w:val="nil"/>
            </w:tcBorders>
          </w:tcPr>
          <w:p w14:paraId="0727B540" w14:textId="243508AE" w:rsidR="003E090D" w:rsidRPr="00B95A75" w:rsidRDefault="003E090D" w:rsidP="003E090D">
            <w:pPr>
              <w:spacing w:after="0" w:line="240" w:lineRule="auto"/>
              <w:rPr>
                <w:sz w:val="20"/>
                <w:szCs w:val="20"/>
              </w:rPr>
            </w:pPr>
            <w:r w:rsidRPr="00B95A75">
              <w:rPr>
                <w:sz w:val="20"/>
                <w:szCs w:val="20"/>
              </w:rPr>
              <w:t>Res &amp; IE</w:t>
            </w:r>
          </w:p>
        </w:tc>
        <w:tc>
          <w:tcPr>
            <w:tcW w:w="2081" w:type="dxa"/>
            <w:gridSpan w:val="2"/>
          </w:tcPr>
          <w:p w14:paraId="1960FB78" w14:textId="397D8C47" w:rsidR="003E090D" w:rsidRPr="00B95A75" w:rsidRDefault="009B488A" w:rsidP="003E090D">
            <w:pPr>
              <w:spacing w:after="0" w:line="240" w:lineRule="auto"/>
              <w:rPr>
                <w:sz w:val="20"/>
                <w:szCs w:val="20"/>
              </w:rPr>
            </w:pPr>
            <w:r w:rsidRPr="00E4566B">
              <w:rPr>
                <w:sz w:val="20"/>
                <w:szCs w:val="20"/>
              </w:rPr>
              <w:t xml:space="preserve">Contractor/Midstream Rebates </w:t>
            </w:r>
          </w:p>
        </w:tc>
        <w:tc>
          <w:tcPr>
            <w:tcW w:w="2131" w:type="dxa"/>
          </w:tcPr>
          <w:p w14:paraId="389BEC4F" w14:textId="207B41CF" w:rsidR="003E090D" w:rsidRPr="00B95A75" w:rsidRDefault="009B488A" w:rsidP="00055C65">
            <w:pPr>
              <w:spacing w:after="0" w:line="240" w:lineRule="auto"/>
              <w:jc w:val="right"/>
              <w:rPr>
                <w:sz w:val="20"/>
                <w:szCs w:val="20"/>
              </w:rPr>
            </w:pPr>
            <w:r w:rsidRPr="00E4566B">
              <w:rPr>
                <w:sz w:val="20"/>
                <w:szCs w:val="20"/>
              </w:rPr>
              <w:t>227</w:t>
            </w:r>
            <w:r w:rsidR="005874AB">
              <w:rPr>
                <w:sz w:val="20"/>
                <w:szCs w:val="20"/>
              </w:rPr>
              <w:t>,</w:t>
            </w:r>
            <w:r w:rsidRPr="00E4566B">
              <w:rPr>
                <w:sz w:val="20"/>
                <w:szCs w:val="20"/>
              </w:rPr>
              <w:t>507</w:t>
            </w:r>
            <w:r w:rsidR="005874AB">
              <w:rPr>
                <w:sz w:val="20"/>
                <w:szCs w:val="20"/>
              </w:rPr>
              <w:t>,</w:t>
            </w:r>
            <w:r w:rsidRPr="00E4566B">
              <w:rPr>
                <w:sz w:val="20"/>
                <w:szCs w:val="20"/>
              </w:rPr>
              <w:t>356</w:t>
            </w:r>
          </w:p>
        </w:tc>
        <w:tc>
          <w:tcPr>
            <w:tcW w:w="1916" w:type="dxa"/>
          </w:tcPr>
          <w:p w14:paraId="50C551A3" w14:textId="339856A6" w:rsidR="003E090D" w:rsidRPr="00B95A75" w:rsidRDefault="009B488A" w:rsidP="00055C65">
            <w:pPr>
              <w:spacing w:after="0" w:line="240" w:lineRule="auto"/>
              <w:jc w:val="right"/>
              <w:rPr>
                <w:sz w:val="20"/>
                <w:szCs w:val="20"/>
              </w:rPr>
            </w:pPr>
            <w:r w:rsidRPr="00E4566B">
              <w:rPr>
                <w:sz w:val="20"/>
                <w:szCs w:val="20"/>
              </w:rPr>
              <w:t xml:space="preserve"> $0.0645 </w:t>
            </w:r>
          </w:p>
        </w:tc>
        <w:tc>
          <w:tcPr>
            <w:tcW w:w="1684" w:type="dxa"/>
            <w:tcBorders>
              <w:right w:val="nil"/>
            </w:tcBorders>
          </w:tcPr>
          <w:p w14:paraId="3CD9CA3C" w14:textId="7640FDD6" w:rsidR="003E090D" w:rsidRPr="00B95A75" w:rsidRDefault="009B488A" w:rsidP="00055C65">
            <w:pPr>
              <w:spacing w:after="0" w:line="240" w:lineRule="auto"/>
              <w:jc w:val="right"/>
              <w:rPr>
                <w:sz w:val="20"/>
                <w:szCs w:val="20"/>
              </w:rPr>
            </w:pPr>
            <w:r w:rsidRPr="00E4566B">
              <w:rPr>
                <w:sz w:val="20"/>
                <w:szCs w:val="20"/>
              </w:rPr>
              <w:t xml:space="preserve"> $14,683,455 </w:t>
            </w:r>
          </w:p>
        </w:tc>
      </w:tr>
      <w:tr w:rsidR="003E090D" w:rsidRPr="00B95A75" w14:paraId="03C29FB0" w14:textId="77777777" w:rsidTr="00E4566B">
        <w:tc>
          <w:tcPr>
            <w:tcW w:w="1548" w:type="dxa"/>
            <w:tcBorders>
              <w:left w:val="nil"/>
            </w:tcBorders>
          </w:tcPr>
          <w:p w14:paraId="748DB180" w14:textId="47D09C3A" w:rsidR="003E090D" w:rsidRPr="00B95A75" w:rsidRDefault="003E090D" w:rsidP="003E090D">
            <w:pPr>
              <w:spacing w:after="0" w:line="240" w:lineRule="auto"/>
              <w:rPr>
                <w:sz w:val="20"/>
                <w:szCs w:val="20"/>
              </w:rPr>
            </w:pPr>
            <w:r w:rsidRPr="00B95A75">
              <w:rPr>
                <w:sz w:val="20"/>
                <w:szCs w:val="20"/>
              </w:rPr>
              <w:t>Res &amp; IE</w:t>
            </w:r>
          </w:p>
        </w:tc>
        <w:tc>
          <w:tcPr>
            <w:tcW w:w="2081" w:type="dxa"/>
            <w:gridSpan w:val="2"/>
          </w:tcPr>
          <w:p w14:paraId="7ADF6BE4" w14:textId="3656EB49" w:rsidR="003E090D" w:rsidRPr="00B95A75" w:rsidRDefault="009B488A" w:rsidP="003E090D">
            <w:pPr>
              <w:spacing w:after="0" w:line="240" w:lineRule="auto"/>
              <w:rPr>
                <w:sz w:val="20"/>
                <w:szCs w:val="20"/>
              </w:rPr>
            </w:pPr>
            <w:r w:rsidRPr="00E4566B">
              <w:rPr>
                <w:sz w:val="20"/>
                <w:szCs w:val="20"/>
              </w:rPr>
              <w:t xml:space="preserve">Electric Homes New Construction </w:t>
            </w:r>
          </w:p>
        </w:tc>
        <w:tc>
          <w:tcPr>
            <w:tcW w:w="2131" w:type="dxa"/>
          </w:tcPr>
          <w:p w14:paraId="683AF559" w14:textId="3F8D22C4" w:rsidR="003E090D" w:rsidRPr="00B95A75" w:rsidRDefault="009B488A" w:rsidP="00055C65">
            <w:pPr>
              <w:spacing w:after="0" w:line="240" w:lineRule="auto"/>
              <w:jc w:val="right"/>
              <w:rPr>
                <w:sz w:val="20"/>
                <w:szCs w:val="20"/>
              </w:rPr>
            </w:pPr>
            <w:r w:rsidRPr="00E4566B">
              <w:rPr>
                <w:sz w:val="20"/>
                <w:szCs w:val="20"/>
              </w:rPr>
              <w:t>18</w:t>
            </w:r>
            <w:r w:rsidR="005874AB">
              <w:rPr>
                <w:sz w:val="20"/>
                <w:szCs w:val="20"/>
              </w:rPr>
              <w:t>,</w:t>
            </w:r>
            <w:r w:rsidRPr="00E4566B">
              <w:rPr>
                <w:sz w:val="20"/>
                <w:szCs w:val="20"/>
              </w:rPr>
              <w:t>600</w:t>
            </w:r>
            <w:r w:rsidR="005874AB">
              <w:rPr>
                <w:sz w:val="20"/>
                <w:szCs w:val="20"/>
              </w:rPr>
              <w:t>,</w:t>
            </w:r>
            <w:r w:rsidRPr="00E4566B">
              <w:rPr>
                <w:sz w:val="20"/>
                <w:szCs w:val="20"/>
              </w:rPr>
              <w:t>298</w:t>
            </w:r>
          </w:p>
        </w:tc>
        <w:tc>
          <w:tcPr>
            <w:tcW w:w="1916" w:type="dxa"/>
          </w:tcPr>
          <w:p w14:paraId="38E34A59" w14:textId="247B8B7A" w:rsidR="003E090D" w:rsidRPr="00B95A75" w:rsidRDefault="009B488A" w:rsidP="00055C65">
            <w:pPr>
              <w:spacing w:after="0" w:line="240" w:lineRule="auto"/>
              <w:jc w:val="right"/>
              <w:rPr>
                <w:sz w:val="20"/>
                <w:szCs w:val="20"/>
              </w:rPr>
            </w:pPr>
            <w:r w:rsidRPr="00E4566B">
              <w:rPr>
                <w:sz w:val="20"/>
                <w:szCs w:val="20"/>
              </w:rPr>
              <w:t xml:space="preserve"> $0.0588 </w:t>
            </w:r>
          </w:p>
        </w:tc>
        <w:tc>
          <w:tcPr>
            <w:tcW w:w="1684" w:type="dxa"/>
            <w:tcBorders>
              <w:right w:val="nil"/>
            </w:tcBorders>
          </w:tcPr>
          <w:p w14:paraId="02A80B35" w14:textId="32A28BBB" w:rsidR="003E090D" w:rsidRPr="00B95A75" w:rsidRDefault="009B488A" w:rsidP="00055C65">
            <w:pPr>
              <w:spacing w:after="0" w:line="240" w:lineRule="auto"/>
              <w:jc w:val="right"/>
              <w:rPr>
                <w:sz w:val="20"/>
                <w:szCs w:val="20"/>
              </w:rPr>
            </w:pPr>
            <w:r w:rsidRPr="00E4566B">
              <w:rPr>
                <w:sz w:val="20"/>
                <w:szCs w:val="20"/>
              </w:rPr>
              <w:t xml:space="preserve"> $1,093,399 </w:t>
            </w:r>
          </w:p>
        </w:tc>
      </w:tr>
      <w:tr w:rsidR="003E090D" w:rsidRPr="00B95A75" w14:paraId="6D7505F3" w14:textId="77777777" w:rsidTr="00E4566B">
        <w:tc>
          <w:tcPr>
            <w:tcW w:w="1548" w:type="dxa"/>
            <w:tcBorders>
              <w:left w:val="nil"/>
            </w:tcBorders>
          </w:tcPr>
          <w:p w14:paraId="5C74D597" w14:textId="1B5B16DF" w:rsidR="003E090D" w:rsidRPr="00B95A75" w:rsidRDefault="003E090D" w:rsidP="003E090D">
            <w:pPr>
              <w:spacing w:after="0" w:line="240" w:lineRule="auto"/>
              <w:rPr>
                <w:sz w:val="20"/>
                <w:szCs w:val="20"/>
              </w:rPr>
            </w:pPr>
            <w:r w:rsidRPr="00B95A75">
              <w:rPr>
                <w:sz w:val="20"/>
                <w:szCs w:val="20"/>
              </w:rPr>
              <w:t>Res &amp; IE</w:t>
            </w:r>
          </w:p>
        </w:tc>
        <w:tc>
          <w:tcPr>
            <w:tcW w:w="2081" w:type="dxa"/>
            <w:gridSpan w:val="2"/>
          </w:tcPr>
          <w:p w14:paraId="0932EA99" w14:textId="20D7588E" w:rsidR="003E090D" w:rsidRPr="00B95A75" w:rsidRDefault="009B488A" w:rsidP="003E090D">
            <w:pPr>
              <w:spacing w:after="0" w:line="240" w:lineRule="auto"/>
              <w:rPr>
                <w:sz w:val="20"/>
                <w:szCs w:val="20"/>
              </w:rPr>
            </w:pPr>
            <w:r w:rsidRPr="00E4566B">
              <w:rPr>
                <w:sz w:val="20"/>
                <w:szCs w:val="20"/>
              </w:rPr>
              <w:t xml:space="preserve">Multifamily Upgrades </w:t>
            </w:r>
          </w:p>
        </w:tc>
        <w:tc>
          <w:tcPr>
            <w:tcW w:w="2131" w:type="dxa"/>
          </w:tcPr>
          <w:p w14:paraId="015EB798" w14:textId="006D0E57" w:rsidR="003E090D" w:rsidRPr="00B95A75" w:rsidRDefault="009B488A" w:rsidP="00055C65">
            <w:pPr>
              <w:spacing w:after="0" w:line="240" w:lineRule="auto"/>
              <w:jc w:val="right"/>
              <w:rPr>
                <w:sz w:val="20"/>
                <w:szCs w:val="20"/>
              </w:rPr>
            </w:pPr>
            <w:r w:rsidRPr="00E4566B">
              <w:rPr>
                <w:sz w:val="20"/>
                <w:szCs w:val="20"/>
              </w:rPr>
              <w:t>610</w:t>
            </w:r>
            <w:r w:rsidR="005874AB">
              <w:rPr>
                <w:sz w:val="20"/>
                <w:szCs w:val="20"/>
              </w:rPr>
              <w:t>,</w:t>
            </w:r>
            <w:r w:rsidRPr="00E4566B">
              <w:rPr>
                <w:sz w:val="20"/>
                <w:szCs w:val="20"/>
              </w:rPr>
              <w:t>583</w:t>
            </w:r>
            <w:r w:rsidR="005874AB">
              <w:rPr>
                <w:sz w:val="20"/>
                <w:szCs w:val="20"/>
              </w:rPr>
              <w:t>,</w:t>
            </w:r>
            <w:r w:rsidRPr="00E4566B">
              <w:rPr>
                <w:sz w:val="20"/>
                <w:szCs w:val="20"/>
              </w:rPr>
              <w:t>439</w:t>
            </w:r>
          </w:p>
        </w:tc>
        <w:tc>
          <w:tcPr>
            <w:tcW w:w="1916" w:type="dxa"/>
          </w:tcPr>
          <w:p w14:paraId="29B5E4B0" w14:textId="72CBCF68" w:rsidR="003E090D" w:rsidRPr="00B95A75" w:rsidRDefault="009B488A" w:rsidP="00055C65">
            <w:pPr>
              <w:spacing w:after="0" w:line="240" w:lineRule="auto"/>
              <w:jc w:val="right"/>
              <w:rPr>
                <w:sz w:val="20"/>
                <w:szCs w:val="20"/>
              </w:rPr>
            </w:pPr>
            <w:r w:rsidRPr="00E4566B">
              <w:rPr>
                <w:sz w:val="20"/>
                <w:szCs w:val="20"/>
              </w:rPr>
              <w:t xml:space="preserve"> $0.0561 </w:t>
            </w:r>
          </w:p>
        </w:tc>
        <w:tc>
          <w:tcPr>
            <w:tcW w:w="1684" w:type="dxa"/>
            <w:tcBorders>
              <w:right w:val="nil"/>
            </w:tcBorders>
          </w:tcPr>
          <w:p w14:paraId="4212FCB2" w14:textId="0FE0C4A4" w:rsidR="003E090D" w:rsidRPr="00B95A75" w:rsidRDefault="009B488A" w:rsidP="00055C65">
            <w:pPr>
              <w:spacing w:after="0" w:line="240" w:lineRule="auto"/>
              <w:jc w:val="right"/>
              <w:rPr>
                <w:sz w:val="20"/>
                <w:szCs w:val="20"/>
              </w:rPr>
            </w:pPr>
            <w:r w:rsidRPr="00E4566B">
              <w:rPr>
                <w:sz w:val="20"/>
                <w:szCs w:val="20"/>
              </w:rPr>
              <w:t xml:space="preserve"> $34,238,333 </w:t>
            </w:r>
          </w:p>
        </w:tc>
      </w:tr>
      <w:tr w:rsidR="003E090D" w:rsidRPr="00B95A75" w14:paraId="3808CB85" w14:textId="77777777" w:rsidTr="00E4566B">
        <w:tc>
          <w:tcPr>
            <w:tcW w:w="1548" w:type="dxa"/>
            <w:tcBorders>
              <w:left w:val="nil"/>
            </w:tcBorders>
          </w:tcPr>
          <w:p w14:paraId="3D723629" w14:textId="51E62750" w:rsidR="003E090D" w:rsidRPr="00B95A75" w:rsidRDefault="003E090D" w:rsidP="003E090D">
            <w:pPr>
              <w:spacing w:after="0" w:line="240" w:lineRule="auto"/>
              <w:rPr>
                <w:sz w:val="20"/>
                <w:szCs w:val="20"/>
              </w:rPr>
            </w:pPr>
            <w:r w:rsidRPr="00B95A75">
              <w:rPr>
                <w:sz w:val="20"/>
                <w:szCs w:val="20"/>
              </w:rPr>
              <w:t>Res &amp; IE</w:t>
            </w:r>
          </w:p>
        </w:tc>
        <w:tc>
          <w:tcPr>
            <w:tcW w:w="2081" w:type="dxa"/>
            <w:gridSpan w:val="2"/>
          </w:tcPr>
          <w:p w14:paraId="61949889" w14:textId="3CE49056" w:rsidR="003E090D" w:rsidRPr="00B95A75" w:rsidRDefault="009B488A" w:rsidP="003E090D">
            <w:pPr>
              <w:spacing w:after="0" w:line="240" w:lineRule="auto"/>
              <w:rPr>
                <w:sz w:val="20"/>
                <w:szCs w:val="20"/>
              </w:rPr>
            </w:pPr>
            <w:r w:rsidRPr="00E4566B">
              <w:rPr>
                <w:sz w:val="20"/>
                <w:szCs w:val="20"/>
              </w:rPr>
              <w:t xml:space="preserve">New Construction - IE </w:t>
            </w:r>
          </w:p>
        </w:tc>
        <w:tc>
          <w:tcPr>
            <w:tcW w:w="2131" w:type="dxa"/>
          </w:tcPr>
          <w:p w14:paraId="1CACB137" w14:textId="2781F508" w:rsidR="003E090D" w:rsidRPr="00B95A75" w:rsidRDefault="009B488A" w:rsidP="00055C65">
            <w:pPr>
              <w:spacing w:after="0" w:line="240" w:lineRule="auto"/>
              <w:jc w:val="right"/>
              <w:rPr>
                <w:sz w:val="20"/>
                <w:szCs w:val="20"/>
              </w:rPr>
            </w:pPr>
            <w:r w:rsidRPr="00E4566B">
              <w:rPr>
                <w:sz w:val="20"/>
                <w:szCs w:val="20"/>
              </w:rPr>
              <w:t>74</w:t>
            </w:r>
            <w:r w:rsidR="005874AB">
              <w:rPr>
                <w:sz w:val="20"/>
                <w:szCs w:val="20"/>
              </w:rPr>
              <w:t>,</w:t>
            </w:r>
            <w:r w:rsidRPr="00E4566B">
              <w:rPr>
                <w:sz w:val="20"/>
                <w:szCs w:val="20"/>
              </w:rPr>
              <w:t>188</w:t>
            </w:r>
            <w:r w:rsidR="005874AB">
              <w:rPr>
                <w:sz w:val="20"/>
                <w:szCs w:val="20"/>
              </w:rPr>
              <w:t>,</w:t>
            </w:r>
            <w:r w:rsidRPr="00E4566B">
              <w:rPr>
                <w:sz w:val="20"/>
                <w:szCs w:val="20"/>
              </w:rPr>
              <w:t>253</w:t>
            </w:r>
          </w:p>
        </w:tc>
        <w:tc>
          <w:tcPr>
            <w:tcW w:w="1916" w:type="dxa"/>
          </w:tcPr>
          <w:p w14:paraId="28173E9C" w14:textId="3FA1F9D1" w:rsidR="003E090D" w:rsidRPr="00B95A75" w:rsidRDefault="009B488A" w:rsidP="00055C65">
            <w:pPr>
              <w:spacing w:after="0" w:line="240" w:lineRule="auto"/>
              <w:jc w:val="right"/>
              <w:rPr>
                <w:sz w:val="20"/>
                <w:szCs w:val="20"/>
              </w:rPr>
            </w:pPr>
            <w:r w:rsidRPr="00E4566B">
              <w:rPr>
                <w:sz w:val="20"/>
                <w:szCs w:val="20"/>
              </w:rPr>
              <w:t xml:space="preserve"> $0.0574 </w:t>
            </w:r>
          </w:p>
        </w:tc>
        <w:tc>
          <w:tcPr>
            <w:tcW w:w="1684" w:type="dxa"/>
            <w:tcBorders>
              <w:right w:val="nil"/>
            </w:tcBorders>
          </w:tcPr>
          <w:p w14:paraId="1EC99FEB" w14:textId="43F98C76" w:rsidR="003E090D" w:rsidRPr="00B95A75" w:rsidRDefault="009B488A" w:rsidP="00055C65">
            <w:pPr>
              <w:spacing w:after="0" w:line="240" w:lineRule="auto"/>
              <w:jc w:val="right"/>
              <w:rPr>
                <w:sz w:val="20"/>
                <w:szCs w:val="20"/>
              </w:rPr>
            </w:pPr>
            <w:r w:rsidRPr="00E4566B">
              <w:rPr>
                <w:sz w:val="20"/>
                <w:szCs w:val="20"/>
              </w:rPr>
              <w:t xml:space="preserve"> $4,259,762 </w:t>
            </w:r>
          </w:p>
        </w:tc>
      </w:tr>
      <w:tr w:rsidR="003E090D" w:rsidRPr="00B95A75" w14:paraId="53C28F9A" w14:textId="77777777" w:rsidTr="00E4566B">
        <w:tc>
          <w:tcPr>
            <w:tcW w:w="1548" w:type="dxa"/>
            <w:tcBorders>
              <w:left w:val="nil"/>
            </w:tcBorders>
          </w:tcPr>
          <w:p w14:paraId="44747C4A" w14:textId="142D4C05" w:rsidR="003E090D" w:rsidRPr="00B95A75" w:rsidRDefault="003E090D" w:rsidP="003E090D">
            <w:pPr>
              <w:spacing w:after="0" w:line="240" w:lineRule="auto"/>
              <w:rPr>
                <w:sz w:val="20"/>
                <w:szCs w:val="20"/>
              </w:rPr>
            </w:pPr>
            <w:r w:rsidRPr="00B95A75">
              <w:rPr>
                <w:sz w:val="20"/>
                <w:szCs w:val="20"/>
              </w:rPr>
              <w:t>Res &amp; IE</w:t>
            </w:r>
          </w:p>
        </w:tc>
        <w:tc>
          <w:tcPr>
            <w:tcW w:w="2081" w:type="dxa"/>
            <w:gridSpan w:val="2"/>
          </w:tcPr>
          <w:p w14:paraId="43D10DF5" w14:textId="578E53EC" w:rsidR="003E090D" w:rsidRPr="00B95A75" w:rsidRDefault="009B488A" w:rsidP="003E090D">
            <w:pPr>
              <w:spacing w:after="0" w:line="240" w:lineRule="auto"/>
              <w:rPr>
                <w:sz w:val="20"/>
                <w:szCs w:val="20"/>
              </w:rPr>
            </w:pPr>
            <w:r w:rsidRPr="00E4566B">
              <w:rPr>
                <w:sz w:val="20"/>
                <w:szCs w:val="20"/>
              </w:rPr>
              <w:t xml:space="preserve">Product Distribution </w:t>
            </w:r>
          </w:p>
        </w:tc>
        <w:tc>
          <w:tcPr>
            <w:tcW w:w="2131" w:type="dxa"/>
          </w:tcPr>
          <w:p w14:paraId="46113922" w14:textId="0A366266" w:rsidR="003E090D" w:rsidRPr="00B95A75" w:rsidRDefault="009B488A" w:rsidP="00055C65">
            <w:pPr>
              <w:spacing w:after="0" w:line="240" w:lineRule="auto"/>
              <w:jc w:val="right"/>
              <w:rPr>
                <w:sz w:val="20"/>
                <w:szCs w:val="20"/>
              </w:rPr>
            </w:pPr>
            <w:r w:rsidRPr="00E4566B">
              <w:rPr>
                <w:sz w:val="20"/>
                <w:szCs w:val="20"/>
              </w:rPr>
              <w:t>2</w:t>
            </w:r>
            <w:r w:rsidR="005874AB">
              <w:rPr>
                <w:sz w:val="20"/>
                <w:szCs w:val="20"/>
              </w:rPr>
              <w:t>,</w:t>
            </w:r>
            <w:r w:rsidRPr="00E4566B">
              <w:rPr>
                <w:sz w:val="20"/>
                <w:szCs w:val="20"/>
              </w:rPr>
              <w:t>487</w:t>
            </w:r>
            <w:r w:rsidR="005874AB">
              <w:rPr>
                <w:sz w:val="20"/>
                <w:szCs w:val="20"/>
              </w:rPr>
              <w:t>,</w:t>
            </w:r>
            <w:r w:rsidRPr="00E4566B">
              <w:rPr>
                <w:sz w:val="20"/>
                <w:szCs w:val="20"/>
              </w:rPr>
              <w:t>791</w:t>
            </w:r>
            <w:r w:rsidR="005874AB">
              <w:rPr>
                <w:sz w:val="20"/>
                <w:szCs w:val="20"/>
              </w:rPr>
              <w:t>,</w:t>
            </w:r>
            <w:r w:rsidRPr="00E4566B">
              <w:rPr>
                <w:sz w:val="20"/>
                <w:szCs w:val="20"/>
              </w:rPr>
              <w:t>518</w:t>
            </w:r>
          </w:p>
        </w:tc>
        <w:tc>
          <w:tcPr>
            <w:tcW w:w="1916" w:type="dxa"/>
          </w:tcPr>
          <w:p w14:paraId="1DC9B1FC" w14:textId="6369987A" w:rsidR="003E090D" w:rsidRPr="00B95A75" w:rsidRDefault="009B488A" w:rsidP="00055C65">
            <w:pPr>
              <w:spacing w:after="0" w:line="240" w:lineRule="auto"/>
              <w:jc w:val="right"/>
              <w:rPr>
                <w:sz w:val="20"/>
                <w:szCs w:val="20"/>
              </w:rPr>
            </w:pPr>
            <w:r w:rsidRPr="00E4566B">
              <w:rPr>
                <w:sz w:val="20"/>
                <w:szCs w:val="20"/>
              </w:rPr>
              <w:t xml:space="preserve"> $0.0710 </w:t>
            </w:r>
          </w:p>
        </w:tc>
        <w:tc>
          <w:tcPr>
            <w:tcW w:w="1684" w:type="dxa"/>
            <w:tcBorders>
              <w:right w:val="nil"/>
            </w:tcBorders>
          </w:tcPr>
          <w:p w14:paraId="5DBDC1D9" w14:textId="650B6DB7" w:rsidR="003E090D" w:rsidRPr="00B95A75" w:rsidRDefault="009B488A" w:rsidP="00055C65">
            <w:pPr>
              <w:spacing w:after="0" w:line="240" w:lineRule="auto"/>
              <w:jc w:val="right"/>
              <w:rPr>
                <w:sz w:val="20"/>
                <w:szCs w:val="20"/>
              </w:rPr>
            </w:pPr>
            <w:r w:rsidRPr="00E4566B">
              <w:rPr>
                <w:sz w:val="20"/>
                <w:szCs w:val="20"/>
              </w:rPr>
              <w:t xml:space="preserve"> $176,603,904 </w:t>
            </w:r>
          </w:p>
        </w:tc>
      </w:tr>
      <w:tr w:rsidR="003E090D" w:rsidRPr="00B95A75" w14:paraId="12388522" w14:textId="77777777" w:rsidTr="00E4566B">
        <w:tc>
          <w:tcPr>
            <w:tcW w:w="1548" w:type="dxa"/>
            <w:tcBorders>
              <w:left w:val="nil"/>
            </w:tcBorders>
          </w:tcPr>
          <w:p w14:paraId="6A0BE4C1" w14:textId="67E3BA9C" w:rsidR="003E090D" w:rsidRPr="00B95A75" w:rsidRDefault="003E090D" w:rsidP="003E090D">
            <w:pPr>
              <w:spacing w:after="0" w:line="240" w:lineRule="auto"/>
              <w:rPr>
                <w:sz w:val="20"/>
                <w:szCs w:val="20"/>
              </w:rPr>
            </w:pPr>
            <w:r w:rsidRPr="00B95A75">
              <w:rPr>
                <w:sz w:val="20"/>
                <w:szCs w:val="20"/>
              </w:rPr>
              <w:t>Res &amp; IE</w:t>
            </w:r>
          </w:p>
        </w:tc>
        <w:tc>
          <w:tcPr>
            <w:tcW w:w="2081" w:type="dxa"/>
            <w:gridSpan w:val="2"/>
          </w:tcPr>
          <w:p w14:paraId="6553A9D6" w14:textId="027CE6D1" w:rsidR="003E090D" w:rsidRPr="00B95A75" w:rsidRDefault="009B488A" w:rsidP="003E090D">
            <w:pPr>
              <w:spacing w:after="0" w:line="240" w:lineRule="auto"/>
              <w:rPr>
                <w:sz w:val="20"/>
                <w:szCs w:val="20"/>
              </w:rPr>
            </w:pPr>
            <w:r w:rsidRPr="00E4566B">
              <w:rPr>
                <w:sz w:val="20"/>
                <w:szCs w:val="20"/>
              </w:rPr>
              <w:t xml:space="preserve">Retail/Online </w:t>
            </w:r>
          </w:p>
        </w:tc>
        <w:tc>
          <w:tcPr>
            <w:tcW w:w="2131" w:type="dxa"/>
          </w:tcPr>
          <w:p w14:paraId="55A75BE5" w14:textId="0CAF9188" w:rsidR="003E090D" w:rsidRPr="00B95A75" w:rsidRDefault="009B488A" w:rsidP="00055C65">
            <w:pPr>
              <w:spacing w:after="0" w:line="240" w:lineRule="auto"/>
              <w:jc w:val="right"/>
              <w:rPr>
                <w:sz w:val="20"/>
                <w:szCs w:val="20"/>
              </w:rPr>
            </w:pPr>
            <w:r w:rsidRPr="00E4566B">
              <w:rPr>
                <w:sz w:val="20"/>
                <w:szCs w:val="20"/>
              </w:rPr>
              <w:t>4</w:t>
            </w:r>
            <w:r w:rsidR="005874AB">
              <w:rPr>
                <w:sz w:val="20"/>
                <w:szCs w:val="20"/>
              </w:rPr>
              <w:t>,</w:t>
            </w:r>
            <w:r w:rsidRPr="00E4566B">
              <w:rPr>
                <w:sz w:val="20"/>
                <w:szCs w:val="20"/>
              </w:rPr>
              <w:t>804</w:t>
            </w:r>
            <w:r w:rsidR="005874AB">
              <w:rPr>
                <w:sz w:val="20"/>
                <w:szCs w:val="20"/>
              </w:rPr>
              <w:t>,</w:t>
            </w:r>
            <w:r w:rsidRPr="00E4566B">
              <w:rPr>
                <w:sz w:val="20"/>
                <w:szCs w:val="20"/>
              </w:rPr>
              <w:t>675</w:t>
            </w:r>
            <w:r w:rsidR="005874AB">
              <w:rPr>
                <w:sz w:val="20"/>
                <w:szCs w:val="20"/>
              </w:rPr>
              <w:t>,</w:t>
            </w:r>
            <w:r w:rsidRPr="00E4566B">
              <w:rPr>
                <w:sz w:val="20"/>
                <w:szCs w:val="20"/>
              </w:rPr>
              <w:t>118</w:t>
            </w:r>
          </w:p>
        </w:tc>
        <w:tc>
          <w:tcPr>
            <w:tcW w:w="1916" w:type="dxa"/>
          </w:tcPr>
          <w:p w14:paraId="107D4247" w14:textId="466ECB53" w:rsidR="003E090D" w:rsidRPr="00B95A75" w:rsidRDefault="009B488A" w:rsidP="00055C65">
            <w:pPr>
              <w:spacing w:after="0" w:line="240" w:lineRule="auto"/>
              <w:jc w:val="right"/>
              <w:rPr>
                <w:sz w:val="20"/>
                <w:szCs w:val="20"/>
              </w:rPr>
            </w:pPr>
            <w:r w:rsidRPr="00E4566B">
              <w:rPr>
                <w:sz w:val="20"/>
                <w:szCs w:val="20"/>
              </w:rPr>
              <w:t xml:space="preserve"> $0.0618 </w:t>
            </w:r>
          </w:p>
        </w:tc>
        <w:tc>
          <w:tcPr>
            <w:tcW w:w="1684" w:type="dxa"/>
            <w:tcBorders>
              <w:right w:val="nil"/>
            </w:tcBorders>
          </w:tcPr>
          <w:p w14:paraId="3064485B" w14:textId="237B1379" w:rsidR="003E090D" w:rsidRPr="00B95A75" w:rsidRDefault="009B488A" w:rsidP="00055C65">
            <w:pPr>
              <w:spacing w:after="0" w:line="240" w:lineRule="auto"/>
              <w:jc w:val="right"/>
              <w:rPr>
                <w:sz w:val="20"/>
                <w:szCs w:val="20"/>
              </w:rPr>
            </w:pPr>
            <w:r w:rsidRPr="00E4566B">
              <w:rPr>
                <w:sz w:val="20"/>
                <w:szCs w:val="20"/>
              </w:rPr>
              <w:t xml:space="preserve"> $297,050,176 </w:t>
            </w:r>
          </w:p>
        </w:tc>
      </w:tr>
      <w:tr w:rsidR="003E090D" w:rsidRPr="00B95A75" w14:paraId="1275C15F" w14:textId="77777777" w:rsidTr="00E4566B">
        <w:tc>
          <w:tcPr>
            <w:tcW w:w="1548" w:type="dxa"/>
            <w:tcBorders>
              <w:left w:val="nil"/>
            </w:tcBorders>
          </w:tcPr>
          <w:p w14:paraId="1D581410" w14:textId="5E7C0C3B" w:rsidR="003E090D" w:rsidRPr="00B95A75" w:rsidRDefault="003E090D" w:rsidP="003E090D">
            <w:pPr>
              <w:spacing w:after="0" w:line="240" w:lineRule="auto"/>
              <w:rPr>
                <w:sz w:val="20"/>
                <w:szCs w:val="20"/>
              </w:rPr>
            </w:pPr>
            <w:r w:rsidRPr="00B95A75">
              <w:rPr>
                <w:sz w:val="20"/>
                <w:szCs w:val="20"/>
              </w:rPr>
              <w:t>Res &amp; IE</w:t>
            </w:r>
          </w:p>
        </w:tc>
        <w:tc>
          <w:tcPr>
            <w:tcW w:w="2081" w:type="dxa"/>
            <w:gridSpan w:val="2"/>
          </w:tcPr>
          <w:p w14:paraId="570671D1" w14:textId="43A6DBD4" w:rsidR="003E090D" w:rsidRPr="00B95A75" w:rsidRDefault="009B488A" w:rsidP="003E090D">
            <w:pPr>
              <w:spacing w:after="0" w:line="240" w:lineRule="auto"/>
              <w:rPr>
                <w:sz w:val="20"/>
                <w:szCs w:val="20"/>
              </w:rPr>
            </w:pPr>
            <w:r w:rsidRPr="00E4566B">
              <w:rPr>
                <w:sz w:val="20"/>
                <w:szCs w:val="20"/>
              </w:rPr>
              <w:t xml:space="preserve">Single-Family Upgrades </w:t>
            </w:r>
          </w:p>
        </w:tc>
        <w:tc>
          <w:tcPr>
            <w:tcW w:w="2131" w:type="dxa"/>
          </w:tcPr>
          <w:p w14:paraId="2D494E1F" w14:textId="734C29CE" w:rsidR="003E090D" w:rsidRPr="00B95A75" w:rsidRDefault="009B488A" w:rsidP="00055C65">
            <w:pPr>
              <w:spacing w:after="0" w:line="240" w:lineRule="auto"/>
              <w:jc w:val="right"/>
              <w:rPr>
                <w:sz w:val="20"/>
                <w:szCs w:val="20"/>
              </w:rPr>
            </w:pPr>
            <w:r w:rsidRPr="00E4566B">
              <w:rPr>
                <w:sz w:val="20"/>
                <w:szCs w:val="20"/>
              </w:rPr>
              <w:t>158</w:t>
            </w:r>
            <w:r w:rsidR="005874AB">
              <w:rPr>
                <w:sz w:val="20"/>
                <w:szCs w:val="20"/>
              </w:rPr>
              <w:t>,</w:t>
            </w:r>
            <w:r w:rsidRPr="00E4566B">
              <w:rPr>
                <w:sz w:val="20"/>
                <w:szCs w:val="20"/>
              </w:rPr>
              <w:t>582</w:t>
            </w:r>
            <w:r w:rsidR="005874AB">
              <w:rPr>
                <w:sz w:val="20"/>
                <w:szCs w:val="20"/>
              </w:rPr>
              <w:t>,</w:t>
            </w:r>
            <w:r w:rsidRPr="00E4566B">
              <w:rPr>
                <w:sz w:val="20"/>
                <w:szCs w:val="20"/>
              </w:rPr>
              <w:t>931</w:t>
            </w:r>
          </w:p>
        </w:tc>
        <w:tc>
          <w:tcPr>
            <w:tcW w:w="1916" w:type="dxa"/>
          </w:tcPr>
          <w:p w14:paraId="7046C404" w14:textId="4BECC337" w:rsidR="003E090D" w:rsidRPr="00B95A75" w:rsidRDefault="009B488A" w:rsidP="00055C65">
            <w:pPr>
              <w:spacing w:after="0" w:line="240" w:lineRule="auto"/>
              <w:jc w:val="right"/>
              <w:rPr>
                <w:sz w:val="20"/>
                <w:szCs w:val="20"/>
              </w:rPr>
            </w:pPr>
            <w:r w:rsidRPr="00E4566B">
              <w:rPr>
                <w:sz w:val="20"/>
                <w:szCs w:val="20"/>
              </w:rPr>
              <w:t xml:space="preserve"> $0.0636 </w:t>
            </w:r>
          </w:p>
        </w:tc>
        <w:tc>
          <w:tcPr>
            <w:tcW w:w="1684" w:type="dxa"/>
            <w:tcBorders>
              <w:right w:val="nil"/>
            </w:tcBorders>
          </w:tcPr>
          <w:p w14:paraId="65DAB59A" w14:textId="5509E6BA" w:rsidR="003E090D" w:rsidRPr="00B95A75" w:rsidRDefault="009B488A" w:rsidP="00055C65">
            <w:pPr>
              <w:spacing w:after="0" w:line="240" w:lineRule="auto"/>
              <w:jc w:val="right"/>
              <w:rPr>
                <w:sz w:val="20"/>
                <w:szCs w:val="20"/>
              </w:rPr>
            </w:pPr>
            <w:r w:rsidRPr="00E4566B">
              <w:rPr>
                <w:sz w:val="20"/>
                <w:szCs w:val="20"/>
              </w:rPr>
              <w:t xml:space="preserve"> $10,093,551 </w:t>
            </w:r>
          </w:p>
        </w:tc>
      </w:tr>
      <w:tr w:rsidR="003E090D" w:rsidRPr="00B95A75" w14:paraId="0E36A1FA" w14:textId="77777777" w:rsidTr="00E4566B">
        <w:tc>
          <w:tcPr>
            <w:tcW w:w="1548" w:type="dxa"/>
            <w:tcBorders>
              <w:left w:val="nil"/>
            </w:tcBorders>
          </w:tcPr>
          <w:p w14:paraId="4DDB902E" w14:textId="167AB608" w:rsidR="003E090D" w:rsidRPr="00B95A75" w:rsidRDefault="003E090D" w:rsidP="003E090D">
            <w:pPr>
              <w:spacing w:after="0" w:line="240" w:lineRule="auto"/>
              <w:rPr>
                <w:sz w:val="20"/>
                <w:szCs w:val="20"/>
              </w:rPr>
            </w:pPr>
            <w:r w:rsidRPr="00B95A75">
              <w:rPr>
                <w:sz w:val="20"/>
                <w:szCs w:val="20"/>
              </w:rPr>
              <w:t>Res &amp; IE</w:t>
            </w:r>
          </w:p>
        </w:tc>
        <w:tc>
          <w:tcPr>
            <w:tcW w:w="2081" w:type="dxa"/>
            <w:gridSpan w:val="2"/>
          </w:tcPr>
          <w:p w14:paraId="7B370FD2" w14:textId="77E54DED" w:rsidR="003E090D" w:rsidRPr="00B95A75" w:rsidRDefault="009B488A" w:rsidP="003E090D">
            <w:pPr>
              <w:spacing w:after="0" w:line="240" w:lineRule="auto"/>
              <w:rPr>
                <w:sz w:val="20"/>
                <w:szCs w:val="20"/>
              </w:rPr>
            </w:pPr>
            <w:r w:rsidRPr="00E4566B">
              <w:rPr>
                <w:sz w:val="20"/>
                <w:szCs w:val="20"/>
              </w:rPr>
              <w:t xml:space="preserve">Whole Home Electric </w:t>
            </w:r>
          </w:p>
        </w:tc>
        <w:tc>
          <w:tcPr>
            <w:tcW w:w="2131" w:type="dxa"/>
          </w:tcPr>
          <w:p w14:paraId="0A66E6B3" w14:textId="32EB6D91" w:rsidR="003E090D" w:rsidRPr="00B95A75" w:rsidRDefault="009B488A" w:rsidP="00055C65">
            <w:pPr>
              <w:spacing w:after="0" w:line="240" w:lineRule="auto"/>
              <w:jc w:val="right"/>
              <w:rPr>
                <w:sz w:val="20"/>
                <w:szCs w:val="20"/>
              </w:rPr>
            </w:pPr>
            <w:r w:rsidRPr="00E4566B">
              <w:rPr>
                <w:sz w:val="20"/>
                <w:szCs w:val="20"/>
              </w:rPr>
              <w:t>56</w:t>
            </w:r>
            <w:r w:rsidR="005874AB">
              <w:rPr>
                <w:sz w:val="20"/>
                <w:szCs w:val="20"/>
              </w:rPr>
              <w:t>,</w:t>
            </w:r>
            <w:r w:rsidRPr="00E4566B">
              <w:rPr>
                <w:sz w:val="20"/>
                <w:szCs w:val="20"/>
              </w:rPr>
              <w:t>831</w:t>
            </w:r>
            <w:r w:rsidR="005874AB">
              <w:rPr>
                <w:sz w:val="20"/>
                <w:szCs w:val="20"/>
              </w:rPr>
              <w:t>,</w:t>
            </w:r>
            <w:r w:rsidRPr="00E4566B">
              <w:rPr>
                <w:sz w:val="20"/>
                <w:szCs w:val="20"/>
              </w:rPr>
              <w:t>825</w:t>
            </w:r>
          </w:p>
        </w:tc>
        <w:tc>
          <w:tcPr>
            <w:tcW w:w="1916" w:type="dxa"/>
          </w:tcPr>
          <w:p w14:paraId="28AD1ACC" w14:textId="0CD71FE2" w:rsidR="003E090D" w:rsidRPr="00B95A75" w:rsidRDefault="009B488A" w:rsidP="00055C65">
            <w:pPr>
              <w:spacing w:after="0" w:line="240" w:lineRule="auto"/>
              <w:jc w:val="right"/>
              <w:rPr>
                <w:sz w:val="20"/>
                <w:szCs w:val="20"/>
              </w:rPr>
            </w:pPr>
            <w:r w:rsidRPr="00E4566B">
              <w:rPr>
                <w:sz w:val="20"/>
                <w:szCs w:val="20"/>
              </w:rPr>
              <w:t xml:space="preserve"> $0.0570 </w:t>
            </w:r>
          </w:p>
        </w:tc>
        <w:tc>
          <w:tcPr>
            <w:tcW w:w="1684" w:type="dxa"/>
            <w:tcBorders>
              <w:right w:val="nil"/>
            </w:tcBorders>
          </w:tcPr>
          <w:p w14:paraId="13E9DFAD" w14:textId="33EECA2A" w:rsidR="003E090D" w:rsidRPr="00B95A75" w:rsidRDefault="009B488A" w:rsidP="00055C65">
            <w:pPr>
              <w:spacing w:after="0" w:line="240" w:lineRule="auto"/>
              <w:jc w:val="right"/>
              <w:rPr>
                <w:sz w:val="20"/>
                <w:szCs w:val="20"/>
              </w:rPr>
            </w:pPr>
            <w:r w:rsidRPr="00E4566B">
              <w:rPr>
                <w:sz w:val="20"/>
                <w:szCs w:val="20"/>
              </w:rPr>
              <w:t xml:space="preserve"> $3,242,081 </w:t>
            </w:r>
          </w:p>
        </w:tc>
      </w:tr>
      <w:tr w:rsidR="003E090D" w:rsidRPr="00B95A75" w14:paraId="4A85E892" w14:textId="77777777" w:rsidTr="00E4566B">
        <w:tc>
          <w:tcPr>
            <w:tcW w:w="1548" w:type="dxa"/>
            <w:tcBorders>
              <w:left w:val="nil"/>
            </w:tcBorders>
          </w:tcPr>
          <w:p w14:paraId="60F0BB26" w14:textId="7DFEF7DD" w:rsidR="003E090D" w:rsidRPr="00B95A75" w:rsidRDefault="003E090D" w:rsidP="003E090D">
            <w:pPr>
              <w:spacing w:after="0" w:line="240" w:lineRule="auto"/>
              <w:rPr>
                <w:sz w:val="20"/>
                <w:szCs w:val="20"/>
              </w:rPr>
            </w:pPr>
            <w:r w:rsidRPr="00B95A75">
              <w:rPr>
                <w:sz w:val="20"/>
                <w:szCs w:val="20"/>
              </w:rPr>
              <w:t>Pilot</w:t>
            </w:r>
          </w:p>
        </w:tc>
        <w:tc>
          <w:tcPr>
            <w:tcW w:w="2081" w:type="dxa"/>
            <w:gridSpan w:val="2"/>
          </w:tcPr>
          <w:p w14:paraId="0E489E03" w14:textId="6ACE7569" w:rsidR="003E090D" w:rsidRPr="00B95A75" w:rsidRDefault="00DE2CC6" w:rsidP="003E090D">
            <w:pPr>
              <w:spacing w:after="0" w:line="240" w:lineRule="auto"/>
              <w:rPr>
                <w:sz w:val="20"/>
                <w:szCs w:val="20"/>
              </w:rPr>
            </w:pPr>
            <w:r w:rsidRPr="00E4566B">
              <w:rPr>
                <w:sz w:val="20"/>
                <w:szCs w:val="20"/>
              </w:rPr>
              <w:t xml:space="preserve">Automated System Optimization </w:t>
            </w:r>
          </w:p>
        </w:tc>
        <w:tc>
          <w:tcPr>
            <w:tcW w:w="2131" w:type="dxa"/>
          </w:tcPr>
          <w:p w14:paraId="12E2A093" w14:textId="4566A797" w:rsidR="003E090D" w:rsidRPr="00B95A75" w:rsidRDefault="003E090D" w:rsidP="00055C65">
            <w:pPr>
              <w:spacing w:after="0" w:line="240" w:lineRule="auto"/>
              <w:jc w:val="right"/>
              <w:rPr>
                <w:sz w:val="20"/>
                <w:szCs w:val="20"/>
              </w:rPr>
            </w:pPr>
            <w:r w:rsidRPr="00B95A75">
              <w:rPr>
                <w:sz w:val="20"/>
                <w:szCs w:val="20"/>
              </w:rPr>
              <w:t>782,812</w:t>
            </w:r>
          </w:p>
        </w:tc>
        <w:tc>
          <w:tcPr>
            <w:tcW w:w="1916" w:type="dxa"/>
          </w:tcPr>
          <w:p w14:paraId="1B36E5D2" w14:textId="0E38197C" w:rsidR="003E090D" w:rsidRPr="00B95A75" w:rsidRDefault="003E090D" w:rsidP="00055C65">
            <w:pPr>
              <w:spacing w:after="0" w:line="240" w:lineRule="auto"/>
              <w:jc w:val="right"/>
              <w:rPr>
                <w:sz w:val="20"/>
                <w:szCs w:val="20"/>
              </w:rPr>
            </w:pPr>
            <w:r w:rsidRPr="00B95A75">
              <w:rPr>
                <w:sz w:val="20"/>
                <w:szCs w:val="20"/>
              </w:rPr>
              <w:t>$0.0720</w:t>
            </w:r>
          </w:p>
        </w:tc>
        <w:tc>
          <w:tcPr>
            <w:tcW w:w="1684" w:type="dxa"/>
            <w:tcBorders>
              <w:right w:val="nil"/>
            </w:tcBorders>
          </w:tcPr>
          <w:p w14:paraId="241B6888" w14:textId="0D7B3A47" w:rsidR="003E090D" w:rsidRPr="00B95A75" w:rsidRDefault="00DE2CC6" w:rsidP="00055C65">
            <w:pPr>
              <w:spacing w:after="0" w:line="240" w:lineRule="auto"/>
              <w:jc w:val="right"/>
              <w:rPr>
                <w:sz w:val="20"/>
                <w:szCs w:val="20"/>
              </w:rPr>
            </w:pPr>
            <w:r w:rsidRPr="00E4566B">
              <w:rPr>
                <w:sz w:val="20"/>
                <w:szCs w:val="20"/>
              </w:rPr>
              <w:t xml:space="preserve"> $56,396 </w:t>
            </w:r>
          </w:p>
        </w:tc>
      </w:tr>
      <w:tr w:rsidR="003E090D" w:rsidRPr="00B95A75" w14:paraId="106C526A" w14:textId="77777777" w:rsidTr="00E4566B">
        <w:tc>
          <w:tcPr>
            <w:tcW w:w="1548" w:type="dxa"/>
            <w:tcBorders>
              <w:left w:val="nil"/>
            </w:tcBorders>
          </w:tcPr>
          <w:p w14:paraId="0E38079A" w14:textId="56B72374" w:rsidR="003E090D" w:rsidRPr="00B95A75" w:rsidRDefault="003E090D" w:rsidP="003E090D">
            <w:pPr>
              <w:spacing w:after="0" w:line="240" w:lineRule="auto"/>
              <w:rPr>
                <w:sz w:val="20"/>
                <w:szCs w:val="20"/>
              </w:rPr>
            </w:pPr>
            <w:r w:rsidRPr="00B95A75">
              <w:rPr>
                <w:sz w:val="20"/>
                <w:szCs w:val="20"/>
              </w:rPr>
              <w:t>Pilot</w:t>
            </w:r>
          </w:p>
        </w:tc>
        <w:tc>
          <w:tcPr>
            <w:tcW w:w="2081" w:type="dxa"/>
            <w:gridSpan w:val="2"/>
          </w:tcPr>
          <w:p w14:paraId="16885B44" w14:textId="4B777675" w:rsidR="003E090D" w:rsidRPr="00B95A75" w:rsidRDefault="00DE2CC6" w:rsidP="003E090D">
            <w:pPr>
              <w:spacing w:after="0" w:line="240" w:lineRule="auto"/>
              <w:rPr>
                <w:sz w:val="20"/>
                <w:szCs w:val="20"/>
              </w:rPr>
            </w:pPr>
            <w:r w:rsidRPr="00E4566B">
              <w:rPr>
                <w:sz w:val="20"/>
                <w:szCs w:val="20"/>
              </w:rPr>
              <w:t xml:space="preserve">Virtual Energy Coach </w:t>
            </w:r>
          </w:p>
        </w:tc>
        <w:tc>
          <w:tcPr>
            <w:tcW w:w="2131" w:type="dxa"/>
          </w:tcPr>
          <w:p w14:paraId="0821FBA6" w14:textId="5A2C91DF" w:rsidR="003E090D" w:rsidRPr="00B95A75" w:rsidRDefault="003E090D" w:rsidP="00055C65">
            <w:pPr>
              <w:spacing w:after="0" w:line="240" w:lineRule="auto"/>
              <w:jc w:val="right"/>
              <w:rPr>
                <w:sz w:val="20"/>
                <w:szCs w:val="20"/>
              </w:rPr>
            </w:pPr>
            <w:r w:rsidRPr="00B95A75">
              <w:rPr>
                <w:sz w:val="20"/>
                <w:szCs w:val="20"/>
              </w:rPr>
              <w:t>677,292</w:t>
            </w:r>
          </w:p>
        </w:tc>
        <w:tc>
          <w:tcPr>
            <w:tcW w:w="1916" w:type="dxa"/>
          </w:tcPr>
          <w:p w14:paraId="1ABFCEC6" w14:textId="7AE4F90A" w:rsidR="003E090D" w:rsidRPr="00B95A75" w:rsidRDefault="003E090D" w:rsidP="00055C65">
            <w:pPr>
              <w:spacing w:after="0" w:line="240" w:lineRule="auto"/>
              <w:jc w:val="right"/>
              <w:rPr>
                <w:sz w:val="20"/>
                <w:szCs w:val="20"/>
              </w:rPr>
            </w:pPr>
            <w:r w:rsidRPr="00B95A75">
              <w:rPr>
                <w:sz w:val="20"/>
                <w:szCs w:val="20"/>
              </w:rPr>
              <w:t>$0.0754</w:t>
            </w:r>
          </w:p>
        </w:tc>
        <w:tc>
          <w:tcPr>
            <w:tcW w:w="1684" w:type="dxa"/>
            <w:tcBorders>
              <w:right w:val="nil"/>
            </w:tcBorders>
          </w:tcPr>
          <w:p w14:paraId="4B6C2FA3" w14:textId="410836FA" w:rsidR="003E090D" w:rsidRPr="00B95A75" w:rsidRDefault="00DE2CC6" w:rsidP="00055C65">
            <w:pPr>
              <w:spacing w:after="0" w:line="240" w:lineRule="auto"/>
              <w:jc w:val="right"/>
              <w:rPr>
                <w:sz w:val="20"/>
                <w:szCs w:val="20"/>
              </w:rPr>
            </w:pPr>
            <w:r w:rsidRPr="00E4566B">
              <w:rPr>
                <w:sz w:val="20"/>
                <w:szCs w:val="20"/>
              </w:rPr>
              <w:t xml:space="preserve"> $51,035 </w:t>
            </w:r>
          </w:p>
        </w:tc>
      </w:tr>
      <w:tr w:rsidR="003E090D" w:rsidRPr="00B95A75" w14:paraId="3694A3DC" w14:textId="77777777" w:rsidTr="00E4566B">
        <w:tc>
          <w:tcPr>
            <w:tcW w:w="1548" w:type="dxa"/>
            <w:tcBorders>
              <w:left w:val="nil"/>
              <w:bottom w:val="dotted" w:sz="2" w:space="0" w:color="00BAD6"/>
            </w:tcBorders>
          </w:tcPr>
          <w:p w14:paraId="26A269F3" w14:textId="683218B0" w:rsidR="003E090D" w:rsidRPr="00B95A75" w:rsidRDefault="003E090D" w:rsidP="003E090D">
            <w:pPr>
              <w:spacing w:after="0" w:line="240" w:lineRule="auto"/>
              <w:rPr>
                <w:sz w:val="20"/>
                <w:szCs w:val="20"/>
              </w:rPr>
            </w:pPr>
            <w:r w:rsidRPr="00B95A75">
              <w:rPr>
                <w:sz w:val="20"/>
                <w:szCs w:val="20"/>
              </w:rPr>
              <w:t>Voltage Optimization</w:t>
            </w:r>
          </w:p>
        </w:tc>
        <w:tc>
          <w:tcPr>
            <w:tcW w:w="2081" w:type="dxa"/>
            <w:gridSpan w:val="2"/>
            <w:tcBorders>
              <w:bottom w:val="dotted" w:sz="2" w:space="0" w:color="00BAD6"/>
            </w:tcBorders>
          </w:tcPr>
          <w:p w14:paraId="3FC76705" w14:textId="64EA1810" w:rsidR="003E090D" w:rsidRPr="00B95A75" w:rsidRDefault="003E090D" w:rsidP="003E090D">
            <w:pPr>
              <w:spacing w:after="0" w:line="240" w:lineRule="auto"/>
              <w:rPr>
                <w:sz w:val="20"/>
                <w:szCs w:val="20"/>
              </w:rPr>
            </w:pPr>
            <w:r w:rsidRPr="00B95A75">
              <w:rPr>
                <w:sz w:val="20"/>
                <w:szCs w:val="20"/>
              </w:rPr>
              <w:t>Voltage Optimization</w:t>
            </w:r>
          </w:p>
        </w:tc>
        <w:tc>
          <w:tcPr>
            <w:tcW w:w="2131" w:type="dxa"/>
            <w:tcBorders>
              <w:bottom w:val="dotted" w:sz="2" w:space="0" w:color="00BAD6"/>
            </w:tcBorders>
          </w:tcPr>
          <w:p w14:paraId="5FC7F931" w14:textId="03AA0EE2" w:rsidR="003E090D" w:rsidRPr="00B95A75" w:rsidRDefault="003E090D" w:rsidP="00055C65">
            <w:pPr>
              <w:spacing w:after="0" w:line="240" w:lineRule="auto"/>
              <w:jc w:val="right"/>
              <w:rPr>
                <w:sz w:val="20"/>
                <w:szCs w:val="20"/>
              </w:rPr>
            </w:pPr>
            <w:r w:rsidRPr="00B95A75">
              <w:rPr>
                <w:sz w:val="20"/>
                <w:szCs w:val="20"/>
              </w:rPr>
              <w:t>995,475,896</w:t>
            </w:r>
          </w:p>
        </w:tc>
        <w:tc>
          <w:tcPr>
            <w:tcW w:w="1916" w:type="dxa"/>
            <w:tcBorders>
              <w:bottom w:val="dotted" w:sz="2" w:space="0" w:color="00BAD6"/>
            </w:tcBorders>
          </w:tcPr>
          <w:p w14:paraId="15AFA67E" w14:textId="2E09AB40" w:rsidR="003E090D" w:rsidRPr="00B95A75" w:rsidRDefault="003E090D" w:rsidP="00055C65">
            <w:pPr>
              <w:spacing w:after="0" w:line="240" w:lineRule="auto"/>
              <w:jc w:val="right"/>
              <w:rPr>
                <w:sz w:val="20"/>
                <w:szCs w:val="20"/>
              </w:rPr>
            </w:pPr>
            <w:r w:rsidRPr="00B95A75">
              <w:rPr>
                <w:sz w:val="20"/>
                <w:szCs w:val="20"/>
              </w:rPr>
              <w:t>$0.0622</w:t>
            </w:r>
          </w:p>
        </w:tc>
        <w:tc>
          <w:tcPr>
            <w:tcW w:w="1684" w:type="dxa"/>
            <w:tcBorders>
              <w:bottom w:val="dotted" w:sz="2" w:space="0" w:color="00BAD6"/>
              <w:right w:val="nil"/>
            </w:tcBorders>
          </w:tcPr>
          <w:p w14:paraId="0E92F383" w14:textId="43FB841A" w:rsidR="003E090D" w:rsidRPr="00B95A75" w:rsidRDefault="003E090D" w:rsidP="00055C65">
            <w:pPr>
              <w:spacing w:after="0" w:line="240" w:lineRule="auto"/>
              <w:jc w:val="right"/>
              <w:rPr>
                <w:sz w:val="20"/>
                <w:szCs w:val="20"/>
              </w:rPr>
            </w:pPr>
            <w:r w:rsidRPr="00B95A75">
              <w:rPr>
                <w:sz w:val="20"/>
                <w:szCs w:val="20"/>
              </w:rPr>
              <w:t>$61,874,513</w:t>
            </w:r>
          </w:p>
        </w:tc>
      </w:tr>
      <w:tr w:rsidR="00C51300" w:rsidRPr="00B95A75" w14:paraId="727109A4" w14:textId="77777777" w:rsidTr="00E4566B">
        <w:tc>
          <w:tcPr>
            <w:tcW w:w="1707" w:type="dxa"/>
            <w:gridSpan w:val="2"/>
            <w:tcBorders>
              <w:top w:val="dotted" w:sz="2" w:space="0" w:color="00BAD6"/>
              <w:left w:val="nil"/>
              <w:bottom w:val="single" w:sz="4" w:space="0" w:color="auto"/>
            </w:tcBorders>
          </w:tcPr>
          <w:p w14:paraId="2BEECF50" w14:textId="5E1655A2" w:rsidR="00C51300" w:rsidRPr="00B95A75" w:rsidRDefault="00C51300" w:rsidP="00055C65">
            <w:pPr>
              <w:spacing w:after="0" w:line="240" w:lineRule="auto"/>
              <w:rPr>
                <w:b/>
                <w:bCs/>
                <w:sz w:val="20"/>
                <w:szCs w:val="20"/>
              </w:rPr>
            </w:pPr>
            <w:r w:rsidRPr="00B95A75">
              <w:rPr>
                <w:b/>
                <w:bCs/>
                <w:sz w:val="20"/>
                <w:szCs w:val="20"/>
              </w:rPr>
              <w:t xml:space="preserve">Total </w:t>
            </w:r>
          </w:p>
        </w:tc>
        <w:tc>
          <w:tcPr>
            <w:tcW w:w="1922" w:type="dxa"/>
            <w:tcBorders>
              <w:top w:val="dotted" w:sz="2" w:space="0" w:color="00BAD6"/>
              <w:left w:val="nil"/>
              <w:bottom w:val="single" w:sz="4" w:space="0" w:color="auto"/>
            </w:tcBorders>
          </w:tcPr>
          <w:p w14:paraId="3800F56C" w14:textId="56DB08D6" w:rsidR="00C51300" w:rsidRPr="00B95A75" w:rsidRDefault="00C51300" w:rsidP="00055C65">
            <w:pPr>
              <w:spacing w:after="0" w:line="240" w:lineRule="auto"/>
              <w:rPr>
                <w:b/>
                <w:bCs/>
                <w:sz w:val="20"/>
                <w:szCs w:val="20"/>
              </w:rPr>
            </w:pPr>
          </w:p>
        </w:tc>
        <w:tc>
          <w:tcPr>
            <w:tcW w:w="2131" w:type="dxa"/>
            <w:tcBorders>
              <w:top w:val="dotted" w:sz="2" w:space="0" w:color="00BAD6"/>
              <w:bottom w:val="single" w:sz="4" w:space="0" w:color="auto"/>
            </w:tcBorders>
          </w:tcPr>
          <w:p w14:paraId="11035722" w14:textId="2D2A2C7C" w:rsidR="00C51300" w:rsidRPr="00B95A75" w:rsidRDefault="00C51300" w:rsidP="00055C65">
            <w:pPr>
              <w:spacing w:after="0" w:line="240" w:lineRule="auto"/>
              <w:jc w:val="right"/>
              <w:rPr>
                <w:b/>
                <w:bCs/>
                <w:sz w:val="20"/>
                <w:szCs w:val="20"/>
              </w:rPr>
            </w:pPr>
            <w:r w:rsidRPr="00B95A75">
              <w:rPr>
                <w:b/>
                <w:bCs/>
                <w:sz w:val="20"/>
                <w:szCs w:val="20"/>
              </w:rPr>
              <w:t>19,156,864,438</w:t>
            </w:r>
          </w:p>
        </w:tc>
        <w:tc>
          <w:tcPr>
            <w:tcW w:w="1916" w:type="dxa"/>
            <w:tcBorders>
              <w:top w:val="dotted" w:sz="2" w:space="0" w:color="00BAD6"/>
              <w:bottom w:val="single" w:sz="4" w:space="0" w:color="auto"/>
            </w:tcBorders>
          </w:tcPr>
          <w:p w14:paraId="17D3FA6B" w14:textId="07D1EE54" w:rsidR="00C51300" w:rsidRPr="00B95A75" w:rsidRDefault="00C51300" w:rsidP="00055C65">
            <w:pPr>
              <w:spacing w:after="0" w:line="240" w:lineRule="auto"/>
              <w:jc w:val="right"/>
              <w:rPr>
                <w:b/>
                <w:bCs/>
                <w:sz w:val="20"/>
                <w:szCs w:val="20"/>
              </w:rPr>
            </w:pPr>
            <w:r w:rsidRPr="00B95A75">
              <w:rPr>
                <w:b/>
                <w:bCs/>
                <w:sz w:val="20"/>
                <w:szCs w:val="20"/>
              </w:rPr>
              <w:t>$0.0637</w:t>
            </w:r>
          </w:p>
        </w:tc>
        <w:tc>
          <w:tcPr>
            <w:tcW w:w="1684" w:type="dxa"/>
            <w:tcBorders>
              <w:top w:val="dotted" w:sz="2" w:space="0" w:color="00BAD6"/>
              <w:bottom w:val="single" w:sz="4" w:space="0" w:color="auto"/>
              <w:right w:val="nil"/>
            </w:tcBorders>
          </w:tcPr>
          <w:p w14:paraId="3A3A879B" w14:textId="66BF6513" w:rsidR="00C51300" w:rsidRPr="00B95A75" w:rsidRDefault="00C51300" w:rsidP="00055C65">
            <w:pPr>
              <w:spacing w:after="0" w:line="240" w:lineRule="auto"/>
              <w:jc w:val="right"/>
              <w:rPr>
                <w:b/>
                <w:bCs/>
                <w:sz w:val="20"/>
                <w:szCs w:val="20"/>
              </w:rPr>
            </w:pPr>
            <w:r w:rsidRPr="00B95A75">
              <w:rPr>
                <w:b/>
                <w:bCs/>
                <w:sz w:val="20"/>
                <w:szCs w:val="20"/>
              </w:rPr>
              <w:t>$1,219,784,859</w:t>
            </w:r>
          </w:p>
        </w:tc>
      </w:tr>
    </w:tbl>
    <w:p w14:paraId="2481C0E9" w14:textId="6C1A86AB" w:rsidR="003E090D" w:rsidRPr="003E090D" w:rsidRDefault="003E090D" w:rsidP="00055C65">
      <w:pPr>
        <w:pStyle w:val="TableFigureSoureorNote"/>
      </w:pPr>
      <w:r w:rsidRPr="00E50A85">
        <w:t xml:space="preserve"> Source: </w:t>
      </w:r>
      <w:r w:rsidR="00055C65" w:rsidRPr="00055C65">
        <w:t>Guidehouse analysis of ComEd CY2025 verified program savings.</w:t>
      </w:r>
    </w:p>
    <w:p w14:paraId="31BDBF0A" w14:textId="6EDD8835" w:rsidR="004C64BF" w:rsidRDefault="004C64BF" w:rsidP="004C64BF">
      <w:pPr>
        <w:pStyle w:val="Heading1"/>
      </w:pPr>
      <w:bookmarkStart w:id="27" w:name="_Toc227865879"/>
      <w:r>
        <w:t>Portfolio-Level Societal NEI Estimates</w:t>
      </w:r>
      <w:bookmarkEnd w:id="27"/>
    </w:p>
    <w:p w14:paraId="09A9E040" w14:textId="446B156B" w:rsidR="00055C65" w:rsidRDefault="006A28C0" w:rsidP="00055C65">
      <w:r>
        <w:fldChar w:fldCharType="begin"/>
      </w:r>
      <w:r>
        <w:instrText xml:space="preserve"> REF _Ref227751336 \h </w:instrText>
      </w:r>
      <w:r w:rsidR="0047789E">
        <w:instrText xml:space="preserve"> \* MERGEFORMAT </w:instrText>
      </w:r>
      <w:r>
        <w:fldChar w:fldCharType="separate"/>
      </w:r>
      <w:r>
        <w:t xml:space="preserve">Table </w:t>
      </w:r>
      <w:r>
        <w:rPr>
          <w:noProof/>
        </w:rPr>
        <w:t>3</w:t>
      </w:r>
      <w:r>
        <w:fldChar w:fldCharType="end"/>
      </w:r>
      <w:r>
        <w:t xml:space="preserve"> </w:t>
      </w:r>
      <w:r w:rsidR="005B5A1C">
        <w:t>shows</w:t>
      </w:r>
      <w:r w:rsidR="005B5A1C" w:rsidRPr="00055C65">
        <w:t xml:space="preserve"> </w:t>
      </w:r>
      <w:r w:rsidR="00055C65" w:rsidRPr="00055C65">
        <w:t xml:space="preserve">the annual portfolio-level Societal NEI estimates for 2025-2064. </w:t>
      </w:r>
      <w:r w:rsidR="001C37B9">
        <w:t xml:space="preserve">ComEd </w:t>
      </w:r>
      <w:r w:rsidR="007E4720">
        <w:t>can</w:t>
      </w:r>
      <w:r w:rsidR="001C37B9">
        <w:t xml:space="preserve"> use</w:t>
      </w:r>
      <w:r w:rsidR="00AF13D7">
        <w:t xml:space="preserve"> </w:t>
      </w:r>
      <w:r w:rsidR="001274C3">
        <w:fldChar w:fldCharType="begin"/>
      </w:r>
      <w:r w:rsidR="001274C3">
        <w:instrText xml:space="preserve"> REF _Ref227751336 \h </w:instrText>
      </w:r>
      <w:r w:rsidR="001274C3">
        <w:fldChar w:fldCharType="separate"/>
      </w:r>
      <w:r w:rsidR="001274C3">
        <w:t xml:space="preserve">Table </w:t>
      </w:r>
      <w:r w:rsidR="001274C3">
        <w:rPr>
          <w:noProof/>
        </w:rPr>
        <w:t>3</w:t>
      </w:r>
      <w:r w:rsidR="001274C3">
        <w:fldChar w:fldCharType="end"/>
      </w:r>
      <w:r w:rsidR="00AF13D7">
        <w:t xml:space="preserve"> </w:t>
      </w:r>
      <w:r w:rsidR="00382D37">
        <w:t xml:space="preserve">results </w:t>
      </w:r>
      <w:r w:rsidR="008C335E">
        <w:t xml:space="preserve">to forecast </w:t>
      </w:r>
      <w:r w:rsidR="006142CE">
        <w:t>S</w:t>
      </w:r>
      <w:r w:rsidR="008C335E">
        <w:t xml:space="preserve">ocietal NEI estimates </w:t>
      </w:r>
      <w:r w:rsidR="006142CE">
        <w:t>f</w:t>
      </w:r>
      <w:r w:rsidR="00055C65" w:rsidRPr="00055C65">
        <w:t>or new or redesigned energy efficiency programs</w:t>
      </w:r>
      <w:r w:rsidR="006142CE">
        <w:t>.</w:t>
      </w:r>
      <w:r w:rsidR="00055C65" w:rsidRPr="00055C65">
        <w:t xml:space="preserve"> ComEd should estimate the new or redesigned programs' CPAS based on the new measure mix. This program-level CPAS should then be applied to annual portfolio-level benefit per kWh estimates provided in </w:t>
      </w:r>
      <w:r>
        <w:fldChar w:fldCharType="begin"/>
      </w:r>
      <w:r>
        <w:instrText xml:space="preserve"> REF _Ref227751336 \h </w:instrText>
      </w:r>
      <w:r w:rsidR="0047789E">
        <w:instrText xml:space="preserve"> \* MERGEFORMAT </w:instrText>
      </w:r>
      <w:r>
        <w:fldChar w:fldCharType="separate"/>
      </w:r>
      <w:r>
        <w:t xml:space="preserve">Table </w:t>
      </w:r>
      <w:r>
        <w:rPr>
          <w:noProof/>
        </w:rPr>
        <w:t>3</w:t>
      </w:r>
      <w:r>
        <w:fldChar w:fldCharType="end"/>
      </w:r>
      <w:r>
        <w:t xml:space="preserve"> </w:t>
      </w:r>
      <w:r w:rsidR="00055C65" w:rsidRPr="00055C65">
        <w:t>to generate an annual Societal NEI estimate. ComEd should then take the summation of all years' estimates to generate a total Societal NEI estimate for the new or redesigned program.</w:t>
      </w:r>
    </w:p>
    <w:p w14:paraId="52C5CE1B" w14:textId="454DC9D9" w:rsidR="00055C65" w:rsidRDefault="00055C65" w:rsidP="00A92B00">
      <w:pPr>
        <w:pStyle w:val="Caption"/>
        <w:spacing w:after="0"/>
      </w:pPr>
      <w:bookmarkStart w:id="28" w:name="_Ref227751336"/>
      <w:bookmarkStart w:id="29" w:name="_Toc227865861"/>
      <w:r>
        <w:lastRenderedPageBreak/>
        <w:t xml:space="preserve">Table </w:t>
      </w:r>
      <w:fldSimple w:instr=" SEQ Table \* ARABIC ">
        <w:r>
          <w:rPr>
            <w:noProof/>
          </w:rPr>
          <w:t>3</w:t>
        </w:r>
      </w:fldSimple>
      <w:bookmarkEnd w:id="28"/>
      <w:r>
        <w:t xml:space="preserve">. </w:t>
      </w:r>
      <w:r w:rsidRPr="00055C65">
        <w:t>CY2025 Annual Portfolio-Level Societal NEI Estimates in 2025 Dollars</w:t>
      </w:r>
      <w:bookmarkEnd w:id="29"/>
    </w:p>
    <w:tbl>
      <w:tblPr>
        <w:tblW w:w="0" w:type="auto"/>
        <w:tblBorders>
          <w:insideH w:val="dotted" w:sz="2" w:space="0" w:color="00BAD6"/>
        </w:tblBorders>
        <w:tblLook w:val="04A0" w:firstRow="1" w:lastRow="0" w:firstColumn="1" w:lastColumn="0" w:noHBand="0" w:noVBand="1"/>
      </w:tblPr>
      <w:tblGrid>
        <w:gridCol w:w="2335"/>
        <w:gridCol w:w="2335"/>
        <w:gridCol w:w="2335"/>
        <w:gridCol w:w="2335"/>
      </w:tblGrid>
      <w:tr w:rsidR="00055C65" w:rsidRPr="00A92B00" w14:paraId="02BBB06F" w14:textId="77777777" w:rsidTr="00507A26">
        <w:trPr>
          <w:cantSplit/>
          <w:tblHeader/>
        </w:trPr>
        <w:tc>
          <w:tcPr>
            <w:tcW w:w="2335" w:type="dxa"/>
            <w:tcBorders>
              <w:top w:val="nil"/>
              <w:left w:val="nil"/>
              <w:bottom w:val="single" w:sz="18" w:space="0" w:color="93D500"/>
              <w:right w:val="nil"/>
            </w:tcBorders>
            <w:shd w:val="clear" w:color="auto" w:fill="03647A"/>
          </w:tcPr>
          <w:p w14:paraId="0980B462" w14:textId="38B4F6D8" w:rsidR="00055C65" w:rsidRPr="00A92B00" w:rsidRDefault="00055C65" w:rsidP="00055C65">
            <w:pPr>
              <w:spacing w:after="0" w:line="240" w:lineRule="auto"/>
              <w:rPr>
                <w:b/>
                <w:color w:val="FFFFFF"/>
                <w:sz w:val="20"/>
                <w:szCs w:val="20"/>
              </w:rPr>
            </w:pPr>
            <w:r w:rsidRPr="00A92B00">
              <w:rPr>
                <w:b/>
                <w:color w:val="FFFFFF"/>
                <w:sz w:val="20"/>
                <w:szCs w:val="20"/>
              </w:rPr>
              <w:t>Year</w:t>
            </w:r>
          </w:p>
        </w:tc>
        <w:tc>
          <w:tcPr>
            <w:tcW w:w="2335" w:type="dxa"/>
            <w:tcBorders>
              <w:top w:val="nil"/>
              <w:left w:val="nil"/>
              <w:bottom w:val="single" w:sz="18" w:space="0" w:color="93D500"/>
              <w:right w:val="nil"/>
            </w:tcBorders>
            <w:shd w:val="clear" w:color="auto" w:fill="03647A"/>
          </w:tcPr>
          <w:p w14:paraId="2994CD86" w14:textId="6A4BBE07" w:rsidR="00055C65" w:rsidRPr="00A92B00" w:rsidRDefault="00055C65" w:rsidP="00055C65">
            <w:pPr>
              <w:spacing w:after="0" w:line="240" w:lineRule="auto"/>
              <w:jc w:val="right"/>
              <w:rPr>
                <w:b/>
                <w:color w:val="FFFFFF"/>
                <w:sz w:val="20"/>
                <w:szCs w:val="20"/>
              </w:rPr>
            </w:pPr>
            <w:r w:rsidRPr="00A92B00">
              <w:rPr>
                <w:b/>
                <w:color w:val="FFFFFF"/>
                <w:sz w:val="20"/>
                <w:szCs w:val="20"/>
              </w:rPr>
              <w:t>Lifetime Health Benefits</w:t>
            </w:r>
          </w:p>
        </w:tc>
        <w:tc>
          <w:tcPr>
            <w:tcW w:w="2335" w:type="dxa"/>
            <w:tcBorders>
              <w:top w:val="nil"/>
              <w:left w:val="nil"/>
              <w:bottom w:val="single" w:sz="18" w:space="0" w:color="93D500"/>
              <w:right w:val="nil"/>
            </w:tcBorders>
            <w:shd w:val="clear" w:color="auto" w:fill="03647A"/>
          </w:tcPr>
          <w:p w14:paraId="4C9D50D1" w14:textId="2285D7B7" w:rsidR="00055C65" w:rsidRPr="00A92B00" w:rsidRDefault="00055C65" w:rsidP="00055C65">
            <w:pPr>
              <w:spacing w:after="0" w:line="240" w:lineRule="auto"/>
              <w:jc w:val="right"/>
              <w:rPr>
                <w:b/>
                <w:color w:val="FFFFFF"/>
                <w:sz w:val="20"/>
                <w:szCs w:val="20"/>
              </w:rPr>
            </w:pPr>
            <w:r w:rsidRPr="00A92B00">
              <w:rPr>
                <w:b/>
                <w:color w:val="FFFFFF"/>
                <w:sz w:val="20"/>
                <w:szCs w:val="20"/>
              </w:rPr>
              <w:t>Lifetime Health Benefits per kWh</w:t>
            </w:r>
          </w:p>
        </w:tc>
        <w:tc>
          <w:tcPr>
            <w:tcW w:w="2335" w:type="dxa"/>
            <w:tcBorders>
              <w:top w:val="nil"/>
              <w:left w:val="nil"/>
              <w:bottom w:val="single" w:sz="18" w:space="0" w:color="93D500"/>
              <w:right w:val="nil"/>
            </w:tcBorders>
            <w:shd w:val="clear" w:color="auto" w:fill="03647A"/>
          </w:tcPr>
          <w:p w14:paraId="4A32322C" w14:textId="4351C21B" w:rsidR="00055C65" w:rsidRPr="00A92B00" w:rsidRDefault="00055C65" w:rsidP="00055C65">
            <w:pPr>
              <w:spacing w:after="0" w:line="240" w:lineRule="auto"/>
              <w:jc w:val="right"/>
              <w:rPr>
                <w:b/>
                <w:color w:val="FFFFFF"/>
                <w:sz w:val="20"/>
                <w:szCs w:val="20"/>
              </w:rPr>
            </w:pPr>
            <w:r w:rsidRPr="00A92B00">
              <w:rPr>
                <w:b/>
                <w:color w:val="FFFFFF"/>
                <w:sz w:val="20"/>
                <w:szCs w:val="20"/>
              </w:rPr>
              <w:t xml:space="preserve">CY2025 Verified Net Lifetime Savings (kWh) </w:t>
            </w:r>
          </w:p>
        </w:tc>
      </w:tr>
      <w:tr w:rsidR="00055C65" w:rsidRPr="00A92B00" w14:paraId="1A7570F1" w14:textId="77777777" w:rsidTr="00507A26">
        <w:tc>
          <w:tcPr>
            <w:tcW w:w="2335" w:type="dxa"/>
            <w:tcBorders>
              <w:left w:val="nil"/>
            </w:tcBorders>
          </w:tcPr>
          <w:p w14:paraId="756C3BC2" w14:textId="6D8F7D6D" w:rsidR="00055C65" w:rsidRPr="00A92B00" w:rsidRDefault="00055C65" w:rsidP="00A101D4">
            <w:pPr>
              <w:keepNext/>
              <w:spacing w:after="0" w:line="240" w:lineRule="auto"/>
              <w:rPr>
                <w:sz w:val="20"/>
                <w:szCs w:val="20"/>
              </w:rPr>
            </w:pPr>
            <w:r w:rsidRPr="00A92B00">
              <w:rPr>
                <w:sz w:val="20"/>
                <w:szCs w:val="20"/>
              </w:rPr>
              <w:t>2025</w:t>
            </w:r>
          </w:p>
        </w:tc>
        <w:tc>
          <w:tcPr>
            <w:tcW w:w="2335" w:type="dxa"/>
          </w:tcPr>
          <w:p w14:paraId="543D6C7A" w14:textId="03F117DA" w:rsidR="00055C65" w:rsidRPr="00A92B00" w:rsidRDefault="00055C65" w:rsidP="00A101D4">
            <w:pPr>
              <w:keepNext/>
              <w:spacing w:after="0" w:line="240" w:lineRule="auto"/>
              <w:jc w:val="right"/>
              <w:rPr>
                <w:sz w:val="20"/>
                <w:szCs w:val="20"/>
              </w:rPr>
            </w:pPr>
            <w:r w:rsidRPr="00A92B00">
              <w:rPr>
                <w:sz w:val="20"/>
                <w:szCs w:val="20"/>
              </w:rPr>
              <w:t xml:space="preserve"> $117,684,012</w:t>
            </w:r>
          </w:p>
        </w:tc>
        <w:tc>
          <w:tcPr>
            <w:tcW w:w="2335" w:type="dxa"/>
          </w:tcPr>
          <w:p w14:paraId="53775D8F" w14:textId="75AAEF5A" w:rsidR="00055C65" w:rsidRPr="00A92B00" w:rsidRDefault="00055C65" w:rsidP="00A101D4">
            <w:pPr>
              <w:keepNext/>
              <w:spacing w:after="0" w:line="240" w:lineRule="auto"/>
              <w:jc w:val="right"/>
              <w:rPr>
                <w:sz w:val="20"/>
                <w:szCs w:val="20"/>
              </w:rPr>
            </w:pPr>
            <w:r w:rsidRPr="00A92B00">
              <w:rPr>
                <w:sz w:val="20"/>
                <w:szCs w:val="20"/>
              </w:rPr>
              <w:t xml:space="preserve"> $0.0724</w:t>
            </w:r>
          </w:p>
        </w:tc>
        <w:tc>
          <w:tcPr>
            <w:tcW w:w="2335" w:type="dxa"/>
            <w:tcBorders>
              <w:right w:val="nil"/>
            </w:tcBorders>
          </w:tcPr>
          <w:p w14:paraId="254D1D9A" w14:textId="47CDE883" w:rsidR="00055C65" w:rsidRPr="00A92B00" w:rsidRDefault="00055C65" w:rsidP="00A101D4">
            <w:pPr>
              <w:keepNext/>
              <w:spacing w:after="0" w:line="240" w:lineRule="auto"/>
              <w:jc w:val="right"/>
              <w:rPr>
                <w:sz w:val="20"/>
                <w:szCs w:val="20"/>
              </w:rPr>
            </w:pPr>
            <w:r w:rsidRPr="00A92B00">
              <w:rPr>
                <w:sz w:val="20"/>
                <w:szCs w:val="20"/>
              </w:rPr>
              <w:t xml:space="preserve">1,626,533,333 </w:t>
            </w:r>
          </w:p>
        </w:tc>
      </w:tr>
      <w:tr w:rsidR="00055C65" w:rsidRPr="00A92B00" w14:paraId="55CC2675" w14:textId="77777777" w:rsidTr="00507A26">
        <w:tc>
          <w:tcPr>
            <w:tcW w:w="2335" w:type="dxa"/>
            <w:tcBorders>
              <w:left w:val="nil"/>
            </w:tcBorders>
          </w:tcPr>
          <w:p w14:paraId="267A98C8" w14:textId="463BB7D4" w:rsidR="00055C65" w:rsidRPr="00A92B00" w:rsidRDefault="00055C65" w:rsidP="00A101D4">
            <w:pPr>
              <w:keepNext/>
              <w:spacing w:after="0" w:line="240" w:lineRule="auto"/>
              <w:rPr>
                <w:sz w:val="20"/>
                <w:szCs w:val="20"/>
              </w:rPr>
            </w:pPr>
            <w:r w:rsidRPr="00A92B00">
              <w:rPr>
                <w:sz w:val="20"/>
                <w:szCs w:val="20"/>
              </w:rPr>
              <w:t>2026</w:t>
            </w:r>
          </w:p>
        </w:tc>
        <w:tc>
          <w:tcPr>
            <w:tcW w:w="2335" w:type="dxa"/>
          </w:tcPr>
          <w:p w14:paraId="4843F238" w14:textId="5FDD00D2" w:rsidR="00055C65" w:rsidRPr="00A92B00" w:rsidRDefault="00055C65" w:rsidP="00A101D4">
            <w:pPr>
              <w:keepNext/>
              <w:spacing w:after="0" w:line="240" w:lineRule="auto"/>
              <w:jc w:val="right"/>
              <w:rPr>
                <w:sz w:val="20"/>
                <w:szCs w:val="20"/>
              </w:rPr>
            </w:pPr>
            <w:r w:rsidRPr="00A92B00">
              <w:rPr>
                <w:sz w:val="20"/>
                <w:szCs w:val="20"/>
              </w:rPr>
              <w:t xml:space="preserve"> $115,644,565</w:t>
            </w:r>
          </w:p>
        </w:tc>
        <w:tc>
          <w:tcPr>
            <w:tcW w:w="2335" w:type="dxa"/>
          </w:tcPr>
          <w:p w14:paraId="71B025B5" w14:textId="7F016972" w:rsidR="00055C65" w:rsidRPr="00A92B00" w:rsidRDefault="00055C65" w:rsidP="00A101D4">
            <w:pPr>
              <w:keepNext/>
              <w:spacing w:after="0" w:line="240" w:lineRule="auto"/>
              <w:jc w:val="right"/>
              <w:rPr>
                <w:sz w:val="20"/>
                <w:szCs w:val="20"/>
              </w:rPr>
            </w:pPr>
            <w:r w:rsidRPr="00A92B00">
              <w:rPr>
                <w:sz w:val="20"/>
                <w:szCs w:val="20"/>
              </w:rPr>
              <w:t xml:space="preserve"> $0.0720</w:t>
            </w:r>
          </w:p>
        </w:tc>
        <w:tc>
          <w:tcPr>
            <w:tcW w:w="2335" w:type="dxa"/>
            <w:tcBorders>
              <w:right w:val="nil"/>
            </w:tcBorders>
          </w:tcPr>
          <w:p w14:paraId="0DA38904" w14:textId="054C5719" w:rsidR="00055C65" w:rsidRPr="00A92B00" w:rsidRDefault="00055C65" w:rsidP="00A101D4">
            <w:pPr>
              <w:keepNext/>
              <w:spacing w:after="0" w:line="240" w:lineRule="auto"/>
              <w:jc w:val="right"/>
              <w:rPr>
                <w:sz w:val="20"/>
                <w:szCs w:val="20"/>
              </w:rPr>
            </w:pPr>
            <w:r w:rsidRPr="00A92B00">
              <w:rPr>
                <w:sz w:val="20"/>
                <w:szCs w:val="20"/>
              </w:rPr>
              <w:t xml:space="preserve">1,605,285,126 </w:t>
            </w:r>
          </w:p>
        </w:tc>
      </w:tr>
      <w:tr w:rsidR="00055C65" w:rsidRPr="00A92B00" w14:paraId="5723AEC7" w14:textId="77777777" w:rsidTr="00507A26">
        <w:tc>
          <w:tcPr>
            <w:tcW w:w="2335" w:type="dxa"/>
            <w:tcBorders>
              <w:left w:val="nil"/>
            </w:tcBorders>
          </w:tcPr>
          <w:p w14:paraId="27AC7F25" w14:textId="5CB611E7" w:rsidR="00055C65" w:rsidRPr="00A92B00" w:rsidRDefault="00055C65" w:rsidP="00A101D4">
            <w:pPr>
              <w:keepNext/>
              <w:spacing w:after="0" w:line="240" w:lineRule="auto"/>
              <w:rPr>
                <w:sz w:val="20"/>
                <w:szCs w:val="20"/>
              </w:rPr>
            </w:pPr>
            <w:r w:rsidRPr="00A92B00">
              <w:rPr>
                <w:sz w:val="20"/>
                <w:szCs w:val="20"/>
              </w:rPr>
              <w:t>2027</w:t>
            </w:r>
          </w:p>
        </w:tc>
        <w:tc>
          <w:tcPr>
            <w:tcW w:w="2335" w:type="dxa"/>
          </w:tcPr>
          <w:p w14:paraId="1F96800A" w14:textId="4FD9B11F" w:rsidR="00055C65" w:rsidRPr="00A92B00" w:rsidRDefault="00055C65" w:rsidP="00A101D4">
            <w:pPr>
              <w:keepNext/>
              <w:spacing w:after="0" w:line="240" w:lineRule="auto"/>
              <w:jc w:val="right"/>
              <w:rPr>
                <w:sz w:val="20"/>
                <w:szCs w:val="20"/>
              </w:rPr>
            </w:pPr>
            <w:r w:rsidRPr="00A92B00">
              <w:rPr>
                <w:sz w:val="20"/>
                <w:szCs w:val="20"/>
              </w:rPr>
              <w:t xml:space="preserve"> $113,791,269</w:t>
            </w:r>
          </w:p>
        </w:tc>
        <w:tc>
          <w:tcPr>
            <w:tcW w:w="2335" w:type="dxa"/>
          </w:tcPr>
          <w:p w14:paraId="6BBAD20D" w14:textId="6D6CC2CF" w:rsidR="00055C65" w:rsidRPr="00A92B00" w:rsidRDefault="00055C65" w:rsidP="00A101D4">
            <w:pPr>
              <w:keepNext/>
              <w:spacing w:after="0" w:line="240" w:lineRule="auto"/>
              <w:jc w:val="right"/>
              <w:rPr>
                <w:sz w:val="20"/>
                <w:szCs w:val="20"/>
              </w:rPr>
            </w:pPr>
            <w:r w:rsidRPr="00A92B00">
              <w:rPr>
                <w:sz w:val="20"/>
                <w:szCs w:val="20"/>
              </w:rPr>
              <w:t xml:space="preserve"> $0.0717</w:t>
            </w:r>
          </w:p>
        </w:tc>
        <w:tc>
          <w:tcPr>
            <w:tcW w:w="2335" w:type="dxa"/>
            <w:tcBorders>
              <w:right w:val="nil"/>
            </w:tcBorders>
          </w:tcPr>
          <w:p w14:paraId="7919356E" w14:textId="007A6328" w:rsidR="00055C65" w:rsidRPr="00A92B00" w:rsidRDefault="00055C65" w:rsidP="00A101D4">
            <w:pPr>
              <w:keepNext/>
              <w:spacing w:after="0" w:line="240" w:lineRule="auto"/>
              <w:jc w:val="right"/>
              <w:rPr>
                <w:sz w:val="20"/>
                <w:szCs w:val="20"/>
              </w:rPr>
            </w:pPr>
            <w:r w:rsidRPr="00A92B00">
              <w:rPr>
                <w:sz w:val="20"/>
                <w:szCs w:val="20"/>
              </w:rPr>
              <w:t xml:space="preserve">1,586,263,845 </w:t>
            </w:r>
          </w:p>
        </w:tc>
      </w:tr>
      <w:tr w:rsidR="00055C65" w:rsidRPr="00A92B00" w14:paraId="3ED79638" w14:textId="77777777" w:rsidTr="00507A26">
        <w:tc>
          <w:tcPr>
            <w:tcW w:w="2335" w:type="dxa"/>
            <w:tcBorders>
              <w:left w:val="nil"/>
            </w:tcBorders>
          </w:tcPr>
          <w:p w14:paraId="0EF4DED7" w14:textId="723AB4FE" w:rsidR="00055C65" w:rsidRPr="00A92B00" w:rsidRDefault="00055C65" w:rsidP="00A101D4">
            <w:pPr>
              <w:keepNext/>
              <w:spacing w:after="0" w:line="240" w:lineRule="auto"/>
              <w:rPr>
                <w:sz w:val="20"/>
                <w:szCs w:val="20"/>
              </w:rPr>
            </w:pPr>
            <w:r w:rsidRPr="00A92B00">
              <w:rPr>
                <w:sz w:val="20"/>
                <w:szCs w:val="20"/>
              </w:rPr>
              <w:t>2028</w:t>
            </w:r>
          </w:p>
        </w:tc>
        <w:tc>
          <w:tcPr>
            <w:tcW w:w="2335" w:type="dxa"/>
          </w:tcPr>
          <w:p w14:paraId="631589B6" w14:textId="513E6EB5" w:rsidR="00055C65" w:rsidRPr="00A92B00" w:rsidRDefault="00055C65" w:rsidP="00A101D4">
            <w:pPr>
              <w:keepNext/>
              <w:spacing w:after="0" w:line="240" w:lineRule="auto"/>
              <w:jc w:val="right"/>
              <w:rPr>
                <w:sz w:val="20"/>
                <w:szCs w:val="20"/>
              </w:rPr>
            </w:pPr>
            <w:r w:rsidRPr="00A92B00">
              <w:rPr>
                <w:sz w:val="20"/>
                <w:szCs w:val="20"/>
              </w:rPr>
              <w:t xml:space="preserve"> $124,316,096</w:t>
            </w:r>
          </w:p>
        </w:tc>
        <w:tc>
          <w:tcPr>
            <w:tcW w:w="2335" w:type="dxa"/>
          </w:tcPr>
          <w:p w14:paraId="4C510061" w14:textId="6329F37D" w:rsidR="00055C65" w:rsidRPr="00A92B00" w:rsidRDefault="00055C65" w:rsidP="00A101D4">
            <w:pPr>
              <w:keepNext/>
              <w:spacing w:after="0" w:line="240" w:lineRule="auto"/>
              <w:jc w:val="right"/>
              <w:rPr>
                <w:sz w:val="20"/>
                <w:szCs w:val="20"/>
              </w:rPr>
            </w:pPr>
            <w:r w:rsidRPr="00A92B00">
              <w:rPr>
                <w:sz w:val="20"/>
                <w:szCs w:val="20"/>
              </w:rPr>
              <w:t xml:space="preserve"> $0.0813</w:t>
            </w:r>
          </w:p>
        </w:tc>
        <w:tc>
          <w:tcPr>
            <w:tcW w:w="2335" w:type="dxa"/>
            <w:tcBorders>
              <w:right w:val="nil"/>
            </w:tcBorders>
          </w:tcPr>
          <w:p w14:paraId="5A886D57" w14:textId="5B6EE52A" w:rsidR="00055C65" w:rsidRPr="00A92B00" w:rsidRDefault="00055C65" w:rsidP="00A101D4">
            <w:pPr>
              <w:keepNext/>
              <w:spacing w:after="0" w:line="240" w:lineRule="auto"/>
              <w:jc w:val="right"/>
              <w:rPr>
                <w:sz w:val="20"/>
                <w:szCs w:val="20"/>
              </w:rPr>
            </w:pPr>
            <w:r w:rsidRPr="00A92B00">
              <w:rPr>
                <w:sz w:val="20"/>
                <w:szCs w:val="20"/>
              </w:rPr>
              <w:t xml:space="preserve">1,529,675,115 </w:t>
            </w:r>
          </w:p>
        </w:tc>
      </w:tr>
      <w:tr w:rsidR="00055C65" w:rsidRPr="00A92B00" w14:paraId="29493A30" w14:textId="77777777" w:rsidTr="00507A26">
        <w:tc>
          <w:tcPr>
            <w:tcW w:w="2335" w:type="dxa"/>
            <w:tcBorders>
              <w:left w:val="nil"/>
            </w:tcBorders>
          </w:tcPr>
          <w:p w14:paraId="096A3441" w14:textId="485A6588" w:rsidR="00055C65" w:rsidRPr="00A92B00" w:rsidRDefault="00055C65" w:rsidP="00A101D4">
            <w:pPr>
              <w:keepNext/>
              <w:spacing w:after="0" w:line="240" w:lineRule="auto"/>
              <w:rPr>
                <w:sz w:val="20"/>
                <w:szCs w:val="20"/>
              </w:rPr>
            </w:pPr>
            <w:r w:rsidRPr="00A92B00">
              <w:rPr>
                <w:sz w:val="20"/>
                <w:szCs w:val="20"/>
              </w:rPr>
              <w:t>2029</w:t>
            </w:r>
          </w:p>
        </w:tc>
        <w:tc>
          <w:tcPr>
            <w:tcW w:w="2335" w:type="dxa"/>
          </w:tcPr>
          <w:p w14:paraId="4A6354B7" w14:textId="4EF5F41D" w:rsidR="00055C65" w:rsidRPr="00A92B00" w:rsidRDefault="00055C65" w:rsidP="00A101D4">
            <w:pPr>
              <w:keepNext/>
              <w:spacing w:after="0" w:line="240" w:lineRule="auto"/>
              <w:jc w:val="right"/>
              <w:rPr>
                <w:sz w:val="20"/>
                <w:szCs w:val="20"/>
              </w:rPr>
            </w:pPr>
            <w:r w:rsidRPr="00A92B00">
              <w:rPr>
                <w:sz w:val="20"/>
                <w:szCs w:val="20"/>
              </w:rPr>
              <w:t xml:space="preserve"> $120,294,247</w:t>
            </w:r>
          </w:p>
        </w:tc>
        <w:tc>
          <w:tcPr>
            <w:tcW w:w="2335" w:type="dxa"/>
          </w:tcPr>
          <w:p w14:paraId="5FB5D12C" w14:textId="4CA2D0FB" w:rsidR="00055C65" w:rsidRPr="00A92B00" w:rsidRDefault="00055C65" w:rsidP="00A101D4">
            <w:pPr>
              <w:keepNext/>
              <w:spacing w:after="0" w:line="240" w:lineRule="auto"/>
              <w:jc w:val="right"/>
              <w:rPr>
                <w:sz w:val="20"/>
                <w:szCs w:val="20"/>
              </w:rPr>
            </w:pPr>
            <w:r w:rsidRPr="00A92B00">
              <w:rPr>
                <w:sz w:val="20"/>
                <w:szCs w:val="20"/>
              </w:rPr>
              <w:t xml:space="preserve"> $0.0794</w:t>
            </w:r>
          </w:p>
        </w:tc>
        <w:tc>
          <w:tcPr>
            <w:tcW w:w="2335" w:type="dxa"/>
            <w:tcBorders>
              <w:right w:val="nil"/>
            </w:tcBorders>
          </w:tcPr>
          <w:p w14:paraId="5D2681AA" w14:textId="1D37FBDC" w:rsidR="00055C65" w:rsidRPr="00A92B00" w:rsidRDefault="00055C65" w:rsidP="00A101D4">
            <w:pPr>
              <w:keepNext/>
              <w:spacing w:after="0" w:line="240" w:lineRule="auto"/>
              <w:jc w:val="right"/>
              <w:rPr>
                <w:sz w:val="20"/>
                <w:szCs w:val="20"/>
              </w:rPr>
            </w:pPr>
            <w:r w:rsidRPr="00A92B00">
              <w:rPr>
                <w:sz w:val="20"/>
                <w:szCs w:val="20"/>
              </w:rPr>
              <w:t xml:space="preserve">1,514,602,231 </w:t>
            </w:r>
          </w:p>
        </w:tc>
      </w:tr>
      <w:tr w:rsidR="00055C65" w:rsidRPr="00A92B00" w14:paraId="58342C90" w14:textId="77777777" w:rsidTr="00507A26">
        <w:tc>
          <w:tcPr>
            <w:tcW w:w="2335" w:type="dxa"/>
            <w:tcBorders>
              <w:left w:val="nil"/>
            </w:tcBorders>
          </w:tcPr>
          <w:p w14:paraId="794A1EB2" w14:textId="07C5F620" w:rsidR="00055C65" w:rsidRPr="00A92B00" w:rsidRDefault="00055C65" w:rsidP="00055C65">
            <w:pPr>
              <w:spacing w:after="0" w:line="240" w:lineRule="auto"/>
              <w:rPr>
                <w:sz w:val="20"/>
                <w:szCs w:val="20"/>
              </w:rPr>
            </w:pPr>
            <w:r w:rsidRPr="00A92B00">
              <w:rPr>
                <w:sz w:val="20"/>
                <w:szCs w:val="20"/>
              </w:rPr>
              <w:t>2030</w:t>
            </w:r>
          </w:p>
        </w:tc>
        <w:tc>
          <w:tcPr>
            <w:tcW w:w="2335" w:type="dxa"/>
          </w:tcPr>
          <w:p w14:paraId="2B889C02" w14:textId="507FDCE0" w:rsidR="00055C65" w:rsidRPr="00A92B00" w:rsidRDefault="00055C65" w:rsidP="00055C65">
            <w:pPr>
              <w:spacing w:after="0" w:line="240" w:lineRule="auto"/>
              <w:jc w:val="right"/>
              <w:rPr>
                <w:sz w:val="20"/>
                <w:szCs w:val="20"/>
              </w:rPr>
            </w:pPr>
            <w:r w:rsidRPr="00A92B00">
              <w:rPr>
                <w:sz w:val="20"/>
                <w:szCs w:val="20"/>
              </w:rPr>
              <w:t xml:space="preserve"> $117,128,510</w:t>
            </w:r>
          </w:p>
        </w:tc>
        <w:tc>
          <w:tcPr>
            <w:tcW w:w="2335" w:type="dxa"/>
          </w:tcPr>
          <w:p w14:paraId="32D5D09E" w14:textId="54496081" w:rsidR="00055C65" w:rsidRPr="00A92B00" w:rsidRDefault="00055C65" w:rsidP="00055C65">
            <w:pPr>
              <w:spacing w:after="0" w:line="240" w:lineRule="auto"/>
              <w:jc w:val="right"/>
              <w:rPr>
                <w:sz w:val="20"/>
                <w:szCs w:val="20"/>
              </w:rPr>
            </w:pPr>
            <w:r w:rsidRPr="00A92B00">
              <w:rPr>
                <w:sz w:val="20"/>
                <w:szCs w:val="20"/>
              </w:rPr>
              <w:t xml:space="preserve"> $0.0781</w:t>
            </w:r>
          </w:p>
        </w:tc>
        <w:tc>
          <w:tcPr>
            <w:tcW w:w="2335" w:type="dxa"/>
            <w:tcBorders>
              <w:right w:val="nil"/>
            </w:tcBorders>
          </w:tcPr>
          <w:p w14:paraId="4FB119B6" w14:textId="1E081A9E" w:rsidR="00055C65" w:rsidRPr="00A92B00" w:rsidRDefault="00055C65" w:rsidP="00055C65">
            <w:pPr>
              <w:spacing w:after="0" w:line="240" w:lineRule="auto"/>
              <w:jc w:val="right"/>
              <w:rPr>
                <w:sz w:val="20"/>
                <w:szCs w:val="20"/>
              </w:rPr>
            </w:pPr>
            <w:r w:rsidRPr="00A92B00">
              <w:rPr>
                <w:sz w:val="20"/>
                <w:szCs w:val="20"/>
              </w:rPr>
              <w:t xml:space="preserve">1,499,367,781 </w:t>
            </w:r>
          </w:p>
        </w:tc>
      </w:tr>
      <w:tr w:rsidR="00055C65" w:rsidRPr="00A92B00" w14:paraId="635DA24C" w14:textId="77777777" w:rsidTr="00507A26">
        <w:tc>
          <w:tcPr>
            <w:tcW w:w="2335" w:type="dxa"/>
            <w:tcBorders>
              <w:left w:val="nil"/>
            </w:tcBorders>
          </w:tcPr>
          <w:p w14:paraId="649E7B29" w14:textId="37F1EC80" w:rsidR="00055C65" w:rsidRPr="00A92B00" w:rsidRDefault="00055C65" w:rsidP="00055C65">
            <w:pPr>
              <w:spacing w:after="0" w:line="240" w:lineRule="auto"/>
              <w:rPr>
                <w:sz w:val="20"/>
                <w:szCs w:val="20"/>
              </w:rPr>
            </w:pPr>
            <w:r w:rsidRPr="00A92B00">
              <w:rPr>
                <w:sz w:val="20"/>
                <w:szCs w:val="20"/>
              </w:rPr>
              <w:t>2031</w:t>
            </w:r>
          </w:p>
        </w:tc>
        <w:tc>
          <w:tcPr>
            <w:tcW w:w="2335" w:type="dxa"/>
          </w:tcPr>
          <w:p w14:paraId="2EE7AE7C" w14:textId="570AC0D1" w:rsidR="00055C65" w:rsidRPr="00A92B00" w:rsidRDefault="00055C65" w:rsidP="00055C65">
            <w:pPr>
              <w:spacing w:after="0" w:line="240" w:lineRule="auto"/>
              <w:jc w:val="right"/>
              <w:rPr>
                <w:sz w:val="20"/>
                <w:szCs w:val="20"/>
              </w:rPr>
            </w:pPr>
            <w:r w:rsidRPr="00A92B00">
              <w:rPr>
                <w:sz w:val="20"/>
                <w:szCs w:val="20"/>
              </w:rPr>
              <w:t xml:space="preserve"> $107,108,928</w:t>
            </w:r>
          </w:p>
        </w:tc>
        <w:tc>
          <w:tcPr>
            <w:tcW w:w="2335" w:type="dxa"/>
          </w:tcPr>
          <w:p w14:paraId="091D95AE" w14:textId="5293F55B" w:rsidR="00055C65" w:rsidRPr="00A92B00" w:rsidRDefault="00055C65" w:rsidP="00055C65">
            <w:pPr>
              <w:spacing w:after="0" w:line="240" w:lineRule="auto"/>
              <w:jc w:val="right"/>
              <w:rPr>
                <w:sz w:val="20"/>
                <w:szCs w:val="20"/>
              </w:rPr>
            </w:pPr>
            <w:r w:rsidRPr="00A92B00">
              <w:rPr>
                <w:sz w:val="20"/>
                <w:szCs w:val="20"/>
              </w:rPr>
              <w:t xml:space="preserve"> $0.0725</w:t>
            </w:r>
          </w:p>
        </w:tc>
        <w:tc>
          <w:tcPr>
            <w:tcW w:w="2335" w:type="dxa"/>
            <w:tcBorders>
              <w:right w:val="nil"/>
            </w:tcBorders>
          </w:tcPr>
          <w:p w14:paraId="4F03E464" w14:textId="11387F53" w:rsidR="00055C65" w:rsidRPr="00A92B00" w:rsidRDefault="00055C65" w:rsidP="00055C65">
            <w:pPr>
              <w:spacing w:after="0" w:line="240" w:lineRule="auto"/>
              <w:jc w:val="right"/>
              <w:rPr>
                <w:sz w:val="20"/>
                <w:szCs w:val="20"/>
              </w:rPr>
            </w:pPr>
            <w:r w:rsidRPr="00A92B00">
              <w:rPr>
                <w:sz w:val="20"/>
                <w:szCs w:val="20"/>
              </w:rPr>
              <w:t xml:space="preserve">1,476,903,708 </w:t>
            </w:r>
          </w:p>
        </w:tc>
      </w:tr>
      <w:tr w:rsidR="00055C65" w:rsidRPr="00A92B00" w14:paraId="0652A1A4" w14:textId="77777777" w:rsidTr="00507A26">
        <w:tc>
          <w:tcPr>
            <w:tcW w:w="2335" w:type="dxa"/>
            <w:tcBorders>
              <w:left w:val="nil"/>
            </w:tcBorders>
          </w:tcPr>
          <w:p w14:paraId="1A2832E0" w14:textId="3F794FC5" w:rsidR="00055C65" w:rsidRPr="00A92B00" w:rsidRDefault="00055C65" w:rsidP="00055C65">
            <w:pPr>
              <w:spacing w:after="0" w:line="240" w:lineRule="auto"/>
              <w:rPr>
                <w:sz w:val="20"/>
                <w:szCs w:val="20"/>
              </w:rPr>
            </w:pPr>
            <w:r w:rsidRPr="00A92B00">
              <w:rPr>
                <w:sz w:val="20"/>
                <w:szCs w:val="20"/>
              </w:rPr>
              <w:t>2032</w:t>
            </w:r>
          </w:p>
        </w:tc>
        <w:tc>
          <w:tcPr>
            <w:tcW w:w="2335" w:type="dxa"/>
          </w:tcPr>
          <w:p w14:paraId="1334791E" w14:textId="2BF61062" w:rsidR="00055C65" w:rsidRPr="00A92B00" w:rsidRDefault="00055C65" w:rsidP="00055C65">
            <w:pPr>
              <w:spacing w:after="0" w:line="240" w:lineRule="auto"/>
              <w:jc w:val="right"/>
              <w:rPr>
                <w:sz w:val="20"/>
                <w:szCs w:val="20"/>
              </w:rPr>
            </w:pPr>
            <w:r w:rsidRPr="00A92B00">
              <w:rPr>
                <w:sz w:val="20"/>
                <w:szCs w:val="20"/>
              </w:rPr>
              <w:t xml:space="preserve"> $92,909,288</w:t>
            </w:r>
          </w:p>
        </w:tc>
        <w:tc>
          <w:tcPr>
            <w:tcW w:w="2335" w:type="dxa"/>
          </w:tcPr>
          <w:p w14:paraId="5F174126" w14:textId="19DF54F3" w:rsidR="00055C65" w:rsidRPr="00A92B00" w:rsidRDefault="00055C65" w:rsidP="00055C65">
            <w:pPr>
              <w:spacing w:after="0" w:line="240" w:lineRule="auto"/>
              <w:jc w:val="right"/>
              <w:rPr>
                <w:sz w:val="20"/>
                <w:szCs w:val="20"/>
              </w:rPr>
            </w:pPr>
            <w:r w:rsidRPr="00A92B00">
              <w:rPr>
                <w:sz w:val="20"/>
                <w:szCs w:val="20"/>
              </w:rPr>
              <w:t xml:space="preserve"> $0.0670</w:t>
            </w:r>
          </w:p>
        </w:tc>
        <w:tc>
          <w:tcPr>
            <w:tcW w:w="2335" w:type="dxa"/>
            <w:tcBorders>
              <w:right w:val="nil"/>
            </w:tcBorders>
          </w:tcPr>
          <w:p w14:paraId="1A2B3310" w14:textId="27CA9D7C" w:rsidR="00055C65" w:rsidRPr="00A92B00" w:rsidRDefault="00055C65" w:rsidP="00055C65">
            <w:pPr>
              <w:spacing w:after="0" w:line="240" w:lineRule="auto"/>
              <w:jc w:val="right"/>
              <w:rPr>
                <w:sz w:val="20"/>
                <w:szCs w:val="20"/>
              </w:rPr>
            </w:pPr>
            <w:r w:rsidRPr="00A92B00">
              <w:rPr>
                <w:sz w:val="20"/>
                <w:szCs w:val="20"/>
              </w:rPr>
              <w:t xml:space="preserve">1,387,218,763 </w:t>
            </w:r>
          </w:p>
        </w:tc>
      </w:tr>
      <w:tr w:rsidR="00055C65" w:rsidRPr="00A92B00" w14:paraId="6DC4E95D" w14:textId="77777777" w:rsidTr="00507A26">
        <w:tc>
          <w:tcPr>
            <w:tcW w:w="2335" w:type="dxa"/>
            <w:tcBorders>
              <w:left w:val="nil"/>
            </w:tcBorders>
          </w:tcPr>
          <w:p w14:paraId="390D65D4" w14:textId="23086229" w:rsidR="00055C65" w:rsidRPr="00A92B00" w:rsidRDefault="00055C65" w:rsidP="00055C65">
            <w:pPr>
              <w:spacing w:after="0" w:line="240" w:lineRule="auto"/>
              <w:rPr>
                <w:sz w:val="20"/>
                <w:szCs w:val="20"/>
              </w:rPr>
            </w:pPr>
            <w:r w:rsidRPr="00A92B00">
              <w:rPr>
                <w:sz w:val="20"/>
                <w:szCs w:val="20"/>
              </w:rPr>
              <w:t>2033</w:t>
            </w:r>
          </w:p>
        </w:tc>
        <w:tc>
          <w:tcPr>
            <w:tcW w:w="2335" w:type="dxa"/>
          </w:tcPr>
          <w:p w14:paraId="52085240" w14:textId="13AA76A5" w:rsidR="00055C65" w:rsidRPr="00A92B00" w:rsidRDefault="00055C65" w:rsidP="00055C65">
            <w:pPr>
              <w:spacing w:after="0" w:line="240" w:lineRule="auto"/>
              <w:jc w:val="right"/>
              <w:rPr>
                <w:sz w:val="20"/>
                <w:szCs w:val="20"/>
              </w:rPr>
            </w:pPr>
            <w:r w:rsidRPr="00A92B00">
              <w:rPr>
                <w:sz w:val="20"/>
                <w:szCs w:val="20"/>
              </w:rPr>
              <w:t xml:space="preserve"> $56,142,755</w:t>
            </w:r>
          </w:p>
        </w:tc>
        <w:tc>
          <w:tcPr>
            <w:tcW w:w="2335" w:type="dxa"/>
          </w:tcPr>
          <w:p w14:paraId="24485218" w14:textId="0D9650D1" w:rsidR="00055C65" w:rsidRPr="00A92B00" w:rsidRDefault="00055C65" w:rsidP="00055C65">
            <w:pPr>
              <w:spacing w:after="0" w:line="240" w:lineRule="auto"/>
              <w:jc w:val="right"/>
              <w:rPr>
                <w:sz w:val="20"/>
                <w:szCs w:val="20"/>
              </w:rPr>
            </w:pPr>
            <w:r w:rsidRPr="00A92B00">
              <w:rPr>
                <w:sz w:val="20"/>
                <w:szCs w:val="20"/>
              </w:rPr>
              <w:t xml:space="preserve"> $0.0615</w:t>
            </w:r>
          </w:p>
        </w:tc>
        <w:tc>
          <w:tcPr>
            <w:tcW w:w="2335" w:type="dxa"/>
            <w:tcBorders>
              <w:right w:val="nil"/>
            </w:tcBorders>
          </w:tcPr>
          <w:p w14:paraId="05822B54" w14:textId="5AA7103B" w:rsidR="00055C65" w:rsidRPr="00A92B00" w:rsidRDefault="00055C65" w:rsidP="00055C65">
            <w:pPr>
              <w:spacing w:after="0" w:line="240" w:lineRule="auto"/>
              <w:jc w:val="right"/>
              <w:rPr>
                <w:sz w:val="20"/>
                <w:szCs w:val="20"/>
              </w:rPr>
            </w:pPr>
            <w:r w:rsidRPr="00A92B00">
              <w:rPr>
                <w:sz w:val="20"/>
                <w:szCs w:val="20"/>
              </w:rPr>
              <w:t xml:space="preserve">913,450,172 </w:t>
            </w:r>
          </w:p>
        </w:tc>
      </w:tr>
      <w:tr w:rsidR="00055C65" w:rsidRPr="00A92B00" w14:paraId="5FB1CEE3" w14:textId="77777777" w:rsidTr="00507A26">
        <w:tc>
          <w:tcPr>
            <w:tcW w:w="2335" w:type="dxa"/>
            <w:tcBorders>
              <w:left w:val="nil"/>
            </w:tcBorders>
          </w:tcPr>
          <w:p w14:paraId="3639894D" w14:textId="56268B03" w:rsidR="00055C65" w:rsidRPr="00A92B00" w:rsidRDefault="00055C65" w:rsidP="00055C65">
            <w:pPr>
              <w:spacing w:after="0" w:line="240" w:lineRule="auto"/>
              <w:rPr>
                <w:sz w:val="20"/>
                <w:szCs w:val="20"/>
              </w:rPr>
            </w:pPr>
            <w:r w:rsidRPr="00A92B00">
              <w:rPr>
                <w:sz w:val="20"/>
                <w:szCs w:val="20"/>
              </w:rPr>
              <w:t>2034</w:t>
            </w:r>
          </w:p>
        </w:tc>
        <w:tc>
          <w:tcPr>
            <w:tcW w:w="2335" w:type="dxa"/>
          </w:tcPr>
          <w:p w14:paraId="585513D5" w14:textId="1FAFDB4B" w:rsidR="00055C65" w:rsidRPr="00A92B00" w:rsidRDefault="00055C65" w:rsidP="00055C65">
            <w:pPr>
              <w:spacing w:after="0" w:line="240" w:lineRule="auto"/>
              <w:jc w:val="right"/>
              <w:rPr>
                <w:sz w:val="20"/>
                <w:szCs w:val="20"/>
              </w:rPr>
            </w:pPr>
            <w:r w:rsidRPr="00A92B00">
              <w:rPr>
                <w:sz w:val="20"/>
                <w:szCs w:val="20"/>
              </w:rPr>
              <w:t xml:space="preserve"> $48,947,389</w:t>
            </w:r>
          </w:p>
        </w:tc>
        <w:tc>
          <w:tcPr>
            <w:tcW w:w="2335" w:type="dxa"/>
          </w:tcPr>
          <w:p w14:paraId="52E6A972" w14:textId="387C809F" w:rsidR="00055C65" w:rsidRPr="00A92B00" w:rsidRDefault="00055C65" w:rsidP="00055C65">
            <w:pPr>
              <w:spacing w:after="0" w:line="240" w:lineRule="auto"/>
              <w:jc w:val="right"/>
              <w:rPr>
                <w:sz w:val="20"/>
                <w:szCs w:val="20"/>
              </w:rPr>
            </w:pPr>
            <w:r w:rsidRPr="00A92B00">
              <w:rPr>
                <w:sz w:val="20"/>
                <w:szCs w:val="20"/>
              </w:rPr>
              <w:t xml:space="preserve"> $0.0560</w:t>
            </w:r>
          </w:p>
        </w:tc>
        <w:tc>
          <w:tcPr>
            <w:tcW w:w="2335" w:type="dxa"/>
            <w:tcBorders>
              <w:right w:val="nil"/>
            </w:tcBorders>
          </w:tcPr>
          <w:p w14:paraId="75FF56CC" w14:textId="1B5F2C54" w:rsidR="00055C65" w:rsidRPr="00A92B00" w:rsidRDefault="00055C65" w:rsidP="00055C65">
            <w:pPr>
              <w:spacing w:after="0" w:line="240" w:lineRule="auto"/>
              <w:jc w:val="right"/>
              <w:rPr>
                <w:sz w:val="20"/>
                <w:szCs w:val="20"/>
              </w:rPr>
            </w:pPr>
            <w:r w:rsidRPr="00A92B00">
              <w:rPr>
                <w:sz w:val="20"/>
                <w:szCs w:val="20"/>
              </w:rPr>
              <w:t xml:space="preserve">874,072,562 </w:t>
            </w:r>
          </w:p>
        </w:tc>
      </w:tr>
      <w:tr w:rsidR="00055C65" w:rsidRPr="00A92B00" w14:paraId="10BD97D9" w14:textId="77777777" w:rsidTr="00507A26">
        <w:tc>
          <w:tcPr>
            <w:tcW w:w="2335" w:type="dxa"/>
            <w:tcBorders>
              <w:left w:val="nil"/>
            </w:tcBorders>
          </w:tcPr>
          <w:p w14:paraId="435AC131" w14:textId="2D3460D1" w:rsidR="00055C65" w:rsidRPr="00A92B00" w:rsidRDefault="00055C65" w:rsidP="00055C65">
            <w:pPr>
              <w:spacing w:after="0" w:line="240" w:lineRule="auto"/>
              <w:rPr>
                <w:sz w:val="20"/>
                <w:szCs w:val="20"/>
              </w:rPr>
            </w:pPr>
            <w:r w:rsidRPr="00A92B00">
              <w:rPr>
                <w:sz w:val="20"/>
                <w:szCs w:val="20"/>
              </w:rPr>
              <w:t>2035</w:t>
            </w:r>
          </w:p>
        </w:tc>
        <w:tc>
          <w:tcPr>
            <w:tcW w:w="2335" w:type="dxa"/>
          </w:tcPr>
          <w:p w14:paraId="0BB24FC4" w14:textId="4D7304A5" w:rsidR="00055C65" w:rsidRPr="00A92B00" w:rsidRDefault="00055C65" w:rsidP="00055C65">
            <w:pPr>
              <w:spacing w:after="0" w:line="240" w:lineRule="auto"/>
              <w:jc w:val="right"/>
              <w:rPr>
                <w:sz w:val="20"/>
                <w:szCs w:val="20"/>
              </w:rPr>
            </w:pPr>
            <w:r w:rsidRPr="00A92B00">
              <w:rPr>
                <w:sz w:val="20"/>
                <w:szCs w:val="20"/>
              </w:rPr>
              <w:t xml:space="preserve"> $42,505,828</w:t>
            </w:r>
          </w:p>
        </w:tc>
        <w:tc>
          <w:tcPr>
            <w:tcW w:w="2335" w:type="dxa"/>
          </w:tcPr>
          <w:p w14:paraId="52AAD94F" w14:textId="50861C29" w:rsidR="00055C65" w:rsidRPr="00A92B00" w:rsidRDefault="00055C65" w:rsidP="00055C65">
            <w:pPr>
              <w:spacing w:after="0" w:line="240" w:lineRule="auto"/>
              <w:jc w:val="right"/>
              <w:rPr>
                <w:sz w:val="20"/>
                <w:szCs w:val="20"/>
              </w:rPr>
            </w:pPr>
            <w:r w:rsidRPr="00A92B00">
              <w:rPr>
                <w:sz w:val="20"/>
                <w:szCs w:val="20"/>
              </w:rPr>
              <w:t xml:space="preserve"> $0.0506</w:t>
            </w:r>
          </w:p>
        </w:tc>
        <w:tc>
          <w:tcPr>
            <w:tcW w:w="2335" w:type="dxa"/>
            <w:tcBorders>
              <w:right w:val="nil"/>
            </w:tcBorders>
          </w:tcPr>
          <w:p w14:paraId="7F5F93FF" w14:textId="43F33227" w:rsidR="00055C65" w:rsidRPr="00A92B00" w:rsidRDefault="00055C65" w:rsidP="00055C65">
            <w:pPr>
              <w:spacing w:after="0" w:line="240" w:lineRule="auto"/>
              <w:jc w:val="right"/>
              <w:rPr>
                <w:sz w:val="20"/>
                <w:szCs w:val="20"/>
              </w:rPr>
            </w:pPr>
            <w:r w:rsidRPr="00A92B00">
              <w:rPr>
                <w:sz w:val="20"/>
                <w:szCs w:val="20"/>
              </w:rPr>
              <w:t xml:space="preserve">840,207,483 </w:t>
            </w:r>
          </w:p>
        </w:tc>
      </w:tr>
      <w:tr w:rsidR="00055C65" w:rsidRPr="00A92B00" w14:paraId="62A1C7C5" w14:textId="77777777" w:rsidTr="00507A26">
        <w:tc>
          <w:tcPr>
            <w:tcW w:w="2335" w:type="dxa"/>
            <w:tcBorders>
              <w:left w:val="nil"/>
            </w:tcBorders>
          </w:tcPr>
          <w:p w14:paraId="54771D33" w14:textId="63D7D32A" w:rsidR="00055C65" w:rsidRPr="00A92B00" w:rsidRDefault="00055C65" w:rsidP="00055C65">
            <w:pPr>
              <w:spacing w:after="0" w:line="240" w:lineRule="auto"/>
              <w:rPr>
                <w:sz w:val="20"/>
                <w:szCs w:val="20"/>
              </w:rPr>
            </w:pPr>
            <w:r w:rsidRPr="00A92B00">
              <w:rPr>
                <w:sz w:val="20"/>
                <w:szCs w:val="20"/>
              </w:rPr>
              <w:t>2036</w:t>
            </w:r>
          </w:p>
        </w:tc>
        <w:tc>
          <w:tcPr>
            <w:tcW w:w="2335" w:type="dxa"/>
          </w:tcPr>
          <w:p w14:paraId="78A7FE4C" w14:textId="69CCD9A8" w:rsidR="00055C65" w:rsidRPr="00A92B00" w:rsidRDefault="00055C65" w:rsidP="00055C65">
            <w:pPr>
              <w:spacing w:after="0" w:line="240" w:lineRule="auto"/>
              <w:jc w:val="right"/>
              <w:rPr>
                <w:sz w:val="20"/>
                <w:szCs w:val="20"/>
              </w:rPr>
            </w:pPr>
            <w:r w:rsidRPr="00A92B00">
              <w:rPr>
                <w:sz w:val="20"/>
                <w:szCs w:val="20"/>
              </w:rPr>
              <w:t xml:space="preserve"> $37,012,430</w:t>
            </w:r>
          </w:p>
        </w:tc>
        <w:tc>
          <w:tcPr>
            <w:tcW w:w="2335" w:type="dxa"/>
          </w:tcPr>
          <w:p w14:paraId="5FD3A278" w14:textId="72C6F558" w:rsidR="00055C65" w:rsidRPr="00A92B00" w:rsidRDefault="00055C65" w:rsidP="00055C65">
            <w:pPr>
              <w:spacing w:after="0" w:line="240" w:lineRule="auto"/>
              <w:jc w:val="right"/>
              <w:rPr>
                <w:sz w:val="20"/>
                <w:szCs w:val="20"/>
              </w:rPr>
            </w:pPr>
            <w:r w:rsidRPr="00A92B00">
              <w:rPr>
                <w:sz w:val="20"/>
                <w:szCs w:val="20"/>
              </w:rPr>
              <w:t xml:space="preserve"> $0.0460</w:t>
            </w:r>
          </w:p>
        </w:tc>
        <w:tc>
          <w:tcPr>
            <w:tcW w:w="2335" w:type="dxa"/>
            <w:tcBorders>
              <w:right w:val="nil"/>
            </w:tcBorders>
          </w:tcPr>
          <w:p w14:paraId="550CAEFB" w14:textId="55BF1FB6" w:rsidR="00055C65" w:rsidRPr="00A92B00" w:rsidRDefault="00055C65" w:rsidP="00055C65">
            <w:pPr>
              <w:spacing w:after="0" w:line="240" w:lineRule="auto"/>
              <w:jc w:val="right"/>
              <w:rPr>
                <w:sz w:val="20"/>
                <w:szCs w:val="20"/>
              </w:rPr>
            </w:pPr>
            <w:r w:rsidRPr="00A92B00">
              <w:rPr>
                <w:sz w:val="20"/>
                <w:szCs w:val="20"/>
              </w:rPr>
              <w:t xml:space="preserve">803,815,365 </w:t>
            </w:r>
          </w:p>
        </w:tc>
      </w:tr>
      <w:tr w:rsidR="00055C65" w:rsidRPr="00A92B00" w14:paraId="5B55ACF0" w14:textId="77777777" w:rsidTr="00507A26">
        <w:tc>
          <w:tcPr>
            <w:tcW w:w="2335" w:type="dxa"/>
            <w:tcBorders>
              <w:left w:val="nil"/>
            </w:tcBorders>
          </w:tcPr>
          <w:p w14:paraId="7379C2AE" w14:textId="203074F1" w:rsidR="00055C65" w:rsidRPr="00A92B00" w:rsidRDefault="00055C65" w:rsidP="00055C65">
            <w:pPr>
              <w:spacing w:after="0" w:line="240" w:lineRule="auto"/>
              <w:rPr>
                <w:sz w:val="20"/>
                <w:szCs w:val="20"/>
              </w:rPr>
            </w:pPr>
            <w:r w:rsidRPr="00A92B00">
              <w:rPr>
                <w:sz w:val="20"/>
                <w:szCs w:val="20"/>
              </w:rPr>
              <w:t>2037</w:t>
            </w:r>
          </w:p>
        </w:tc>
        <w:tc>
          <w:tcPr>
            <w:tcW w:w="2335" w:type="dxa"/>
          </w:tcPr>
          <w:p w14:paraId="212E7F8E" w14:textId="7E0303A2" w:rsidR="00055C65" w:rsidRPr="00A92B00" w:rsidRDefault="00055C65" w:rsidP="00055C65">
            <w:pPr>
              <w:spacing w:after="0" w:line="240" w:lineRule="auto"/>
              <w:jc w:val="right"/>
              <w:rPr>
                <w:sz w:val="20"/>
                <w:szCs w:val="20"/>
              </w:rPr>
            </w:pPr>
            <w:r w:rsidRPr="00A92B00">
              <w:rPr>
                <w:sz w:val="20"/>
                <w:szCs w:val="20"/>
              </w:rPr>
              <w:t xml:space="preserve"> $42,151,016</w:t>
            </w:r>
          </w:p>
        </w:tc>
        <w:tc>
          <w:tcPr>
            <w:tcW w:w="2335" w:type="dxa"/>
          </w:tcPr>
          <w:p w14:paraId="0FE02542" w14:textId="54AF65FF" w:rsidR="00055C65" w:rsidRPr="00A92B00" w:rsidRDefault="00055C65" w:rsidP="00055C65">
            <w:pPr>
              <w:spacing w:after="0" w:line="240" w:lineRule="auto"/>
              <w:jc w:val="right"/>
              <w:rPr>
                <w:sz w:val="20"/>
                <w:szCs w:val="20"/>
              </w:rPr>
            </w:pPr>
            <w:r w:rsidRPr="00A92B00">
              <w:rPr>
                <w:sz w:val="20"/>
                <w:szCs w:val="20"/>
              </w:rPr>
              <w:t xml:space="preserve"> $0.0541</w:t>
            </w:r>
          </w:p>
        </w:tc>
        <w:tc>
          <w:tcPr>
            <w:tcW w:w="2335" w:type="dxa"/>
            <w:tcBorders>
              <w:right w:val="nil"/>
            </w:tcBorders>
          </w:tcPr>
          <w:p w14:paraId="25021112" w14:textId="67E8C31F" w:rsidR="00055C65" w:rsidRPr="00A92B00" w:rsidRDefault="00055C65" w:rsidP="00055C65">
            <w:pPr>
              <w:spacing w:after="0" w:line="240" w:lineRule="auto"/>
              <w:jc w:val="right"/>
              <w:rPr>
                <w:sz w:val="20"/>
                <w:szCs w:val="20"/>
              </w:rPr>
            </w:pPr>
            <w:r w:rsidRPr="00A92B00">
              <w:rPr>
                <w:sz w:val="20"/>
                <w:szCs w:val="20"/>
              </w:rPr>
              <w:t xml:space="preserve">779,260,568 </w:t>
            </w:r>
          </w:p>
        </w:tc>
      </w:tr>
      <w:tr w:rsidR="00055C65" w:rsidRPr="00A92B00" w14:paraId="1033A987" w14:textId="77777777" w:rsidTr="00507A26">
        <w:tc>
          <w:tcPr>
            <w:tcW w:w="2335" w:type="dxa"/>
            <w:tcBorders>
              <w:left w:val="nil"/>
            </w:tcBorders>
          </w:tcPr>
          <w:p w14:paraId="00D86562" w14:textId="67927425" w:rsidR="00055C65" w:rsidRPr="00A92B00" w:rsidRDefault="00055C65" w:rsidP="00055C65">
            <w:pPr>
              <w:spacing w:after="0" w:line="240" w:lineRule="auto"/>
              <w:rPr>
                <w:sz w:val="20"/>
                <w:szCs w:val="20"/>
              </w:rPr>
            </w:pPr>
            <w:r w:rsidRPr="00A92B00">
              <w:rPr>
                <w:sz w:val="20"/>
                <w:szCs w:val="20"/>
              </w:rPr>
              <w:t>2038</w:t>
            </w:r>
          </w:p>
        </w:tc>
        <w:tc>
          <w:tcPr>
            <w:tcW w:w="2335" w:type="dxa"/>
          </w:tcPr>
          <w:p w14:paraId="08B60D30" w14:textId="787EA141" w:rsidR="00055C65" w:rsidRPr="00A92B00" w:rsidRDefault="00055C65" w:rsidP="00055C65">
            <w:pPr>
              <w:spacing w:after="0" w:line="240" w:lineRule="auto"/>
              <w:jc w:val="right"/>
              <w:rPr>
                <w:sz w:val="20"/>
                <w:szCs w:val="20"/>
              </w:rPr>
            </w:pPr>
            <w:r w:rsidRPr="00A92B00">
              <w:rPr>
                <w:sz w:val="20"/>
                <w:szCs w:val="20"/>
              </w:rPr>
              <w:t xml:space="preserve"> $27,620,995</w:t>
            </w:r>
          </w:p>
        </w:tc>
        <w:tc>
          <w:tcPr>
            <w:tcW w:w="2335" w:type="dxa"/>
          </w:tcPr>
          <w:p w14:paraId="4B24A0D6" w14:textId="2CFD3772" w:rsidR="00055C65" w:rsidRPr="00A92B00" w:rsidRDefault="00055C65" w:rsidP="00055C65">
            <w:pPr>
              <w:spacing w:after="0" w:line="240" w:lineRule="auto"/>
              <w:jc w:val="right"/>
              <w:rPr>
                <w:sz w:val="20"/>
                <w:szCs w:val="20"/>
              </w:rPr>
            </w:pPr>
            <w:r w:rsidRPr="00A92B00">
              <w:rPr>
                <w:sz w:val="20"/>
                <w:szCs w:val="20"/>
              </w:rPr>
              <w:t xml:space="preserve"> $0.0371</w:t>
            </w:r>
          </w:p>
        </w:tc>
        <w:tc>
          <w:tcPr>
            <w:tcW w:w="2335" w:type="dxa"/>
            <w:tcBorders>
              <w:right w:val="nil"/>
            </w:tcBorders>
          </w:tcPr>
          <w:p w14:paraId="573B1223" w14:textId="0944DB92" w:rsidR="00055C65" w:rsidRPr="00A92B00" w:rsidRDefault="00055C65" w:rsidP="00055C65">
            <w:pPr>
              <w:spacing w:after="0" w:line="240" w:lineRule="auto"/>
              <w:jc w:val="right"/>
              <w:rPr>
                <w:sz w:val="20"/>
                <w:szCs w:val="20"/>
              </w:rPr>
            </w:pPr>
            <w:r w:rsidRPr="00A92B00">
              <w:rPr>
                <w:sz w:val="20"/>
                <w:szCs w:val="20"/>
              </w:rPr>
              <w:t xml:space="preserve">745,122,444 </w:t>
            </w:r>
          </w:p>
        </w:tc>
      </w:tr>
      <w:tr w:rsidR="00055C65" w:rsidRPr="00A92B00" w14:paraId="203408C4" w14:textId="77777777" w:rsidTr="00507A26">
        <w:tc>
          <w:tcPr>
            <w:tcW w:w="2335" w:type="dxa"/>
            <w:tcBorders>
              <w:left w:val="nil"/>
            </w:tcBorders>
          </w:tcPr>
          <w:p w14:paraId="28FB473B" w14:textId="31A82AA2" w:rsidR="00055C65" w:rsidRPr="00A92B00" w:rsidRDefault="00055C65" w:rsidP="00055C65">
            <w:pPr>
              <w:spacing w:after="0" w:line="240" w:lineRule="auto"/>
              <w:rPr>
                <w:sz w:val="20"/>
                <w:szCs w:val="20"/>
              </w:rPr>
            </w:pPr>
            <w:r w:rsidRPr="00A92B00">
              <w:rPr>
                <w:sz w:val="20"/>
                <w:szCs w:val="20"/>
              </w:rPr>
              <w:t>2039</w:t>
            </w:r>
          </w:p>
        </w:tc>
        <w:tc>
          <w:tcPr>
            <w:tcW w:w="2335" w:type="dxa"/>
          </w:tcPr>
          <w:p w14:paraId="4AE87C33" w14:textId="1B786457" w:rsidR="00055C65" w:rsidRPr="00A92B00" w:rsidRDefault="00055C65" w:rsidP="00055C65">
            <w:pPr>
              <w:spacing w:after="0" w:line="240" w:lineRule="auto"/>
              <w:jc w:val="right"/>
              <w:rPr>
                <w:sz w:val="20"/>
                <w:szCs w:val="20"/>
              </w:rPr>
            </w:pPr>
            <w:r w:rsidRPr="00A92B00">
              <w:rPr>
                <w:sz w:val="20"/>
                <w:szCs w:val="20"/>
              </w:rPr>
              <w:t xml:space="preserve"> $23,893,406</w:t>
            </w:r>
          </w:p>
        </w:tc>
        <w:tc>
          <w:tcPr>
            <w:tcW w:w="2335" w:type="dxa"/>
          </w:tcPr>
          <w:p w14:paraId="53F17B3B" w14:textId="74AE2F20" w:rsidR="00055C65" w:rsidRPr="00A92B00" w:rsidRDefault="00055C65" w:rsidP="00055C65">
            <w:pPr>
              <w:spacing w:after="0" w:line="240" w:lineRule="auto"/>
              <w:jc w:val="right"/>
              <w:rPr>
                <w:sz w:val="20"/>
                <w:szCs w:val="20"/>
              </w:rPr>
            </w:pPr>
            <w:r w:rsidRPr="00A92B00">
              <w:rPr>
                <w:sz w:val="20"/>
                <w:szCs w:val="20"/>
              </w:rPr>
              <w:t xml:space="preserve"> $0.0326</w:t>
            </w:r>
          </w:p>
        </w:tc>
        <w:tc>
          <w:tcPr>
            <w:tcW w:w="2335" w:type="dxa"/>
            <w:tcBorders>
              <w:right w:val="nil"/>
            </w:tcBorders>
          </w:tcPr>
          <w:p w14:paraId="721163F1" w14:textId="5952D071" w:rsidR="00055C65" w:rsidRPr="00A92B00" w:rsidRDefault="00055C65" w:rsidP="00055C65">
            <w:pPr>
              <w:spacing w:after="0" w:line="240" w:lineRule="auto"/>
              <w:jc w:val="right"/>
              <w:rPr>
                <w:sz w:val="20"/>
                <w:szCs w:val="20"/>
              </w:rPr>
            </w:pPr>
            <w:r w:rsidRPr="00A92B00">
              <w:rPr>
                <w:sz w:val="20"/>
                <w:szCs w:val="20"/>
              </w:rPr>
              <w:t xml:space="preserve">731,996,443 </w:t>
            </w:r>
          </w:p>
        </w:tc>
      </w:tr>
      <w:tr w:rsidR="00055C65" w:rsidRPr="00A92B00" w14:paraId="4FB5EE05" w14:textId="77777777" w:rsidTr="00507A26">
        <w:tc>
          <w:tcPr>
            <w:tcW w:w="2335" w:type="dxa"/>
            <w:tcBorders>
              <w:left w:val="nil"/>
            </w:tcBorders>
          </w:tcPr>
          <w:p w14:paraId="0741168E" w14:textId="59135597" w:rsidR="00055C65" w:rsidRPr="00A92B00" w:rsidRDefault="00055C65" w:rsidP="00055C65">
            <w:pPr>
              <w:spacing w:after="0" w:line="240" w:lineRule="auto"/>
              <w:rPr>
                <w:sz w:val="20"/>
                <w:szCs w:val="20"/>
              </w:rPr>
            </w:pPr>
            <w:r w:rsidRPr="00A92B00">
              <w:rPr>
                <w:sz w:val="20"/>
                <w:szCs w:val="20"/>
              </w:rPr>
              <w:t>2040</w:t>
            </w:r>
          </w:p>
        </w:tc>
        <w:tc>
          <w:tcPr>
            <w:tcW w:w="2335" w:type="dxa"/>
          </w:tcPr>
          <w:p w14:paraId="670B06C6" w14:textId="55C77A30" w:rsidR="00055C65" w:rsidRPr="00A92B00" w:rsidRDefault="00055C65" w:rsidP="00055C65">
            <w:pPr>
              <w:spacing w:after="0" w:line="240" w:lineRule="auto"/>
              <w:jc w:val="right"/>
              <w:rPr>
                <w:sz w:val="20"/>
                <w:szCs w:val="20"/>
              </w:rPr>
            </w:pPr>
            <w:r w:rsidRPr="00A92B00">
              <w:rPr>
                <w:sz w:val="20"/>
                <w:szCs w:val="20"/>
              </w:rPr>
              <w:t xml:space="preserve"> $7,939,786</w:t>
            </w:r>
          </w:p>
        </w:tc>
        <w:tc>
          <w:tcPr>
            <w:tcW w:w="2335" w:type="dxa"/>
          </w:tcPr>
          <w:p w14:paraId="2D0FB4D2" w14:textId="60A778B3" w:rsidR="00055C65" w:rsidRPr="00A92B00" w:rsidRDefault="00055C65" w:rsidP="00055C65">
            <w:pPr>
              <w:spacing w:after="0" w:line="240" w:lineRule="auto"/>
              <w:jc w:val="right"/>
              <w:rPr>
                <w:sz w:val="20"/>
                <w:szCs w:val="20"/>
              </w:rPr>
            </w:pPr>
            <w:r w:rsidRPr="00A92B00">
              <w:rPr>
                <w:sz w:val="20"/>
                <w:szCs w:val="20"/>
              </w:rPr>
              <w:t xml:space="preserve"> $0.0283</w:t>
            </w:r>
          </w:p>
        </w:tc>
        <w:tc>
          <w:tcPr>
            <w:tcW w:w="2335" w:type="dxa"/>
            <w:tcBorders>
              <w:right w:val="nil"/>
            </w:tcBorders>
          </w:tcPr>
          <w:p w14:paraId="4E989C6D" w14:textId="13CE4F22" w:rsidR="00055C65" w:rsidRPr="00A92B00" w:rsidRDefault="00055C65" w:rsidP="00055C65">
            <w:pPr>
              <w:spacing w:after="0" w:line="240" w:lineRule="auto"/>
              <w:jc w:val="right"/>
              <w:rPr>
                <w:sz w:val="20"/>
                <w:szCs w:val="20"/>
              </w:rPr>
            </w:pPr>
            <w:r w:rsidRPr="00A92B00">
              <w:rPr>
                <w:sz w:val="20"/>
                <w:szCs w:val="20"/>
              </w:rPr>
              <w:t xml:space="preserve">280,798,236 </w:t>
            </w:r>
          </w:p>
        </w:tc>
      </w:tr>
      <w:tr w:rsidR="00055C65" w:rsidRPr="00A92B00" w14:paraId="37D21A90" w14:textId="77777777" w:rsidTr="00507A26">
        <w:tc>
          <w:tcPr>
            <w:tcW w:w="2335" w:type="dxa"/>
            <w:tcBorders>
              <w:left w:val="nil"/>
            </w:tcBorders>
          </w:tcPr>
          <w:p w14:paraId="6F0F2C7D" w14:textId="6CBE989A" w:rsidR="00055C65" w:rsidRPr="00A92B00" w:rsidRDefault="00055C65" w:rsidP="00055C65">
            <w:pPr>
              <w:spacing w:after="0" w:line="240" w:lineRule="auto"/>
              <w:rPr>
                <w:sz w:val="20"/>
                <w:szCs w:val="20"/>
              </w:rPr>
            </w:pPr>
            <w:r w:rsidRPr="00A92B00">
              <w:rPr>
                <w:sz w:val="20"/>
                <w:szCs w:val="20"/>
              </w:rPr>
              <w:t>2041</w:t>
            </w:r>
          </w:p>
        </w:tc>
        <w:tc>
          <w:tcPr>
            <w:tcW w:w="2335" w:type="dxa"/>
          </w:tcPr>
          <w:p w14:paraId="342A9CA4" w14:textId="66F13033" w:rsidR="00055C65" w:rsidRPr="00A92B00" w:rsidRDefault="00055C65" w:rsidP="00055C65">
            <w:pPr>
              <w:spacing w:after="0" w:line="240" w:lineRule="auto"/>
              <w:jc w:val="right"/>
              <w:rPr>
                <w:sz w:val="20"/>
                <w:szCs w:val="20"/>
              </w:rPr>
            </w:pPr>
            <w:r w:rsidRPr="00A92B00">
              <w:rPr>
                <w:sz w:val="20"/>
                <w:szCs w:val="20"/>
              </w:rPr>
              <w:t xml:space="preserve"> $5,607,099</w:t>
            </w:r>
          </w:p>
        </w:tc>
        <w:tc>
          <w:tcPr>
            <w:tcW w:w="2335" w:type="dxa"/>
          </w:tcPr>
          <w:p w14:paraId="61C80256" w14:textId="4DD2EFDD" w:rsidR="00055C65" w:rsidRPr="00A92B00" w:rsidRDefault="00055C65" w:rsidP="00055C65">
            <w:pPr>
              <w:spacing w:after="0" w:line="240" w:lineRule="auto"/>
              <w:jc w:val="right"/>
              <w:rPr>
                <w:sz w:val="20"/>
                <w:szCs w:val="20"/>
              </w:rPr>
            </w:pPr>
            <w:r w:rsidRPr="00A92B00">
              <w:rPr>
                <w:sz w:val="20"/>
                <w:szCs w:val="20"/>
              </w:rPr>
              <w:t xml:space="preserve"> $0.0275</w:t>
            </w:r>
          </w:p>
        </w:tc>
        <w:tc>
          <w:tcPr>
            <w:tcW w:w="2335" w:type="dxa"/>
            <w:tcBorders>
              <w:right w:val="nil"/>
            </w:tcBorders>
          </w:tcPr>
          <w:p w14:paraId="510E9760" w14:textId="3048DB3C" w:rsidR="00055C65" w:rsidRPr="00A92B00" w:rsidRDefault="00055C65" w:rsidP="00055C65">
            <w:pPr>
              <w:spacing w:after="0" w:line="240" w:lineRule="auto"/>
              <w:jc w:val="right"/>
              <w:rPr>
                <w:sz w:val="20"/>
                <w:szCs w:val="20"/>
              </w:rPr>
            </w:pPr>
            <w:r w:rsidRPr="00A92B00">
              <w:rPr>
                <w:sz w:val="20"/>
                <w:szCs w:val="20"/>
              </w:rPr>
              <w:t xml:space="preserve">203,841,646 </w:t>
            </w:r>
          </w:p>
        </w:tc>
      </w:tr>
      <w:tr w:rsidR="00055C65" w:rsidRPr="00A92B00" w14:paraId="28D63BDE" w14:textId="77777777" w:rsidTr="00507A26">
        <w:tc>
          <w:tcPr>
            <w:tcW w:w="2335" w:type="dxa"/>
            <w:tcBorders>
              <w:left w:val="nil"/>
            </w:tcBorders>
          </w:tcPr>
          <w:p w14:paraId="1251D43E" w14:textId="760F607D" w:rsidR="00055C65" w:rsidRPr="00A92B00" w:rsidRDefault="00055C65" w:rsidP="00055C65">
            <w:pPr>
              <w:spacing w:after="0" w:line="240" w:lineRule="auto"/>
              <w:rPr>
                <w:sz w:val="20"/>
                <w:szCs w:val="20"/>
              </w:rPr>
            </w:pPr>
            <w:r w:rsidRPr="00A92B00">
              <w:rPr>
                <w:sz w:val="20"/>
                <w:szCs w:val="20"/>
              </w:rPr>
              <w:t>2042</w:t>
            </w:r>
          </w:p>
        </w:tc>
        <w:tc>
          <w:tcPr>
            <w:tcW w:w="2335" w:type="dxa"/>
          </w:tcPr>
          <w:p w14:paraId="6847FE67" w14:textId="46F5977E" w:rsidR="00055C65" w:rsidRPr="00A92B00" w:rsidRDefault="00055C65" w:rsidP="00055C65">
            <w:pPr>
              <w:spacing w:after="0" w:line="240" w:lineRule="auto"/>
              <w:jc w:val="right"/>
              <w:rPr>
                <w:sz w:val="20"/>
                <w:szCs w:val="20"/>
              </w:rPr>
            </w:pPr>
            <w:r w:rsidRPr="00A92B00">
              <w:rPr>
                <w:sz w:val="20"/>
                <w:szCs w:val="20"/>
              </w:rPr>
              <w:t xml:space="preserve"> $5,381,795</w:t>
            </w:r>
          </w:p>
        </w:tc>
        <w:tc>
          <w:tcPr>
            <w:tcW w:w="2335" w:type="dxa"/>
          </w:tcPr>
          <w:p w14:paraId="2CF791E2" w14:textId="56C18ED2" w:rsidR="00055C65" w:rsidRPr="00A92B00" w:rsidRDefault="00055C65" w:rsidP="00055C65">
            <w:pPr>
              <w:spacing w:after="0" w:line="240" w:lineRule="auto"/>
              <w:jc w:val="right"/>
              <w:rPr>
                <w:sz w:val="20"/>
                <w:szCs w:val="20"/>
              </w:rPr>
            </w:pPr>
            <w:r w:rsidRPr="00A92B00">
              <w:rPr>
                <w:sz w:val="20"/>
                <w:szCs w:val="20"/>
              </w:rPr>
              <w:t xml:space="preserve"> $0.0268</w:t>
            </w:r>
          </w:p>
        </w:tc>
        <w:tc>
          <w:tcPr>
            <w:tcW w:w="2335" w:type="dxa"/>
            <w:tcBorders>
              <w:right w:val="nil"/>
            </w:tcBorders>
          </w:tcPr>
          <w:p w14:paraId="30A44420" w14:textId="5A90E428" w:rsidR="00055C65" w:rsidRPr="00A92B00" w:rsidRDefault="00055C65" w:rsidP="00055C65">
            <w:pPr>
              <w:spacing w:after="0" w:line="240" w:lineRule="auto"/>
              <w:jc w:val="right"/>
              <w:rPr>
                <w:sz w:val="20"/>
                <w:szCs w:val="20"/>
              </w:rPr>
            </w:pPr>
            <w:r w:rsidRPr="00A92B00">
              <w:rPr>
                <w:sz w:val="20"/>
                <w:szCs w:val="20"/>
              </w:rPr>
              <w:t xml:space="preserve">201,127,672 </w:t>
            </w:r>
          </w:p>
        </w:tc>
      </w:tr>
      <w:tr w:rsidR="00055C65" w:rsidRPr="00A92B00" w14:paraId="6598F020" w14:textId="77777777" w:rsidTr="00507A26">
        <w:tc>
          <w:tcPr>
            <w:tcW w:w="2335" w:type="dxa"/>
            <w:tcBorders>
              <w:left w:val="nil"/>
            </w:tcBorders>
          </w:tcPr>
          <w:p w14:paraId="3DC38EFD" w14:textId="038DB285" w:rsidR="00055C65" w:rsidRPr="00A92B00" w:rsidRDefault="00055C65" w:rsidP="00055C65">
            <w:pPr>
              <w:spacing w:after="0" w:line="240" w:lineRule="auto"/>
              <w:rPr>
                <w:sz w:val="20"/>
                <w:szCs w:val="20"/>
              </w:rPr>
            </w:pPr>
            <w:r w:rsidRPr="00A92B00">
              <w:rPr>
                <w:sz w:val="20"/>
                <w:szCs w:val="20"/>
              </w:rPr>
              <w:t>2043</w:t>
            </w:r>
          </w:p>
        </w:tc>
        <w:tc>
          <w:tcPr>
            <w:tcW w:w="2335" w:type="dxa"/>
          </w:tcPr>
          <w:p w14:paraId="12514380" w14:textId="6E063F94" w:rsidR="00055C65" w:rsidRPr="00A92B00" w:rsidRDefault="00055C65" w:rsidP="00055C65">
            <w:pPr>
              <w:spacing w:after="0" w:line="240" w:lineRule="auto"/>
              <w:jc w:val="right"/>
              <w:rPr>
                <w:sz w:val="20"/>
                <w:szCs w:val="20"/>
              </w:rPr>
            </w:pPr>
            <w:r w:rsidRPr="00A92B00">
              <w:rPr>
                <w:sz w:val="20"/>
                <w:szCs w:val="20"/>
              </w:rPr>
              <w:t xml:space="preserve"> $5,185,701</w:t>
            </w:r>
          </w:p>
        </w:tc>
        <w:tc>
          <w:tcPr>
            <w:tcW w:w="2335" w:type="dxa"/>
          </w:tcPr>
          <w:p w14:paraId="529732D5" w14:textId="00C1F181" w:rsidR="00055C65" w:rsidRPr="00A92B00" w:rsidRDefault="00055C65" w:rsidP="00055C65">
            <w:pPr>
              <w:spacing w:after="0" w:line="240" w:lineRule="auto"/>
              <w:jc w:val="right"/>
              <w:rPr>
                <w:sz w:val="20"/>
                <w:szCs w:val="20"/>
              </w:rPr>
            </w:pPr>
            <w:r w:rsidRPr="00A92B00">
              <w:rPr>
                <w:sz w:val="20"/>
                <w:szCs w:val="20"/>
              </w:rPr>
              <w:t xml:space="preserve"> $0.0260</w:t>
            </w:r>
          </w:p>
        </w:tc>
        <w:tc>
          <w:tcPr>
            <w:tcW w:w="2335" w:type="dxa"/>
            <w:tcBorders>
              <w:right w:val="nil"/>
            </w:tcBorders>
          </w:tcPr>
          <w:p w14:paraId="0D85EB1A" w14:textId="2B5A8229" w:rsidR="00055C65" w:rsidRPr="00A92B00" w:rsidRDefault="00055C65" w:rsidP="00055C65">
            <w:pPr>
              <w:spacing w:after="0" w:line="240" w:lineRule="auto"/>
              <w:jc w:val="right"/>
              <w:rPr>
                <w:sz w:val="20"/>
                <w:szCs w:val="20"/>
              </w:rPr>
            </w:pPr>
            <w:r w:rsidRPr="00A92B00">
              <w:rPr>
                <w:sz w:val="20"/>
                <w:szCs w:val="20"/>
              </w:rPr>
              <w:t xml:space="preserve">199,284,605 </w:t>
            </w:r>
          </w:p>
        </w:tc>
      </w:tr>
      <w:tr w:rsidR="00055C65" w:rsidRPr="00A92B00" w14:paraId="46E79C38" w14:textId="77777777" w:rsidTr="00507A26">
        <w:tc>
          <w:tcPr>
            <w:tcW w:w="2335" w:type="dxa"/>
            <w:tcBorders>
              <w:left w:val="nil"/>
            </w:tcBorders>
          </w:tcPr>
          <w:p w14:paraId="3740F7DB" w14:textId="4A401D63" w:rsidR="00055C65" w:rsidRPr="00A92B00" w:rsidRDefault="00055C65" w:rsidP="00055C65">
            <w:pPr>
              <w:spacing w:after="0" w:line="240" w:lineRule="auto"/>
              <w:rPr>
                <w:sz w:val="20"/>
                <w:szCs w:val="20"/>
              </w:rPr>
            </w:pPr>
            <w:r w:rsidRPr="00A92B00">
              <w:rPr>
                <w:sz w:val="20"/>
                <w:szCs w:val="20"/>
              </w:rPr>
              <w:t>2044</w:t>
            </w:r>
          </w:p>
        </w:tc>
        <w:tc>
          <w:tcPr>
            <w:tcW w:w="2335" w:type="dxa"/>
          </w:tcPr>
          <w:p w14:paraId="52716C8A" w14:textId="18B430AD" w:rsidR="00055C65" w:rsidRPr="00A92B00" w:rsidRDefault="00055C65" w:rsidP="00055C65">
            <w:pPr>
              <w:spacing w:after="0" w:line="240" w:lineRule="auto"/>
              <w:jc w:val="right"/>
              <w:rPr>
                <w:sz w:val="20"/>
                <w:szCs w:val="20"/>
              </w:rPr>
            </w:pPr>
            <w:r w:rsidRPr="00A92B00">
              <w:rPr>
                <w:sz w:val="20"/>
                <w:szCs w:val="20"/>
              </w:rPr>
              <w:t xml:space="preserve"> $5,030,822</w:t>
            </w:r>
          </w:p>
        </w:tc>
        <w:tc>
          <w:tcPr>
            <w:tcW w:w="2335" w:type="dxa"/>
          </w:tcPr>
          <w:p w14:paraId="645DDE1F" w14:textId="53BC2694" w:rsidR="00055C65" w:rsidRPr="00A92B00" w:rsidRDefault="00055C65" w:rsidP="00055C65">
            <w:pPr>
              <w:spacing w:after="0" w:line="240" w:lineRule="auto"/>
              <w:jc w:val="right"/>
              <w:rPr>
                <w:sz w:val="20"/>
                <w:szCs w:val="20"/>
              </w:rPr>
            </w:pPr>
            <w:r w:rsidRPr="00A92B00">
              <w:rPr>
                <w:sz w:val="20"/>
                <w:szCs w:val="20"/>
              </w:rPr>
              <w:t xml:space="preserve"> $0.0253</w:t>
            </w:r>
          </w:p>
        </w:tc>
        <w:tc>
          <w:tcPr>
            <w:tcW w:w="2335" w:type="dxa"/>
            <w:tcBorders>
              <w:right w:val="nil"/>
            </w:tcBorders>
          </w:tcPr>
          <w:p w14:paraId="001F2C00" w14:textId="7420CB69" w:rsidR="00055C65" w:rsidRPr="00A92B00" w:rsidRDefault="00055C65" w:rsidP="00055C65">
            <w:pPr>
              <w:spacing w:after="0" w:line="240" w:lineRule="auto"/>
              <w:jc w:val="right"/>
              <w:rPr>
                <w:sz w:val="20"/>
                <w:szCs w:val="20"/>
              </w:rPr>
            </w:pPr>
            <w:r w:rsidRPr="00A92B00">
              <w:rPr>
                <w:sz w:val="20"/>
                <w:szCs w:val="20"/>
              </w:rPr>
              <w:t xml:space="preserve">198,916,820 </w:t>
            </w:r>
          </w:p>
        </w:tc>
      </w:tr>
      <w:tr w:rsidR="00055C65" w:rsidRPr="00A92B00" w14:paraId="3035FCED" w14:textId="77777777" w:rsidTr="00507A26">
        <w:tc>
          <w:tcPr>
            <w:tcW w:w="2335" w:type="dxa"/>
            <w:tcBorders>
              <w:left w:val="nil"/>
            </w:tcBorders>
          </w:tcPr>
          <w:p w14:paraId="3E60EE3B" w14:textId="29287E92" w:rsidR="00055C65" w:rsidRPr="00A92B00" w:rsidRDefault="00055C65" w:rsidP="00055C65">
            <w:pPr>
              <w:spacing w:after="0" w:line="240" w:lineRule="auto"/>
              <w:rPr>
                <w:sz w:val="20"/>
                <w:szCs w:val="20"/>
              </w:rPr>
            </w:pPr>
            <w:r w:rsidRPr="00A92B00">
              <w:rPr>
                <w:sz w:val="20"/>
                <w:szCs w:val="20"/>
              </w:rPr>
              <w:t>2045</w:t>
            </w:r>
          </w:p>
        </w:tc>
        <w:tc>
          <w:tcPr>
            <w:tcW w:w="2335" w:type="dxa"/>
          </w:tcPr>
          <w:p w14:paraId="27A02627" w14:textId="118C7199" w:rsidR="00055C65" w:rsidRPr="00A92B00" w:rsidRDefault="00055C65" w:rsidP="00055C65">
            <w:pPr>
              <w:spacing w:after="0" w:line="240" w:lineRule="auto"/>
              <w:jc w:val="right"/>
              <w:rPr>
                <w:sz w:val="20"/>
                <w:szCs w:val="20"/>
              </w:rPr>
            </w:pPr>
            <w:r w:rsidRPr="00A92B00">
              <w:rPr>
                <w:sz w:val="20"/>
                <w:szCs w:val="20"/>
              </w:rPr>
              <w:t xml:space="preserve"> $657,417</w:t>
            </w:r>
          </w:p>
        </w:tc>
        <w:tc>
          <w:tcPr>
            <w:tcW w:w="2335" w:type="dxa"/>
          </w:tcPr>
          <w:p w14:paraId="45E45C0B" w14:textId="53EEA3CB" w:rsidR="00055C65" w:rsidRPr="00A92B00" w:rsidRDefault="00055C65" w:rsidP="00055C65">
            <w:pPr>
              <w:spacing w:after="0" w:line="240" w:lineRule="auto"/>
              <w:jc w:val="right"/>
              <w:rPr>
                <w:sz w:val="20"/>
                <w:szCs w:val="20"/>
              </w:rPr>
            </w:pPr>
            <w:r w:rsidRPr="00A92B00">
              <w:rPr>
                <w:sz w:val="20"/>
                <w:szCs w:val="20"/>
              </w:rPr>
              <w:t xml:space="preserve"> $0.0245</w:t>
            </w:r>
          </w:p>
        </w:tc>
        <w:tc>
          <w:tcPr>
            <w:tcW w:w="2335" w:type="dxa"/>
            <w:tcBorders>
              <w:right w:val="nil"/>
            </w:tcBorders>
          </w:tcPr>
          <w:p w14:paraId="64ABDC79" w14:textId="050E78D8" w:rsidR="00055C65" w:rsidRPr="00A92B00" w:rsidRDefault="00055C65" w:rsidP="00055C65">
            <w:pPr>
              <w:spacing w:after="0" w:line="240" w:lineRule="auto"/>
              <w:jc w:val="right"/>
              <w:rPr>
                <w:sz w:val="20"/>
                <w:szCs w:val="20"/>
              </w:rPr>
            </w:pPr>
            <w:r w:rsidRPr="00A92B00">
              <w:rPr>
                <w:sz w:val="20"/>
                <w:szCs w:val="20"/>
              </w:rPr>
              <w:t xml:space="preserve">26,814,029 </w:t>
            </w:r>
          </w:p>
        </w:tc>
      </w:tr>
      <w:tr w:rsidR="00055C65" w:rsidRPr="00A92B00" w14:paraId="2ECB107B" w14:textId="77777777" w:rsidTr="00507A26">
        <w:tc>
          <w:tcPr>
            <w:tcW w:w="2335" w:type="dxa"/>
            <w:tcBorders>
              <w:left w:val="nil"/>
            </w:tcBorders>
          </w:tcPr>
          <w:p w14:paraId="2234EA50" w14:textId="173E9EA2" w:rsidR="00055C65" w:rsidRPr="00A92B00" w:rsidRDefault="00055C65" w:rsidP="00055C65">
            <w:pPr>
              <w:spacing w:after="0" w:line="240" w:lineRule="auto"/>
              <w:rPr>
                <w:sz w:val="20"/>
                <w:szCs w:val="20"/>
              </w:rPr>
            </w:pPr>
            <w:r w:rsidRPr="00A92B00">
              <w:rPr>
                <w:sz w:val="20"/>
                <w:szCs w:val="20"/>
              </w:rPr>
              <w:t>2046</w:t>
            </w:r>
          </w:p>
        </w:tc>
        <w:tc>
          <w:tcPr>
            <w:tcW w:w="2335" w:type="dxa"/>
          </w:tcPr>
          <w:p w14:paraId="630DCD36" w14:textId="58586E1D" w:rsidR="00055C65" w:rsidRPr="00A92B00" w:rsidRDefault="00055C65" w:rsidP="00055C65">
            <w:pPr>
              <w:spacing w:after="0" w:line="240" w:lineRule="auto"/>
              <w:jc w:val="right"/>
              <w:rPr>
                <w:sz w:val="20"/>
                <w:szCs w:val="20"/>
              </w:rPr>
            </w:pPr>
            <w:r w:rsidRPr="00A92B00">
              <w:rPr>
                <w:sz w:val="20"/>
                <w:szCs w:val="20"/>
              </w:rPr>
              <w:t xml:space="preserve"> $634,713</w:t>
            </w:r>
          </w:p>
        </w:tc>
        <w:tc>
          <w:tcPr>
            <w:tcW w:w="2335" w:type="dxa"/>
          </w:tcPr>
          <w:p w14:paraId="23867BC4" w14:textId="53853064" w:rsidR="00055C65" w:rsidRPr="00A92B00" w:rsidRDefault="00055C65" w:rsidP="00055C65">
            <w:pPr>
              <w:spacing w:after="0" w:line="240" w:lineRule="auto"/>
              <w:jc w:val="right"/>
              <w:rPr>
                <w:sz w:val="20"/>
                <w:szCs w:val="20"/>
              </w:rPr>
            </w:pPr>
            <w:r w:rsidRPr="00A92B00">
              <w:rPr>
                <w:sz w:val="20"/>
                <w:szCs w:val="20"/>
              </w:rPr>
              <w:t xml:space="preserve"> $0.0237</w:t>
            </w:r>
          </w:p>
        </w:tc>
        <w:tc>
          <w:tcPr>
            <w:tcW w:w="2335" w:type="dxa"/>
            <w:tcBorders>
              <w:right w:val="nil"/>
            </w:tcBorders>
          </w:tcPr>
          <w:p w14:paraId="7946DE4C" w14:textId="379E4EB6" w:rsidR="00055C65" w:rsidRPr="00A92B00" w:rsidRDefault="00055C65" w:rsidP="00055C65">
            <w:pPr>
              <w:spacing w:after="0" w:line="240" w:lineRule="auto"/>
              <w:jc w:val="right"/>
              <w:rPr>
                <w:sz w:val="20"/>
                <w:szCs w:val="20"/>
              </w:rPr>
            </w:pPr>
            <w:r w:rsidRPr="00A92B00">
              <w:rPr>
                <w:sz w:val="20"/>
                <w:szCs w:val="20"/>
              </w:rPr>
              <w:t xml:space="preserve">26,813,462 </w:t>
            </w:r>
          </w:p>
        </w:tc>
      </w:tr>
      <w:tr w:rsidR="00055C65" w:rsidRPr="00A92B00" w14:paraId="71760D3D" w14:textId="77777777" w:rsidTr="00507A26">
        <w:tc>
          <w:tcPr>
            <w:tcW w:w="2335" w:type="dxa"/>
            <w:tcBorders>
              <w:left w:val="nil"/>
            </w:tcBorders>
          </w:tcPr>
          <w:p w14:paraId="3F4416BA" w14:textId="4F3E628D" w:rsidR="00055C65" w:rsidRPr="00A92B00" w:rsidRDefault="00055C65" w:rsidP="00055C65">
            <w:pPr>
              <w:spacing w:after="0" w:line="240" w:lineRule="auto"/>
              <w:rPr>
                <w:sz w:val="20"/>
                <w:szCs w:val="20"/>
              </w:rPr>
            </w:pPr>
            <w:r w:rsidRPr="00A92B00">
              <w:rPr>
                <w:sz w:val="20"/>
                <w:szCs w:val="20"/>
              </w:rPr>
              <w:t>2047</w:t>
            </w:r>
          </w:p>
        </w:tc>
        <w:tc>
          <w:tcPr>
            <w:tcW w:w="2335" w:type="dxa"/>
          </w:tcPr>
          <w:p w14:paraId="3228A175" w14:textId="27578B2C" w:rsidR="00055C65" w:rsidRPr="00A92B00" w:rsidRDefault="00055C65" w:rsidP="00055C65">
            <w:pPr>
              <w:spacing w:after="0" w:line="240" w:lineRule="auto"/>
              <w:jc w:val="right"/>
              <w:rPr>
                <w:sz w:val="20"/>
                <w:szCs w:val="20"/>
              </w:rPr>
            </w:pPr>
            <w:r w:rsidRPr="00A92B00">
              <w:rPr>
                <w:sz w:val="20"/>
                <w:szCs w:val="20"/>
              </w:rPr>
              <w:t xml:space="preserve"> $612,187</w:t>
            </w:r>
          </w:p>
        </w:tc>
        <w:tc>
          <w:tcPr>
            <w:tcW w:w="2335" w:type="dxa"/>
          </w:tcPr>
          <w:p w14:paraId="5BC6CEB5" w14:textId="6482E98E" w:rsidR="00055C65" w:rsidRPr="00A92B00" w:rsidRDefault="00055C65" w:rsidP="00055C65">
            <w:pPr>
              <w:spacing w:after="0" w:line="240" w:lineRule="auto"/>
              <w:jc w:val="right"/>
              <w:rPr>
                <w:sz w:val="20"/>
                <w:szCs w:val="20"/>
              </w:rPr>
            </w:pPr>
            <w:r w:rsidRPr="00A92B00">
              <w:rPr>
                <w:sz w:val="20"/>
                <w:szCs w:val="20"/>
              </w:rPr>
              <w:t xml:space="preserve"> $0.0228</w:t>
            </w:r>
          </w:p>
        </w:tc>
        <w:tc>
          <w:tcPr>
            <w:tcW w:w="2335" w:type="dxa"/>
            <w:tcBorders>
              <w:right w:val="nil"/>
            </w:tcBorders>
          </w:tcPr>
          <w:p w14:paraId="74F4E159" w14:textId="0D46CCDF" w:rsidR="00055C65" w:rsidRPr="00A92B00" w:rsidRDefault="00055C65" w:rsidP="00055C65">
            <w:pPr>
              <w:spacing w:after="0" w:line="240" w:lineRule="auto"/>
              <w:jc w:val="right"/>
              <w:rPr>
                <w:sz w:val="20"/>
                <w:szCs w:val="20"/>
              </w:rPr>
            </w:pPr>
            <w:r w:rsidRPr="00A92B00">
              <w:rPr>
                <w:sz w:val="20"/>
                <w:szCs w:val="20"/>
              </w:rPr>
              <w:t xml:space="preserve">26,813,462 </w:t>
            </w:r>
          </w:p>
        </w:tc>
      </w:tr>
      <w:tr w:rsidR="00055C65" w:rsidRPr="00A92B00" w14:paraId="7681DA44" w14:textId="77777777" w:rsidTr="00507A26">
        <w:tc>
          <w:tcPr>
            <w:tcW w:w="2335" w:type="dxa"/>
            <w:tcBorders>
              <w:left w:val="nil"/>
            </w:tcBorders>
          </w:tcPr>
          <w:p w14:paraId="58E6CB61" w14:textId="702E4A25" w:rsidR="00055C65" w:rsidRPr="00A92B00" w:rsidRDefault="00055C65" w:rsidP="00055C65">
            <w:pPr>
              <w:spacing w:after="0" w:line="240" w:lineRule="auto"/>
              <w:rPr>
                <w:sz w:val="20"/>
                <w:szCs w:val="20"/>
              </w:rPr>
            </w:pPr>
            <w:r w:rsidRPr="00A92B00">
              <w:rPr>
                <w:sz w:val="20"/>
                <w:szCs w:val="20"/>
              </w:rPr>
              <w:t>2048</w:t>
            </w:r>
          </w:p>
        </w:tc>
        <w:tc>
          <w:tcPr>
            <w:tcW w:w="2335" w:type="dxa"/>
          </w:tcPr>
          <w:p w14:paraId="29152992" w14:textId="3ADF640E" w:rsidR="00055C65" w:rsidRPr="00A92B00" w:rsidRDefault="00055C65" w:rsidP="00055C65">
            <w:pPr>
              <w:spacing w:after="0" w:line="240" w:lineRule="auto"/>
              <w:jc w:val="right"/>
              <w:rPr>
                <w:sz w:val="20"/>
                <w:szCs w:val="20"/>
              </w:rPr>
            </w:pPr>
            <w:r w:rsidRPr="00A92B00">
              <w:rPr>
                <w:sz w:val="20"/>
                <w:szCs w:val="20"/>
              </w:rPr>
              <w:t xml:space="preserve"> $350,018</w:t>
            </w:r>
          </w:p>
        </w:tc>
        <w:tc>
          <w:tcPr>
            <w:tcW w:w="2335" w:type="dxa"/>
          </w:tcPr>
          <w:p w14:paraId="2BE89E02" w14:textId="270E353E" w:rsidR="00055C65" w:rsidRPr="00A92B00" w:rsidRDefault="00055C65" w:rsidP="00055C65">
            <w:pPr>
              <w:spacing w:after="0" w:line="240" w:lineRule="auto"/>
              <w:jc w:val="right"/>
              <w:rPr>
                <w:sz w:val="20"/>
                <w:szCs w:val="20"/>
              </w:rPr>
            </w:pPr>
            <w:r w:rsidRPr="00A92B00">
              <w:rPr>
                <w:sz w:val="20"/>
                <w:szCs w:val="20"/>
              </w:rPr>
              <w:t xml:space="preserve"> $0.0219</w:t>
            </w:r>
          </w:p>
        </w:tc>
        <w:tc>
          <w:tcPr>
            <w:tcW w:w="2335" w:type="dxa"/>
            <w:tcBorders>
              <w:right w:val="nil"/>
            </w:tcBorders>
          </w:tcPr>
          <w:p w14:paraId="16026FA5" w14:textId="671D624A" w:rsidR="00055C65" w:rsidRPr="00A92B00" w:rsidRDefault="00055C65" w:rsidP="00055C65">
            <w:pPr>
              <w:spacing w:after="0" w:line="240" w:lineRule="auto"/>
              <w:jc w:val="right"/>
              <w:rPr>
                <w:sz w:val="20"/>
                <w:szCs w:val="20"/>
              </w:rPr>
            </w:pPr>
            <w:r w:rsidRPr="00A92B00">
              <w:rPr>
                <w:sz w:val="20"/>
                <w:szCs w:val="20"/>
              </w:rPr>
              <w:t xml:space="preserve">15,964,725 </w:t>
            </w:r>
          </w:p>
        </w:tc>
      </w:tr>
      <w:tr w:rsidR="00055C65" w:rsidRPr="00A92B00" w14:paraId="53E970C0" w14:textId="77777777" w:rsidTr="00507A26">
        <w:tc>
          <w:tcPr>
            <w:tcW w:w="2335" w:type="dxa"/>
            <w:tcBorders>
              <w:left w:val="nil"/>
            </w:tcBorders>
          </w:tcPr>
          <w:p w14:paraId="6E9F4DEC" w14:textId="6D5097C2" w:rsidR="00055C65" w:rsidRPr="00A92B00" w:rsidRDefault="00055C65" w:rsidP="00055C65">
            <w:pPr>
              <w:spacing w:after="0" w:line="240" w:lineRule="auto"/>
              <w:rPr>
                <w:sz w:val="20"/>
                <w:szCs w:val="20"/>
              </w:rPr>
            </w:pPr>
            <w:r w:rsidRPr="00A92B00">
              <w:rPr>
                <w:sz w:val="20"/>
                <w:szCs w:val="20"/>
              </w:rPr>
              <w:t>2049</w:t>
            </w:r>
          </w:p>
        </w:tc>
        <w:tc>
          <w:tcPr>
            <w:tcW w:w="2335" w:type="dxa"/>
          </w:tcPr>
          <w:p w14:paraId="707D543D" w14:textId="47DAD660" w:rsidR="00055C65" w:rsidRPr="00A92B00" w:rsidRDefault="00055C65" w:rsidP="00055C65">
            <w:pPr>
              <w:spacing w:after="0" w:line="240" w:lineRule="auto"/>
              <w:jc w:val="right"/>
              <w:rPr>
                <w:sz w:val="20"/>
                <w:szCs w:val="20"/>
              </w:rPr>
            </w:pPr>
            <w:r w:rsidRPr="00A92B00">
              <w:rPr>
                <w:sz w:val="20"/>
                <w:szCs w:val="20"/>
              </w:rPr>
              <w:t xml:space="preserve"> $336,863</w:t>
            </w:r>
          </w:p>
        </w:tc>
        <w:tc>
          <w:tcPr>
            <w:tcW w:w="2335" w:type="dxa"/>
          </w:tcPr>
          <w:p w14:paraId="13158B98" w14:textId="315F061B" w:rsidR="00055C65" w:rsidRPr="00A92B00" w:rsidRDefault="00055C65" w:rsidP="00055C65">
            <w:pPr>
              <w:spacing w:after="0" w:line="240" w:lineRule="auto"/>
              <w:jc w:val="right"/>
              <w:rPr>
                <w:sz w:val="20"/>
                <w:szCs w:val="20"/>
              </w:rPr>
            </w:pPr>
            <w:r w:rsidRPr="00A92B00">
              <w:rPr>
                <w:sz w:val="20"/>
                <w:szCs w:val="20"/>
              </w:rPr>
              <w:t xml:space="preserve"> $0.0211</w:t>
            </w:r>
          </w:p>
        </w:tc>
        <w:tc>
          <w:tcPr>
            <w:tcW w:w="2335" w:type="dxa"/>
            <w:tcBorders>
              <w:right w:val="nil"/>
            </w:tcBorders>
          </w:tcPr>
          <w:p w14:paraId="3C98FB32" w14:textId="2579FC7F" w:rsidR="00055C65" w:rsidRPr="00A92B00" w:rsidRDefault="00055C65" w:rsidP="00055C65">
            <w:pPr>
              <w:spacing w:after="0" w:line="240" w:lineRule="auto"/>
              <w:jc w:val="right"/>
              <w:rPr>
                <w:sz w:val="20"/>
                <w:szCs w:val="20"/>
              </w:rPr>
            </w:pPr>
            <w:r w:rsidRPr="00A92B00">
              <w:rPr>
                <w:sz w:val="20"/>
                <w:szCs w:val="20"/>
              </w:rPr>
              <w:t xml:space="preserve">15,964,725 </w:t>
            </w:r>
          </w:p>
        </w:tc>
      </w:tr>
      <w:tr w:rsidR="00055C65" w:rsidRPr="00A92B00" w14:paraId="10BFED97" w14:textId="77777777" w:rsidTr="00507A26">
        <w:tc>
          <w:tcPr>
            <w:tcW w:w="2335" w:type="dxa"/>
            <w:tcBorders>
              <w:left w:val="nil"/>
            </w:tcBorders>
          </w:tcPr>
          <w:p w14:paraId="3D974972" w14:textId="53D860F0" w:rsidR="00055C65" w:rsidRPr="00A92B00" w:rsidRDefault="00055C65" w:rsidP="00055C65">
            <w:pPr>
              <w:spacing w:after="0" w:line="240" w:lineRule="auto"/>
              <w:rPr>
                <w:sz w:val="20"/>
                <w:szCs w:val="20"/>
              </w:rPr>
            </w:pPr>
            <w:r w:rsidRPr="00A92B00">
              <w:rPr>
                <w:sz w:val="20"/>
                <w:szCs w:val="20"/>
              </w:rPr>
              <w:t>2050</w:t>
            </w:r>
          </w:p>
        </w:tc>
        <w:tc>
          <w:tcPr>
            <w:tcW w:w="2335" w:type="dxa"/>
          </w:tcPr>
          <w:p w14:paraId="6FE97021" w14:textId="2F0BB7FF" w:rsidR="00055C65" w:rsidRPr="00A92B00" w:rsidRDefault="00055C65" w:rsidP="00055C65">
            <w:pPr>
              <w:spacing w:after="0" w:line="240" w:lineRule="auto"/>
              <w:jc w:val="right"/>
              <w:rPr>
                <w:sz w:val="20"/>
                <w:szCs w:val="20"/>
              </w:rPr>
            </w:pPr>
            <w:r w:rsidRPr="00A92B00">
              <w:rPr>
                <w:sz w:val="20"/>
                <w:szCs w:val="20"/>
              </w:rPr>
              <w:t xml:space="preserve"> $177,498</w:t>
            </w:r>
          </w:p>
        </w:tc>
        <w:tc>
          <w:tcPr>
            <w:tcW w:w="2335" w:type="dxa"/>
          </w:tcPr>
          <w:p w14:paraId="697F9A65" w14:textId="6F9E7F2F" w:rsidR="00055C65" w:rsidRPr="00A92B00" w:rsidRDefault="00055C65" w:rsidP="00055C65">
            <w:pPr>
              <w:spacing w:after="0" w:line="240" w:lineRule="auto"/>
              <w:jc w:val="right"/>
              <w:rPr>
                <w:sz w:val="20"/>
                <w:szCs w:val="20"/>
              </w:rPr>
            </w:pPr>
            <w:r w:rsidRPr="00A92B00">
              <w:rPr>
                <w:sz w:val="20"/>
                <w:szCs w:val="20"/>
              </w:rPr>
              <w:t xml:space="preserve"> $0.0203</w:t>
            </w:r>
          </w:p>
        </w:tc>
        <w:tc>
          <w:tcPr>
            <w:tcW w:w="2335" w:type="dxa"/>
            <w:tcBorders>
              <w:right w:val="nil"/>
            </w:tcBorders>
          </w:tcPr>
          <w:p w14:paraId="5F5310FF" w14:textId="2E822E34" w:rsidR="00055C65" w:rsidRPr="00A92B00" w:rsidRDefault="00055C65" w:rsidP="00055C65">
            <w:pPr>
              <w:spacing w:after="0" w:line="240" w:lineRule="auto"/>
              <w:jc w:val="right"/>
              <w:rPr>
                <w:sz w:val="20"/>
                <w:szCs w:val="20"/>
              </w:rPr>
            </w:pPr>
            <w:r w:rsidRPr="00A92B00">
              <w:rPr>
                <w:sz w:val="20"/>
                <w:szCs w:val="20"/>
              </w:rPr>
              <w:t xml:space="preserve">8,756,544 </w:t>
            </w:r>
          </w:p>
        </w:tc>
      </w:tr>
      <w:tr w:rsidR="00055C65" w:rsidRPr="00A92B00" w14:paraId="52AC1A94" w14:textId="77777777" w:rsidTr="00507A26">
        <w:tc>
          <w:tcPr>
            <w:tcW w:w="2335" w:type="dxa"/>
            <w:tcBorders>
              <w:left w:val="nil"/>
            </w:tcBorders>
          </w:tcPr>
          <w:p w14:paraId="2E0A835D" w14:textId="53334BBE" w:rsidR="00055C65" w:rsidRPr="00A92B00" w:rsidRDefault="00055C65" w:rsidP="00055C65">
            <w:pPr>
              <w:spacing w:after="0" w:line="240" w:lineRule="auto"/>
              <w:rPr>
                <w:sz w:val="20"/>
                <w:szCs w:val="20"/>
              </w:rPr>
            </w:pPr>
            <w:r w:rsidRPr="00A92B00">
              <w:rPr>
                <w:sz w:val="20"/>
                <w:szCs w:val="20"/>
              </w:rPr>
              <w:t>2051</w:t>
            </w:r>
          </w:p>
        </w:tc>
        <w:tc>
          <w:tcPr>
            <w:tcW w:w="2335" w:type="dxa"/>
          </w:tcPr>
          <w:p w14:paraId="645E4187" w14:textId="71EDA378" w:rsidR="00055C65" w:rsidRPr="00A92B00" w:rsidRDefault="00055C65" w:rsidP="00055C65">
            <w:pPr>
              <w:spacing w:after="0" w:line="240" w:lineRule="auto"/>
              <w:jc w:val="right"/>
              <w:rPr>
                <w:sz w:val="20"/>
                <w:szCs w:val="20"/>
              </w:rPr>
            </w:pPr>
            <w:r w:rsidRPr="00A92B00">
              <w:rPr>
                <w:sz w:val="20"/>
                <w:szCs w:val="20"/>
              </w:rPr>
              <w:t xml:space="preserve"> $170,401</w:t>
            </w:r>
          </w:p>
        </w:tc>
        <w:tc>
          <w:tcPr>
            <w:tcW w:w="2335" w:type="dxa"/>
          </w:tcPr>
          <w:p w14:paraId="0F04C178" w14:textId="44A51E91" w:rsidR="00055C65" w:rsidRPr="00A92B00" w:rsidRDefault="00055C65" w:rsidP="00055C65">
            <w:pPr>
              <w:spacing w:after="0" w:line="240" w:lineRule="auto"/>
              <w:jc w:val="right"/>
              <w:rPr>
                <w:sz w:val="20"/>
                <w:szCs w:val="20"/>
              </w:rPr>
            </w:pPr>
            <w:r w:rsidRPr="00A92B00">
              <w:rPr>
                <w:sz w:val="20"/>
                <w:szCs w:val="20"/>
              </w:rPr>
              <w:t xml:space="preserve"> $0.0195</w:t>
            </w:r>
          </w:p>
        </w:tc>
        <w:tc>
          <w:tcPr>
            <w:tcW w:w="2335" w:type="dxa"/>
            <w:tcBorders>
              <w:right w:val="nil"/>
            </w:tcBorders>
          </w:tcPr>
          <w:p w14:paraId="447EE1E0" w14:textId="0D9270C7" w:rsidR="00055C65" w:rsidRPr="00A92B00" w:rsidRDefault="00055C65" w:rsidP="00055C65">
            <w:pPr>
              <w:spacing w:after="0" w:line="240" w:lineRule="auto"/>
              <w:jc w:val="right"/>
              <w:rPr>
                <w:sz w:val="20"/>
                <w:szCs w:val="20"/>
              </w:rPr>
            </w:pPr>
            <w:r w:rsidRPr="00A92B00">
              <w:rPr>
                <w:sz w:val="20"/>
                <w:szCs w:val="20"/>
              </w:rPr>
              <w:t xml:space="preserve">8,756,544 </w:t>
            </w:r>
          </w:p>
        </w:tc>
      </w:tr>
      <w:tr w:rsidR="00055C65" w:rsidRPr="00A92B00" w14:paraId="27F402F4" w14:textId="77777777" w:rsidTr="00507A26">
        <w:tc>
          <w:tcPr>
            <w:tcW w:w="2335" w:type="dxa"/>
            <w:tcBorders>
              <w:left w:val="nil"/>
            </w:tcBorders>
          </w:tcPr>
          <w:p w14:paraId="2F846F31" w14:textId="45FD3C70" w:rsidR="00055C65" w:rsidRPr="00A92B00" w:rsidRDefault="00055C65" w:rsidP="00055C65">
            <w:pPr>
              <w:spacing w:after="0" w:line="240" w:lineRule="auto"/>
              <w:rPr>
                <w:sz w:val="20"/>
                <w:szCs w:val="20"/>
              </w:rPr>
            </w:pPr>
            <w:r w:rsidRPr="00A92B00">
              <w:rPr>
                <w:sz w:val="20"/>
                <w:szCs w:val="20"/>
              </w:rPr>
              <w:t>2052</w:t>
            </w:r>
          </w:p>
        </w:tc>
        <w:tc>
          <w:tcPr>
            <w:tcW w:w="2335" w:type="dxa"/>
          </w:tcPr>
          <w:p w14:paraId="06AA72F6" w14:textId="1F046CBB" w:rsidR="00055C65" w:rsidRPr="00A92B00" w:rsidRDefault="00055C65" w:rsidP="00055C65">
            <w:pPr>
              <w:spacing w:after="0" w:line="240" w:lineRule="auto"/>
              <w:jc w:val="right"/>
              <w:rPr>
                <w:sz w:val="20"/>
                <w:szCs w:val="20"/>
              </w:rPr>
            </w:pPr>
            <w:r w:rsidRPr="00A92B00">
              <w:rPr>
                <w:sz w:val="20"/>
                <w:szCs w:val="20"/>
              </w:rPr>
              <w:t xml:space="preserve"> $169,688</w:t>
            </w:r>
          </w:p>
        </w:tc>
        <w:tc>
          <w:tcPr>
            <w:tcW w:w="2335" w:type="dxa"/>
          </w:tcPr>
          <w:p w14:paraId="5408F7C5" w14:textId="07CC05D3" w:rsidR="00055C65" w:rsidRPr="00A92B00" w:rsidRDefault="00055C65" w:rsidP="00055C65">
            <w:pPr>
              <w:spacing w:after="0" w:line="240" w:lineRule="auto"/>
              <w:jc w:val="right"/>
              <w:rPr>
                <w:sz w:val="20"/>
                <w:szCs w:val="20"/>
              </w:rPr>
            </w:pPr>
            <w:r w:rsidRPr="00A92B00">
              <w:rPr>
                <w:sz w:val="20"/>
                <w:szCs w:val="20"/>
              </w:rPr>
              <w:t xml:space="preserve"> $0.0194</w:t>
            </w:r>
          </w:p>
        </w:tc>
        <w:tc>
          <w:tcPr>
            <w:tcW w:w="2335" w:type="dxa"/>
            <w:tcBorders>
              <w:right w:val="nil"/>
            </w:tcBorders>
          </w:tcPr>
          <w:p w14:paraId="77162771" w14:textId="3908127F" w:rsidR="00055C65" w:rsidRPr="00A92B00" w:rsidRDefault="00055C65" w:rsidP="00055C65">
            <w:pPr>
              <w:spacing w:after="0" w:line="240" w:lineRule="auto"/>
              <w:jc w:val="right"/>
              <w:rPr>
                <w:sz w:val="20"/>
                <w:szCs w:val="20"/>
              </w:rPr>
            </w:pPr>
            <w:r w:rsidRPr="00A92B00">
              <w:rPr>
                <w:sz w:val="20"/>
                <w:szCs w:val="20"/>
              </w:rPr>
              <w:t xml:space="preserve">8,756,544 </w:t>
            </w:r>
          </w:p>
        </w:tc>
      </w:tr>
      <w:tr w:rsidR="00055C65" w:rsidRPr="00A92B00" w14:paraId="0292B748" w14:textId="77777777" w:rsidTr="00507A26">
        <w:tc>
          <w:tcPr>
            <w:tcW w:w="2335" w:type="dxa"/>
            <w:tcBorders>
              <w:left w:val="nil"/>
            </w:tcBorders>
          </w:tcPr>
          <w:p w14:paraId="57220981" w14:textId="05BA5760" w:rsidR="00055C65" w:rsidRPr="00A92B00" w:rsidRDefault="00055C65" w:rsidP="00055C65">
            <w:pPr>
              <w:spacing w:after="0" w:line="240" w:lineRule="auto"/>
              <w:rPr>
                <w:sz w:val="20"/>
                <w:szCs w:val="20"/>
              </w:rPr>
            </w:pPr>
            <w:r w:rsidRPr="00A92B00">
              <w:rPr>
                <w:sz w:val="20"/>
                <w:szCs w:val="20"/>
              </w:rPr>
              <w:t>2053</w:t>
            </w:r>
          </w:p>
        </w:tc>
        <w:tc>
          <w:tcPr>
            <w:tcW w:w="2335" w:type="dxa"/>
          </w:tcPr>
          <w:p w14:paraId="4FD382E9" w14:textId="58B6AB0E" w:rsidR="00055C65" w:rsidRPr="00A92B00" w:rsidRDefault="00055C65" w:rsidP="00055C65">
            <w:pPr>
              <w:spacing w:after="0" w:line="240" w:lineRule="auto"/>
              <w:jc w:val="right"/>
              <w:rPr>
                <w:sz w:val="20"/>
                <w:szCs w:val="20"/>
              </w:rPr>
            </w:pPr>
            <w:r w:rsidRPr="00A92B00">
              <w:rPr>
                <w:sz w:val="20"/>
                <w:szCs w:val="20"/>
              </w:rPr>
              <w:t xml:space="preserve"> $168,978</w:t>
            </w:r>
          </w:p>
        </w:tc>
        <w:tc>
          <w:tcPr>
            <w:tcW w:w="2335" w:type="dxa"/>
          </w:tcPr>
          <w:p w14:paraId="005217D0" w14:textId="72CD263A" w:rsidR="00055C65" w:rsidRPr="00A92B00" w:rsidRDefault="00055C65" w:rsidP="00055C65">
            <w:pPr>
              <w:spacing w:after="0" w:line="240" w:lineRule="auto"/>
              <w:jc w:val="right"/>
              <w:rPr>
                <w:sz w:val="20"/>
                <w:szCs w:val="20"/>
              </w:rPr>
            </w:pPr>
            <w:r w:rsidRPr="00A92B00">
              <w:rPr>
                <w:sz w:val="20"/>
                <w:szCs w:val="20"/>
              </w:rPr>
              <w:t xml:space="preserve"> $0.0193</w:t>
            </w:r>
          </w:p>
        </w:tc>
        <w:tc>
          <w:tcPr>
            <w:tcW w:w="2335" w:type="dxa"/>
            <w:tcBorders>
              <w:right w:val="nil"/>
            </w:tcBorders>
          </w:tcPr>
          <w:p w14:paraId="68684101" w14:textId="43407FB9" w:rsidR="00055C65" w:rsidRPr="00A92B00" w:rsidRDefault="00055C65" w:rsidP="00055C65">
            <w:pPr>
              <w:spacing w:after="0" w:line="240" w:lineRule="auto"/>
              <w:jc w:val="right"/>
              <w:rPr>
                <w:sz w:val="20"/>
                <w:szCs w:val="20"/>
              </w:rPr>
            </w:pPr>
            <w:r w:rsidRPr="00A92B00">
              <w:rPr>
                <w:sz w:val="20"/>
                <w:szCs w:val="20"/>
              </w:rPr>
              <w:t xml:space="preserve">8,756,544 </w:t>
            </w:r>
          </w:p>
        </w:tc>
      </w:tr>
      <w:tr w:rsidR="00055C65" w:rsidRPr="00A92B00" w14:paraId="19F724DF" w14:textId="77777777" w:rsidTr="00507A26">
        <w:tc>
          <w:tcPr>
            <w:tcW w:w="2335" w:type="dxa"/>
            <w:tcBorders>
              <w:left w:val="nil"/>
            </w:tcBorders>
          </w:tcPr>
          <w:p w14:paraId="518E06F1" w14:textId="1C70B167" w:rsidR="00055C65" w:rsidRPr="00A92B00" w:rsidRDefault="00055C65" w:rsidP="00055C65">
            <w:pPr>
              <w:spacing w:after="0" w:line="240" w:lineRule="auto"/>
              <w:rPr>
                <w:sz w:val="20"/>
                <w:szCs w:val="20"/>
              </w:rPr>
            </w:pPr>
            <w:r w:rsidRPr="00A92B00">
              <w:rPr>
                <w:sz w:val="20"/>
                <w:szCs w:val="20"/>
              </w:rPr>
              <w:t>2054</w:t>
            </w:r>
          </w:p>
        </w:tc>
        <w:tc>
          <w:tcPr>
            <w:tcW w:w="2335" w:type="dxa"/>
          </w:tcPr>
          <w:p w14:paraId="50AD37D3" w14:textId="2A52840D" w:rsidR="00055C65" w:rsidRPr="00A92B00" w:rsidRDefault="00055C65" w:rsidP="00055C65">
            <w:pPr>
              <w:spacing w:after="0" w:line="240" w:lineRule="auto"/>
              <w:jc w:val="right"/>
              <w:rPr>
                <w:sz w:val="20"/>
                <w:szCs w:val="20"/>
              </w:rPr>
            </w:pPr>
            <w:r w:rsidRPr="00A92B00">
              <w:rPr>
                <w:sz w:val="20"/>
                <w:szCs w:val="20"/>
              </w:rPr>
              <w:t xml:space="preserve"> $168,272</w:t>
            </w:r>
          </w:p>
        </w:tc>
        <w:tc>
          <w:tcPr>
            <w:tcW w:w="2335" w:type="dxa"/>
          </w:tcPr>
          <w:p w14:paraId="20437631" w14:textId="3AA0B313" w:rsidR="00055C65" w:rsidRPr="00A92B00" w:rsidRDefault="00055C65" w:rsidP="00055C65">
            <w:pPr>
              <w:spacing w:after="0" w:line="240" w:lineRule="auto"/>
              <w:jc w:val="right"/>
              <w:rPr>
                <w:sz w:val="20"/>
                <w:szCs w:val="20"/>
              </w:rPr>
            </w:pPr>
            <w:r w:rsidRPr="00A92B00">
              <w:rPr>
                <w:sz w:val="20"/>
                <w:szCs w:val="20"/>
              </w:rPr>
              <w:t xml:space="preserve"> $0.0192</w:t>
            </w:r>
          </w:p>
        </w:tc>
        <w:tc>
          <w:tcPr>
            <w:tcW w:w="2335" w:type="dxa"/>
            <w:tcBorders>
              <w:right w:val="nil"/>
            </w:tcBorders>
          </w:tcPr>
          <w:p w14:paraId="5719F5CA" w14:textId="4202BD43" w:rsidR="00055C65" w:rsidRPr="00A92B00" w:rsidRDefault="00055C65" w:rsidP="00055C65">
            <w:pPr>
              <w:spacing w:after="0" w:line="240" w:lineRule="auto"/>
              <w:jc w:val="right"/>
              <w:rPr>
                <w:sz w:val="20"/>
                <w:szCs w:val="20"/>
              </w:rPr>
            </w:pPr>
            <w:r w:rsidRPr="00A92B00">
              <w:rPr>
                <w:sz w:val="20"/>
                <w:szCs w:val="20"/>
              </w:rPr>
              <w:t xml:space="preserve">8,756,544 </w:t>
            </w:r>
          </w:p>
        </w:tc>
      </w:tr>
      <w:tr w:rsidR="00055C65" w:rsidRPr="00A92B00" w14:paraId="4B50DA0C" w14:textId="77777777" w:rsidTr="00507A26">
        <w:tc>
          <w:tcPr>
            <w:tcW w:w="2335" w:type="dxa"/>
            <w:tcBorders>
              <w:left w:val="nil"/>
            </w:tcBorders>
          </w:tcPr>
          <w:p w14:paraId="394E345D" w14:textId="7E23999D" w:rsidR="00055C65" w:rsidRPr="00A92B00" w:rsidRDefault="00055C65" w:rsidP="00055C65">
            <w:pPr>
              <w:spacing w:after="0" w:line="240" w:lineRule="auto"/>
              <w:rPr>
                <w:sz w:val="20"/>
                <w:szCs w:val="20"/>
              </w:rPr>
            </w:pPr>
            <w:r w:rsidRPr="00A92B00">
              <w:rPr>
                <w:sz w:val="20"/>
                <w:szCs w:val="20"/>
              </w:rPr>
              <w:t>2055</w:t>
            </w:r>
          </w:p>
        </w:tc>
        <w:tc>
          <w:tcPr>
            <w:tcW w:w="2335" w:type="dxa"/>
          </w:tcPr>
          <w:p w14:paraId="083B93DA" w14:textId="36C919EA" w:rsidR="00055C65" w:rsidRPr="00A92B00" w:rsidRDefault="00055C65" w:rsidP="00055C65">
            <w:pPr>
              <w:spacing w:after="0" w:line="240" w:lineRule="auto"/>
              <w:jc w:val="right"/>
              <w:rPr>
                <w:sz w:val="20"/>
                <w:szCs w:val="20"/>
              </w:rPr>
            </w:pPr>
            <w:r w:rsidRPr="00A92B00">
              <w:rPr>
                <w:sz w:val="20"/>
                <w:szCs w:val="20"/>
              </w:rPr>
              <w:t xml:space="preserve"> $4,919</w:t>
            </w:r>
          </w:p>
        </w:tc>
        <w:tc>
          <w:tcPr>
            <w:tcW w:w="2335" w:type="dxa"/>
          </w:tcPr>
          <w:p w14:paraId="70A3D148" w14:textId="5BF405D7" w:rsidR="00055C65" w:rsidRPr="00A92B00" w:rsidRDefault="00055C65" w:rsidP="00055C65">
            <w:pPr>
              <w:spacing w:after="0" w:line="240" w:lineRule="auto"/>
              <w:jc w:val="right"/>
              <w:rPr>
                <w:sz w:val="20"/>
                <w:szCs w:val="20"/>
              </w:rPr>
            </w:pPr>
            <w:r w:rsidRPr="00A92B00">
              <w:rPr>
                <w:sz w:val="20"/>
                <w:szCs w:val="20"/>
              </w:rPr>
              <w:t xml:space="preserve"> $0.0148</w:t>
            </w:r>
          </w:p>
        </w:tc>
        <w:tc>
          <w:tcPr>
            <w:tcW w:w="2335" w:type="dxa"/>
            <w:tcBorders>
              <w:right w:val="nil"/>
            </w:tcBorders>
          </w:tcPr>
          <w:p w14:paraId="57A0B51C" w14:textId="3B90EF29" w:rsidR="00055C65" w:rsidRPr="00A92B00" w:rsidRDefault="00055C65" w:rsidP="00055C65">
            <w:pPr>
              <w:spacing w:after="0" w:line="240" w:lineRule="auto"/>
              <w:jc w:val="right"/>
              <w:rPr>
                <w:sz w:val="20"/>
                <w:szCs w:val="20"/>
              </w:rPr>
            </w:pPr>
            <w:r w:rsidRPr="00A92B00">
              <w:rPr>
                <w:sz w:val="20"/>
                <w:szCs w:val="20"/>
              </w:rPr>
              <w:t xml:space="preserve">331,583 </w:t>
            </w:r>
          </w:p>
        </w:tc>
      </w:tr>
      <w:tr w:rsidR="00055C65" w:rsidRPr="00A92B00" w14:paraId="2C89D865" w14:textId="77777777" w:rsidTr="00507A26">
        <w:tc>
          <w:tcPr>
            <w:tcW w:w="2335" w:type="dxa"/>
            <w:tcBorders>
              <w:left w:val="nil"/>
            </w:tcBorders>
          </w:tcPr>
          <w:p w14:paraId="77C9E742" w14:textId="4233BA82" w:rsidR="00055C65" w:rsidRPr="00A92B00" w:rsidRDefault="00055C65" w:rsidP="00055C65">
            <w:pPr>
              <w:spacing w:after="0" w:line="240" w:lineRule="auto"/>
              <w:rPr>
                <w:sz w:val="20"/>
                <w:szCs w:val="20"/>
              </w:rPr>
            </w:pPr>
            <w:r w:rsidRPr="00A92B00">
              <w:rPr>
                <w:sz w:val="20"/>
                <w:szCs w:val="20"/>
              </w:rPr>
              <w:t>2056</w:t>
            </w:r>
          </w:p>
        </w:tc>
        <w:tc>
          <w:tcPr>
            <w:tcW w:w="2335" w:type="dxa"/>
          </w:tcPr>
          <w:p w14:paraId="17B9B435" w14:textId="5586D30F" w:rsidR="00055C65" w:rsidRPr="00A92B00" w:rsidRDefault="00055C65" w:rsidP="00055C65">
            <w:pPr>
              <w:spacing w:after="0" w:line="240" w:lineRule="auto"/>
              <w:jc w:val="right"/>
              <w:rPr>
                <w:sz w:val="20"/>
                <w:szCs w:val="20"/>
              </w:rPr>
            </w:pPr>
            <w:r w:rsidRPr="00A92B00">
              <w:rPr>
                <w:sz w:val="20"/>
                <w:szCs w:val="20"/>
              </w:rPr>
              <w:t xml:space="preserve"> $4,898</w:t>
            </w:r>
          </w:p>
        </w:tc>
        <w:tc>
          <w:tcPr>
            <w:tcW w:w="2335" w:type="dxa"/>
          </w:tcPr>
          <w:p w14:paraId="4A431804" w14:textId="305BCB61" w:rsidR="00055C65" w:rsidRPr="00A92B00" w:rsidRDefault="00055C65" w:rsidP="00055C65">
            <w:pPr>
              <w:spacing w:after="0" w:line="240" w:lineRule="auto"/>
              <w:jc w:val="right"/>
              <w:rPr>
                <w:sz w:val="20"/>
                <w:szCs w:val="20"/>
              </w:rPr>
            </w:pPr>
            <w:r w:rsidRPr="00A92B00">
              <w:rPr>
                <w:sz w:val="20"/>
                <w:szCs w:val="20"/>
              </w:rPr>
              <w:t xml:space="preserve"> $0.0148</w:t>
            </w:r>
          </w:p>
        </w:tc>
        <w:tc>
          <w:tcPr>
            <w:tcW w:w="2335" w:type="dxa"/>
            <w:tcBorders>
              <w:right w:val="nil"/>
            </w:tcBorders>
          </w:tcPr>
          <w:p w14:paraId="0AFD253A" w14:textId="4C96156A" w:rsidR="00055C65" w:rsidRPr="00A92B00" w:rsidRDefault="00055C65" w:rsidP="00055C65">
            <w:pPr>
              <w:spacing w:after="0" w:line="240" w:lineRule="auto"/>
              <w:jc w:val="right"/>
              <w:rPr>
                <w:sz w:val="20"/>
                <w:szCs w:val="20"/>
              </w:rPr>
            </w:pPr>
            <w:r w:rsidRPr="00A92B00">
              <w:rPr>
                <w:sz w:val="20"/>
                <w:szCs w:val="20"/>
              </w:rPr>
              <w:t xml:space="preserve">331,583 </w:t>
            </w:r>
          </w:p>
        </w:tc>
      </w:tr>
      <w:tr w:rsidR="00055C65" w:rsidRPr="00A92B00" w14:paraId="30487149" w14:textId="77777777" w:rsidTr="00507A26">
        <w:tc>
          <w:tcPr>
            <w:tcW w:w="2335" w:type="dxa"/>
            <w:tcBorders>
              <w:left w:val="nil"/>
            </w:tcBorders>
          </w:tcPr>
          <w:p w14:paraId="422525E0" w14:textId="34C060CB" w:rsidR="00055C65" w:rsidRPr="00A92B00" w:rsidRDefault="00055C65" w:rsidP="00055C65">
            <w:pPr>
              <w:spacing w:after="0" w:line="240" w:lineRule="auto"/>
              <w:rPr>
                <w:sz w:val="20"/>
                <w:szCs w:val="20"/>
              </w:rPr>
            </w:pPr>
            <w:r w:rsidRPr="00A92B00">
              <w:rPr>
                <w:sz w:val="20"/>
                <w:szCs w:val="20"/>
              </w:rPr>
              <w:t>2057</w:t>
            </w:r>
          </w:p>
        </w:tc>
        <w:tc>
          <w:tcPr>
            <w:tcW w:w="2335" w:type="dxa"/>
          </w:tcPr>
          <w:p w14:paraId="262ADC71" w14:textId="534E2B0E" w:rsidR="00055C65" w:rsidRPr="00A92B00" w:rsidRDefault="00055C65" w:rsidP="00055C65">
            <w:pPr>
              <w:spacing w:after="0" w:line="240" w:lineRule="auto"/>
              <w:jc w:val="right"/>
              <w:rPr>
                <w:sz w:val="20"/>
                <w:szCs w:val="20"/>
              </w:rPr>
            </w:pPr>
            <w:r w:rsidRPr="00A92B00">
              <w:rPr>
                <w:sz w:val="20"/>
                <w:szCs w:val="20"/>
              </w:rPr>
              <w:t xml:space="preserve"> $4,878</w:t>
            </w:r>
          </w:p>
        </w:tc>
        <w:tc>
          <w:tcPr>
            <w:tcW w:w="2335" w:type="dxa"/>
          </w:tcPr>
          <w:p w14:paraId="55579B43" w14:textId="78D693B8" w:rsidR="00055C65" w:rsidRPr="00A92B00" w:rsidRDefault="00055C65" w:rsidP="00055C65">
            <w:pPr>
              <w:spacing w:after="0" w:line="240" w:lineRule="auto"/>
              <w:jc w:val="right"/>
              <w:rPr>
                <w:sz w:val="20"/>
                <w:szCs w:val="20"/>
              </w:rPr>
            </w:pPr>
            <w:r w:rsidRPr="00A92B00">
              <w:rPr>
                <w:sz w:val="20"/>
                <w:szCs w:val="20"/>
              </w:rPr>
              <w:t xml:space="preserve"> $0.0147</w:t>
            </w:r>
          </w:p>
        </w:tc>
        <w:tc>
          <w:tcPr>
            <w:tcW w:w="2335" w:type="dxa"/>
            <w:tcBorders>
              <w:right w:val="nil"/>
            </w:tcBorders>
          </w:tcPr>
          <w:p w14:paraId="1CEC4CBB" w14:textId="5AEDFFAA" w:rsidR="00055C65" w:rsidRPr="00A92B00" w:rsidRDefault="00055C65" w:rsidP="00055C65">
            <w:pPr>
              <w:spacing w:after="0" w:line="240" w:lineRule="auto"/>
              <w:jc w:val="right"/>
              <w:rPr>
                <w:sz w:val="20"/>
                <w:szCs w:val="20"/>
              </w:rPr>
            </w:pPr>
            <w:r w:rsidRPr="00A92B00">
              <w:rPr>
                <w:sz w:val="20"/>
                <w:szCs w:val="20"/>
              </w:rPr>
              <w:t xml:space="preserve">331,583 </w:t>
            </w:r>
          </w:p>
        </w:tc>
      </w:tr>
      <w:tr w:rsidR="00055C65" w:rsidRPr="00A92B00" w14:paraId="1A035C69" w14:textId="77777777" w:rsidTr="00507A26">
        <w:tc>
          <w:tcPr>
            <w:tcW w:w="2335" w:type="dxa"/>
            <w:tcBorders>
              <w:left w:val="nil"/>
            </w:tcBorders>
          </w:tcPr>
          <w:p w14:paraId="662EBEB5" w14:textId="7776067B" w:rsidR="00055C65" w:rsidRPr="00A92B00" w:rsidRDefault="00055C65" w:rsidP="00055C65">
            <w:pPr>
              <w:spacing w:after="0" w:line="240" w:lineRule="auto"/>
              <w:rPr>
                <w:sz w:val="20"/>
                <w:szCs w:val="20"/>
              </w:rPr>
            </w:pPr>
            <w:r w:rsidRPr="00A92B00">
              <w:rPr>
                <w:sz w:val="20"/>
                <w:szCs w:val="20"/>
              </w:rPr>
              <w:t>2058</w:t>
            </w:r>
          </w:p>
        </w:tc>
        <w:tc>
          <w:tcPr>
            <w:tcW w:w="2335" w:type="dxa"/>
          </w:tcPr>
          <w:p w14:paraId="2A5700A5" w14:textId="05E381D7" w:rsidR="00055C65" w:rsidRPr="00A92B00" w:rsidRDefault="00055C65" w:rsidP="00055C65">
            <w:pPr>
              <w:spacing w:after="0" w:line="240" w:lineRule="auto"/>
              <w:jc w:val="right"/>
              <w:rPr>
                <w:sz w:val="20"/>
                <w:szCs w:val="20"/>
              </w:rPr>
            </w:pPr>
            <w:r w:rsidRPr="00A92B00">
              <w:rPr>
                <w:sz w:val="20"/>
                <w:szCs w:val="20"/>
              </w:rPr>
              <w:t xml:space="preserve"> $4,857</w:t>
            </w:r>
          </w:p>
        </w:tc>
        <w:tc>
          <w:tcPr>
            <w:tcW w:w="2335" w:type="dxa"/>
          </w:tcPr>
          <w:p w14:paraId="66C07A14" w14:textId="03F8D0FA" w:rsidR="00055C65" w:rsidRPr="00A92B00" w:rsidRDefault="00055C65" w:rsidP="00055C65">
            <w:pPr>
              <w:spacing w:after="0" w:line="240" w:lineRule="auto"/>
              <w:jc w:val="right"/>
              <w:rPr>
                <w:sz w:val="20"/>
                <w:szCs w:val="20"/>
              </w:rPr>
            </w:pPr>
            <w:r w:rsidRPr="00A92B00">
              <w:rPr>
                <w:sz w:val="20"/>
                <w:szCs w:val="20"/>
              </w:rPr>
              <w:t xml:space="preserve"> $0.0146</w:t>
            </w:r>
          </w:p>
        </w:tc>
        <w:tc>
          <w:tcPr>
            <w:tcW w:w="2335" w:type="dxa"/>
            <w:tcBorders>
              <w:right w:val="nil"/>
            </w:tcBorders>
          </w:tcPr>
          <w:p w14:paraId="01183DB1" w14:textId="7B75BF50" w:rsidR="00055C65" w:rsidRPr="00A92B00" w:rsidRDefault="00055C65" w:rsidP="00055C65">
            <w:pPr>
              <w:spacing w:after="0" w:line="240" w:lineRule="auto"/>
              <w:jc w:val="right"/>
              <w:rPr>
                <w:sz w:val="20"/>
                <w:szCs w:val="20"/>
              </w:rPr>
            </w:pPr>
            <w:r w:rsidRPr="00A92B00">
              <w:rPr>
                <w:sz w:val="20"/>
                <w:szCs w:val="20"/>
              </w:rPr>
              <w:t xml:space="preserve">331,583 </w:t>
            </w:r>
          </w:p>
        </w:tc>
      </w:tr>
      <w:tr w:rsidR="00055C65" w:rsidRPr="00A92B00" w14:paraId="4999DB3F" w14:textId="77777777" w:rsidTr="00507A26">
        <w:tc>
          <w:tcPr>
            <w:tcW w:w="2335" w:type="dxa"/>
            <w:tcBorders>
              <w:left w:val="nil"/>
            </w:tcBorders>
          </w:tcPr>
          <w:p w14:paraId="0DFCE8F6" w14:textId="6F395E9D" w:rsidR="00055C65" w:rsidRPr="00A92B00" w:rsidRDefault="00055C65" w:rsidP="00055C65">
            <w:pPr>
              <w:spacing w:after="0" w:line="240" w:lineRule="auto"/>
              <w:rPr>
                <w:sz w:val="20"/>
                <w:szCs w:val="20"/>
              </w:rPr>
            </w:pPr>
            <w:r w:rsidRPr="00A92B00">
              <w:rPr>
                <w:sz w:val="20"/>
                <w:szCs w:val="20"/>
              </w:rPr>
              <w:t>2059</w:t>
            </w:r>
          </w:p>
        </w:tc>
        <w:tc>
          <w:tcPr>
            <w:tcW w:w="2335" w:type="dxa"/>
          </w:tcPr>
          <w:p w14:paraId="3A81E8EA" w14:textId="06EFA54D" w:rsidR="00055C65" w:rsidRPr="00A92B00" w:rsidRDefault="00055C65" w:rsidP="00055C65">
            <w:pPr>
              <w:spacing w:after="0" w:line="240" w:lineRule="auto"/>
              <w:jc w:val="right"/>
              <w:rPr>
                <w:sz w:val="20"/>
                <w:szCs w:val="20"/>
              </w:rPr>
            </w:pPr>
            <w:r w:rsidRPr="00A92B00">
              <w:rPr>
                <w:sz w:val="20"/>
                <w:szCs w:val="20"/>
              </w:rPr>
              <w:t xml:space="preserve"> $4,837</w:t>
            </w:r>
          </w:p>
        </w:tc>
        <w:tc>
          <w:tcPr>
            <w:tcW w:w="2335" w:type="dxa"/>
          </w:tcPr>
          <w:p w14:paraId="24D13C67" w14:textId="32A51C9E" w:rsidR="00055C65" w:rsidRPr="00A92B00" w:rsidRDefault="00055C65" w:rsidP="00055C65">
            <w:pPr>
              <w:spacing w:after="0" w:line="240" w:lineRule="auto"/>
              <w:jc w:val="right"/>
              <w:rPr>
                <w:sz w:val="20"/>
                <w:szCs w:val="20"/>
              </w:rPr>
            </w:pPr>
            <w:r w:rsidRPr="00A92B00">
              <w:rPr>
                <w:sz w:val="20"/>
                <w:szCs w:val="20"/>
              </w:rPr>
              <w:t xml:space="preserve"> $0.0146</w:t>
            </w:r>
          </w:p>
        </w:tc>
        <w:tc>
          <w:tcPr>
            <w:tcW w:w="2335" w:type="dxa"/>
            <w:tcBorders>
              <w:right w:val="nil"/>
            </w:tcBorders>
          </w:tcPr>
          <w:p w14:paraId="0A07000E" w14:textId="0347A23C" w:rsidR="00055C65" w:rsidRPr="00A92B00" w:rsidRDefault="00055C65" w:rsidP="00055C65">
            <w:pPr>
              <w:spacing w:after="0" w:line="240" w:lineRule="auto"/>
              <w:jc w:val="right"/>
              <w:rPr>
                <w:sz w:val="20"/>
                <w:szCs w:val="20"/>
              </w:rPr>
            </w:pPr>
            <w:r w:rsidRPr="00A92B00">
              <w:rPr>
                <w:sz w:val="20"/>
                <w:szCs w:val="20"/>
              </w:rPr>
              <w:t xml:space="preserve">331,583 </w:t>
            </w:r>
          </w:p>
        </w:tc>
      </w:tr>
      <w:tr w:rsidR="00055C65" w:rsidRPr="00A92B00" w14:paraId="7B234FFA" w14:textId="77777777" w:rsidTr="00507A26">
        <w:tc>
          <w:tcPr>
            <w:tcW w:w="2335" w:type="dxa"/>
            <w:tcBorders>
              <w:left w:val="nil"/>
            </w:tcBorders>
          </w:tcPr>
          <w:p w14:paraId="2E7CE8A3" w14:textId="6E277A30" w:rsidR="00055C65" w:rsidRPr="00A92B00" w:rsidRDefault="00055C65" w:rsidP="00055C65">
            <w:pPr>
              <w:spacing w:after="0" w:line="240" w:lineRule="auto"/>
              <w:rPr>
                <w:sz w:val="20"/>
                <w:szCs w:val="20"/>
              </w:rPr>
            </w:pPr>
            <w:r w:rsidRPr="00A92B00">
              <w:rPr>
                <w:sz w:val="20"/>
                <w:szCs w:val="20"/>
              </w:rPr>
              <w:t>2060</w:t>
            </w:r>
          </w:p>
        </w:tc>
        <w:tc>
          <w:tcPr>
            <w:tcW w:w="2335" w:type="dxa"/>
          </w:tcPr>
          <w:p w14:paraId="08F58C83" w14:textId="7B876B96" w:rsidR="00055C65" w:rsidRPr="00A92B00" w:rsidRDefault="00055C65" w:rsidP="00055C65">
            <w:pPr>
              <w:spacing w:after="0" w:line="240" w:lineRule="auto"/>
              <w:jc w:val="right"/>
              <w:rPr>
                <w:sz w:val="20"/>
                <w:szCs w:val="20"/>
              </w:rPr>
            </w:pPr>
            <w:r w:rsidRPr="00A92B00">
              <w:rPr>
                <w:sz w:val="20"/>
                <w:szCs w:val="20"/>
              </w:rPr>
              <w:t xml:space="preserve"> $4,817</w:t>
            </w:r>
          </w:p>
        </w:tc>
        <w:tc>
          <w:tcPr>
            <w:tcW w:w="2335" w:type="dxa"/>
          </w:tcPr>
          <w:p w14:paraId="4F1C2227" w14:textId="15375CD8" w:rsidR="00055C65" w:rsidRPr="00A92B00" w:rsidRDefault="00055C65" w:rsidP="00055C65">
            <w:pPr>
              <w:spacing w:after="0" w:line="240" w:lineRule="auto"/>
              <w:jc w:val="right"/>
              <w:rPr>
                <w:sz w:val="20"/>
                <w:szCs w:val="20"/>
              </w:rPr>
            </w:pPr>
            <w:r w:rsidRPr="00A92B00">
              <w:rPr>
                <w:sz w:val="20"/>
                <w:szCs w:val="20"/>
              </w:rPr>
              <w:t xml:space="preserve"> $0.0145</w:t>
            </w:r>
          </w:p>
        </w:tc>
        <w:tc>
          <w:tcPr>
            <w:tcW w:w="2335" w:type="dxa"/>
            <w:tcBorders>
              <w:right w:val="nil"/>
            </w:tcBorders>
          </w:tcPr>
          <w:p w14:paraId="05572496" w14:textId="07F18DFC" w:rsidR="00055C65" w:rsidRPr="00A92B00" w:rsidRDefault="00055C65" w:rsidP="00055C65">
            <w:pPr>
              <w:spacing w:after="0" w:line="240" w:lineRule="auto"/>
              <w:jc w:val="right"/>
              <w:rPr>
                <w:sz w:val="20"/>
                <w:szCs w:val="20"/>
              </w:rPr>
            </w:pPr>
            <w:r w:rsidRPr="00A92B00">
              <w:rPr>
                <w:sz w:val="20"/>
                <w:szCs w:val="20"/>
              </w:rPr>
              <w:t xml:space="preserve">331,583 </w:t>
            </w:r>
          </w:p>
        </w:tc>
      </w:tr>
      <w:tr w:rsidR="00055C65" w:rsidRPr="00A92B00" w14:paraId="7601574D" w14:textId="77777777" w:rsidTr="00507A26">
        <w:trPr>
          <w:cantSplit/>
        </w:trPr>
        <w:tc>
          <w:tcPr>
            <w:tcW w:w="2335" w:type="dxa"/>
            <w:tcBorders>
              <w:left w:val="nil"/>
            </w:tcBorders>
          </w:tcPr>
          <w:p w14:paraId="14C02096" w14:textId="58E0A2E9" w:rsidR="00055C65" w:rsidRPr="00A92B00" w:rsidRDefault="00055C65" w:rsidP="00055C65">
            <w:pPr>
              <w:spacing w:after="0" w:line="240" w:lineRule="auto"/>
              <w:rPr>
                <w:sz w:val="20"/>
                <w:szCs w:val="20"/>
              </w:rPr>
            </w:pPr>
            <w:r w:rsidRPr="00A92B00">
              <w:rPr>
                <w:sz w:val="20"/>
                <w:szCs w:val="20"/>
              </w:rPr>
              <w:t>2061</w:t>
            </w:r>
          </w:p>
        </w:tc>
        <w:tc>
          <w:tcPr>
            <w:tcW w:w="2335" w:type="dxa"/>
          </w:tcPr>
          <w:p w14:paraId="29AECA39" w14:textId="3CD69E7C" w:rsidR="00055C65" w:rsidRPr="00A92B00" w:rsidRDefault="00055C65" w:rsidP="00055C65">
            <w:pPr>
              <w:spacing w:after="0" w:line="240" w:lineRule="auto"/>
              <w:jc w:val="right"/>
              <w:rPr>
                <w:sz w:val="20"/>
                <w:szCs w:val="20"/>
              </w:rPr>
            </w:pPr>
            <w:r w:rsidRPr="00A92B00">
              <w:rPr>
                <w:sz w:val="20"/>
                <w:szCs w:val="20"/>
              </w:rPr>
              <w:t xml:space="preserve"> $4,797</w:t>
            </w:r>
          </w:p>
        </w:tc>
        <w:tc>
          <w:tcPr>
            <w:tcW w:w="2335" w:type="dxa"/>
          </w:tcPr>
          <w:p w14:paraId="3190BB3C" w14:textId="108ACCB9" w:rsidR="00055C65" w:rsidRPr="00A92B00" w:rsidRDefault="00055C65" w:rsidP="00055C65">
            <w:pPr>
              <w:spacing w:after="0" w:line="240" w:lineRule="auto"/>
              <w:jc w:val="right"/>
              <w:rPr>
                <w:sz w:val="20"/>
                <w:szCs w:val="20"/>
              </w:rPr>
            </w:pPr>
            <w:r w:rsidRPr="00A92B00">
              <w:rPr>
                <w:sz w:val="20"/>
                <w:szCs w:val="20"/>
              </w:rPr>
              <w:t xml:space="preserve"> $0.0145</w:t>
            </w:r>
          </w:p>
        </w:tc>
        <w:tc>
          <w:tcPr>
            <w:tcW w:w="2335" w:type="dxa"/>
            <w:tcBorders>
              <w:right w:val="nil"/>
            </w:tcBorders>
          </w:tcPr>
          <w:p w14:paraId="186BAE10" w14:textId="37DC883C" w:rsidR="00055C65" w:rsidRPr="00A92B00" w:rsidRDefault="00055C65" w:rsidP="00055C65">
            <w:pPr>
              <w:spacing w:after="0" w:line="240" w:lineRule="auto"/>
              <w:jc w:val="right"/>
              <w:rPr>
                <w:sz w:val="20"/>
                <w:szCs w:val="20"/>
              </w:rPr>
            </w:pPr>
            <w:r w:rsidRPr="00A92B00">
              <w:rPr>
                <w:sz w:val="20"/>
                <w:szCs w:val="20"/>
              </w:rPr>
              <w:t xml:space="preserve">331,583 </w:t>
            </w:r>
          </w:p>
        </w:tc>
      </w:tr>
      <w:tr w:rsidR="00055C65" w:rsidRPr="00A92B00" w14:paraId="0722FBB5" w14:textId="77777777" w:rsidTr="00507A26">
        <w:tc>
          <w:tcPr>
            <w:tcW w:w="2335" w:type="dxa"/>
            <w:tcBorders>
              <w:left w:val="nil"/>
            </w:tcBorders>
          </w:tcPr>
          <w:p w14:paraId="2C7F2DB8" w14:textId="22633406" w:rsidR="00055C65" w:rsidRPr="00A92B00" w:rsidRDefault="00055C65" w:rsidP="00055C65">
            <w:pPr>
              <w:spacing w:after="0" w:line="240" w:lineRule="auto"/>
              <w:rPr>
                <w:sz w:val="20"/>
                <w:szCs w:val="20"/>
              </w:rPr>
            </w:pPr>
            <w:r w:rsidRPr="00A92B00">
              <w:rPr>
                <w:sz w:val="20"/>
                <w:szCs w:val="20"/>
              </w:rPr>
              <w:t>2062</w:t>
            </w:r>
          </w:p>
        </w:tc>
        <w:tc>
          <w:tcPr>
            <w:tcW w:w="2335" w:type="dxa"/>
          </w:tcPr>
          <w:p w14:paraId="2609B25A" w14:textId="52CF95EE" w:rsidR="00055C65" w:rsidRPr="00A92B00" w:rsidRDefault="00055C65" w:rsidP="00055C65">
            <w:pPr>
              <w:spacing w:after="0" w:line="240" w:lineRule="auto"/>
              <w:jc w:val="right"/>
              <w:rPr>
                <w:sz w:val="20"/>
                <w:szCs w:val="20"/>
              </w:rPr>
            </w:pPr>
            <w:r w:rsidRPr="00A92B00">
              <w:rPr>
                <w:sz w:val="20"/>
                <w:szCs w:val="20"/>
              </w:rPr>
              <w:t xml:space="preserve"> $4,777</w:t>
            </w:r>
          </w:p>
        </w:tc>
        <w:tc>
          <w:tcPr>
            <w:tcW w:w="2335" w:type="dxa"/>
          </w:tcPr>
          <w:p w14:paraId="5D0BFD9C" w14:textId="00B7BDCE" w:rsidR="00055C65" w:rsidRPr="00A92B00" w:rsidRDefault="00055C65" w:rsidP="00055C65">
            <w:pPr>
              <w:spacing w:after="0" w:line="240" w:lineRule="auto"/>
              <w:jc w:val="right"/>
              <w:rPr>
                <w:sz w:val="20"/>
                <w:szCs w:val="20"/>
              </w:rPr>
            </w:pPr>
            <w:r w:rsidRPr="00A92B00">
              <w:rPr>
                <w:sz w:val="20"/>
                <w:szCs w:val="20"/>
              </w:rPr>
              <w:t xml:space="preserve"> $0.0144</w:t>
            </w:r>
          </w:p>
        </w:tc>
        <w:tc>
          <w:tcPr>
            <w:tcW w:w="2335" w:type="dxa"/>
            <w:tcBorders>
              <w:right w:val="nil"/>
            </w:tcBorders>
          </w:tcPr>
          <w:p w14:paraId="300D3E7D" w14:textId="23F9425B" w:rsidR="00055C65" w:rsidRPr="00A92B00" w:rsidRDefault="00055C65" w:rsidP="00055C65">
            <w:pPr>
              <w:spacing w:after="0" w:line="240" w:lineRule="auto"/>
              <w:jc w:val="right"/>
              <w:rPr>
                <w:sz w:val="20"/>
                <w:szCs w:val="20"/>
              </w:rPr>
            </w:pPr>
            <w:r w:rsidRPr="00A92B00">
              <w:rPr>
                <w:sz w:val="20"/>
                <w:szCs w:val="20"/>
              </w:rPr>
              <w:t xml:space="preserve">331,583 </w:t>
            </w:r>
          </w:p>
        </w:tc>
      </w:tr>
      <w:tr w:rsidR="00055C65" w:rsidRPr="00A92B00" w14:paraId="763327CA" w14:textId="77777777" w:rsidTr="00507A26">
        <w:tc>
          <w:tcPr>
            <w:tcW w:w="2335" w:type="dxa"/>
            <w:tcBorders>
              <w:left w:val="nil"/>
            </w:tcBorders>
          </w:tcPr>
          <w:p w14:paraId="641F0E5E" w14:textId="2C737195" w:rsidR="00055C65" w:rsidRPr="00A92B00" w:rsidRDefault="00055C65" w:rsidP="00055C65">
            <w:pPr>
              <w:spacing w:after="0" w:line="240" w:lineRule="auto"/>
              <w:rPr>
                <w:sz w:val="20"/>
                <w:szCs w:val="20"/>
              </w:rPr>
            </w:pPr>
            <w:r w:rsidRPr="00A92B00">
              <w:rPr>
                <w:sz w:val="20"/>
                <w:szCs w:val="20"/>
              </w:rPr>
              <w:t>2063</w:t>
            </w:r>
          </w:p>
        </w:tc>
        <w:tc>
          <w:tcPr>
            <w:tcW w:w="2335" w:type="dxa"/>
          </w:tcPr>
          <w:p w14:paraId="16770E28" w14:textId="63D91BE9" w:rsidR="00055C65" w:rsidRPr="00A92B00" w:rsidRDefault="00055C65" w:rsidP="00055C65">
            <w:pPr>
              <w:spacing w:after="0" w:line="240" w:lineRule="auto"/>
              <w:jc w:val="right"/>
              <w:rPr>
                <w:sz w:val="20"/>
                <w:szCs w:val="20"/>
              </w:rPr>
            </w:pPr>
            <w:r w:rsidRPr="00A92B00">
              <w:rPr>
                <w:sz w:val="20"/>
                <w:szCs w:val="20"/>
              </w:rPr>
              <w:t xml:space="preserve"> $3,542</w:t>
            </w:r>
          </w:p>
        </w:tc>
        <w:tc>
          <w:tcPr>
            <w:tcW w:w="2335" w:type="dxa"/>
          </w:tcPr>
          <w:p w14:paraId="7066DE7C" w14:textId="1B109360" w:rsidR="00055C65" w:rsidRPr="00A92B00" w:rsidRDefault="00055C65" w:rsidP="00055C65">
            <w:pPr>
              <w:spacing w:after="0" w:line="240" w:lineRule="auto"/>
              <w:jc w:val="right"/>
              <w:rPr>
                <w:sz w:val="20"/>
                <w:szCs w:val="20"/>
              </w:rPr>
            </w:pPr>
            <w:r w:rsidRPr="00A92B00">
              <w:rPr>
                <w:sz w:val="20"/>
                <w:szCs w:val="20"/>
              </w:rPr>
              <w:t xml:space="preserve"> $0.0139</w:t>
            </w:r>
          </w:p>
        </w:tc>
        <w:tc>
          <w:tcPr>
            <w:tcW w:w="2335" w:type="dxa"/>
            <w:tcBorders>
              <w:right w:val="nil"/>
            </w:tcBorders>
          </w:tcPr>
          <w:p w14:paraId="35721F9A" w14:textId="65F27DE0" w:rsidR="00055C65" w:rsidRPr="00A92B00" w:rsidRDefault="00055C65" w:rsidP="00055C65">
            <w:pPr>
              <w:spacing w:after="0" w:line="240" w:lineRule="auto"/>
              <w:jc w:val="right"/>
              <w:rPr>
                <w:sz w:val="20"/>
                <w:szCs w:val="20"/>
              </w:rPr>
            </w:pPr>
            <w:r w:rsidRPr="00A92B00">
              <w:rPr>
                <w:sz w:val="20"/>
                <w:szCs w:val="20"/>
              </w:rPr>
              <w:t xml:space="preserve">254,081 </w:t>
            </w:r>
          </w:p>
        </w:tc>
      </w:tr>
      <w:tr w:rsidR="00055C65" w:rsidRPr="00A92B00" w14:paraId="2ADAFEB9" w14:textId="77777777" w:rsidTr="009B5516">
        <w:tc>
          <w:tcPr>
            <w:tcW w:w="2335" w:type="dxa"/>
            <w:tcBorders>
              <w:left w:val="nil"/>
              <w:bottom w:val="dotted" w:sz="2" w:space="0" w:color="00BAD6"/>
            </w:tcBorders>
          </w:tcPr>
          <w:p w14:paraId="238A7036" w14:textId="22D3D677" w:rsidR="00055C65" w:rsidRPr="00A92B00" w:rsidRDefault="00055C65" w:rsidP="00055C65">
            <w:pPr>
              <w:spacing w:after="0" w:line="240" w:lineRule="auto"/>
              <w:rPr>
                <w:sz w:val="20"/>
                <w:szCs w:val="20"/>
              </w:rPr>
            </w:pPr>
            <w:r w:rsidRPr="00A92B00">
              <w:rPr>
                <w:sz w:val="20"/>
                <w:szCs w:val="20"/>
              </w:rPr>
              <w:t>2064</w:t>
            </w:r>
          </w:p>
        </w:tc>
        <w:tc>
          <w:tcPr>
            <w:tcW w:w="2335" w:type="dxa"/>
            <w:tcBorders>
              <w:bottom w:val="dotted" w:sz="2" w:space="0" w:color="00BAD6"/>
            </w:tcBorders>
          </w:tcPr>
          <w:p w14:paraId="10FF9CF7" w14:textId="33D74FC6" w:rsidR="00055C65" w:rsidRPr="00A92B00" w:rsidRDefault="00055C65" w:rsidP="00055C65">
            <w:pPr>
              <w:spacing w:after="0" w:line="240" w:lineRule="auto"/>
              <w:jc w:val="right"/>
              <w:rPr>
                <w:sz w:val="20"/>
                <w:szCs w:val="20"/>
              </w:rPr>
            </w:pPr>
            <w:r w:rsidRPr="00A92B00">
              <w:rPr>
                <w:sz w:val="20"/>
                <w:szCs w:val="20"/>
              </w:rPr>
              <w:t xml:space="preserve"> $568</w:t>
            </w:r>
          </w:p>
        </w:tc>
        <w:tc>
          <w:tcPr>
            <w:tcW w:w="2335" w:type="dxa"/>
            <w:tcBorders>
              <w:bottom w:val="dotted" w:sz="2" w:space="0" w:color="00BAD6"/>
            </w:tcBorders>
          </w:tcPr>
          <w:p w14:paraId="39355EF0" w14:textId="661C2FC6" w:rsidR="00055C65" w:rsidRPr="00A92B00" w:rsidRDefault="00055C65" w:rsidP="00055C65">
            <w:pPr>
              <w:spacing w:after="0" w:line="240" w:lineRule="auto"/>
              <w:jc w:val="right"/>
              <w:rPr>
                <w:sz w:val="20"/>
                <w:szCs w:val="20"/>
              </w:rPr>
            </w:pPr>
            <w:r w:rsidRPr="00A92B00">
              <w:rPr>
                <w:sz w:val="20"/>
                <w:szCs w:val="20"/>
              </w:rPr>
              <w:t xml:space="preserve"> $0.0094</w:t>
            </w:r>
          </w:p>
        </w:tc>
        <w:tc>
          <w:tcPr>
            <w:tcW w:w="2335" w:type="dxa"/>
            <w:tcBorders>
              <w:bottom w:val="dotted" w:sz="2" w:space="0" w:color="00BAD6"/>
              <w:right w:val="nil"/>
            </w:tcBorders>
          </w:tcPr>
          <w:p w14:paraId="4F87E14C" w14:textId="6261BEC1" w:rsidR="00055C65" w:rsidRPr="00A92B00" w:rsidRDefault="00055C65" w:rsidP="00055C65">
            <w:pPr>
              <w:spacing w:after="0" w:line="240" w:lineRule="auto"/>
              <w:jc w:val="right"/>
              <w:rPr>
                <w:sz w:val="20"/>
                <w:szCs w:val="20"/>
              </w:rPr>
            </w:pPr>
            <w:r w:rsidRPr="00A92B00">
              <w:rPr>
                <w:sz w:val="20"/>
                <w:szCs w:val="20"/>
              </w:rPr>
              <w:t xml:space="preserve">60,652 </w:t>
            </w:r>
          </w:p>
        </w:tc>
      </w:tr>
      <w:tr w:rsidR="00055C65" w:rsidRPr="00A92B00" w14:paraId="43AAF2B5" w14:textId="77777777" w:rsidTr="009B5516">
        <w:tc>
          <w:tcPr>
            <w:tcW w:w="2335" w:type="dxa"/>
            <w:tcBorders>
              <w:top w:val="dotted" w:sz="2" w:space="0" w:color="00BAD6"/>
              <w:left w:val="nil"/>
              <w:bottom w:val="single" w:sz="4" w:space="0" w:color="auto"/>
            </w:tcBorders>
          </w:tcPr>
          <w:p w14:paraId="13EC45B3" w14:textId="1FEF3173" w:rsidR="00055C65" w:rsidRPr="00A92B00" w:rsidRDefault="00055C65" w:rsidP="00055C65">
            <w:pPr>
              <w:spacing w:after="0" w:line="240" w:lineRule="auto"/>
              <w:rPr>
                <w:b/>
                <w:bCs/>
                <w:sz w:val="20"/>
                <w:szCs w:val="20"/>
              </w:rPr>
            </w:pPr>
            <w:r w:rsidRPr="00A92B00">
              <w:rPr>
                <w:b/>
                <w:bCs/>
                <w:sz w:val="20"/>
                <w:szCs w:val="20"/>
              </w:rPr>
              <w:t xml:space="preserve">Total Lifetime Health Benefits </w:t>
            </w:r>
          </w:p>
        </w:tc>
        <w:tc>
          <w:tcPr>
            <w:tcW w:w="2335" w:type="dxa"/>
            <w:tcBorders>
              <w:top w:val="dotted" w:sz="2" w:space="0" w:color="00BAD6"/>
              <w:bottom w:val="single" w:sz="4" w:space="0" w:color="auto"/>
            </w:tcBorders>
          </w:tcPr>
          <w:p w14:paraId="6A3AACC8" w14:textId="234D6E8A" w:rsidR="00055C65" w:rsidRPr="00A92B00" w:rsidRDefault="00055C65" w:rsidP="00055C65">
            <w:pPr>
              <w:spacing w:after="0" w:line="240" w:lineRule="auto"/>
              <w:jc w:val="right"/>
              <w:rPr>
                <w:b/>
                <w:bCs/>
                <w:sz w:val="20"/>
                <w:szCs w:val="20"/>
              </w:rPr>
            </w:pPr>
            <w:r w:rsidRPr="00A92B00">
              <w:rPr>
                <w:b/>
                <w:bCs/>
                <w:sz w:val="20"/>
                <w:szCs w:val="20"/>
              </w:rPr>
              <w:t>$1,219,784,859</w:t>
            </w:r>
          </w:p>
        </w:tc>
        <w:tc>
          <w:tcPr>
            <w:tcW w:w="2335" w:type="dxa"/>
            <w:tcBorders>
              <w:top w:val="dotted" w:sz="2" w:space="0" w:color="00BAD6"/>
              <w:bottom w:val="single" w:sz="4" w:space="0" w:color="auto"/>
            </w:tcBorders>
          </w:tcPr>
          <w:p w14:paraId="68035CCE" w14:textId="63631706" w:rsidR="00055C65" w:rsidRPr="00A92B00" w:rsidRDefault="00055C65" w:rsidP="00055C65">
            <w:pPr>
              <w:spacing w:after="0" w:line="240" w:lineRule="auto"/>
              <w:jc w:val="right"/>
              <w:rPr>
                <w:b/>
                <w:bCs/>
                <w:sz w:val="20"/>
                <w:szCs w:val="20"/>
              </w:rPr>
            </w:pPr>
            <w:r w:rsidRPr="00A92B00">
              <w:rPr>
                <w:b/>
                <w:bCs/>
                <w:sz w:val="20"/>
                <w:szCs w:val="20"/>
              </w:rPr>
              <w:t>$0.0637</w:t>
            </w:r>
          </w:p>
        </w:tc>
        <w:tc>
          <w:tcPr>
            <w:tcW w:w="2335" w:type="dxa"/>
            <w:tcBorders>
              <w:top w:val="dotted" w:sz="2" w:space="0" w:color="00BAD6"/>
              <w:bottom w:val="single" w:sz="4" w:space="0" w:color="auto"/>
              <w:right w:val="nil"/>
            </w:tcBorders>
          </w:tcPr>
          <w:p w14:paraId="640C371B" w14:textId="5B217B2B" w:rsidR="00055C65" w:rsidRPr="00A92B00" w:rsidRDefault="00055C65" w:rsidP="00055C65">
            <w:pPr>
              <w:spacing w:after="0" w:line="240" w:lineRule="auto"/>
              <w:jc w:val="right"/>
              <w:rPr>
                <w:b/>
                <w:bCs/>
                <w:sz w:val="20"/>
                <w:szCs w:val="20"/>
              </w:rPr>
            </w:pPr>
            <w:r w:rsidRPr="00A92B00">
              <w:rPr>
                <w:b/>
                <w:bCs/>
                <w:sz w:val="20"/>
                <w:szCs w:val="20"/>
              </w:rPr>
              <w:t>19,156,864,438</w:t>
            </w:r>
          </w:p>
        </w:tc>
      </w:tr>
    </w:tbl>
    <w:p w14:paraId="0FE07B57" w14:textId="6BC14709" w:rsidR="00025781" w:rsidRDefault="00055C65">
      <w:pPr>
        <w:spacing w:after="0" w:line="240" w:lineRule="auto"/>
        <w:rPr>
          <w:rFonts w:ascii="Aptos Display" w:hAnsi="Aptos Display"/>
          <w:color w:val="000000"/>
          <w:sz w:val="40"/>
          <w:szCs w:val="40"/>
        </w:rPr>
      </w:pPr>
      <w:r w:rsidRPr="00E50A85">
        <w:t xml:space="preserve">Source: </w:t>
      </w:r>
      <w:r w:rsidRPr="00055C65">
        <w:t>Guidehouse analysis of ComEd CY2025 verified program savings.</w:t>
      </w:r>
      <w:bookmarkStart w:id="30" w:name="_Toc227865880"/>
      <w:r w:rsidR="00025781">
        <w:br w:type="page"/>
      </w:r>
    </w:p>
    <w:p w14:paraId="77E512D4" w14:textId="2C673EC9" w:rsidR="002255F7" w:rsidRDefault="002255F7" w:rsidP="00025781">
      <w:pPr>
        <w:pStyle w:val="Heading1"/>
        <w:numPr>
          <w:ilvl w:val="0"/>
          <w:numId w:val="0"/>
        </w:numPr>
      </w:pPr>
      <w:r>
        <w:lastRenderedPageBreak/>
        <w:t>Appendix</w:t>
      </w:r>
    </w:p>
    <w:p w14:paraId="188818FA" w14:textId="117CB2D3" w:rsidR="008B27BC" w:rsidRDefault="008B27BC" w:rsidP="001274C3">
      <w:pPr>
        <w:pStyle w:val="Heading2"/>
        <w:numPr>
          <w:ilvl w:val="0"/>
          <w:numId w:val="0"/>
        </w:numPr>
      </w:pPr>
      <w:r>
        <w:t>Portfolio-Level Carbon Reduction Estimates</w:t>
      </w:r>
      <w:bookmarkEnd w:id="30"/>
    </w:p>
    <w:p w14:paraId="51190A68" w14:textId="520E639E" w:rsidR="00055C65" w:rsidRPr="00055C65" w:rsidRDefault="00375200" w:rsidP="00055C65">
      <w:r>
        <w:fldChar w:fldCharType="begin"/>
      </w:r>
      <w:r>
        <w:instrText xml:space="preserve"> REF _Ref227933029 \h </w:instrText>
      </w:r>
      <w:r>
        <w:fldChar w:fldCharType="separate"/>
      </w:r>
      <w:r>
        <w:t xml:space="preserve">Table </w:t>
      </w:r>
      <w:r>
        <w:rPr>
          <w:noProof/>
        </w:rPr>
        <w:t>4</w:t>
      </w:r>
      <w:r>
        <w:fldChar w:fldCharType="end"/>
      </w:r>
      <w:r>
        <w:t xml:space="preserve"> </w:t>
      </w:r>
      <w:r w:rsidR="00055C65" w:rsidRPr="00055C65">
        <w:t>presents the CO</w:t>
      </w:r>
      <w:r w:rsidR="00055C65" w:rsidRPr="00055C65">
        <w:rPr>
          <w:vertAlign w:val="subscript"/>
        </w:rPr>
        <w:t>2</w:t>
      </w:r>
      <w:r w:rsidR="00055C65" w:rsidRPr="00055C65">
        <w:t xml:space="preserve"> reduction estimates for 2025-2064. The CO</w:t>
      </w:r>
      <w:r w:rsidR="00055C65" w:rsidRPr="00055C65">
        <w:rPr>
          <w:vertAlign w:val="subscript"/>
        </w:rPr>
        <w:t>2</w:t>
      </w:r>
      <w:r w:rsidR="00055C65" w:rsidRPr="00055C65">
        <w:t xml:space="preserve"> reduction estimates are produced by AVERT and adjusted by </w:t>
      </w:r>
      <w:proofErr w:type="spellStart"/>
      <w:r w:rsidR="00055C65" w:rsidRPr="00055C65">
        <w:t>Guidehouse’s</w:t>
      </w:r>
      <w:proofErr w:type="spellEnd"/>
      <w:r w:rsidR="00055C65" w:rsidRPr="00055C65">
        <w:t xml:space="preserve"> reduction factors described in </w:t>
      </w:r>
      <w:r>
        <w:fldChar w:fldCharType="begin"/>
      </w:r>
      <w:r>
        <w:instrText xml:space="preserve"> REF _Ref227933083 \h </w:instrText>
      </w:r>
      <w:r>
        <w:fldChar w:fldCharType="separate"/>
      </w:r>
      <w:r>
        <w:t>Estimation of Societal NEIs</w:t>
      </w:r>
      <w:r>
        <w:fldChar w:fldCharType="end"/>
      </w:r>
      <w:r>
        <w:t xml:space="preserve"> </w:t>
      </w:r>
      <w:r w:rsidR="00055C65" w:rsidRPr="00055C65">
        <w:t>section.</w:t>
      </w:r>
      <w:r w:rsidR="00EA2A2C">
        <w:t xml:space="preserve"> </w:t>
      </w:r>
      <w:r w:rsidR="00EA2A2C" w:rsidRPr="00055C65">
        <w:t>AVERT estimates CO</w:t>
      </w:r>
      <w:r w:rsidR="00EA2A2C" w:rsidRPr="00055C65">
        <w:rPr>
          <w:vertAlign w:val="subscript"/>
        </w:rPr>
        <w:t>2</w:t>
      </w:r>
      <w:r w:rsidR="00EA2A2C" w:rsidRPr="00055C65">
        <w:t xml:space="preserve"> emission rates, but those estimates are not used in the COBRA analysis to determine </w:t>
      </w:r>
      <w:r w:rsidR="00D33402">
        <w:t xml:space="preserve">societal </w:t>
      </w:r>
      <w:r w:rsidR="00EA2A2C" w:rsidRPr="00055C65">
        <w:t>health benefits.</w:t>
      </w:r>
      <w:r w:rsidR="00D33402">
        <w:rPr>
          <w:rStyle w:val="FootnoteReference"/>
        </w:rPr>
        <w:footnoteReference w:id="26"/>
      </w:r>
    </w:p>
    <w:p w14:paraId="6F30B296" w14:textId="77D037BC" w:rsidR="00055C65" w:rsidRDefault="00055C65" w:rsidP="00082647">
      <w:pPr>
        <w:pStyle w:val="Caption"/>
        <w:spacing w:after="0"/>
      </w:pPr>
      <w:bookmarkStart w:id="31" w:name="_Toc227865862"/>
      <w:bookmarkStart w:id="32" w:name="_Ref227933029"/>
      <w:r>
        <w:t xml:space="preserve">Table </w:t>
      </w:r>
      <w:fldSimple w:instr=" SEQ Table \* ARABIC ">
        <w:r>
          <w:rPr>
            <w:noProof/>
          </w:rPr>
          <w:t>4</w:t>
        </w:r>
      </w:fldSimple>
      <w:bookmarkEnd w:id="32"/>
      <w:r>
        <w:t xml:space="preserve">. </w:t>
      </w:r>
      <w:r w:rsidRPr="00055C65">
        <w:t xml:space="preserve">CY2025 Annual Portfolio-Level </w:t>
      </w:r>
      <w:r>
        <w:t>Carbon Reduction</w:t>
      </w:r>
      <w:r w:rsidRPr="00055C65">
        <w:t xml:space="preserve"> Estimates</w:t>
      </w:r>
      <w:bookmarkEnd w:id="31"/>
    </w:p>
    <w:tbl>
      <w:tblPr>
        <w:tblW w:w="0" w:type="auto"/>
        <w:tblBorders>
          <w:insideH w:val="dotted" w:sz="2" w:space="0" w:color="00BAD6"/>
        </w:tblBorders>
        <w:tblLook w:val="04A0" w:firstRow="1" w:lastRow="0" w:firstColumn="1" w:lastColumn="0" w:noHBand="0" w:noVBand="1"/>
      </w:tblPr>
      <w:tblGrid>
        <w:gridCol w:w="2335"/>
        <w:gridCol w:w="2335"/>
        <w:gridCol w:w="2335"/>
        <w:gridCol w:w="2335"/>
      </w:tblGrid>
      <w:tr w:rsidR="00055C65" w:rsidRPr="009B5516" w14:paraId="7B7B972E" w14:textId="77777777" w:rsidTr="009B5516">
        <w:trPr>
          <w:cantSplit/>
          <w:tblHeader/>
        </w:trPr>
        <w:tc>
          <w:tcPr>
            <w:tcW w:w="2335" w:type="dxa"/>
            <w:tcBorders>
              <w:top w:val="nil"/>
              <w:left w:val="nil"/>
              <w:bottom w:val="single" w:sz="18" w:space="0" w:color="93D500"/>
              <w:right w:val="nil"/>
            </w:tcBorders>
            <w:shd w:val="clear" w:color="auto" w:fill="03647A"/>
          </w:tcPr>
          <w:p w14:paraId="3A4018B5" w14:textId="77777777" w:rsidR="00055C65" w:rsidRPr="009B5516" w:rsidRDefault="00055C65" w:rsidP="00055C65">
            <w:pPr>
              <w:spacing w:after="0" w:line="240" w:lineRule="auto"/>
              <w:rPr>
                <w:b/>
                <w:color w:val="FFFFFF"/>
                <w:sz w:val="20"/>
                <w:szCs w:val="20"/>
              </w:rPr>
            </w:pPr>
            <w:r w:rsidRPr="009B5516">
              <w:rPr>
                <w:b/>
                <w:color w:val="FFFFFF"/>
                <w:sz w:val="20"/>
                <w:szCs w:val="20"/>
              </w:rPr>
              <w:t>Year</w:t>
            </w:r>
          </w:p>
        </w:tc>
        <w:tc>
          <w:tcPr>
            <w:tcW w:w="2335" w:type="dxa"/>
            <w:tcBorders>
              <w:top w:val="nil"/>
              <w:left w:val="nil"/>
              <w:bottom w:val="single" w:sz="18" w:space="0" w:color="93D500"/>
              <w:right w:val="nil"/>
            </w:tcBorders>
            <w:shd w:val="clear" w:color="auto" w:fill="03647A"/>
            <w:vAlign w:val="center"/>
          </w:tcPr>
          <w:p w14:paraId="4800A71A" w14:textId="2C3BB46E" w:rsidR="00055C65" w:rsidRPr="009B5516" w:rsidRDefault="00055C65" w:rsidP="009B5516">
            <w:pPr>
              <w:spacing w:after="0" w:line="240" w:lineRule="auto"/>
              <w:jc w:val="right"/>
              <w:rPr>
                <w:b/>
                <w:color w:val="FFFFFF"/>
                <w:sz w:val="20"/>
                <w:szCs w:val="20"/>
              </w:rPr>
            </w:pPr>
            <w:r w:rsidRPr="009B5516">
              <w:rPr>
                <w:b/>
                <w:color w:val="FFFFFF"/>
                <w:sz w:val="20"/>
                <w:szCs w:val="20"/>
              </w:rPr>
              <w:t>CY2025 Verified Net Lifetime Savings (kWh)</w:t>
            </w:r>
          </w:p>
        </w:tc>
        <w:tc>
          <w:tcPr>
            <w:tcW w:w="2335" w:type="dxa"/>
            <w:tcBorders>
              <w:top w:val="nil"/>
              <w:left w:val="nil"/>
              <w:bottom w:val="single" w:sz="18" w:space="0" w:color="93D500"/>
              <w:right w:val="nil"/>
            </w:tcBorders>
            <w:shd w:val="clear" w:color="auto" w:fill="03647A"/>
            <w:vAlign w:val="center"/>
          </w:tcPr>
          <w:p w14:paraId="5C1777FF" w14:textId="67A09CE3" w:rsidR="00055C65" w:rsidRPr="009B5516" w:rsidRDefault="00055C65" w:rsidP="009B5516">
            <w:pPr>
              <w:spacing w:after="0" w:line="240" w:lineRule="auto"/>
              <w:jc w:val="right"/>
              <w:rPr>
                <w:b/>
                <w:color w:val="FFFFFF"/>
                <w:sz w:val="20"/>
                <w:szCs w:val="20"/>
              </w:rPr>
            </w:pPr>
            <w:r w:rsidRPr="009B5516">
              <w:rPr>
                <w:b/>
                <w:color w:val="FFFFFF"/>
                <w:sz w:val="20"/>
                <w:szCs w:val="20"/>
              </w:rPr>
              <w:t>CY2025 Carbon Reductions (Tons)</w:t>
            </w:r>
          </w:p>
        </w:tc>
        <w:tc>
          <w:tcPr>
            <w:tcW w:w="2335" w:type="dxa"/>
            <w:tcBorders>
              <w:top w:val="nil"/>
              <w:left w:val="nil"/>
              <w:bottom w:val="single" w:sz="18" w:space="0" w:color="93D500"/>
              <w:right w:val="nil"/>
            </w:tcBorders>
            <w:shd w:val="clear" w:color="auto" w:fill="03647A"/>
            <w:vAlign w:val="center"/>
          </w:tcPr>
          <w:p w14:paraId="0B634C87" w14:textId="4858F5F8" w:rsidR="00055C65" w:rsidRPr="009B5516" w:rsidRDefault="00055C65" w:rsidP="009B5516">
            <w:pPr>
              <w:spacing w:after="0" w:line="240" w:lineRule="auto"/>
              <w:jc w:val="right"/>
              <w:rPr>
                <w:b/>
                <w:color w:val="FFFFFF"/>
                <w:sz w:val="20"/>
                <w:szCs w:val="20"/>
              </w:rPr>
            </w:pPr>
            <w:r w:rsidRPr="009B5516">
              <w:rPr>
                <w:b/>
                <w:color w:val="FFFFFF"/>
                <w:sz w:val="20"/>
                <w:szCs w:val="20"/>
              </w:rPr>
              <w:t>CY2025 Carbon Reductions (Tons/MWh)</w:t>
            </w:r>
          </w:p>
        </w:tc>
      </w:tr>
      <w:tr w:rsidR="00055C65" w:rsidRPr="009B5516" w14:paraId="22A95987" w14:textId="77777777" w:rsidTr="009B5516">
        <w:tc>
          <w:tcPr>
            <w:tcW w:w="2335" w:type="dxa"/>
            <w:tcBorders>
              <w:left w:val="nil"/>
            </w:tcBorders>
          </w:tcPr>
          <w:p w14:paraId="4F63AC22" w14:textId="77777777" w:rsidR="00055C65" w:rsidRPr="009B5516" w:rsidRDefault="00055C65" w:rsidP="00055C65">
            <w:pPr>
              <w:spacing w:after="0" w:line="240" w:lineRule="auto"/>
              <w:rPr>
                <w:sz w:val="20"/>
                <w:szCs w:val="20"/>
              </w:rPr>
            </w:pPr>
            <w:r w:rsidRPr="009B5516">
              <w:rPr>
                <w:sz w:val="20"/>
                <w:szCs w:val="20"/>
              </w:rPr>
              <w:t>2025</w:t>
            </w:r>
          </w:p>
        </w:tc>
        <w:tc>
          <w:tcPr>
            <w:tcW w:w="2335" w:type="dxa"/>
            <w:vAlign w:val="center"/>
          </w:tcPr>
          <w:p w14:paraId="3DCF67E6" w14:textId="5C94AE8C" w:rsidR="00055C65" w:rsidRPr="009B5516" w:rsidRDefault="00055C65" w:rsidP="009B5516">
            <w:pPr>
              <w:spacing w:after="0" w:line="240" w:lineRule="auto"/>
              <w:jc w:val="right"/>
              <w:rPr>
                <w:sz w:val="20"/>
                <w:szCs w:val="20"/>
              </w:rPr>
            </w:pPr>
            <w:r w:rsidRPr="009B5516">
              <w:rPr>
                <w:sz w:val="20"/>
                <w:szCs w:val="20"/>
              </w:rPr>
              <w:t>1,626,533,333</w:t>
            </w:r>
          </w:p>
        </w:tc>
        <w:tc>
          <w:tcPr>
            <w:tcW w:w="2335" w:type="dxa"/>
            <w:vAlign w:val="center"/>
          </w:tcPr>
          <w:p w14:paraId="58D1AA56" w14:textId="4286CD6D" w:rsidR="00055C65" w:rsidRPr="009B5516" w:rsidRDefault="00055C65" w:rsidP="009B5516">
            <w:pPr>
              <w:spacing w:after="0" w:line="240" w:lineRule="auto"/>
              <w:jc w:val="right"/>
              <w:rPr>
                <w:sz w:val="20"/>
                <w:szCs w:val="20"/>
              </w:rPr>
            </w:pPr>
            <w:r w:rsidRPr="009B5516">
              <w:rPr>
                <w:sz w:val="20"/>
                <w:szCs w:val="20"/>
              </w:rPr>
              <w:t>1,108,629</w:t>
            </w:r>
          </w:p>
        </w:tc>
        <w:tc>
          <w:tcPr>
            <w:tcW w:w="2335" w:type="dxa"/>
            <w:tcBorders>
              <w:right w:val="nil"/>
            </w:tcBorders>
            <w:vAlign w:val="center"/>
          </w:tcPr>
          <w:p w14:paraId="7E807F87" w14:textId="2DFDECFE" w:rsidR="00055C65" w:rsidRPr="009B5516" w:rsidRDefault="00055C65" w:rsidP="009B5516">
            <w:pPr>
              <w:spacing w:after="0" w:line="240" w:lineRule="auto"/>
              <w:jc w:val="right"/>
              <w:rPr>
                <w:sz w:val="20"/>
                <w:szCs w:val="20"/>
              </w:rPr>
            </w:pPr>
            <w:r w:rsidRPr="009B5516">
              <w:rPr>
                <w:sz w:val="20"/>
                <w:szCs w:val="20"/>
              </w:rPr>
              <w:t>0.6816</w:t>
            </w:r>
          </w:p>
        </w:tc>
      </w:tr>
      <w:tr w:rsidR="00055C65" w:rsidRPr="009B5516" w14:paraId="12060FDD" w14:textId="77777777" w:rsidTr="009B5516">
        <w:tc>
          <w:tcPr>
            <w:tcW w:w="2335" w:type="dxa"/>
            <w:tcBorders>
              <w:left w:val="nil"/>
            </w:tcBorders>
          </w:tcPr>
          <w:p w14:paraId="55DC50B5" w14:textId="77777777" w:rsidR="00055C65" w:rsidRPr="009B5516" w:rsidRDefault="00055C65" w:rsidP="00055C65">
            <w:pPr>
              <w:spacing w:after="0" w:line="240" w:lineRule="auto"/>
              <w:rPr>
                <w:sz w:val="20"/>
                <w:szCs w:val="20"/>
              </w:rPr>
            </w:pPr>
            <w:r w:rsidRPr="009B5516">
              <w:rPr>
                <w:sz w:val="20"/>
                <w:szCs w:val="20"/>
              </w:rPr>
              <w:t>2026</w:t>
            </w:r>
          </w:p>
        </w:tc>
        <w:tc>
          <w:tcPr>
            <w:tcW w:w="2335" w:type="dxa"/>
            <w:vAlign w:val="center"/>
          </w:tcPr>
          <w:p w14:paraId="0011003B" w14:textId="4883981A" w:rsidR="00055C65" w:rsidRPr="009B5516" w:rsidRDefault="00055C65" w:rsidP="009B5516">
            <w:pPr>
              <w:spacing w:after="0" w:line="240" w:lineRule="auto"/>
              <w:jc w:val="right"/>
              <w:rPr>
                <w:sz w:val="20"/>
                <w:szCs w:val="20"/>
              </w:rPr>
            </w:pPr>
            <w:r w:rsidRPr="009B5516">
              <w:rPr>
                <w:sz w:val="20"/>
                <w:szCs w:val="20"/>
              </w:rPr>
              <w:t>1,605,285,126</w:t>
            </w:r>
          </w:p>
        </w:tc>
        <w:tc>
          <w:tcPr>
            <w:tcW w:w="2335" w:type="dxa"/>
            <w:vAlign w:val="center"/>
          </w:tcPr>
          <w:p w14:paraId="27428E0F" w14:textId="6C2850A5" w:rsidR="00055C65" w:rsidRPr="009B5516" w:rsidRDefault="00055C65" w:rsidP="009B5516">
            <w:pPr>
              <w:spacing w:after="0" w:line="240" w:lineRule="auto"/>
              <w:jc w:val="right"/>
              <w:rPr>
                <w:sz w:val="20"/>
                <w:szCs w:val="20"/>
              </w:rPr>
            </w:pPr>
            <w:r w:rsidRPr="009B5516">
              <w:rPr>
                <w:sz w:val="20"/>
                <w:szCs w:val="20"/>
              </w:rPr>
              <w:t>1,094,138</w:t>
            </w:r>
          </w:p>
        </w:tc>
        <w:tc>
          <w:tcPr>
            <w:tcW w:w="2335" w:type="dxa"/>
            <w:tcBorders>
              <w:right w:val="nil"/>
            </w:tcBorders>
            <w:vAlign w:val="center"/>
          </w:tcPr>
          <w:p w14:paraId="3F5098E3" w14:textId="524B4778" w:rsidR="00055C65" w:rsidRPr="009B5516" w:rsidRDefault="00055C65" w:rsidP="009B5516">
            <w:pPr>
              <w:spacing w:after="0" w:line="240" w:lineRule="auto"/>
              <w:jc w:val="right"/>
              <w:rPr>
                <w:sz w:val="20"/>
                <w:szCs w:val="20"/>
              </w:rPr>
            </w:pPr>
            <w:r w:rsidRPr="009B5516">
              <w:rPr>
                <w:sz w:val="20"/>
                <w:szCs w:val="20"/>
              </w:rPr>
              <w:t>0.6816</w:t>
            </w:r>
          </w:p>
        </w:tc>
      </w:tr>
      <w:tr w:rsidR="00055C65" w:rsidRPr="009B5516" w14:paraId="2A096943" w14:textId="77777777" w:rsidTr="009B5516">
        <w:tc>
          <w:tcPr>
            <w:tcW w:w="2335" w:type="dxa"/>
            <w:tcBorders>
              <w:left w:val="nil"/>
            </w:tcBorders>
          </w:tcPr>
          <w:p w14:paraId="0D9B4B22" w14:textId="77777777" w:rsidR="00055C65" w:rsidRPr="009B5516" w:rsidRDefault="00055C65" w:rsidP="00055C65">
            <w:pPr>
              <w:spacing w:after="0" w:line="240" w:lineRule="auto"/>
              <w:rPr>
                <w:sz w:val="20"/>
                <w:szCs w:val="20"/>
              </w:rPr>
            </w:pPr>
            <w:r w:rsidRPr="009B5516">
              <w:rPr>
                <w:sz w:val="20"/>
                <w:szCs w:val="20"/>
              </w:rPr>
              <w:t>2027</w:t>
            </w:r>
          </w:p>
        </w:tc>
        <w:tc>
          <w:tcPr>
            <w:tcW w:w="2335" w:type="dxa"/>
            <w:vAlign w:val="center"/>
          </w:tcPr>
          <w:p w14:paraId="199E1386" w14:textId="61AAB9A8" w:rsidR="00055C65" w:rsidRPr="009B5516" w:rsidRDefault="00055C65" w:rsidP="009B5516">
            <w:pPr>
              <w:spacing w:after="0" w:line="240" w:lineRule="auto"/>
              <w:jc w:val="right"/>
              <w:rPr>
                <w:sz w:val="20"/>
                <w:szCs w:val="20"/>
              </w:rPr>
            </w:pPr>
            <w:r w:rsidRPr="009B5516">
              <w:rPr>
                <w:sz w:val="20"/>
                <w:szCs w:val="20"/>
              </w:rPr>
              <w:t>1,586,263,845</w:t>
            </w:r>
          </w:p>
        </w:tc>
        <w:tc>
          <w:tcPr>
            <w:tcW w:w="2335" w:type="dxa"/>
            <w:vAlign w:val="center"/>
          </w:tcPr>
          <w:p w14:paraId="605FA9AF" w14:textId="624574D9" w:rsidR="00055C65" w:rsidRPr="009B5516" w:rsidRDefault="00055C65" w:rsidP="009B5516">
            <w:pPr>
              <w:spacing w:after="0" w:line="240" w:lineRule="auto"/>
              <w:jc w:val="right"/>
              <w:rPr>
                <w:sz w:val="20"/>
                <w:szCs w:val="20"/>
              </w:rPr>
            </w:pPr>
            <w:r w:rsidRPr="009B5516">
              <w:rPr>
                <w:sz w:val="20"/>
                <w:szCs w:val="20"/>
              </w:rPr>
              <w:t>1,081,166</w:t>
            </w:r>
          </w:p>
        </w:tc>
        <w:tc>
          <w:tcPr>
            <w:tcW w:w="2335" w:type="dxa"/>
            <w:tcBorders>
              <w:right w:val="nil"/>
            </w:tcBorders>
            <w:vAlign w:val="center"/>
          </w:tcPr>
          <w:p w14:paraId="50FD8CA5" w14:textId="5213D3E1" w:rsidR="00055C65" w:rsidRPr="009B5516" w:rsidRDefault="00055C65" w:rsidP="009B5516">
            <w:pPr>
              <w:spacing w:after="0" w:line="240" w:lineRule="auto"/>
              <w:jc w:val="right"/>
              <w:rPr>
                <w:sz w:val="20"/>
                <w:szCs w:val="20"/>
              </w:rPr>
            </w:pPr>
            <w:r w:rsidRPr="009B5516">
              <w:rPr>
                <w:sz w:val="20"/>
                <w:szCs w:val="20"/>
              </w:rPr>
              <w:t>0.6816</w:t>
            </w:r>
          </w:p>
        </w:tc>
      </w:tr>
      <w:tr w:rsidR="00055C65" w:rsidRPr="009B5516" w14:paraId="5D5E944D" w14:textId="77777777" w:rsidTr="009B5516">
        <w:tc>
          <w:tcPr>
            <w:tcW w:w="2335" w:type="dxa"/>
            <w:tcBorders>
              <w:left w:val="nil"/>
            </w:tcBorders>
          </w:tcPr>
          <w:p w14:paraId="46180894" w14:textId="77777777" w:rsidR="00055C65" w:rsidRPr="009B5516" w:rsidRDefault="00055C65" w:rsidP="00055C65">
            <w:pPr>
              <w:spacing w:after="0" w:line="240" w:lineRule="auto"/>
              <w:rPr>
                <w:sz w:val="20"/>
                <w:szCs w:val="20"/>
              </w:rPr>
            </w:pPr>
            <w:r w:rsidRPr="009B5516">
              <w:rPr>
                <w:sz w:val="20"/>
                <w:szCs w:val="20"/>
              </w:rPr>
              <w:t>2028</w:t>
            </w:r>
          </w:p>
        </w:tc>
        <w:tc>
          <w:tcPr>
            <w:tcW w:w="2335" w:type="dxa"/>
            <w:vAlign w:val="center"/>
          </w:tcPr>
          <w:p w14:paraId="230DFC6B" w14:textId="1DA093C2" w:rsidR="00055C65" w:rsidRPr="009B5516" w:rsidRDefault="00055C65" w:rsidP="009B5516">
            <w:pPr>
              <w:spacing w:after="0" w:line="240" w:lineRule="auto"/>
              <w:jc w:val="right"/>
              <w:rPr>
                <w:sz w:val="20"/>
                <w:szCs w:val="20"/>
              </w:rPr>
            </w:pPr>
            <w:r w:rsidRPr="009B5516">
              <w:rPr>
                <w:sz w:val="20"/>
                <w:szCs w:val="20"/>
              </w:rPr>
              <w:t>1,529,675,115</w:t>
            </w:r>
          </w:p>
        </w:tc>
        <w:tc>
          <w:tcPr>
            <w:tcW w:w="2335" w:type="dxa"/>
            <w:vAlign w:val="center"/>
          </w:tcPr>
          <w:p w14:paraId="6A9968DD" w14:textId="2A5E70FE" w:rsidR="00055C65" w:rsidRPr="009B5516" w:rsidRDefault="00055C65" w:rsidP="009B5516">
            <w:pPr>
              <w:spacing w:after="0" w:line="240" w:lineRule="auto"/>
              <w:jc w:val="right"/>
              <w:rPr>
                <w:sz w:val="20"/>
                <w:szCs w:val="20"/>
              </w:rPr>
            </w:pPr>
            <w:r w:rsidRPr="009B5516">
              <w:rPr>
                <w:sz w:val="20"/>
                <w:szCs w:val="20"/>
              </w:rPr>
              <w:t>913,389</w:t>
            </w:r>
          </w:p>
        </w:tc>
        <w:tc>
          <w:tcPr>
            <w:tcW w:w="2335" w:type="dxa"/>
            <w:tcBorders>
              <w:right w:val="nil"/>
            </w:tcBorders>
            <w:vAlign w:val="center"/>
          </w:tcPr>
          <w:p w14:paraId="1A58D7E1" w14:textId="42FF3D89" w:rsidR="00055C65" w:rsidRPr="009B5516" w:rsidRDefault="00055C65" w:rsidP="009B5516">
            <w:pPr>
              <w:spacing w:after="0" w:line="240" w:lineRule="auto"/>
              <w:jc w:val="right"/>
              <w:rPr>
                <w:sz w:val="20"/>
                <w:szCs w:val="20"/>
              </w:rPr>
            </w:pPr>
            <w:r w:rsidRPr="009B5516">
              <w:rPr>
                <w:sz w:val="20"/>
                <w:szCs w:val="20"/>
              </w:rPr>
              <w:t>0.5971</w:t>
            </w:r>
          </w:p>
        </w:tc>
      </w:tr>
      <w:tr w:rsidR="00055C65" w:rsidRPr="009B5516" w14:paraId="13E9BC56" w14:textId="77777777" w:rsidTr="009B5516">
        <w:tc>
          <w:tcPr>
            <w:tcW w:w="2335" w:type="dxa"/>
            <w:tcBorders>
              <w:left w:val="nil"/>
            </w:tcBorders>
          </w:tcPr>
          <w:p w14:paraId="106C2558" w14:textId="77777777" w:rsidR="00055C65" w:rsidRPr="009B5516" w:rsidRDefault="00055C65" w:rsidP="00055C65">
            <w:pPr>
              <w:spacing w:after="0" w:line="240" w:lineRule="auto"/>
              <w:rPr>
                <w:sz w:val="20"/>
                <w:szCs w:val="20"/>
              </w:rPr>
            </w:pPr>
            <w:r w:rsidRPr="009B5516">
              <w:rPr>
                <w:sz w:val="20"/>
                <w:szCs w:val="20"/>
              </w:rPr>
              <w:t>2029</w:t>
            </w:r>
          </w:p>
        </w:tc>
        <w:tc>
          <w:tcPr>
            <w:tcW w:w="2335" w:type="dxa"/>
            <w:vAlign w:val="center"/>
          </w:tcPr>
          <w:p w14:paraId="1FE14C81" w14:textId="04219732" w:rsidR="00055C65" w:rsidRPr="009B5516" w:rsidRDefault="00055C65" w:rsidP="009B5516">
            <w:pPr>
              <w:spacing w:after="0" w:line="240" w:lineRule="auto"/>
              <w:jc w:val="right"/>
              <w:rPr>
                <w:sz w:val="20"/>
                <w:szCs w:val="20"/>
              </w:rPr>
            </w:pPr>
            <w:r w:rsidRPr="009B5516">
              <w:rPr>
                <w:sz w:val="20"/>
                <w:szCs w:val="20"/>
              </w:rPr>
              <w:t>1,514,602,231</w:t>
            </w:r>
          </w:p>
        </w:tc>
        <w:tc>
          <w:tcPr>
            <w:tcW w:w="2335" w:type="dxa"/>
            <w:vAlign w:val="center"/>
          </w:tcPr>
          <w:p w14:paraId="2140B8CC" w14:textId="22E6D4E9" w:rsidR="00055C65" w:rsidRPr="009B5516" w:rsidRDefault="00055C65" w:rsidP="009B5516">
            <w:pPr>
              <w:spacing w:after="0" w:line="240" w:lineRule="auto"/>
              <w:jc w:val="right"/>
              <w:rPr>
                <w:sz w:val="20"/>
                <w:szCs w:val="20"/>
              </w:rPr>
            </w:pPr>
            <w:r w:rsidRPr="009B5516">
              <w:rPr>
                <w:sz w:val="20"/>
                <w:szCs w:val="20"/>
              </w:rPr>
              <w:t>776,473</w:t>
            </w:r>
          </w:p>
        </w:tc>
        <w:tc>
          <w:tcPr>
            <w:tcW w:w="2335" w:type="dxa"/>
            <w:tcBorders>
              <w:right w:val="nil"/>
            </w:tcBorders>
            <w:vAlign w:val="center"/>
          </w:tcPr>
          <w:p w14:paraId="4AFE2BF9" w14:textId="735614DF" w:rsidR="00055C65" w:rsidRPr="009B5516" w:rsidRDefault="00055C65" w:rsidP="009B5516">
            <w:pPr>
              <w:spacing w:after="0" w:line="240" w:lineRule="auto"/>
              <w:jc w:val="right"/>
              <w:rPr>
                <w:sz w:val="20"/>
                <w:szCs w:val="20"/>
              </w:rPr>
            </w:pPr>
            <w:r w:rsidRPr="009B5516">
              <w:rPr>
                <w:sz w:val="20"/>
                <w:szCs w:val="20"/>
              </w:rPr>
              <w:t>0.5127</w:t>
            </w:r>
          </w:p>
        </w:tc>
      </w:tr>
      <w:tr w:rsidR="00055C65" w:rsidRPr="009B5516" w14:paraId="2D2BE98D" w14:textId="77777777" w:rsidTr="009B5516">
        <w:tc>
          <w:tcPr>
            <w:tcW w:w="2335" w:type="dxa"/>
            <w:tcBorders>
              <w:left w:val="nil"/>
            </w:tcBorders>
          </w:tcPr>
          <w:p w14:paraId="08EAF0A9" w14:textId="77777777" w:rsidR="00055C65" w:rsidRPr="009B5516" w:rsidRDefault="00055C65" w:rsidP="00055C65">
            <w:pPr>
              <w:spacing w:after="0" w:line="240" w:lineRule="auto"/>
              <w:rPr>
                <w:sz w:val="20"/>
                <w:szCs w:val="20"/>
              </w:rPr>
            </w:pPr>
            <w:r w:rsidRPr="009B5516">
              <w:rPr>
                <w:sz w:val="20"/>
                <w:szCs w:val="20"/>
              </w:rPr>
              <w:t>2030</w:t>
            </w:r>
          </w:p>
        </w:tc>
        <w:tc>
          <w:tcPr>
            <w:tcW w:w="2335" w:type="dxa"/>
            <w:vAlign w:val="center"/>
          </w:tcPr>
          <w:p w14:paraId="381F2676" w14:textId="0C82AE43" w:rsidR="00055C65" w:rsidRPr="009B5516" w:rsidRDefault="00055C65" w:rsidP="009B5516">
            <w:pPr>
              <w:spacing w:after="0" w:line="240" w:lineRule="auto"/>
              <w:jc w:val="right"/>
              <w:rPr>
                <w:sz w:val="20"/>
                <w:szCs w:val="20"/>
              </w:rPr>
            </w:pPr>
            <w:r w:rsidRPr="009B5516">
              <w:rPr>
                <w:sz w:val="20"/>
                <w:szCs w:val="20"/>
              </w:rPr>
              <w:t>1,499,367,781</w:t>
            </w:r>
          </w:p>
        </w:tc>
        <w:tc>
          <w:tcPr>
            <w:tcW w:w="2335" w:type="dxa"/>
            <w:vAlign w:val="center"/>
          </w:tcPr>
          <w:p w14:paraId="1E135702" w14:textId="72C6BC80" w:rsidR="00055C65" w:rsidRPr="009B5516" w:rsidRDefault="00055C65" w:rsidP="009B5516">
            <w:pPr>
              <w:spacing w:after="0" w:line="240" w:lineRule="auto"/>
              <w:jc w:val="right"/>
              <w:rPr>
                <w:sz w:val="20"/>
                <w:szCs w:val="20"/>
              </w:rPr>
            </w:pPr>
            <w:r w:rsidRPr="009B5516">
              <w:rPr>
                <w:sz w:val="20"/>
                <w:szCs w:val="20"/>
              </w:rPr>
              <w:t>642,034</w:t>
            </w:r>
          </w:p>
        </w:tc>
        <w:tc>
          <w:tcPr>
            <w:tcW w:w="2335" w:type="dxa"/>
            <w:tcBorders>
              <w:right w:val="nil"/>
            </w:tcBorders>
            <w:vAlign w:val="center"/>
          </w:tcPr>
          <w:p w14:paraId="66FDAEE8" w14:textId="21554459" w:rsidR="00055C65" w:rsidRPr="009B5516" w:rsidRDefault="00055C65" w:rsidP="009B5516">
            <w:pPr>
              <w:spacing w:after="0" w:line="240" w:lineRule="auto"/>
              <w:jc w:val="right"/>
              <w:rPr>
                <w:sz w:val="20"/>
                <w:szCs w:val="20"/>
              </w:rPr>
            </w:pPr>
            <w:r w:rsidRPr="009B5516">
              <w:rPr>
                <w:sz w:val="20"/>
                <w:szCs w:val="20"/>
              </w:rPr>
              <w:t>0.4282</w:t>
            </w:r>
          </w:p>
        </w:tc>
      </w:tr>
      <w:tr w:rsidR="00055C65" w:rsidRPr="009B5516" w14:paraId="4D06D905" w14:textId="77777777" w:rsidTr="009B5516">
        <w:tc>
          <w:tcPr>
            <w:tcW w:w="2335" w:type="dxa"/>
            <w:tcBorders>
              <w:left w:val="nil"/>
            </w:tcBorders>
          </w:tcPr>
          <w:p w14:paraId="08AB95F3" w14:textId="77777777" w:rsidR="00055C65" w:rsidRPr="009B5516" w:rsidRDefault="00055C65" w:rsidP="00055C65">
            <w:pPr>
              <w:spacing w:after="0" w:line="240" w:lineRule="auto"/>
              <w:rPr>
                <w:sz w:val="20"/>
                <w:szCs w:val="20"/>
              </w:rPr>
            </w:pPr>
            <w:r w:rsidRPr="009B5516">
              <w:rPr>
                <w:sz w:val="20"/>
                <w:szCs w:val="20"/>
              </w:rPr>
              <w:t>2031</w:t>
            </w:r>
          </w:p>
        </w:tc>
        <w:tc>
          <w:tcPr>
            <w:tcW w:w="2335" w:type="dxa"/>
            <w:vAlign w:val="center"/>
          </w:tcPr>
          <w:p w14:paraId="39A448F2" w14:textId="4D3A5F0E" w:rsidR="00055C65" w:rsidRPr="009B5516" w:rsidRDefault="00055C65" w:rsidP="009B5516">
            <w:pPr>
              <w:spacing w:after="0" w:line="240" w:lineRule="auto"/>
              <w:jc w:val="right"/>
              <w:rPr>
                <w:sz w:val="20"/>
                <w:szCs w:val="20"/>
              </w:rPr>
            </w:pPr>
            <w:r w:rsidRPr="009B5516">
              <w:rPr>
                <w:sz w:val="20"/>
                <w:szCs w:val="20"/>
              </w:rPr>
              <w:t>1,476,903,708</w:t>
            </w:r>
          </w:p>
        </w:tc>
        <w:tc>
          <w:tcPr>
            <w:tcW w:w="2335" w:type="dxa"/>
            <w:vAlign w:val="center"/>
          </w:tcPr>
          <w:p w14:paraId="6E8F3232" w14:textId="4228E64A" w:rsidR="00055C65" w:rsidRPr="009B5516" w:rsidRDefault="00055C65" w:rsidP="009B5516">
            <w:pPr>
              <w:spacing w:after="0" w:line="240" w:lineRule="auto"/>
              <w:jc w:val="right"/>
              <w:rPr>
                <w:sz w:val="20"/>
                <w:szCs w:val="20"/>
              </w:rPr>
            </w:pPr>
            <w:r w:rsidRPr="009B5516">
              <w:rPr>
                <w:sz w:val="20"/>
                <w:szCs w:val="20"/>
              </w:rPr>
              <w:t>612,544</w:t>
            </w:r>
          </w:p>
        </w:tc>
        <w:tc>
          <w:tcPr>
            <w:tcW w:w="2335" w:type="dxa"/>
            <w:tcBorders>
              <w:right w:val="nil"/>
            </w:tcBorders>
            <w:vAlign w:val="center"/>
          </w:tcPr>
          <w:p w14:paraId="0685908B" w14:textId="147F84D3" w:rsidR="00055C65" w:rsidRPr="009B5516" w:rsidRDefault="00055C65" w:rsidP="009B5516">
            <w:pPr>
              <w:spacing w:after="0" w:line="240" w:lineRule="auto"/>
              <w:jc w:val="right"/>
              <w:rPr>
                <w:sz w:val="20"/>
                <w:szCs w:val="20"/>
              </w:rPr>
            </w:pPr>
            <w:r w:rsidRPr="009B5516">
              <w:rPr>
                <w:sz w:val="20"/>
                <w:szCs w:val="20"/>
              </w:rPr>
              <w:t>0.4147</w:t>
            </w:r>
          </w:p>
        </w:tc>
      </w:tr>
      <w:tr w:rsidR="00055C65" w:rsidRPr="009B5516" w14:paraId="2D226B37" w14:textId="77777777" w:rsidTr="009B5516">
        <w:tc>
          <w:tcPr>
            <w:tcW w:w="2335" w:type="dxa"/>
            <w:tcBorders>
              <w:left w:val="nil"/>
            </w:tcBorders>
          </w:tcPr>
          <w:p w14:paraId="1AC07B52" w14:textId="77777777" w:rsidR="00055C65" w:rsidRPr="009B5516" w:rsidRDefault="00055C65" w:rsidP="00055C65">
            <w:pPr>
              <w:spacing w:after="0" w:line="240" w:lineRule="auto"/>
              <w:rPr>
                <w:sz w:val="20"/>
                <w:szCs w:val="20"/>
              </w:rPr>
            </w:pPr>
            <w:r w:rsidRPr="009B5516">
              <w:rPr>
                <w:sz w:val="20"/>
                <w:szCs w:val="20"/>
              </w:rPr>
              <w:t>2032</w:t>
            </w:r>
          </w:p>
        </w:tc>
        <w:tc>
          <w:tcPr>
            <w:tcW w:w="2335" w:type="dxa"/>
            <w:vAlign w:val="center"/>
          </w:tcPr>
          <w:p w14:paraId="6547BED8" w14:textId="36177A14" w:rsidR="00055C65" w:rsidRPr="009B5516" w:rsidRDefault="00055C65" w:rsidP="009B5516">
            <w:pPr>
              <w:spacing w:after="0" w:line="240" w:lineRule="auto"/>
              <w:jc w:val="right"/>
              <w:rPr>
                <w:sz w:val="20"/>
                <w:szCs w:val="20"/>
              </w:rPr>
            </w:pPr>
            <w:r w:rsidRPr="009B5516">
              <w:rPr>
                <w:sz w:val="20"/>
                <w:szCs w:val="20"/>
              </w:rPr>
              <w:t>1,387,218,763</w:t>
            </w:r>
          </w:p>
        </w:tc>
        <w:tc>
          <w:tcPr>
            <w:tcW w:w="2335" w:type="dxa"/>
            <w:vAlign w:val="center"/>
          </w:tcPr>
          <w:p w14:paraId="0C715E4E" w14:textId="1ACEFBE9" w:rsidR="00055C65" w:rsidRPr="009B5516" w:rsidRDefault="00055C65" w:rsidP="009B5516">
            <w:pPr>
              <w:spacing w:after="0" w:line="240" w:lineRule="auto"/>
              <w:jc w:val="right"/>
              <w:rPr>
                <w:sz w:val="20"/>
                <w:szCs w:val="20"/>
              </w:rPr>
            </w:pPr>
            <w:r w:rsidRPr="009B5516">
              <w:rPr>
                <w:sz w:val="20"/>
                <w:szCs w:val="20"/>
              </w:rPr>
              <w:t>556,697</w:t>
            </w:r>
          </w:p>
        </w:tc>
        <w:tc>
          <w:tcPr>
            <w:tcW w:w="2335" w:type="dxa"/>
            <w:tcBorders>
              <w:right w:val="nil"/>
            </w:tcBorders>
            <w:vAlign w:val="center"/>
          </w:tcPr>
          <w:p w14:paraId="743B9725" w14:textId="6221BC4A" w:rsidR="00055C65" w:rsidRPr="009B5516" w:rsidRDefault="00055C65" w:rsidP="009B5516">
            <w:pPr>
              <w:spacing w:after="0" w:line="240" w:lineRule="auto"/>
              <w:jc w:val="right"/>
              <w:rPr>
                <w:sz w:val="20"/>
                <w:szCs w:val="20"/>
              </w:rPr>
            </w:pPr>
            <w:r w:rsidRPr="009B5516">
              <w:rPr>
                <w:sz w:val="20"/>
                <w:szCs w:val="20"/>
              </w:rPr>
              <w:t>0.4013</w:t>
            </w:r>
          </w:p>
        </w:tc>
      </w:tr>
      <w:tr w:rsidR="00055C65" w:rsidRPr="009B5516" w14:paraId="531A190D" w14:textId="77777777" w:rsidTr="009B5516">
        <w:tc>
          <w:tcPr>
            <w:tcW w:w="2335" w:type="dxa"/>
            <w:tcBorders>
              <w:left w:val="nil"/>
            </w:tcBorders>
          </w:tcPr>
          <w:p w14:paraId="1C77F1BA" w14:textId="77777777" w:rsidR="00055C65" w:rsidRPr="009B5516" w:rsidRDefault="00055C65" w:rsidP="00055C65">
            <w:pPr>
              <w:spacing w:after="0" w:line="240" w:lineRule="auto"/>
              <w:rPr>
                <w:sz w:val="20"/>
                <w:szCs w:val="20"/>
              </w:rPr>
            </w:pPr>
            <w:r w:rsidRPr="009B5516">
              <w:rPr>
                <w:sz w:val="20"/>
                <w:szCs w:val="20"/>
              </w:rPr>
              <w:t>2033</w:t>
            </w:r>
          </w:p>
        </w:tc>
        <w:tc>
          <w:tcPr>
            <w:tcW w:w="2335" w:type="dxa"/>
            <w:vAlign w:val="center"/>
          </w:tcPr>
          <w:p w14:paraId="408130C1" w14:textId="2E2B09DB" w:rsidR="00055C65" w:rsidRPr="009B5516" w:rsidRDefault="00055C65" w:rsidP="009B5516">
            <w:pPr>
              <w:spacing w:after="0" w:line="240" w:lineRule="auto"/>
              <w:jc w:val="right"/>
              <w:rPr>
                <w:sz w:val="20"/>
                <w:szCs w:val="20"/>
              </w:rPr>
            </w:pPr>
            <w:r w:rsidRPr="009B5516">
              <w:rPr>
                <w:sz w:val="20"/>
                <w:szCs w:val="20"/>
              </w:rPr>
              <w:t>913,450,172</w:t>
            </w:r>
          </w:p>
        </w:tc>
        <w:tc>
          <w:tcPr>
            <w:tcW w:w="2335" w:type="dxa"/>
            <w:vAlign w:val="center"/>
          </w:tcPr>
          <w:p w14:paraId="37384131" w14:textId="7E2B2EBB" w:rsidR="00055C65" w:rsidRPr="009B5516" w:rsidRDefault="00055C65" w:rsidP="009B5516">
            <w:pPr>
              <w:spacing w:after="0" w:line="240" w:lineRule="auto"/>
              <w:jc w:val="right"/>
              <w:rPr>
                <w:sz w:val="20"/>
                <w:szCs w:val="20"/>
              </w:rPr>
            </w:pPr>
            <w:r w:rsidRPr="009B5516">
              <w:rPr>
                <w:sz w:val="20"/>
                <w:szCs w:val="20"/>
              </w:rPr>
              <w:t>354,311</w:t>
            </w:r>
          </w:p>
        </w:tc>
        <w:tc>
          <w:tcPr>
            <w:tcW w:w="2335" w:type="dxa"/>
            <w:tcBorders>
              <w:right w:val="nil"/>
            </w:tcBorders>
            <w:vAlign w:val="center"/>
          </w:tcPr>
          <w:p w14:paraId="0429CFEB" w14:textId="6CCBFC2E" w:rsidR="00055C65" w:rsidRPr="009B5516" w:rsidRDefault="00055C65" w:rsidP="009B5516">
            <w:pPr>
              <w:spacing w:after="0" w:line="240" w:lineRule="auto"/>
              <w:jc w:val="right"/>
              <w:rPr>
                <w:sz w:val="20"/>
                <w:szCs w:val="20"/>
              </w:rPr>
            </w:pPr>
            <w:r w:rsidRPr="009B5516">
              <w:rPr>
                <w:sz w:val="20"/>
                <w:szCs w:val="20"/>
              </w:rPr>
              <w:t>0.3879</w:t>
            </w:r>
          </w:p>
        </w:tc>
      </w:tr>
      <w:tr w:rsidR="00055C65" w:rsidRPr="009B5516" w14:paraId="436238E3" w14:textId="77777777" w:rsidTr="009B5516">
        <w:tc>
          <w:tcPr>
            <w:tcW w:w="2335" w:type="dxa"/>
            <w:tcBorders>
              <w:left w:val="nil"/>
            </w:tcBorders>
          </w:tcPr>
          <w:p w14:paraId="2B3FE7C8" w14:textId="77777777" w:rsidR="00055C65" w:rsidRPr="009B5516" w:rsidRDefault="00055C65" w:rsidP="00055C65">
            <w:pPr>
              <w:spacing w:after="0" w:line="240" w:lineRule="auto"/>
              <w:rPr>
                <w:sz w:val="20"/>
                <w:szCs w:val="20"/>
              </w:rPr>
            </w:pPr>
            <w:r w:rsidRPr="009B5516">
              <w:rPr>
                <w:sz w:val="20"/>
                <w:szCs w:val="20"/>
              </w:rPr>
              <w:t>2034</w:t>
            </w:r>
          </w:p>
        </w:tc>
        <w:tc>
          <w:tcPr>
            <w:tcW w:w="2335" w:type="dxa"/>
            <w:vAlign w:val="center"/>
          </w:tcPr>
          <w:p w14:paraId="4DABB840" w14:textId="548EE775" w:rsidR="00055C65" w:rsidRPr="009B5516" w:rsidRDefault="00055C65" w:rsidP="009B5516">
            <w:pPr>
              <w:spacing w:after="0" w:line="240" w:lineRule="auto"/>
              <w:jc w:val="right"/>
              <w:rPr>
                <w:sz w:val="20"/>
                <w:szCs w:val="20"/>
              </w:rPr>
            </w:pPr>
            <w:r w:rsidRPr="009B5516">
              <w:rPr>
                <w:sz w:val="20"/>
                <w:szCs w:val="20"/>
              </w:rPr>
              <w:t>874,072,562</w:t>
            </w:r>
          </w:p>
        </w:tc>
        <w:tc>
          <w:tcPr>
            <w:tcW w:w="2335" w:type="dxa"/>
            <w:vAlign w:val="center"/>
          </w:tcPr>
          <w:p w14:paraId="4FC84BDC" w14:textId="3485251E" w:rsidR="00055C65" w:rsidRPr="009B5516" w:rsidRDefault="00055C65" w:rsidP="009B5516">
            <w:pPr>
              <w:spacing w:after="0" w:line="240" w:lineRule="auto"/>
              <w:jc w:val="right"/>
              <w:rPr>
                <w:sz w:val="20"/>
                <w:szCs w:val="20"/>
              </w:rPr>
            </w:pPr>
            <w:r w:rsidRPr="009B5516">
              <w:rPr>
                <w:sz w:val="20"/>
                <w:szCs w:val="20"/>
              </w:rPr>
              <w:t>327,278</w:t>
            </w:r>
          </w:p>
        </w:tc>
        <w:tc>
          <w:tcPr>
            <w:tcW w:w="2335" w:type="dxa"/>
            <w:tcBorders>
              <w:right w:val="nil"/>
            </w:tcBorders>
            <w:vAlign w:val="center"/>
          </w:tcPr>
          <w:p w14:paraId="5213243E" w14:textId="55BF3F07" w:rsidR="00055C65" w:rsidRPr="009B5516" w:rsidRDefault="00055C65" w:rsidP="009B5516">
            <w:pPr>
              <w:spacing w:after="0" w:line="240" w:lineRule="auto"/>
              <w:jc w:val="right"/>
              <w:rPr>
                <w:sz w:val="20"/>
                <w:szCs w:val="20"/>
              </w:rPr>
            </w:pPr>
            <w:r w:rsidRPr="009B5516">
              <w:rPr>
                <w:sz w:val="20"/>
                <w:szCs w:val="20"/>
              </w:rPr>
              <w:t>0.3744</w:t>
            </w:r>
          </w:p>
        </w:tc>
      </w:tr>
      <w:tr w:rsidR="00055C65" w:rsidRPr="009B5516" w14:paraId="47B04372" w14:textId="77777777" w:rsidTr="009B5516">
        <w:tc>
          <w:tcPr>
            <w:tcW w:w="2335" w:type="dxa"/>
            <w:tcBorders>
              <w:left w:val="nil"/>
            </w:tcBorders>
          </w:tcPr>
          <w:p w14:paraId="2A2D388E" w14:textId="77777777" w:rsidR="00055C65" w:rsidRPr="009B5516" w:rsidRDefault="00055C65" w:rsidP="00055C65">
            <w:pPr>
              <w:spacing w:after="0" w:line="240" w:lineRule="auto"/>
              <w:rPr>
                <w:sz w:val="20"/>
                <w:szCs w:val="20"/>
              </w:rPr>
            </w:pPr>
            <w:r w:rsidRPr="009B5516">
              <w:rPr>
                <w:sz w:val="20"/>
                <w:szCs w:val="20"/>
              </w:rPr>
              <w:t>2035</w:t>
            </w:r>
          </w:p>
        </w:tc>
        <w:tc>
          <w:tcPr>
            <w:tcW w:w="2335" w:type="dxa"/>
            <w:vAlign w:val="center"/>
          </w:tcPr>
          <w:p w14:paraId="23DF5C21" w14:textId="25981DE6" w:rsidR="00055C65" w:rsidRPr="009B5516" w:rsidRDefault="00055C65" w:rsidP="009B5516">
            <w:pPr>
              <w:spacing w:after="0" w:line="240" w:lineRule="auto"/>
              <w:jc w:val="right"/>
              <w:rPr>
                <w:sz w:val="20"/>
                <w:szCs w:val="20"/>
              </w:rPr>
            </w:pPr>
            <w:r w:rsidRPr="009B5516">
              <w:rPr>
                <w:sz w:val="20"/>
                <w:szCs w:val="20"/>
              </w:rPr>
              <w:t>840,207,483</w:t>
            </w:r>
          </w:p>
        </w:tc>
        <w:tc>
          <w:tcPr>
            <w:tcW w:w="2335" w:type="dxa"/>
            <w:vAlign w:val="center"/>
          </w:tcPr>
          <w:p w14:paraId="4ADE2ED6" w14:textId="70D1E3EB" w:rsidR="00055C65" w:rsidRPr="009B5516" w:rsidRDefault="00055C65" w:rsidP="009B5516">
            <w:pPr>
              <w:spacing w:after="0" w:line="240" w:lineRule="auto"/>
              <w:jc w:val="right"/>
              <w:rPr>
                <w:sz w:val="20"/>
                <w:szCs w:val="20"/>
              </w:rPr>
            </w:pPr>
            <w:r w:rsidRPr="009B5516">
              <w:rPr>
                <w:sz w:val="20"/>
                <w:szCs w:val="20"/>
              </w:rPr>
              <w:t>303,296</w:t>
            </w:r>
          </w:p>
        </w:tc>
        <w:tc>
          <w:tcPr>
            <w:tcW w:w="2335" w:type="dxa"/>
            <w:tcBorders>
              <w:right w:val="nil"/>
            </w:tcBorders>
            <w:vAlign w:val="center"/>
          </w:tcPr>
          <w:p w14:paraId="48B7A135" w14:textId="253BC249" w:rsidR="00055C65" w:rsidRPr="009B5516" w:rsidRDefault="00055C65" w:rsidP="009B5516">
            <w:pPr>
              <w:spacing w:after="0" w:line="240" w:lineRule="auto"/>
              <w:jc w:val="right"/>
              <w:rPr>
                <w:sz w:val="20"/>
                <w:szCs w:val="20"/>
              </w:rPr>
            </w:pPr>
            <w:r w:rsidRPr="009B5516">
              <w:rPr>
                <w:sz w:val="20"/>
                <w:szCs w:val="20"/>
              </w:rPr>
              <w:t>0.3610</w:t>
            </w:r>
          </w:p>
        </w:tc>
      </w:tr>
      <w:tr w:rsidR="00055C65" w:rsidRPr="009B5516" w14:paraId="400C1F06" w14:textId="77777777" w:rsidTr="009B5516">
        <w:tc>
          <w:tcPr>
            <w:tcW w:w="2335" w:type="dxa"/>
            <w:tcBorders>
              <w:left w:val="nil"/>
            </w:tcBorders>
          </w:tcPr>
          <w:p w14:paraId="50185A68" w14:textId="77777777" w:rsidR="00055C65" w:rsidRPr="009B5516" w:rsidRDefault="00055C65" w:rsidP="00055C65">
            <w:pPr>
              <w:spacing w:after="0" w:line="240" w:lineRule="auto"/>
              <w:rPr>
                <w:sz w:val="20"/>
                <w:szCs w:val="20"/>
              </w:rPr>
            </w:pPr>
            <w:r w:rsidRPr="009B5516">
              <w:rPr>
                <w:sz w:val="20"/>
                <w:szCs w:val="20"/>
              </w:rPr>
              <w:t>2036</w:t>
            </w:r>
          </w:p>
        </w:tc>
        <w:tc>
          <w:tcPr>
            <w:tcW w:w="2335" w:type="dxa"/>
            <w:vAlign w:val="center"/>
          </w:tcPr>
          <w:p w14:paraId="51513A7F" w14:textId="0AE54722" w:rsidR="00055C65" w:rsidRPr="009B5516" w:rsidRDefault="00055C65" w:rsidP="009B5516">
            <w:pPr>
              <w:spacing w:after="0" w:line="240" w:lineRule="auto"/>
              <w:jc w:val="right"/>
              <w:rPr>
                <w:sz w:val="20"/>
                <w:szCs w:val="20"/>
              </w:rPr>
            </w:pPr>
            <w:r w:rsidRPr="009B5516">
              <w:rPr>
                <w:sz w:val="20"/>
                <w:szCs w:val="20"/>
              </w:rPr>
              <w:t>803,815,365</w:t>
            </w:r>
          </w:p>
        </w:tc>
        <w:tc>
          <w:tcPr>
            <w:tcW w:w="2335" w:type="dxa"/>
            <w:vAlign w:val="center"/>
          </w:tcPr>
          <w:p w14:paraId="343DF780" w14:textId="642352EE" w:rsidR="00055C65" w:rsidRPr="009B5516" w:rsidRDefault="00055C65" w:rsidP="009B5516">
            <w:pPr>
              <w:spacing w:after="0" w:line="240" w:lineRule="auto"/>
              <w:jc w:val="right"/>
              <w:rPr>
                <w:sz w:val="20"/>
                <w:szCs w:val="20"/>
              </w:rPr>
            </w:pPr>
            <w:r w:rsidRPr="009B5516">
              <w:rPr>
                <w:sz w:val="20"/>
                <w:szCs w:val="20"/>
              </w:rPr>
              <w:t>286,910</w:t>
            </w:r>
          </w:p>
        </w:tc>
        <w:tc>
          <w:tcPr>
            <w:tcW w:w="2335" w:type="dxa"/>
            <w:tcBorders>
              <w:right w:val="nil"/>
            </w:tcBorders>
            <w:vAlign w:val="center"/>
          </w:tcPr>
          <w:p w14:paraId="484CA96A" w14:textId="4E3FE7BD" w:rsidR="00055C65" w:rsidRPr="009B5516" w:rsidRDefault="00055C65" w:rsidP="009B5516">
            <w:pPr>
              <w:spacing w:after="0" w:line="240" w:lineRule="auto"/>
              <w:jc w:val="right"/>
              <w:rPr>
                <w:sz w:val="20"/>
                <w:szCs w:val="20"/>
              </w:rPr>
            </w:pPr>
            <w:r w:rsidRPr="009B5516">
              <w:rPr>
                <w:sz w:val="20"/>
                <w:szCs w:val="20"/>
              </w:rPr>
              <w:t>0.3569</w:t>
            </w:r>
          </w:p>
        </w:tc>
      </w:tr>
      <w:tr w:rsidR="00055C65" w:rsidRPr="009B5516" w14:paraId="1030164E" w14:textId="77777777" w:rsidTr="009B5516">
        <w:tc>
          <w:tcPr>
            <w:tcW w:w="2335" w:type="dxa"/>
            <w:tcBorders>
              <w:left w:val="nil"/>
            </w:tcBorders>
          </w:tcPr>
          <w:p w14:paraId="2C0F0904" w14:textId="77777777" w:rsidR="00055C65" w:rsidRPr="009B5516" w:rsidRDefault="00055C65" w:rsidP="00055C65">
            <w:pPr>
              <w:spacing w:after="0" w:line="240" w:lineRule="auto"/>
              <w:rPr>
                <w:sz w:val="20"/>
                <w:szCs w:val="20"/>
              </w:rPr>
            </w:pPr>
            <w:r w:rsidRPr="009B5516">
              <w:rPr>
                <w:sz w:val="20"/>
                <w:szCs w:val="20"/>
              </w:rPr>
              <w:t>2037</w:t>
            </w:r>
          </w:p>
        </w:tc>
        <w:tc>
          <w:tcPr>
            <w:tcW w:w="2335" w:type="dxa"/>
            <w:vAlign w:val="center"/>
          </w:tcPr>
          <w:p w14:paraId="57D99E24" w14:textId="160D92AA" w:rsidR="00055C65" w:rsidRPr="009B5516" w:rsidRDefault="00055C65" w:rsidP="009B5516">
            <w:pPr>
              <w:spacing w:after="0" w:line="240" w:lineRule="auto"/>
              <w:jc w:val="right"/>
              <w:rPr>
                <w:sz w:val="20"/>
                <w:szCs w:val="20"/>
              </w:rPr>
            </w:pPr>
            <w:r w:rsidRPr="009B5516">
              <w:rPr>
                <w:sz w:val="20"/>
                <w:szCs w:val="20"/>
              </w:rPr>
              <w:t>779,260,568</w:t>
            </w:r>
          </w:p>
        </w:tc>
        <w:tc>
          <w:tcPr>
            <w:tcW w:w="2335" w:type="dxa"/>
            <w:vAlign w:val="center"/>
          </w:tcPr>
          <w:p w14:paraId="5294B40D" w14:textId="69F37DD9" w:rsidR="00055C65" w:rsidRPr="009B5516" w:rsidRDefault="00055C65" w:rsidP="009B5516">
            <w:pPr>
              <w:spacing w:after="0" w:line="240" w:lineRule="auto"/>
              <w:jc w:val="right"/>
              <w:rPr>
                <w:sz w:val="20"/>
                <w:szCs w:val="20"/>
              </w:rPr>
            </w:pPr>
            <w:r w:rsidRPr="009B5516">
              <w:rPr>
                <w:sz w:val="20"/>
                <w:szCs w:val="20"/>
              </w:rPr>
              <w:t>274,999</w:t>
            </w:r>
          </w:p>
        </w:tc>
        <w:tc>
          <w:tcPr>
            <w:tcW w:w="2335" w:type="dxa"/>
            <w:tcBorders>
              <w:right w:val="nil"/>
            </w:tcBorders>
            <w:vAlign w:val="center"/>
          </w:tcPr>
          <w:p w14:paraId="2DCC42EC" w14:textId="1B7E0DD2" w:rsidR="00055C65" w:rsidRPr="009B5516" w:rsidRDefault="00055C65" w:rsidP="009B5516">
            <w:pPr>
              <w:spacing w:after="0" w:line="240" w:lineRule="auto"/>
              <w:jc w:val="right"/>
              <w:rPr>
                <w:sz w:val="20"/>
                <w:szCs w:val="20"/>
              </w:rPr>
            </w:pPr>
            <w:r w:rsidRPr="009B5516">
              <w:rPr>
                <w:sz w:val="20"/>
                <w:szCs w:val="20"/>
              </w:rPr>
              <w:t>0.3529</w:t>
            </w:r>
          </w:p>
        </w:tc>
      </w:tr>
      <w:tr w:rsidR="00055C65" w:rsidRPr="009B5516" w14:paraId="51E4AC26" w14:textId="77777777" w:rsidTr="009B5516">
        <w:tc>
          <w:tcPr>
            <w:tcW w:w="2335" w:type="dxa"/>
            <w:tcBorders>
              <w:left w:val="nil"/>
            </w:tcBorders>
          </w:tcPr>
          <w:p w14:paraId="1FD45527" w14:textId="77777777" w:rsidR="00055C65" w:rsidRPr="009B5516" w:rsidRDefault="00055C65" w:rsidP="00055C65">
            <w:pPr>
              <w:spacing w:after="0" w:line="240" w:lineRule="auto"/>
              <w:rPr>
                <w:sz w:val="20"/>
                <w:szCs w:val="20"/>
              </w:rPr>
            </w:pPr>
            <w:r w:rsidRPr="009B5516">
              <w:rPr>
                <w:sz w:val="20"/>
                <w:szCs w:val="20"/>
              </w:rPr>
              <w:t>2038</w:t>
            </w:r>
          </w:p>
        </w:tc>
        <w:tc>
          <w:tcPr>
            <w:tcW w:w="2335" w:type="dxa"/>
            <w:vAlign w:val="center"/>
          </w:tcPr>
          <w:p w14:paraId="2FD37017" w14:textId="726145B9" w:rsidR="00055C65" w:rsidRPr="009B5516" w:rsidRDefault="00055C65" w:rsidP="009B5516">
            <w:pPr>
              <w:spacing w:after="0" w:line="240" w:lineRule="auto"/>
              <w:jc w:val="right"/>
              <w:rPr>
                <w:sz w:val="20"/>
                <w:szCs w:val="20"/>
              </w:rPr>
            </w:pPr>
            <w:r w:rsidRPr="009B5516">
              <w:rPr>
                <w:sz w:val="20"/>
                <w:szCs w:val="20"/>
              </w:rPr>
              <w:t>745,122,444</w:t>
            </w:r>
          </w:p>
        </w:tc>
        <w:tc>
          <w:tcPr>
            <w:tcW w:w="2335" w:type="dxa"/>
            <w:vAlign w:val="center"/>
          </w:tcPr>
          <w:p w14:paraId="5D8001AA" w14:textId="1D775247" w:rsidR="00055C65" w:rsidRPr="009B5516" w:rsidRDefault="00055C65" w:rsidP="009B5516">
            <w:pPr>
              <w:spacing w:after="0" w:line="240" w:lineRule="auto"/>
              <w:jc w:val="right"/>
              <w:rPr>
                <w:sz w:val="20"/>
                <w:szCs w:val="20"/>
              </w:rPr>
            </w:pPr>
            <w:r w:rsidRPr="009B5516">
              <w:rPr>
                <w:sz w:val="20"/>
                <w:szCs w:val="20"/>
              </w:rPr>
              <w:t>259,951</w:t>
            </w:r>
          </w:p>
        </w:tc>
        <w:tc>
          <w:tcPr>
            <w:tcW w:w="2335" w:type="dxa"/>
            <w:tcBorders>
              <w:right w:val="nil"/>
            </w:tcBorders>
            <w:vAlign w:val="center"/>
          </w:tcPr>
          <w:p w14:paraId="12CCB266" w14:textId="39EAF472" w:rsidR="00055C65" w:rsidRPr="009B5516" w:rsidRDefault="00055C65" w:rsidP="009B5516">
            <w:pPr>
              <w:spacing w:after="0" w:line="240" w:lineRule="auto"/>
              <w:jc w:val="right"/>
              <w:rPr>
                <w:sz w:val="20"/>
                <w:szCs w:val="20"/>
              </w:rPr>
            </w:pPr>
            <w:r w:rsidRPr="009B5516">
              <w:rPr>
                <w:sz w:val="20"/>
                <w:szCs w:val="20"/>
              </w:rPr>
              <w:t>0.3489</w:t>
            </w:r>
          </w:p>
        </w:tc>
      </w:tr>
      <w:tr w:rsidR="00055C65" w:rsidRPr="009B5516" w14:paraId="06BB9AE6" w14:textId="77777777" w:rsidTr="009B5516">
        <w:tc>
          <w:tcPr>
            <w:tcW w:w="2335" w:type="dxa"/>
            <w:tcBorders>
              <w:left w:val="nil"/>
            </w:tcBorders>
          </w:tcPr>
          <w:p w14:paraId="4CAD1761" w14:textId="77777777" w:rsidR="00055C65" w:rsidRPr="009B5516" w:rsidRDefault="00055C65" w:rsidP="00055C65">
            <w:pPr>
              <w:spacing w:after="0" w:line="240" w:lineRule="auto"/>
              <w:rPr>
                <w:sz w:val="20"/>
                <w:szCs w:val="20"/>
              </w:rPr>
            </w:pPr>
            <w:r w:rsidRPr="009B5516">
              <w:rPr>
                <w:sz w:val="20"/>
                <w:szCs w:val="20"/>
              </w:rPr>
              <w:t>2039</w:t>
            </w:r>
          </w:p>
        </w:tc>
        <w:tc>
          <w:tcPr>
            <w:tcW w:w="2335" w:type="dxa"/>
            <w:vAlign w:val="center"/>
          </w:tcPr>
          <w:p w14:paraId="2766BB75" w14:textId="51E043CC" w:rsidR="00055C65" w:rsidRPr="009B5516" w:rsidRDefault="00055C65" w:rsidP="009B5516">
            <w:pPr>
              <w:spacing w:after="0" w:line="240" w:lineRule="auto"/>
              <w:jc w:val="right"/>
              <w:rPr>
                <w:sz w:val="20"/>
                <w:szCs w:val="20"/>
              </w:rPr>
            </w:pPr>
            <w:r w:rsidRPr="009B5516">
              <w:rPr>
                <w:sz w:val="20"/>
                <w:szCs w:val="20"/>
              </w:rPr>
              <w:t>731,996,443</w:t>
            </w:r>
          </w:p>
        </w:tc>
        <w:tc>
          <w:tcPr>
            <w:tcW w:w="2335" w:type="dxa"/>
            <w:vAlign w:val="center"/>
          </w:tcPr>
          <w:p w14:paraId="2B323B77" w14:textId="458F7CFD" w:rsidR="00055C65" w:rsidRPr="009B5516" w:rsidRDefault="00055C65" w:rsidP="009B5516">
            <w:pPr>
              <w:spacing w:after="0" w:line="240" w:lineRule="auto"/>
              <w:jc w:val="right"/>
              <w:rPr>
                <w:sz w:val="20"/>
                <w:szCs w:val="20"/>
              </w:rPr>
            </w:pPr>
            <w:r w:rsidRPr="009B5516">
              <w:rPr>
                <w:sz w:val="20"/>
                <w:szCs w:val="20"/>
              </w:rPr>
              <w:t>252,415</w:t>
            </w:r>
          </w:p>
        </w:tc>
        <w:tc>
          <w:tcPr>
            <w:tcW w:w="2335" w:type="dxa"/>
            <w:tcBorders>
              <w:right w:val="nil"/>
            </w:tcBorders>
            <w:vAlign w:val="center"/>
          </w:tcPr>
          <w:p w14:paraId="41201467" w14:textId="540421A8" w:rsidR="00055C65" w:rsidRPr="009B5516" w:rsidRDefault="00055C65" w:rsidP="009B5516">
            <w:pPr>
              <w:spacing w:after="0" w:line="240" w:lineRule="auto"/>
              <w:jc w:val="right"/>
              <w:rPr>
                <w:sz w:val="20"/>
                <w:szCs w:val="20"/>
              </w:rPr>
            </w:pPr>
            <w:r w:rsidRPr="009B5516">
              <w:rPr>
                <w:sz w:val="20"/>
                <w:szCs w:val="20"/>
              </w:rPr>
              <w:t>0.3448</w:t>
            </w:r>
          </w:p>
        </w:tc>
      </w:tr>
      <w:tr w:rsidR="00055C65" w:rsidRPr="009B5516" w14:paraId="1249C415" w14:textId="77777777" w:rsidTr="009B5516">
        <w:tc>
          <w:tcPr>
            <w:tcW w:w="2335" w:type="dxa"/>
            <w:tcBorders>
              <w:left w:val="nil"/>
            </w:tcBorders>
          </w:tcPr>
          <w:p w14:paraId="6632171C" w14:textId="77777777" w:rsidR="00055C65" w:rsidRPr="009B5516" w:rsidRDefault="00055C65" w:rsidP="00055C65">
            <w:pPr>
              <w:spacing w:after="0" w:line="240" w:lineRule="auto"/>
              <w:rPr>
                <w:sz w:val="20"/>
                <w:szCs w:val="20"/>
              </w:rPr>
            </w:pPr>
            <w:r w:rsidRPr="009B5516">
              <w:rPr>
                <w:sz w:val="20"/>
                <w:szCs w:val="20"/>
              </w:rPr>
              <w:t>2040</w:t>
            </w:r>
          </w:p>
        </w:tc>
        <w:tc>
          <w:tcPr>
            <w:tcW w:w="2335" w:type="dxa"/>
            <w:vAlign w:val="center"/>
          </w:tcPr>
          <w:p w14:paraId="2AAD77CC" w14:textId="1739597C" w:rsidR="00055C65" w:rsidRPr="009B5516" w:rsidRDefault="00055C65" w:rsidP="009B5516">
            <w:pPr>
              <w:spacing w:after="0" w:line="240" w:lineRule="auto"/>
              <w:jc w:val="right"/>
              <w:rPr>
                <w:sz w:val="20"/>
                <w:szCs w:val="20"/>
              </w:rPr>
            </w:pPr>
            <w:r w:rsidRPr="009B5516">
              <w:rPr>
                <w:sz w:val="20"/>
                <w:szCs w:val="20"/>
              </w:rPr>
              <w:t>280,798,236</w:t>
            </w:r>
          </w:p>
        </w:tc>
        <w:tc>
          <w:tcPr>
            <w:tcW w:w="2335" w:type="dxa"/>
            <w:vAlign w:val="center"/>
          </w:tcPr>
          <w:p w14:paraId="5BD992CB" w14:textId="136E54EA" w:rsidR="00055C65" w:rsidRPr="009B5516" w:rsidRDefault="00055C65" w:rsidP="009B5516">
            <w:pPr>
              <w:spacing w:after="0" w:line="240" w:lineRule="auto"/>
              <w:jc w:val="right"/>
              <w:rPr>
                <w:sz w:val="20"/>
                <w:szCs w:val="20"/>
              </w:rPr>
            </w:pPr>
            <w:r w:rsidRPr="009B5516">
              <w:rPr>
                <w:sz w:val="20"/>
                <w:szCs w:val="20"/>
              </w:rPr>
              <w:t>95,721</w:t>
            </w:r>
          </w:p>
        </w:tc>
        <w:tc>
          <w:tcPr>
            <w:tcW w:w="2335" w:type="dxa"/>
            <w:tcBorders>
              <w:right w:val="nil"/>
            </w:tcBorders>
            <w:vAlign w:val="center"/>
          </w:tcPr>
          <w:p w14:paraId="44E14CBD" w14:textId="11798319" w:rsidR="00055C65" w:rsidRPr="009B5516" w:rsidRDefault="00055C65" w:rsidP="009B5516">
            <w:pPr>
              <w:spacing w:after="0" w:line="240" w:lineRule="auto"/>
              <w:jc w:val="right"/>
              <w:rPr>
                <w:sz w:val="20"/>
                <w:szCs w:val="20"/>
              </w:rPr>
            </w:pPr>
            <w:r w:rsidRPr="009B5516">
              <w:rPr>
                <w:sz w:val="20"/>
                <w:szCs w:val="20"/>
              </w:rPr>
              <w:t>0.3409</w:t>
            </w:r>
          </w:p>
        </w:tc>
      </w:tr>
      <w:tr w:rsidR="00055C65" w:rsidRPr="009B5516" w14:paraId="12572807" w14:textId="77777777" w:rsidTr="009B5516">
        <w:tc>
          <w:tcPr>
            <w:tcW w:w="2335" w:type="dxa"/>
            <w:tcBorders>
              <w:left w:val="nil"/>
            </w:tcBorders>
          </w:tcPr>
          <w:p w14:paraId="32F40FCE" w14:textId="77777777" w:rsidR="00055C65" w:rsidRPr="009B5516" w:rsidRDefault="00055C65" w:rsidP="00055C65">
            <w:pPr>
              <w:spacing w:after="0" w:line="240" w:lineRule="auto"/>
              <w:rPr>
                <w:sz w:val="20"/>
                <w:szCs w:val="20"/>
              </w:rPr>
            </w:pPr>
            <w:r w:rsidRPr="009B5516">
              <w:rPr>
                <w:sz w:val="20"/>
                <w:szCs w:val="20"/>
              </w:rPr>
              <w:t>2041</w:t>
            </w:r>
          </w:p>
        </w:tc>
        <w:tc>
          <w:tcPr>
            <w:tcW w:w="2335" w:type="dxa"/>
            <w:vAlign w:val="center"/>
          </w:tcPr>
          <w:p w14:paraId="580F11D3" w14:textId="77B3867F" w:rsidR="00055C65" w:rsidRPr="009B5516" w:rsidRDefault="00055C65" w:rsidP="009B5516">
            <w:pPr>
              <w:spacing w:after="0" w:line="240" w:lineRule="auto"/>
              <w:jc w:val="right"/>
              <w:rPr>
                <w:sz w:val="20"/>
                <w:szCs w:val="20"/>
              </w:rPr>
            </w:pPr>
            <w:r w:rsidRPr="009B5516">
              <w:rPr>
                <w:sz w:val="20"/>
                <w:szCs w:val="20"/>
              </w:rPr>
              <w:t>203,841,646</w:t>
            </w:r>
          </w:p>
        </w:tc>
        <w:tc>
          <w:tcPr>
            <w:tcW w:w="2335" w:type="dxa"/>
            <w:vAlign w:val="center"/>
          </w:tcPr>
          <w:p w14:paraId="552BAA23" w14:textId="3464F515" w:rsidR="00055C65" w:rsidRPr="009B5516" w:rsidRDefault="00055C65" w:rsidP="009B5516">
            <w:pPr>
              <w:spacing w:after="0" w:line="240" w:lineRule="auto"/>
              <w:jc w:val="right"/>
              <w:rPr>
                <w:sz w:val="20"/>
                <w:szCs w:val="20"/>
              </w:rPr>
            </w:pPr>
            <w:r w:rsidRPr="009B5516">
              <w:rPr>
                <w:sz w:val="20"/>
                <w:szCs w:val="20"/>
              </w:rPr>
              <w:t>69,366</w:t>
            </w:r>
          </w:p>
        </w:tc>
        <w:tc>
          <w:tcPr>
            <w:tcW w:w="2335" w:type="dxa"/>
            <w:tcBorders>
              <w:right w:val="nil"/>
            </w:tcBorders>
            <w:vAlign w:val="center"/>
          </w:tcPr>
          <w:p w14:paraId="072ADC6E" w14:textId="0511C835" w:rsidR="00055C65" w:rsidRPr="009B5516" w:rsidRDefault="00055C65" w:rsidP="009B5516">
            <w:pPr>
              <w:spacing w:after="0" w:line="240" w:lineRule="auto"/>
              <w:jc w:val="right"/>
              <w:rPr>
                <w:sz w:val="20"/>
                <w:szCs w:val="20"/>
              </w:rPr>
            </w:pPr>
            <w:r w:rsidRPr="009B5516">
              <w:rPr>
                <w:sz w:val="20"/>
                <w:szCs w:val="20"/>
              </w:rPr>
              <w:t>0.3403</w:t>
            </w:r>
          </w:p>
        </w:tc>
      </w:tr>
      <w:tr w:rsidR="00055C65" w:rsidRPr="009B5516" w14:paraId="696283F9" w14:textId="77777777" w:rsidTr="009B5516">
        <w:tc>
          <w:tcPr>
            <w:tcW w:w="2335" w:type="dxa"/>
            <w:tcBorders>
              <w:left w:val="nil"/>
            </w:tcBorders>
          </w:tcPr>
          <w:p w14:paraId="34A753A2" w14:textId="77777777" w:rsidR="00055C65" w:rsidRPr="009B5516" w:rsidRDefault="00055C65" w:rsidP="00055C65">
            <w:pPr>
              <w:spacing w:after="0" w:line="240" w:lineRule="auto"/>
              <w:rPr>
                <w:sz w:val="20"/>
                <w:szCs w:val="20"/>
              </w:rPr>
            </w:pPr>
            <w:r w:rsidRPr="009B5516">
              <w:rPr>
                <w:sz w:val="20"/>
                <w:szCs w:val="20"/>
              </w:rPr>
              <w:t>2042</w:t>
            </w:r>
          </w:p>
        </w:tc>
        <w:tc>
          <w:tcPr>
            <w:tcW w:w="2335" w:type="dxa"/>
            <w:vAlign w:val="center"/>
          </w:tcPr>
          <w:p w14:paraId="12404572" w14:textId="476967B4" w:rsidR="00055C65" w:rsidRPr="009B5516" w:rsidRDefault="00055C65" w:rsidP="009B5516">
            <w:pPr>
              <w:spacing w:after="0" w:line="240" w:lineRule="auto"/>
              <w:jc w:val="right"/>
              <w:rPr>
                <w:sz w:val="20"/>
                <w:szCs w:val="20"/>
              </w:rPr>
            </w:pPr>
            <w:r w:rsidRPr="009B5516">
              <w:rPr>
                <w:sz w:val="20"/>
                <w:szCs w:val="20"/>
              </w:rPr>
              <w:t>201,127,672</w:t>
            </w:r>
          </w:p>
        </w:tc>
        <w:tc>
          <w:tcPr>
            <w:tcW w:w="2335" w:type="dxa"/>
            <w:vAlign w:val="center"/>
          </w:tcPr>
          <w:p w14:paraId="46B4E6DA" w14:textId="1FCB76AA" w:rsidR="00055C65" w:rsidRPr="009B5516" w:rsidRDefault="00055C65" w:rsidP="009B5516">
            <w:pPr>
              <w:spacing w:after="0" w:line="240" w:lineRule="auto"/>
              <w:jc w:val="right"/>
              <w:rPr>
                <w:sz w:val="20"/>
                <w:szCs w:val="20"/>
              </w:rPr>
            </w:pPr>
            <w:r w:rsidRPr="009B5516">
              <w:rPr>
                <w:sz w:val="20"/>
                <w:szCs w:val="20"/>
              </w:rPr>
              <w:t>68,330</w:t>
            </w:r>
          </w:p>
        </w:tc>
        <w:tc>
          <w:tcPr>
            <w:tcW w:w="2335" w:type="dxa"/>
            <w:tcBorders>
              <w:right w:val="nil"/>
            </w:tcBorders>
            <w:vAlign w:val="center"/>
          </w:tcPr>
          <w:p w14:paraId="25091B21" w14:textId="096586A3" w:rsidR="00055C65" w:rsidRPr="009B5516" w:rsidRDefault="00055C65" w:rsidP="009B5516">
            <w:pPr>
              <w:spacing w:after="0" w:line="240" w:lineRule="auto"/>
              <w:jc w:val="right"/>
              <w:rPr>
                <w:sz w:val="20"/>
                <w:szCs w:val="20"/>
              </w:rPr>
            </w:pPr>
            <w:r w:rsidRPr="009B5516">
              <w:rPr>
                <w:sz w:val="20"/>
                <w:szCs w:val="20"/>
              </w:rPr>
              <w:t>0.3397</w:t>
            </w:r>
          </w:p>
        </w:tc>
      </w:tr>
      <w:tr w:rsidR="00055C65" w:rsidRPr="009B5516" w14:paraId="259B44CF" w14:textId="77777777" w:rsidTr="009B5516">
        <w:tc>
          <w:tcPr>
            <w:tcW w:w="2335" w:type="dxa"/>
            <w:tcBorders>
              <w:left w:val="nil"/>
            </w:tcBorders>
          </w:tcPr>
          <w:p w14:paraId="036DD023" w14:textId="77777777" w:rsidR="00055C65" w:rsidRPr="009B5516" w:rsidRDefault="00055C65" w:rsidP="00055C65">
            <w:pPr>
              <w:spacing w:after="0" w:line="240" w:lineRule="auto"/>
              <w:rPr>
                <w:sz w:val="20"/>
                <w:szCs w:val="20"/>
              </w:rPr>
            </w:pPr>
            <w:r w:rsidRPr="009B5516">
              <w:rPr>
                <w:sz w:val="20"/>
                <w:szCs w:val="20"/>
              </w:rPr>
              <w:t>2043</w:t>
            </w:r>
          </w:p>
        </w:tc>
        <w:tc>
          <w:tcPr>
            <w:tcW w:w="2335" w:type="dxa"/>
            <w:vAlign w:val="center"/>
          </w:tcPr>
          <w:p w14:paraId="26D678AD" w14:textId="5D70C113" w:rsidR="00055C65" w:rsidRPr="009B5516" w:rsidRDefault="00055C65" w:rsidP="009B5516">
            <w:pPr>
              <w:spacing w:after="0" w:line="240" w:lineRule="auto"/>
              <w:jc w:val="right"/>
              <w:rPr>
                <w:sz w:val="20"/>
                <w:szCs w:val="20"/>
              </w:rPr>
            </w:pPr>
            <w:r w:rsidRPr="009B5516">
              <w:rPr>
                <w:sz w:val="20"/>
                <w:szCs w:val="20"/>
              </w:rPr>
              <w:t>199,284,605</w:t>
            </w:r>
          </w:p>
        </w:tc>
        <w:tc>
          <w:tcPr>
            <w:tcW w:w="2335" w:type="dxa"/>
            <w:vAlign w:val="center"/>
          </w:tcPr>
          <w:p w14:paraId="0CE053E7" w14:textId="60EE4AF1" w:rsidR="00055C65" w:rsidRPr="009B5516" w:rsidRDefault="00055C65" w:rsidP="009B5516">
            <w:pPr>
              <w:spacing w:after="0" w:line="240" w:lineRule="auto"/>
              <w:jc w:val="right"/>
              <w:rPr>
                <w:sz w:val="20"/>
                <w:szCs w:val="20"/>
              </w:rPr>
            </w:pPr>
            <w:r w:rsidRPr="009B5516">
              <w:rPr>
                <w:sz w:val="20"/>
                <w:szCs w:val="20"/>
              </w:rPr>
              <w:t>67,593</w:t>
            </w:r>
          </w:p>
        </w:tc>
        <w:tc>
          <w:tcPr>
            <w:tcW w:w="2335" w:type="dxa"/>
            <w:tcBorders>
              <w:right w:val="nil"/>
            </w:tcBorders>
            <w:vAlign w:val="center"/>
          </w:tcPr>
          <w:p w14:paraId="14FF6A3C" w14:textId="4D6AF927" w:rsidR="00055C65" w:rsidRPr="009B5516" w:rsidRDefault="00055C65" w:rsidP="009B5516">
            <w:pPr>
              <w:spacing w:after="0" w:line="240" w:lineRule="auto"/>
              <w:jc w:val="right"/>
              <w:rPr>
                <w:sz w:val="20"/>
                <w:szCs w:val="20"/>
              </w:rPr>
            </w:pPr>
            <w:r w:rsidRPr="009B5516">
              <w:rPr>
                <w:sz w:val="20"/>
                <w:szCs w:val="20"/>
              </w:rPr>
              <w:t>0.3392</w:t>
            </w:r>
          </w:p>
        </w:tc>
      </w:tr>
      <w:tr w:rsidR="00055C65" w:rsidRPr="009B5516" w14:paraId="74BEFCEA" w14:textId="77777777" w:rsidTr="009B5516">
        <w:tc>
          <w:tcPr>
            <w:tcW w:w="2335" w:type="dxa"/>
            <w:tcBorders>
              <w:left w:val="nil"/>
            </w:tcBorders>
          </w:tcPr>
          <w:p w14:paraId="50AB77D7" w14:textId="77777777" w:rsidR="00055C65" w:rsidRPr="009B5516" w:rsidRDefault="00055C65" w:rsidP="00055C65">
            <w:pPr>
              <w:spacing w:after="0" w:line="240" w:lineRule="auto"/>
              <w:rPr>
                <w:sz w:val="20"/>
                <w:szCs w:val="20"/>
              </w:rPr>
            </w:pPr>
            <w:r w:rsidRPr="009B5516">
              <w:rPr>
                <w:sz w:val="20"/>
                <w:szCs w:val="20"/>
              </w:rPr>
              <w:t>2044</w:t>
            </w:r>
          </w:p>
        </w:tc>
        <w:tc>
          <w:tcPr>
            <w:tcW w:w="2335" w:type="dxa"/>
            <w:vAlign w:val="center"/>
          </w:tcPr>
          <w:p w14:paraId="5D214740" w14:textId="00A827B7" w:rsidR="00055C65" w:rsidRPr="009B5516" w:rsidRDefault="00055C65" w:rsidP="009B5516">
            <w:pPr>
              <w:spacing w:after="0" w:line="240" w:lineRule="auto"/>
              <w:jc w:val="right"/>
              <w:rPr>
                <w:sz w:val="20"/>
                <w:szCs w:val="20"/>
              </w:rPr>
            </w:pPr>
            <w:r w:rsidRPr="009B5516">
              <w:rPr>
                <w:sz w:val="20"/>
                <w:szCs w:val="20"/>
              </w:rPr>
              <w:t>198,916,820</w:t>
            </w:r>
          </w:p>
        </w:tc>
        <w:tc>
          <w:tcPr>
            <w:tcW w:w="2335" w:type="dxa"/>
            <w:vAlign w:val="center"/>
          </w:tcPr>
          <w:p w14:paraId="60B73B6A" w14:textId="310AB557" w:rsidR="00055C65" w:rsidRPr="009B5516" w:rsidRDefault="00055C65" w:rsidP="009B5516">
            <w:pPr>
              <w:spacing w:after="0" w:line="240" w:lineRule="auto"/>
              <w:jc w:val="right"/>
              <w:rPr>
                <w:sz w:val="20"/>
                <w:szCs w:val="20"/>
              </w:rPr>
            </w:pPr>
            <w:r w:rsidRPr="009B5516">
              <w:rPr>
                <w:sz w:val="20"/>
                <w:szCs w:val="20"/>
              </w:rPr>
              <w:t>67,358</w:t>
            </w:r>
          </w:p>
        </w:tc>
        <w:tc>
          <w:tcPr>
            <w:tcW w:w="2335" w:type="dxa"/>
            <w:tcBorders>
              <w:right w:val="nil"/>
            </w:tcBorders>
            <w:vAlign w:val="center"/>
          </w:tcPr>
          <w:p w14:paraId="706F3130" w14:textId="5E614367" w:rsidR="00055C65" w:rsidRPr="009B5516" w:rsidRDefault="00055C65" w:rsidP="009B5516">
            <w:pPr>
              <w:spacing w:after="0" w:line="240" w:lineRule="auto"/>
              <w:jc w:val="right"/>
              <w:rPr>
                <w:sz w:val="20"/>
                <w:szCs w:val="20"/>
              </w:rPr>
            </w:pPr>
            <w:r w:rsidRPr="009B5516">
              <w:rPr>
                <w:sz w:val="20"/>
                <w:szCs w:val="20"/>
              </w:rPr>
              <w:t>0.3386</w:t>
            </w:r>
          </w:p>
        </w:tc>
      </w:tr>
      <w:tr w:rsidR="00055C65" w:rsidRPr="009B5516" w14:paraId="6EC2702F" w14:textId="77777777" w:rsidTr="009B5516">
        <w:tc>
          <w:tcPr>
            <w:tcW w:w="2335" w:type="dxa"/>
            <w:tcBorders>
              <w:left w:val="nil"/>
            </w:tcBorders>
          </w:tcPr>
          <w:p w14:paraId="5DF98E39" w14:textId="77777777" w:rsidR="00055C65" w:rsidRPr="009B5516" w:rsidRDefault="00055C65" w:rsidP="00055C65">
            <w:pPr>
              <w:spacing w:after="0" w:line="240" w:lineRule="auto"/>
              <w:rPr>
                <w:sz w:val="20"/>
                <w:szCs w:val="20"/>
              </w:rPr>
            </w:pPr>
            <w:r w:rsidRPr="009B5516">
              <w:rPr>
                <w:sz w:val="20"/>
                <w:szCs w:val="20"/>
              </w:rPr>
              <w:t>2045</w:t>
            </w:r>
          </w:p>
        </w:tc>
        <w:tc>
          <w:tcPr>
            <w:tcW w:w="2335" w:type="dxa"/>
            <w:vAlign w:val="center"/>
          </w:tcPr>
          <w:p w14:paraId="49D20C3B" w14:textId="3CBC980E" w:rsidR="00055C65" w:rsidRPr="009B5516" w:rsidRDefault="00055C65" w:rsidP="009B5516">
            <w:pPr>
              <w:spacing w:after="0" w:line="240" w:lineRule="auto"/>
              <w:jc w:val="right"/>
              <w:rPr>
                <w:sz w:val="20"/>
                <w:szCs w:val="20"/>
              </w:rPr>
            </w:pPr>
            <w:r w:rsidRPr="009B5516">
              <w:rPr>
                <w:sz w:val="20"/>
                <w:szCs w:val="20"/>
              </w:rPr>
              <w:t>26,814,029</w:t>
            </w:r>
          </w:p>
        </w:tc>
        <w:tc>
          <w:tcPr>
            <w:tcW w:w="2335" w:type="dxa"/>
            <w:vAlign w:val="center"/>
          </w:tcPr>
          <w:p w14:paraId="1A2C0003" w14:textId="7C206B68" w:rsidR="00055C65" w:rsidRPr="009B5516" w:rsidRDefault="00055C65" w:rsidP="009B5516">
            <w:pPr>
              <w:spacing w:after="0" w:line="240" w:lineRule="auto"/>
              <w:jc w:val="right"/>
              <w:rPr>
                <w:sz w:val="20"/>
                <w:szCs w:val="20"/>
              </w:rPr>
            </w:pPr>
            <w:r w:rsidRPr="009B5516">
              <w:rPr>
                <w:sz w:val="20"/>
                <w:szCs w:val="20"/>
              </w:rPr>
              <w:t>9,062</w:t>
            </w:r>
          </w:p>
        </w:tc>
        <w:tc>
          <w:tcPr>
            <w:tcW w:w="2335" w:type="dxa"/>
            <w:tcBorders>
              <w:right w:val="nil"/>
            </w:tcBorders>
            <w:vAlign w:val="center"/>
          </w:tcPr>
          <w:p w14:paraId="25093EFF" w14:textId="32307887" w:rsidR="00055C65" w:rsidRPr="009B5516" w:rsidRDefault="00055C65" w:rsidP="009B5516">
            <w:pPr>
              <w:spacing w:after="0" w:line="240" w:lineRule="auto"/>
              <w:jc w:val="right"/>
              <w:rPr>
                <w:sz w:val="20"/>
                <w:szCs w:val="20"/>
              </w:rPr>
            </w:pPr>
            <w:r w:rsidRPr="009B5516">
              <w:rPr>
                <w:sz w:val="20"/>
                <w:szCs w:val="20"/>
              </w:rPr>
              <w:t>0.3380</w:t>
            </w:r>
          </w:p>
        </w:tc>
      </w:tr>
      <w:tr w:rsidR="00055C65" w:rsidRPr="009B5516" w14:paraId="0E215EB5" w14:textId="77777777" w:rsidTr="009B5516">
        <w:tc>
          <w:tcPr>
            <w:tcW w:w="2335" w:type="dxa"/>
            <w:tcBorders>
              <w:left w:val="nil"/>
            </w:tcBorders>
          </w:tcPr>
          <w:p w14:paraId="3456BA14" w14:textId="77777777" w:rsidR="00055C65" w:rsidRPr="009B5516" w:rsidRDefault="00055C65" w:rsidP="00055C65">
            <w:pPr>
              <w:spacing w:after="0" w:line="240" w:lineRule="auto"/>
              <w:rPr>
                <w:sz w:val="20"/>
                <w:szCs w:val="20"/>
              </w:rPr>
            </w:pPr>
            <w:r w:rsidRPr="009B5516">
              <w:rPr>
                <w:sz w:val="20"/>
                <w:szCs w:val="20"/>
              </w:rPr>
              <w:t>2046</w:t>
            </w:r>
          </w:p>
        </w:tc>
        <w:tc>
          <w:tcPr>
            <w:tcW w:w="2335" w:type="dxa"/>
            <w:vAlign w:val="center"/>
          </w:tcPr>
          <w:p w14:paraId="7E2D669B" w14:textId="6BE95C15" w:rsidR="00055C65" w:rsidRPr="009B5516" w:rsidRDefault="00055C65" w:rsidP="009B5516">
            <w:pPr>
              <w:spacing w:after="0" w:line="240" w:lineRule="auto"/>
              <w:jc w:val="right"/>
              <w:rPr>
                <w:sz w:val="20"/>
                <w:szCs w:val="20"/>
              </w:rPr>
            </w:pPr>
            <w:r w:rsidRPr="009B5516">
              <w:rPr>
                <w:sz w:val="20"/>
                <w:szCs w:val="20"/>
              </w:rPr>
              <w:t>26,813,462</w:t>
            </w:r>
          </w:p>
        </w:tc>
        <w:tc>
          <w:tcPr>
            <w:tcW w:w="2335" w:type="dxa"/>
            <w:vAlign w:val="center"/>
          </w:tcPr>
          <w:p w14:paraId="2EC6443E" w14:textId="7A6BBB1F" w:rsidR="00055C65" w:rsidRPr="009B5516" w:rsidRDefault="00055C65" w:rsidP="009B5516">
            <w:pPr>
              <w:spacing w:after="0" w:line="240" w:lineRule="auto"/>
              <w:jc w:val="right"/>
              <w:rPr>
                <w:sz w:val="20"/>
                <w:szCs w:val="20"/>
              </w:rPr>
            </w:pPr>
            <w:r w:rsidRPr="009B5516">
              <w:rPr>
                <w:sz w:val="20"/>
                <w:szCs w:val="20"/>
              </w:rPr>
              <w:t>9,001</w:t>
            </w:r>
          </w:p>
        </w:tc>
        <w:tc>
          <w:tcPr>
            <w:tcW w:w="2335" w:type="dxa"/>
            <w:tcBorders>
              <w:right w:val="nil"/>
            </w:tcBorders>
            <w:vAlign w:val="center"/>
          </w:tcPr>
          <w:p w14:paraId="0734C2C9" w14:textId="097EBAE0" w:rsidR="00055C65" w:rsidRPr="009B5516" w:rsidRDefault="00055C65" w:rsidP="009B5516">
            <w:pPr>
              <w:spacing w:after="0" w:line="240" w:lineRule="auto"/>
              <w:jc w:val="right"/>
              <w:rPr>
                <w:sz w:val="20"/>
                <w:szCs w:val="20"/>
              </w:rPr>
            </w:pPr>
            <w:r w:rsidRPr="009B5516">
              <w:rPr>
                <w:sz w:val="20"/>
                <w:szCs w:val="20"/>
              </w:rPr>
              <w:t>0.3357</w:t>
            </w:r>
          </w:p>
        </w:tc>
      </w:tr>
      <w:tr w:rsidR="00055C65" w:rsidRPr="009B5516" w14:paraId="5CC08CD8" w14:textId="77777777" w:rsidTr="009B5516">
        <w:tc>
          <w:tcPr>
            <w:tcW w:w="2335" w:type="dxa"/>
            <w:tcBorders>
              <w:left w:val="nil"/>
            </w:tcBorders>
          </w:tcPr>
          <w:p w14:paraId="313AF662" w14:textId="77777777" w:rsidR="00055C65" w:rsidRPr="009B5516" w:rsidRDefault="00055C65" w:rsidP="00055C65">
            <w:pPr>
              <w:spacing w:after="0" w:line="240" w:lineRule="auto"/>
              <w:rPr>
                <w:sz w:val="20"/>
                <w:szCs w:val="20"/>
              </w:rPr>
            </w:pPr>
            <w:r w:rsidRPr="009B5516">
              <w:rPr>
                <w:sz w:val="20"/>
                <w:szCs w:val="20"/>
              </w:rPr>
              <w:t>2047</w:t>
            </w:r>
          </w:p>
        </w:tc>
        <w:tc>
          <w:tcPr>
            <w:tcW w:w="2335" w:type="dxa"/>
            <w:vAlign w:val="center"/>
          </w:tcPr>
          <w:p w14:paraId="3E0AE305" w14:textId="38F2CA46" w:rsidR="00055C65" w:rsidRPr="009B5516" w:rsidRDefault="00055C65" w:rsidP="009B5516">
            <w:pPr>
              <w:spacing w:after="0" w:line="240" w:lineRule="auto"/>
              <w:jc w:val="right"/>
              <w:rPr>
                <w:sz w:val="20"/>
                <w:szCs w:val="20"/>
              </w:rPr>
            </w:pPr>
            <w:r w:rsidRPr="009B5516">
              <w:rPr>
                <w:sz w:val="20"/>
                <w:szCs w:val="20"/>
              </w:rPr>
              <w:t>26,813,462</w:t>
            </w:r>
          </w:p>
        </w:tc>
        <w:tc>
          <w:tcPr>
            <w:tcW w:w="2335" w:type="dxa"/>
            <w:vAlign w:val="center"/>
          </w:tcPr>
          <w:p w14:paraId="42B4135A" w14:textId="1632B2C0" w:rsidR="00055C65" w:rsidRPr="009B5516" w:rsidRDefault="00055C65" w:rsidP="009B5516">
            <w:pPr>
              <w:spacing w:after="0" w:line="240" w:lineRule="auto"/>
              <w:jc w:val="right"/>
              <w:rPr>
                <w:sz w:val="20"/>
                <w:szCs w:val="20"/>
              </w:rPr>
            </w:pPr>
            <w:r w:rsidRPr="009B5516">
              <w:rPr>
                <w:sz w:val="20"/>
                <w:szCs w:val="20"/>
              </w:rPr>
              <w:t>8,941</w:t>
            </w:r>
          </w:p>
        </w:tc>
        <w:tc>
          <w:tcPr>
            <w:tcW w:w="2335" w:type="dxa"/>
            <w:tcBorders>
              <w:right w:val="nil"/>
            </w:tcBorders>
            <w:vAlign w:val="center"/>
          </w:tcPr>
          <w:p w14:paraId="11574A0D" w14:textId="5987173C" w:rsidR="00055C65" w:rsidRPr="009B5516" w:rsidRDefault="00055C65" w:rsidP="009B5516">
            <w:pPr>
              <w:spacing w:after="0" w:line="240" w:lineRule="auto"/>
              <w:jc w:val="right"/>
              <w:rPr>
                <w:sz w:val="20"/>
                <w:szCs w:val="20"/>
              </w:rPr>
            </w:pPr>
            <w:r w:rsidRPr="009B5516">
              <w:rPr>
                <w:sz w:val="20"/>
                <w:szCs w:val="20"/>
              </w:rPr>
              <w:t>0.3334</w:t>
            </w:r>
          </w:p>
        </w:tc>
      </w:tr>
      <w:tr w:rsidR="00055C65" w:rsidRPr="009B5516" w14:paraId="2E0DB46C" w14:textId="77777777" w:rsidTr="009B5516">
        <w:tc>
          <w:tcPr>
            <w:tcW w:w="2335" w:type="dxa"/>
            <w:tcBorders>
              <w:left w:val="nil"/>
            </w:tcBorders>
          </w:tcPr>
          <w:p w14:paraId="61E8162E" w14:textId="77777777" w:rsidR="00055C65" w:rsidRPr="009B5516" w:rsidRDefault="00055C65" w:rsidP="00055C65">
            <w:pPr>
              <w:spacing w:after="0" w:line="240" w:lineRule="auto"/>
              <w:rPr>
                <w:sz w:val="20"/>
                <w:szCs w:val="20"/>
              </w:rPr>
            </w:pPr>
            <w:r w:rsidRPr="009B5516">
              <w:rPr>
                <w:sz w:val="20"/>
                <w:szCs w:val="20"/>
              </w:rPr>
              <w:t>2048</w:t>
            </w:r>
          </w:p>
        </w:tc>
        <w:tc>
          <w:tcPr>
            <w:tcW w:w="2335" w:type="dxa"/>
            <w:vAlign w:val="center"/>
          </w:tcPr>
          <w:p w14:paraId="1FA7C924" w14:textId="4982632F" w:rsidR="00055C65" w:rsidRPr="009B5516" w:rsidRDefault="00055C65" w:rsidP="009B5516">
            <w:pPr>
              <w:spacing w:after="0" w:line="240" w:lineRule="auto"/>
              <w:jc w:val="right"/>
              <w:rPr>
                <w:sz w:val="20"/>
                <w:szCs w:val="20"/>
              </w:rPr>
            </w:pPr>
            <w:r w:rsidRPr="009B5516">
              <w:rPr>
                <w:sz w:val="20"/>
                <w:szCs w:val="20"/>
              </w:rPr>
              <w:t>15,964,725</w:t>
            </w:r>
          </w:p>
        </w:tc>
        <w:tc>
          <w:tcPr>
            <w:tcW w:w="2335" w:type="dxa"/>
            <w:vAlign w:val="center"/>
          </w:tcPr>
          <w:p w14:paraId="02DC292C" w14:textId="3BBE5CEE" w:rsidR="00055C65" w:rsidRPr="009B5516" w:rsidRDefault="00055C65" w:rsidP="009B5516">
            <w:pPr>
              <w:spacing w:after="0" w:line="240" w:lineRule="auto"/>
              <w:jc w:val="right"/>
              <w:rPr>
                <w:sz w:val="20"/>
                <w:szCs w:val="20"/>
              </w:rPr>
            </w:pPr>
            <w:r w:rsidRPr="009B5516">
              <w:rPr>
                <w:sz w:val="20"/>
                <w:szCs w:val="20"/>
              </w:rPr>
              <w:t>5,287</w:t>
            </w:r>
          </w:p>
        </w:tc>
        <w:tc>
          <w:tcPr>
            <w:tcW w:w="2335" w:type="dxa"/>
            <w:tcBorders>
              <w:right w:val="nil"/>
            </w:tcBorders>
            <w:vAlign w:val="center"/>
          </w:tcPr>
          <w:p w14:paraId="53242E36" w14:textId="7CE82680" w:rsidR="00055C65" w:rsidRPr="009B5516" w:rsidRDefault="00055C65" w:rsidP="009B5516">
            <w:pPr>
              <w:spacing w:after="0" w:line="240" w:lineRule="auto"/>
              <w:jc w:val="right"/>
              <w:rPr>
                <w:sz w:val="20"/>
                <w:szCs w:val="20"/>
              </w:rPr>
            </w:pPr>
            <w:r w:rsidRPr="009B5516">
              <w:rPr>
                <w:sz w:val="20"/>
                <w:szCs w:val="20"/>
              </w:rPr>
              <w:t>0.3312</w:t>
            </w:r>
          </w:p>
        </w:tc>
      </w:tr>
      <w:tr w:rsidR="00055C65" w:rsidRPr="009B5516" w14:paraId="6D7D656A" w14:textId="77777777" w:rsidTr="009B5516">
        <w:tc>
          <w:tcPr>
            <w:tcW w:w="2335" w:type="dxa"/>
            <w:tcBorders>
              <w:left w:val="nil"/>
            </w:tcBorders>
          </w:tcPr>
          <w:p w14:paraId="5ECF65CE" w14:textId="77777777" w:rsidR="00055C65" w:rsidRPr="009B5516" w:rsidRDefault="00055C65" w:rsidP="00055C65">
            <w:pPr>
              <w:spacing w:after="0" w:line="240" w:lineRule="auto"/>
              <w:rPr>
                <w:sz w:val="20"/>
                <w:szCs w:val="20"/>
              </w:rPr>
            </w:pPr>
            <w:r w:rsidRPr="009B5516">
              <w:rPr>
                <w:sz w:val="20"/>
                <w:szCs w:val="20"/>
              </w:rPr>
              <w:t>2049</w:t>
            </w:r>
          </w:p>
        </w:tc>
        <w:tc>
          <w:tcPr>
            <w:tcW w:w="2335" w:type="dxa"/>
            <w:vAlign w:val="center"/>
          </w:tcPr>
          <w:p w14:paraId="5581701E" w14:textId="479E1588" w:rsidR="00055C65" w:rsidRPr="009B5516" w:rsidRDefault="00055C65" w:rsidP="009B5516">
            <w:pPr>
              <w:spacing w:after="0" w:line="240" w:lineRule="auto"/>
              <w:jc w:val="right"/>
              <w:rPr>
                <w:sz w:val="20"/>
                <w:szCs w:val="20"/>
              </w:rPr>
            </w:pPr>
            <w:r w:rsidRPr="009B5516">
              <w:rPr>
                <w:sz w:val="20"/>
                <w:szCs w:val="20"/>
              </w:rPr>
              <w:t>15,964,725</w:t>
            </w:r>
          </w:p>
        </w:tc>
        <w:tc>
          <w:tcPr>
            <w:tcW w:w="2335" w:type="dxa"/>
            <w:vAlign w:val="center"/>
          </w:tcPr>
          <w:p w14:paraId="61B71865" w14:textId="7E59A7C6" w:rsidR="00055C65" w:rsidRPr="009B5516" w:rsidRDefault="00055C65" w:rsidP="009B5516">
            <w:pPr>
              <w:spacing w:after="0" w:line="240" w:lineRule="auto"/>
              <w:jc w:val="right"/>
              <w:rPr>
                <w:sz w:val="20"/>
                <w:szCs w:val="20"/>
              </w:rPr>
            </w:pPr>
            <w:r w:rsidRPr="009B5516">
              <w:rPr>
                <w:sz w:val="20"/>
                <w:szCs w:val="20"/>
              </w:rPr>
              <w:t>5,251</w:t>
            </w:r>
          </w:p>
        </w:tc>
        <w:tc>
          <w:tcPr>
            <w:tcW w:w="2335" w:type="dxa"/>
            <w:tcBorders>
              <w:right w:val="nil"/>
            </w:tcBorders>
            <w:vAlign w:val="center"/>
          </w:tcPr>
          <w:p w14:paraId="482FD14D" w14:textId="1E9D8A3D" w:rsidR="00055C65" w:rsidRPr="009B5516" w:rsidRDefault="00055C65" w:rsidP="009B5516">
            <w:pPr>
              <w:spacing w:after="0" w:line="240" w:lineRule="auto"/>
              <w:jc w:val="right"/>
              <w:rPr>
                <w:sz w:val="20"/>
                <w:szCs w:val="20"/>
              </w:rPr>
            </w:pPr>
            <w:r w:rsidRPr="009B5516">
              <w:rPr>
                <w:sz w:val="20"/>
                <w:szCs w:val="20"/>
              </w:rPr>
              <w:t>0.3289</w:t>
            </w:r>
          </w:p>
        </w:tc>
      </w:tr>
      <w:tr w:rsidR="00055C65" w:rsidRPr="009B5516" w14:paraId="36851EEF" w14:textId="77777777" w:rsidTr="009B5516">
        <w:tc>
          <w:tcPr>
            <w:tcW w:w="2335" w:type="dxa"/>
            <w:tcBorders>
              <w:left w:val="nil"/>
            </w:tcBorders>
          </w:tcPr>
          <w:p w14:paraId="7EA889AB" w14:textId="77777777" w:rsidR="00055C65" w:rsidRPr="009B5516" w:rsidRDefault="00055C65" w:rsidP="00055C65">
            <w:pPr>
              <w:spacing w:after="0" w:line="240" w:lineRule="auto"/>
              <w:rPr>
                <w:sz w:val="20"/>
                <w:szCs w:val="20"/>
              </w:rPr>
            </w:pPr>
            <w:r w:rsidRPr="009B5516">
              <w:rPr>
                <w:sz w:val="20"/>
                <w:szCs w:val="20"/>
              </w:rPr>
              <w:t>2050</w:t>
            </w:r>
          </w:p>
        </w:tc>
        <w:tc>
          <w:tcPr>
            <w:tcW w:w="2335" w:type="dxa"/>
            <w:vAlign w:val="center"/>
          </w:tcPr>
          <w:p w14:paraId="22B65032" w14:textId="4C6AA971" w:rsidR="00055C65" w:rsidRPr="009B5516" w:rsidRDefault="00055C65" w:rsidP="009B5516">
            <w:pPr>
              <w:spacing w:after="0" w:line="240" w:lineRule="auto"/>
              <w:jc w:val="right"/>
              <w:rPr>
                <w:sz w:val="20"/>
                <w:szCs w:val="20"/>
              </w:rPr>
            </w:pPr>
            <w:r w:rsidRPr="009B5516">
              <w:rPr>
                <w:sz w:val="20"/>
                <w:szCs w:val="20"/>
              </w:rPr>
              <w:t>8,756,544</w:t>
            </w:r>
          </w:p>
        </w:tc>
        <w:tc>
          <w:tcPr>
            <w:tcW w:w="2335" w:type="dxa"/>
            <w:vAlign w:val="center"/>
          </w:tcPr>
          <w:p w14:paraId="472F575E" w14:textId="359BFC5B" w:rsidR="00055C65" w:rsidRPr="009B5516" w:rsidRDefault="00055C65" w:rsidP="009B5516">
            <w:pPr>
              <w:spacing w:after="0" w:line="240" w:lineRule="auto"/>
              <w:jc w:val="right"/>
              <w:rPr>
                <w:sz w:val="20"/>
                <w:szCs w:val="20"/>
              </w:rPr>
            </w:pPr>
            <w:r w:rsidRPr="009B5516">
              <w:rPr>
                <w:sz w:val="20"/>
                <w:szCs w:val="20"/>
              </w:rPr>
              <w:t>2,860</w:t>
            </w:r>
          </w:p>
        </w:tc>
        <w:tc>
          <w:tcPr>
            <w:tcW w:w="2335" w:type="dxa"/>
            <w:tcBorders>
              <w:right w:val="nil"/>
            </w:tcBorders>
            <w:vAlign w:val="center"/>
          </w:tcPr>
          <w:p w14:paraId="7E379CBE" w14:textId="388491BC" w:rsidR="00055C65" w:rsidRPr="009B5516" w:rsidRDefault="00055C65" w:rsidP="009B5516">
            <w:pPr>
              <w:spacing w:after="0" w:line="240" w:lineRule="auto"/>
              <w:jc w:val="right"/>
              <w:rPr>
                <w:sz w:val="20"/>
                <w:szCs w:val="20"/>
              </w:rPr>
            </w:pPr>
            <w:r w:rsidRPr="009B5516">
              <w:rPr>
                <w:sz w:val="20"/>
                <w:szCs w:val="20"/>
              </w:rPr>
              <w:t>0.3267</w:t>
            </w:r>
          </w:p>
        </w:tc>
      </w:tr>
      <w:tr w:rsidR="00055C65" w:rsidRPr="009B5516" w14:paraId="6A74E6ED" w14:textId="77777777" w:rsidTr="009B5516">
        <w:tc>
          <w:tcPr>
            <w:tcW w:w="2335" w:type="dxa"/>
            <w:tcBorders>
              <w:left w:val="nil"/>
            </w:tcBorders>
          </w:tcPr>
          <w:p w14:paraId="2C007EAF" w14:textId="77777777" w:rsidR="00055C65" w:rsidRPr="009B5516" w:rsidRDefault="00055C65" w:rsidP="00055C65">
            <w:pPr>
              <w:spacing w:after="0" w:line="240" w:lineRule="auto"/>
              <w:rPr>
                <w:sz w:val="20"/>
                <w:szCs w:val="20"/>
              </w:rPr>
            </w:pPr>
            <w:r w:rsidRPr="009B5516">
              <w:rPr>
                <w:sz w:val="20"/>
                <w:szCs w:val="20"/>
              </w:rPr>
              <w:t>2051</w:t>
            </w:r>
          </w:p>
        </w:tc>
        <w:tc>
          <w:tcPr>
            <w:tcW w:w="2335" w:type="dxa"/>
            <w:vAlign w:val="center"/>
          </w:tcPr>
          <w:p w14:paraId="2A08BA78" w14:textId="24E6A64F" w:rsidR="00055C65" w:rsidRPr="009B5516" w:rsidRDefault="00055C65" w:rsidP="009B5516">
            <w:pPr>
              <w:spacing w:after="0" w:line="240" w:lineRule="auto"/>
              <w:jc w:val="right"/>
              <w:rPr>
                <w:sz w:val="20"/>
                <w:szCs w:val="20"/>
              </w:rPr>
            </w:pPr>
            <w:r w:rsidRPr="009B5516">
              <w:rPr>
                <w:sz w:val="20"/>
                <w:szCs w:val="20"/>
              </w:rPr>
              <w:t>8,756,544</w:t>
            </w:r>
          </w:p>
        </w:tc>
        <w:tc>
          <w:tcPr>
            <w:tcW w:w="2335" w:type="dxa"/>
            <w:vAlign w:val="center"/>
          </w:tcPr>
          <w:p w14:paraId="2BE65E98" w14:textId="35FD070B" w:rsidR="00055C65" w:rsidRPr="009B5516" w:rsidRDefault="00055C65" w:rsidP="009B5516">
            <w:pPr>
              <w:spacing w:after="0" w:line="240" w:lineRule="auto"/>
              <w:jc w:val="right"/>
              <w:rPr>
                <w:sz w:val="20"/>
                <w:szCs w:val="20"/>
              </w:rPr>
            </w:pPr>
            <w:r w:rsidRPr="009B5516">
              <w:rPr>
                <w:sz w:val="20"/>
                <w:szCs w:val="20"/>
              </w:rPr>
              <w:t>2,841</w:t>
            </w:r>
          </w:p>
        </w:tc>
        <w:tc>
          <w:tcPr>
            <w:tcW w:w="2335" w:type="dxa"/>
            <w:tcBorders>
              <w:right w:val="nil"/>
            </w:tcBorders>
            <w:vAlign w:val="center"/>
          </w:tcPr>
          <w:p w14:paraId="3FC7AE42" w14:textId="699FDD50"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73083595" w14:textId="77777777" w:rsidTr="009B5516">
        <w:tc>
          <w:tcPr>
            <w:tcW w:w="2335" w:type="dxa"/>
            <w:tcBorders>
              <w:left w:val="nil"/>
            </w:tcBorders>
          </w:tcPr>
          <w:p w14:paraId="21CC00D8" w14:textId="77777777" w:rsidR="00055C65" w:rsidRPr="009B5516" w:rsidRDefault="00055C65" w:rsidP="00055C65">
            <w:pPr>
              <w:spacing w:after="0" w:line="240" w:lineRule="auto"/>
              <w:rPr>
                <w:sz w:val="20"/>
                <w:szCs w:val="20"/>
              </w:rPr>
            </w:pPr>
            <w:r w:rsidRPr="009B5516">
              <w:rPr>
                <w:sz w:val="20"/>
                <w:szCs w:val="20"/>
              </w:rPr>
              <w:t>2052</w:t>
            </w:r>
          </w:p>
        </w:tc>
        <w:tc>
          <w:tcPr>
            <w:tcW w:w="2335" w:type="dxa"/>
            <w:vAlign w:val="center"/>
          </w:tcPr>
          <w:p w14:paraId="2A4923C7" w14:textId="7ECD802E" w:rsidR="00055C65" w:rsidRPr="009B5516" w:rsidRDefault="00055C65" w:rsidP="009B5516">
            <w:pPr>
              <w:spacing w:after="0" w:line="240" w:lineRule="auto"/>
              <w:jc w:val="right"/>
              <w:rPr>
                <w:sz w:val="20"/>
                <w:szCs w:val="20"/>
              </w:rPr>
            </w:pPr>
            <w:r w:rsidRPr="009B5516">
              <w:rPr>
                <w:sz w:val="20"/>
                <w:szCs w:val="20"/>
              </w:rPr>
              <w:t>8,756,544</w:t>
            </w:r>
          </w:p>
        </w:tc>
        <w:tc>
          <w:tcPr>
            <w:tcW w:w="2335" w:type="dxa"/>
            <w:vAlign w:val="center"/>
          </w:tcPr>
          <w:p w14:paraId="52EE63CE" w14:textId="2D65C7F5" w:rsidR="00055C65" w:rsidRPr="009B5516" w:rsidRDefault="00055C65" w:rsidP="009B5516">
            <w:pPr>
              <w:spacing w:after="0" w:line="240" w:lineRule="auto"/>
              <w:jc w:val="right"/>
              <w:rPr>
                <w:sz w:val="20"/>
                <w:szCs w:val="20"/>
              </w:rPr>
            </w:pPr>
            <w:r w:rsidRPr="009B5516">
              <w:rPr>
                <w:sz w:val="20"/>
                <w:szCs w:val="20"/>
              </w:rPr>
              <w:t>2,841</w:t>
            </w:r>
          </w:p>
        </w:tc>
        <w:tc>
          <w:tcPr>
            <w:tcW w:w="2335" w:type="dxa"/>
            <w:tcBorders>
              <w:right w:val="nil"/>
            </w:tcBorders>
            <w:vAlign w:val="center"/>
          </w:tcPr>
          <w:p w14:paraId="1E77BFDD" w14:textId="7CAFE8BF"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61EF31B4" w14:textId="77777777" w:rsidTr="009B5516">
        <w:tc>
          <w:tcPr>
            <w:tcW w:w="2335" w:type="dxa"/>
            <w:tcBorders>
              <w:left w:val="nil"/>
            </w:tcBorders>
          </w:tcPr>
          <w:p w14:paraId="1CFC8D17" w14:textId="77777777" w:rsidR="00055C65" w:rsidRPr="009B5516" w:rsidRDefault="00055C65" w:rsidP="00055C65">
            <w:pPr>
              <w:spacing w:after="0" w:line="240" w:lineRule="auto"/>
              <w:rPr>
                <w:sz w:val="20"/>
                <w:szCs w:val="20"/>
              </w:rPr>
            </w:pPr>
            <w:r w:rsidRPr="009B5516">
              <w:rPr>
                <w:sz w:val="20"/>
                <w:szCs w:val="20"/>
              </w:rPr>
              <w:t>2053</w:t>
            </w:r>
          </w:p>
        </w:tc>
        <w:tc>
          <w:tcPr>
            <w:tcW w:w="2335" w:type="dxa"/>
            <w:vAlign w:val="center"/>
          </w:tcPr>
          <w:p w14:paraId="1FBD7DDB" w14:textId="195FDF46" w:rsidR="00055C65" w:rsidRPr="009B5516" w:rsidRDefault="00055C65" w:rsidP="009B5516">
            <w:pPr>
              <w:spacing w:after="0" w:line="240" w:lineRule="auto"/>
              <w:jc w:val="right"/>
              <w:rPr>
                <w:sz w:val="20"/>
                <w:szCs w:val="20"/>
              </w:rPr>
            </w:pPr>
            <w:r w:rsidRPr="009B5516">
              <w:rPr>
                <w:sz w:val="20"/>
                <w:szCs w:val="20"/>
              </w:rPr>
              <w:t>8,756,544</w:t>
            </w:r>
          </w:p>
        </w:tc>
        <w:tc>
          <w:tcPr>
            <w:tcW w:w="2335" w:type="dxa"/>
            <w:vAlign w:val="center"/>
          </w:tcPr>
          <w:p w14:paraId="4391ED83" w14:textId="7931F69D" w:rsidR="00055C65" w:rsidRPr="009B5516" w:rsidRDefault="00055C65" w:rsidP="009B5516">
            <w:pPr>
              <w:spacing w:after="0" w:line="240" w:lineRule="auto"/>
              <w:jc w:val="right"/>
              <w:rPr>
                <w:sz w:val="20"/>
                <w:szCs w:val="20"/>
              </w:rPr>
            </w:pPr>
            <w:r w:rsidRPr="009B5516">
              <w:rPr>
                <w:sz w:val="20"/>
                <w:szCs w:val="20"/>
              </w:rPr>
              <w:t>2,841</w:t>
            </w:r>
          </w:p>
        </w:tc>
        <w:tc>
          <w:tcPr>
            <w:tcW w:w="2335" w:type="dxa"/>
            <w:tcBorders>
              <w:right w:val="nil"/>
            </w:tcBorders>
            <w:vAlign w:val="center"/>
          </w:tcPr>
          <w:p w14:paraId="505181D9" w14:textId="00522CD7"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5572A08D" w14:textId="77777777" w:rsidTr="009B5516">
        <w:tc>
          <w:tcPr>
            <w:tcW w:w="2335" w:type="dxa"/>
            <w:tcBorders>
              <w:left w:val="nil"/>
            </w:tcBorders>
          </w:tcPr>
          <w:p w14:paraId="3052B85C" w14:textId="77777777" w:rsidR="00055C65" w:rsidRPr="009B5516" w:rsidRDefault="00055C65" w:rsidP="00055C65">
            <w:pPr>
              <w:spacing w:after="0" w:line="240" w:lineRule="auto"/>
              <w:rPr>
                <w:sz w:val="20"/>
                <w:szCs w:val="20"/>
              </w:rPr>
            </w:pPr>
            <w:r w:rsidRPr="009B5516">
              <w:rPr>
                <w:sz w:val="20"/>
                <w:szCs w:val="20"/>
              </w:rPr>
              <w:t>2054</w:t>
            </w:r>
          </w:p>
        </w:tc>
        <w:tc>
          <w:tcPr>
            <w:tcW w:w="2335" w:type="dxa"/>
            <w:vAlign w:val="center"/>
          </w:tcPr>
          <w:p w14:paraId="70775F76" w14:textId="76A7D937" w:rsidR="00055C65" w:rsidRPr="009B5516" w:rsidRDefault="00055C65" w:rsidP="009B5516">
            <w:pPr>
              <w:spacing w:after="0" w:line="240" w:lineRule="auto"/>
              <w:jc w:val="right"/>
              <w:rPr>
                <w:sz w:val="20"/>
                <w:szCs w:val="20"/>
              </w:rPr>
            </w:pPr>
            <w:r w:rsidRPr="009B5516">
              <w:rPr>
                <w:sz w:val="20"/>
                <w:szCs w:val="20"/>
              </w:rPr>
              <w:t>8,756,544</w:t>
            </w:r>
          </w:p>
        </w:tc>
        <w:tc>
          <w:tcPr>
            <w:tcW w:w="2335" w:type="dxa"/>
            <w:vAlign w:val="center"/>
          </w:tcPr>
          <w:p w14:paraId="2E961AFE" w14:textId="121B0523" w:rsidR="00055C65" w:rsidRPr="009B5516" w:rsidRDefault="00055C65" w:rsidP="009B5516">
            <w:pPr>
              <w:spacing w:after="0" w:line="240" w:lineRule="auto"/>
              <w:jc w:val="right"/>
              <w:rPr>
                <w:sz w:val="20"/>
                <w:szCs w:val="20"/>
              </w:rPr>
            </w:pPr>
            <w:r w:rsidRPr="009B5516">
              <w:rPr>
                <w:sz w:val="20"/>
                <w:szCs w:val="20"/>
              </w:rPr>
              <w:t>2,841</w:t>
            </w:r>
          </w:p>
        </w:tc>
        <w:tc>
          <w:tcPr>
            <w:tcW w:w="2335" w:type="dxa"/>
            <w:tcBorders>
              <w:right w:val="nil"/>
            </w:tcBorders>
            <w:vAlign w:val="center"/>
          </w:tcPr>
          <w:p w14:paraId="4F96561E" w14:textId="0BEBBA1E"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1CEE8AB9" w14:textId="77777777" w:rsidTr="009B5516">
        <w:tc>
          <w:tcPr>
            <w:tcW w:w="2335" w:type="dxa"/>
            <w:tcBorders>
              <w:left w:val="nil"/>
            </w:tcBorders>
          </w:tcPr>
          <w:p w14:paraId="29863164" w14:textId="77777777" w:rsidR="00055C65" w:rsidRPr="009B5516" w:rsidRDefault="00055C65" w:rsidP="00055C65">
            <w:pPr>
              <w:spacing w:after="0" w:line="240" w:lineRule="auto"/>
              <w:rPr>
                <w:sz w:val="20"/>
                <w:szCs w:val="20"/>
              </w:rPr>
            </w:pPr>
            <w:r w:rsidRPr="009B5516">
              <w:rPr>
                <w:sz w:val="20"/>
                <w:szCs w:val="20"/>
              </w:rPr>
              <w:t>2055</w:t>
            </w:r>
          </w:p>
        </w:tc>
        <w:tc>
          <w:tcPr>
            <w:tcW w:w="2335" w:type="dxa"/>
            <w:vAlign w:val="center"/>
          </w:tcPr>
          <w:p w14:paraId="1C219FF3" w14:textId="7F30A32F" w:rsidR="00055C65" w:rsidRPr="009B5516" w:rsidRDefault="00055C65" w:rsidP="009B5516">
            <w:pPr>
              <w:spacing w:after="0" w:line="240" w:lineRule="auto"/>
              <w:jc w:val="right"/>
              <w:rPr>
                <w:sz w:val="20"/>
                <w:szCs w:val="20"/>
              </w:rPr>
            </w:pPr>
            <w:r w:rsidRPr="009B5516">
              <w:rPr>
                <w:sz w:val="20"/>
                <w:szCs w:val="20"/>
              </w:rPr>
              <w:t>331,583</w:t>
            </w:r>
          </w:p>
        </w:tc>
        <w:tc>
          <w:tcPr>
            <w:tcW w:w="2335" w:type="dxa"/>
            <w:vAlign w:val="center"/>
          </w:tcPr>
          <w:p w14:paraId="5101DFDA" w14:textId="4EEFBF4C" w:rsidR="00055C65" w:rsidRPr="009B5516" w:rsidRDefault="00055C65" w:rsidP="009B5516">
            <w:pPr>
              <w:spacing w:after="0" w:line="240" w:lineRule="auto"/>
              <w:jc w:val="right"/>
              <w:rPr>
                <w:sz w:val="20"/>
                <w:szCs w:val="20"/>
              </w:rPr>
            </w:pPr>
            <w:r w:rsidRPr="009B5516">
              <w:rPr>
                <w:sz w:val="20"/>
                <w:szCs w:val="20"/>
              </w:rPr>
              <w:t>108</w:t>
            </w:r>
          </w:p>
        </w:tc>
        <w:tc>
          <w:tcPr>
            <w:tcW w:w="2335" w:type="dxa"/>
            <w:tcBorders>
              <w:right w:val="nil"/>
            </w:tcBorders>
            <w:vAlign w:val="center"/>
          </w:tcPr>
          <w:p w14:paraId="4FF59F56" w14:textId="48F37E73"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58371129" w14:textId="77777777" w:rsidTr="009B5516">
        <w:tc>
          <w:tcPr>
            <w:tcW w:w="2335" w:type="dxa"/>
            <w:tcBorders>
              <w:left w:val="nil"/>
            </w:tcBorders>
          </w:tcPr>
          <w:p w14:paraId="064CA4F1" w14:textId="77777777" w:rsidR="00055C65" w:rsidRPr="009B5516" w:rsidRDefault="00055C65" w:rsidP="00055C65">
            <w:pPr>
              <w:spacing w:after="0" w:line="240" w:lineRule="auto"/>
              <w:rPr>
                <w:sz w:val="20"/>
                <w:szCs w:val="20"/>
              </w:rPr>
            </w:pPr>
            <w:r w:rsidRPr="009B5516">
              <w:rPr>
                <w:sz w:val="20"/>
                <w:szCs w:val="20"/>
              </w:rPr>
              <w:t>2056</w:t>
            </w:r>
          </w:p>
        </w:tc>
        <w:tc>
          <w:tcPr>
            <w:tcW w:w="2335" w:type="dxa"/>
            <w:vAlign w:val="center"/>
          </w:tcPr>
          <w:p w14:paraId="45605AD6" w14:textId="0A732856" w:rsidR="00055C65" w:rsidRPr="009B5516" w:rsidRDefault="00055C65" w:rsidP="009B5516">
            <w:pPr>
              <w:spacing w:after="0" w:line="240" w:lineRule="auto"/>
              <w:jc w:val="right"/>
              <w:rPr>
                <w:sz w:val="20"/>
                <w:szCs w:val="20"/>
              </w:rPr>
            </w:pPr>
            <w:r w:rsidRPr="009B5516">
              <w:rPr>
                <w:sz w:val="20"/>
                <w:szCs w:val="20"/>
              </w:rPr>
              <w:t>331,583</w:t>
            </w:r>
          </w:p>
        </w:tc>
        <w:tc>
          <w:tcPr>
            <w:tcW w:w="2335" w:type="dxa"/>
            <w:vAlign w:val="center"/>
          </w:tcPr>
          <w:p w14:paraId="1C89A0CE" w14:textId="5193200A" w:rsidR="00055C65" w:rsidRPr="009B5516" w:rsidRDefault="00055C65" w:rsidP="009B5516">
            <w:pPr>
              <w:spacing w:after="0" w:line="240" w:lineRule="auto"/>
              <w:jc w:val="right"/>
              <w:rPr>
                <w:sz w:val="20"/>
                <w:szCs w:val="20"/>
              </w:rPr>
            </w:pPr>
            <w:r w:rsidRPr="009B5516">
              <w:rPr>
                <w:sz w:val="20"/>
                <w:szCs w:val="20"/>
              </w:rPr>
              <w:t>108</w:t>
            </w:r>
          </w:p>
        </w:tc>
        <w:tc>
          <w:tcPr>
            <w:tcW w:w="2335" w:type="dxa"/>
            <w:tcBorders>
              <w:right w:val="nil"/>
            </w:tcBorders>
            <w:vAlign w:val="center"/>
          </w:tcPr>
          <w:p w14:paraId="66EAC93D" w14:textId="3C47BE04"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6BFD2152" w14:textId="77777777" w:rsidTr="009B5516">
        <w:tc>
          <w:tcPr>
            <w:tcW w:w="2335" w:type="dxa"/>
            <w:tcBorders>
              <w:left w:val="nil"/>
            </w:tcBorders>
          </w:tcPr>
          <w:p w14:paraId="539A303A" w14:textId="77777777" w:rsidR="00055C65" w:rsidRPr="009B5516" w:rsidRDefault="00055C65" w:rsidP="00055C65">
            <w:pPr>
              <w:spacing w:after="0" w:line="240" w:lineRule="auto"/>
              <w:rPr>
                <w:sz w:val="20"/>
                <w:szCs w:val="20"/>
              </w:rPr>
            </w:pPr>
            <w:r w:rsidRPr="009B5516">
              <w:rPr>
                <w:sz w:val="20"/>
                <w:szCs w:val="20"/>
              </w:rPr>
              <w:t>2057</w:t>
            </w:r>
          </w:p>
        </w:tc>
        <w:tc>
          <w:tcPr>
            <w:tcW w:w="2335" w:type="dxa"/>
            <w:vAlign w:val="center"/>
          </w:tcPr>
          <w:p w14:paraId="5D391535" w14:textId="1D58D57E" w:rsidR="00055C65" w:rsidRPr="009B5516" w:rsidRDefault="00055C65" w:rsidP="009B5516">
            <w:pPr>
              <w:spacing w:after="0" w:line="240" w:lineRule="auto"/>
              <w:jc w:val="right"/>
              <w:rPr>
                <w:sz w:val="20"/>
                <w:szCs w:val="20"/>
              </w:rPr>
            </w:pPr>
            <w:r w:rsidRPr="009B5516">
              <w:rPr>
                <w:sz w:val="20"/>
                <w:szCs w:val="20"/>
              </w:rPr>
              <w:t>331,583</w:t>
            </w:r>
          </w:p>
        </w:tc>
        <w:tc>
          <w:tcPr>
            <w:tcW w:w="2335" w:type="dxa"/>
            <w:vAlign w:val="center"/>
          </w:tcPr>
          <w:p w14:paraId="71EF80EC" w14:textId="313200F9" w:rsidR="00055C65" w:rsidRPr="009B5516" w:rsidRDefault="00055C65" w:rsidP="009B5516">
            <w:pPr>
              <w:spacing w:after="0" w:line="240" w:lineRule="auto"/>
              <w:jc w:val="right"/>
              <w:rPr>
                <w:sz w:val="20"/>
                <w:szCs w:val="20"/>
              </w:rPr>
            </w:pPr>
            <w:r w:rsidRPr="009B5516">
              <w:rPr>
                <w:sz w:val="20"/>
                <w:szCs w:val="20"/>
              </w:rPr>
              <w:t>108</w:t>
            </w:r>
          </w:p>
        </w:tc>
        <w:tc>
          <w:tcPr>
            <w:tcW w:w="2335" w:type="dxa"/>
            <w:tcBorders>
              <w:right w:val="nil"/>
            </w:tcBorders>
            <w:vAlign w:val="center"/>
          </w:tcPr>
          <w:p w14:paraId="0C31C271" w14:textId="047DEE0B"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02939C26" w14:textId="77777777" w:rsidTr="009B5516">
        <w:tc>
          <w:tcPr>
            <w:tcW w:w="2335" w:type="dxa"/>
            <w:tcBorders>
              <w:left w:val="nil"/>
            </w:tcBorders>
          </w:tcPr>
          <w:p w14:paraId="68F43070" w14:textId="77777777" w:rsidR="00055C65" w:rsidRPr="009B5516" w:rsidRDefault="00055C65" w:rsidP="00055C65">
            <w:pPr>
              <w:spacing w:after="0" w:line="240" w:lineRule="auto"/>
              <w:rPr>
                <w:sz w:val="20"/>
                <w:szCs w:val="20"/>
              </w:rPr>
            </w:pPr>
            <w:r w:rsidRPr="009B5516">
              <w:rPr>
                <w:sz w:val="20"/>
                <w:szCs w:val="20"/>
              </w:rPr>
              <w:t>2058</w:t>
            </w:r>
          </w:p>
        </w:tc>
        <w:tc>
          <w:tcPr>
            <w:tcW w:w="2335" w:type="dxa"/>
            <w:vAlign w:val="center"/>
          </w:tcPr>
          <w:p w14:paraId="7AF31705" w14:textId="7914742D" w:rsidR="00055C65" w:rsidRPr="009B5516" w:rsidRDefault="00055C65" w:rsidP="009B5516">
            <w:pPr>
              <w:spacing w:after="0" w:line="240" w:lineRule="auto"/>
              <w:jc w:val="right"/>
              <w:rPr>
                <w:sz w:val="20"/>
                <w:szCs w:val="20"/>
              </w:rPr>
            </w:pPr>
            <w:r w:rsidRPr="009B5516">
              <w:rPr>
                <w:sz w:val="20"/>
                <w:szCs w:val="20"/>
              </w:rPr>
              <w:t>331,583</w:t>
            </w:r>
          </w:p>
        </w:tc>
        <w:tc>
          <w:tcPr>
            <w:tcW w:w="2335" w:type="dxa"/>
            <w:vAlign w:val="center"/>
          </w:tcPr>
          <w:p w14:paraId="5AC70EF4" w14:textId="12D0F407" w:rsidR="00055C65" w:rsidRPr="009B5516" w:rsidRDefault="00055C65" w:rsidP="009B5516">
            <w:pPr>
              <w:spacing w:after="0" w:line="240" w:lineRule="auto"/>
              <w:jc w:val="right"/>
              <w:rPr>
                <w:sz w:val="20"/>
                <w:szCs w:val="20"/>
              </w:rPr>
            </w:pPr>
            <w:r w:rsidRPr="009B5516">
              <w:rPr>
                <w:sz w:val="20"/>
                <w:szCs w:val="20"/>
              </w:rPr>
              <w:t>108</w:t>
            </w:r>
          </w:p>
        </w:tc>
        <w:tc>
          <w:tcPr>
            <w:tcW w:w="2335" w:type="dxa"/>
            <w:tcBorders>
              <w:right w:val="nil"/>
            </w:tcBorders>
            <w:vAlign w:val="center"/>
          </w:tcPr>
          <w:p w14:paraId="21959576" w14:textId="30DEB7A9"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7B2115D4" w14:textId="77777777" w:rsidTr="009B5516">
        <w:tc>
          <w:tcPr>
            <w:tcW w:w="2335" w:type="dxa"/>
            <w:tcBorders>
              <w:left w:val="nil"/>
            </w:tcBorders>
          </w:tcPr>
          <w:p w14:paraId="73DA0DD5" w14:textId="77777777" w:rsidR="00055C65" w:rsidRPr="009B5516" w:rsidRDefault="00055C65" w:rsidP="00055C65">
            <w:pPr>
              <w:spacing w:after="0" w:line="240" w:lineRule="auto"/>
              <w:rPr>
                <w:sz w:val="20"/>
                <w:szCs w:val="20"/>
              </w:rPr>
            </w:pPr>
            <w:r w:rsidRPr="009B5516">
              <w:rPr>
                <w:sz w:val="20"/>
                <w:szCs w:val="20"/>
              </w:rPr>
              <w:lastRenderedPageBreak/>
              <w:t>2059</w:t>
            </w:r>
          </w:p>
        </w:tc>
        <w:tc>
          <w:tcPr>
            <w:tcW w:w="2335" w:type="dxa"/>
            <w:vAlign w:val="center"/>
          </w:tcPr>
          <w:p w14:paraId="0F518EC8" w14:textId="13439D03" w:rsidR="00055C65" w:rsidRPr="009B5516" w:rsidRDefault="00055C65" w:rsidP="009B5516">
            <w:pPr>
              <w:spacing w:after="0" w:line="240" w:lineRule="auto"/>
              <w:jc w:val="right"/>
              <w:rPr>
                <w:sz w:val="20"/>
                <w:szCs w:val="20"/>
              </w:rPr>
            </w:pPr>
            <w:r w:rsidRPr="009B5516">
              <w:rPr>
                <w:sz w:val="20"/>
                <w:szCs w:val="20"/>
              </w:rPr>
              <w:t>331,583</w:t>
            </w:r>
          </w:p>
        </w:tc>
        <w:tc>
          <w:tcPr>
            <w:tcW w:w="2335" w:type="dxa"/>
            <w:vAlign w:val="center"/>
          </w:tcPr>
          <w:p w14:paraId="46DF5683" w14:textId="12A9070A" w:rsidR="00055C65" w:rsidRPr="009B5516" w:rsidRDefault="00055C65" w:rsidP="009B5516">
            <w:pPr>
              <w:spacing w:after="0" w:line="240" w:lineRule="auto"/>
              <w:jc w:val="right"/>
              <w:rPr>
                <w:sz w:val="20"/>
                <w:szCs w:val="20"/>
              </w:rPr>
            </w:pPr>
            <w:r w:rsidRPr="009B5516">
              <w:rPr>
                <w:sz w:val="20"/>
                <w:szCs w:val="20"/>
              </w:rPr>
              <w:t>108</w:t>
            </w:r>
          </w:p>
        </w:tc>
        <w:tc>
          <w:tcPr>
            <w:tcW w:w="2335" w:type="dxa"/>
            <w:tcBorders>
              <w:right w:val="nil"/>
            </w:tcBorders>
            <w:vAlign w:val="center"/>
          </w:tcPr>
          <w:p w14:paraId="0106C0DA" w14:textId="7AF4C3EB"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4F391294" w14:textId="77777777" w:rsidTr="009B5516">
        <w:tc>
          <w:tcPr>
            <w:tcW w:w="2335" w:type="dxa"/>
            <w:tcBorders>
              <w:left w:val="nil"/>
            </w:tcBorders>
          </w:tcPr>
          <w:p w14:paraId="3F4F4D6B" w14:textId="77777777" w:rsidR="00055C65" w:rsidRPr="009B5516" w:rsidRDefault="00055C65" w:rsidP="00055C65">
            <w:pPr>
              <w:spacing w:after="0" w:line="240" w:lineRule="auto"/>
              <w:rPr>
                <w:sz w:val="20"/>
                <w:szCs w:val="20"/>
              </w:rPr>
            </w:pPr>
            <w:r w:rsidRPr="009B5516">
              <w:rPr>
                <w:sz w:val="20"/>
                <w:szCs w:val="20"/>
              </w:rPr>
              <w:t>2060</w:t>
            </w:r>
          </w:p>
        </w:tc>
        <w:tc>
          <w:tcPr>
            <w:tcW w:w="2335" w:type="dxa"/>
            <w:vAlign w:val="center"/>
          </w:tcPr>
          <w:p w14:paraId="6059DA5C" w14:textId="337C578E" w:rsidR="00055C65" w:rsidRPr="009B5516" w:rsidRDefault="00055C65" w:rsidP="009B5516">
            <w:pPr>
              <w:spacing w:after="0" w:line="240" w:lineRule="auto"/>
              <w:jc w:val="right"/>
              <w:rPr>
                <w:sz w:val="20"/>
                <w:szCs w:val="20"/>
              </w:rPr>
            </w:pPr>
            <w:r w:rsidRPr="009B5516">
              <w:rPr>
                <w:sz w:val="20"/>
                <w:szCs w:val="20"/>
              </w:rPr>
              <w:t>331,583</w:t>
            </w:r>
          </w:p>
        </w:tc>
        <w:tc>
          <w:tcPr>
            <w:tcW w:w="2335" w:type="dxa"/>
            <w:vAlign w:val="center"/>
          </w:tcPr>
          <w:p w14:paraId="721AE91D" w14:textId="25AC9CA8" w:rsidR="00055C65" w:rsidRPr="009B5516" w:rsidRDefault="00055C65" w:rsidP="009B5516">
            <w:pPr>
              <w:spacing w:after="0" w:line="240" w:lineRule="auto"/>
              <w:jc w:val="right"/>
              <w:rPr>
                <w:sz w:val="20"/>
                <w:szCs w:val="20"/>
              </w:rPr>
            </w:pPr>
            <w:r w:rsidRPr="009B5516">
              <w:rPr>
                <w:sz w:val="20"/>
                <w:szCs w:val="20"/>
              </w:rPr>
              <w:t>108</w:t>
            </w:r>
          </w:p>
        </w:tc>
        <w:tc>
          <w:tcPr>
            <w:tcW w:w="2335" w:type="dxa"/>
            <w:tcBorders>
              <w:right w:val="nil"/>
            </w:tcBorders>
            <w:vAlign w:val="center"/>
          </w:tcPr>
          <w:p w14:paraId="0D6DFABE" w14:textId="327C35BF"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56139C6E" w14:textId="77777777" w:rsidTr="009B5516">
        <w:tc>
          <w:tcPr>
            <w:tcW w:w="2335" w:type="dxa"/>
            <w:tcBorders>
              <w:left w:val="nil"/>
            </w:tcBorders>
          </w:tcPr>
          <w:p w14:paraId="5B8AA383" w14:textId="77777777" w:rsidR="00055C65" w:rsidRPr="009B5516" w:rsidRDefault="00055C65" w:rsidP="00055C65">
            <w:pPr>
              <w:spacing w:after="0" w:line="240" w:lineRule="auto"/>
              <w:rPr>
                <w:sz w:val="20"/>
                <w:szCs w:val="20"/>
              </w:rPr>
            </w:pPr>
            <w:r w:rsidRPr="009B5516">
              <w:rPr>
                <w:sz w:val="20"/>
                <w:szCs w:val="20"/>
              </w:rPr>
              <w:t>2061</w:t>
            </w:r>
          </w:p>
        </w:tc>
        <w:tc>
          <w:tcPr>
            <w:tcW w:w="2335" w:type="dxa"/>
            <w:vAlign w:val="center"/>
          </w:tcPr>
          <w:p w14:paraId="70AFBA12" w14:textId="00EBD0D9" w:rsidR="00055C65" w:rsidRPr="009B5516" w:rsidRDefault="00055C65" w:rsidP="009B5516">
            <w:pPr>
              <w:spacing w:after="0" w:line="240" w:lineRule="auto"/>
              <w:jc w:val="right"/>
              <w:rPr>
                <w:sz w:val="20"/>
                <w:szCs w:val="20"/>
              </w:rPr>
            </w:pPr>
            <w:r w:rsidRPr="009B5516">
              <w:rPr>
                <w:sz w:val="20"/>
                <w:szCs w:val="20"/>
              </w:rPr>
              <w:t>331,583</w:t>
            </w:r>
          </w:p>
        </w:tc>
        <w:tc>
          <w:tcPr>
            <w:tcW w:w="2335" w:type="dxa"/>
            <w:vAlign w:val="center"/>
          </w:tcPr>
          <w:p w14:paraId="20822A72" w14:textId="3297CFDB" w:rsidR="00055C65" w:rsidRPr="009B5516" w:rsidRDefault="00055C65" w:rsidP="009B5516">
            <w:pPr>
              <w:spacing w:after="0" w:line="240" w:lineRule="auto"/>
              <w:jc w:val="right"/>
              <w:rPr>
                <w:sz w:val="20"/>
                <w:szCs w:val="20"/>
              </w:rPr>
            </w:pPr>
            <w:r w:rsidRPr="009B5516">
              <w:rPr>
                <w:sz w:val="20"/>
                <w:szCs w:val="20"/>
              </w:rPr>
              <w:t>108</w:t>
            </w:r>
          </w:p>
        </w:tc>
        <w:tc>
          <w:tcPr>
            <w:tcW w:w="2335" w:type="dxa"/>
            <w:tcBorders>
              <w:right w:val="nil"/>
            </w:tcBorders>
            <w:vAlign w:val="center"/>
          </w:tcPr>
          <w:p w14:paraId="3CA30C17" w14:textId="1DFE8460"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1A585AFC" w14:textId="77777777" w:rsidTr="009B5516">
        <w:tc>
          <w:tcPr>
            <w:tcW w:w="2335" w:type="dxa"/>
            <w:tcBorders>
              <w:left w:val="nil"/>
            </w:tcBorders>
          </w:tcPr>
          <w:p w14:paraId="49650C24" w14:textId="77777777" w:rsidR="00055C65" w:rsidRPr="009B5516" w:rsidRDefault="00055C65" w:rsidP="00055C65">
            <w:pPr>
              <w:spacing w:after="0" w:line="240" w:lineRule="auto"/>
              <w:rPr>
                <w:sz w:val="20"/>
                <w:szCs w:val="20"/>
              </w:rPr>
            </w:pPr>
            <w:r w:rsidRPr="009B5516">
              <w:rPr>
                <w:sz w:val="20"/>
                <w:szCs w:val="20"/>
              </w:rPr>
              <w:t>2062</w:t>
            </w:r>
          </w:p>
        </w:tc>
        <w:tc>
          <w:tcPr>
            <w:tcW w:w="2335" w:type="dxa"/>
            <w:vAlign w:val="center"/>
          </w:tcPr>
          <w:p w14:paraId="448F954C" w14:textId="7F4ACA09" w:rsidR="00055C65" w:rsidRPr="009B5516" w:rsidRDefault="00055C65" w:rsidP="009B5516">
            <w:pPr>
              <w:spacing w:after="0" w:line="240" w:lineRule="auto"/>
              <w:jc w:val="right"/>
              <w:rPr>
                <w:sz w:val="20"/>
                <w:szCs w:val="20"/>
              </w:rPr>
            </w:pPr>
            <w:r w:rsidRPr="009B5516">
              <w:rPr>
                <w:sz w:val="20"/>
                <w:szCs w:val="20"/>
              </w:rPr>
              <w:t>331,583</w:t>
            </w:r>
          </w:p>
        </w:tc>
        <w:tc>
          <w:tcPr>
            <w:tcW w:w="2335" w:type="dxa"/>
            <w:vAlign w:val="center"/>
          </w:tcPr>
          <w:p w14:paraId="535F64BE" w14:textId="6DCDB511" w:rsidR="00055C65" w:rsidRPr="009B5516" w:rsidRDefault="00055C65" w:rsidP="009B5516">
            <w:pPr>
              <w:spacing w:after="0" w:line="240" w:lineRule="auto"/>
              <w:jc w:val="right"/>
              <w:rPr>
                <w:sz w:val="20"/>
                <w:szCs w:val="20"/>
              </w:rPr>
            </w:pPr>
            <w:r w:rsidRPr="009B5516">
              <w:rPr>
                <w:sz w:val="20"/>
                <w:szCs w:val="20"/>
              </w:rPr>
              <w:t>108</w:t>
            </w:r>
          </w:p>
        </w:tc>
        <w:tc>
          <w:tcPr>
            <w:tcW w:w="2335" w:type="dxa"/>
            <w:tcBorders>
              <w:right w:val="nil"/>
            </w:tcBorders>
            <w:vAlign w:val="center"/>
          </w:tcPr>
          <w:p w14:paraId="0DA8A897" w14:textId="56618CF7"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648D2761" w14:textId="77777777" w:rsidTr="009B5516">
        <w:tc>
          <w:tcPr>
            <w:tcW w:w="2335" w:type="dxa"/>
            <w:tcBorders>
              <w:left w:val="nil"/>
            </w:tcBorders>
          </w:tcPr>
          <w:p w14:paraId="4AA73CE1" w14:textId="77777777" w:rsidR="00055C65" w:rsidRPr="009B5516" w:rsidRDefault="00055C65" w:rsidP="00055C65">
            <w:pPr>
              <w:spacing w:after="0" w:line="240" w:lineRule="auto"/>
              <w:rPr>
                <w:sz w:val="20"/>
                <w:szCs w:val="20"/>
              </w:rPr>
            </w:pPr>
            <w:r w:rsidRPr="009B5516">
              <w:rPr>
                <w:sz w:val="20"/>
                <w:szCs w:val="20"/>
              </w:rPr>
              <w:t>2063</w:t>
            </w:r>
          </w:p>
        </w:tc>
        <w:tc>
          <w:tcPr>
            <w:tcW w:w="2335" w:type="dxa"/>
            <w:vAlign w:val="center"/>
          </w:tcPr>
          <w:p w14:paraId="0CD75A95" w14:textId="5B603A01" w:rsidR="00055C65" w:rsidRPr="009B5516" w:rsidRDefault="00055C65" w:rsidP="009B5516">
            <w:pPr>
              <w:spacing w:after="0" w:line="240" w:lineRule="auto"/>
              <w:jc w:val="right"/>
              <w:rPr>
                <w:sz w:val="20"/>
                <w:szCs w:val="20"/>
              </w:rPr>
            </w:pPr>
            <w:r w:rsidRPr="009B5516">
              <w:rPr>
                <w:sz w:val="20"/>
                <w:szCs w:val="20"/>
              </w:rPr>
              <w:t>254,081</w:t>
            </w:r>
          </w:p>
        </w:tc>
        <w:tc>
          <w:tcPr>
            <w:tcW w:w="2335" w:type="dxa"/>
            <w:vAlign w:val="center"/>
          </w:tcPr>
          <w:p w14:paraId="3CBACD9C" w14:textId="707FD4C5" w:rsidR="00055C65" w:rsidRPr="009B5516" w:rsidRDefault="00055C65" w:rsidP="009B5516">
            <w:pPr>
              <w:spacing w:after="0" w:line="240" w:lineRule="auto"/>
              <w:jc w:val="right"/>
              <w:rPr>
                <w:sz w:val="20"/>
                <w:szCs w:val="20"/>
              </w:rPr>
            </w:pPr>
            <w:r w:rsidRPr="009B5516">
              <w:rPr>
                <w:sz w:val="20"/>
                <w:szCs w:val="20"/>
              </w:rPr>
              <w:t>82</w:t>
            </w:r>
          </w:p>
        </w:tc>
        <w:tc>
          <w:tcPr>
            <w:tcW w:w="2335" w:type="dxa"/>
            <w:tcBorders>
              <w:right w:val="nil"/>
            </w:tcBorders>
            <w:vAlign w:val="center"/>
          </w:tcPr>
          <w:p w14:paraId="656EBE73" w14:textId="25CF3976"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5E619696" w14:textId="77777777" w:rsidTr="009B5516">
        <w:tc>
          <w:tcPr>
            <w:tcW w:w="2335" w:type="dxa"/>
            <w:tcBorders>
              <w:left w:val="nil"/>
              <w:bottom w:val="dotted" w:sz="2" w:space="0" w:color="00BAD6"/>
            </w:tcBorders>
          </w:tcPr>
          <w:p w14:paraId="162C99C5" w14:textId="77777777" w:rsidR="00055C65" w:rsidRPr="009B5516" w:rsidRDefault="00055C65" w:rsidP="00055C65">
            <w:pPr>
              <w:spacing w:after="0" w:line="240" w:lineRule="auto"/>
              <w:rPr>
                <w:sz w:val="20"/>
                <w:szCs w:val="20"/>
              </w:rPr>
            </w:pPr>
            <w:r w:rsidRPr="009B5516">
              <w:rPr>
                <w:sz w:val="20"/>
                <w:szCs w:val="20"/>
              </w:rPr>
              <w:t>2064</w:t>
            </w:r>
          </w:p>
        </w:tc>
        <w:tc>
          <w:tcPr>
            <w:tcW w:w="2335" w:type="dxa"/>
            <w:tcBorders>
              <w:bottom w:val="dotted" w:sz="2" w:space="0" w:color="00BAD6"/>
            </w:tcBorders>
            <w:vAlign w:val="center"/>
          </w:tcPr>
          <w:p w14:paraId="4813D2C3" w14:textId="271CD4D5" w:rsidR="00055C65" w:rsidRPr="009B5516" w:rsidRDefault="00055C65" w:rsidP="009B5516">
            <w:pPr>
              <w:spacing w:after="0" w:line="240" w:lineRule="auto"/>
              <w:jc w:val="right"/>
              <w:rPr>
                <w:sz w:val="20"/>
                <w:szCs w:val="20"/>
              </w:rPr>
            </w:pPr>
            <w:r w:rsidRPr="009B5516">
              <w:rPr>
                <w:sz w:val="20"/>
                <w:szCs w:val="20"/>
              </w:rPr>
              <w:t>60,652</w:t>
            </w:r>
          </w:p>
        </w:tc>
        <w:tc>
          <w:tcPr>
            <w:tcW w:w="2335" w:type="dxa"/>
            <w:tcBorders>
              <w:bottom w:val="dotted" w:sz="2" w:space="0" w:color="00BAD6"/>
            </w:tcBorders>
            <w:vAlign w:val="center"/>
          </w:tcPr>
          <w:p w14:paraId="3B896585" w14:textId="47C351C7" w:rsidR="00055C65" w:rsidRPr="009B5516" w:rsidRDefault="00055C65" w:rsidP="009B5516">
            <w:pPr>
              <w:spacing w:after="0" w:line="240" w:lineRule="auto"/>
              <w:jc w:val="right"/>
              <w:rPr>
                <w:sz w:val="20"/>
                <w:szCs w:val="20"/>
              </w:rPr>
            </w:pPr>
            <w:r w:rsidRPr="009B5516">
              <w:rPr>
                <w:sz w:val="20"/>
                <w:szCs w:val="20"/>
              </w:rPr>
              <w:t>20</w:t>
            </w:r>
          </w:p>
        </w:tc>
        <w:tc>
          <w:tcPr>
            <w:tcW w:w="2335" w:type="dxa"/>
            <w:tcBorders>
              <w:bottom w:val="dotted" w:sz="2" w:space="0" w:color="00BAD6"/>
              <w:right w:val="nil"/>
            </w:tcBorders>
            <w:vAlign w:val="center"/>
          </w:tcPr>
          <w:p w14:paraId="210881A0" w14:textId="4B3EEA8E" w:rsidR="00055C65" w:rsidRPr="009B5516" w:rsidRDefault="00055C65" w:rsidP="009B5516">
            <w:pPr>
              <w:spacing w:after="0" w:line="240" w:lineRule="auto"/>
              <w:jc w:val="right"/>
              <w:rPr>
                <w:sz w:val="20"/>
                <w:szCs w:val="20"/>
              </w:rPr>
            </w:pPr>
            <w:r w:rsidRPr="009B5516">
              <w:rPr>
                <w:sz w:val="20"/>
                <w:szCs w:val="20"/>
              </w:rPr>
              <w:t>0.3244</w:t>
            </w:r>
          </w:p>
        </w:tc>
      </w:tr>
      <w:tr w:rsidR="00055C65" w:rsidRPr="009B5516" w14:paraId="6E082E9A" w14:textId="77777777" w:rsidTr="009B5516">
        <w:tc>
          <w:tcPr>
            <w:tcW w:w="2335" w:type="dxa"/>
            <w:tcBorders>
              <w:top w:val="dotted" w:sz="2" w:space="0" w:color="00BAD6"/>
              <w:left w:val="nil"/>
              <w:bottom w:val="single" w:sz="4" w:space="0" w:color="auto"/>
            </w:tcBorders>
          </w:tcPr>
          <w:p w14:paraId="60DAF2EC" w14:textId="7F9D93F9" w:rsidR="00055C65" w:rsidRPr="009B5516" w:rsidRDefault="00055C65" w:rsidP="00055C65">
            <w:pPr>
              <w:spacing w:after="0" w:line="240" w:lineRule="auto"/>
              <w:rPr>
                <w:b/>
                <w:bCs/>
                <w:sz w:val="20"/>
                <w:szCs w:val="20"/>
              </w:rPr>
            </w:pPr>
            <w:r w:rsidRPr="009B5516">
              <w:rPr>
                <w:b/>
                <w:bCs/>
                <w:sz w:val="20"/>
                <w:szCs w:val="20"/>
              </w:rPr>
              <w:t xml:space="preserve">Total Lifetime Carbon Reduction </w:t>
            </w:r>
          </w:p>
        </w:tc>
        <w:tc>
          <w:tcPr>
            <w:tcW w:w="2335" w:type="dxa"/>
            <w:tcBorders>
              <w:top w:val="dotted" w:sz="2" w:space="0" w:color="00BAD6"/>
              <w:bottom w:val="single" w:sz="4" w:space="0" w:color="auto"/>
            </w:tcBorders>
            <w:vAlign w:val="center"/>
          </w:tcPr>
          <w:p w14:paraId="4AA6404B" w14:textId="2B251516" w:rsidR="00055C65" w:rsidRPr="009B5516" w:rsidRDefault="00055C65" w:rsidP="009B5516">
            <w:pPr>
              <w:spacing w:after="0" w:line="240" w:lineRule="auto"/>
              <w:jc w:val="right"/>
              <w:rPr>
                <w:b/>
                <w:bCs/>
                <w:sz w:val="20"/>
                <w:szCs w:val="20"/>
              </w:rPr>
            </w:pPr>
            <w:r w:rsidRPr="009B5516">
              <w:rPr>
                <w:b/>
                <w:bCs/>
                <w:sz w:val="20"/>
                <w:szCs w:val="20"/>
              </w:rPr>
              <w:t>19,156,864,438</w:t>
            </w:r>
          </w:p>
        </w:tc>
        <w:tc>
          <w:tcPr>
            <w:tcW w:w="2335" w:type="dxa"/>
            <w:tcBorders>
              <w:top w:val="dotted" w:sz="2" w:space="0" w:color="00BAD6"/>
              <w:bottom w:val="single" w:sz="4" w:space="0" w:color="auto"/>
            </w:tcBorders>
            <w:vAlign w:val="center"/>
          </w:tcPr>
          <w:p w14:paraId="66FD610C" w14:textId="41070C79" w:rsidR="00055C65" w:rsidRPr="009B5516" w:rsidRDefault="00055C65" w:rsidP="009B5516">
            <w:pPr>
              <w:spacing w:after="0" w:line="240" w:lineRule="auto"/>
              <w:jc w:val="right"/>
              <w:rPr>
                <w:b/>
                <w:bCs/>
                <w:sz w:val="20"/>
                <w:szCs w:val="20"/>
              </w:rPr>
            </w:pPr>
            <w:r w:rsidRPr="009B5516">
              <w:rPr>
                <w:b/>
                <w:bCs/>
                <w:sz w:val="20"/>
                <w:szCs w:val="20"/>
              </w:rPr>
              <w:t>9,265,325</w:t>
            </w:r>
          </w:p>
        </w:tc>
        <w:tc>
          <w:tcPr>
            <w:tcW w:w="2335" w:type="dxa"/>
            <w:tcBorders>
              <w:top w:val="dotted" w:sz="2" w:space="0" w:color="00BAD6"/>
              <w:bottom w:val="single" w:sz="4" w:space="0" w:color="auto"/>
              <w:right w:val="nil"/>
            </w:tcBorders>
            <w:vAlign w:val="center"/>
          </w:tcPr>
          <w:p w14:paraId="21810777" w14:textId="460D1388" w:rsidR="00055C65" w:rsidRPr="009B5516" w:rsidRDefault="00055C65" w:rsidP="009B5516">
            <w:pPr>
              <w:spacing w:after="0" w:line="240" w:lineRule="auto"/>
              <w:jc w:val="right"/>
              <w:rPr>
                <w:b/>
                <w:bCs/>
                <w:sz w:val="20"/>
                <w:szCs w:val="20"/>
              </w:rPr>
            </w:pPr>
            <w:r w:rsidRPr="009B5516">
              <w:rPr>
                <w:b/>
                <w:bCs/>
                <w:sz w:val="20"/>
                <w:szCs w:val="20"/>
              </w:rPr>
              <w:t>0.4837</w:t>
            </w:r>
          </w:p>
        </w:tc>
      </w:tr>
    </w:tbl>
    <w:p w14:paraId="4AF0C9FF" w14:textId="0D50C503" w:rsidR="00055C65" w:rsidRPr="00055C65" w:rsidRDefault="00055C65" w:rsidP="00055C65">
      <w:pPr>
        <w:pStyle w:val="TableFigureSoureorNote"/>
      </w:pPr>
      <w:r w:rsidRPr="00E50A85">
        <w:t xml:space="preserve">Source: </w:t>
      </w:r>
      <w:r w:rsidRPr="00055C65">
        <w:t>Guidehouse analysis of ComEd CY2025 verified program savings.</w:t>
      </w:r>
    </w:p>
    <w:p w14:paraId="6B0FD00D" w14:textId="77777777" w:rsidR="00FA2739" w:rsidRPr="008A414E" w:rsidRDefault="00FA2739" w:rsidP="00534DE9"/>
    <w:sectPr w:rsidR="00FA2739" w:rsidRPr="008A414E" w:rsidSect="002A5022">
      <w:footerReference w:type="default" r:id="rId28"/>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eff Erickson" w:date="2026-04-24T07:57:00Z" w:initials="JE">
    <w:p w14:paraId="5CD41EBE" w14:textId="77777777" w:rsidR="00885A6A" w:rsidRDefault="00885A6A" w:rsidP="00885A6A">
      <w:pPr>
        <w:pStyle w:val="CommentText"/>
      </w:pPr>
      <w:r>
        <w:rPr>
          <w:rStyle w:val="CommentReference"/>
        </w:rPr>
        <w:annotationRef/>
      </w:r>
      <w:r>
        <w:t>Edit this paragraph. It seems you are saying that we are going to describe one program but the second sentence contradicts that and scanning the next two paragraphs I don’t see support for the “one program” approach to the description.</w:t>
      </w:r>
    </w:p>
  </w:comment>
  <w:comment w:id="11" w:author="Harry Wang" w:date="2026-04-24T13:03:00Z" w:initials="HW">
    <w:p w14:paraId="20F8DAFA" w14:textId="2B8670D8" w:rsidR="002D57C5" w:rsidRDefault="002D57C5" w:rsidP="002D57C5">
      <w:pPr>
        <w:pStyle w:val="CommentText"/>
      </w:pPr>
      <w:r>
        <w:rPr>
          <w:rStyle w:val="CommentReference"/>
        </w:rPr>
        <w:annotationRef/>
      </w:r>
      <w:r>
        <w:fldChar w:fldCharType="begin"/>
      </w:r>
      <w:r>
        <w:instrText>HYPERLINK "mailto:ylakew@guidehouse.com"</w:instrText>
      </w:r>
      <w:bookmarkStart w:id="12" w:name="_@_75872C1ADF1148D3B08723077A02916FZ"/>
      <w:r>
        <w:fldChar w:fldCharType="separate"/>
      </w:r>
      <w:bookmarkEnd w:id="12"/>
      <w:r w:rsidRPr="002D57C5">
        <w:rPr>
          <w:rStyle w:val="Mention"/>
          <w:noProof/>
        </w:rPr>
        <w:t>@Yeab Lakew</w:t>
      </w:r>
      <w:r>
        <w:fldChar w:fldCharType="end"/>
      </w:r>
      <w:r>
        <w:t xml:space="preserve"> Can you review my edits?</w:t>
      </w:r>
    </w:p>
  </w:comment>
  <w:comment w:id="13" w:author="Jeff Erickson" w:date="2026-04-24T08:02:00Z" w:initials="JE">
    <w:p w14:paraId="4AD8309D" w14:textId="6E98C962" w:rsidR="00B00396" w:rsidRDefault="00B00396" w:rsidP="00B00396">
      <w:pPr>
        <w:pStyle w:val="CommentText"/>
      </w:pPr>
      <w:r>
        <w:rPr>
          <w:rStyle w:val="CommentReference"/>
        </w:rPr>
        <w:annotationRef/>
      </w:r>
      <w:r>
        <w:t>Edit this. “in the year of analysis” needs more words to make the point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D41EBE" w15:done="1"/>
  <w15:commentEx w15:paraId="20F8DAFA" w15:paraIdParent="5CD41EBE" w15:done="1"/>
  <w15:commentEx w15:paraId="4AD830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4B660D" w16cex:dateUtc="2026-04-24T12:57:00Z"/>
  <w16cex:commentExtensible w16cex:durableId="4E98773F" w16cex:dateUtc="2026-04-24T17:03:00Z"/>
  <w16cex:commentExtensible w16cex:durableId="71D3B020" w16cex:dateUtc="2026-04-24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D41EBE" w16cid:durableId="484B660D"/>
  <w16cid:commentId w16cid:paraId="20F8DAFA" w16cid:durableId="4E98773F"/>
  <w16cid:commentId w16cid:paraId="4AD8309D" w16cid:durableId="71D3B0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B9D9" w14:textId="77777777" w:rsidR="002F6207" w:rsidRDefault="002F6207" w:rsidP="00BA291E">
      <w:pPr>
        <w:spacing w:after="0" w:line="240" w:lineRule="auto"/>
      </w:pPr>
      <w:r>
        <w:separator/>
      </w:r>
    </w:p>
  </w:endnote>
  <w:endnote w:type="continuationSeparator" w:id="0">
    <w:p w14:paraId="504E5939" w14:textId="77777777" w:rsidR="002F6207" w:rsidRDefault="002F6207" w:rsidP="00BA291E">
      <w:pPr>
        <w:spacing w:after="0" w:line="240" w:lineRule="auto"/>
      </w:pPr>
      <w:r>
        <w:continuationSeparator/>
      </w:r>
    </w:p>
  </w:endnote>
  <w:endnote w:type="continuationNotice" w:id="1">
    <w:p w14:paraId="6C3CD2EA" w14:textId="77777777" w:rsidR="002F6207" w:rsidRDefault="002F6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37CD5" w:rsidRPr="000E7807" w14:paraId="7DDC4E60" w14:textId="77777777" w:rsidTr="00E37CD5">
      <w:trPr>
        <w:trHeight w:val="144"/>
        <w:jc w:val="center"/>
      </w:trPr>
      <w:tc>
        <w:tcPr>
          <w:tcW w:w="6681" w:type="dxa"/>
          <w:tcBorders>
            <w:top w:val="single" w:sz="8" w:space="0" w:color="8C8C8C"/>
            <w:left w:val="nil"/>
            <w:bottom w:val="nil"/>
          </w:tcBorders>
        </w:tcPr>
        <w:p w14:paraId="127CB2BF" w14:textId="49F3CCA7" w:rsidR="00E37CD5" w:rsidRPr="000E7807" w:rsidRDefault="00E37CD5" w:rsidP="00E37CD5">
          <w:pPr>
            <w:pStyle w:val="Footer"/>
            <w:spacing w:before="120"/>
            <w:rPr>
              <w:sz w:val="2"/>
              <w:szCs w:val="2"/>
            </w:rPr>
          </w:pPr>
        </w:p>
      </w:tc>
      <w:tc>
        <w:tcPr>
          <w:tcW w:w="2679" w:type="dxa"/>
          <w:tcBorders>
            <w:top w:val="single" w:sz="8" w:space="0" w:color="8C8C8C"/>
          </w:tcBorders>
        </w:tcPr>
        <w:p w14:paraId="54E204BB" w14:textId="77777777" w:rsidR="00E37CD5" w:rsidRPr="000E7807" w:rsidRDefault="00E37CD5" w:rsidP="00E37CD5">
          <w:pPr>
            <w:pStyle w:val="Footer"/>
            <w:spacing w:before="120"/>
            <w:jc w:val="right"/>
            <w:rPr>
              <w:sz w:val="2"/>
              <w:szCs w:val="2"/>
            </w:rPr>
          </w:pPr>
        </w:p>
      </w:tc>
    </w:tr>
    <w:tr w:rsidR="00E37CD5" w:rsidRPr="000E7807" w14:paraId="53AEBF9C" w14:textId="77777777" w:rsidTr="00E37CD5">
      <w:trPr>
        <w:trHeight w:val="195"/>
        <w:jc w:val="center"/>
      </w:trPr>
      <w:tc>
        <w:tcPr>
          <w:tcW w:w="6681" w:type="dxa"/>
          <w:tcBorders>
            <w:top w:val="nil"/>
            <w:left w:val="nil"/>
            <w:bottom w:val="nil"/>
          </w:tcBorders>
          <w:vAlign w:val="center"/>
        </w:tcPr>
        <w:p w14:paraId="07B7ADEB" w14:textId="77777777" w:rsidR="00E37CD5" w:rsidRPr="000E7807" w:rsidRDefault="00E37CD5" w:rsidP="00E37CD5">
          <w:pPr>
            <w:pStyle w:val="Footer"/>
            <w:rPr>
              <w:i/>
              <w:iCs/>
              <w:sz w:val="18"/>
            </w:rPr>
          </w:pPr>
          <w:r w:rsidRPr="000E7807">
            <w:rPr>
              <w:i/>
              <w:iCs/>
              <w:sz w:val="18"/>
            </w:rPr>
            <w:t>© 2025 Guidehouse Inc. All rights reserved.</w:t>
          </w:r>
        </w:p>
      </w:tc>
      <w:tc>
        <w:tcPr>
          <w:tcW w:w="2679" w:type="dxa"/>
          <w:vAlign w:val="center"/>
        </w:tcPr>
        <w:p w14:paraId="2C97B95C" w14:textId="77777777" w:rsidR="00E37CD5" w:rsidRPr="000E7807" w:rsidRDefault="00E37CD5" w:rsidP="00E37CD5">
          <w:pPr>
            <w:pStyle w:val="Footer"/>
            <w:jc w:val="right"/>
            <w:rPr>
              <w:rStyle w:val="PageNumber"/>
              <w:sz w:val="18"/>
            </w:rPr>
          </w:pPr>
          <w:r w:rsidRPr="000E7807">
            <w:rPr>
              <w:rStyle w:val="PageNumber"/>
              <w:sz w:val="18"/>
            </w:rPr>
            <w:t xml:space="preserve">Page </w:t>
          </w:r>
          <w:r w:rsidRPr="000E7807">
            <w:rPr>
              <w:rStyle w:val="PageNumber"/>
              <w:sz w:val="18"/>
            </w:rPr>
            <w:fldChar w:fldCharType="begin"/>
          </w:r>
          <w:r w:rsidRPr="000E7807">
            <w:rPr>
              <w:rStyle w:val="PageNumber"/>
              <w:sz w:val="18"/>
            </w:rPr>
            <w:instrText xml:space="preserve"> PAGE   \* MERGEFORMAT </w:instrText>
          </w:r>
          <w:r w:rsidRPr="000E7807">
            <w:rPr>
              <w:rStyle w:val="PageNumber"/>
              <w:sz w:val="18"/>
            </w:rPr>
            <w:fldChar w:fldCharType="separate"/>
          </w:r>
          <w:r w:rsidRPr="000E7807">
            <w:rPr>
              <w:rStyle w:val="PageNumber"/>
              <w:sz w:val="18"/>
            </w:rPr>
            <w:t>ii</w:t>
          </w:r>
          <w:r w:rsidRPr="000E7807">
            <w:rPr>
              <w:rStyle w:val="PageNumber"/>
              <w:sz w:val="18"/>
            </w:rPr>
            <w:fldChar w:fldCharType="end"/>
          </w:r>
        </w:p>
      </w:tc>
    </w:tr>
  </w:tbl>
  <w:p w14:paraId="71F99E8F" w14:textId="77777777" w:rsidR="006715B5" w:rsidRPr="00274E02" w:rsidRDefault="006715B5">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62D0" w14:textId="77777777" w:rsidR="00A4472C" w:rsidRPr="00FB30FD" w:rsidRDefault="00FE1C61"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C44BA8" w:rsidRPr="000E7807" w14:paraId="2D8FCCDA" w14:textId="77777777" w:rsidTr="00E37CD5">
      <w:trPr>
        <w:trHeight w:val="144"/>
        <w:jc w:val="center"/>
      </w:trPr>
      <w:tc>
        <w:tcPr>
          <w:tcW w:w="6681" w:type="dxa"/>
          <w:tcBorders>
            <w:top w:val="single" w:sz="8" w:space="0" w:color="8C8C8C"/>
            <w:left w:val="nil"/>
            <w:bottom w:val="nil"/>
          </w:tcBorders>
        </w:tcPr>
        <w:p w14:paraId="115F5C34" w14:textId="77777777" w:rsidR="00C44BA8" w:rsidRPr="000E7807" w:rsidRDefault="00C44BA8" w:rsidP="00E37CD5">
          <w:pPr>
            <w:pStyle w:val="Footer"/>
            <w:spacing w:before="120"/>
            <w:rPr>
              <w:sz w:val="2"/>
              <w:szCs w:val="2"/>
            </w:rPr>
          </w:pPr>
        </w:p>
      </w:tc>
      <w:tc>
        <w:tcPr>
          <w:tcW w:w="2679" w:type="dxa"/>
          <w:tcBorders>
            <w:top w:val="single" w:sz="8" w:space="0" w:color="8C8C8C"/>
          </w:tcBorders>
        </w:tcPr>
        <w:p w14:paraId="1260FB27" w14:textId="77777777" w:rsidR="00C44BA8" w:rsidRPr="000E7807" w:rsidRDefault="00C44BA8" w:rsidP="00E37CD5">
          <w:pPr>
            <w:pStyle w:val="Footer"/>
            <w:spacing w:before="120"/>
            <w:jc w:val="right"/>
            <w:rPr>
              <w:sz w:val="2"/>
              <w:szCs w:val="2"/>
            </w:rPr>
          </w:pPr>
        </w:p>
      </w:tc>
    </w:tr>
    <w:tr w:rsidR="00C44BA8" w:rsidRPr="000E7807" w14:paraId="373BEA19" w14:textId="77777777" w:rsidTr="00E37CD5">
      <w:trPr>
        <w:trHeight w:val="195"/>
        <w:jc w:val="center"/>
      </w:trPr>
      <w:tc>
        <w:tcPr>
          <w:tcW w:w="6681" w:type="dxa"/>
          <w:tcBorders>
            <w:top w:val="nil"/>
            <w:left w:val="nil"/>
            <w:bottom w:val="nil"/>
          </w:tcBorders>
          <w:vAlign w:val="center"/>
        </w:tcPr>
        <w:p w14:paraId="00B29E31" w14:textId="3AAA4D74" w:rsidR="00C44BA8" w:rsidRPr="000E7807" w:rsidRDefault="00C44BA8" w:rsidP="00E37CD5">
          <w:pPr>
            <w:pStyle w:val="Footer"/>
            <w:rPr>
              <w:i/>
              <w:iCs/>
              <w:sz w:val="18"/>
            </w:rPr>
          </w:pPr>
          <w:r w:rsidRPr="000E7807">
            <w:rPr>
              <w:i/>
              <w:iCs/>
              <w:sz w:val="18"/>
            </w:rPr>
            <w:t>© 202</w:t>
          </w:r>
          <w:r w:rsidR="005B5A98">
            <w:rPr>
              <w:i/>
              <w:iCs/>
              <w:sz w:val="18"/>
            </w:rPr>
            <w:t>6</w:t>
          </w:r>
          <w:r w:rsidRPr="000E7807">
            <w:rPr>
              <w:i/>
              <w:iCs/>
              <w:sz w:val="18"/>
            </w:rPr>
            <w:t xml:space="preserve"> Guidehouse Inc. All rights reserved.</w:t>
          </w:r>
        </w:p>
      </w:tc>
      <w:tc>
        <w:tcPr>
          <w:tcW w:w="2679" w:type="dxa"/>
          <w:vAlign w:val="center"/>
        </w:tcPr>
        <w:p w14:paraId="5F6B6CDB" w14:textId="77777777" w:rsidR="00C44BA8" w:rsidRPr="000E7807" w:rsidRDefault="00C44BA8" w:rsidP="00E37CD5">
          <w:pPr>
            <w:pStyle w:val="Footer"/>
            <w:jc w:val="right"/>
            <w:rPr>
              <w:rStyle w:val="PageNumber"/>
              <w:sz w:val="18"/>
            </w:rPr>
          </w:pPr>
          <w:r w:rsidRPr="000E7807">
            <w:rPr>
              <w:rStyle w:val="PageNumber"/>
              <w:sz w:val="18"/>
            </w:rPr>
            <w:t xml:space="preserve">Page </w:t>
          </w:r>
          <w:r w:rsidRPr="000E7807">
            <w:rPr>
              <w:rStyle w:val="PageNumber"/>
              <w:sz w:val="18"/>
            </w:rPr>
            <w:fldChar w:fldCharType="begin"/>
          </w:r>
          <w:r w:rsidRPr="000E7807">
            <w:rPr>
              <w:rStyle w:val="PageNumber"/>
              <w:sz w:val="18"/>
            </w:rPr>
            <w:instrText xml:space="preserve"> PAGE   \* MERGEFORMAT </w:instrText>
          </w:r>
          <w:r w:rsidRPr="000E7807">
            <w:rPr>
              <w:rStyle w:val="PageNumber"/>
              <w:sz w:val="18"/>
            </w:rPr>
            <w:fldChar w:fldCharType="separate"/>
          </w:r>
          <w:r w:rsidRPr="000E7807">
            <w:rPr>
              <w:rStyle w:val="PageNumber"/>
              <w:sz w:val="18"/>
            </w:rPr>
            <w:t>ii</w:t>
          </w:r>
          <w:r w:rsidRPr="000E7807">
            <w:rPr>
              <w:rStyle w:val="PageNumber"/>
              <w:sz w:val="18"/>
            </w:rPr>
            <w:fldChar w:fldCharType="end"/>
          </w:r>
        </w:p>
      </w:tc>
    </w:tr>
  </w:tbl>
  <w:p w14:paraId="146C3A3D" w14:textId="77777777" w:rsidR="00941A7D" w:rsidRDefault="00941A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192F" w14:textId="77777777" w:rsidR="002F6207" w:rsidRDefault="002F6207" w:rsidP="00BA291E">
      <w:pPr>
        <w:spacing w:after="0" w:line="240" w:lineRule="auto"/>
      </w:pPr>
      <w:r>
        <w:separator/>
      </w:r>
    </w:p>
  </w:footnote>
  <w:footnote w:type="continuationSeparator" w:id="0">
    <w:p w14:paraId="181C90A4" w14:textId="77777777" w:rsidR="002F6207" w:rsidRDefault="002F6207" w:rsidP="00BA291E">
      <w:pPr>
        <w:spacing w:after="0" w:line="240" w:lineRule="auto"/>
      </w:pPr>
      <w:r>
        <w:continuationSeparator/>
      </w:r>
    </w:p>
  </w:footnote>
  <w:footnote w:type="continuationNotice" w:id="1">
    <w:p w14:paraId="79057609" w14:textId="77777777" w:rsidR="002F6207" w:rsidRDefault="002F6207">
      <w:pPr>
        <w:spacing w:after="0" w:line="240" w:lineRule="auto"/>
      </w:pPr>
    </w:p>
  </w:footnote>
  <w:footnote w:id="2">
    <w:p w14:paraId="2A5A8B52" w14:textId="5196ED7D" w:rsidR="008B27BC" w:rsidRDefault="008B27BC" w:rsidP="008B27BC">
      <w:pPr>
        <w:pStyle w:val="FootnoteText"/>
      </w:pPr>
      <w:r>
        <w:rPr>
          <w:rStyle w:val="FootnoteReference"/>
        </w:rPr>
        <w:footnoteRef/>
      </w:r>
      <w:r>
        <w:t xml:space="preserve"> </w:t>
      </w:r>
      <w:r w:rsidRPr="008B27BC">
        <w:t xml:space="preserve">U.S. EPA’s AVERT web site: </w:t>
      </w:r>
      <w:hyperlink r:id="rId1" w:history="1">
        <w:r w:rsidRPr="002939A0">
          <w:rPr>
            <w:rStyle w:val="Hyperlink"/>
          </w:rPr>
          <w:t>https://www.epa.gov/avert</w:t>
        </w:r>
      </w:hyperlink>
      <w:r w:rsidRPr="008B27BC">
        <w:t xml:space="preserve"> Accessed: April 3, 2026.</w:t>
      </w:r>
    </w:p>
  </w:footnote>
  <w:footnote w:id="3">
    <w:p w14:paraId="549E5A54" w14:textId="0E0D995B" w:rsidR="008B27BC" w:rsidRDefault="008B27BC" w:rsidP="008B27BC">
      <w:pPr>
        <w:pStyle w:val="FootnoteText"/>
      </w:pPr>
      <w:r>
        <w:rPr>
          <w:rStyle w:val="FootnoteReference"/>
        </w:rPr>
        <w:footnoteRef/>
      </w:r>
      <w:r>
        <w:t xml:space="preserve"> </w:t>
      </w:r>
      <w:r w:rsidRPr="008B27BC">
        <w:t xml:space="preserve">U.S. EPA’s COBRA tool web site: </w:t>
      </w:r>
      <w:hyperlink r:id="rId2" w:history="1">
        <w:r w:rsidRPr="002939A0">
          <w:rPr>
            <w:rStyle w:val="Hyperlink"/>
          </w:rPr>
          <w:t>https://www.epa.gov/cobra</w:t>
        </w:r>
      </w:hyperlink>
      <w:r w:rsidRPr="008B27BC">
        <w:t xml:space="preserve"> Accessed: April 3, 2026.</w:t>
      </w:r>
      <w:r>
        <w:t xml:space="preserve"> </w:t>
      </w:r>
    </w:p>
  </w:footnote>
  <w:footnote w:id="4">
    <w:p w14:paraId="78306AE4" w14:textId="5C90DE6D" w:rsidR="008B27BC" w:rsidRDefault="008B27BC" w:rsidP="008B27BC">
      <w:pPr>
        <w:pStyle w:val="FootnoteText"/>
      </w:pPr>
      <w:r>
        <w:rPr>
          <w:rStyle w:val="FootnoteReference"/>
        </w:rPr>
        <w:footnoteRef/>
      </w:r>
      <w:r>
        <w:t xml:space="preserve"> </w:t>
      </w:r>
      <w:r w:rsidRPr="008B27BC">
        <w:t xml:space="preserve">U.S. EPA. 2024. “Estimating the Co-Benefits of Clean Energy Policies CO-Benefits Risk Assessment (COBRA) Health Impacts Screening and Mapping Tool: How COBRA Works" </w:t>
      </w:r>
      <w:hyperlink r:id="rId3" w:history="1">
        <w:r w:rsidRPr="002939A0">
          <w:rPr>
            <w:rStyle w:val="Hyperlink"/>
          </w:rPr>
          <w:t>https://www.epa.gov/system/files/documents/2024-04/how-cobra-works_17-april-2024.pdf</w:t>
        </w:r>
      </w:hyperlink>
      <w:r w:rsidRPr="008B27BC">
        <w:t>.</w:t>
      </w:r>
      <w:r>
        <w:t xml:space="preserve"> </w:t>
      </w:r>
    </w:p>
  </w:footnote>
  <w:footnote w:id="5">
    <w:p w14:paraId="44FAD8E4" w14:textId="77777777" w:rsidR="00C92049" w:rsidRDefault="00C92049" w:rsidP="00C92049">
      <w:pPr>
        <w:pStyle w:val="FootnoteText"/>
      </w:pPr>
      <w:r>
        <w:rPr>
          <w:rStyle w:val="FootnoteReference"/>
        </w:rPr>
        <w:footnoteRef/>
      </w:r>
      <w:r>
        <w:t xml:space="preserve"> </w:t>
      </w:r>
      <w:r w:rsidRPr="00194890">
        <w:t>https://www.ilsag.info/wp-content/uploads/IL_EE_Policy_Manual_Version_3.0_Final_11-3-2023.pdf</w:t>
      </w:r>
    </w:p>
  </w:footnote>
  <w:footnote w:id="6">
    <w:p w14:paraId="0DF61C2F" w14:textId="77777777" w:rsidR="00D66FE0" w:rsidRPr="00241FD3" w:rsidRDefault="00D66FE0" w:rsidP="00D66FE0">
      <w:pPr>
        <w:pStyle w:val="FootnoteText"/>
      </w:pPr>
      <w:r>
        <w:rPr>
          <w:rStyle w:val="FootnoteReference"/>
        </w:rPr>
        <w:footnoteRef/>
      </w:r>
      <w:r>
        <w:t xml:space="preserve"> </w:t>
      </w:r>
      <w:hyperlink r:id="rId4" w:history="1">
        <w:r w:rsidRPr="00241FD3">
          <w:rPr>
            <w:rStyle w:val="Hyperlink"/>
            <w:color w:val="auto"/>
            <w:u w:val="none"/>
          </w:rPr>
          <w:t>IL-TRM-Version-13.0-Volumes-1-4-Compiled-Final.pdf</w:t>
        </w:r>
      </w:hyperlink>
    </w:p>
  </w:footnote>
  <w:footnote w:id="7">
    <w:p w14:paraId="5B713431" w14:textId="6E1D87DE" w:rsidR="008B27BC" w:rsidRDefault="008B27BC" w:rsidP="008B27BC">
      <w:pPr>
        <w:pStyle w:val="FootnoteText"/>
      </w:pPr>
      <w:r>
        <w:rPr>
          <w:rStyle w:val="FootnoteReference"/>
        </w:rPr>
        <w:footnoteRef/>
      </w:r>
      <w:r>
        <w:t xml:space="preserve"> </w:t>
      </w:r>
      <w:r w:rsidR="00B82959" w:rsidRPr="00B82959">
        <w:t xml:space="preserve">CEJA (Illinois Clean and Equitable Jobs Act). Public Act 102-0662. </w:t>
      </w:r>
      <w:hyperlink r:id="rId5" w:history="1">
        <w:r w:rsidR="00B82959" w:rsidRPr="002939A0">
          <w:rPr>
            <w:rStyle w:val="Hyperlink"/>
          </w:rPr>
          <w:t>https://www.ilga.gov/legislation/publicacts/102/PDF/102-0662.pdf</w:t>
        </w:r>
      </w:hyperlink>
      <w:r w:rsidR="00B82959" w:rsidRPr="00B82959">
        <w:t>. (passed September 15, 2021).</w:t>
      </w:r>
    </w:p>
  </w:footnote>
  <w:footnote w:id="8">
    <w:p w14:paraId="0147D628" w14:textId="6F37D100" w:rsidR="00B82959" w:rsidRDefault="00B82959" w:rsidP="00B82959">
      <w:pPr>
        <w:pStyle w:val="FootnoteText"/>
      </w:pPr>
      <w:r>
        <w:rPr>
          <w:rStyle w:val="FootnoteReference"/>
        </w:rPr>
        <w:footnoteRef/>
      </w:r>
      <w:r>
        <w:t xml:space="preserve"> </w:t>
      </w:r>
      <w:r w:rsidR="002939A0" w:rsidRPr="002939A0">
        <w:t>Synapse Energy Economics, 2015. “Air Emissions Displacement by Energy Efficiency and Renewable Energy: A Survey of Data, Methods, and Results”</w:t>
      </w:r>
      <w:r w:rsidR="002939A0">
        <w:t>.</w:t>
      </w:r>
    </w:p>
  </w:footnote>
  <w:footnote w:id="9">
    <w:p w14:paraId="25E7D1DC" w14:textId="2E2226D0" w:rsidR="007C4787" w:rsidRDefault="007C4787" w:rsidP="007C4787">
      <w:pPr>
        <w:pStyle w:val="FootnoteText"/>
      </w:pPr>
      <w:r>
        <w:rPr>
          <w:rStyle w:val="FootnoteReference"/>
        </w:rPr>
        <w:footnoteRef/>
      </w:r>
      <w:r>
        <w:t xml:space="preserve"> </w:t>
      </w:r>
      <w:r w:rsidR="002939A0" w:rsidRPr="002939A0">
        <w:t xml:space="preserve">2019 PJM State of the Market Report, Table 3-52. </w:t>
      </w:r>
      <w:hyperlink r:id="rId6" w:history="1">
        <w:r w:rsidR="002939A0" w:rsidRPr="002939A0">
          <w:rPr>
            <w:rStyle w:val="Hyperlink"/>
          </w:rPr>
          <w:t>https://www.monitoringanalytics.com/reports/PJM_State_of_the_Market/2019/2019-som-pjm-sec3.pdf</w:t>
        </w:r>
      </w:hyperlink>
      <w:r w:rsidR="002939A0" w:rsidRPr="002939A0">
        <w:t>.</w:t>
      </w:r>
    </w:p>
  </w:footnote>
  <w:footnote w:id="10">
    <w:p w14:paraId="7672A827" w14:textId="77370719" w:rsidR="007C4787" w:rsidRDefault="007C4787" w:rsidP="007C4787">
      <w:pPr>
        <w:pStyle w:val="FootnoteText"/>
      </w:pPr>
      <w:r>
        <w:rPr>
          <w:rStyle w:val="FootnoteReference"/>
        </w:rPr>
        <w:footnoteRef/>
      </w:r>
      <w:r>
        <w:t xml:space="preserve"> </w:t>
      </w:r>
      <w:r w:rsidR="002939A0" w:rsidRPr="002939A0">
        <w:t xml:space="preserve">World Health Organization. “Ambient (outdoor) air pollution” </w:t>
      </w:r>
      <w:hyperlink r:id="rId7" w:history="1">
        <w:r w:rsidR="002939A0" w:rsidRPr="002939A0">
          <w:rPr>
            <w:rStyle w:val="Hyperlink"/>
          </w:rPr>
          <w:t>https://www.who.int/news-room/fact-sheets/detail/ambient-(outdoor)-air-quality-and-health</w:t>
        </w:r>
      </w:hyperlink>
      <w:r w:rsidR="002939A0" w:rsidRPr="002939A0">
        <w:t xml:space="preserve"> Accessed: May 15, 2025.</w:t>
      </w:r>
    </w:p>
  </w:footnote>
  <w:footnote w:id="11">
    <w:p w14:paraId="19FDE4C7" w14:textId="3BD1B77E" w:rsidR="007C4787" w:rsidRDefault="007C4787" w:rsidP="007C4787">
      <w:pPr>
        <w:pStyle w:val="FootnoteText"/>
      </w:pPr>
      <w:r>
        <w:rPr>
          <w:rStyle w:val="FootnoteReference"/>
        </w:rPr>
        <w:footnoteRef/>
      </w:r>
      <w:r>
        <w:t xml:space="preserve"> </w:t>
      </w:r>
      <w:r w:rsidR="002939A0" w:rsidRPr="002939A0">
        <w:t xml:space="preserve">U.S. EPA. “Air Pollution: Current and Future Challenges” </w:t>
      </w:r>
      <w:hyperlink r:id="rId8" w:history="1">
        <w:r w:rsidR="002939A0" w:rsidRPr="002939A0">
          <w:rPr>
            <w:rStyle w:val="Hyperlink"/>
          </w:rPr>
          <w:t>https://www.epa.gov/clean-air-act-overview/air-pollution-current-and-future-challenges</w:t>
        </w:r>
      </w:hyperlink>
      <w:r w:rsidR="002939A0" w:rsidRPr="002939A0">
        <w:t xml:space="preserve"> Accessed: April 15, 2025.</w:t>
      </w:r>
    </w:p>
  </w:footnote>
  <w:footnote w:id="12">
    <w:p w14:paraId="65146BBA" w14:textId="1C3D7659" w:rsidR="007C4787" w:rsidRDefault="007C4787" w:rsidP="007C4787">
      <w:pPr>
        <w:pStyle w:val="FootnoteText"/>
      </w:pPr>
      <w:r>
        <w:rPr>
          <w:rStyle w:val="FootnoteReference"/>
        </w:rPr>
        <w:footnoteRef/>
      </w:r>
      <w:r>
        <w:t xml:space="preserve"> </w:t>
      </w:r>
      <w:r w:rsidR="002939A0" w:rsidRPr="002939A0">
        <w:t xml:space="preserve">U.S. EPA. “Mortality Risk Valuation” </w:t>
      </w:r>
      <w:hyperlink r:id="rId9" w:history="1">
        <w:r w:rsidR="002939A0" w:rsidRPr="002939A0">
          <w:rPr>
            <w:rStyle w:val="Hyperlink"/>
          </w:rPr>
          <w:t>https://www.epa.gov/environmental-economics/mortality-risk-valuation</w:t>
        </w:r>
      </w:hyperlink>
      <w:r w:rsidR="002939A0" w:rsidRPr="002939A0">
        <w:t xml:space="preserve"> Accessed: May 17, 2025.</w:t>
      </w:r>
    </w:p>
  </w:footnote>
  <w:footnote w:id="13">
    <w:p w14:paraId="0B149F9F" w14:textId="01474832" w:rsidR="007C4787" w:rsidRDefault="007C4787" w:rsidP="007C4787">
      <w:pPr>
        <w:pStyle w:val="FootnoteText"/>
      </w:pPr>
      <w:r>
        <w:rPr>
          <w:rStyle w:val="FootnoteReference"/>
        </w:rPr>
        <w:footnoteRef/>
      </w:r>
      <w:r>
        <w:t xml:space="preserve"> </w:t>
      </w:r>
      <w:r w:rsidR="002939A0" w:rsidRPr="002939A0">
        <w:t xml:space="preserve">U.S. EPA’s AVERT web site: </w:t>
      </w:r>
      <w:hyperlink r:id="rId10" w:history="1">
        <w:r w:rsidR="002939A0" w:rsidRPr="002939A0">
          <w:rPr>
            <w:rStyle w:val="Hyperlink"/>
          </w:rPr>
          <w:t>https://www.epa.gov/avert</w:t>
        </w:r>
      </w:hyperlink>
      <w:r w:rsidR="002939A0" w:rsidRPr="002939A0">
        <w:t xml:space="preserve"> Accessed: April 3, 2026.</w:t>
      </w:r>
    </w:p>
  </w:footnote>
  <w:footnote w:id="14">
    <w:p w14:paraId="0EAF7E69" w14:textId="18E65135" w:rsidR="007C4787" w:rsidRDefault="007C4787" w:rsidP="007C4787">
      <w:pPr>
        <w:pStyle w:val="FootnoteText"/>
      </w:pPr>
      <w:r>
        <w:rPr>
          <w:rStyle w:val="FootnoteReference"/>
        </w:rPr>
        <w:footnoteRef/>
      </w:r>
      <w:r>
        <w:t xml:space="preserve"> </w:t>
      </w:r>
      <w:r w:rsidR="002939A0" w:rsidRPr="002939A0">
        <w:t xml:space="preserve">U.S. EPA’s COBRA tool web site: </w:t>
      </w:r>
      <w:hyperlink r:id="rId11" w:history="1">
        <w:r w:rsidR="002939A0" w:rsidRPr="002939A0">
          <w:rPr>
            <w:rStyle w:val="Hyperlink"/>
          </w:rPr>
          <w:t>https://www.epa.gov/cobra</w:t>
        </w:r>
      </w:hyperlink>
      <w:r w:rsidR="002939A0" w:rsidRPr="002939A0">
        <w:t xml:space="preserve"> Accessed: April 3, 2026.</w:t>
      </w:r>
    </w:p>
  </w:footnote>
  <w:footnote w:id="15">
    <w:p w14:paraId="15791323" w14:textId="2C2CD475" w:rsidR="007C4787" w:rsidRDefault="007C4787" w:rsidP="007C4787">
      <w:pPr>
        <w:pStyle w:val="FootnoteText"/>
      </w:pPr>
      <w:r>
        <w:rPr>
          <w:rStyle w:val="FootnoteReference"/>
        </w:rPr>
        <w:footnoteRef/>
      </w:r>
      <w:r>
        <w:t xml:space="preserve"> </w:t>
      </w:r>
      <w:r w:rsidR="002939A0" w:rsidRPr="002939A0">
        <w:t xml:space="preserve">U.S. EPA. “AVERT – Tutorial Homepage” </w:t>
      </w:r>
      <w:hyperlink r:id="rId12" w:history="1">
        <w:r w:rsidR="002939A0" w:rsidRPr="002939A0">
          <w:rPr>
            <w:rStyle w:val="Hyperlink"/>
          </w:rPr>
          <w:t>https://www.epa.gov/avert/avert-tutorial-homepage</w:t>
        </w:r>
      </w:hyperlink>
      <w:r w:rsidR="002939A0" w:rsidRPr="002939A0">
        <w:t xml:space="preserve"> Accessed: April 3, 2026.</w:t>
      </w:r>
    </w:p>
  </w:footnote>
  <w:footnote w:id="16">
    <w:p w14:paraId="0F19C338" w14:textId="41088FDC" w:rsidR="007C4787" w:rsidRDefault="007C4787" w:rsidP="007C4787">
      <w:pPr>
        <w:pStyle w:val="FootnoteText"/>
      </w:pPr>
      <w:r>
        <w:rPr>
          <w:rStyle w:val="FootnoteReference"/>
        </w:rPr>
        <w:footnoteRef/>
      </w:r>
      <w:r>
        <w:t xml:space="preserve"> </w:t>
      </w:r>
      <w:r w:rsidR="002939A0" w:rsidRPr="002939A0">
        <w:t xml:space="preserve">U.S. EPA. 2024. “Estimating the Co-Benefits of Clean Energy Policies CO-Benefits Risk Assessment (COBRA) Health Impacts Screening and Mapping Tool: How COBRA Works". </w:t>
      </w:r>
      <w:hyperlink r:id="rId13" w:history="1">
        <w:r w:rsidR="002939A0" w:rsidRPr="002939A0">
          <w:rPr>
            <w:rStyle w:val="Hyperlink"/>
          </w:rPr>
          <w:t>https://www.epa.gov/system/files/documents/2024-04/how-cobra-works_17-april-2024.pdf.</w:t>
        </w:r>
      </w:hyperlink>
    </w:p>
  </w:footnote>
  <w:footnote w:id="17">
    <w:p w14:paraId="3410A7AC" w14:textId="1C70D48B" w:rsidR="007C4787" w:rsidRDefault="007C4787" w:rsidP="007C4787">
      <w:pPr>
        <w:pStyle w:val="FootnoteText"/>
      </w:pPr>
      <w:r>
        <w:rPr>
          <w:rStyle w:val="FootnoteReference"/>
        </w:rPr>
        <w:footnoteRef/>
      </w:r>
      <w:r>
        <w:t xml:space="preserve"> </w:t>
      </w:r>
      <w:r w:rsidR="006A28C0">
        <w:t>U.S. EPA. “</w:t>
      </w:r>
      <w:r w:rsidR="002939A0" w:rsidRPr="002939A0">
        <w:t>COBRA Revision History</w:t>
      </w:r>
      <w:r w:rsidR="006A28C0">
        <w:t>”</w:t>
      </w:r>
      <w:r w:rsidR="002939A0" w:rsidRPr="002939A0">
        <w:t xml:space="preserve"> </w:t>
      </w:r>
      <w:hyperlink r:id="rId14" w:history="1">
        <w:r w:rsidR="002939A0" w:rsidRPr="006A28C0">
          <w:rPr>
            <w:rStyle w:val="Hyperlink"/>
          </w:rPr>
          <w:t>https://www.epa.gov/cobra/cobra-revision-history</w:t>
        </w:r>
      </w:hyperlink>
      <w:r w:rsidR="002939A0" w:rsidRPr="002939A0">
        <w:t xml:space="preserve"> Accessed: April 3, 2026.</w:t>
      </w:r>
    </w:p>
  </w:footnote>
  <w:footnote w:id="18">
    <w:p w14:paraId="6A0524D7" w14:textId="7B7D0620" w:rsidR="00F8235B" w:rsidRDefault="00F8235B" w:rsidP="00F8235B">
      <w:pPr>
        <w:pStyle w:val="FootnoteText"/>
      </w:pPr>
      <w:r>
        <w:rPr>
          <w:rStyle w:val="FootnoteReference"/>
        </w:rPr>
        <w:footnoteRef/>
      </w:r>
      <w:r>
        <w:t xml:space="preserve"> </w:t>
      </w:r>
      <w:r w:rsidR="002939A0" w:rsidRPr="002939A0">
        <w:t xml:space="preserve">ComEd CY2025 Summary Impact evaluation Report – Table 2-3 CPAS Electric. </w:t>
      </w:r>
      <w:r w:rsidR="006A28C0">
        <w:t>March 31</w:t>
      </w:r>
      <w:r w:rsidR="002939A0" w:rsidRPr="002939A0">
        <w:t>, 202</w:t>
      </w:r>
      <w:r w:rsidR="006A28C0">
        <w:t>6</w:t>
      </w:r>
      <w:r w:rsidR="002939A0" w:rsidRPr="002939A0">
        <w:t>.</w:t>
      </w:r>
    </w:p>
  </w:footnote>
  <w:footnote w:id="19">
    <w:p w14:paraId="51C0907D" w14:textId="0886693B" w:rsidR="00F8235B" w:rsidRDefault="00F8235B" w:rsidP="00F8235B">
      <w:pPr>
        <w:pStyle w:val="FootnoteText"/>
      </w:pPr>
      <w:r>
        <w:rPr>
          <w:rStyle w:val="FootnoteReference"/>
        </w:rPr>
        <w:footnoteRef/>
      </w:r>
      <w:r>
        <w:t xml:space="preserve"> </w:t>
      </w:r>
      <w:r w:rsidR="002939A0" w:rsidRPr="002939A0">
        <w:t>This forecast is updated by the EPA once annually and is based on historic patterns of dispatch of electric generating units and resource mix within the Mid-Atlantic region.</w:t>
      </w:r>
    </w:p>
  </w:footnote>
  <w:footnote w:id="20">
    <w:p w14:paraId="4E5E98C3" w14:textId="612F4629" w:rsidR="00F8235B" w:rsidRDefault="00F8235B" w:rsidP="00F8235B">
      <w:pPr>
        <w:pStyle w:val="FootnoteText"/>
      </w:pPr>
      <w:r>
        <w:rPr>
          <w:rStyle w:val="FootnoteReference"/>
        </w:rPr>
        <w:footnoteRef/>
      </w:r>
      <w:r>
        <w:t xml:space="preserve"> </w:t>
      </w:r>
      <w:r w:rsidR="002939A0" w:rsidRPr="002939A0">
        <w:t>The EPA recommends that AVERT’s emissions estimates only be conducted for up to five years into the future. This is because the model provides a representation of the dynamics of electricity dispatch in a historical base year, and because AVERT cannot currently control for changes in dispatch due to transmission resources, fuel prices, demand for electricity, variable costs, and other factors.</w:t>
      </w:r>
    </w:p>
  </w:footnote>
  <w:footnote w:id="21">
    <w:p w14:paraId="5EB1F6D8" w14:textId="077C6C8E" w:rsidR="00F8235B" w:rsidRDefault="00F8235B" w:rsidP="00F8235B">
      <w:pPr>
        <w:pStyle w:val="FootnoteText"/>
      </w:pPr>
      <w:r>
        <w:rPr>
          <w:rStyle w:val="FootnoteReference"/>
        </w:rPr>
        <w:footnoteRef/>
      </w:r>
      <w:r>
        <w:t xml:space="preserve"> </w:t>
      </w:r>
      <w:r w:rsidR="002939A0" w:rsidRPr="002939A0">
        <w:t xml:space="preserve">PJM 2015 – 2019 CO2, SO2, and NOx Emission Rates Report. April 2020. </w:t>
      </w:r>
      <w:hyperlink r:id="rId15" w:history="1">
        <w:r w:rsidR="002939A0" w:rsidRPr="006A28C0">
          <w:rPr>
            <w:rStyle w:val="Hyperlink"/>
          </w:rPr>
          <w:t>https://www.pjm.com/-/media/library/reports-notices/special-reports/2019/2019-emissions-report.ashx?la=en</w:t>
        </w:r>
      </w:hyperlink>
      <w:r w:rsidR="006A28C0">
        <w:t>.</w:t>
      </w:r>
    </w:p>
  </w:footnote>
  <w:footnote w:id="22">
    <w:p w14:paraId="45B27477" w14:textId="4C1C90FF" w:rsidR="00F8235B" w:rsidRDefault="00F8235B" w:rsidP="00F8235B">
      <w:pPr>
        <w:pStyle w:val="FootnoteText"/>
      </w:pPr>
      <w:r>
        <w:rPr>
          <w:rStyle w:val="FootnoteReference"/>
        </w:rPr>
        <w:footnoteRef/>
      </w:r>
      <w:r>
        <w:t xml:space="preserve"> </w:t>
      </w:r>
      <w:r w:rsidR="002939A0" w:rsidRPr="002939A0">
        <w:t>Annual Energy Outlook 2020 (AEO2020</w:t>
      </w:r>
      <w:hyperlink r:id="rId16" w:history="1">
        <w:r w:rsidR="002939A0" w:rsidRPr="006A28C0">
          <w:rPr>
            <w:rStyle w:val="Hyperlink"/>
          </w:rPr>
          <w:t>) https://www.eia.gov/outlooks/aeo/pdf/AEO2020%20Electricity.pdf</w:t>
        </w:r>
      </w:hyperlink>
      <w:r w:rsidR="006A28C0">
        <w:t>.</w:t>
      </w:r>
    </w:p>
  </w:footnote>
  <w:footnote w:id="23">
    <w:p w14:paraId="0588D81F" w14:textId="62DD88EC" w:rsidR="00F8235B" w:rsidRDefault="00F8235B" w:rsidP="00F8235B">
      <w:pPr>
        <w:pStyle w:val="FootnoteText"/>
      </w:pPr>
      <w:r>
        <w:rPr>
          <w:rStyle w:val="FootnoteReference"/>
        </w:rPr>
        <w:footnoteRef/>
      </w:r>
      <w:r>
        <w:t xml:space="preserve"> </w:t>
      </w:r>
      <w:r w:rsidR="002939A0" w:rsidRPr="002939A0">
        <w:t xml:space="preserve">COBRA assumes that the incidences of premature mortality attributed to pollution exposure occurs over a 20-year period following exposure. COBRA currently assumes that 30% of premature deaths occur in the first year, 50%^ of deaths occur in years two through five, and the remaining 20% of deaths occur in years six through twenty. For more information, see page F-8 of the COBRA user manual: </w:t>
      </w:r>
      <w:hyperlink r:id="rId17" w:history="1">
        <w:r w:rsidR="002939A0" w:rsidRPr="006A28C0">
          <w:rPr>
            <w:rStyle w:val="Hyperlink"/>
          </w:rPr>
          <w:t>https://www.epa.gov/system/files/documents/2025-03/cobra-user-manual-v5.2.pdf</w:t>
        </w:r>
      </w:hyperlink>
      <w:r w:rsidR="002939A0" w:rsidRPr="002939A0">
        <w:t>.</w:t>
      </w:r>
    </w:p>
  </w:footnote>
  <w:footnote w:id="24">
    <w:p w14:paraId="5EF7266A" w14:textId="2A287596" w:rsidR="00F8235B" w:rsidRDefault="00F8235B" w:rsidP="00F8235B">
      <w:pPr>
        <w:pStyle w:val="FootnoteText"/>
      </w:pPr>
      <w:r>
        <w:rPr>
          <w:rStyle w:val="FootnoteReference"/>
        </w:rPr>
        <w:footnoteRef/>
      </w:r>
      <w:r>
        <w:t xml:space="preserve"> </w:t>
      </w:r>
      <w:r w:rsidR="002939A0" w:rsidRPr="002939A0">
        <w:t>In the case of analysis of emissions reductions in the year 2032, COBRA models the associated reductions in morbidity and mortality that can be expected to occur over a 20-year period between 2032 and 2051. This 20-year stream of health benefits is then discounted back to the analysis year, which in this case is 2032.</w:t>
      </w:r>
    </w:p>
  </w:footnote>
  <w:footnote w:id="25">
    <w:p w14:paraId="6AD567EB" w14:textId="17614EB0" w:rsidR="00444386" w:rsidRDefault="00444386">
      <w:pPr>
        <w:pStyle w:val="FootnoteText"/>
      </w:pPr>
      <w:r>
        <w:rPr>
          <w:rStyle w:val="FootnoteReference"/>
        </w:rPr>
        <w:footnoteRef/>
      </w:r>
      <w:r>
        <w:t xml:space="preserve"> </w:t>
      </w:r>
      <w:r w:rsidR="0004098A">
        <w:t xml:space="preserve">0.42% real discount rate </w:t>
      </w:r>
      <w:r w:rsidR="00C92F53">
        <w:t xml:space="preserve">based on the 10-year U.S. Treasury Bond Rates: </w:t>
      </w:r>
      <w:r w:rsidR="008C5D19" w:rsidRPr="008C5D19">
        <w:t>https://www.ilsag.info/wp-content/uploads/IL-TRM-Version-13.0-Volumes-1-4-Compiled-Final.pdf</w:t>
      </w:r>
      <w:r w:rsidR="008C5D19" w:rsidRPr="008C5D19" w:rsidDel="00BB7969">
        <w:rPr>
          <w:highlight w:val="yellow"/>
        </w:rPr>
        <w:t xml:space="preserve"> </w:t>
      </w:r>
    </w:p>
  </w:footnote>
  <w:footnote w:id="26">
    <w:p w14:paraId="29213ADB" w14:textId="3FF189E2" w:rsidR="00D33402" w:rsidRDefault="00D33402">
      <w:pPr>
        <w:pStyle w:val="FootnoteText"/>
      </w:pPr>
      <w:r>
        <w:rPr>
          <w:rStyle w:val="FootnoteReference"/>
        </w:rPr>
        <w:footnoteRef/>
      </w:r>
      <w:r>
        <w:t xml:space="preserve"> The Carbon </w:t>
      </w:r>
      <w:r w:rsidRPr="00D33402">
        <w:t xml:space="preserve">adder to the TRC </w:t>
      </w:r>
      <w:r>
        <w:t xml:space="preserve">is </w:t>
      </w:r>
      <w:r w:rsidRPr="00D33402">
        <w:t>defined by statute</w:t>
      </w:r>
      <w:r>
        <w:t xml:space="preserve"> and do not form part of inclusion in this report - </w:t>
      </w:r>
      <w:r w:rsidRPr="00D33402">
        <w:t>20 ILCS 3855/1-56 (d-</w:t>
      </w:r>
      <w:proofErr w:type="gramStart"/>
      <w:r w:rsidRPr="00D33402">
        <w:t>5)(</w:t>
      </w:r>
      <w:proofErr w:type="gramEnd"/>
      <w:r w:rsidRPr="00D33402">
        <w:t>1)(B)(</w:t>
      </w:r>
      <w:proofErr w:type="spellStart"/>
      <w:r w:rsidRPr="00D33402">
        <w:t>i</w:t>
      </w:r>
      <w:proofErr w:type="spellEnd"/>
      <w:r w:rsidRPr="00D3340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FE3DB5" w:rsidRPr="000E7807" w14:paraId="493DAC5D" w14:textId="77777777">
      <w:trPr>
        <w:jc w:val="center"/>
      </w:trPr>
      <w:tc>
        <w:tcPr>
          <w:tcW w:w="2880" w:type="dxa"/>
          <w:vAlign w:val="center"/>
        </w:tcPr>
        <w:p w14:paraId="53691E15" w14:textId="68EED554" w:rsidR="00FE3DB5" w:rsidRPr="000E7807" w:rsidRDefault="006A28C0" w:rsidP="00FE3DB5">
          <w:pPr>
            <w:pStyle w:val="Header"/>
          </w:pPr>
          <w:r>
            <w:rPr>
              <w:noProof/>
            </w:rPr>
            <w:drawing>
              <wp:inline distT="0" distB="0" distL="0" distR="0" wp14:anchorId="5061E6CB" wp14:editId="00AF8786">
                <wp:extent cx="1078865"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stretch>
                          <a:fillRect/>
                        </a:stretch>
                      </pic:blipFill>
                      <pic:spPr>
                        <a:xfrm>
                          <a:off x="0" y="0"/>
                          <a:ext cx="1078865" cy="274320"/>
                        </a:xfrm>
                        <a:prstGeom prst="rect">
                          <a:avLst/>
                        </a:prstGeom>
                      </pic:spPr>
                    </pic:pic>
                  </a:graphicData>
                </a:graphic>
              </wp:inline>
            </w:drawing>
          </w:r>
        </w:p>
      </w:tc>
      <w:tc>
        <w:tcPr>
          <w:tcW w:w="7200" w:type="dxa"/>
          <w:vAlign w:val="center"/>
        </w:tcPr>
        <w:p w14:paraId="02B3DD4E" w14:textId="5C745032" w:rsidR="006D146A" w:rsidRPr="006D146A" w:rsidRDefault="00FF3189" w:rsidP="006D146A">
          <w:pPr>
            <w:pStyle w:val="Header"/>
            <w:jc w:val="right"/>
            <w:rPr>
              <w:bCs/>
              <w:noProof/>
            </w:rPr>
          </w:pPr>
          <w:r w:rsidRPr="00FF3189">
            <w:rPr>
              <w:bCs/>
              <w:noProof/>
            </w:rPr>
            <w:t>ComEd Societal Non-Energy Impacts CY2025 Research Report</w:t>
          </w:r>
          <w:r w:rsidR="006D146A">
            <w:rPr>
              <w:bCs/>
              <w:noProof/>
            </w:rPr>
            <w:t xml:space="preserve"> – Draft</w:t>
          </w:r>
        </w:p>
      </w:tc>
    </w:tr>
  </w:tbl>
  <w:p w14:paraId="5E0A3A03" w14:textId="77777777" w:rsidR="00BA291E" w:rsidRDefault="00BA291E">
    <w:pPr>
      <w:pStyle w:val="Header"/>
    </w:pPr>
    <w:r w:rsidRPr="00BA291E">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BA33" w14:textId="7E52B520" w:rsidR="00FE1C61" w:rsidRDefault="006A28C0">
    <w:pPr>
      <w:pStyle w:val="Header"/>
    </w:pPr>
    <w:r>
      <w:rPr>
        <w:noProof/>
      </w:rPr>
      <w:drawing>
        <wp:inline distT="0" distB="0" distL="0" distR="0" wp14:anchorId="56DFE5B7" wp14:editId="54814576">
          <wp:extent cx="1536065" cy="388368"/>
          <wp:effectExtent l="0" t="0" r="0" b="0"/>
          <wp:docPr id="2"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stretch>
                    <a:fillRect/>
                  </a:stretch>
                </pic:blipFill>
                <pic:spPr>
                  <a:xfrm>
                    <a:off x="0" y="0"/>
                    <a:ext cx="1536065" cy="387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95D"/>
    <w:multiLevelType w:val="hybridMultilevel"/>
    <w:tmpl w:val="D3725ADA"/>
    <w:lvl w:ilvl="0" w:tplc="42D68A8E">
      <w:numFmt w:val="bullet"/>
      <w:lvlText w:val="•"/>
      <w:lvlJc w:val="left"/>
      <w:pPr>
        <w:ind w:left="720" w:hanging="720"/>
      </w:pPr>
      <w:rPr>
        <w:rFonts w:ascii="Aptos Narrow" w:eastAsia="Times New Roman" w:hAnsi="Aptos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2" w15:restartNumberingAfterBreak="0">
    <w:nsid w:val="098E3A40"/>
    <w:multiLevelType w:val="hybridMultilevel"/>
    <w:tmpl w:val="3F482EE0"/>
    <w:lvl w:ilvl="0" w:tplc="284EC21C">
      <w:numFmt w:val="bullet"/>
      <w:lvlText w:val="•"/>
      <w:lvlJc w:val="left"/>
      <w:pPr>
        <w:ind w:left="1080" w:hanging="72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F0594"/>
    <w:multiLevelType w:val="hybridMultilevel"/>
    <w:tmpl w:val="8D42C41C"/>
    <w:lvl w:ilvl="0" w:tplc="284EC21C">
      <w:numFmt w:val="bullet"/>
      <w:lvlText w:val="•"/>
      <w:lvlJc w:val="left"/>
      <w:pPr>
        <w:ind w:left="1080" w:hanging="72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2"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CA7F7A"/>
    <w:multiLevelType w:val="hybridMultilevel"/>
    <w:tmpl w:val="73E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2" w15:restartNumberingAfterBreak="0">
    <w:nsid w:val="6F4B7215"/>
    <w:multiLevelType w:val="hybridMultilevel"/>
    <w:tmpl w:val="D43A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D665F"/>
    <w:multiLevelType w:val="hybridMultilevel"/>
    <w:tmpl w:val="550033CA"/>
    <w:lvl w:ilvl="0" w:tplc="284EC21C">
      <w:numFmt w:val="bullet"/>
      <w:lvlText w:val="•"/>
      <w:lvlJc w:val="left"/>
      <w:pPr>
        <w:ind w:left="1080" w:hanging="72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00315705">
    <w:abstractNumId w:val="24"/>
  </w:num>
  <w:num w:numId="2" w16cid:durableId="2003392748">
    <w:abstractNumId w:val="18"/>
  </w:num>
  <w:num w:numId="3" w16cid:durableId="529681903">
    <w:abstractNumId w:val="3"/>
  </w:num>
  <w:num w:numId="4" w16cid:durableId="155659469">
    <w:abstractNumId w:val="4"/>
  </w:num>
  <w:num w:numId="5" w16cid:durableId="2119131358">
    <w:abstractNumId w:val="28"/>
  </w:num>
  <w:num w:numId="6" w16cid:durableId="1884050443">
    <w:abstractNumId w:val="5"/>
  </w:num>
  <w:num w:numId="7" w16cid:durableId="2009868441">
    <w:abstractNumId w:val="19"/>
  </w:num>
  <w:num w:numId="8" w16cid:durableId="653921908">
    <w:abstractNumId w:val="15"/>
  </w:num>
  <w:num w:numId="9" w16cid:durableId="530415450">
    <w:abstractNumId w:val="27"/>
  </w:num>
  <w:num w:numId="10" w16cid:durableId="1639411798">
    <w:abstractNumId w:val="6"/>
  </w:num>
  <w:num w:numId="11" w16cid:durableId="1492940895">
    <w:abstractNumId w:val="12"/>
  </w:num>
  <w:num w:numId="12" w16cid:durableId="892959443">
    <w:abstractNumId w:val="9"/>
  </w:num>
  <w:num w:numId="13" w16cid:durableId="1265304045">
    <w:abstractNumId w:val="25"/>
  </w:num>
  <w:num w:numId="14" w16cid:durableId="343359374">
    <w:abstractNumId w:val="1"/>
  </w:num>
  <w:num w:numId="15" w16cid:durableId="2075471552">
    <w:abstractNumId w:val="21"/>
  </w:num>
  <w:num w:numId="16" w16cid:durableId="1208643822">
    <w:abstractNumId w:val="11"/>
  </w:num>
  <w:num w:numId="17" w16cid:durableId="1021712101">
    <w:abstractNumId w:val="10"/>
  </w:num>
  <w:num w:numId="18" w16cid:durableId="128089621">
    <w:abstractNumId w:val="23"/>
  </w:num>
  <w:num w:numId="19" w16cid:durableId="1287198700">
    <w:abstractNumId w:val="17"/>
  </w:num>
  <w:num w:numId="20" w16cid:durableId="2133984568">
    <w:abstractNumId w:val="14"/>
  </w:num>
  <w:num w:numId="21" w16cid:durableId="1971281998">
    <w:abstractNumId w:val="16"/>
  </w:num>
  <w:num w:numId="22" w16cid:durableId="1792630246">
    <w:abstractNumId w:val="13"/>
  </w:num>
  <w:num w:numId="23" w16cid:durableId="285699392">
    <w:abstractNumId w:val="8"/>
  </w:num>
  <w:num w:numId="24" w16cid:durableId="1147015608">
    <w:abstractNumId w:val="20"/>
  </w:num>
  <w:num w:numId="25" w16cid:durableId="1018234430">
    <w:abstractNumId w:val="0"/>
  </w:num>
  <w:num w:numId="26" w16cid:durableId="36008006">
    <w:abstractNumId w:val="22"/>
  </w:num>
  <w:num w:numId="27" w16cid:durableId="156113938">
    <w:abstractNumId w:val="2"/>
  </w:num>
  <w:num w:numId="28" w16cid:durableId="897595364">
    <w:abstractNumId w:val="26"/>
  </w:num>
  <w:num w:numId="29" w16cid:durableId="299623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Erickson">
    <w15:presenceInfo w15:providerId="AD" w15:userId="S::jeff.erickson@guidehouse.com::a701f0ef-e594-4de3-9dc7-35d49dc3f647"/>
  </w15:person>
  <w15:person w15:author="Harry Wang">
    <w15:presenceInfo w15:providerId="AD" w15:userId="S::harry.wang@guidehouse.com::c8c0a85d-d2b8-4c1f-9dc9-8632f48bf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D8"/>
    <w:rsid w:val="0000024C"/>
    <w:rsid w:val="00001EEF"/>
    <w:rsid w:val="0000354F"/>
    <w:rsid w:val="00003F68"/>
    <w:rsid w:val="00004CEF"/>
    <w:rsid w:val="000065E9"/>
    <w:rsid w:val="000069F8"/>
    <w:rsid w:val="00010DB6"/>
    <w:rsid w:val="0001146B"/>
    <w:rsid w:val="00013430"/>
    <w:rsid w:val="00017F1D"/>
    <w:rsid w:val="00023868"/>
    <w:rsid w:val="00024074"/>
    <w:rsid w:val="00025781"/>
    <w:rsid w:val="00025839"/>
    <w:rsid w:val="00026085"/>
    <w:rsid w:val="00030A7F"/>
    <w:rsid w:val="00035A6D"/>
    <w:rsid w:val="00037E7D"/>
    <w:rsid w:val="0004098A"/>
    <w:rsid w:val="00041865"/>
    <w:rsid w:val="000462B6"/>
    <w:rsid w:val="00046F8F"/>
    <w:rsid w:val="00051D0C"/>
    <w:rsid w:val="000557F8"/>
    <w:rsid w:val="0005597E"/>
    <w:rsid w:val="00055C07"/>
    <w:rsid w:val="00055C65"/>
    <w:rsid w:val="00060F48"/>
    <w:rsid w:val="00062604"/>
    <w:rsid w:val="00062DC3"/>
    <w:rsid w:val="000642D6"/>
    <w:rsid w:val="00064648"/>
    <w:rsid w:val="0006533E"/>
    <w:rsid w:val="0006799E"/>
    <w:rsid w:val="00067F3B"/>
    <w:rsid w:val="000707E6"/>
    <w:rsid w:val="000731D2"/>
    <w:rsid w:val="00074A2B"/>
    <w:rsid w:val="000761E8"/>
    <w:rsid w:val="00077B01"/>
    <w:rsid w:val="00082647"/>
    <w:rsid w:val="00082BE3"/>
    <w:rsid w:val="00082C83"/>
    <w:rsid w:val="00082D79"/>
    <w:rsid w:val="00083186"/>
    <w:rsid w:val="000840A6"/>
    <w:rsid w:val="000840E9"/>
    <w:rsid w:val="00084201"/>
    <w:rsid w:val="00085EB7"/>
    <w:rsid w:val="00094EB4"/>
    <w:rsid w:val="0009567F"/>
    <w:rsid w:val="00095BE3"/>
    <w:rsid w:val="00097D48"/>
    <w:rsid w:val="000A0795"/>
    <w:rsid w:val="000A39AB"/>
    <w:rsid w:val="000A4665"/>
    <w:rsid w:val="000A5E29"/>
    <w:rsid w:val="000A68F6"/>
    <w:rsid w:val="000A6FC2"/>
    <w:rsid w:val="000B1F60"/>
    <w:rsid w:val="000B33E0"/>
    <w:rsid w:val="000B5663"/>
    <w:rsid w:val="000B684F"/>
    <w:rsid w:val="000B7A14"/>
    <w:rsid w:val="000B7F56"/>
    <w:rsid w:val="000C2DDD"/>
    <w:rsid w:val="000C332A"/>
    <w:rsid w:val="000C4036"/>
    <w:rsid w:val="000C5980"/>
    <w:rsid w:val="000C5B5E"/>
    <w:rsid w:val="000D1BB9"/>
    <w:rsid w:val="000D38BA"/>
    <w:rsid w:val="000D3D7A"/>
    <w:rsid w:val="000D3FEE"/>
    <w:rsid w:val="000D4071"/>
    <w:rsid w:val="000E5B7D"/>
    <w:rsid w:val="000E6597"/>
    <w:rsid w:val="000E7807"/>
    <w:rsid w:val="000F2C17"/>
    <w:rsid w:val="000F2FB2"/>
    <w:rsid w:val="000F3658"/>
    <w:rsid w:val="000F414D"/>
    <w:rsid w:val="00101541"/>
    <w:rsid w:val="0010260D"/>
    <w:rsid w:val="00106045"/>
    <w:rsid w:val="00106345"/>
    <w:rsid w:val="00107399"/>
    <w:rsid w:val="001123CB"/>
    <w:rsid w:val="00114E0B"/>
    <w:rsid w:val="0012137E"/>
    <w:rsid w:val="001274C3"/>
    <w:rsid w:val="00127C01"/>
    <w:rsid w:val="00130105"/>
    <w:rsid w:val="001320C3"/>
    <w:rsid w:val="00132B4C"/>
    <w:rsid w:val="001336E1"/>
    <w:rsid w:val="00134763"/>
    <w:rsid w:val="00134E8B"/>
    <w:rsid w:val="001358D9"/>
    <w:rsid w:val="001374E5"/>
    <w:rsid w:val="001375FA"/>
    <w:rsid w:val="00137EE3"/>
    <w:rsid w:val="0014213A"/>
    <w:rsid w:val="0015129A"/>
    <w:rsid w:val="001517DB"/>
    <w:rsid w:val="00152FFD"/>
    <w:rsid w:val="001537D1"/>
    <w:rsid w:val="00155AC0"/>
    <w:rsid w:val="001627E9"/>
    <w:rsid w:val="00163C3A"/>
    <w:rsid w:val="00164050"/>
    <w:rsid w:val="00164B0A"/>
    <w:rsid w:val="001650C7"/>
    <w:rsid w:val="0016535E"/>
    <w:rsid w:val="00166FF3"/>
    <w:rsid w:val="001675BF"/>
    <w:rsid w:val="0017004C"/>
    <w:rsid w:val="0017179F"/>
    <w:rsid w:val="0017327A"/>
    <w:rsid w:val="00173A14"/>
    <w:rsid w:val="0017702A"/>
    <w:rsid w:val="00180B4F"/>
    <w:rsid w:val="00180CBC"/>
    <w:rsid w:val="00182913"/>
    <w:rsid w:val="00183C10"/>
    <w:rsid w:val="00184897"/>
    <w:rsid w:val="00187113"/>
    <w:rsid w:val="00190360"/>
    <w:rsid w:val="00190A1D"/>
    <w:rsid w:val="00192823"/>
    <w:rsid w:val="00194B47"/>
    <w:rsid w:val="00194EBE"/>
    <w:rsid w:val="00195C27"/>
    <w:rsid w:val="001A410E"/>
    <w:rsid w:val="001A75C3"/>
    <w:rsid w:val="001A789B"/>
    <w:rsid w:val="001B1FAB"/>
    <w:rsid w:val="001B3CD6"/>
    <w:rsid w:val="001B3E46"/>
    <w:rsid w:val="001B4D75"/>
    <w:rsid w:val="001C0B5B"/>
    <w:rsid w:val="001C1D55"/>
    <w:rsid w:val="001C37B9"/>
    <w:rsid w:val="001C6828"/>
    <w:rsid w:val="001C7843"/>
    <w:rsid w:val="001D223E"/>
    <w:rsid w:val="001D2BC8"/>
    <w:rsid w:val="001D3678"/>
    <w:rsid w:val="001D3817"/>
    <w:rsid w:val="001D3C33"/>
    <w:rsid w:val="001D5B79"/>
    <w:rsid w:val="001E433A"/>
    <w:rsid w:val="001E5A87"/>
    <w:rsid w:val="001E6542"/>
    <w:rsid w:val="001E6830"/>
    <w:rsid w:val="001F088A"/>
    <w:rsid w:val="001F1E9D"/>
    <w:rsid w:val="001F24FE"/>
    <w:rsid w:val="001F48F6"/>
    <w:rsid w:val="001F4F14"/>
    <w:rsid w:val="00200FF1"/>
    <w:rsid w:val="0020316A"/>
    <w:rsid w:val="002032B9"/>
    <w:rsid w:val="00212FF8"/>
    <w:rsid w:val="002176C3"/>
    <w:rsid w:val="0022080F"/>
    <w:rsid w:val="002224C4"/>
    <w:rsid w:val="00224E60"/>
    <w:rsid w:val="002255F7"/>
    <w:rsid w:val="00225768"/>
    <w:rsid w:val="002257C3"/>
    <w:rsid w:val="00230C88"/>
    <w:rsid w:val="00231401"/>
    <w:rsid w:val="00236941"/>
    <w:rsid w:val="00237CD9"/>
    <w:rsid w:val="00240313"/>
    <w:rsid w:val="00244FCB"/>
    <w:rsid w:val="0024567D"/>
    <w:rsid w:val="002457E1"/>
    <w:rsid w:val="00247029"/>
    <w:rsid w:val="00254086"/>
    <w:rsid w:val="00260814"/>
    <w:rsid w:val="0026136E"/>
    <w:rsid w:val="0026192F"/>
    <w:rsid w:val="00262B49"/>
    <w:rsid w:val="00274E02"/>
    <w:rsid w:val="002750D1"/>
    <w:rsid w:val="002750E1"/>
    <w:rsid w:val="00275B65"/>
    <w:rsid w:val="00277C89"/>
    <w:rsid w:val="002808DD"/>
    <w:rsid w:val="00282A90"/>
    <w:rsid w:val="002939A0"/>
    <w:rsid w:val="002947C5"/>
    <w:rsid w:val="002958C0"/>
    <w:rsid w:val="002972F4"/>
    <w:rsid w:val="002A2842"/>
    <w:rsid w:val="002A4CD8"/>
    <w:rsid w:val="002A5022"/>
    <w:rsid w:val="002B0B70"/>
    <w:rsid w:val="002B18A5"/>
    <w:rsid w:val="002B4490"/>
    <w:rsid w:val="002B4D4C"/>
    <w:rsid w:val="002B58CB"/>
    <w:rsid w:val="002B58D2"/>
    <w:rsid w:val="002C0F42"/>
    <w:rsid w:val="002C27D4"/>
    <w:rsid w:val="002C41DE"/>
    <w:rsid w:val="002C48FC"/>
    <w:rsid w:val="002C6B85"/>
    <w:rsid w:val="002C7B63"/>
    <w:rsid w:val="002C7BDF"/>
    <w:rsid w:val="002D3F32"/>
    <w:rsid w:val="002D57C5"/>
    <w:rsid w:val="002D6148"/>
    <w:rsid w:val="002D6318"/>
    <w:rsid w:val="002E3A68"/>
    <w:rsid w:val="002E4BD4"/>
    <w:rsid w:val="002E506A"/>
    <w:rsid w:val="002E7592"/>
    <w:rsid w:val="002F197E"/>
    <w:rsid w:val="002F2C0B"/>
    <w:rsid w:val="002F2E0E"/>
    <w:rsid w:val="002F4374"/>
    <w:rsid w:val="002F6207"/>
    <w:rsid w:val="0030024F"/>
    <w:rsid w:val="003008AF"/>
    <w:rsid w:val="003022DA"/>
    <w:rsid w:val="00303CF5"/>
    <w:rsid w:val="00306745"/>
    <w:rsid w:val="0030750D"/>
    <w:rsid w:val="00314BD0"/>
    <w:rsid w:val="003313AD"/>
    <w:rsid w:val="00331DC3"/>
    <w:rsid w:val="00331F42"/>
    <w:rsid w:val="003437F8"/>
    <w:rsid w:val="0034389D"/>
    <w:rsid w:val="00346931"/>
    <w:rsid w:val="00351DB2"/>
    <w:rsid w:val="00352065"/>
    <w:rsid w:val="003546DB"/>
    <w:rsid w:val="003562CB"/>
    <w:rsid w:val="00356F4E"/>
    <w:rsid w:val="00357FDA"/>
    <w:rsid w:val="00362DEB"/>
    <w:rsid w:val="00363258"/>
    <w:rsid w:val="00363E40"/>
    <w:rsid w:val="003650BF"/>
    <w:rsid w:val="003650DE"/>
    <w:rsid w:val="00366BDC"/>
    <w:rsid w:val="003675DC"/>
    <w:rsid w:val="00370486"/>
    <w:rsid w:val="00370971"/>
    <w:rsid w:val="00372C54"/>
    <w:rsid w:val="003736FA"/>
    <w:rsid w:val="00375200"/>
    <w:rsid w:val="00375565"/>
    <w:rsid w:val="00377677"/>
    <w:rsid w:val="003806A2"/>
    <w:rsid w:val="00382D37"/>
    <w:rsid w:val="00383929"/>
    <w:rsid w:val="00390FE5"/>
    <w:rsid w:val="00396325"/>
    <w:rsid w:val="003A0007"/>
    <w:rsid w:val="003A20DD"/>
    <w:rsid w:val="003A6378"/>
    <w:rsid w:val="003B12DF"/>
    <w:rsid w:val="003B1A9A"/>
    <w:rsid w:val="003B217C"/>
    <w:rsid w:val="003B4121"/>
    <w:rsid w:val="003B4888"/>
    <w:rsid w:val="003C1D50"/>
    <w:rsid w:val="003C3A0F"/>
    <w:rsid w:val="003C42BF"/>
    <w:rsid w:val="003C4395"/>
    <w:rsid w:val="003C5A92"/>
    <w:rsid w:val="003C6373"/>
    <w:rsid w:val="003D1BBC"/>
    <w:rsid w:val="003E06C6"/>
    <w:rsid w:val="003E090D"/>
    <w:rsid w:val="003E28BD"/>
    <w:rsid w:val="003E5791"/>
    <w:rsid w:val="003F00E6"/>
    <w:rsid w:val="003F3C35"/>
    <w:rsid w:val="003F6D84"/>
    <w:rsid w:val="003F708F"/>
    <w:rsid w:val="003F7BA8"/>
    <w:rsid w:val="00401B31"/>
    <w:rsid w:val="00403517"/>
    <w:rsid w:val="00410C3F"/>
    <w:rsid w:val="00411430"/>
    <w:rsid w:val="0041332B"/>
    <w:rsid w:val="00421317"/>
    <w:rsid w:val="004218EE"/>
    <w:rsid w:val="0042428F"/>
    <w:rsid w:val="004257E4"/>
    <w:rsid w:val="00427CFF"/>
    <w:rsid w:val="00437A94"/>
    <w:rsid w:val="00441297"/>
    <w:rsid w:val="00441426"/>
    <w:rsid w:val="00442BA4"/>
    <w:rsid w:val="00442D90"/>
    <w:rsid w:val="00444386"/>
    <w:rsid w:val="004458D3"/>
    <w:rsid w:val="00445FD8"/>
    <w:rsid w:val="00447D25"/>
    <w:rsid w:val="00450619"/>
    <w:rsid w:val="00450AB1"/>
    <w:rsid w:val="00457D06"/>
    <w:rsid w:val="00462012"/>
    <w:rsid w:val="00464A59"/>
    <w:rsid w:val="00465217"/>
    <w:rsid w:val="0046698B"/>
    <w:rsid w:val="00467913"/>
    <w:rsid w:val="004704B0"/>
    <w:rsid w:val="00470A52"/>
    <w:rsid w:val="004729E5"/>
    <w:rsid w:val="00473318"/>
    <w:rsid w:val="00476898"/>
    <w:rsid w:val="0047789E"/>
    <w:rsid w:val="00481436"/>
    <w:rsid w:val="0048166A"/>
    <w:rsid w:val="00482C6B"/>
    <w:rsid w:val="004873FA"/>
    <w:rsid w:val="00491A76"/>
    <w:rsid w:val="004949AD"/>
    <w:rsid w:val="004A2D3E"/>
    <w:rsid w:val="004A3178"/>
    <w:rsid w:val="004A599B"/>
    <w:rsid w:val="004B748E"/>
    <w:rsid w:val="004C2734"/>
    <w:rsid w:val="004C27EF"/>
    <w:rsid w:val="004C3211"/>
    <w:rsid w:val="004C64BF"/>
    <w:rsid w:val="004C76C0"/>
    <w:rsid w:val="004C7AE6"/>
    <w:rsid w:val="004C7F09"/>
    <w:rsid w:val="004D095C"/>
    <w:rsid w:val="004D0D78"/>
    <w:rsid w:val="004D1A91"/>
    <w:rsid w:val="004D1C8E"/>
    <w:rsid w:val="004D4D93"/>
    <w:rsid w:val="004D6FDD"/>
    <w:rsid w:val="004E0877"/>
    <w:rsid w:val="004E1AD2"/>
    <w:rsid w:val="004E450C"/>
    <w:rsid w:val="004F2F5C"/>
    <w:rsid w:val="004F42CB"/>
    <w:rsid w:val="004F48A8"/>
    <w:rsid w:val="004F4FFC"/>
    <w:rsid w:val="0050159C"/>
    <w:rsid w:val="00502F90"/>
    <w:rsid w:val="00503686"/>
    <w:rsid w:val="0050449A"/>
    <w:rsid w:val="0050484C"/>
    <w:rsid w:val="0050501C"/>
    <w:rsid w:val="005057B7"/>
    <w:rsid w:val="00505AEE"/>
    <w:rsid w:val="00505C86"/>
    <w:rsid w:val="005067C9"/>
    <w:rsid w:val="00507A26"/>
    <w:rsid w:val="00510482"/>
    <w:rsid w:val="0051186F"/>
    <w:rsid w:val="00511F1C"/>
    <w:rsid w:val="00512DC7"/>
    <w:rsid w:val="00513CDF"/>
    <w:rsid w:val="00514216"/>
    <w:rsid w:val="00517193"/>
    <w:rsid w:val="005201F2"/>
    <w:rsid w:val="00521FE9"/>
    <w:rsid w:val="00524E22"/>
    <w:rsid w:val="00526378"/>
    <w:rsid w:val="0052722C"/>
    <w:rsid w:val="00527296"/>
    <w:rsid w:val="00527DC1"/>
    <w:rsid w:val="00531D73"/>
    <w:rsid w:val="00532AC4"/>
    <w:rsid w:val="00532EA1"/>
    <w:rsid w:val="00534CC8"/>
    <w:rsid w:val="00534DE9"/>
    <w:rsid w:val="00536372"/>
    <w:rsid w:val="005414C6"/>
    <w:rsid w:val="00546564"/>
    <w:rsid w:val="00547061"/>
    <w:rsid w:val="0055163E"/>
    <w:rsid w:val="00552F48"/>
    <w:rsid w:val="0055311A"/>
    <w:rsid w:val="005535EE"/>
    <w:rsid w:val="00556902"/>
    <w:rsid w:val="005576DE"/>
    <w:rsid w:val="00557EC8"/>
    <w:rsid w:val="0056157D"/>
    <w:rsid w:val="0056335A"/>
    <w:rsid w:val="00564AAD"/>
    <w:rsid w:val="00565C37"/>
    <w:rsid w:val="005734F0"/>
    <w:rsid w:val="00573576"/>
    <w:rsid w:val="00574AC0"/>
    <w:rsid w:val="005764CB"/>
    <w:rsid w:val="00586540"/>
    <w:rsid w:val="005874AB"/>
    <w:rsid w:val="005874F3"/>
    <w:rsid w:val="00587559"/>
    <w:rsid w:val="0059129C"/>
    <w:rsid w:val="005929F2"/>
    <w:rsid w:val="0059354C"/>
    <w:rsid w:val="005959A0"/>
    <w:rsid w:val="005A27B7"/>
    <w:rsid w:val="005A7C72"/>
    <w:rsid w:val="005B0E0F"/>
    <w:rsid w:val="005B0FA7"/>
    <w:rsid w:val="005B15A8"/>
    <w:rsid w:val="005B5A1C"/>
    <w:rsid w:val="005B5A98"/>
    <w:rsid w:val="005B6988"/>
    <w:rsid w:val="005B7CF3"/>
    <w:rsid w:val="005C1C28"/>
    <w:rsid w:val="005C1F81"/>
    <w:rsid w:val="005C38D3"/>
    <w:rsid w:val="005C5A8E"/>
    <w:rsid w:val="005C6B82"/>
    <w:rsid w:val="005C6F86"/>
    <w:rsid w:val="005D04B5"/>
    <w:rsid w:val="005D0665"/>
    <w:rsid w:val="005D65FB"/>
    <w:rsid w:val="005D78AB"/>
    <w:rsid w:val="005D78F3"/>
    <w:rsid w:val="005E0D74"/>
    <w:rsid w:val="005E36EC"/>
    <w:rsid w:val="005E7DC6"/>
    <w:rsid w:val="005F05FC"/>
    <w:rsid w:val="005F49DF"/>
    <w:rsid w:val="005F54C3"/>
    <w:rsid w:val="005F5EBE"/>
    <w:rsid w:val="005F6A44"/>
    <w:rsid w:val="005F6E72"/>
    <w:rsid w:val="00602959"/>
    <w:rsid w:val="00603CC7"/>
    <w:rsid w:val="00604376"/>
    <w:rsid w:val="00605313"/>
    <w:rsid w:val="0060692D"/>
    <w:rsid w:val="00606ADA"/>
    <w:rsid w:val="00610964"/>
    <w:rsid w:val="0061245E"/>
    <w:rsid w:val="006142CE"/>
    <w:rsid w:val="006216C6"/>
    <w:rsid w:val="00622418"/>
    <w:rsid w:val="0062434E"/>
    <w:rsid w:val="00631012"/>
    <w:rsid w:val="00631500"/>
    <w:rsid w:val="0063496E"/>
    <w:rsid w:val="006349C6"/>
    <w:rsid w:val="0063643B"/>
    <w:rsid w:val="00640D05"/>
    <w:rsid w:val="0064144D"/>
    <w:rsid w:val="006473B6"/>
    <w:rsid w:val="006528C9"/>
    <w:rsid w:val="00660575"/>
    <w:rsid w:val="00663733"/>
    <w:rsid w:val="006715B5"/>
    <w:rsid w:val="00672071"/>
    <w:rsid w:val="0067614D"/>
    <w:rsid w:val="00677722"/>
    <w:rsid w:val="00680C34"/>
    <w:rsid w:val="00681AEC"/>
    <w:rsid w:val="00682839"/>
    <w:rsid w:val="0068698C"/>
    <w:rsid w:val="00687030"/>
    <w:rsid w:val="006903EF"/>
    <w:rsid w:val="00690654"/>
    <w:rsid w:val="00691181"/>
    <w:rsid w:val="0069184D"/>
    <w:rsid w:val="006945F5"/>
    <w:rsid w:val="006963C9"/>
    <w:rsid w:val="006966F5"/>
    <w:rsid w:val="006A28C0"/>
    <w:rsid w:val="006A55A8"/>
    <w:rsid w:val="006A65CB"/>
    <w:rsid w:val="006A67E0"/>
    <w:rsid w:val="006B2079"/>
    <w:rsid w:val="006B23F0"/>
    <w:rsid w:val="006B2BFC"/>
    <w:rsid w:val="006B3857"/>
    <w:rsid w:val="006C0C18"/>
    <w:rsid w:val="006C6EC3"/>
    <w:rsid w:val="006D146A"/>
    <w:rsid w:val="006D161F"/>
    <w:rsid w:val="006D25DA"/>
    <w:rsid w:val="006D4955"/>
    <w:rsid w:val="006D4B46"/>
    <w:rsid w:val="006D6596"/>
    <w:rsid w:val="006D660F"/>
    <w:rsid w:val="006D75EA"/>
    <w:rsid w:val="006D7A93"/>
    <w:rsid w:val="006E059F"/>
    <w:rsid w:val="006E079F"/>
    <w:rsid w:val="006E31E4"/>
    <w:rsid w:val="006E57AE"/>
    <w:rsid w:val="006E68A7"/>
    <w:rsid w:val="006F18EE"/>
    <w:rsid w:val="006F3053"/>
    <w:rsid w:val="006F5BFD"/>
    <w:rsid w:val="00700024"/>
    <w:rsid w:val="00701793"/>
    <w:rsid w:val="007019DD"/>
    <w:rsid w:val="0070442C"/>
    <w:rsid w:val="00706343"/>
    <w:rsid w:val="007066A0"/>
    <w:rsid w:val="0070739A"/>
    <w:rsid w:val="00707D4B"/>
    <w:rsid w:val="0071603A"/>
    <w:rsid w:val="00716E94"/>
    <w:rsid w:val="00721685"/>
    <w:rsid w:val="007279EB"/>
    <w:rsid w:val="00730228"/>
    <w:rsid w:val="007324BC"/>
    <w:rsid w:val="0073266A"/>
    <w:rsid w:val="00732895"/>
    <w:rsid w:val="00735142"/>
    <w:rsid w:val="00737007"/>
    <w:rsid w:val="00741EB2"/>
    <w:rsid w:val="007444A2"/>
    <w:rsid w:val="00744E5C"/>
    <w:rsid w:val="00747F6F"/>
    <w:rsid w:val="007517A7"/>
    <w:rsid w:val="00751AB4"/>
    <w:rsid w:val="00752322"/>
    <w:rsid w:val="00752C20"/>
    <w:rsid w:val="007531F7"/>
    <w:rsid w:val="00753CD2"/>
    <w:rsid w:val="00757944"/>
    <w:rsid w:val="00762179"/>
    <w:rsid w:val="00770A18"/>
    <w:rsid w:val="007744DC"/>
    <w:rsid w:val="00775890"/>
    <w:rsid w:val="00775D65"/>
    <w:rsid w:val="007777E1"/>
    <w:rsid w:val="0078336D"/>
    <w:rsid w:val="00783B69"/>
    <w:rsid w:val="00784099"/>
    <w:rsid w:val="007841B6"/>
    <w:rsid w:val="0078446F"/>
    <w:rsid w:val="00784690"/>
    <w:rsid w:val="007907A8"/>
    <w:rsid w:val="00790ED2"/>
    <w:rsid w:val="00792596"/>
    <w:rsid w:val="00793DCC"/>
    <w:rsid w:val="007945C8"/>
    <w:rsid w:val="00797C6E"/>
    <w:rsid w:val="007A4060"/>
    <w:rsid w:val="007A4B3D"/>
    <w:rsid w:val="007A5193"/>
    <w:rsid w:val="007A5CEF"/>
    <w:rsid w:val="007A7232"/>
    <w:rsid w:val="007B20B0"/>
    <w:rsid w:val="007B6D39"/>
    <w:rsid w:val="007C1276"/>
    <w:rsid w:val="007C2366"/>
    <w:rsid w:val="007C2562"/>
    <w:rsid w:val="007C2DD7"/>
    <w:rsid w:val="007C4532"/>
    <w:rsid w:val="007C4787"/>
    <w:rsid w:val="007C665F"/>
    <w:rsid w:val="007C6A37"/>
    <w:rsid w:val="007D045A"/>
    <w:rsid w:val="007D1E07"/>
    <w:rsid w:val="007D6B26"/>
    <w:rsid w:val="007D77BE"/>
    <w:rsid w:val="007E4720"/>
    <w:rsid w:val="007E4FBB"/>
    <w:rsid w:val="007E5990"/>
    <w:rsid w:val="007E6453"/>
    <w:rsid w:val="007F1D90"/>
    <w:rsid w:val="007F31CB"/>
    <w:rsid w:val="007F6633"/>
    <w:rsid w:val="0080192E"/>
    <w:rsid w:val="00803649"/>
    <w:rsid w:val="008044F9"/>
    <w:rsid w:val="008054D2"/>
    <w:rsid w:val="008060F6"/>
    <w:rsid w:val="00806F9B"/>
    <w:rsid w:val="008137CE"/>
    <w:rsid w:val="00827BB5"/>
    <w:rsid w:val="00830F5F"/>
    <w:rsid w:val="00832D25"/>
    <w:rsid w:val="0083397C"/>
    <w:rsid w:val="008357CA"/>
    <w:rsid w:val="00836143"/>
    <w:rsid w:val="0083655A"/>
    <w:rsid w:val="0084578F"/>
    <w:rsid w:val="00845F1B"/>
    <w:rsid w:val="008507B0"/>
    <w:rsid w:val="008509CB"/>
    <w:rsid w:val="00851F5B"/>
    <w:rsid w:val="00852881"/>
    <w:rsid w:val="00853954"/>
    <w:rsid w:val="008558B1"/>
    <w:rsid w:val="00855F7B"/>
    <w:rsid w:val="008609BC"/>
    <w:rsid w:val="00861894"/>
    <w:rsid w:val="008625C8"/>
    <w:rsid w:val="0086329A"/>
    <w:rsid w:val="00867CFE"/>
    <w:rsid w:val="00870843"/>
    <w:rsid w:val="008721B2"/>
    <w:rsid w:val="00872900"/>
    <w:rsid w:val="00873F1A"/>
    <w:rsid w:val="00875B9F"/>
    <w:rsid w:val="00880335"/>
    <w:rsid w:val="00881DEE"/>
    <w:rsid w:val="00885A6A"/>
    <w:rsid w:val="00887B8E"/>
    <w:rsid w:val="008911B6"/>
    <w:rsid w:val="008916C3"/>
    <w:rsid w:val="00891886"/>
    <w:rsid w:val="00892695"/>
    <w:rsid w:val="00894031"/>
    <w:rsid w:val="00895542"/>
    <w:rsid w:val="0089777B"/>
    <w:rsid w:val="008A2809"/>
    <w:rsid w:val="008A414E"/>
    <w:rsid w:val="008B27BC"/>
    <w:rsid w:val="008B382D"/>
    <w:rsid w:val="008B5ECB"/>
    <w:rsid w:val="008B7C33"/>
    <w:rsid w:val="008C0952"/>
    <w:rsid w:val="008C335E"/>
    <w:rsid w:val="008C37D8"/>
    <w:rsid w:val="008C3E5D"/>
    <w:rsid w:val="008C40C1"/>
    <w:rsid w:val="008C50E7"/>
    <w:rsid w:val="008C50F9"/>
    <w:rsid w:val="008C5D19"/>
    <w:rsid w:val="008D3D9D"/>
    <w:rsid w:val="008D5B13"/>
    <w:rsid w:val="008D6789"/>
    <w:rsid w:val="008D7E98"/>
    <w:rsid w:val="008E34D9"/>
    <w:rsid w:val="008E34E8"/>
    <w:rsid w:val="008E4F8A"/>
    <w:rsid w:val="008E63A9"/>
    <w:rsid w:val="008F055F"/>
    <w:rsid w:val="008F05FF"/>
    <w:rsid w:val="008F23F2"/>
    <w:rsid w:val="008F36DF"/>
    <w:rsid w:val="008F456C"/>
    <w:rsid w:val="008F4A50"/>
    <w:rsid w:val="008F52D8"/>
    <w:rsid w:val="009009C7"/>
    <w:rsid w:val="00901D0A"/>
    <w:rsid w:val="00901D71"/>
    <w:rsid w:val="0090502B"/>
    <w:rsid w:val="00911F52"/>
    <w:rsid w:val="009137D9"/>
    <w:rsid w:val="00914721"/>
    <w:rsid w:val="00914F84"/>
    <w:rsid w:val="00916A8E"/>
    <w:rsid w:val="00916DE7"/>
    <w:rsid w:val="0092027A"/>
    <w:rsid w:val="0092037C"/>
    <w:rsid w:val="009208C6"/>
    <w:rsid w:val="00920AF8"/>
    <w:rsid w:val="00923A54"/>
    <w:rsid w:val="00932AC0"/>
    <w:rsid w:val="00932B12"/>
    <w:rsid w:val="00932BBC"/>
    <w:rsid w:val="00940C8C"/>
    <w:rsid w:val="00941A7D"/>
    <w:rsid w:val="009424F4"/>
    <w:rsid w:val="00943472"/>
    <w:rsid w:val="0094545F"/>
    <w:rsid w:val="00947C61"/>
    <w:rsid w:val="00951162"/>
    <w:rsid w:val="00951346"/>
    <w:rsid w:val="0095550E"/>
    <w:rsid w:val="00956F8A"/>
    <w:rsid w:val="00961F2C"/>
    <w:rsid w:val="00961FE5"/>
    <w:rsid w:val="0096511D"/>
    <w:rsid w:val="009674BF"/>
    <w:rsid w:val="00967B11"/>
    <w:rsid w:val="00970EDD"/>
    <w:rsid w:val="00971851"/>
    <w:rsid w:val="00976F84"/>
    <w:rsid w:val="00977C91"/>
    <w:rsid w:val="009874D5"/>
    <w:rsid w:val="00987E1A"/>
    <w:rsid w:val="00991E5F"/>
    <w:rsid w:val="00994312"/>
    <w:rsid w:val="00994744"/>
    <w:rsid w:val="0099505B"/>
    <w:rsid w:val="00997FAB"/>
    <w:rsid w:val="009A05A1"/>
    <w:rsid w:val="009A2BBC"/>
    <w:rsid w:val="009A2BC5"/>
    <w:rsid w:val="009B0C23"/>
    <w:rsid w:val="009B301E"/>
    <w:rsid w:val="009B488A"/>
    <w:rsid w:val="009B5516"/>
    <w:rsid w:val="009B55DD"/>
    <w:rsid w:val="009B781E"/>
    <w:rsid w:val="009B7BB3"/>
    <w:rsid w:val="009C03FB"/>
    <w:rsid w:val="009C0BD4"/>
    <w:rsid w:val="009C355A"/>
    <w:rsid w:val="009C4582"/>
    <w:rsid w:val="009C47C0"/>
    <w:rsid w:val="009C65E3"/>
    <w:rsid w:val="009C7758"/>
    <w:rsid w:val="009D2417"/>
    <w:rsid w:val="009D3643"/>
    <w:rsid w:val="009E0A03"/>
    <w:rsid w:val="009E105A"/>
    <w:rsid w:val="009E2364"/>
    <w:rsid w:val="009E53FC"/>
    <w:rsid w:val="009E6073"/>
    <w:rsid w:val="009E7539"/>
    <w:rsid w:val="009F5623"/>
    <w:rsid w:val="009F79A7"/>
    <w:rsid w:val="009F7DB9"/>
    <w:rsid w:val="009F7FAD"/>
    <w:rsid w:val="00A00893"/>
    <w:rsid w:val="00A00C0E"/>
    <w:rsid w:val="00A01A1F"/>
    <w:rsid w:val="00A101D4"/>
    <w:rsid w:val="00A11FBE"/>
    <w:rsid w:val="00A14613"/>
    <w:rsid w:val="00A159B5"/>
    <w:rsid w:val="00A20C65"/>
    <w:rsid w:val="00A22BFB"/>
    <w:rsid w:val="00A22F30"/>
    <w:rsid w:val="00A23C4C"/>
    <w:rsid w:val="00A26ABE"/>
    <w:rsid w:val="00A26DBE"/>
    <w:rsid w:val="00A301DF"/>
    <w:rsid w:val="00A30B83"/>
    <w:rsid w:val="00A34837"/>
    <w:rsid w:val="00A36A08"/>
    <w:rsid w:val="00A4472C"/>
    <w:rsid w:val="00A45A81"/>
    <w:rsid w:val="00A528CE"/>
    <w:rsid w:val="00A52BC2"/>
    <w:rsid w:val="00A54C1A"/>
    <w:rsid w:val="00A55BFF"/>
    <w:rsid w:val="00A56BC5"/>
    <w:rsid w:val="00A61B1E"/>
    <w:rsid w:val="00A62ABE"/>
    <w:rsid w:val="00A62FF0"/>
    <w:rsid w:val="00A66A35"/>
    <w:rsid w:val="00A67FF6"/>
    <w:rsid w:val="00A71C9D"/>
    <w:rsid w:val="00A72AF9"/>
    <w:rsid w:val="00A80454"/>
    <w:rsid w:val="00A82DB0"/>
    <w:rsid w:val="00A85EBA"/>
    <w:rsid w:val="00A87355"/>
    <w:rsid w:val="00A9125F"/>
    <w:rsid w:val="00A92B00"/>
    <w:rsid w:val="00A93C1C"/>
    <w:rsid w:val="00A9570C"/>
    <w:rsid w:val="00A95BFC"/>
    <w:rsid w:val="00A95F02"/>
    <w:rsid w:val="00A979AB"/>
    <w:rsid w:val="00AA756B"/>
    <w:rsid w:val="00AB0264"/>
    <w:rsid w:val="00AB11B1"/>
    <w:rsid w:val="00AB11D3"/>
    <w:rsid w:val="00AB4DBA"/>
    <w:rsid w:val="00AB669D"/>
    <w:rsid w:val="00AB7C01"/>
    <w:rsid w:val="00AC25C1"/>
    <w:rsid w:val="00AC26D2"/>
    <w:rsid w:val="00AC3681"/>
    <w:rsid w:val="00AC4D9C"/>
    <w:rsid w:val="00AC6FC0"/>
    <w:rsid w:val="00AD03A1"/>
    <w:rsid w:val="00AD1053"/>
    <w:rsid w:val="00AD618E"/>
    <w:rsid w:val="00AE3C85"/>
    <w:rsid w:val="00AE3E65"/>
    <w:rsid w:val="00AF13D7"/>
    <w:rsid w:val="00AF33EC"/>
    <w:rsid w:val="00AF34F3"/>
    <w:rsid w:val="00AF5130"/>
    <w:rsid w:val="00AF6A08"/>
    <w:rsid w:val="00B00396"/>
    <w:rsid w:val="00B01AB0"/>
    <w:rsid w:val="00B03260"/>
    <w:rsid w:val="00B052C5"/>
    <w:rsid w:val="00B06B5B"/>
    <w:rsid w:val="00B10F46"/>
    <w:rsid w:val="00B133B1"/>
    <w:rsid w:val="00B14CE3"/>
    <w:rsid w:val="00B15008"/>
    <w:rsid w:val="00B20755"/>
    <w:rsid w:val="00B20D90"/>
    <w:rsid w:val="00B21B3C"/>
    <w:rsid w:val="00B23C4F"/>
    <w:rsid w:val="00B267D5"/>
    <w:rsid w:val="00B27A46"/>
    <w:rsid w:val="00B32805"/>
    <w:rsid w:val="00B3301B"/>
    <w:rsid w:val="00B330A1"/>
    <w:rsid w:val="00B3556A"/>
    <w:rsid w:val="00B40059"/>
    <w:rsid w:val="00B404FC"/>
    <w:rsid w:val="00B41A8E"/>
    <w:rsid w:val="00B47C29"/>
    <w:rsid w:val="00B505D8"/>
    <w:rsid w:val="00B5286F"/>
    <w:rsid w:val="00B53338"/>
    <w:rsid w:val="00B6397B"/>
    <w:rsid w:val="00B642BC"/>
    <w:rsid w:val="00B64B42"/>
    <w:rsid w:val="00B64BBD"/>
    <w:rsid w:val="00B64C95"/>
    <w:rsid w:val="00B65D41"/>
    <w:rsid w:val="00B727B3"/>
    <w:rsid w:val="00B7338E"/>
    <w:rsid w:val="00B809B6"/>
    <w:rsid w:val="00B82959"/>
    <w:rsid w:val="00B8487A"/>
    <w:rsid w:val="00B84C20"/>
    <w:rsid w:val="00B91244"/>
    <w:rsid w:val="00B92FDF"/>
    <w:rsid w:val="00B95A75"/>
    <w:rsid w:val="00B9729E"/>
    <w:rsid w:val="00BA0231"/>
    <w:rsid w:val="00BA112B"/>
    <w:rsid w:val="00BA2126"/>
    <w:rsid w:val="00BA2260"/>
    <w:rsid w:val="00BA291E"/>
    <w:rsid w:val="00BA40F3"/>
    <w:rsid w:val="00BB5B7F"/>
    <w:rsid w:val="00BB7969"/>
    <w:rsid w:val="00BC17E8"/>
    <w:rsid w:val="00BC5985"/>
    <w:rsid w:val="00BC6A7B"/>
    <w:rsid w:val="00BD0E01"/>
    <w:rsid w:val="00BD31B2"/>
    <w:rsid w:val="00BD6C1A"/>
    <w:rsid w:val="00BE4C42"/>
    <w:rsid w:val="00BE6592"/>
    <w:rsid w:val="00BE679B"/>
    <w:rsid w:val="00BF243B"/>
    <w:rsid w:val="00BF62AD"/>
    <w:rsid w:val="00BF7130"/>
    <w:rsid w:val="00C02EE3"/>
    <w:rsid w:val="00C03CA8"/>
    <w:rsid w:val="00C05C15"/>
    <w:rsid w:val="00C11449"/>
    <w:rsid w:val="00C1177F"/>
    <w:rsid w:val="00C11AE3"/>
    <w:rsid w:val="00C12856"/>
    <w:rsid w:val="00C150D8"/>
    <w:rsid w:val="00C15894"/>
    <w:rsid w:val="00C17025"/>
    <w:rsid w:val="00C17D13"/>
    <w:rsid w:val="00C17FEF"/>
    <w:rsid w:val="00C21F8E"/>
    <w:rsid w:val="00C24BA7"/>
    <w:rsid w:val="00C2788F"/>
    <w:rsid w:val="00C3029D"/>
    <w:rsid w:val="00C33E4D"/>
    <w:rsid w:val="00C3453D"/>
    <w:rsid w:val="00C37D37"/>
    <w:rsid w:val="00C37F87"/>
    <w:rsid w:val="00C41C3D"/>
    <w:rsid w:val="00C423B9"/>
    <w:rsid w:val="00C44BA8"/>
    <w:rsid w:val="00C4639C"/>
    <w:rsid w:val="00C51300"/>
    <w:rsid w:val="00C53B1C"/>
    <w:rsid w:val="00C544E1"/>
    <w:rsid w:val="00C5617B"/>
    <w:rsid w:val="00C56436"/>
    <w:rsid w:val="00C648F3"/>
    <w:rsid w:val="00C67953"/>
    <w:rsid w:val="00C703F3"/>
    <w:rsid w:val="00C74D68"/>
    <w:rsid w:val="00C777AB"/>
    <w:rsid w:val="00C77C24"/>
    <w:rsid w:val="00C82D54"/>
    <w:rsid w:val="00C83290"/>
    <w:rsid w:val="00C842B6"/>
    <w:rsid w:val="00C844AA"/>
    <w:rsid w:val="00C858A7"/>
    <w:rsid w:val="00C87380"/>
    <w:rsid w:val="00C87C9E"/>
    <w:rsid w:val="00C907DF"/>
    <w:rsid w:val="00C9084F"/>
    <w:rsid w:val="00C92049"/>
    <w:rsid w:val="00C92F53"/>
    <w:rsid w:val="00C93634"/>
    <w:rsid w:val="00C949BE"/>
    <w:rsid w:val="00C9706F"/>
    <w:rsid w:val="00CA03C1"/>
    <w:rsid w:val="00CA051E"/>
    <w:rsid w:val="00CA0E27"/>
    <w:rsid w:val="00CA1249"/>
    <w:rsid w:val="00CB04AF"/>
    <w:rsid w:val="00CB1C95"/>
    <w:rsid w:val="00CB752A"/>
    <w:rsid w:val="00CC2823"/>
    <w:rsid w:val="00CC2D05"/>
    <w:rsid w:val="00CD2FA7"/>
    <w:rsid w:val="00CD5249"/>
    <w:rsid w:val="00CE3A52"/>
    <w:rsid w:val="00CE3AEA"/>
    <w:rsid w:val="00CE75E3"/>
    <w:rsid w:val="00CF009A"/>
    <w:rsid w:val="00CF44FB"/>
    <w:rsid w:val="00CF539B"/>
    <w:rsid w:val="00CF676D"/>
    <w:rsid w:val="00D0327F"/>
    <w:rsid w:val="00D04F67"/>
    <w:rsid w:val="00D0539C"/>
    <w:rsid w:val="00D06A86"/>
    <w:rsid w:val="00D12BB8"/>
    <w:rsid w:val="00D13297"/>
    <w:rsid w:val="00D13594"/>
    <w:rsid w:val="00D137A5"/>
    <w:rsid w:val="00D15089"/>
    <w:rsid w:val="00D15683"/>
    <w:rsid w:val="00D1600F"/>
    <w:rsid w:val="00D16324"/>
    <w:rsid w:val="00D206B9"/>
    <w:rsid w:val="00D21975"/>
    <w:rsid w:val="00D221AF"/>
    <w:rsid w:val="00D23B9A"/>
    <w:rsid w:val="00D242E8"/>
    <w:rsid w:val="00D272F3"/>
    <w:rsid w:val="00D31152"/>
    <w:rsid w:val="00D3270C"/>
    <w:rsid w:val="00D33402"/>
    <w:rsid w:val="00D366FD"/>
    <w:rsid w:val="00D371A8"/>
    <w:rsid w:val="00D37636"/>
    <w:rsid w:val="00D4058A"/>
    <w:rsid w:val="00D44CED"/>
    <w:rsid w:val="00D45813"/>
    <w:rsid w:val="00D46D6A"/>
    <w:rsid w:val="00D4763F"/>
    <w:rsid w:val="00D47822"/>
    <w:rsid w:val="00D47994"/>
    <w:rsid w:val="00D47AE3"/>
    <w:rsid w:val="00D505DB"/>
    <w:rsid w:val="00D50B3E"/>
    <w:rsid w:val="00D518BB"/>
    <w:rsid w:val="00D518EC"/>
    <w:rsid w:val="00D53A12"/>
    <w:rsid w:val="00D557BF"/>
    <w:rsid w:val="00D574E0"/>
    <w:rsid w:val="00D6202C"/>
    <w:rsid w:val="00D6419C"/>
    <w:rsid w:val="00D6623A"/>
    <w:rsid w:val="00D665D0"/>
    <w:rsid w:val="00D6677E"/>
    <w:rsid w:val="00D66FE0"/>
    <w:rsid w:val="00D67530"/>
    <w:rsid w:val="00D71539"/>
    <w:rsid w:val="00D72037"/>
    <w:rsid w:val="00D74AF2"/>
    <w:rsid w:val="00D76B11"/>
    <w:rsid w:val="00D7715A"/>
    <w:rsid w:val="00D84ABB"/>
    <w:rsid w:val="00D84B00"/>
    <w:rsid w:val="00D85B08"/>
    <w:rsid w:val="00D90D31"/>
    <w:rsid w:val="00D93A1C"/>
    <w:rsid w:val="00D95FC7"/>
    <w:rsid w:val="00D96E10"/>
    <w:rsid w:val="00D97146"/>
    <w:rsid w:val="00DA00E8"/>
    <w:rsid w:val="00DA0152"/>
    <w:rsid w:val="00DA0AB1"/>
    <w:rsid w:val="00DA12A4"/>
    <w:rsid w:val="00DA6149"/>
    <w:rsid w:val="00DA798E"/>
    <w:rsid w:val="00DA7CB5"/>
    <w:rsid w:val="00DB0002"/>
    <w:rsid w:val="00DB1EE6"/>
    <w:rsid w:val="00DB2084"/>
    <w:rsid w:val="00DB2787"/>
    <w:rsid w:val="00DB4021"/>
    <w:rsid w:val="00DB4BB9"/>
    <w:rsid w:val="00DC60B3"/>
    <w:rsid w:val="00DD2922"/>
    <w:rsid w:val="00DD4685"/>
    <w:rsid w:val="00DD4F3C"/>
    <w:rsid w:val="00DD718C"/>
    <w:rsid w:val="00DE1C51"/>
    <w:rsid w:val="00DE2CC6"/>
    <w:rsid w:val="00DE2CF5"/>
    <w:rsid w:val="00DE522A"/>
    <w:rsid w:val="00DE6353"/>
    <w:rsid w:val="00DE720D"/>
    <w:rsid w:val="00DF0CE4"/>
    <w:rsid w:val="00DF0EF3"/>
    <w:rsid w:val="00DF4AA2"/>
    <w:rsid w:val="00DF5F74"/>
    <w:rsid w:val="00DF6C9C"/>
    <w:rsid w:val="00E0033D"/>
    <w:rsid w:val="00E00E36"/>
    <w:rsid w:val="00E105FB"/>
    <w:rsid w:val="00E10F9C"/>
    <w:rsid w:val="00E11203"/>
    <w:rsid w:val="00E11D08"/>
    <w:rsid w:val="00E144E6"/>
    <w:rsid w:val="00E164CB"/>
    <w:rsid w:val="00E16B59"/>
    <w:rsid w:val="00E172ED"/>
    <w:rsid w:val="00E1788E"/>
    <w:rsid w:val="00E2722A"/>
    <w:rsid w:val="00E272BB"/>
    <w:rsid w:val="00E30F58"/>
    <w:rsid w:val="00E31A69"/>
    <w:rsid w:val="00E31AE4"/>
    <w:rsid w:val="00E330FB"/>
    <w:rsid w:val="00E37CD5"/>
    <w:rsid w:val="00E405A4"/>
    <w:rsid w:val="00E42C36"/>
    <w:rsid w:val="00E4411C"/>
    <w:rsid w:val="00E4511F"/>
    <w:rsid w:val="00E4566B"/>
    <w:rsid w:val="00E46611"/>
    <w:rsid w:val="00E50251"/>
    <w:rsid w:val="00E50A85"/>
    <w:rsid w:val="00E5383B"/>
    <w:rsid w:val="00E56E35"/>
    <w:rsid w:val="00E62C25"/>
    <w:rsid w:val="00E6387D"/>
    <w:rsid w:val="00E71EC2"/>
    <w:rsid w:val="00E7213D"/>
    <w:rsid w:val="00E75FFB"/>
    <w:rsid w:val="00E77D78"/>
    <w:rsid w:val="00E829D0"/>
    <w:rsid w:val="00E840BD"/>
    <w:rsid w:val="00E858BE"/>
    <w:rsid w:val="00E85F30"/>
    <w:rsid w:val="00E861D0"/>
    <w:rsid w:val="00E86FEA"/>
    <w:rsid w:val="00E87525"/>
    <w:rsid w:val="00E91252"/>
    <w:rsid w:val="00E916AD"/>
    <w:rsid w:val="00E91C0C"/>
    <w:rsid w:val="00E94D99"/>
    <w:rsid w:val="00E9587E"/>
    <w:rsid w:val="00EA0446"/>
    <w:rsid w:val="00EA1026"/>
    <w:rsid w:val="00EA1973"/>
    <w:rsid w:val="00EA2A2C"/>
    <w:rsid w:val="00EA2DF3"/>
    <w:rsid w:val="00EA39F5"/>
    <w:rsid w:val="00EA4694"/>
    <w:rsid w:val="00EA6651"/>
    <w:rsid w:val="00EB06E4"/>
    <w:rsid w:val="00EB405D"/>
    <w:rsid w:val="00EC30A5"/>
    <w:rsid w:val="00EC35CF"/>
    <w:rsid w:val="00EC42AE"/>
    <w:rsid w:val="00EC5EB1"/>
    <w:rsid w:val="00EC6115"/>
    <w:rsid w:val="00ED3E45"/>
    <w:rsid w:val="00ED49EE"/>
    <w:rsid w:val="00ED6619"/>
    <w:rsid w:val="00EE07F7"/>
    <w:rsid w:val="00EE1A70"/>
    <w:rsid w:val="00EE4ABF"/>
    <w:rsid w:val="00EE7658"/>
    <w:rsid w:val="00EF15C8"/>
    <w:rsid w:val="00EF16DE"/>
    <w:rsid w:val="00EF256C"/>
    <w:rsid w:val="00EF51D5"/>
    <w:rsid w:val="00EF6247"/>
    <w:rsid w:val="00F00A98"/>
    <w:rsid w:val="00F00FCB"/>
    <w:rsid w:val="00F03158"/>
    <w:rsid w:val="00F05A7C"/>
    <w:rsid w:val="00F12473"/>
    <w:rsid w:val="00F139C5"/>
    <w:rsid w:val="00F15F71"/>
    <w:rsid w:val="00F22F4B"/>
    <w:rsid w:val="00F26510"/>
    <w:rsid w:val="00F278AA"/>
    <w:rsid w:val="00F27B4A"/>
    <w:rsid w:val="00F3341D"/>
    <w:rsid w:val="00F343B6"/>
    <w:rsid w:val="00F4243A"/>
    <w:rsid w:val="00F431D8"/>
    <w:rsid w:val="00F57924"/>
    <w:rsid w:val="00F61F1A"/>
    <w:rsid w:val="00F637B7"/>
    <w:rsid w:val="00F664C2"/>
    <w:rsid w:val="00F70638"/>
    <w:rsid w:val="00F71870"/>
    <w:rsid w:val="00F7243B"/>
    <w:rsid w:val="00F725B0"/>
    <w:rsid w:val="00F72B6E"/>
    <w:rsid w:val="00F73373"/>
    <w:rsid w:val="00F7384C"/>
    <w:rsid w:val="00F7630D"/>
    <w:rsid w:val="00F8035A"/>
    <w:rsid w:val="00F804CA"/>
    <w:rsid w:val="00F8235B"/>
    <w:rsid w:val="00F83792"/>
    <w:rsid w:val="00F84B4E"/>
    <w:rsid w:val="00F871A1"/>
    <w:rsid w:val="00F9059C"/>
    <w:rsid w:val="00F920BA"/>
    <w:rsid w:val="00FA0B92"/>
    <w:rsid w:val="00FA198A"/>
    <w:rsid w:val="00FA22B3"/>
    <w:rsid w:val="00FA2739"/>
    <w:rsid w:val="00FA38AC"/>
    <w:rsid w:val="00FA5220"/>
    <w:rsid w:val="00FA7217"/>
    <w:rsid w:val="00FA73F9"/>
    <w:rsid w:val="00FA7BEA"/>
    <w:rsid w:val="00FB00C5"/>
    <w:rsid w:val="00FB306D"/>
    <w:rsid w:val="00FB30FD"/>
    <w:rsid w:val="00FB3F06"/>
    <w:rsid w:val="00FB6250"/>
    <w:rsid w:val="00FB7683"/>
    <w:rsid w:val="00FC2C8F"/>
    <w:rsid w:val="00FC3181"/>
    <w:rsid w:val="00FC5A52"/>
    <w:rsid w:val="00FD080A"/>
    <w:rsid w:val="00FD0901"/>
    <w:rsid w:val="00FD100C"/>
    <w:rsid w:val="00FD4448"/>
    <w:rsid w:val="00FD767E"/>
    <w:rsid w:val="00FE037F"/>
    <w:rsid w:val="00FE1330"/>
    <w:rsid w:val="00FE1C61"/>
    <w:rsid w:val="00FE1D54"/>
    <w:rsid w:val="00FE3CB2"/>
    <w:rsid w:val="00FE3DB5"/>
    <w:rsid w:val="00FE51AA"/>
    <w:rsid w:val="00FE655D"/>
    <w:rsid w:val="00FF3189"/>
    <w:rsid w:val="00FF4AB3"/>
    <w:rsid w:val="00FF503A"/>
    <w:rsid w:val="0506C9D0"/>
    <w:rsid w:val="0ECB8547"/>
    <w:rsid w:val="29836976"/>
    <w:rsid w:val="447DF798"/>
    <w:rsid w:val="4AF6F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E039E"/>
  <w15:chartTrackingRefBased/>
  <w15:docId w15:val="{D595B915-E2F2-4892-8061-85A15196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Times New Roman" w:hAnsi="Aptos Narro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65"/>
    <w:pPr>
      <w:spacing w:after="160" w:line="278" w:lineRule="auto"/>
    </w:pPr>
    <w:rPr>
      <w:sz w:val="22"/>
      <w:szCs w:val="24"/>
      <w:lang w:eastAsia="ja-JP"/>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Aptos Display" w:hAnsi="Aptos Display"/>
      <w:color w:val="000000"/>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Aptos Display" w:hAnsi="Aptos Display"/>
      <w:color w:val="000000"/>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color w:val="000000"/>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i/>
      <w:iCs/>
      <w:color w:val="000000"/>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color w:val="000000"/>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i/>
      <w:iCs/>
      <w:color w:val="595959"/>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color w:val="595959"/>
    </w:rPr>
  </w:style>
  <w:style w:type="paragraph" w:styleId="Heading8">
    <w:name w:val="heading 8"/>
    <w:basedOn w:val="Normal"/>
    <w:next w:val="Normal"/>
    <w:link w:val="Heading8Char"/>
    <w:uiPriority w:val="9"/>
    <w:unhideWhenUsed/>
    <w:pPr>
      <w:keepNext/>
      <w:keepLines/>
      <w:numPr>
        <w:ilvl w:val="7"/>
        <w:numId w:val="23"/>
      </w:numPr>
      <w:spacing w:after="0"/>
      <w:outlineLvl w:val="7"/>
    </w:pPr>
    <w:rPr>
      <w:i/>
      <w:iCs/>
      <w:color w:val="272727"/>
    </w:rPr>
  </w:style>
  <w:style w:type="paragraph" w:styleId="Heading9">
    <w:name w:val="heading 9"/>
    <w:basedOn w:val="Normal"/>
    <w:next w:val="Normal"/>
    <w:link w:val="Heading9Char"/>
    <w:uiPriority w:val="9"/>
    <w:unhideWhenUsed/>
    <w:pPr>
      <w:keepNext/>
      <w:keepLines/>
      <w:numPr>
        <w:ilvl w:val="8"/>
        <w:numId w:val="23"/>
      </w:numPr>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59A0"/>
    <w:rPr>
      <w:rFonts w:ascii="Aptos Display" w:eastAsia="Times New Roman" w:hAnsi="Aptos Display" w:cs="Times New Roman"/>
      <w:color w:val="000000"/>
      <w:sz w:val="40"/>
      <w:szCs w:val="40"/>
    </w:rPr>
  </w:style>
  <w:style w:type="character" w:customStyle="1" w:styleId="Heading2Char">
    <w:name w:val="Heading 2 Char"/>
    <w:link w:val="Heading2"/>
    <w:uiPriority w:val="9"/>
    <w:rsid w:val="005959A0"/>
    <w:rPr>
      <w:rFonts w:ascii="Aptos Display" w:eastAsia="Times New Roman" w:hAnsi="Aptos Display" w:cs="Times New Roman"/>
      <w:color w:val="000000"/>
      <w:sz w:val="32"/>
      <w:szCs w:val="32"/>
    </w:rPr>
  </w:style>
  <w:style w:type="character" w:customStyle="1" w:styleId="Heading3Char">
    <w:name w:val="Heading 3 Char"/>
    <w:link w:val="Heading3"/>
    <w:uiPriority w:val="9"/>
    <w:rsid w:val="00CB04AF"/>
    <w:rPr>
      <w:rFonts w:eastAsia="Times New Roman" w:cs="Times New Roman"/>
      <w:color w:val="000000"/>
      <w:sz w:val="28"/>
      <w:szCs w:val="28"/>
    </w:rPr>
  </w:style>
  <w:style w:type="character" w:customStyle="1" w:styleId="Heading4Char">
    <w:name w:val="Heading 4 Char"/>
    <w:link w:val="Heading4"/>
    <w:uiPriority w:val="9"/>
    <w:rsid w:val="00CB04AF"/>
    <w:rPr>
      <w:rFonts w:eastAsia="Times New Roman" w:cs="Times New Roman"/>
      <w:i/>
      <w:iCs/>
      <w:color w:val="000000"/>
    </w:rPr>
  </w:style>
  <w:style w:type="character" w:customStyle="1" w:styleId="Heading5Char">
    <w:name w:val="Heading 5 Char"/>
    <w:link w:val="Heading5"/>
    <w:uiPriority w:val="9"/>
    <w:rsid w:val="00CB04AF"/>
    <w:rPr>
      <w:rFonts w:eastAsia="Times New Roman" w:cs="Times New Roman"/>
      <w:color w:val="000000"/>
    </w:rPr>
  </w:style>
  <w:style w:type="character" w:customStyle="1" w:styleId="Heading6Char">
    <w:name w:val="Heading 6 Char"/>
    <w:link w:val="Heading6"/>
    <w:uiPriority w:val="9"/>
    <w:rPr>
      <w:rFonts w:eastAsia="Times New Roman" w:cs="Times New Roman"/>
      <w:i/>
      <w:iCs/>
      <w:color w:val="595959"/>
    </w:rPr>
  </w:style>
  <w:style w:type="character" w:customStyle="1" w:styleId="Heading7Char">
    <w:name w:val="Heading 7 Char"/>
    <w:link w:val="Heading7"/>
    <w:uiPriority w:val="9"/>
    <w:rPr>
      <w:rFonts w:eastAsia="Times New Roman" w:cs="Times New Roman"/>
      <w:color w:val="595959"/>
    </w:rPr>
  </w:style>
  <w:style w:type="character" w:customStyle="1" w:styleId="Heading8Char">
    <w:name w:val="Heading 8 Char"/>
    <w:link w:val="Heading8"/>
    <w:uiPriority w:val="9"/>
    <w:rPr>
      <w:rFonts w:eastAsia="Times New Roman" w:cs="Times New Roman"/>
      <w:i/>
      <w:iCs/>
      <w:color w:val="272727"/>
    </w:rPr>
  </w:style>
  <w:style w:type="character" w:customStyle="1" w:styleId="Heading9Char">
    <w:name w:val="Heading 9 Char"/>
    <w:link w:val="Heading9"/>
    <w:uiPriority w:val="9"/>
    <w:rPr>
      <w:rFonts w:eastAsia="Times New Roman" w:cs="Times New Roman"/>
      <w:color w:val="272727"/>
    </w:rPr>
  </w:style>
  <w:style w:type="character" w:customStyle="1" w:styleId="TitleChar">
    <w:name w:val="Title Char"/>
    <w:link w:val="Title"/>
    <w:uiPriority w:val="10"/>
    <w:rPr>
      <w:rFonts w:ascii="Aptos Display" w:eastAsia="Times New Roman" w:hAnsi="Aptos Display" w:cs="Times New Roman"/>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SubtitleChar">
    <w:name w:val="Subtitle Char"/>
    <w:link w:val="Subtitle"/>
    <w:uiPriority w:val="11"/>
    <w:rPr>
      <w:rFonts w:eastAsia="Times New Roman" w:cs="Times New Roman"/>
      <w:color w:val="000000"/>
      <w:spacing w:val="15"/>
      <w:sz w:val="28"/>
      <w:szCs w:val="28"/>
    </w:rPr>
  </w:style>
  <w:style w:type="paragraph" w:styleId="Subtitle">
    <w:name w:val="Subtitle"/>
    <w:basedOn w:val="Normal"/>
    <w:next w:val="Normal"/>
    <w:link w:val="SubtitleChar"/>
    <w:uiPriority w:val="11"/>
    <w:qFormat/>
    <w:rsid w:val="007517A7"/>
    <w:pPr>
      <w:numPr>
        <w:ilvl w:val="1"/>
      </w:numPr>
    </w:pPr>
    <w:rPr>
      <w:color w:val="000000"/>
      <w:spacing w:val="15"/>
      <w:sz w:val="28"/>
      <w:szCs w:val="28"/>
    </w:rPr>
  </w:style>
  <w:style w:type="character" w:styleId="IntenseEmphasis">
    <w:name w:val="Intense Emphasis"/>
    <w:uiPriority w:val="21"/>
    <w:qFormat/>
    <w:rsid w:val="00CB04AF"/>
    <w:rPr>
      <w:i/>
      <w:iCs/>
      <w:color w:val="000000"/>
    </w:rPr>
  </w:style>
  <w:style w:type="character" w:customStyle="1" w:styleId="QuoteChar">
    <w:name w:val="Quote Char"/>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link w:val="IntenseQuote"/>
    <w:uiPriority w:val="30"/>
    <w:rsid w:val="00FB00C5"/>
    <w:rPr>
      <w:i/>
      <w:iCs/>
      <w:color w:val="000000"/>
    </w:rPr>
  </w:style>
  <w:style w:type="paragraph" w:styleId="IntenseQuote">
    <w:name w:val="Intense Quote"/>
    <w:basedOn w:val="Normal"/>
    <w:next w:val="Normal"/>
    <w:link w:val="IntenseQuoteChar"/>
    <w:autoRedefine/>
    <w:uiPriority w:val="30"/>
    <w:qFormat/>
    <w:rsid w:val="00FB00C5"/>
    <w:pPr>
      <w:pBdr>
        <w:top w:val="single" w:sz="4" w:space="10" w:color="6D9F00"/>
        <w:bottom w:val="single" w:sz="4" w:space="10" w:color="6D9F00"/>
      </w:pBdr>
      <w:spacing w:before="360" w:after="360"/>
      <w:ind w:left="864" w:right="864"/>
      <w:jc w:val="center"/>
    </w:pPr>
    <w:rPr>
      <w:i/>
      <w:iCs/>
      <w:color w:val="000000"/>
    </w:rPr>
  </w:style>
  <w:style w:type="character" w:styleId="IntenseReference">
    <w:name w:val="Intense Reference"/>
    <w:uiPriority w:val="32"/>
    <w:qFormat/>
    <w:rsid w:val="00FB00C5"/>
    <w:rPr>
      <w:b/>
      <w:bCs/>
      <w:smallCaps/>
      <w:color w:val="000000"/>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rPr>
      <w:sz w:val="24"/>
      <w:szCs w:val="24"/>
      <w:lang w:eastAsia="ja-JP"/>
    </w:rPr>
  </w:style>
  <w:style w:type="character" w:styleId="Hyperlink">
    <w:name w:val="Hyperlink"/>
    <w:uiPriority w:val="99"/>
    <w:unhideWhenUsed/>
    <w:rsid w:val="000E5B7D"/>
    <w:rPr>
      <w:color w:val="03647A"/>
      <w:u w:val="single"/>
    </w:rPr>
  </w:style>
  <w:style w:type="character" w:styleId="UnresolvedMention">
    <w:name w:val="Unresolved Mention"/>
    <w:uiPriority w:val="99"/>
    <w:semiHidden/>
    <w:unhideWhenUsed/>
    <w:rsid w:val="000E5B7D"/>
    <w:rPr>
      <w:color w:val="605E5C"/>
      <w:shd w:val="clear" w:color="auto" w:fill="E1DFDD"/>
    </w:rPr>
  </w:style>
  <w:style w:type="paragraph" w:styleId="TOCHeading">
    <w:name w:val="TOC Heading"/>
    <w:basedOn w:val="Heading1"/>
    <w:next w:val="Normal"/>
    <w:uiPriority w:val="39"/>
    <w:unhideWhenUsed/>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szCs w:val="22"/>
      <w:lang w:eastAsia="en-US"/>
    </w:rPr>
  </w:style>
  <w:style w:type="paragraph" w:styleId="TOC1">
    <w:name w:val="toc 1"/>
    <w:basedOn w:val="Normal"/>
    <w:next w:val="Normal"/>
    <w:autoRedefine/>
    <w:uiPriority w:val="39"/>
    <w:unhideWhenUsed/>
    <w:rsid w:val="00E86FEA"/>
    <w:pPr>
      <w:spacing w:after="100" w:line="259" w:lineRule="auto"/>
    </w:pPr>
    <w:rPr>
      <w:szCs w:val="22"/>
      <w:lang w:eastAsia="en-US"/>
    </w:rPr>
  </w:style>
  <w:style w:type="paragraph" w:styleId="TOC3">
    <w:name w:val="toc 3"/>
    <w:basedOn w:val="Normal"/>
    <w:next w:val="Normal"/>
    <w:autoRedefine/>
    <w:uiPriority w:val="39"/>
    <w:unhideWhenUsed/>
    <w:rsid w:val="00E86FEA"/>
    <w:pPr>
      <w:spacing w:after="100" w:line="259" w:lineRule="auto"/>
      <w:ind w:left="440"/>
    </w:pPr>
    <w:rPr>
      <w:szCs w:val="22"/>
      <w:lang w:eastAsia="en-US"/>
    </w:rPr>
  </w:style>
  <w:style w:type="character" w:styleId="Strong">
    <w:name w:val="Strong"/>
    <w:aliases w:val="Table/Figure Caption"/>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link w:val="CommentSubject"/>
    <w:uiPriority w:val="99"/>
    <w:semiHidden/>
    <w:rsid w:val="005C6B82"/>
    <w:rPr>
      <w:b/>
      <w:bCs/>
      <w:sz w:val="20"/>
      <w:szCs w:val="20"/>
    </w:rPr>
  </w:style>
  <w:style w:type="table" w:styleId="TableGrid">
    <w:name w:val="Table Grid"/>
    <w:aliases w:val="Test"/>
    <w:basedOn w:val="TableNormal"/>
    <w:uiPriority w:val="39"/>
    <w:rsid w:val="005C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tblPr/>
  </w:style>
  <w:style w:type="table" w:customStyle="1" w:styleId="GHCustom">
    <w:name w:val="GH Custom"/>
    <w:basedOn w:val="TableNormal"/>
    <w:uiPriority w:val="99"/>
    <w:rsid w:val="00FE3CB2"/>
    <w:tblPr>
      <w:tblBorders>
        <w:insideH w:val="dotted" w:sz="2" w:space="0" w:color="00BAD6"/>
      </w:tblBorders>
    </w:tblPr>
    <w:tblStylePr w:type="firstRow">
      <w:rPr>
        <w:rFonts w:ascii="Yu Mincho" w:hAnsi="Yu Mincho"/>
        <w:b/>
        <w:color w:val="FFFFFF"/>
        <w:sz w:val="24"/>
      </w:rPr>
      <w:tblPr/>
      <w:tcPr>
        <w:tcBorders>
          <w:top w:val="nil"/>
          <w:left w:val="nil"/>
          <w:bottom w:val="single" w:sz="18" w:space="0" w:color="93D500"/>
          <w:right w:val="nil"/>
          <w:insideH w:val="nil"/>
          <w:insideV w:val="nil"/>
        </w:tcBorders>
        <w:shd w:val="clear" w:color="auto" w:fill="03647A"/>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link w:val="EndnoteText"/>
    <w:uiPriority w:val="99"/>
    <w:semiHidden/>
    <w:rsid w:val="00D84ABB"/>
    <w:rPr>
      <w:sz w:val="20"/>
      <w:szCs w:val="20"/>
    </w:rPr>
  </w:style>
  <w:style w:type="character" w:styleId="EndnoteReference">
    <w:name w:val="endnote reference"/>
    <w:uiPriority w:val="99"/>
    <w:semiHidden/>
    <w:unhideWhenUsed/>
    <w:rsid w:val="00D84ABB"/>
    <w:rPr>
      <w:vertAlign w:val="superscript"/>
    </w:rPr>
  </w:style>
  <w:style w:type="paragraph" w:styleId="Caption">
    <w:name w:val="caption"/>
    <w:basedOn w:val="Normal"/>
    <w:next w:val="Normal"/>
    <w:autoRedefine/>
    <w:uiPriority w:val="35"/>
    <w:unhideWhenUsed/>
    <w:qFormat/>
    <w:rsid w:val="00B642BC"/>
    <w:pPr>
      <w:keepNext/>
      <w:spacing w:after="200" w:line="240" w:lineRule="auto"/>
      <w:jc w:val="center"/>
    </w:pPr>
    <w:rPr>
      <w:rFonts w:ascii="Aptos Display" w:hAnsi="Aptos Display"/>
      <w:b/>
      <w:iCs/>
      <w:color w:val="000000"/>
      <w:szCs w:val="18"/>
    </w:rPr>
  </w:style>
  <w:style w:type="character" w:styleId="Mention">
    <w:name w:val="Mention"/>
    <w:uiPriority w:val="99"/>
    <w:unhideWhenUsed/>
    <w:rsid w:val="00465217"/>
    <w:rPr>
      <w:color w:val="2B579A"/>
      <w:shd w:val="clear" w:color="auto" w:fill="E1DFDD"/>
    </w:rPr>
  </w:style>
  <w:style w:type="paragraph" w:styleId="Revision">
    <w:name w:val="Revision"/>
    <w:hidden/>
    <w:uiPriority w:val="99"/>
    <w:semiHidden/>
    <w:rsid w:val="00465217"/>
    <w:rPr>
      <w:sz w:val="24"/>
      <w:szCs w:val="24"/>
      <w:lang w:eastAsia="ja-JP"/>
    </w:r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link w:val="TableofContents"/>
    <w:rsid w:val="00C9706F"/>
    <w:rPr>
      <w:sz w:val="40"/>
      <w:szCs w:val="40"/>
    </w:rPr>
  </w:style>
  <w:style w:type="character" w:styleId="PlaceholderText">
    <w:name w:val="Placeholder Text"/>
    <w:uiPriority w:val="99"/>
    <w:semiHidden/>
    <w:rsid w:val="00FA2739"/>
    <w:rPr>
      <w:color w:val="666666"/>
    </w:rPr>
  </w:style>
  <w:style w:type="paragraph" w:styleId="FootnoteText">
    <w:name w:val="footnote text"/>
    <w:aliases w:val="Footnote Text1 Char,Footnote Text Char Ch,Footnote Text Char Ch Char Char Char,Footnote Text Char Ch Char Char,Footnote Text1 Char Char Char,Footnote Text Char Ch Char,ft Char,ft,TBG Style,ALTS FOOTNOTE,Footnote Text 2,fn,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link w:val="FootnoteText"/>
    <w:uiPriority w:val="99"/>
    <w:rsid w:val="009424F4"/>
    <w:rPr>
      <w:sz w:val="18"/>
      <w:szCs w:val="20"/>
    </w:rPr>
  </w:style>
  <w:style w:type="character" w:styleId="FootnoteReference">
    <w:name w:val="footnote reference"/>
    <w:aliases w:val="Footnote_Reference"/>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uiPriority w:val="19"/>
    <w:qFormat/>
    <w:rsid w:val="005D78F3"/>
    <w:rPr>
      <w:i/>
      <w:iCs/>
      <w:color w:val="404040"/>
    </w:rPr>
  </w:style>
  <w:style w:type="character" w:styleId="PageNumber">
    <w:name w:val="page number"/>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rPr>
  </w:style>
  <w:style w:type="character" w:customStyle="1" w:styleId="GHHyperlinkChar">
    <w:name w:val="GH Hyperlink Char"/>
    <w:link w:val="GHHyperlink"/>
    <w:rsid w:val="00C3453D"/>
    <w:rPr>
      <w:rFonts w:cs="Arial"/>
      <w:b/>
      <w:sz w:val="21"/>
      <w:szCs w:val="21"/>
      <w:u w:val="single" w:color="93D500"/>
    </w:rPr>
  </w:style>
  <w:style w:type="paragraph" w:customStyle="1" w:styleId="Style1">
    <w:name w:val="Style1"/>
    <w:basedOn w:val="EndnoteText"/>
    <w:link w:val="Style1Char"/>
    <w:autoRedefine/>
    <w:qFormat/>
    <w:rsid w:val="001B4D75"/>
    <w:rPr>
      <w:sz w:val="18"/>
    </w:rPr>
  </w:style>
  <w:style w:type="character" w:customStyle="1" w:styleId="Style1Char">
    <w:name w:val="Style1 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link w:val="ListParagraph"/>
    <w:uiPriority w:val="34"/>
    <w:rsid w:val="00EC6115"/>
    <w:rPr>
      <w:sz w:val="22"/>
    </w:rPr>
  </w:style>
  <w:style w:type="character" w:customStyle="1" w:styleId="NumberedListChar">
    <w:name w:val="Numbered List Char"/>
    <w:link w:val="NumberedList"/>
    <w:rsid w:val="00EC6115"/>
    <w:rPr>
      <w:sz w:val="22"/>
    </w:rPr>
  </w:style>
  <w:style w:type="character" w:styleId="FollowedHyperlink">
    <w:name w:val="FollowedHyperlink"/>
    <w:basedOn w:val="DefaultParagraphFont"/>
    <w:uiPriority w:val="99"/>
    <w:semiHidden/>
    <w:unhideWhenUsed/>
    <w:rsid w:val="008357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header" Target="header2.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cmaglione@guidehouse.com"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cmaglione@guidehouse.com" TargetMode="External"/><Relationship Id="rId23" Type="http://schemas.microsoft.com/office/2011/relationships/commentsExtended" Target="commentsExtended.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aglione@guidehouse.com" TargetMode="External"/><Relationship Id="rId22" Type="http://schemas.openxmlformats.org/officeDocument/2006/relationships/comments" Target="comments.xml"/><Relationship Id="rId27" Type="http://schemas.openxmlformats.org/officeDocument/2006/relationships/image" Target="media/image6.png"/><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clean-air-act-overview/air-pollution-current-and-future-challenges" TargetMode="External"/><Relationship Id="rId13" Type="http://schemas.openxmlformats.org/officeDocument/2006/relationships/hyperlink" Target="https://www.epa.gov/system/files/documents/2024-04/how-cobra-works_17-april-2024.pdf." TargetMode="External"/><Relationship Id="rId3" Type="http://schemas.openxmlformats.org/officeDocument/2006/relationships/hyperlink" Target="https://www.epa.gov/system/files/documents/2024-04/how-cobra-works_17-april-2024.pdf" TargetMode="External"/><Relationship Id="rId7" Type="http://schemas.openxmlformats.org/officeDocument/2006/relationships/hyperlink" Target="https://www.who.int/news-room/fact-sheets/detail/ambient-(outdoor)-air-quality-and-health" TargetMode="External"/><Relationship Id="rId12" Type="http://schemas.openxmlformats.org/officeDocument/2006/relationships/hyperlink" Target="https://www.epa.gov/avert/avert-tutorial-homepage" TargetMode="External"/><Relationship Id="rId17" Type="http://schemas.openxmlformats.org/officeDocument/2006/relationships/hyperlink" Target="https://www.epa.gov/system/files/documents/2025-03/cobra-user-manual-v5.2.pdf" TargetMode="External"/><Relationship Id="rId2" Type="http://schemas.openxmlformats.org/officeDocument/2006/relationships/hyperlink" Target="https://www.epa.gov/cobra" TargetMode="External"/><Relationship Id="rId16" Type="http://schemas.openxmlformats.org/officeDocument/2006/relationships/hyperlink" Target="https://accesshub.sharepoint.com/sites/ComEdEMVSubcontractors/Shared%20Documents/Research/NEI%20Research/02.%20Societal%20NEIs/CY2025%20Societal%20NEI/Drafts/Draft%201/)%20https:/www.eia.gov/outlooks/aeo/pdf/AEO2020%20Electricity.pdf" TargetMode="External"/><Relationship Id="rId1" Type="http://schemas.openxmlformats.org/officeDocument/2006/relationships/hyperlink" Target="https://www.epa.gov/avert" TargetMode="External"/><Relationship Id="rId6" Type="http://schemas.openxmlformats.org/officeDocument/2006/relationships/hyperlink" Target="https://www.monitoringanalytics.com/reports/PJM_State_of_the_Market/2019/2019-som-pjm-sec3.pdf" TargetMode="External"/><Relationship Id="rId11" Type="http://schemas.openxmlformats.org/officeDocument/2006/relationships/hyperlink" Target="https://www.epa.gov/cobra" TargetMode="External"/><Relationship Id="rId5" Type="http://schemas.openxmlformats.org/officeDocument/2006/relationships/hyperlink" Target="https://www.ilga.gov/legislation/publicacts/102/PDF/102-0662.pdf" TargetMode="External"/><Relationship Id="rId15" Type="http://schemas.openxmlformats.org/officeDocument/2006/relationships/hyperlink" Target="https://www.pjm.com/-/media/library/reports-notices/special-reports/2019/2019-emissions-report.ashx?la=en" TargetMode="External"/><Relationship Id="rId10" Type="http://schemas.openxmlformats.org/officeDocument/2006/relationships/hyperlink" Target="https://www.epa.gov/avert" TargetMode="External"/><Relationship Id="rId4" Type="http://schemas.openxmlformats.org/officeDocument/2006/relationships/hyperlink" Target="https://www.ilsag.info/wp-content/uploads/IL-TRM-Version-13.0-Volumes-1-4-Compiled-Final.pdf" TargetMode="External"/><Relationship Id="rId9" Type="http://schemas.openxmlformats.org/officeDocument/2006/relationships/hyperlink" Target="https://www.epa.gov/environmental-economics/mortality-risk-valuation" TargetMode="External"/><Relationship Id="rId14" Type="http://schemas.openxmlformats.org/officeDocument/2006/relationships/hyperlink" Target="https://www.epa.gov/cobra/cobra-revision-his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DD092EA-8E62-4EA8-BDED-0E15431FA475}">
    <t:Anchor>
      <t:Comment id="1212900877"/>
    </t:Anchor>
    <t:History>
      <t:Event id="{9359C8F4-80F6-4E95-8470-461035B09704}" time="2026-04-24T17:03:33.068Z">
        <t:Attribution userId="S::harry.wang@guidehouse.com::c8c0a85d-d2b8-4c1f-9dc9-8632f48bf603" userProvider="AD" userName="Harry Wang"/>
        <t:Anchor>
          <t:Comment id="1318614847"/>
        </t:Anchor>
        <t:Create/>
      </t:Event>
      <t:Event id="{1EEC905A-C20F-45E9-B1C2-F1D5B46ACDBC}" time="2026-04-24T17:03:33.068Z">
        <t:Attribution userId="S::harry.wang@guidehouse.com::c8c0a85d-d2b8-4c1f-9dc9-8632f48bf603" userProvider="AD" userName="Harry Wang"/>
        <t:Anchor>
          <t:Comment id="1318614847"/>
        </t:Anchor>
        <t:Assign userId="S::ylakew@guidehouse.com::ac923aad-2eab-4b55-8113-f1d0a0ca2d31" userProvider="AD" userName="Yeab Lakew"/>
      </t:Event>
      <t:Event id="{1B9EC614-CFF9-4FD0-ABB1-8BECFCBA7277}" time="2026-04-24T17:03:33.068Z">
        <t:Attribution userId="S::harry.wang@guidehouse.com::c8c0a85d-d2b8-4c1f-9dc9-8632f48bf603" userProvider="AD" userName="Harry Wang"/>
        <t:Anchor>
          <t:Comment id="1318614847"/>
        </t:Anchor>
        <t:SetTitle title="@Yeab Lakew Can you review my edits?"/>
      </t:Event>
      <t:Event id="{855CEBB7-27AD-4E2D-939F-BA016C3204B1}" time="2026-04-24T18:02:44.981Z">
        <t:Attribution userId="S::ylakew@guidehouse.com::ac923aad-2eab-4b55-8113-f1d0a0ca2d31" userProvider="AD" userName="Yeab Lake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rchiverLinkFileType xmlns="ad755eef-71ec-496f-ab18-a3e771bfb4a9" xsi:nil="true"/>
    <_ip_UnifiedCompliancePolicyProperties xmlns="http://schemas.microsoft.com/sharepoint/v3" xsi:nil="true"/>
    <lcf76f155ced4ddcb4097134ff3c332f xmlns="ad755eef-71ec-496f-ab18-a3e771bfb4a9">
      <Terms xmlns="http://schemas.microsoft.com/office/infopath/2007/PartnerControls"/>
    </lcf76f155ced4ddcb4097134ff3c332f>
    <TaxCatchAll xmlns="dd860c49-519f-4fad-a9e7-096243cb3a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588F1E73A3DF4E9DE46ACDFEFCEA5B" ma:contentTypeVersion="27" ma:contentTypeDescription="Create a new document." ma:contentTypeScope="" ma:versionID="06a6647dda19aaf9f41274d1e2b7d8a4">
  <xsd:schema xmlns:xsd="http://www.w3.org/2001/XMLSchema" xmlns:xs="http://www.w3.org/2001/XMLSchema" xmlns:p="http://schemas.microsoft.com/office/2006/metadata/properties" xmlns:ns1="http://schemas.microsoft.com/sharepoint/v3" xmlns:ns2="ad755eef-71ec-496f-ab18-a3e771bfb4a9" xmlns:ns3="dd860c49-519f-4fad-a9e7-096243cb3a9a" targetNamespace="http://schemas.microsoft.com/office/2006/metadata/properties" ma:root="true" ma:fieldsID="89e77575b512a6beb24b6942cb7c5ea3" ns1:_="" ns2:_="" ns3:_="">
    <xsd:import namespace="http://schemas.microsoft.com/sharepoint/v3"/>
    <xsd:import namespace="ad755eef-71ec-496f-ab18-a3e771bfb4a9"/>
    <xsd:import namespace="dd860c49-519f-4fad-a9e7-096243cb3a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5eef-71ec-496f-ab18-a3e771bf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60c49-519f-4fad-a9e7-096243cb3a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a8478a9-f2a9-42e3-9358-0b9cefba749a}" ma:internalName="TaxCatchAll" ma:showField="CatchAllData" ma:web="dd860c49-519f-4fad-a9e7-096243cb3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3.xml><?xml version="1.0" encoding="utf-8"?>
<ds:datastoreItem xmlns:ds="http://schemas.openxmlformats.org/officeDocument/2006/customXml" ds:itemID="{A34B87DB-3413-430D-8704-0D407B4C544C}">
  <ds:schemaRefs>
    <ds:schemaRef ds:uri="http://schemas.microsoft.com/office/2006/metadata/properties"/>
    <ds:schemaRef ds:uri="http://purl.org/dc/terms/"/>
    <ds:schemaRef ds:uri="http://www.w3.org/XML/1998/namespace"/>
    <ds:schemaRef ds:uri="http://schemas.microsoft.com/office/infopath/2007/PartnerControls"/>
    <ds:schemaRef ds:uri="ad755eef-71ec-496f-ab18-a3e771bfb4a9"/>
    <ds:schemaRef ds:uri="http://purl.org/dc/elements/1.1/"/>
    <ds:schemaRef ds:uri="http://schemas.microsoft.com/office/2006/documentManagement/types"/>
    <ds:schemaRef ds:uri="http://schemas.openxmlformats.org/package/2006/metadata/core-properties"/>
    <ds:schemaRef ds:uri="http://schemas.microsoft.com/sharepoint/v3"/>
    <ds:schemaRef ds:uri="dd860c49-519f-4fad-a9e7-096243cb3a9a"/>
    <ds:schemaRef ds:uri="http://purl.org/dc/dcmitype/"/>
  </ds:schemaRefs>
</ds:datastoreItem>
</file>

<file path=customXml/itemProps4.xml><?xml version="1.0" encoding="utf-8"?>
<ds:datastoreItem xmlns:ds="http://schemas.openxmlformats.org/officeDocument/2006/customXml" ds:itemID="{2C1BC5BE-1787-4B78-ACD1-BFEFBCB55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5eef-71ec-496f-ab18-a3e771bfb4a9"/>
    <ds:schemaRef ds:uri="dd860c49-519f-4fad-a9e7-096243cb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3710</Words>
  <Characters>22447</Characters>
  <Application>Microsoft Office Word</Application>
  <DocSecurity>0</DocSecurity>
  <Lines>897</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25410</CharactersWithSpaces>
  <SharedDoc>false</SharedDoc>
  <HLinks>
    <vt:vector size="288" baseType="variant">
      <vt:variant>
        <vt:i4>1900603</vt:i4>
      </vt:variant>
      <vt:variant>
        <vt:i4>122</vt:i4>
      </vt:variant>
      <vt:variant>
        <vt:i4>0</vt:i4>
      </vt:variant>
      <vt:variant>
        <vt:i4>5</vt:i4>
      </vt:variant>
      <vt:variant>
        <vt:lpwstr/>
      </vt:variant>
      <vt:variant>
        <vt:lpwstr>_Toc227865854</vt:lpwstr>
      </vt:variant>
      <vt:variant>
        <vt:i4>1900603</vt:i4>
      </vt:variant>
      <vt:variant>
        <vt:i4>116</vt:i4>
      </vt:variant>
      <vt:variant>
        <vt:i4>0</vt:i4>
      </vt:variant>
      <vt:variant>
        <vt:i4>5</vt:i4>
      </vt:variant>
      <vt:variant>
        <vt:lpwstr/>
      </vt:variant>
      <vt:variant>
        <vt:lpwstr>_Toc227865853</vt:lpwstr>
      </vt:variant>
      <vt:variant>
        <vt:i4>1900603</vt:i4>
      </vt:variant>
      <vt:variant>
        <vt:i4>110</vt:i4>
      </vt:variant>
      <vt:variant>
        <vt:i4>0</vt:i4>
      </vt:variant>
      <vt:variant>
        <vt:i4>5</vt:i4>
      </vt:variant>
      <vt:variant>
        <vt:lpwstr/>
      </vt:variant>
      <vt:variant>
        <vt:lpwstr>_Toc227865852</vt:lpwstr>
      </vt:variant>
      <vt:variant>
        <vt:i4>1900603</vt:i4>
      </vt:variant>
      <vt:variant>
        <vt:i4>104</vt:i4>
      </vt:variant>
      <vt:variant>
        <vt:i4>0</vt:i4>
      </vt:variant>
      <vt:variant>
        <vt:i4>5</vt:i4>
      </vt:variant>
      <vt:variant>
        <vt:lpwstr/>
      </vt:variant>
      <vt:variant>
        <vt:lpwstr>_Toc227865851</vt:lpwstr>
      </vt:variant>
      <vt:variant>
        <vt:i4>1966139</vt:i4>
      </vt:variant>
      <vt:variant>
        <vt:i4>95</vt:i4>
      </vt:variant>
      <vt:variant>
        <vt:i4>0</vt:i4>
      </vt:variant>
      <vt:variant>
        <vt:i4>5</vt:i4>
      </vt:variant>
      <vt:variant>
        <vt:lpwstr/>
      </vt:variant>
      <vt:variant>
        <vt:lpwstr>_Toc227865862</vt:lpwstr>
      </vt:variant>
      <vt:variant>
        <vt:i4>1966139</vt:i4>
      </vt:variant>
      <vt:variant>
        <vt:i4>89</vt:i4>
      </vt:variant>
      <vt:variant>
        <vt:i4>0</vt:i4>
      </vt:variant>
      <vt:variant>
        <vt:i4>5</vt:i4>
      </vt:variant>
      <vt:variant>
        <vt:lpwstr/>
      </vt:variant>
      <vt:variant>
        <vt:lpwstr>_Toc227865861</vt:lpwstr>
      </vt:variant>
      <vt:variant>
        <vt:i4>1966139</vt:i4>
      </vt:variant>
      <vt:variant>
        <vt:i4>83</vt:i4>
      </vt:variant>
      <vt:variant>
        <vt:i4>0</vt:i4>
      </vt:variant>
      <vt:variant>
        <vt:i4>5</vt:i4>
      </vt:variant>
      <vt:variant>
        <vt:lpwstr/>
      </vt:variant>
      <vt:variant>
        <vt:lpwstr>_Toc227865860</vt:lpwstr>
      </vt:variant>
      <vt:variant>
        <vt:i4>1900603</vt:i4>
      </vt:variant>
      <vt:variant>
        <vt:i4>77</vt:i4>
      </vt:variant>
      <vt:variant>
        <vt:i4>0</vt:i4>
      </vt:variant>
      <vt:variant>
        <vt:i4>5</vt:i4>
      </vt:variant>
      <vt:variant>
        <vt:lpwstr/>
      </vt:variant>
      <vt:variant>
        <vt:lpwstr>_Toc227865859</vt:lpwstr>
      </vt:variant>
      <vt:variant>
        <vt:i4>1048635</vt:i4>
      </vt:variant>
      <vt:variant>
        <vt:i4>68</vt:i4>
      </vt:variant>
      <vt:variant>
        <vt:i4>0</vt:i4>
      </vt:variant>
      <vt:variant>
        <vt:i4>5</vt:i4>
      </vt:variant>
      <vt:variant>
        <vt:lpwstr/>
      </vt:variant>
      <vt:variant>
        <vt:lpwstr>_Toc227865880</vt:lpwstr>
      </vt:variant>
      <vt:variant>
        <vt:i4>2031675</vt:i4>
      </vt:variant>
      <vt:variant>
        <vt:i4>62</vt:i4>
      </vt:variant>
      <vt:variant>
        <vt:i4>0</vt:i4>
      </vt:variant>
      <vt:variant>
        <vt:i4>5</vt:i4>
      </vt:variant>
      <vt:variant>
        <vt:lpwstr/>
      </vt:variant>
      <vt:variant>
        <vt:lpwstr>_Toc227865879</vt:lpwstr>
      </vt:variant>
      <vt:variant>
        <vt:i4>2031675</vt:i4>
      </vt:variant>
      <vt:variant>
        <vt:i4>56</vt:i4>
      </vt:variant>
      <vt:variant>
        <vt:i4>0</vt:i4>
      </vt:variant>
      <vt:variant>
        <vt:i4>5</vt:i4>
      </vt:variant>
      <vt:variant>
        <vt:lpwstr/>
      </vt:variant>
      <vt:variant>
        <vt:lpwstr>_Toc227865878</vt:lpwstr>
      </vt:variant>
      <vt:variant>
        <vt:i4>2031675</vt:i4>
      </vt:variant>
      <vt:variant>
        <vt:i4>50</vt:i4>
      </vt:variant>
      <vt:variant>
        <vt:i4>0</vt:i4>
      </vt:variant>
      <vt:variant>
        <vt:i4>5</vt:i4>
      </vt:variant>
      <vt:variant>
        <vt:lpwstr/>
      </vt:variant>
      <vt:variant>
        <vt:lpwstr>_Toc227865877</vt:lpwstr>
      </vt:variant>
      <vt:variant>
        <vt:i4>2031675</vt:i4>
      </vt:variant>
      <vt:variant>
        <vt:i4>44</vt:i4>
      </vt:variant>
      <vt:variant>
        <vt:i4>0</vt:i4>
      </vt:variant>
      <vt:variant>
        <vt:i4>5</vt:i4>
      </vt:variant>
      <vt:variant>
        <vt:lpwstr/>
      </vt:variant>
      <vt:variant>
        <vt:lpwstr>_Toc227865876</vt:lpwstr>
      </vt:variant>
      <vt:variant>
        <vt:i4>2031675</vt:i4>
      </vt:variant>
      <vt:variant>
        <vt:i4>38</vt:i4>
      </vt:variant>
      <vt:variant>
        <vt:i4>0</vt:i4>
      </vt:variant>
      <vt:variant>
        <vt:i4>5</vt:i4>
      </vt:variant>
      <vt:variant>
        <vt:lpwstr/>
      </vt:variant>
      <vt:variant>
        <vt:lpwstr>_Toc227865875</vt:lpwstr>
      </vt:variant>
      <vt:variant>
        <vt:i4>2031675</vt:i4>
      </vt:variant>
      <vt:variant>
        <vt:i4>32</vt:i4>
      </vt:variant>
      <vt:variant>
        <vt:i4>0</vt:i4>
      </vt:variant>
      <vt:variant>
        <vt:i4>5</vt:i4>
      </vt:variant>
      <vt:variant>
        <vt:lpwstr/>
      </vt:variant>
      <vt:variant>
        <vt:lpwstr>_Toc227865874</vt:lpwstr>
      </vt:variant>
      <vt:variant>
        <vt:i4>2031675</vt:i4>
      </vt:variant>
      <vt:variant>
        <vt:i4>26</vt:i4>
      </vt:variant>
      <vt:variant>
        <vt:i4>0</vt:i4>
      </vt:variant>
      <vt:variant>
        <vt:i4>5</vt:i4>
      </vt:variant>
      <vt:variant>
        <vt:lpwstr/>
      </vt:variant>
      <vt:variant>
        <vt:lpwstr>_Toc227865873</vt:lpwstr>
      </vt:variant>
      <vt:variant>
        <vt:i4>2031675</vt:i4>
      </vt:variant>
      <vt:variant>
        <vt:i4>20</vt:i4>
      </vt:variant>
      <vt:variant>
        <vt:i4>0</vt:i4>
      </vt:variant>
      <vt:variant>
        <vt:i4>5</vt:i4>
      </vt:variant>
      <vt:variant>
        <vt:lpwstr/>
      </vt:variant>
      <vt:variant>
        <vt:lpwstr>_Toc227865872</vt:lpwstr>
      </vt:variant>
      <vt:variant>
        <vt:i4>2031675</vt:i4>
      </vt:variant>
      <vt:variant>
        <vt:i4>14</vt:i4>
      </vt:variant>
      <vt:variant>
        <vt:i4>0</vt:i4>
      </vt:variant>
      <vt:variant>
        <vt:i4>5</vt:i4>
      </vt:variant>
      <vt:variant>
        <vt:lpwstr/>
      </vt:variant>
      <vt:variant>
        <vt:lpwstr>_Toc227865871</vt:lpwstr>
      </vt:variant>
      <vt:variant>
        <vt:i4>3145741</vt:i4>
      </vt:variant>
      <vt:variant>
        <vt:i4>9</vt:i4>
      </vt:variant>
      <vt:variant>
        <vt:i4>0</vt:i4>
      </vt:variant>
      <vt:variant>
        <vt:i4>5</vt:i4>
      </vt:variant>
      <vt:variant>
        <vt:lpwstr>mailto:cmaglione@guidehouse.com</vt:lpwstr>
      </vt:variant>
      <vt:variant>
        <vt:lpwstr/>
      </vt:variant>
      <vt:variant>
        <vt:i4>3145741</vt:i4>
      </vt:variant>
      <vt:variant>
        <vt:i4>6</vt:i4>
      </vt:variant>
      <vt:variant>
        <vt:i4>0</vt:i4>
      </vt:variant>
      <vt:variant>
        <vt:i4>5</vt:i4>
      </vt:variant>
      <vt:variant>
        <vt:lpwstr>mailto:cmaglione@guidehouse.com</vt:lpwstr>
      </vt:variant>
      <vt:variant>
        <vt:lpwstr/>
      </vt:variant>
      <vt:variant>
        <vt:i4>3145741</vt:i4>
      </vt:variant>
      <vt:variant>
        <vt:i4>3</vt:i4>
      </vt:variant>
      <vt:variant>
        <vt:i4>0</vt:i4>
      </vt:variant>
      <vt:variant>
        <vt:i4>5</vt:i4>
      </vt:variant>
      <vt:variant>
        <vt:lpwstr>mailto:cmaglione@guidehouse.com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1114123</vt:i4>
      </vt:variant>
      <vt:variant>
        <vt:i4>48</vt:i4>
      </vt:variant>
      <vt:variant>
        <vt:i4>0</vt:i4>
      </vt:variant>
      <vt:variant>
        <vt:i4>5</vt:i4>
      </vt:variant>
      <vt:variant>
        <vt:lpwstr>https://www.epa.gov/system/files/documents/2025-03/cobra-user-manual-v5.2.pdf</vt:lpwstr>
      </vt:variant>
      <vt:variant>
        <vt:lpwstr/>
      </vt:variant>
      <vt:variant>
        <vt:i4>6226009</vt:i4>
      </vt:variant>
      <vt:variant>
        <vt:i4>45</vt:i4>
      </vt:variant>
      <vt:variant>
        <vt:i4>0</vt:i4>
      </vt:variant>
      <vt:variant>
        <vt:i4>5</vt:i4>
      </vt:variant>
      <vt:variant>
        <vt:lpwstr>) https:/www.eia.gov/outlooks/aeo/pdf/AEO2020 Electricity.pdf</vt:lpwstr>
      </vt:variant>
      <vt:variant>
        <vt:lpwstr/>
      </vt:variant>
      <vt:variant>
        <vt:i4>4718683</vt:i4>
      </vt:variant>
      <vt:variant>
        <vt:i4>42</vt:i4>
      </vt:variant>
      <vt:variant>
        <vt:i4>0</vt:i4>
      </vt:variant>
      <vt:variant>
        <vt:i4>5</vt:i4>
      </vt:variant>
      <vt:variant>
        <vt:lpwstr>https://www.pjm.com/-/media/library/reports-notices/special-reports/2019/2019-emissions-report.ashx?la=en</vt:lpwstr>
      </vt:variant>
      <vt:variant>
        <vt:lpwstr/>
      </vt:variant>
      <vt:variant>
        <vt:i4>5373967</vt:i4>
      </vt:variant>
      <vt:variant>
        <vt:i4>39</vt:i4>
      </vt:variant>
      <vt:variant>
        <vt:i4>0</vt:i4>
      </vt:variant>
      <vt:variant>
        <vt:i4>5</vt:i4>
      </vt:variant>
      <vt:variant>
        <vt:lpwstr>https://www.epa.gov/cobra/cobra-revision-history</vt:lpwstr>
      </vt:variant>
      <vt:variant>
        <vt:lpwstr/>
      </vt:variant>
      <vt:variant>
        <vt:i4>1179688</vt:i4>
      </vt:variant>
      <vt:variant>
        <vt:i4>36</vt:i4>
      </vt:variant>
      <vt:variant>
        <vt:i4>0</vt:i4>
      </vt:variant>
      <vt:variant>
        <vt:i4>5</vt:i4>
      </vt:variant>
      <vt:variant>
        <vt:lpwstr>https://www.epa.gov/system/files/documents/2024-04/how-cobra-works_17-april-2024.pdf.</vt:lpwstr>
      </vt:variant>
      <vt:variant>
        <vt:lpwstr/>
      </vt:variant>
      <vt:variant>
        <vt:i4>5832704</vt:i4>
      </vt:variant>
      <vt:variant>
        <vt:i4>33</vt:i4>
      </vt:variant>
      <vt:variant>
        <vt:i4>0</vt:i4>
      </vt:variant>
      <vt:variant>
        <vt:i4>5</vt:i4>
      </vt:variant>
      <vt:variant>
        <vt:lpwstr>https://www.epa.gov/avert/avert-tutorial-homepage</vt:lpwstr>
      </vt:variant>
      <vt:variant>
        <vt:lpwstr/>
      </vt:variant>
      <vt:variant>
        <vt:i4>4915284</vt:i4>
      </vt:variant>
      <vt:variant>
        <vt:i4>30</vt:i4>
      </vt:variant>
      <vt:variant>
        <vt:i4>0</vt:i4>
      </vt:variant>
      <vt:variant>
        <vt:i4>5</vt:i4>
      </vt:variant>
      <vt:variant>
        <vt:lpwstr>https://www.epa.gov/cobra</vt:lpwstr>
      </vt:variant>
      <vt:variant>
        <vt:lpwstr/>
      </vt:variant>
      <vt:variant>
        <vt:i4>5374033</vt:i4>
      </vt:variant>
      <vt:variant>
        <vt:i4>27</vt:i4>
      </vt:variant>
      <vt:variant>
        <vt:i4>0</vt:i4>
      </vt:variant>
      <vt:variant>
        <vt:i4>5</vt:i4>
      </vt:variant>
      <vt:variant>
        <vt:lpwstr>https://www.epa.gov/avert</vt:lpwstr>
      </vt:variant>
      <vt:variant>
        <vt:lpwstr/>
      </vt:variant>
      <vt:variant>
        <vt:i4>851989</vt:i4>
      </vt:variant>
      <vt:variant>
        <vt:i4>24</vt:i4>
      </vt:variant>
      <vt:variant>
        <vt:i4>0</vt:i4>
      </vt:variant>
      <vt:variant>
        <vt:i4>5</vt:i4>
      </vt:variant>
      <vt:variant>
        <vt:lpwstr>https://www.epa.gov/environmental-economics/mortality-risk-valuation</vt:lpwstr>
      </vt:variant>
      <vt:variant>
        <vt:lpwstr/>
      </vt:variant>
      <vt:variant>
        <vt:i4>2490491</vt:i4>
      </vt:variant>
      <vt:variant>
        <vt:i4>21</vt:i4>
      </vt:variant>
      <vt:variant>
        <vt:i4>0</vt:i4>
      </vt:variant>
      <vt:variant>
        <vt:i4>5</vt:i4>
      </vt:variant>
      <vt:variant>
        <vt:lpwstr>https://www.epa.gov/clean-air-act-overview/air-pollution-current-and-future-challenges</vt:lpwstr>
      </vt:variant>
      <vt:variant>
        <vt:lpwstr/>
      </vt:variant>
      <vt:variant>
        <vt:i4>6094929</vt:i4>
      </vt:variant>
      <vt:variant>
        <vt:i4>18</vt:i4>
      </vt:variant>
      <vt:variant>
        <vt:i4>0</vt:i4>
      </vt:variant>
      <vt:variant>
        <vt:i4>5</vt:i4>
      </vt:variant>
      <vt:variant>
        <vt:lpwstr>https://www.who.int/news-room/fact-sheets/detail/ambient-(outdoor)-air-quality-and-health</vt:lpwstr>
      </vt:variant>
      <vt:variant>
        <vt:lpwstr/>
      </vt:variant>
      <vt:variant>
        <vt:i4>3080234</vt:i4>
      </vt:variant>
      <vt:variant>
        <vt:i4>15</vt:i4>
      </vt:variant>
      <vt:variant>
        <vt:i4>0</vt:i4>
      </vt:variant>
      <vt:variant>
        <vt:i4>5</vt:i4>
      </vt:variant>
      <vt:variant>
        <vt:lpwstr>https://www.monitoringanalytics.com/reports/PJM_State_of_the_Market/2019/2019-som-pjm-sec3.pdf</vt:lpwstr>
      </vt:variant>
      <vt:variant>
        <vt:lpwstr/>
      </vt:variant>
      <vt:variant>
        <vt:i4>5242948</vt:i4>
      </vt:variant>
      <vt:variant>
        <vt:i4>12</vt:i4>
      </vt:variant>
      <vt:variant>
        <vt:i4>0</vt:i4>
      </vt:variant>
      <vt:variant>
        <vt:i4>5</vt:i4>
      </vt:variant>
      <vt:variant>
        <vt:lpwstr>https://www.ilga.gov/legislation/publicacts/102/PDF/102-0662.pdf</vt:lpwstr>
      </vt:variant>
      <vt:variant>
        <vt:lpwstr/>
      </vt:variant>
      <vt:variant>
        <vt:i4>5046362</vt:i4>
      </vt:variant>
      <vt:variant>
        <vt:i4>9</vt:i4>
      </vt:variant>
      <vt:variant>
        <vt:i4>0</vt:i4>
      </vt:variant>
      <vt:variant>
        <vt:i4>5</vt:i4>
      </vt:variant>
      <vt:variant>
        <vt:lpwstr>https://www.ilsag.info/wp-content/uploads/IL-TRM-Version-13.0-Volumes-1-4-Compiled-Final.pdf</vt:lpwstr>
      </vt:variant>
      <vt:variant>
        <vt:lpwstr/>
      </vt:variant>
      <vt:variant>
        <vt:i4>1179688</vt:i4>
      </vt:variant>
      <vt:variant>
        <vt:i4>6</vt:i4>
      </vt:variant>
      <vt:variant>
        <vt:i4>0</vt:i4>
      </vt:variant>
      <vt:variant>
        <vt:i4>5</vt:i4>
      </vt:variant>
      <vt:variant>
        <vt:lpwstr>https://www.epa.gov/system/files/documents/2024-04/how-cobra-works_17-april-2024.pdf</vt:lpwstr>
      </vt:variant>
      <vt:variant>
        <vt:lpwstr/>
      </vt:variant>
      <vt:variant>
        <vt:i4>4915284</vt:i4>
      </vt:variant>
      <vt:variant>
        <vt:i4>3</vt:i4>
      </vt:variant>
      <vt:variant>
        <vt:i4>0</vt:i4>
      </vt:variant>
      <vt:variant>
        <vt:i4>5</vt:i4>
      </vt:variant>
      <vt:variant>
        <vt:lpwstr>https://www.epa.gov/cobra</vt:lpwstr>
      </vt:variant>
      <vt:variant>
        <vt:lpwstr/>
      </vt:variant>
      <vt:variant>
        <vt:i4>5374033</vt:i4>
      </vt:variant>
      <vt:variant>
        <vt:i4>0</vt:i4>
      </vt:variant>
      <vt:variant>
        <vt:i4>0</vt:i4>
      </vt:variant>
      <vt:variant>
        <vt:i4>5</vt:i4>
      </vt:variant>
      <vt:variant>
        <vt:lpwstr>https://www.epa.gov/avert</vt:lpwstr>
      </vt:variant>
      <vt:variant>
        <vt:lpwstr/>
      </vt:variant>
      <vt:variant>
        <vt:i4>2555976</vt:i4>
      </vt:variant>
      <vt:variant>
        <vt:i4>24</vt:i4>
      </vt:variant>
      <vt:variant>
        <vt:i4>0</vt:i4>
      </vt:variant>
      <vt:variant>
        <vt:i4>5</vt:i4>
      </vt:variant>
      <vt:variant>
        <vt:lpwstr>mailto:charles.ampong@guidehouse.com</vt:lpwstr>
      </vt:variant>
      <vt:variant>
        <vt:lpwstr/>
      </vt:variant>
      <vt:variant>
        <vt:i4>3670028</vt:i4>
      </vt:variant>
      <vt:variant>
        <vt:i4>21</vt:i4>
      </vt:variant>
      <vt:variant>
        <vt:i4>0</vt:i4>
      </vt:variant>
      <vt:variant>
        <vt:i4>5</vt:i4>
      </vt:variant>
      <vt:variant>
        <vt:lpwstr>mailto:ylakew@guidehouse.com</vt:lpwstr>
      </vt:variant>
      <vt:variant>
        <vt:lpwstr/>
      </vt:variant>
      <vt:variant>
        <vt:i4>2555976</vt:i4>
      </vt:variant>
      <vt:variant>
        <vt:i4>18</vt:i4>
      </vt:variant>
      <vt:variant>
        <vt:i4>0</vt:i4>
      </vt:variant>
      <vt:variant>
        <vt:i4>5</vt:i4>
      </vt:variant>
      <vt:variant>
        <vt:lpwstr>mailto:charles.ampong@guidehouse.com</vt:lpwstr>
      </vt:variant>
      <vt:variant>
        <vt:lpwstr/>
      </vt:variant>
      <vt:variant>
        <vt:i4>3670028</vt:i4>
      </vt:variant>
      <vt:variant>
        <vt:i4>15</vt:i4>
      </vt:variant>
      <vt:variant>
        <vt:i4>0</vt:i4>
      </vt:variant>
      <vt:variant>
        <vt:i4>5</vt:i4>
      </vt:variant>
      <vt:variant>
        <vt:lpwstr>mailto:ylakew@guidehouse.com</vt:lpwstr>
      </vt:variant>
      <vt:variant>
        <vt:lpwstr/>
      </vt:variant>
      <vt:variant>
        <vt:i4>2555976</vt:i4>
      </vt:variant>
      <vt:variant>
        <vt:i4>12</vt:i4>
      </vt:variant>
      <vt:variant>
        <vt:i4>0</vt:i4>
      </vt:variant>
      <vt:variant>
        <vt:i4>5</vt:i4>
      </vt:variant>
      <vt:variant>
        <vt:lpwstr>mailto:charles.ampong@guidehouse.com</vt:lpwstr>
      </vt:variant>
      <vt:variant>
        <vt:lpwstr/>
      </vt:variant>
      <vt:variant>
        <vt:i4>3670028</vt:i4>
      </vt:variant>
      <vt:variant>
        <vt:i4>9</vt:i4>
      </vt:variant>
      <vt:variant>
        <vt:i4>0</vt:i4>
      </vt:variant>
      <vt:variant>
        <vt:i4>5</vt:i4>
      </vt:variant>
      <vt:variant>
        <vt:lpwstr>mailto:ylakew@guidehouse.com</vt:lpwstr>
      </vt:variant>
      <vt:variant>
        <vt:lpwstr/>
      </vt:variant>
      <vt:variant>
        <vt:i4>3670028</vt:i4>
      </vt:variant>
      <vt:variant>
        <vt:i4>6</vt:i4>
      </vt:variant>
      <vt:variant>
        <vt:i4>0</vt:i4>
      </vt:variant>
      <vt:variant>
        <vt:i4>5</vt:i4>
      </vt:variant>
      <vt:variant>
        <vt:lpwstr>mailto:ylakew@guidehouse.com</vt:lpwstr>
      </vt:variant>
      <vt:variant>
        <vt:lpwstr/>
      </vt:variant>
      <vt:variant>
        <vt:i4>3670028</vt:i4>
      </vt:variant>
      <vt:variant>
        <vt:i4>3</vt:i4>
      </vt:variant>
      <vt:variant>
        <vt:i4>0</vt:i4>
      </vt:variant>
      <vt:variant>
        <vt:i4>5</vt:i4>
      </vt:variant>
      <vt:variant>
        <vt:lpwstr>mailto:ylakew@guidehouse.com</vt:lpwstr>
      </vt:variant>
      <vt:variant>
        <vt:lpwstr/>
      </vt:variant>
      <vt:variant>
        <vt:i4>3670028</vt:i4>
      </vt:variant>
      <vt:variant>
        <vt:i4>0</vt:i4>
      </vt:variant>
      <vt:variant>
        <vt:i4>0</vt:i4>
      </vt:variant>
      <vt:variant>
        <vt:i4>5</vt:i4>
      </vt:variant>
      <vt:variant>
        <vt:lpwstr>mailto:ylakew@guidehouse.com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Lakew</dc:creator>
  <cp:keywords/>
  <dc:description/>
  <cp:lastModifiedBy>Charles Ampong</cp:lastModifiedBy>
  <cp:revision>3</cp:revision>
  <dcterms:created xsi:type="dcterms:W3CDTF">2026-04-24T19:49:00Z</dcterms:created>
  <dcterms:modified xsi:type="dcterms:W3CDTF">2026-04-24T20:01:00Z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0x01010087588F1E73A3DF4E9DE46ACDFEFCEA5B</vt:lpwstr>
  </property>
  <property fmtid="{D5CDD505-2E9C-101B-9397-08002B2CF9AE}" pid="3" name="MediaServiceImageTags">
    <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lcf76f155ced4ddcb4097134ff3c332f">
    <vt:lpwstr/>
  </property>
  <property fmtid="{D5CDD505-2E9C-101B-9397-08002B2CF9AE}" pid="7" name="TaxCatchAll">
    <vt:lpwstr/>
  </property>
  <property fmtid="{D5CDD505-2E9C-101B-9397-08002B2CF9AE}" pid="8" name="ArchiverLinkFileType">
    <vt:lpwstr/>
  </property>
  <property fmtid="{D5CDD505-2E9C-101B-9397-08002B2CF9AE}" pid="9" name="docLang">
    <vt:lpwstr>en</vt:lpwstr>
  </property>
</Properties>
</file>