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5CCD5" w14:textId="77777777" w:rsidR="00675128" w:rsidRDefault="00675128"/>
    <w:p w14:paraId="0FDFE87D" w14:textId="77777777" w:rsidR="00675128" w:rsidRDefault="00675128"/>
    <w:p w14:paraId="1BE6C679" w14:textId="77777777" w:rsidR="005B6988" w:rsidRPr="00675128" w:rsidRDefault="00ED7019">
      <w:pPr>
        <w:rPr>
          <w:rStyle w:val="Strong"/>
          <w:b w:val="0"/>
          <w:bCs w:val="0"/>
        </w:rPr>
      </w:pPr>
      <w:bookmarkStart w:id="0" w:name="_Hlk216163455"/>
      <w:r>
        <w:rPr>
          <w:rStyle w:val="Strong"/>
        </w:rPr>
        <w:t>Memorandum</w:t>
      </w:r>
    </w:p>
    <w:p w14:paraId="7F58D93C" w14:textId="5F8ECF12" w:rsidR="00ED7019" w:rsidRDefault="00ED7019" w:rsidP="00A87C7D">
      <w:pPr>
        <w:rPr>
          <w:rStyle w:val="Strong"/>
          <w:b w:val="0"/>
          <w:bCs w:val="0"/>
        </w:rPr>
      </w:pPr>
      <w:r>
        <w:rPr>
          <w:rStyle w:val="Strong"/>
        </w:rPr>
        <w:t>To:</w:t>
      </w:r>
      <w:r>
        <w:rPr>
          <w:rStyle w:val="Strong"/>
        </w:rPr>
        <w:tab/>
      </w:r>
      <w:r w:rsidR="00A87C7D" w:rsidRPr="00A87C7D">
        <w:rPr>
          <w:rStyle w:val="Strong"/>
          <w:b w:val="0"/>
          <w:bCs w:val="0"/>
        </w:rPr>
        <w:t xml:space="preserve">Erin Daughton, Kimberly Swan, Elder Calderon, </w:t>
      </w:r>
      <w:r w:rsidR="00E6048D">
        <w:rPr>
          <w:rStyle w:val="Strong"/>
          <w:b w:val="0"/>
          <w:bCs w:val="0"/>
        </w:rPr>
        <w:t>ComEd;</w:t>
      </w:r>
      <w:r w:rsidR="00BD69AA">
        <w:rPr>
          <w:rStyle w:val="Strong"/>
          <w:b w:val="0"/>
          <w:bCs w:val="0"/>
        </w:rPr>
        <w:t xml:space="preserve"> </w:t>
      </w:r>
      <w:r w:rsidR="00A87C7D" w:rsidRPr="00A87C7D">
        <w:rPr>
          <w:rStyle w:val="Strong"/>
          <w:b w:val="0"/>
          <w:bCs w:val="0"/>
        </w:rPr>
        <w:t>Elizabeth Horne, ICC; Celia Johnson, SAG</w:t>
      </w:r>
    </w:p>
    <w:p w14:paraId="0E92C55E" w14:textId="5A26C459" w:rsidR="008559D8" w:rsidRDefault="00ED7019" w:rsidP="008559D8">
      <w:pPr>
        <w:rPr>
          <w:rStyle w:val="Strong"/>
          <w:b w:val="0"/>
          <w:bCs w:val="0"/>
        </w:rPr>
      </w:pPr>
      <w:r w:rsidRPr="00ED7019">
        <w:rPr>
          <w:rStyle w:val="Strong"/>
        </w:rPr>
        <w:t>CC:</w:t>
      </w:r>
      <w:r>
        <w:rPr>
          <w:rStyle w:val="Strong"/>
          <w:b w:val="0"/>
          <w:bCs w:val="0"/>
        </w:rPr>
        <w:tab/>
      </w:r>
      <w:r w:rsidR="00884E92" w:rsidRPr="00884E92">
        <w:rPr>
          <w:rStyle w:val="Strong"/>
          <w:b w:val="0"/>
          <w:bCs w:val="0"/>
        </w:rPr>
        <w:t>Jeff Erickson, Neil Curtis, Charles Ampong, Guidehouse</w:t>
      </w:r>
    </w:p>
    <w:p w14:paraId="2FAA5049" w14:textId="29C67010" w:rsidR="00ED7019" w:rsidRDefault="00ED7019">
      <w:pPr>
        <w:rPr>
          <w:rStyle w:val="Strong"/>
          <w:b w:val="0"/>
          <w:bCs w:val="0"/>
        </w:rPr>
      </w:pPr>
      <w:r w:rsidRPr="00ED7019">
        <w:rPr>
          <w:rStyle w:val="Strong"/>
        </w:rPr>
        <w:t>From:</w:t>
      </w:r>
      <w:r>
        <w:rPr>
          <w:rStyle w:val="Strong"/>
          <w:b w:val="0"/>
          <w:bCs w:val="0"/>
        </w:rPr>
        <w:tab/>
      </w:r>
      <w:r w:rsidR="009049D3" w:rsidRPr="009049D3">
        <w:rPr>
          <w:rStyle w:val="Strong"/>
          <w:b w:val="0"/>
          <w:bCs w:val="0"/>
        </w:rPr>
        <w:t xml:space="preserve">Mike Frischmann, George Frymire, </w:t>
      </w:r>
      <w:r w:rsidR="009049D3">
        <w:rPr>
          <w:rStyle w:val="Strong"/>
          <w:b w:val="0"/>
          <w:bCs w:val="0"/>
        </w:rPr>
        <w:t xml:space="preserve">Katie Dolan, </w:t>
      </w:r>
      <w:r w:rsidR="009049D3" w:rsidRPr="009049D3">
        <w:rPr>
          <w:rStyle w:val="Strong"/>
          <w:b w:val="0"/>
          <w:bCs w:val="0"/>
        </w:rPr>
        <w:t>EcoMetric</w:t>
      </w:r>
    </w:p>
    <w:p w14:paraId="33D6CFA5" w14:textId="4C8A91A8" w:rsidR="00ED7019" w:rsidRDefault="00ED7019" w:rsidP="007D4AC2">
      <w:pPr>
        <w:rPr>
          <w:rStyle w:val="Strong"/>
          <w:b w:val="0"/>
          <w:bCs w:val="0"/>
        </w:rPr>
      </w:pPr>
      <w:r w:rsidRPr="00ED7019">
        <w:rPr>
          <w:rStyle w:val="Strong"/>
        </w:rPr>
        <w:t>Date:</w:t>
      </w:r>
      <w:r>
        <w:rPr>
          <w:rStyle w:val="Strong"/>
          <w:b w:val="0"/>
          <w:bCs w:val="0"/>
        </w:rPr>
        <w:tab/>
      </w:r>
      <w:r w:rsidR="009049D3">
        <w:rPr>
          <w:rStyle w:val="Strong"/>
          <w:b w:val="0"/>
          <w:bCs w:val="0"/>
        </w:rPr>
        <w:t>April 24, 2026</w:t>
      </w:r>
    </w:p>
    <w:p w14:paraId="52E8BF96" w14:textId="1A5EB41C" w:rsidR="00725B94" w:rsidRDefault="00ED7019" w:rsidP="00AB11D3">
      <w:r w:rsidRPr="00ED7019">
        <w:rPr>
          <w:rStyle w:val="Strong"/>
        </w:rPr>
        <w:t>Re:</w:t>
      </w:r>
      <w:r>
        <w:rPr>
          <w:rStyle w:val="Strong"/>
          <w:b w:val="0"/>
          <w:bCs w:val="0"/>
        </w:rPr>
        <w:tab/>
      </w:r>
      <w:r w:rsidR="000D4856" w:rsidRPr="000D4856">
        <w:rPr>
          <w:rStyle w:val="Strong"/>
          <w:b w:val="0"/>
          <w:bCs w:val="0"/>
        </w:rPr>
        <w:t>ComEd CY202</w:t>
      </w:r>
      <w:r w:rsidR="000D4856">
        <w:rPr>
          <w:rStyle w:val="Strong"/>
          <w:b w:val="0"/>
          <w:bCs w:val="0"/>
        </w:rPr>
        <w:t>5</w:t>
      </w:r>
      <w:r w:rsidR="000D4856" w:rsidRPr="000D4856">
        <w:rPr>
          <w:rStyle w:val="Strong"/>
          <w:b w:val="0"/>
          <w:bCs w:val="0"/>
        </w:rPr>
        <w:t xml:space="preserve"> Energy Efficiency Programs Economic Impacts Reporting</w:t>
      </w:r>
    </w:p>
    <w:bookmarkEnd w:id="0"/>
    <w:p w14:paraId="460AC4BE" w14:textId="77777777" w:rsidR="00725B94" w:rsidRDefault="00725B94" w:rsidP="00AB11D3"/>
    <w:p w14:paraId="198958B2" w14:textId="77777777" w:rsidR="00C435AC" w:rsidRPr="00DF161F" w:rsidRDefault="00C435AC" w:rsidP="00C435AC">
      <w:pPr>
        <w:pStyle w:val="Heading1"/>
        <w:rPr>
          <w:rFonts w:asciiTheme="majorHAnsi" w:hAnsiTheme="majorHAnsi" w:cstheme="majorHAnsi"/>
        </w:rPr>
      </w:pPr>
      <w:r w:rsidRPr="00DF161F">
        <w:rPr>
          <w:rFonts w:asciiTheme="majorHAnsi" w:hAnsiTheme="majorHAnsi" w:cstheme="majorHAnsi"/>
        </w:rPr>
        <w:t>Introduction</w:t>
      </w:r>
    </w:p>
    <w:p w14:paraId="6CDE1E32" w14:textId="0978C317" w:rsidR="00C435AC" w:rsidRPr="00DF161F" w:rsidRDefault="00C435AC" w:rsidP="00C435AC">
      <w:pPr>
        <w:rPr>
          <w:rFonts w:asciiTheme="majorHAnsi" w:hAnsiTheme="majorHAnsi" w:cstheme="majorHAnsi"/>
        </w:rPr>
      </w:pPr>
      <w:r>
        <w:t xml:space="preserve">This memo presents the results of </w:t>
      </w:r>
      <w:proofErr w:type="spellStart"/>
      <w:r>
        <w:t>Guidehouse’s</w:t>
      </w:r>
      <w:proofErr w:type="spellEnd"/>
      <w:r>
        <w:t xml:space="preserve"> analysis of economic and employment impacts produced by ComEd’s CY</w:t>
      </w:r>
      <w:r w:rsidR="00BD3D61">
        <w:t>2025</w:t>
      </w:r>
      <w:r>
        <w:t xml:space="preserve"> </w:t>
      </w:r>
      <w:r w:rsidR="00EF7D0C" w:rsidRPr="00DF161F">
        <w:rPr>
          <w:rStyle w:val="ui-provider"/>
          <w:rFonts w:asciiTheme="majorHAnsi" w:hAnsiTheme="majorHAnsi" w:cstheme="majorHAnsi"/>
        </w:rPr>
        <w:t xml:space="preserve">Business, Residential / Income Eligible, Pilot, and Market Transformation </w:t>
      </w:r>
      <w:r w:rsidR="00EF7D0C" w:rsidRPr="00DF161F">
        <w:rPr>
          <w:rFonts w:asciiTheme="majorHAnsi" w:hAnsiTheme="majorHAnsi" w:cstheme="majorHAnsi"/>
        </w:rPr>
        <w:t>programs (collectively, the “energy efficiency (EE) programs")</w:t>
      </w:r>
      <w:r>
        <w:t xml:space="preserve">. </w:t>
      </w:r>
    </w:p>
    <w:p w14:paraId="506B2E55" w14:textId="77A59401" w:rsidR="00C435AC" w:rsidRPr="00EF7D0C" w:rsidRDefault="003D5A5A" w:rsidP="00C435AC">
      <w:pPr>
        <w:rPr>
          <w:rFonts w:asciiTheme="majorHAnsi" w:hAnsiTheme="majorHAnsi" w:cstheme="majorBidi"/>
        </w:rPr>
      </w:pPr>
      <w:r w:rsidRPr="00DF161F">
        <w:rPr>
          <w:rFonts w:asciiTheme="majorHAnsi" w:hAnsiTheme="majorHAnsi" w:cstheme="majorHAnsi"/>
        </w:rPr>
        <w:t xml:space="preserve">This report was based on information available at the time of writing. </w:t>
      </w:r>
      <w:r w:rsidRPr="00DF161F">
        <w:rPr>
          <w:rStyle w:val="ui-provider"/>
          <w:rFonts w:asciiTheme="majorHAnsi" w:hAnsiTheme="majorHAnsi" w:cstheme="majorHAnsi"/>
        </w:rPr>
        <w:t>Guidehouse will issue an updated</w:t>
      </w:r>
      <w:r w:rsidRPr="00DF161F">
        <w:rPr>
          <w:rFonts w:asciiTheme="majorHAnsi" w:hAnsiTheme="majorHAnsi" w:cstheme="majorHAnsi"/>
        </w:rPr>
        <w:t xml:space="preserve"> economic impact memorandum in Q2</w:t>
      </w:r>
      <w:r>
        <w:rPr>
          <w:rFonts w:asciiTheme="majorHAnsi" w:hAnsiTheme="majorHAnsi" w:cstheme="majorHAnsi"/>
        </w:rPr>
        <w:t>,</w:t>
      </w:r>
      <w:r w:rsidRPr="00DF161F">
        <w:rPr>
          <w:rFonts w:asciiTheme="majorHAnsi" w:hAnsiTheme="majorHAnsi" w:cstheme="majorHAnsi"/>
        </w:rPr>
        <w:t xml:space="preserve"> including final measure costs and </w:t>
      </w:r>
      <w:r w:rsidRPr="00DF161F">
        <w:rPr>
          <w:rStyle w:val="ui-provider"/>
          <w:rFonts w:asciiTheme="majorHAnsi" w:hAnsiTheme="majorHAnsi" w:cstheme="majorHAnsi"/>
        </w:rPr>
        <w:t>Voltage Optimization</w:t>
      </w:r>
      <w:r w:rsidRPr="00DF161F">
        <w:rPr>
          <w:rStyle w:val="FootnoteReference"/>
          <w:rFonts w:asciiTheme="majorHAnsi" w:hAnsiTheme="majorHAnsi" w:cstheme="majorHAnsi"/>
        </w:rPr>
        <w:footnoteReference w:id="2"/>
      </w:r>
      <w:r w:rsidRPr="00DF161F">
        <w:rPr>
          <w:rStyle w:val="ui-provider"/>
          <w:rFonts w:asciiTheme="majorHAnsi" w:hAnsiTheme="majorHAnsi" w:cstheme="majorHAnsi"/>
        </w:rPr>
        <w:t xml:space="preserve"> program benefits and costs.</w:t>
      </w:r>
      <w:r w:rsidRPr="00DF161F">
        <w:rPr>
          <w:rFonts w:asciiTheme="majorHAnsi" w:hAnsiTheme="majorHAnsi" w:cstheme="majorHAnsi"/>
        </w:rPr>
        <w:t xml:space="preserve"> </w:t>
      </w:r>
      <w:r w:rsidR="00C435AC" w:rsidRPr="5B149AF6">
        <w:rPr>
          <w:rFonts w:asciiTheme="majorHAnsi" w:hAnsiTheme="majorHAnsi" w:cstheme="majorBidi"/>
        </w:rPr>
        <w:t>This analysis was conducted in alignment with Version 3.0 of the Illinois Energy Efficiency Policy Manual</w:t>
      </w:r>
      <w:r w:rsidR="00C435AC" w:rsidRPr="5B149AF6">
        <w:rPr>
          <w:rStyle w:val="FootnoteReference"/>
          <w:rFonts w:asciiTheme="majorHAnsi" w:hAnsiTheme="majorHAnsi" w:cstheme="majorBidi"/>
        </w:rPr>
        <w:footnoteReference w:id="3"/>
      </w:r>
      <w:r w:rsidR="00C435AC" w:rsidRPr="5B149AF6">
        <w:rPr>
          <w:rFonts w:asciiTheme="majorHAnsi" w:hAnsiTheme="majorHAnsi" w:cstheme="majorBidi"/>
        </w:rPr>
        <w:t xml:space="preserve"> (Policy Manual), requiring that each program administrator in Illinois annually report estimates of the economic development and employment impacts of its energy efficiency (EE) programs. </w:t>
      </w:r>
    </w:p>
    <w:p w14:paraId="3ADD4F31" w14:textId="77777777" w:rsidR="00C435AC" w:rsidRDefault="00C435AC" w:rsidP="00C435AC">
      <w:pPr>
        <w:rPr>
          <w:rFonts w:asciiTheme="majorHAnsi" w:hAnsiTheme="majorHAnsi" w:cstheme="majorHAnsi"/>
        </w:rPr>
      </w:pPr>
      <w:r w:rsidRPr="00DF161F">
        <w:rPr>
          <w:rFonts w:asciiTheme="majorHAnsi" w:hAnsiTheme="majorHAnsi" w:cstheme="majorHAnsi"/>
        </w:rPr>
        <w:t>The Economic Impact Assessment methodology used in this analysis (described in the next section) is consistent with that developed by consensus with the Illinois Stakeholder Advisory Group Non-Energy Impacts Working Group and used in the previously submitted CY2018 – CY202</w:t>
      </w:r>
      <w:r>
        <w:rPr>
          <w:rFonts w:asciiTheme="majorHAnsi" w:hAnsiTheme="majorHAnsi" w:cstheme="majorHAnsi"/>
        </w:rPr>
        <w:t>3</w:t>
      </w:r>
      <w:r w:rsidRPr="00DF161F">
        <w:rPr>
          <w:rFonts w:asciiTheme="majorHAnsi" w:hAnsiTheme="majorHAnsi" w:cstheme="majorHAnsi"/>
        </w:rPr>
        <w:t xml:space="preserve"> economic analyses.</w:t>
      </w:r>
    </w:p>
    <w:p w14:paraId="5733DC3F" w14:textId="77777777" w:rsidR="00C435AC" w:rsidRDefault="00C435AC" w:rsidP="00C435AC">
      <w:pPr>
        <w:pStyle w:val="Heading1"/>
      </w:pPr>
      <w:r>
        <w:lastRenderedPageBreak/>
        <w:t>Results</w:t>
      </w:r>
    </w:p>
    <w:p w14:paraId="7B9547BB" w14:textId="3D1E837A" w:rsidR="00C435AC" w:rsidRDefault="00C435AC" w:rsidP="2A115046">
      <w:pPr>
        <w:rPr>
          <w:rFonts w:asciiTheme="majorHAnsi" w:hAnsiTheme="majorHAnsi" w:cstheme="majorBidi"/>
        </w:rPr>
      </w:pPr>
      <w:r>
        <w:t>The results from the CY</w:t>
      </w:r>
      <w:r w:rsidR="00BD3D61">
        <w:t>2025</w:t>
      </w:r>
      <w:r>
        <w:t xml:space="preserve"> Economic Non-Energy Impact (NEI) analysis indicate that the ComEd energy efficiency p</w:t>
      </w:r>
      <w:r w:rsidR="104B3D1F">
        <w:t xml:space="preserve">rograms </w:t>
      </w:r>
      <w:r w:rsidR="00B734F8">
        <w:t xml:space="preserve">(excluding voltage optimization) </w:t>
      </w:r>
      <w:r>
        <w:t>generated</w:t>
      </w:r>
      <w:r w:rsidR="00057A38">
        <w:t xml:space="preserve"> </w:t>
      </w:r>
      <w:r w:rsidR="00D54DE3">
        <w:t>2</w:t>
      </w:r>
      <w:r w:rsidR="00057A38">
        <w:t>7,645</w:t>
      </w:r>
      <w:r>
        <w:t xml:space="preserve"> job-years</w:t>
      </w:r>
      <w:r>
        <w:rPr>
          <w:rStyle w:val="FootnoteReference"/>
        </w:rPr>
        <w:footnoteReference w:id="4"/>
      </w:r>
      <w:r>
        <w:t>, $</w:t>
      </w:r>
      <w:r w:rsidR="001164A2">
        <w:t>1,892</w:t>
      </w:r>
      <w:r>
        <w:t xml:space="preserve"> Million in total labor income, and $</w:t>
      </w:r>
      <w:r w:rsidR="001164A2">
        <w:t>7,610</w:t>
      </w:r>
      <w:r>
        <w:t xml:space="preserve"> Million in industry output.</w:t>
      </w:r>
      <w:r w:rsidRPr="2A115046">
        <w:rPr>
          <w:rFonts w:asciiTheme="majorHAnsi" w:hAnsiTheme="majorHAnsi" w:cstheme="majorBidi"/>
        </w:rPr>
        <w:t xml:space="preserve"> </w:t>
      </w:r>
    </w:p>
    <w:p w14:paraId="28EDD1E3" w14:textId="77777777" w:rsidR="00C435AC" w:rsidRPr="00DF161F" w:rsidRDefault="00C435AC" w:rsidP="00C435AC">
      <w:pPr>
        <w:pStyle w:val="Heading1"/>
        <w:rPr>
          <w:rFonts w:asciiTheme="majorHAnsi" w:hAnsiTheme="majorHAnsi" w:cstheme="majorBidi"/>
        </w:rPr>
      </w:pPr>
      <w:r w:rsidRPr="339C1A46">
        <w:rPr>
          <w:rFonts w:asciiTheme="majorHAnsi" w:hAnsiTheme="majorHAnsi" w:cstheme="majorBidi"/>
        </w:rPr>
        <w:t xml:space="preserve">Process </w:t>
      </w:r>
    </w:p>
    <w:p w14:paraId="4699BC2B" w14:textId="77777777" w:rsidR="00C435AC" w:rsidRPr="00DF161F" w:rsidRDefault="00C435AC" w:rsidP="00C435AC">
      <w:pPr>
        <w:pStyle w:val="Heading2"/>
        <w:rPr>
          <w:rFonts w:asciiTheme="majorHAnsi" w:hAnsiTheme="majorHAnsi" w:cstheme="majorHAnsi"/>
        </w:rPr>
      </w:pPr>
      <w:r w:rsidRPr="00DF161F">
        <w:rPr>
          <w:rFonts w:asciiTheme="majorHAnsi" w:hAnsiTheme="majorHAnsi" w:cstheme="majorHAnsi"/>
        </w:rPr>
        <w:t xml:space="preserve">Economic Impact Assessment Methodology </w:t>
      </w:r>
    </w:p>
    <w:p w14:paraId="01503535" w14:textId="017C9BCE" w:rsidR="00C435AC" w:rsidRPr="0024093C" w:rsidRDefault="00C435AC" w:rsidP="00C435AC">
      <w:pPr>
        <w:rPr>
          <w:rFonts w:asciiTheme="majorHAnsi" w:hAnsiTheme="majorHAnsi" w:cstheme="majorHAnsi"/>
        </w:rPr>
      </w:pPr>
      <w:r w:rsidRPr="00DF161F">
        <w:rPr>
          <w:rFonts w:asciiTheme="majorHAnsi" w:hAnsiTheme="majorHAnsi" w:cstheme="majorHAnsi"/>
        </w:rPr>
        <w:t>The economic impact assessment for ComEd’s EE programs follows a three-step process approved by the Illinois Energy Efficiency Stakeholder Advisory Group Non-Energy Impacts Working Group</w:t>
      </w:r>
      <w:r w:rsidRPr="00DF161F">
        <w:rPr>
          <w:rStyle w:val="FootnoteReference"/>
          <w:rFonts w:asciiTheme="majorHAnsi" w:hAnsiTheme="majorHAnsi" w:cstheme="majorHAnsi"/>
        </w:rPr>
        <w:footnoteReference w:id="5"/>
      </w:r>
      <w:r w:rsidRPr="00DF161F">
        <w:rPr>
          <w:rFonts w:asciiTheme="majorHAnsi" w:hAnsiTheme="majorHAnsi" w:cstheme="majorHAnsi"/>
        </w:rPr>
        <w:t xml:space="preserve"> in November 2019, depicted in </w:t>
      </w:r>
      <w:r w:rsidRPr="0024093C">
        <w:rPr>
          <w:rFonts w:asciiTheme="majorHAnsi" w:hAnsiTheme="majorHAnsi" w:cstheme="majorHAnsi"/>
        </w:rPr>
        <w:fldChar w:fldCharType="begin"/>
      </w:r>
      <w:r w:rsidRPr="0024093C">
        <w:rPr>
          <w:rFonts w:asciiTheme="majorHAnsi" w:hAnsiTheme="majorHAnsi" w:cstheme="majorHAnsi"/>
        </w:rPr>
        <w:instrText xml:space="preserve"> REF _Ref170469109 \h </w:instrText>
      </w:r>
      <w:r w:rsidRPr="0024093C">
        <w:rPr>
          <w:rFonts w:asciiTheme="majorHAnsi" w:hAnsiTheme="majorHAnsi" w:cstheme="majorHAnsi"/>
        </w:rPr>
      </w:r>
      <w:r w:rsidRPr="0024093C">
        <w:rPr>
          <w:rFonts w:asciiTheme="majorHAnsi" w:hAnsiTheme="majorHAnsi" w:cstheme="majorHAnsi"/>
        </w:rPr>
        <w:fldChar w:fldCharType="separate"/>
      </w:r>
      <w:r w:rsidRPr="0024093C">
        <w:rPr>
          <w:rFonts w:asciiTheme="majorHAnsi" w:hAnsiTheme="majorHAnsi" w:cstheme="majorHAnsi"/>
        </w:rPr>
        <w:t>Figure 1</w:t>
      </w:r>
      <w:r w:rsidRPr="0024093C">
        <w:rPr>
          <w:rFonts w:asciiTheme="majorHAnsi" w:hAnsiTheme="majorHAnsi" w:cstheme="majorHAnsi"/>
        </w:rPr>
        <w:fldChar w:fldCharType="end"/>
      </w:r>
      <w:r w:rsidRPr="0024093C">
        <w:rPr>
          <w:rFonts w:asciiTheme="majorHAnsi" w:hAnsiTheme="majorHAnsi" w:cstheme="majorHAnsi"/>
        </w:rPr>
        <w:t xml:space="preserve"> and described below:</w:t>
      </w:r>
    </w:p>
    <w:p w14:paraId="7D15DB29" w14:textId="77777777" w:rsidR="00C435AC" w:rsidRPr="00DF161F" w:rsidRDefault="00C435AC" w:rsidP="00214D60">
      <w:pPr>
        <w:pStyle w:val="NumberedList"/>
        <w:numPr>
          <w:ilvl w:val="0"/>
          <w:numId w:val="30"/>
        </w:numPr>
        <w:spacing w:after="0"/>
      </w:pPr>
      <w:r w:rsidRPr="00DF161F">
        <w:t xml:space="preserve">Collect data for the economic activities associated with </w:t>
      </w:r>
      <w:proofErr w:type="gramStart"/>
      <w:r w:rsidRPr="00DF161F">
        <w:t>the energy</w:t>
      </w:r>
      <w:proofErr w:type="gramEnd"/>
      <w:r w:rsidRPr="00DF161F">
        <w:t xml:space="preserve"> efficiency programs</w:t>
      </w:r>
    </w:p>
    <w:p w14:paraId="4A85BAD7" w14:textId="77777777" w:rsidR="00C435AC" w:rsidRPr="00DF161F" w:rsidRDefault="00C435AC" w:rsidP="00214D60">
      <w:pPr>
        <w:pStyle w:val="ListParagraph"/>
        <w:numPr>
          <w:ilvl w:val="0"/>
          <w:numId w:val="30"/>
        </w:numPr>
        <w:spacing w:after="0"/>
      </w:pPr>
      <w:r w:rsidRPr="00DF161F">
        <w:t xml:space="preserve">Use multipliers and ratios from the IMPLAN economic model to estimate the economic impacts of ComEd’s energy efficiency portfolio </w:t>
      </w:r>
    </w:p>
    <w:p w14:paraId="075DB4BB" w14:textId="77777777" w:rsidR="00C435AC" w:rsidRPr="00DF161F" w:rsidRDefault="00C435AC" w:rsidP="00214D60">
      <w:pPr>
        <w:pStyle w:val="ListParagraph"/>
        <w:numPr>
          <w:ilvl w:val="0"/>
          <w:numId w:val="30"/>
        </w:numPr>
        <w:spacing w:after="0"/>
      </w:pPr>
      <w:r w:rsidRPr="00DF161F">
        <w:t>Analyze the results, including summarizing, comparing, and assessing the economic measures (e.g., industry output, labor income, and jobs)</w:t>
      </w:r>
    </w:p>
    <w:p w14:paraId="30EB2F9E" w14:textId="77777777" w:rsidR="00C435AC" w:rsidRPr="00DF161F" w:rsidRDefault="00C435AC" w:rsidP="00C435AC">
      <w:pPr>
        <w:rPr>
          <w:rFonts w:asciiTheme="majorHAnsi" w:hAnsiTheme="majorHAnsi" w:cstheme="majorHAnsi"/>
        </w:rPr>
      </w:pPr>
    </w:p>
    <w:p w14:paraId="498E9764" w14:textId="77777777" w:rsidR="00C435AC" w:rsidRPr="00DF161F" w:rsidRDefault="00C435AC" w:rsidP="00C435AC">
      <w:pPr>
        <w:pStyle w:val="Caption"/>
        <w:rPr>
          <w:rFonts w:asciiTheme="majorHAnsi" w:hAnsiTheme="majorHAnsi" w:cstheme="majorHAnsi"/>
        </w:rPr>
      </w:pPr>
      <w:bookmarkStart w:id="1" w:name="_Ref170469109"/>
      <w:r w:rsidRPr="00DF161F">
        <w:rPr>
          <w:rFonts w:asciiTheme="majorHAnsi" w:hAnsiTheme="majorHAnsi" w:cstheme="majorHAnsi"/>
        </w:rPr>
        <w:t xml:space="preserve">Figure </w:t>
      </w:r>
      <w:r w:rsidRPr="00DF161F">
        <w:rPr>
          <w:rFonts w:asciiTheme="majorHAnsi" w:hAnsiTheme="majorHAnsi" w:cstheme="majorHAnsi"/>
        </w:rPr>
        <w:fldChar w:fldCharType="begin"/>
      </w:r>
      <w:r w:rsidRPr="00DF161F">
        <w:rPr>
          <w:rFonts w:asciiTheme="majorHAnsi" w:hAnsiTheme="majorHAnsi" w:cstheme="majorHAnsi"/>
        </w:rPr>
        <w:instrText>SEQ Figure \* ARABIC</w:instrText>
      </w:r>
      <w:r w:rsidRPr="00DF161F">
        <w:rPr>
          <w:rFonts w:asciiTheme="majorHAnsi" w:hAnsiTheme="majorHAnsi" w:cstheme="majorHAnsi"/>
        </w:rPr>
        <w:fldChar w:fldCharType="separate"/>
      </w:r>
      <w:r w:rsidRPr="00DF161F">
        <w:rPr>
          <w:rFonts w:asciiTheme="majorHAnsi" w:hAnsiTheme="majorHAnsi" w:cstheme="majorHAnsi"/>
        </w:rPr>
        <w:t>1</w:t>
      </w:r>
      <w:r w:rsidRPr="00DF161F">
        <w:rPr>
          <w:rFonts w:asciiTheme="majorHAnsi" w:hAnsiTheme="majorHAnsi" w:cstheme="majorHAnsi"/>
        </w:rPr>
        <w:fldChar w:fldCharType="end"/>
      </w:r>
      <w:bookmarkEnd w:id="1"/>
      <w:r w:rsidRPr="00DF161F">
        <w:rPr>
          <w:rFonts w:asciiTheme="majorHAnsi" w:hAnsiTheme="majorHAnsi" w:cstheme="majorHAnsi"/>
        </w:rPr>
        <w:t>. Economic Impact Assessment Methodology</w:t>
      </w:r>
    </w:p>
    <w:p w14:paraId="7E52ACBE" w14:textId="77777777" w:rsidR="00C435AC" w:rsidRPr="00DF161F" w:rsidRDefault="00C435AC" w:rsidP="00717E2E">
      <w:pPr>
        <w:spacing w:after="0"/>
        <w:jc w:val="center"/>
        <w:rPr>
          <w:rFonts w:asciiTheme="majorHAnsi" w:hAnsiTheme="majorHAnsi" w:cstheme="majorHAnsi"/>
          <w:i/>
          <w:sz w:val="16"/>
          <w:szCs w:val="16"/>
        </w:rPr>
      </w:pPr>
      <w:r>
        <w:rPr>
          <w:noProof/>
        </w:rPr>
        <w:drawing>
          <wp:inline distT="0" distB="0" distL="0" distR="0" wp14:anchorId="1D9CCC1E" wp14:editId="234F6EF8">
            <wp:extent cx="5532719" cy="20193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5164" cy="2031141"/>
                    </a:xfrm>
                    <a:prstGeom prst="rect">
                      <a:avLst/>
                    </a:prstGeom>
                    <a:noFill/>
                  </pic:spPr>
                </pic:pic>
              </a:graphicData>
            </a:graphic>
          </wp:inline>
        </w:drawing>
      </w:r>
    </w:p>
    <w:p w14:paraId="44B9F7EC" w14:textId="77777777" w:rsidR="00C435AC" w:rsidRPr="00516C81" w:rsidRDefault="00C435AC" w:rsidP="00C435AC">
      <w:pPr>
        <w:pStyle w:val="Source"/>
        <w:rPr>
          <w:rFonts w:asciiTheme="majorHAnsi" w:hAnsiTheme="majorHAnsi" w:cstheme="majorHAnsi"/>
          <w:lang w:val="fr-FR"/>
        </w:rPr>
      </w:pPr>
      <w:proofErr w:type="gramStart"/>
      <w:r w:rsidRPr="00516C81">
        <w:rPr>
          <w:rFonts w:asciiTheme="majorHAnsi" w:hAnsiTheme="majorHAnsi" w:cstheme="majorHAnsi"/>
          <w:lang w:val="fr-FR"/>
        </w:rPr>
        <w:t>Source:</w:t>
      </w:r>
      <w:proofErr w:type="gramEnd"/>
      <w:r w:rsidRPr="00516C81">
        <w:rPr>
          <w:rFonts w:asciiTheme="majorHAnsi" w:hAnsiTheme="majorHAnsi" w:cstheme="majorHAnsi"/>
          <w:lang w:val="fr-FR"/>
        </w:rPr>
        <w:t xml:space="preserve"> https://www.ilsag.info/wp-content/uploads/IL_SAG_NEI_Presentation_06-NOV-2019_Final.pdf</w:t>
      </w:r>
    </w:p>
    <w:p w14:paraId="2D68FF2A" w14:textId="77777777" w:rsidR="00C435AC" w:rsidRPr="00516C81" w:rsidRDefault="00C435AC" w:rsidP="00C435AC">
      <w:pPr>
        <w:pStyle w:val="Source"/>
        <w:rPr>
          <w:rFonts w:asciiTheme="majorHAnsi" w:hAnsiTheme="majorHAnsi" w:cstheme="majorHAnsi"/>
          <w:lang w:val="fr-FR"/>
        </w:rPr>
      </w:pPr>
    </w:p>
    <w:p w14:paraId="313406ED" w14:textId="0A24B8F4" w:rsidR="00C435AC" w:rsidRPr="00DF161F" w:rsidRDefault="00C435AC" w:rsidP="00C435AC">
      <w:pPr>
        <w:rPr>
          <w:rFonts w:asciiTheme="majorHAnsi" w:hAnsiTheme="majorHAnsi" w:cstheme="majorHAnsi"/>
        </w:rPr>
      </w:pPr>
      <w:r w:rsidRPr="00DF161F">
        <w:rPr>
          <w:rFonts w:asciiTheme="majorHAnsi" w:hAnsiTheme="majorHAnsi" w:cstheme="majorHAnsi"/>
        </w:rPr>
        <w:t xml:space="preserve">Following this three-step process, </w:t>
      </w:r>
      <w:r>
        <w:rPr>
          <w:rFonts w:asciiTheme="majorHAnsi" w:hAnsiTheme="majorHAnsi" w:cstheme="majorHAnsi"/>
        </w:rPr>
        <w:t>this report provides</w:t>
      </w:r>
      <w:r w:rsidRPr="00DF161F">
        <w:rPr>
          <w:rFonts w:asciiTheme="majorHAnsi" w:hAnsiTheme="majorHAnsi" w:cstheme="majorHAnsi"/>
        </w:rPr>
        <w:t xml:space="preserve"> estimates on how the ComEd energy efficiency programs are forecasted to affect the Illinois economy. </w:t>
      </w:r>
    </w:p>
    <w:p w14:paraId="2A08D3B4" w14:textId="05D1E5E1" w:rsidR="00C435AC" w:rsidRPr="00DF161F" w:rsidRDefault="00C435AC" w:rsidP="00C435AC">
      <w:pPr>
        <w:rPr>
          <w:rFonts w:asciiTheme="majorHAnsi" w:hAnsiTheme="majorHAnsi" w:cstheme="majorHAnsi"/>
        </w:rPr>
      </w:pPr>
      <w:r w:rsidRPr="00DF161F">
        <w:rPr>
          <w:rFonts w:asciiTheme="majorHAnsi" w:hAnsiTheme="majorHAnsi" w:cstheme="majorHAnsi"/>
        </w:rPr>
        <w:lastRenderedPageBreak/>
        <w:t>The analysis includes direct effects, indirect effects, and induced demand in the economy. Direct effects are the initial effects in energy supply and energy efficiency related industries due to the ComEd portfolio. They include changes in employment and demand for regional production triggered by the implementation and management of ComEd’s EE programs. Indirect effects are effects from business-to-business purchasing in the supply chain, or changes in spending for households directly impacted by the EE programs. They include increased purchases from program suppliers who must in turn increase purchases from their suppliers and so forth as the initial expenditure ripples through interconnected industries. Induced effects include secondary impacts generated from household to business spending as labor income changes that result from both direct and indirect activity affect the local economy.</w:t>
      </w:r>
      <w:r w:rsidRPr="00DF161F">
        <w:rPr>
          <w:rStyle w:val="FootnoteReference"/>
          <w:rFonts w:asciiTheme="majorHAnsi" w:hAnsiTheme="majorHAnsi" w:cstheme="majorHAnsi"/>
        </w:rPr>
        <w:footnoteReference w:id="6"/>
      </w:r>
    </w:p>
    <w:p w14:paraId="2FAE6361" w14:textId="02078CAE" w:rsidR="00C435AC" w:rsidRPr="00DF161F" w:rsidRDefault="00C435AC" w:rsidP="00C435AC">
      <w:pPr>
        <w:rPr>
          <w:rFonts w:asciiTheme="majorHAnsi" w:hAnsiTheme="majorHAnsi" w:cstheme="majorBidi"/>
        </w:rPr>
      </w:pPr>
      <w:r w:rsidRPr="339C1A46">
        <w:rPr>
          <w:rFonts w:asciiTheme="majorHAnsi" w:hAnsiTheme="majorHAnsi" w:cstheme="majorBidi"/>
        </w:rPr>
        <w:t xml:space="preserve">The analysis presents economic impacts in terms of job years, labor income, and industry output. Labor income is comprised of employee compensation, including wages and benefits, and proprietor income. Labor income is representative of the total value of all forms of employment income paid throughout the Illinois economy for </w:t>
      </w:r>
      <w:r w:rsidR="00BD3D61">
        <w:rPr>
          <w:rFonts w:asciiTheme="majorHAnsi" w:hAnsiTheme="majorHAnsi" w:cstheme="majorBidi"/>
        </w:rPr>
        <w:t>2025</w:t>
      </w:r>
      <w:r w:rsidRPr="339C1A46">
        <w:rPr>
          <w:rFonts w:asciiTheme="majorHAnsi" w:hAnsiTheme="majorHAnsi" w:cstheme="majorBidi"/>
        </w:rPr>
        <w:t>.</w:t>
      </w:r>
      <w:r w:rsidRPr="339C1A46">
        <w:rPr>
          <w:rStyle w:val="FootnoteReference"/>
          <w:rFonts w:asciiTheme="majorHAnsi" w:hAnsiTheme="majorHAnsi" w:cstheme="majorBidi"/>
        </w:rPr>
        <w:footnoteReference w:id="7"/>
      </w:r>
      <w:r w:rsidRPr="339C1A46">
        <w:rPr>
          <w:rFonts w:asciiTheme="majorHAnsi" w:hAnsiTheme="majorHAnsi" w:cstheme="majorBidi"/>
        </w:rPr>
        <w:t xml:space="preserve"> Industry output is the total annual production value of each industry; it can be described as business sales or revenues. In terms of retail output and wholesale trade, these industry output values are equal to gross margin or marginal revenue, not total revenue.</w:t>
      </w:r>
      <w:r w:rsidRPr="339C1A46">
        <w:rPr>
          <w:rStyle w:val="FootnoteReference"/>
          <w:rFonts w:asciiTheme="majorHAnsi" w:hAnsiTheme="majorHAnsi" w:cstheme="majorBidi"/>
        </w:rPr>
        <w:footnoteReference w:id="8"/>
      </w:r>
    </w:p>
    <w:p w14:paraId="5027428D" w14:textId="77777777" w:rsidR="00C435AC" w:rsidRPr="00DF161F" w:rsidRDefault="00C435AC" w:rsidP="00C435AC">
      <w:pPr>
        <w:pStyle w:val="Heading2"/>
        <w:rPr>
          <w:rFonts w:asciiTheme="majorHAnsi" w:hAnsiTheme="majorHAnsi" w:cstheme="majorHAnsi"/>
        </w:rPr>
      </w:pPr>
      <w:r w:rsidRPr="00DF161F">
        <w:rPr>
          <w:rFonts w:asciiTheme="majorHAnsi" w:hAnsiTheme="majorHAnsi" w:cstheme="majorHAnsi"/>
        </w:rPr>
        <w:t>Summary of Input Data</w:t>
      </w:r>
    </w:p>
    <w:p w14:paraId="28C928E9" w14:textId="594E7B93" w:rsidR="00C435AC" w:rsidRPr="00495218" w:rsidRDefault="00C435AC" w:rsidP="00C435AC">
      <w:pPr>
        <w:rPr>
          <w:rFonts w:asciiTheme="majorHAnsi" w:hAnsiTheme="majorHAnsi" w:cstheme="majorBidi"/>
        </w:rPr>
      </w:pPr>
      <w:r w:rsidRPr="339C1A46">
        <w:rPr>
          <w:rFonts w:asciiTheme="majorHAnsi" w:hAnsiTheme="majorHAnsi" w:cstheme="majorBidi"/>
        </w:rPr>
        <w:fldChar w:fldCharType="begin"/>
      </w:r>
      <w:r w:rsidRPr="339C1A46">
        <w:rPr>
          <w:rFonts w:asciiTheme="majorHAnsi" w:hAnsiTheme="majorHAnsi" w:cstheme="majorBidi"/>
        </w:rPr>
        <w:instrText xml:space="preserve"> REF _Ref74654335 \h  \* MERGEFORMAT </w:instrText>
      </w:r>
      <w:r w:rsidRPr="339C1A46">
        <w:rPr>
          <w:rFonts w:asciiTheme="majorHAnsi" w:hAnsiTheme="majorHAnsi" w:cstheme="majorBidi"/>
        </w:rPr>
      </w:r>
      <w:r w:rsidRPr="339C1A46">
        <w:rPr>
          <w:rFonts w:asciiTheme="majorHAnsi" w:hAnsiTheme="majorHAnsi" w:cstheme="majorBidi"/>
        </w:rPr>
        <w:fldChar w:fldCharType="separate"/>
      </w:r>
      <w:r w:rsidRPr="339C1A46">
        <w:rPr>
          <w:rFonts w:asciiTheme="majorHAnsi" w:hAnsiTheme="majorHAnsi" w:cstheme="majorBidi"/>
        </w:rPr>
        <w:t xml:space="preserve">Table </w:t>
      </w:r>
      <w:r w:rsidRPr="339C1A46">
        <w:rPr>
          <w:rFonts w:asciiTheme="majorHAnsi" w:hAnsiTheme="majorHAnsi" w:cstheme="majorBidi"/>
          <w:noProof/>
        </w:rPr>
        <w:t>1</w:t>
      </w:r>
      <w:r w:rsidRPr="339C1A46">
        <w:rPr>
          <w:rFonts w:asciiTheme="majorHAnsi" w:hAnsiTheme="majorHAnsi" w:cstheme="majorBidi"/>
        </w:rPr>
        <w:fldChar w:fldCharType="end"/>
      </w:r>
      <w:r w:rsidRPr="339C1A46">
        <w:rPr>
          <w:rFonts w:asciiTheme="majorHAnsi" w:hAnsiTheme="majorHAnsi" w:cstheme="majorBidi"/>
        </w:rPr>
        <w:t xml:space="preserve"> presents a summary of input data used for the CY</w:t>
      </w:r>
      <w:r w:rsidR="00BD3D61">
        <w:rPr>
          <w:rFonts w:asciiTheme="majorHAnsi" w:hAnsiTheme="majorHAnsi" w:cstheme="majorBidi"/>
        </w:rPr>
        <w:t>2025</w:t>
      </w:r>
      <w:r w:rsidRPr="339C1A46">
        <w:rPr>
          <w:rFonts w:asciiTheme="majorHAnsi" w:hAnsiTheme="majorHAnsi" w:cstheme="majorBidi"/>
        </w:rPr>
        <w:t xml:space="preserve"> economic and employment impact analysis.</w:t>
      </w:r>
    </w:p>
    <w:p w14:paraId="48333E52" w14:textId="7A221A58" w:rsidR="00C435AC" w:rsidRPr="00DF161F" w:rsidRDefault="00C435AC" w:rsidP="00C435AC">
      <w:pPr>
        <w:pStyle w:val="Caption"/>
        <w:keepNext w:val="0"/>
        <w:rPr>
          <w:rFonts w:asciiTheme="majorHAnsi" w:hAnsiTheme="majorHAnsi" w:cstheme="majorBidi"/>
        </w:rPr>
      </w:pPr>
      <w:bookmarkStart w:id="2" w:name="_Ref74654335"/>
      <w:r w:rsidRPr="339C1A46">
        <w:rPr>
          <w:rFonts w:asciiTheme="majorHAnsi" w:hAnsiTheme="majorHAnsi" w:cstheme="majorBidi"/>
        </w:rPr>
        <w:t xml:space="preserve">Table </w:t>
      </w:r>
      <w:r w:rsidRPr="339C1A46">
        <w:rPr>
          <w:rFonts w:asciiTheme="majorHAnsi" w:hAnsiTheme="majorHAnsi" w:cstheme="majorBidi"/>
        </w:rPr>
        <w:fldChar w:fldCharType="begin"/>
      </w:r>
      <w:r w:rsidRPr="339C1A46">
        <w:rPr>
          <w:rFonts w:asciiTheme="majorHAnsi" w:hAnsiTheme="majorHAnsi" w:cstheme="majorBidi"/>
        </w:rPr>
        <w:instrText>SEQ Table \* ARABIC</w:instrText>
      </w:r>
      <w:r w:rsidRPr="339C1A46">
        <w:rPr>
          <w:rFonts w:asciiTheme="majorHAnsi" w:hAnsiTheme="majorHAnsi" w:cstheme="majorBidi"/>
        </w:rPr>
        <w:fldChar w:fldCharType="separate"/>
      </w:r>
      <w:r w:rsidRPr="339C1A46">
        <w:rPr>
          <w:rFonts w:asciiTheme="majorHAnsi" w:hAnsiTheme="majorHAnsi" w:cstheme="majorBidi"/>
          <w:noProof/>
        </w:rPr>
        <w:t>1</w:t>
      </w:r>
      <w:r w:rsidRPr="339C1A46">
        <w:rPr>
          <w:rFonts w:asciiTheme="majorHAnsi" w:hAnsiTheme="majorHAnsi" w:cstheme="majorBidi"/>
        </w:rPr>
        <w:fldChar w:fldCharType="end"/>
      </w:r>
      <w:bookmarkEnd w:id="2"/>
      <w:r w:rsidRPr="339C1A46">
        <w:rPr>
          <w:rFonts w:asciiTheme="majorHAnsi" w:hAnsiTheme="majorHAnsi" w:cstheme="majorBidi"/>
        </w:rPr>
        <w:t>. Summary of ComEd’s CY</w:t>
      </w:r>
      <w:r w:rsidR="00BD3D61">
        <w:rPr>
          <w:rFonts w:asciiTheme="majorHAnsi" w:hAnsiTheme="majorHAnsi" w:cstheme="majorBidi"/>
        </w:rPr>
        <w:t>2025</w:t>
      </w:r>
      <w:r w:rsidRPr="339C1A46">
        <w:rPr>
          <w:rFonts w:asciiTheme="majorHAnsi" w:hAnsiTheme="majorHAnsi" w:cstheme="majorBidi"/>
        </w:rPr>
        <w:t xml:space="preserve"> Economic and Employment Impact Analysis Input Data </w:t>
      </w:r>
    </w:p>
    <w:tbl>
      <w:tblPr>
        <w:tblStyle w:val="GHCustom"/>
        <w:tblW w:w="5000" w:type="pct"/>
        <w:tblLayout w:type="fixed"/>
        <w:tblLook w:val="04A0" w:firstRow="1" w:lastRow="0" w:firstColumn="1" w:lastColumn="0" w:noHBand="0" w:noVBand="1"/>
      </w:tblPr>
      <w:tblGrid>
        <w:gridCol w:w="2524"/>
        <w:gridCol w:w="1337"/>
        <w:gridCol w:w="3228"/>
        <w:gridCol w:w="2261"/>
      </w:tblGrid>
      <w:tr w:rsidR="00C435AC" w:rsidRPr="005B5B88" w14:paraId="035ACD0F" w14:textId="77777777" w:rsidTr="00A62448">
        <w:trPr>
          <w:cnfStyle w:val="100000000000" w:firstRow="1" w:lastRow="0" w:firstColumn="0" w:lastColumn="0" w:oddVBand="0" w:evenVBand="0" w:oddHBand="0" w:evenHBand="0" w:firstRowFirstColumn="0" w:firstRowLastColumn="0" w:lastRowFirstColumn="0" w:lastRowLastColumn="0"/>
          <w:tblHeader/>
        </w:trPr>
        <w:tc>
          <w:tcPr>
            <w:tcW w:w="1350" w:type="pct"/>
            <w:tcBorders>
              <w:top w:val="single" w:sz="4" w:space="0" w:color="auto"/>
              <w:left w:val="single" w:sz="4" w:space="0" w:color="auto"/>
            </w:tcBorders>
          </w:tcPr>
          <w:p w14:paraId="70EABB29" w14:textId="77777777" w:rsidR="00C435AC" w:rsidRPr="00DF7C03" w:rsidRDefault="00C435AC" w:rsidP="005B5B88">
            <w:pPr>
              <w:spacing w:after="0"/>
              <w:rPr>
                <w:rFonts w:cstheme="majorHAnsi"/>
                <w:color w:val="FFFFFF" w:themeColor="background1"/>
                <w:szCs w:val="20"/>
              </w:rPr>
            </w:pPr>
            <w:r w:rsidRPr="00DF7C03">
              <w:rPr>
                <w:rFonts w:cstheme="majorHAnsi"/>
                <w:color w:val="FFFFFF" w:themeColor="background1"/>
                <w:szCs w:val="20"/>
              </w:rPr>
              <w:t>Impact Category</w:t>
            </w:r>
          </w:p>
        </w:tc>
        <w:tc>
          <w:tcPr>
            <w:tcW w:w="715" w:type="pct"/>
            <w:tcBorders>
              <w:top w:val="single" w:sz="4" w:space="0" w:color="auto"/>
            </w:tcBorders>
          </w:tcPr>
          <w:p w14:paraId="781AF8E5" w14:textId="77777777" w:rsidR="00C435AC" w:rsidRPr="00DF7C03" w:rsidRDefault="00C435AC" w:rsidP="005B5B88">
            <w:pPr>
              <w:spacing w:after="0"/>
              <w:jc w:val="right"/>
              <w:rPr>
                <w:rFonts w:cstheme="majorHAnsi"/>
                <w:color w:val="FFFFFF" w:themeColor="background1"/>
                <w:szCs w:val="20"/>
              </w:rPr>
            </w:pPr>
            <w:r w:rsidRPr="00DF7C03">
              <w:rPr>
                <w:rFonts w:cstheme="majorHAnsi"/>
                <w:color w:val="FFFFFF" w:themeColor="background1"/>
                <w:szCs w:val="20"/>
              </w:rPr>
              <w:t xml:space="preserve">Amount </w:t>
            </w:r>
          </w:p>
          <w:p w14:paraId="3DCB63B3" w14:textId="77777777" w:rsidR="00C435AC" w:rsidRPr="00DF7C03" w:rsidRDefault="00C435AC" w:rsidP="005B5B88">
            <w:pPr>
              <w:spacing w:after="0"/>
              <w:jc w:val="right"/>
              <w:rPr>
                <w:rFonts w:cstheme="majorHAnsi"/>
                <w:color w:val="FFFFFF" w:themeColor="background1"/>
                <w:szCs w:val="20"/>
              </w:rPr>
            </w:pPr>
            <w:r w:rsidRPr="00DF7C03">
              <w:rPr>
                <w:rFonts w:cstheme="majorHAnsi"/>
                <w:color w:val="FFFFFF" w:themeColor="background1"/>
                <w:szCs w:val="20"/>
              </w:rPr>
              <w:t>($ Millions)</w:t>
            </w:r>
          </w:p>
        </w:tc>
        <w:tc>
          <w:tcPr>
            <w:tcW w:w="1726" w:type="pct"/>
            <w:tcBorders>
              <w:top w:val="single" w:sz="4" w:space="0" w:color="auto"/>
            </w:tcBorders>
          </w:tcPr>
          <w:p w14:paraId="3EBCA344" w14:textId="77777777" w:rsidR="00C435AC" w:rsidRPr="00DF7C03" w:rsidRDefault="00C435AC" w:rsidP="005B5B88">
            <w:pPr>
              <w:spacing w:after="0"/>
              <w:rPr>
                <w:rFonts w:cstheme="majorHAnsi"/>
                <w:color w:val="FFFFFF" w:themeColor="background1"/>
                <w:szCs w:val="20"/>
              </w:rPr>
            </w:pPr>
            <w:r w:rsidRPr="00DF7C03">
              <w:rPr>
                <w:rFonts w:cstheme="majorHAnsi"/>
                <w:color w:val="FFFFFF" w:themeColor="background1"/>
                <w:szCs w:val="20"/>
              </w:rPr>
              <w:t>Description of Impact</w:t>
            </w:r>
          </w:p>
        </w:tc>
        <w:tc>
          <w:tcPr>
            <w:tcW w:w="1209" w:type="pct"/>
            <w:tcBorders>
              <w:top w:val="single" w:sz="4" w:space="0" w:color="auto"/>
              <w:right w:val="single" w:sz="4" w:space="0" w:color="auto"/>
            </w:tcBorders>
          </w:tcPr>
          <w:p w14:paraId="65D04E5A" w14:textId="77777777" w:rsidR="00C435AC" w:rsidRPr="00DF7C03" w:rsidRDefault="00C435AC" w:rsidP="005B5B88">
            <w:pPr>
              <w:spacing w:after="0"/>
              <w:rPr>
                <w:rFonts w:cstheme="majorHAnsi"/>
                <w:color w:val="FFFFFF" w:themeColor="background1"/>
                <w:szCs w:val="20"/>
              </w:rPr>
            </w:pPr>
            <w:r w:rsidRPr="00DF7C03">
              <w:rPr>
                <w:rFonts w:cstheme="majorHAnsi"/>
                <w:color w:val="FFFFFF" w:themeColor="background1"/>
                <w:szCs w:val="20"/>
              </w:rPr>
              <w:t>Time Period</w:t>
            </w:r>
          </w:p>
        </w:tc>
      </w:tr>
      <w:tr w:rsidR="00CF6700" w:rsidRPr="005B5B88" w14:paraId="5A7DB94E" w14:textId="77777777" w:rsidTr="00A61238">
        <w:tc>
          <w:tcPr>
            <w:tcW w:w="1350" w:type="pct"/>
            <w:tcBorders>
              <w:left w:val="single" w:sz="4" w:space="0" w:color="auto"/>
            </w:tcBorders>
          </w:tcPr>
          <w:p w14:paraId="4D795D50" w14:textId="77777777" w:rsidR="00CF6700" w:rsidRPr="005B5B88" w:rsidRDefault="00CF6700" w:rsidP="005B5B88">
            <w:pPr>
              <w:spacing w:after="0"/>
              <w:rPr>
                <w:rFonts w:cstheme="majorHAnsi"/>
                <w:b/>
                <w:szCs w:val="20"/>
              </w:rPr>
            </w:pPr>
            <w:r w:rsidRPr="005B5B88">
              <w:rPr>
                <w:rFonts w:cstheme="majorHAnsi"/>
              </w:rPr>
              <w:t>Bill Savings</w:t>
            </w:r>
          </w:p>
        </w:tc>
        <w:tc>
          <w:tcPr>
            <w:tcW w:w="715" w:type="pct"/>
          </w:tcPr>
          <w:p w14:paraId="43FDADFD" w14:textId="49C100D7" w:rsidR="00CF6700" w:rsidRPr="005B5B88" w:rsidRDefault="00CF6700" w:rsidP="005B5B88">
            <w:pPr>
              <w:spacing w:after="0"/>
              <w:jc w:val="right"/>
              <w:rPr>
                <w:rFonts w:eastAsia="Arial Narrow" w:cs="Arial Narrow"/>
              </w:rPr>
            </w:pPr>
            <w:r w:rsidRPr="005B5B88">
              <w:t>$3,570</w:t>
            </w:r>
          </w:p>
        </w:tc>
        <w:tc>
          <w:tcPr>
            <w:tcW w:w="1726" w:type="pct"/>
          </w:tcPr>
          <w:p w14:paraId="76089A46" w14:textId="77777777" w:rsidR="00CF6700" w:rsidRPr="005B5B88" w:rsidRDefault="00CF6700" w:rsidP="005B5B88">
            <w:pPr>
              <w:spacing w:after="0"/>
              <w:rPr>
                <w:rFonts w:cstheme="majorHAnsi"/>
              </w:rPr>
            </w:pPr>
            <w:r w:rsidRPr="005B5B88">
              <w:rPr>
                <w:rFonts w:cstheme="majorHAnsi"/>
              </w:rPr>
              <w:t>Positive economic effect on ratepayers</w:t>
            </w:r>
          </w:p>
        </w:tc>
        <w:tc>
          <w:tcPr>
            <w:tcW w:w="1209" w:type="pct"/>
            <w:tcBorders>
              <w:right w:val="single" w:sz="4" w:space="0" w:color="auto"/>
            </w:tcBorders>
          </w:tcPr>
          <w:p w14:paraId="431367B1" w14:textId="3DD4D8BC" w:rsidR="00CF6700" w:rsidRPr="005B5B88" w:rsidRDefault="00CF6700" w:rsidP="005B5B88">
            <w:pPr>
              <w:spacing w:after="0"/>
              <w:rPr>
                <w:rFonts w:cstheme="majorBidi"/>
              </w:rPr>
            </w:pPr>
            <w:r w:rsidRPr="005B5B88">
              <w:rPr>
                <w:rFonts w:cstheme="majorBidi"/>
              </w:rPr>
              <w:t>2025-2049</w:t>
            </w:r>
          </w:p>
        </w:tc>
      </w:tr>
      <w:tr w:rsidR="00CF6700" w:rsidRPr="005B5B88" w14:paraId="6C6B016A" w14:textId="77777777" w:rsidTr="00A61238">
        <w:tc>
          <w:tcPr>
            <w:tcW w:w="1350" w:type="pct"/>
            <w:tcBorders>
              <w:left w:val="single" w:sz="4" w:space="0" w:color="auto"/>
            </w:tcBorders>
          </w:tcPr>
          <w:p w14:paraId="243AD488" w14:textId="77777777" w:rsidR="00CF6700" w:rsidRPr="005B5B88" w:rsidRDefault="00CF6700" w:rsidP="005B5B88">
            <w:pPr>
              <w:spacing w:after="0"/>
              <w:rPr>
                <w:rFonts w:cstheme="majorHAnsi"/>
                <w:b/>
                <w:szCs w:val="20"/>
              </w:rPr>
            </w:pPr>
            <w:r w:rsidRPr="005B5B88">
              <w:rPr>
                <w:rFonts w:cstheme="majorHAnsi"/>
              </w:rPr>
              <w:t>Program Funding</w:t>
            </w:r>
          </w:p>
        </w:tc>
        <w:tc>
          <w:tcPr>
            <w:tcW w:w="715" w:type="pct"/>
          </w:tcPr>
          <w:p w14:paraId="7FF82E28" w14:textId="11D2D4C0" w:rsidR="00CF6700" w:rsidRPr="005B5B88" w:rsidRDefault="00CF6700" w:rsidP="005B5B88">
            <w:pPr>
              <w:spacing w:after="0"/>
              <w:jc w:val="right"/>
              <w:rPr>
                <w:rFonts w:eastAsia="Arial Narrow" w:cs="Arial Narrow"/>
              </w:rPr>
            </w:pPr>
            <w:r w:rsidRPr="005B5B88">
              <w:t>-$399</w:t>
            </w:r>
          </w:p>
        </w:tc>
        <w:tc>
          <w:tcPr>
            <w:tcW w:w="1726" w:type="pct"/>
          </w:tcPr>
          <w:p w14:paraId="6F0FC30B" w14:textId="77777777" w:rsidR="00CF6700" w:rsidRPr="005B5B88" w:rsidRDefault="00CF6700" w:rsidP="005B5B88">
            <w:pPr>
              <w:spacing w:after="0"/>
              <w:rPr>
                <w:rFonts w:cstheme="majorHAnsi"/>
              </w:rPr>
            </w:pPr>
            <w:r w:rsidRPr="005B5B88">
              <w:rPr>
                <w:rFonts w:cstheme="majorHAnsi"/>
              </w:rPr>
              <w:t>Negative economic effect on ratepayers</w:t>
            </w:r>
          </w:p>
        </w:tc>
        <w:tc>
          <w:tcPr>
            <w:tcW w:w="1209" w:type="pct"/>
            <w:tcBorders>
              <w:right w:val="single" w:sz="4" w:space="0" w:color="auto"/>
            </w:tcBorders>
          </w:tcPr>
          <w:p w14:paraId="4ABA696B" w14:textId="49348162" w:rsidR="00CF6700" w:rsidRPr="005B5B88" w:rsidRDefault="00CF6700" w:rsidP="005B5B88">
            <w:pPr>
              <w:spacing w:after="0"/>
              <w:rPr>
                <w:rFonts w:cstheme="majorBidi"/>
              </w:rPr>
            </w:pPr>
            <w:r w:rsidRPr="005B5B88">
              <w:rPr>
                <w:rFonts w:cstheme="majorBidi"/>
              </w:rPr>
              <w:t>Over WAML</w:t>
            </w:r>
            <w:r w:rsidRPr="005B5B88">
              <w:rPr>
                <w:rStyle w:val="FootnoteReference"/>
                <w:rFonts w:cstheme="majorBidi"/>
              </w:rPr>
              <w:footnoteReference w:id="9"/>
            </w:r>
            <w:r w:rsidRPr="005B5B88">
              <w:rPr>
                <w:rFonts w:cstheme="majorBidi"/>
              </w:rPr>
              <w:t xml:space="preserve"> period (Electric: 2025 – 2036)</w:t>
            </w:r>
          </w:p>
        </w:tc>
      </w:tr>
      <w:tr w:rsidR="00CF6700" w:rsidRPr="005B5B88" w14:paraId="0EDA6CC4" w14:textId="77777777" w:rsidTr="00A61238">
        <w:tc>
          <w:tcPr>
            <w:tcW w:w="1350" w:type="pct"/>
            <w:tcBorders>
              <w:left w:val="single" w:sz="4" w:space="0" w:color="auto"/>
            </w:tcBorders>
          </w:tcPr>
          <w:p w14:paraId="60222DA7" w14:textId="77777777" w:rsidR="00CF6700" w:rsidRPr="005B5B88" w:rsidRDefault="00CF6700" w:rsidP="005B5B88">
            <w:pPr>
              <w:spacing w:after="0"/>
              <w:rPr>
                <w:rFonts w:cstheme="majorHAnsi"/>
                <w:b/>
                <w:szCs w:val="20"/>
              </w:rPr>
            </w:pPr>
            <w:r w:rsidRPr="005B5B88">
              <w:rPr>
                <w:rFonts w:cstheme="majorHAnsi"/>
              </w:rPr>
              <w:t>Net Ratepayer Bill Savings</w:t>
            </w:r>
          </w:p>
        </w:tc>
        <w:tc>
          <w:tcPr>
            <w:tcW w:w="715" w:type="pct"/>
          </w:tcPr>
          <w:p w14:paraId="1A3E3A1C" w14:textId="75002B05" w:rsidR="00CF6700" w:rsidRPr="005B5B88" w:rsidRDefault="00CF6700" w:rsidP="005B5B88">
            <w:pPr>
              <w:spacing w:after="0"/>
              <w:jc w:val="right"/>
              <w:rPr>
                <w:rFonts w:eastAsia="Arial Narrow" w:cs="Arial Narrow"/>
              </w:rPr>
            </w:pPr>
            <w:r w:rsidRPr="005B5B88">
              <w:t>$3,171</w:t>
            </w:r>
          </w:p>
        </w:tc>
        <w:tc>
          <w:tcPr>
            <w:tcW w:w="1726" w:type="pct"/>
          </w:tcPr>
          <w:p w14:paraId="604800DD" w14:textId="77777777" w:rsidR="00CF6700" w:rsidRPr="005B5B88" w:rsidRDefault="00CF6700" w:rsidP="005B5B88">
            <w:pPr>
              <w:spacing w:after="0"/>
              <w:rPr>
                <w:rFonts w:cstheme="majorHAnsi"/>
              </w:rPr>
            </w:pPr>
            <w:r w:rsidRPr="005B5B88">
              <w:rPr>
                <w:rFonts w:cstheme="majorHAnsi"/>
              </w:rPr>
              <w:t>Net economic effect on ratepayers</w:t>
            </w:r>
          </w:p>
        </w:tc>
        <w:tc>
          <w:tcPr>
            <w:tcW w:w="1209" w:type="pct"/>
            <w:tcBorders>
              <w:right w:val="single" w:sz="4" w:space="0" w:color="auto"/>
            </w:tcBorders>
          </w:tcPr>
          <w:p w14:paraId="4555FD12" w14:textId="66958058" w:rsidR="00CF6700" w:rsidRPr="005B5B88" w:rsidRDefault="00CF6700" w:rsidP="005B5B88">
            <w:pPr>
              <w:spacing w:after="0"/>
              <w:rPr>
                <w:rFonts w:cstheme="majorBidi"/>
              </w:rPr>
            </w:pPr>
            <w:r w:rsidRPr="005B5B88">
              <w:rPr>
                <w:rFonts w:cstheme="majorBidi"/>
              </w:rPr>
              <w:t>2025-2049</w:t>
            </w:r>
          </w:p>
        </w:tc>
      </w:tr>
      <w:tr w:rsidR="00CF6700" w:rsidRPr="005B5B88" w14:paraId="4B58A158" w14:textId="77777777" w:rsidTr="00A61238">
        <w:tc>
          <w:tcPr>
            <w:tcW w:w="1350" w:type="pct"/>
            <w:tcBorders>
              <w:left w:val="single" w:sz="4" w:space="0" w:color="auto"/>
            </w:tcBorders>
          </w:tcPr>
          <w:p w14:paraId="6C8B4AC8" w14:textId="77777777" w:rsidR="00CF6700" w:rsidRPr="005B5B88" w:rsidRDefault="00CF6700" w:rsidP="005B5B88">
            <w:pPr>
              <w:spacing w:after="0"/>
              <w:rPr>
                <w:rFonts w:cstheme="majorHAnsi"/>
                <w:b/>
                <w:szCs w:val="20"/>
              </w:rPr>
            </w:pPr>
            <w:r w:rsidRPr="005B5B88">
              <w:rPr>
                <w:rFonts w:cstheme="majorHAnsi"/>
              </w:rPr>
              <w:t>Lost Utility Fuel &amp; Transp. Expenditures</w:t>
            </w:r>
          </w:p>
        </w:tc>
        <w:tc>
          <w:tcPr>
            <w:tcW w:w="715" w:type="pct"/>
          </w:tcPr>
          <w:p w14:paraId="36C0C19C" w14:textId="0A564130" w:rsidR="00CF6700" w:rsidRPr="005B5B88" w:rsidRDefault="00CF6700" w:rsidP="005B5B88">
            <w:pPr>
              <w:spacing w:after="0"/>
              <w:jc w:val="right"/>
              <w:rPr>
                <w:rFonts w:eastAsia="Arial Narrow" w:cs="Arial Narrow"/>
              </w:rPr>
            </w:pPr>
            <w:r w:rsidRPr="005B5B88">
              <w:t>-$79</w:t>
            </w:r>
          </w:p>
        </w:tc>
        <w:tc>
          <w:tcPr>
            <w:tcW w:w="1726" w:type="pct"/>
          </w:tcPr>
          <w:p w14:paraId="1BD04754" w14:textId="77777777" w:rsidR="00CF6700" w:rsidRPr="005B5B88" w:rsidRDefault="00CF6700" w:rsidP="005B5B88">
            <w:pPr>
              <w:spacing w:after="0"/>
              <w:rPr>
                <w:rFonts w:cstheme="majorHAnsi"/>
              </w:rPr>
            </w:pPr>
            <w:r w:rsidRPr="005B5B88">
              <w:rPr>
                <w:rFonts w:cstheme="majorHAnsi"/>
              </w:rPr>
              <w:t>Negative economic impact on fuel production and transportation</w:t>
            </w:r>
          </w:p>
        </w:tc>
        <w:tc>
          <w:tcPr>
            <w:tcW w:w="1209" w:type="pct"/>
            <w:tcBorders>
              <w:right w:val="single" w:sz="4" w:space="0" w:color="auto"/>
            </w:tcBorders>
          </w:tcPr>
          <w:p w14:paraId="204D2A33" w14:textId="3D56EAAC" w:rsidR="00CF6700" w:rsidRPr="005B5B88" w:rsidRDefault="00CF6700" w:rsidP="005B5B88">
            <w:pPr>
              <w:spacing w:after="0"/>
              <w:rPr>
                <w:rFonts w:cstheme="majorBidi"/>
              </w:rPr>
            </w:pPr>
            <w:r w:rsidRPr="005B5B88">
              <w:rPr>
                <w:rFonts w:cstheme="majorBidi"/>
              </w:rPr>
              <w:t>2025-2049</w:t>
            </w:r>
          </w:p>
        </w:tc>
      </w:tr>
      <w:tr w:rsidR="00CF6700" w:rsidRPr="005B5B88" w14:paraId="544EE0C3" w14:textId="77777777" w:rsidTr="00A61238">
        <w:tc>
          <w:tcPr>
            <w:tcW w:w="1350" w:type="pct"/>
            <w:tcBorders>
              <w:left w:val="single" w:sz="4" w:space="0" w:color="auto"/>
            </w:tcBorders>
          </w:tcPr>
          <w:p w14:paraId="22329D5D" w14:textId="77777777" w:rsidR="00CF6700" w:rsidRPr="005B5B88" w:rsidRDefault="00CF6700" w:rsidP="005B5B88">
            <w:pPr>
              <w:spacing w:after="0"/>
              <w:rPr>
                <w:rFonts w:cstheme="majorHAnsi"/>
                <w:b/>
                <w:szCs w:val="20"/>
              </w:rPr>
            </w:pPr>
            <w:r w:rsidRPr="005B5B88">
              <w:rPr>
                <w:rFonts w:cstheme="majorHAnsi"/>
              </w:rPr>
              <w:t>Incentives and Rebates</w:t>
            </w:r>
          </w:p>
        </w:tc>
        <w:tc>
          <w:tcPr>
            <w:tcW w:w="715" w:type="pct"/>
          </w:tcPr>
          <w:p w14:paraId="0ACBBDF3" w14:textId="2EA76ED0" w:rsidR="00CF6700" w:rsidRPr="005B5B88" w:rsidRDefault="00CF6700" w:rsidP="005B5B88">
            <w:pPr>
              <w:spacing w:after="0"/>
              <w:jc w:val="right"/>
              <w:rPr>
                <w:rFonts w:eastAsia="Arial Narrow" w:cs="Arial Narrow"/>
              </w:rPr>
            </w:pPr>
            <w:r w:rsidRPr="005B5B88">
              <w:t>$300</w:t>
            </w:r>
          </w:p>
        </w:tc>
        <w:tc>
          <w:tcPr>
            <w:tcW w:w="1726" w:type="pct"/>
          </w:tcPr>
          <w:p w14:paraId="4542B97E" w14:textId="77777777" w:rsidR="00CF6700" w:rsidRPr="005B5B88" w:rsidRDefault="00CF6700" w:rsidP="005B5B88">
            <w:pPr>
              <w:spacing w:after="0"/>
              <w:rPr>
                <w:rFonts w:cstheme="majorHAnsi"/>
              </w:rPr>
            </w:pPr>
            <w:r w:rsidRPr="005B5B88">
              <w:rPr>
                <w:rFonts w:cstheme="majorHAnsi"/>
              </w:rPr>
              <w:t>Positive economic effect on ratepayers</w:t>
            </w:r>
          </w:p>
        </w:tc>
        <w:tc>
          <w:tcPr>
            <w:tcW w:w="1209" w:type="pct"/>
            <w:tcBorders>
              <w:right w:val="single" w:sz="4" w:space="0" w:color="auto"/>
            </w:tcBorders>
          </w:tcPr>
          <w:p w14:paraId="2BD2E2AD" w14:textId="3BD8F219" w:rsidR="00CF6700" w:rsidRPr="005B5B88" w:rsidRDefault="00CF6700" w:rsidP="005B5B88">
            <w:pPr>
              <w:spacing w:after="0"/>
              <w:rPr>
                <w:rFonts w:cstheme="majorBidi"/>
              </w:rPr>
            </w:pPr>
            <w:r w:rsidRPr="005B5B88">
              <w:rPr>
                <w:rFonts w:cstheme="majorBidi"/>
              </w:rPr>
              <w:t>2025</w:t>
            </w:r>
          </w:p>
        </w:tc>
      </w:tr>
      <w:tr w:rsidR="00CF6700" w:rsidRPr="005B5B88" w14:paraId="63F64EA1" w14:textId="77777777" w:rsidTr="00A61238">
        <w:tc>
          <w:tcPr>
            <w:tcW w:w="1350" w:type="pct"/>
            <w:tcBorders>
              <w:left w:val="single" w:sz="4" w:space="0" w:color="auto"/>
            </w:tcBorders>
          </w:tcPr>
          <w:p w14:paraId="7111717A" w14:textId="77777777" w:rsidR="00CF6700" w:rsidRPr="005B5B88" w:rsidRDefault="00CF6700" w:rsidP="005B5B88">
            <w:pPr>
              <w:spacing w:after="0"/>
              <w:rPr>
                <w:rFonts w:cstheme="majorHAnsi"/>
                <w:b/>
                <w:szCs w:val="20"/>
              </w:rPr>
            </w:pPr>
            <w:r w:rsidRPr="005B5B88">
              <w:rPr>
                <w:rFonts w:cstheme="majorHAnsi"/>
              </w:rPr>
              <w:lastRenderedPageBreak/>
              <w:t>Net Incremental Measure Costs</w:t>
            </w:r>
          </w:p>
        </w:tc>
        <w:tc>
          <w:tcPr>
            <w:tcW w:w="715" w:type="pct"/>
          </w:tcPr>
          <w:p w14:paraId="453B50F4" w14:textId="4FF6ED72" w:rsidR="00CF6700" w:rsidRPr="005B5B88" w:rsidRDefault="00CF6700" w:rsidP="005B5B88">
            <w:pPr>
              <w:spacing w:after="0"/>
              <w:jc w:val="right"/>
              <w:rPr>
                <w:rFonts w:eastAsia="Arial Narrow" w:cs="Arial Narrow"/>
              </w:rPr>
            </w:pPr>
            <w:r w:rsidRPr="005B5B88">
              <w:t>$359</w:t>
            </w:r>
          </w:p>
        </w:tc>
        <w:tc>
          <w:tcPr>
            <w:tcW w:w="1726" w:type="pct"/>
          </w:tcPr>
          <w:p w14:paraId="0F9D6F65" w14:textId="77777777" w:rsidR="00CF6700" w:rsidRPr="005B5B88" w:rsidRDefault="00CF6700" w:rsidP="005B5B88">
            <w:pPr>
              <w:spacing w:after="0"/>
              <w:rPr>
                <w:rFonts w:cstheme="majorHAnsi"/>
                <w:szCs w:val="20"/>
              </w:rPr>
            </w:pPr>
            <w:r w:rsidRPr="005B5B88">
              <w:rPr>
                <w:rFonts w:cstheme="majorHAnsi"/>
              </w:rPr>
              <w:t>Negative economic effect on ratepayers; positive economic effect on retailers and suppliers</w:t>
            </w:r>
          </w:p>
        </w:tc>
        <w:tc>
          <w:tcPr>
            <w:tcW w:w="1209" w:type="pct"/>
            <w:tcBorders>
              <w:right w:val="single" w:sz="4" w:space="0" w:color="auto"/>
            </w:tcBorders>
          </w:tcPr>
          <w:p w14:paraId="25C7257F" w14:textId="193B1247" w:rsidR="00CF6700" w:rsidRPr="005B5B88" w:rsidRDefault="00CF6700" w:rsidP="005B5B88">
            <w:pPr>
              <w:spacing w:after="0"/>
              <w:rPr>
                <w:rFonts w:cstheme="majorBidi"/>
              </w:rPr>
            </w:pPr>
            <w:r w:rsidRPr="005B5B88">
              <w:rPr>
                <w:rFonts w:cstheme="majorBidi"/>
              </w:rPr>
              <w:t>2025</w:t>
            </w:r>
          </w:p>
        </w:tc>
      </w:tr>
      <w:tr w:rsidR="00CF6700" w:rsidRPr="005B5B88" w14:paraId="34607FA4" w14:textId="77777777" w:rsidTr="00A61238">
        <w:tc>
          <w:tcPr>
            <w:tcW w:w="1350" w:type="pct"/>
            <w:tcBorders>
              <w:left w:val="single" w:sz="4" w:space="0" w:color="auto"/>
            </w:tcBorders>
          </w:tcPr>
          <w:p w14:paraId="7B3359FD" w14:textId="77777777" w:rsidR="00CF6700" w:rsidRPr="005B5B88" w:rsidRDefault="00CF6700" w:rsidP="005B5B88">
            <w:pPr>
              <w:spacing w:after="0"/>
              <w:rPr>
                <w:rFonts w:cstheme="majorHAnsi"/>
                <w:b/>
                <w:szCs w:val="20"/>
              </w:rPr>
            </w:pPr>
            <w:r w:rsidRPr="005B5B88">
              <w:rPr>
                <w:rFonts w:cstheme="majorHAnsi"/>
              </w:rPr>
              <w:t>Program Administration Costs</w:t>
            </w:r>
          </w:p>
        </w:tc>
        <w:tc>
          <w:tcPr>
            <w:tcW w:w="715" w:type="pct"/>
          </w:tcPr>
          <w:p w14:paraId="7C104780" w14:textId="516E7E95" w:rsidR="00CF6700" w:rsidRPr="005B5B88" w:rsidRDefault="00CF6700" w:rsidP="005B5B88">
            <w:pPr>
              <w:spacing w:after="0"/>
              <w:jc w:val="right"/>
              <w:rPr>
                <w:rFonts w:eastAsia="Arial Narrow" w:cs="Arial Narrow"/>
              </w:rPr>
            </w:pPr>
            <w:r w:rsidRPr="005B5B88">
              <w:t>$99</w:t>
            </w:r>
          </w:p>
        </w:tc>
        <w:tc>
          <w:tcPr>
            <w:tcW w:w="1726" w:type="pct"/>
          </w:tcPr>
          <w:p w14:paraId="1793FECD" w14:textId="77777777" w:rsidR="00CF6700" w:rsidRPr="005B5B88" w:rsidRDefault="00CF6700" w:rsidP="005B5B88">
            <w:pPr>
              <w:spacing w:after="0"/>
              <w:rPr>
                <w:rFonts w:cstheme="majorHAnsi"/>
              </w:rPr>
            </w:pPr>
            <w:r w:rsidRPr="005B5B88">
              <w:rPr>
                <w:rFonts w:cstheme="majorHAnsi"/>
              </w:rPr>
              <w:t>Positive economic effect from utility spending</w:t>
            </w:r>
          </w:p>
        </w:tc>
        <w:tc>
          <w:tcPr>
            <w:tcW w:w="1209" w:type="pct"/>
            <w:tcBorders>
              <w:right w:val="single" w:sz="4" w:space="0" w:color="auto"/>
            </w:tcBorders>
          </w:tcPr>
          <w:p w14:paraId="23A2B758" w14:textId="42C52A23" w:rsidR="00CF6700" w:rsidRPr="005B5B88" w:rsidRDefault="00CF6700" w:rsidP="005B5B88">
            <w:pPr>
              <w:spacing w:after="0"/>
              <w:rPr>
                <w:rFonts w:cstheme="majorBidi"/>
              </w:rPr>
            </w:pPr>
            <w:r w:rsidRPr="005B5B88">
              <w:rPr>
                <w:rFonts w:cstheme="majorBidi"/>
              </w:rPr>
              <w:t>2025</w:t>
            </w:r>
          </w:p>
        </w:tc>
      </w:tr>
      <w:tr w:rsidR="00CF6700" w:rsidRPr="005B5B88" w14:paraId="0C60E41A" w14:textId="77777777" w:rsidTr="00A61238">
        <w:tc>
          <w:tcPr>
            <w:tcW w:w="1350" w:type="pct"/>
            <w:tcBorders>
              <w:left w:val="single" w:sz="4" w:space="0" w:color="auto"/>
              <w:bottom w:val="single" w:sz="4" w:space="0" w:color="auto"/>
            </w:tcBorders>
          </w:tcPr>
          <w:p w14:paraId="750D73CB" w14:textId="77777777" w:rsidR="00CF6700" w:rsidRPr="005B5B88" w:rsidRDefault="00CF6700" w:rsidP="005B5B88">
            <w:pPr>
              <w:spacing w:after="0"/>
              <w:rPr>
                <w:rFonts w:cstheme="majorHAnsi"/>
              </w:rPr>
            </w:pPr>
            <w:r w:rsidRPr="005B5B88">
              <w:rPr>
                <w:rFonts w:cstheme="majorHAnsi"/>
              </w:rPr>
              <w:t>Voltage Optimization (Capital Expenditures)</w:t>
            </w:r>
          </w:p>
        </w:tc>
        <w:tc>
          <w:tcPr>
            <w:tcW w:w="715" w:type="pct"/>
            <w:tcBorders>
              <w:bottom w:val="single" w:sz="4" w:space="0" w:color="auto"/>
            </w:tcBorders>
          </w:tcPr>
          <w:p w14:paraId="20201BF3" w14:textId="22D1C7AC" w:rsidR="00CF6700" w:rsidRPr="005B5B88" w:rsidRDefault="00A36528" w:rsidP="005B5B88">
            <w:pPr>
              <w:spacing w:after="0"/>
              <w:jc w:val="right"/>
              <w:rPr>
                <w:rFonts w:eastAsia="Arial Narrow" w:cs="Arial Narrow"/>
              </w:rPr>
            </w:pPr>
            <w:r w:rsidRPr="005B5B88">
              <w:t>TBD</w:t>
            </w:r>
          </w:p>
        </w:tc>
        <w:tc>
          <w:tcPr>
            <w:tcW w:w="1726" w:type="pct"/>
            <w:tcBorders>
              <w:bottom w:val="single" w:sz="4" w:space="0" w:color="auto"/>
            </w:tcBorders>
          </w:tcPr>
          <w:p w14:paraId="0ADCEDA8" w14:textId="77777777" w:rsidR="00CF6700" w:rsidRPr="005B5B88" w:rsidRDefault="00CF6700" w:rsidP="005B5B88">
            <w:pPr>
              <w:spacing w:after="0"/>
              <w:rPr>
                <w:rFonts w:cstheme="majorHAnsi"/>
              </w:rPr>
            </w:pPr>
            <w:r w:rsidRPr="005B5B88">
              <w:rPr>
                <w:rFonts w:cstheme="majorHAnsi"/>
              </w:rPr>
              <w:t>Positive economic effect from utility spending</w:t>
            </w:r>
          </w:p>
        </w:tc>
        <w:tc>
          <w:tcPr>
            <w:tcW w:w="1209" w:type="pct"/>
            <w:tcBorders>
              <w:bottom w:val="single" w:sz="4" w:space="0" w:color="auto"/>
              <w:right w:val="single" w:sz="4" w:space="0" w:color="auto"/>
            </w:tcBorders>
          </w:tcPr>
          <w:p w14:paraId="5895F83B" w14:textId="7103E30D" w:rsidR="00CF6700" w:rsidRPr="005B5B88" w:rsidRDefault="00CF6700" w:rsidP="005B5B88">
            <w:pPr>
              <w:spacing w:after="0"/>
              <w:rPr>
                <w:rFonts w:cstheme="majorBidi"/>
              </w:rPr>
            </w:pPr>
            <w:r w:rsidRPr="005B5B88">
              <w:rPr>
                <w:rFonts w:cstheme="majorBidi"/>
              </w:rPr>
              <w:t>2025</w:t>
            </w:r>
          </w:p>
        </w:tc>
      </w:tr>
    </w:tbl>
    <w:p w14:paraId="7C1B65CD" w14:textId="1DC44B24" w:rsidR="00C435AC" w:rsidRPr="00DF161F" w:rsidRDefault="00C435AC" w:rsidP="00C435AC">
      <w:pPr>
        <w:pStyle w:val="Source"/>
        <w:rPr>
          <w:rFonts w:asciiTheme="majorHAnsi" w:hAnsiTheme="majorHAnsi" w:cstheme="majorBidi"/>
        </w:rPr>
      </w:pPr>
      <w:r w:rsidRPr="339C1A46">
        <w:rPr>
          <w:rFonts w:asciiTheme="majorHAnsi" w:hAnsiTheme="majorHAnsi" w:cstheme="majorBidi"/>
        </w:rPr>
        <w:t>Source: Guidehouse analysis of ComEd CY</w:t>
      </w:r>
      <w:r w:rsidR="00BD3D61">
        <w:rPr>
          <w:rFonts w:asciiTheme="majorHAnsi" w:hAnsiTheme="majorHAnsi" w:cstheme="majorBidi"/>
        </w:rPr>
        <w:t>2025</w:t>
      </w:r>
      <w:r w:rsidRPr="339C1A46">
        <w:rPr>
          <w:rFonts w:asciiTheme="majorHAnsi" w:hAnsiTheme="majorHAnsi" w:cstheme="majorBidi"/>
        </w:rPr>
        <w:t xml:space="preserve"> Data</w:t>
      </w:r>
    </w:p>
    <w:p w14:paraId="421D57B1" w14:textId="77777777" w:rsidR="00C435AC" w:rsidRPr="00DF161F" w:rsidRDefault="00C435AC" w:rsidP="00C435AC">
      <w:pPr>
        <w:rPr>
          <w:rFonts w:asciiTheme="majorHAnsi" w:hAnsiTheme="majorHAnsi" w:cstheme="majorHAnsi"/>
        </w:rPr>
      </w:pPr>
    </w:p>
    <w:p w14:paraId="4D03D8D1" w14:textId="583A467B" w:rsidR="00C435AC" w:rsidRPr="00495218" w:rsidRDefault="00C435AC" w:rsidP="00495218">
      <w:pPr>
        <w:rPr>
          <w:rStyle w:val="Strong"/>
          <w:b w:val="0"/>
          <w:bCs w:val="0"/>
        </w:rPr>
      </w:pPr>
      <w:r w:rsidRPr="00DF161F">
        <w:t>Each impact category is described in more depth below.</w:t>
      </w:r>
    </w:p>
    <w:p w14:paraId="5D466385" w14:textId="77777777" w:rsidR="000A5752" w:rsidRDefault="00C435AC" w:rsidP="000A5752">
      <w:pPr>
        <w:pStyle w:val="ListParagraph"/>
      </w:pPr>
      <w:r w:rsidRPr="000B1CED">
        <w:rPr>
          <w:rStyle w:val="Strong"/>
          <w:lang w:val="en-IN"/>
        </w:rPr>
        <w:t>Bill Savings</w:t>
      </w:r>
      <w:r w:rsidRPr="000B1CED">
        <w:rPr>
          <w:rStyle w:val="Strong"/>
          <w:b w:val="0"/>
          <w:bCs w:val="0"/>
          <w:lang w:val="en-IN"/>
        </w:rPr>
        <w:t>:</w:t>
      </w:r>
      <w:r w:rsidRPr="00F55607">
        <w:t xml:space="preserve"> This category represents the monetized savings that program participants realize from their</w:t>
      </w:r>
      <w:r w:rsidR="000B1CED">
        <w:t xml:space="preserve"> </w:t>
      </w:r>
      <w:r w:rsidRPr="00F55607">
        <w:t>energy efficiency improvements. Bill savings are monetized by multiplying the net verified savings values</w:t>
      </w:r>
      <w:r w:rsidRPr="00F55607">
        <w:rPr>
          <w:rStyle w:val="FootnoteReference"/>
        </w:rPr>
        <w:footnoteReference w:id="10"/>
      </w:r>
      <w:r w:rsidRPr="00F55607">
        <w:t xml:space="preserve"> by each </w:t>
      </w:r>
      <w:proofErr w:type="gramStart"/>
      <w:r w:rsidRPr="00F55607">
        <w:t>customers’</w:t>
      </w:r>
      <w:proofErr w:type="gramEnd"/>
      <w:r w:rsidRPr="00F55607">
        <w:t xml:space="preserve"> applicable unit energy cost.</w:t>
      </w:r>
      <w:r w:rsidRPr="005267F8">
        <w:rPr>
          <w:rStyle w:val="FootnoteReference"/>
        </w:rPr>
        <w:footnoteReference w:id="11"/>
      </w:r>
      <w:r w:rsidRPr="00AB4399">
        <w:t xml:space="preserve"> </w:t>
      </w:r>
      <w:r w:rsidRPr="00F55607">
        <w:t>Bill savings are realized through the lifetime of the measure as a positive cash flow to the participants.</w:t>
      </w:r>
    </w:p>
    <w:p w14:paraId="6EAC3573" w14:textId="77777777" w:rsidR="000A5752" w:rsidRDefault="00C435AC" w:rsidP="000A5752">
      <w:pPr>
        <w:pStyle w:val="ListParagraph"/>
      </w:pPr>
      <w:r w:rsidRPr="000A5752">
        <w:rPr>
          <w:rStyle w:val="Strong"/>
          <w:lang w:val="en-IN"/>
        </w:rPr>
        <w:t>Program Funding</w:t>
      </w:r>
      <w:r w:rsidRPr="000A5752">
        <w:rPr>
          <w:rStyle w:val="Strong"/>
          <w:b w:val="0"/>
          <w:bCs w:val="0"/>
          <w:lang w:val="en-IN"/>
        </w:rPr>
        <w:t>:</w:t>
      </w:r>
      <w:r w:rsidRPr="00F55607">
        <w:t xml:space="preserve"> This category represents the bill surcharges</w:t>
      </w:r>
      <w:r w:rsidRPr="00407614">
        <w:rPr>
          <w:rStyle w:val="FootnoteReference"/>
        </w:rPr>
        <w:footnoteReference w:id="12"/>
      </w:r>
      <w:r w:rsidRPr="00F55607">
        <w:t xml:space="preserve"> collected from all ratepayers to fund the utility programs.</w:t>
      </w:r>
    </w:p>
    <w:p w14:paraId="066829FA" w14:textId="77777777" w:rsidR="000A5752" w:rsidRDefault="00C435AC" w:rsidP="000A5752">
      <w:pPr>
        <w:pStyle w:val="ListParagraph"/>
      </w:pPr>
      <w:r w:rsidRPr="000A5752">
        <w:rPr>
          <w:rStyle w:val="Strong"/>
          <w:lang w:val="en-IN"/>
        </w:rPr>
        <w:t>Net Ratepayer Bill Savings</w:t>
      </w:r>
      <w:r w:rsidRPr="000A5752">
        <w:rPr>
          <w:rStyle w:val="Strong"/>
          <w:b w:val="0"/>
          <w:bCs w:val="0"/>
          <w:lang w:val="en-IN"/>
        </w:rPr>
        <w:t>:</w:t>
      </w:r>
      <w:r w:rsidRPr="00F55607">
        <w:t xml:space="preserve"> This is the net positive bill savings realized by all ratepayers: bill savings less program funding charges.</w:t>
      </w:r>
    </w:p>
    <w:p w14:paraId="4956D788" w14:textId="77777777" w:rsidR="000A5752" w:rsidRDefault="00C435AC" w:rsidP="000A5752">
      <w:pPr>
        <w:pStyle w:val="ListParagraph"/>
      </w:pPr>
      <w:r w:rsidRPr="000A5752">
        <w:rPr>
          <w:rStyle w:val="Strong"/>
          <w:lang w:val="en-IN"/>
        </w:rPr>
        <w:t>Lost Utility Fuel and Transportation Expenditures</w:t>
      </w:r>
      <w:r w:rsidRPr="000A5752">
        <w:rPr>
          <w:rStyle w:val="Strong"/>
          <w:b w:val="0"/>
          <w:bCs w:val="0"/>
          <w:lang w:val="en-IN"/>
        </w:rPr>
        <w:t>:</w:t>
      </w:r>
      <w:r w:rsidRPr="00F55607">
        <w:t xml:space="preserve"> This category represents decreased expenditures on fuel and transportation (and therefore decreased job creation) due to decreased electric generation </w:t>
      </w:r>
      <w:proofErr w:type="gramStart"/>
      <w:r w:rsidRPr="00F55607">
        <w:t>as a result of</w:t>
      </w:r>
      <w:proofErr w:type="gramEnd"/>
      <w:r w:rsidRPr="00F55607">
        <w:t xml:space="preserve"> energy efficiency measures.</w:t>
      </w:r>
      <w:r w:rsidRPr="00407614">
        <w:rPr>
          <w:rStyle w:val="FootnoteReference"/>
        </w:rPr>
        <w:footnoteReference w:id="13"/>
      </w:r>
      <w:r w:rsidRPr="00F55607">
        <w:t xml:space="preserve"> </w:t>
      </w:r>
    </w:p>
    <w:p w14:paraId="62F91F11" w14:textId="33CBFA93" w:rsidR="000A5752" w:rsidRDefault="00C435AC" w:rsidP="000A5752">
      <w:pPr>
        <w:pStyle w:val="ListParagraph"/>
      </w:pPr>
      <w:r w:rsidRPr="00371C4E">
        <w:rPr>
          <w:rStyle w:val="Strong"/>
          <w:lang w:val="en-IN"/>
        </w:rPr>
        <w:t>I</w:t>
      </w:r>
      <w:r w:rsidRPr="000A5752">
        <w:rPr>
          <w:rStyle w:val="Strong"/>
          <w:lang w:val="en-IN"/>
        </w:rPr>
        <w:t>ncentives and Rebates</w:t>
      </w:r>
      <w:r w:rsidRPr="000A5752">
        <w:rPr>
          <w:rStyle w:val="Strong"/>
          <w:b w:val="0"/>
          <w:bCs w:val="0"/>
          <w:lang w:val="en-IN"/>
        </w:rPr>
        <w:t>:</w:t>
      </w:r>
      <w:r w:rsidRPr="00F55607">
        <w:t xml:space="preserve"> These categories represent payments made by the utility to program energy efficiency service providers and contractors as part of the installation of energy efficiency measures in CY</w:t>
      </w:r>
      <w:r w:rsidR="00BD3D61">
        <w:t>2025</w:t>
      </w:r>
      <w:r w:rsidRPr="00F55607">
        <w:t xml:space="preserve"> and rebate payments made by the utility to program participants in CY</w:t>
      </w:r>
      <w:r w:rsidR="00BD3D61">
        <w:t>2025</w:t>
      </w:r>
      <w:r w:rsidRPr="00F55607">
        <w:t>.</w:t>
      </w:r>
      <w:r w:rsidRPr="00407614">
        <w:rPr>
          <w:rStyle w:val="FootnoteReference"/>
        </w:rPr>
        <w:footnoteReference w:id="14"/>
      </w:r>
    </w:p>
    <w:p w14:paraId="3605CAB1" w14:textId="69F8A4B0" w:rsidR="000A5752" w:rsidRDefault="00C435AC" w:rsidP="000A5752">
      <w:pPr>
        <w:pStyle w:val="ListParagraph"/>
      </w:pPr>
      <w:r w:rsidRPr="000A5752">
        <w:rPr>
          <w:rStyle w:val="Strong"/>
          <w:lang w:val="en-IN"/>
        </w:rPr>
        <w:t>Net Incremental Measure Costs</w:t>
      </w:r>
      <w:r w:rsidRPr="000A5752">
        <w:rPr>
          <w:rStyle w:val="Strong"/>
          <w:b w:val="0"/>
          <w:bCs w:val="0"/>
          <w:lang w:val="en-IN"/>
        </w:rPr>
        <w:t>:</w:t>
      </w:r>
      <w:r w:rsidRPr="00F55607">
        <w:t xml:space="preserve"> This category is the sum of all incremental measure costs that program participants expended on energy efficiency projects through ComEd’s portfolio in CY</w:t>
      </w:r>
      <w:r w:rsidR="00BD3D61">
        <w:t>2025</w:t>
      </w:r>
      <w:r w:rsidRPr="00F55607">
        <w:t xml:space="preserve">. As in verified cost-effectiveness analysis, incremental measure costs used in this analysis are net costs calculated using SAG-approved net-to-gross (NTG) values. From the perspective of the participants, this is a negative cash flow as they </w:t>
      </w:r>
      <w:proofErr w:type="gramStart"/>
      <w:r w:rsidRPr="00F55607">
        <w:t>expend</w:t>
      </w:r>
      <w:proofErr w:type="gramEnd"/>
      <w:r w:rsidRPr="00F55607">
        <w:t xml:space="preserve"> money implementing a project. From the perspective of </w:t>
      </w:r>
      <w:r w:rsidRPr="00F55607">
        <w:lastRenderedPageBreak/>
        <w:t>contractors, energy efficiency service providers, and distributors this is a positive cash flow as they receive income from sales of energy efficiency products and services.</w:t>
      </w:r>
    </w:p>
    <w:p w14:paraId="447A2FA9" w14:textId="77777777" w:rsidR="000A5752" w:rsidRDefault="00C435AC" w:rsidP="000A5752">
      <w:pPr>
        <w:pStyle w:val="ListParagraph"/>
      </w:pPr>
      <w:r w:rsidRPr="000A5752">
        <w:rPr>
          <w:rStyle w:val="Strong"/>
          <w:lang w:val="en-IN"/>
        </w:rPr>
        <w:t>Program Administration Costs</w:t>
      </w:r>
      <w:r w:rsidRPr="000A5752">
        <w:rPr>
          <w:rStyle w:val="Strong"/>
          <w:b w:val="0"/>
          <w:bCs w:val="0"/>
          <w:lang w:val="en-IN"/>
        </w:rPr>
        <w:t>:</w:t>
      </w:r>
      <w:r w:rsidRPr="00F55607">
        <w:t xml:space="preserve"> This category models a positive economic impact generated from utility expenditures on program administration.</w:t>
      </w:r>
      <w:r w:rsidRPr="00161D10">
        <w:rPr>
          <w:rStyle w:val="FootnoteReference"/>
        </w:rPr>
        <w:footnoteReference w:id="15"/>
      </w:r>
    </w:p>
    <w:p w14:paraId="133897A4" w14:textId="77777777" w:rsidR="00C435AC" w:rsidRPr="00DF161F" w:rsidRDefault="00C435AC" w:rsidP="00C435AC">
      <w:pPr>
        <w:pStyle w:val="Heading2"/>
        <w:rPr>
          <w:rFonts w:asciiTheme="majorHAnsi" w:hAnsiTheme="majorHAnsi" w:cstheme="majorHAnsi"/>
        </w:rPr>
      </w:pPr>
      <w:r w:rsidRPr="00DF161F">
        <w:rPr>
          <w:rFonts w:asciiTheme="majorHAnsi" w:hAnsiTheme="majorHAnsi" w:cstheme="majorHAnsi"/>
        </w:rPr>
        <w:t xml:space="preserve">Employment Impacts </w:t>
      </w:r>
    </w:p>
    <w:p w14:paraId="7D1E27D2" w14:textId="450ABC33" w:rsidR="00C435AC" w:rsidRPr="00DF161F" w:rsidRDefault="00C435AC" w:rsidP="00C435AC">
      <w:pPr>
        <w:rPr>
          <w:rFonts w:asciiTheme="majorHAnsi" w:hAnsiTheme="majorHAnsi" w:cstheme="majorBidi"/>
        </w:rPr>
      </w:pPr>
      <w:r w:rsidRPr="339C1A46">
        <w:rPr>
          <w:rFonts w:asciiTheme="majorHAnsi" w:hAnsiTheme="majorHAnsi" w:cstheme="majorBidi"/>
        </w:rPr>
        <w:fldChar w:fldCharType="begin"/>
      </w:r>
      <w:r w:rsidRPr="339C1A46">
        <w:rPr>
          <w:rFonts w:asciiTheme="majorHAnsi" w:hAnsiTheme="majorHAnsi" w:cstheme="majorBidi"/>
        </w:rPr>
        <w:instrText xml:space="preserve"> REF _Ref170469401 \h </w:instrText>
      </w:r>
      <w:r w:rsidRPr="339C1A46">
        <w:rPr>
          <w:rFonts w:asciiTheme="majorHAnsi" w:hAnsiTheme="majorHAnsi" w:cstheme="majorBidi"/>
        </w:rPr>
      </w:r>
      <w:r w:rsidRPr="339C1A46">
        <w:rPr>
          <w:rFonts w:asciiTheme="majorHAnsi" w:hAnsiTheme="majorHAnsi" w:cstheme="majorBidi"/>
        </w:rPr>
        <w:fldChar w:fldCharType="separate"/>
      </w:r>
      <w:r>
        <w:t xml:space="preserve">Table </w:t>
      </w:r>
      <w:r>
        <w:rPr>
          <w:noProof/>
        </w:rPr>
        <w:t>2</w:t>
      </w:r>
      <w:r w:rsidRPr="339C1A46">
        <w:rPr>
          <w:rFonts w:asciiTheme="majorHAnsi" w:hAnsiTheme="majorHAnsi" w:cstheme="majorBidi"/>
        </w:rPr>
        <w:fldChar w:fldCharType="end"/>
      </w:r>
      <w:r w:rsidRPr="339C1A46">
        <w:rPr>
          <w:rFonts w:asciiTheme="majorHAnsi" w:hAnsiTheme="majorHAnsi" w:cstheme="majorBidi"/>
        </w:rPr>
        <w:t xml:space="preserve"> presents a summary of the employment impacts of the CY</w:t>
      </w:r>
      <w:r w:rsidR="00BD3D61">
        <w:rPr>
          <w:rFonts w:asciiTheme="majorHAnsi" w:hAnsiTheme="majorHAnsi" w:cstheme="majorBidi"/>
        </w:rPr>
        <w:t>2025</w:t>
      </w:r>
      <w:r w:rsidRPr="339C1A46">
        <w:rPr>
          <w:rFonts w:asciiTheme="majorHAnsi" w:hAnsiTheme="majorHAnsi" w:cstheme="majorBidi"/>
        </w:rPr>
        <w:t xml:space="preserve"> investments for all programs separated into direct, indirect, and induced effects. Because the programs produce long-term economic impacts </w:t>
      </w:r>
      <w:proofErr w:type="gramStart"/>
      <w:r w:rsidRPr="339C1A46">
        <w:rPr>
          <w:rFonts w:asciiTheme="majorHAnsi" w:hAnsiTheme="majorHAnsi" w:cstheme="majorBidi"/>
        </w:rPr>
        <w:t>as a result of</w:t>
      </w:r>
      <w:proofErr w:type="gramEnd"/>
      <w:r w:rsidRPr="339C1A46">
        <w:rPr>
          <w:rFonts w:asciiTheme="majorHAnsi" w:hAnsiTheme="majorHAnsi" w:cstheme="majorBidi"/>
        </w:rPr>
        <w:t xml:space="preserve"> persisting energy savings, employment impacts produced are not confined to a particular year but occur over the </w:t>
      </w:r>
      <w:r w:rsidR="00BD3D61">
        <w:rPr>
          <w:rFonts w:asciiTheme="majorHAnsi" w:hAnsiTheme="majorHAnsi" w:cstheme="majorBidi"/>
        </w:rPr>
        <w:t>2025</w:t>
      </w:r>
      <w:r w:rsidRPr="339C1A46">
        <w:rPr>
          <w:rFonts w:asciiTheme="majorHAnsi" w:hAnsiTheme="majorHAnsi" w:cstheme="majorBidi"/>
        </w:rPr>
        <w:t>-</w:t>
      </w:r>
      <w:r w:rsidR="00BD3D61">
        <w:rPr>
          <w:rFonts w:asciiTheme="majorHAnsi" w:hAnsiTheme="majorHAnsi" w:cstheme="majorBidi"/>
        </w:rPr>
        <w:t>2049</w:t>
      </w:r>
      <w:r w:rsidRPr="339C1A46">
        <w:rPr>
          <w:rFonts w:asciiTheme="majorHAnsi" w:hAnsiTheme="majorHAnsi" w:cstheme="majorBidi"/>
        </w:rPr>
        <w:t xml:space="preserve"> </w:t>
      </w:r>
      <w:proofErr w:type="gramStart"/>
      <w:r w:rsidRPr="339C1A46">
        <w:rPr>
          <w:rFonts w:asciiTheme="majorHAnsi" w:hAnsiTheme="majorHAnsi" w:cstheme="majorBidi"/>
        </w:rPr>
        <w:t>time period</w:t>
      </w:r>
      <w:proofErr w:type="gramEnd"/>
      <w:r w:rsidRPr="339C1A46">
        <w:rPr>
          <w:rFonts w:asciiTheme="majorHAnsi" w:hAnsiTheme="majorHAnsi" w:cstheme="majorBidi"/>
        </w:rPr>
        <w:t>.</w:t>
      </w:r>
      <w:bookmarkStart w:id="4" w:name="_Ref74654697"/>
    </w:p>
    <w:p w14:paraId="2B417986" w14:textId="612FB8B1" w:rsidR="00C435AC" w:rsidRPr="00DF161F" w:rsidRDefault="00C435AC" w:rsidP="00C435AC">
      <w:pPr>
        <w:pStyle w:val="Caption"/>
        <w:rPr>
          <w:rFonts w:asciiTheme="majorHAnsi" w:hAnsiTheme="majorHAnsi" w:cstheme="majorBidi"/>
          <w:b w:val="0"/>
          <w:bCs/>
        </w:rPr>
      </w:pPr>
      <w:bookmarkStart w:id="5" w:name="_Ref170469401"/>
      <w:r>
        <w:t xml:space="preserve">Table </w:t>
      </w:r>
      <w:r>
        <w:fldChar w:fldCharType="begin"/>
      </w:r>
      <w:r>
        <w:instrText xml:space="preserve"> SEQ Table \* ARABIC </w:instrText>
      </w:r>
      <w:r>
        <w:fldChar w:fldCharType="separate"/>
      </w:r>
      <w:r w:rsidRPr="339C1A46">
        <w:rPr>
          <w:noProof/>
        </w:rPr>
        <w:t>2</w:t>
      </w:r>
      <w:r>
        <w:fldChar w:fldCharType="end"/>
      </w:r>
      <w:bookmarkEnd w:id="5"/>
      <w:r>
        <w:t xml:space="preserve">. </w:t>
      </w:r>
      <w:r w:rsidRPr="339C1A46">
        <w:rPr>
          <w:rFonts w:asciiTheme="majorHAnsi" w:hAnsiTheme="majorHAnsi" w:cstheme="majorBidi"/>
        </w:rPr>
        <w:t xml:space="preserve">Cumulative </w:t>
      </w:r>
      <w:r w:rsidR="00BD3D61">
        <w:rPr>
          <w:rFonts w:asciiTheme="majorHAnsi" w:hAnsiTheme="majorHAnsi" w:cstheme="majorBidi"/>
        </w:rPr>
        <w:t>2025</w:t>
      </w:r>
      <w:r w:rsidRPr="339C1A46">
        <w:rPr>
          <w:rFonts w:asciiTheme="majorHAnsi" w:hAnsiTheme="majorHAnsi" w:cstheme="majorBidi"/>
        </w:rPr>
        <w:t>-</w:t>
      </w:r>
      <w:r w:rsidR="00BD3D61">
        <w:rPr>
          <w:rFonts w:asciiTheme="majorHAnsi" w:hAnsiTheme="majorHAnsi" w:cstheme="majorBidi"/>
        </w:rPr>
        <w:t>2049</w:t>
      </w:r>
      <w:r w:rsidRPr="339C1A46">
        <w:rPr>
          <w:rFonts w:asciiTheme="majorHAnsi" w:hAnsiTheme="majorHAnsi" w:cstheme="majorBidi"/>
        </w:rPr>
        <w:t xml:space="preserve"> Employment Impacts</w:t>
      </w:r>
    </w:p>
    <w:tbl>
      <w:tblPr>
        <w:tblStyle w:val="GHCustom"/>
        <w:tblW w:w="2900" w:type="pct"/>
        <w:jc w:val="center"/>
        <w:tblLayout w:type="fixed"/>
        <w:tblLook w:val="04A0" w:firstRow="1" w:lastRow="0" w:firstColumn="1" w:lastColumn="0" w:noHBand="0" w:noVBand="1"/>
      </w:tblPr>
      <w:tblGrid>
        <w:gridCol w:w="1963"/>
        <w:gridCol w:w="1590"/>
        <w:gridCol w:w="1870"/>
      </w:tblGrid>
      <w:tr w:rsidR="00C435AC" w:rsidRPr="008940E4" w14:paraId="44945EE0" w14:textId="77777777" w:rsidTr="000B00D1">
        <w:trPr>
          <w:cnfStyle w:val="100000000000" w:firstRow="1" w:lastRow="0" w:firstColumn="0" w:lastColumn="0" w:oddVBand="0" w:evenVBand="0" w:oddHBand="0" w:evenHBand="0" w:firstRowFirstColumn="0" w:firstRowLastColumn="0" w:lastRowFirstColumn="0" w:lastRowLastColumn="0"/>
          <w:trHeight w:val="530"/>
          <w:jc w:val="center"/>
        </w:trPr>
        <w:tc>
          <w:tcPr>
            <w:tcW w:w="1810" w:type="pct"/>
            <w:tcBorders>
              <w:top w:val="single" w:sz="4" w:space="0" w:color="auto"/>
              <w:left w:val="single" w:sz="4" w:space="0" w:color="auto"/>
            </w:tcBorders>
            <w:vAlign w:val="center"/>
            <w:hideMark/>
          </w:tcPr>
          <w:p w14:paraId="09DFD55C" w14:textId="77777777" w:rsidR="00C435AC" w:rsidRPr="008940E4" w:rsidRDefault="00C435AC" w:rsidP="000B00D1">
            <w:pPr>
              <w:keepNext/>
              <w:rPr>
                <w:rFonts w:cstheme="majorBidi"/>
                <w:color w:val="FFFFFF" w:themeColor="background1"/>
              </w:rPr>
            </w:pPr>
            <w:r w:rsidRPr="008940E4">
              <w:rPr>
                <w:rFonts w:cstheme="majorBidi"/>
                <w:color w:val="FFFFFF" w:themeColor="background1"/>
              </w:rPr>
              <w:t>Impact Type</w:t>
            </w:r>
          </w:p>
        </w:tc>
        <w:tc>
          <w:tcPr>
            <w:tcW w:w="1466" w:type="pct"/>
            <w:tcBorders>
              <w:top w:val="single" w:sz="4" w:space="0" w:color="auto"/>
            </w:tcBorders>
            <w:vAlign w:val="center"/>
            <w:hideMark/>
          </w:tcPr>
          <w:p w14:paraId="6B08EF6E" w14:textId="23E6981F" w:rsidR="00C435AC" w:rsidRPr="008940E4" w:rsidRDefault="00C435AC" w:rsidP="000B00D1">
            <w:pPr>
              <w:keepNext/>
              <w:jc w:val="right"/>
              <w:rPr>
                <w:rFonts w:cstheme="majorBidi"/>
                <w:color w:val="FFFFFF" w:themeColor="background1"/>
              </w:rPr>
            </w:pPr>
            <w:r w:rsidRPr="008940E4">
              <w:rPr>
                <w:rFonts w:cstheme="majorBidi"/>
                <w:color w:val="FFFFFF" w:themeColor="background1"/>
              </w:rPr>
              <w:t>Job Years (</w:t>
            </w:r>
            <w:r w:rsidR="00BD3D61" w:rsidRPr="008940E4">
              <w:rPr>
                <w:rFonts w:cstheme="majorBidi"/>
                <w:color w:val="FFFFFF" w:themeColor="background1"/>
              </w:rPr>
              <w:t>2025</w:t>
            </w:r>
            <w:r w:rsidRPr="008940E4">
              <w:rPr>
                <w:rFonts w:cstheme="majorBidi"/>
                <w:color w:val="FFFFFF" w:themeColor="background1"/>
              </w:rPr>
              <w:t>-</w:t>
            </w:r>
            <w:r w:rsidR="00BD3D61" w:rsidRPr="008940E4">
              <w:rPr>
                <w:rFonts w:cstheme="majorBidi"/>
                <w:color w:val="FFFFFF" w:themeColor="background1"/>
              </w:rPr>
              <w:t>2049</w:t>
            </w:r>
            <w:r w:rsidRPr="008940E4">
              <w:rPr>
                <w:rFonts w:cstheme="majorBidi"/>
                <w:color w:val="FFFFFF" w:themeColor="background1"/>
              </w:rPr>
              <w:t>)</w:t>
            </w:r>
            <w:r w:rsidRPr="008940E4">
              <w:rPr>
                <w:rStyle w:val="CommentReference"/>
                <w:rFonts w:cstheme="majorBidi"/>
                <w:b w:val="0"/>
              </w:rPr>
              <w:t xml:space="preserve"> </w:t>
            </w:r>
          </w:p>
        </w:tc>
        <w:tc>
          <w:tcPr>
            <w:tcW w:w="1724" w:type="pct"/>
            <w:tcBorders>
              <w:top w:val="single" w:sz="4" w:space="0" w:color="auto"/>
              <w:right w:val="single" w:sz="4" w:space="0" w:color="auto"/>
            </w:tcBorders>
            <w:vAlign w:val="center"/>
            <w:hideMark/>
          </w:tcPr>
          <w:p w14:paraId="50D633F7" w14:textId="77777777" w:rsidR="00C435AC" w:rsidRPr="008940E4" w:rsidRDefault="00C435AC" w:rsidP="000B00D1">
            <w:pPr>
              <w:keepNext/>
              <w:jc w:val="right"/>
              <w:rPr>
                <w:rFonts w:cstheme="majorHAnsi"/>
                <w:color w:val="FFFFFF" w:themeColor="background1"/>
                <w:szCs w:val="20"/>
              </w:rPr>
            </w:pPr>
            <w:r w:rsidRPr="008940E4">
              <w:rPr>
                <w:rFonts w:cstheme="majorHAnsi"/>
                <w:color w:val="FFFFFF" w:themeColor="background1"/>
                <w:szCs w:val="20"/>
              </w:rPr>
              <w:t>% Of Total</w:t>
            </w:r>
          </w:p>
        </w:tc>
      </w:tr>
      <w:tr w:rsidR="00870D92" w:rsidRPr="008940E4" w14:paraId="657137D9" w14:textId="77777777" w:rsidTr="000B00D1">
        <w:trPr>
          <w:trHeight w:val="310"/>
          <w:jc w:val="center"/>
        </w:trPr>
        <w:tc>
          <w:tcPr>
            <w:tcW w:w="1810" w:type="pct"/>
            <w:tcBorders>
              <w:left w:val="single" w:sz="4" w:space="0" w:color="auto"/>
            </w:tcBorders>
            <w:vAlign w:val="center"/>
            <w:hideMark/>
          </w:tcPr>
          <w:p w14:paraId="0B08908B" w14:textId="77777777" w:rsidR="00870D92" w:rsidRPr="008940E4" w:rsidRDefault="00870D92" w:rsidP="000B00D1">
            <w:pPr>
              <w:keepNext/>
              <w:spacing w:after="0"/>
              <w:rPr>
                <w:rFonts w:cstheme="majorHAnsi"/>
                <w:szCs w:val="20"/>
              </w:rPr>
            </w:pPr>
            <w:r w:rsidRPr="008940E4">
              <w:rPr>
                <w:rFonts w:cstheme="majorHAnsi"/>
              </w:rPr>
              <w:t>Direct</w:t>
            </w:r>
          </w:p>
        </w:tc>
        <w:tc>
          <w:tcPr>
            <w:tcW w:w="1466" w:type="pct"/>
            <w:vAlign w:val="center"/>
            <w:hideMark/>
          </w:tcPr>
          <w:p w14:paraId="629DDDD1" w14:textId="757A7DDC" w:rsidR="00870D92" w:rsidRPr="008940E4" w:rsidRDefault="00870D92" w:rsidP="000B00D1">
            <w:pPr>
              <w:spacing w:after="0"/>
              <w:jc w:val="right"/>
              <w:rPr>
                <w:rFonts w:eastAsia="Arial Narrow" w:cs="Arial Narrow"/>
                <w:color w:val="000000" w:themeColor="text1"/>
              </w:rPr>
            </w:pPr>
            <w:r w:rsidRPr="008940E4">
              <w:t xml:space="preserve"> 6,893 </w:t>
            </w:r>
          </w:p>
        </w:tc>
        <w:tc>
          <w:tcPr>
            <w:tcW w:w="1724" w:type="pct"/>
            <w:tcBorders>
              <w:right w:val="single" w:sz="4" w:space="0" w:color="auto"/>
            </w:tcBorders>
            <w:vAlign w:val="center"/>
            <w:hideMark/>
          </w:tcPr>
          <w:p w14:paraId="5D53730A" w14:textId="77777777" w:rsidR="00870D92" w:rsidRPr="008940E4" w:rsidRDefault="00870D92" w:rsidP="000B00D1">
            <w:pPr>
              <w:spacing w:after="0"/>
              <w:jc w:val="right"/>
              <w:rPr>
                <w:rFonts w:eastAsia="Arial Narrow" w:cs="Arial Narrow"/>
                <w:color w:val="000000" w:themeColor="text1"/>
              </w:rPr>
            </w:pPr>
            <w:r w:rsidRPr="008940E4">
              <w:rPr>
                <w:rFonts w:cs="Calibri"/>
                <w:color w:val="000000"/>
              </w:rPr>
              <w:t>25%</w:t>
            </w:r>
          </w:p>
        </w:tc>
      </w:tr>
      <w:tr w:rsidR="00870D92" w:rsidRPr="008940E4" w14:paraId="2D66FB9C" w14:textId="77777777" w:rsidTr="000B00D1">
        <w:trPr>
          <w:trHeight w:val="300"/>
          <w:jc w:val="center"/>
        </w:trPr>
        <w:tc>
          <w:tcPr>
            <w:tcW w:w="1810" w:type="pct"/>
            <w:tcBorders>
              <w:left w:val="single" w:sz="4" w:space="0" w:color="auto"/>
            </w:tcBorders>
            <w:vAlign w:val="center"/>
            <w:hideMark/>
          </w:tcPr>
          <w:p w14:paraId="43786B48" w14:textId="77777777" w:rsidR="00870D92" w:rsidRPr="008940E4" w:rsidRDefault="00870D92" w:rsidP="000B00D1">
            <w:pPr>
              <w:keepNext/>
              <w:spacing w:after="0"/>
              <w:rPr>
                <w:rFonts w:cstheme="majorHAnsi"/>
                <w:szCs w:val="20"/>
              </w:rPr>
            </w:pPr>
            <w:r w:rsidRPr="008940E4">
              <w:rPr>
                <w:rFonts w:cstheme="majorHAnsi"/>
              </w:rPr>
              <w:t>Indirect</w:t>
            </w:r>
          </w:p>
        </w:tc>
        <w:tc>
          <w:tcPr>
            <w:tcW w:w="1466" w:type="pct"/>
            <w:vAlign w:val="center"/>
            <w:hideMark/>
          </w:tcPr>
          <w:p w14:paraId="7DB86EC3" w14:textId="3C1559DB" w:rsidR="00870D92" w:rsidRPr="008940E4" w:rsidRDefault="00870D92" w:rsidP="000B00D1">
            <w:pPr>
              <w:spacing w:after="0"/>
              <w:jc w:val="right"/>
              <w:rPr>
                <w:rFonts w:eastAsia="Arial Narrow" w:cs="Arial Narrow"/>
                <w:color w:val="000000" w:themeColor="text1"/>
              </w:rPr>
            </w:pPr>
            <w:r w:rsidRPr="008940E4">
              <w:t xml:space="preserve"> 2,463 </w:t>
            </w:r>
          </w:p>
        </w:tc>
        <w:tc>
          <w:tcPr>
            <w:tcW w:w="1724" w:type="pct"/>
            <w:tcBorders>
              <w:right w:val="single" w:sz="4" w:space="0" w:color="auto"/>
            </w:tcBorders>
            <w:vAlign w:val="center"/>
            <w:hideMark/>
          </w:tcPr>
          <w:p w14:paraId="277E253A" w14:textId="77777777" w:rsidR="00870D92" w:rsidRPr="008940E4" w:rsidRDefault="00870D92" w:rsidP="000B00D1">
            <w:pPr>
              <w:spacing w:after="0"/>
              <w:jc w:val="right"/>
              <w:rPr>
                <w:rFonts w:eastAsia="Arial Narrow" w:cs="Arial Narrow"/>
                <w:color w:val="000000" w:themeColor="text1"/>
              </w:rPr>
            </w:pPr>
            <w:r w:rsidRPr="008940E4">
              <w:rPr>
                <w:rFonts w:cs="Calibri"/>
                <w:color w:val="000000"/>
              </w:rPr>
              <w:t>9%</w:t>
            </w:r>
          </w:p>
        </w:tc>
      </w:tr>
      <w:tr w:rsidR="00870D92" w:rsidRPr="008940E4" w14:paraId="4FDF5972" w14:textId="77777777" w:rsidTr="000B00D1">
        <w:trPr>
          <w:trHeight w:val="300"/>
          <w:jc w:val="center"/>
        </w:trPr>
        <w:tc>
          <w:tcPr>
            <w:tcW w:w="1810" w:type="pct"/>
            <w:tcBorders>
              <w:left w:val="single" w:sz="4" w:space="0" w:color="auto"/>
            </w:tcBorders>
            <w:vAlign w:val="center"/>
            <w:hideMark/>
          </w:tcPr>
          <w:p w14:paraId="62CF6BD5" w14:textId="77777777" w:rsidR="00870D92" w:rsidRPr="008940E4" w:rsidRDefault="00870D92" w:rsidP="000B00D1">
            <w:pPr>
              <w:keepNext/>
              <w:spacing w:after="0"/>
              <w:rPr>
                <w:rFonts w:cstheme="majorHAnsi"/>
                <w:szCs w:val="20"/>
              </w:rPr>
            </w:pPr>
            <w:r w:rsidRPr="008940E4">
              <w:rPr>
                <w:rFonts w:cstheme="majorHAnsi"/>
              </w:rPr>
              <w:t>Induced</w:t>
            </w:r>
          </w:p>
        </w:tc>
        <w:tc>
          <w:tcPr>
            <w:tcW w:w="1466" w:type="pct"/>
            <w:vAlign w:val="center"/>
            <w:hideMark/>
          </w:tcPr>
          <w:p w14:paraId="4A68B441" w14:textId="1711ABCD" w:rsidR="00870D92" w:rsidRPr="008940E4" w:rsidRDefault="00870D92" w:rsidP="000B00D1">
            <w:pPr>
              <w:spacing w:after="0"/>
              <w:jc w:val="right"/>
              <w:rPr>
                <w:rFonts w:eastAsia="Arial Narrow" w:cs="Arial Narrow"/>
                <w:color w:val="000000" w:themeColor="text1"/>
              </w:rPr>
            </w:pPr>
            <w:r w:rsidRPr="008940E4">
              <w:t xml:space="preserve"> 18,289 </w:t>
            </w:r>
          </w:p>
        </w:tc>
        <w:tc>
          <w:tcPr>
            <w:tcW w:w="1724" w:type="pct"/>
            <w:tcBorders>
              <w:right w:val="single" w:sz="4" w:space="0" w:color="auto"/>
            </w:tcBorders>
            <w:vAlign w:val="center"/>
            <w:hideMark/>
          </w:tcPr>
          <w:p w14:paraId="2DD7EE57" w14:textId="77777777" w:rsidR="00870D92" w:rsidRPr="008940E4" w:rsidRDefault="00870D92" w:rsidP="000B00D1">
            <w:pPr>
              <w:spacing w:after="0"/>
              <w:jc w:val="right"/>
              <w:rPr>
                <w:rFonts w:eastAsia="Arial Narrow" w:cs="Arial Narrow"/>
                <w:color w:val="000000" w:themeColor="text1"/>
              </w:rPr>
            </w:pPr>
            <w:r w:rsidRPr="008940E4">
              <w:rPr>
                <w:rFonts w:cs="Calibri"/>
                <w:color w:val="000000"/>
              </w:rPr>
              <w:t>66%</w:t>
            </w:r>
          </w:p>
        </w:tc>
      </w:tr>
      <w:tr w:rsidR="00870D92" w:rsidRPr="008940E4" w14:paraId="49E932C5" w14:textId="77777777" w:rsidTr="000B00D1">
        <w:trPr>
          <w:trHeight w:val="300"/>
          <w:jc w:val="center"/>
        </w:trPr>
        <w:tc>
          <w:tcPr>
            <w:tcW w:w="1810" w:type="pct"/>
            <w:tcBorders>
              <w:left w:val="single" w:sz="4" w:space="0" w:color="auto"/>
              <w:bottom w:val="single" w:sz="4" w:space="0" w:color="auto"/>
            </w:tcBorders>
            <w:vAlign w:val="center"/>
            <w:hideMark/>
          </w:tcPr>
          <w:p w14:paraId="46773C16" w14:textId="77777777" w:rsidR="00870D92" w:rsidRPr="008940E4" w:rsidRDefault="00870D92" w:rsidP="000B00D1">
            <w:pPr>
              <w:keepNext/>
              <w:spacing w:after="0"/>
              <w:rPr>
                <w:rFonts w:cstheme="majorHAnsi"/>
                <w:b/>
                <w:szCs w:val="20"/>
              </w:rPr>
            </w:pPr>
            <w:r w:rsidRPr="008940E4">
              <w:rPr>
                <w:rFonts w:cstheme="majorHAnsi"/>
                <w:b/>
              </w:rPr>
              <w:t>Total</w:t>
            </w:r>
          </w:p>
        </w:tc>
        <w:tc>
          <w:tcPr>
            <w:tcW w:w="1466" w:type="pct"/>
            <w:tcBorders>
              <w:bottom w:val="single" w:sz="4" w:space="0" w:color="auto"/>
            </w:tcBorders>
            <w:vAlign w:val="center"/>
            <w:hideMark/>
          </w:tcPr>
          <w:p w14:paraId="6748F161" w14:textId="29EE92D4" w:rsidR="00870D92" w:rsidRPr="008940E4" w:rsidRDefault="00870D92" w:rsidP="000B00D1">
            <w:pPr>
              <w:spacing w:after="0"/>
              <w:jc w:val="right"/>
              <w:rPr>
                <w:rFonts w:eastAsia="Arial Narrow" w:cs="Arial Narrow"/>
                <w:color w:val="000000" w:themeColor="text1"/>
              </w:rPr>
            </w:pPr>
            <w:r w:rsidRPr="008940E4">
              <w:t xml:space="preserve"> 27,645 </w:t>
            </w:r>
          </w:p>
        </w:tc>
        <w:tc>
          <w:tcPr>
            <w:tcW w:w="1724" w:type="pct"/>
            <w:tcBorders>
              <w:bottom w:val="single" w:sz="4" w:space="0" w:color="auto"/>
              <w:right w:val="single" w:sz="4" w:space="0" w:color="auto"/>
            </w:tcBorders>
            <w:vAlign w:val="center"/>
            <w:hideMark/>
          </w:tcPr>
          <w:p w14:paraId="74610AD3" w14:textId="77777777" w:rsidR="00870D92" w:rsidRPr="008940E4" w:rsidRDefault="00870D92" w:rsidP="000B00D1">
            <w:pPr>
              <w:spacing w:after="0"/>
              <w:jc w:val="right"/>
              <w:rPr>
                <w:rFonts w:eastAsia="Arial Narrow" w:cs="Arial Narrow"/>
                <w:color w:val="000000" w:themeColor="text1"/>
              </w:rPr>
            </w:pPr>
            <w:r w:rsidRPr="008940E4">
              <w:rPr>
                <w:rFonts w:cs="Calibri"/>
                <w:color w:val="000000"/>
              </w:rPr>
              <w:t>100%</w:t>
            </w:r>
          </w:p>
        </w:tc>
      </w:tr>
    </w:tbl>
    <w:p w14:paraId="124D7B9F" w14:textId="77777777" w:rsidR="00C435AC" w:rsidRPr="00DF161F" w:rsidRDefault="00C435AC" w:rsidP="00C435AC">
      <w:pPr>
        <w:pStyle w:val="GraphFootnote"/>
        <w:ind w:left="1260" w:firstLine="630"/>
        <w:rPr>
          <w:rFonts w:asciiTheme="majorHAnsi" w:hAnsiTheme="majorHAnsi" w:cstheme="majorHAnsi"/>
          <w:i/>
          <w:sz w:val="16"/>
          <w:szCs w:val="20"/>
        </w:rPr>
      </w:pPr>
      <w:r w:rsidRPr="00DF161F">
        <w:rPr>
          <w:rFonts w:asciiTheme="majorHAnsi" w:hAnsiTheme="majorHAnsi" w:cstheme="majorHAnsi"/>
          <w:i/>
          <w:sz w:val="16"/>
          <w:szCs w:val="20"/>
        </w:rPr>
        <w:t>Note: Totals may not align due to rounding</w:t>
      </w:r>
    </w:p>
    <w:p w14:paraId="418C4440" w14:textId="6B4F9FB6" w:rsidR="00C435AC" w:rsidRPr="00DF161F" w:rsidRDefault="00C435AC" w:rsidP="00C435AC">
      <w:pPr>
        <w:pStyle w:val="Source"/>
        <w:ind w:left="1260" w:firstLine="630"/>
        <w:rPr>
          <w:rFonts w:asciiTheme="majorHAnsi" w:hAnsiTheme="majorHAnsi" w:cstheme="majorBidi"/>
        </w:rPr>
      </w:pPr>
      <w:r w:rsidRPr="339C1A46">
        <w:rPr>
          <w:rFonts w:asciiTheme="majorHAnsi" w:hAnsiTheme="majorHAnsi" w:cstheme="majorBidi"/>
        </w:rPr>
        <w:t>Source: Guidehouse analysis of ComEd CY</w:t>
      </w:r>
      <w:r w:rsidR="00BD3D61">
        <w:rPr>
          <w:rFonts w:asciiTheme="majorHAnsi" w:hAnsiTheme="majorHAnsi" w:cstheme="majorBidi"/>
        </w:rPr>
        <w:t>2025</w:t>
      </w:r>
      <w:r w:rsidRPr="339C1A46">
        <w:rPr>
          <w:rFonts w:asciiTheme="majorHAnsi" w:hAnsiTheme="majorHAnsi" w:cstheme="majorBidi"/>
        </w:rPr>
        <w:t xml:space="preserve"> tracking data</w:t>
      </w:r>
      <w:bookmarkStart w:id="6" w:name="_1744007381"/>
      <w:bookmarkEnd w:id="6"/>
    </w:p>
    <w:bookmarkEnd w:id="4"/>
    <w:p w14:paraId="3D231BA6" w14:textId="77777777" w:rsidR="00C435AC" w:rsidRPr="00DF161F" w:rsidRDefault="00C435AC" w:rsidP="00C435AC">
      <w:pPr>
        <w:jc w:val="center"/>
        <w:rPr>
          <w:rFonts w:asciiTheme="majorHAnsi" w:hAnsiTheme="majorHAnsi" w:cstheme="majorHAnsi"/>
        </w:rPr>
      </w:pPr>
    </w:p>
    <w:p w14:paraId="06E88554" w14:textId="19ACF283" w:rsidR="00C435AC" w:rsidRPr="00DF161F" w:rsidRDefault="00C435AC" w:rsidP="00C435AC">
      <w:pPr>
        <w:rPr>
          <w:rFonts w:asciiTheme="majorHAnsi" w:hAnsiTheme="majorHAnsi" w:cstheme="majorBidi"/>
        </w:rPr>
      </w:pPr>
      <w:r w:rsidRPr="339C1A46">
        <w:rPr>
          <w:rFonts w:asciiTheme="majorHAnsi" w:hAnsiTheme="majorHAnsi" w:cstheme="majorBidi"/>
        </w:rPr>
        <w:t>For the CY</w:t>
      </w:r>
      <w:r w:rsidR="00BD3D61">
        <w:rPr>
          <w:rFonts w:asciiTheme="majorHAnsi" w:hAnsiTheme="majorHAnsi" w:cstheme="majorBidi"/>
        </w:rPr>
        <w:t>2025</w:t>
      </w:r>
      <w:r w:rsidRPr="339C1A46">
        <w:rPr>
          <w:rFonts w:asciiTheme="majorHAnsi" w:hAnsiTheme="majorHAnsi" w:cstheme="majorBidi"/>
        </w:rPr>
        <w:t xml:space="preserve"> report, economic impacts of ComEd’s EE programs (including employment impacts) are reported cumulatively for the entire state of Illinois. For impacts over time, the trend identified in previous years — expected to hold for this iteration as well</w:t>
      </w:r>
      <w:r>
        <w:rPr>
          <w:rFonts w:asciiTheme="majorHAnsi" w:hAnsiTheme="majorHAnsi" w:cstheme="majorBidi"/>
        </w:rPr>
        <w:t xml:space="preserve"> </w:t>
      </w:r>
      <w:r w:rsidRPr="339C1A46">
        <w:rPr>
          <w:rFonts w:asciiTheme="majorHAnsi" w:hAnsiTheme="majorHAnsi" w:cstheme="majorBidi"/>
        </w:rPr>
        <w:t>— show large spikes in the initial program year triggered by the implementation and management of ComEd’s energy efficiency programs, including, but not limited to, program incentives, administrative spending, and incremental measure spending. The impacts beyond the given calendar year are derived almost entirely from net ratepayer bill savings generated from ComEd’s energy efficiency programs. These impacts persist over a similar period as the cumulative persisting annual savings (CPAS) produced by the ComEd energy efficiency portfolio.</w:t>
      </w:r>
    </w:p>
    <w:p w14:paraId="214F88B6" w14:textId="77777777" w:rsidR="00C435AC" w:rsidRPr="00DF161F" w:rsidRDefault="00C435AC" w:rsidP="00C435AC">
      <w:pPr>
        <w:pStyle w:val="Heading2"/>
        <w:rPr>
          <w:rFonts w:asciiTheme="majorHAnsi" w:hAnsiTheme="majorHAnsi" w:cstheme="majorHAnsi"/>
        </w:rPr>
      </w:pPr>
      <w:r w:rsidRPr="00DF161F">
        <w:rPr>
          <w:rFonts w:asciiTheme="majorHAnsi" w:hAnsiTheme="majorHAnsi" w:cstheme="majorHAnsi"/>
        </w:rPr>
        <w:t>Labor Income and Industry Output</w:t>
      </w:r>
    </w:p>
    <w:p w14:paraId="4127D6FB" w14:textId="5AE527A8" w:rsidR="00C435AC" w:rsidRPr="00A71684" w:rsidRDefault="00C435AC" w:rsidP="00C435AC">
      <w:pPr>
        <w:rPr>
          <w:rFonts w:asciiTheme="majorHAnsi" w:hAnsiTheme="majorHAnsi" w:cstheme="majorBidi"/>
        </w:rPr>
      </w:pPr>
      <w:r w:rsidRPr="339C1A46">
        <w:rPr>
          <w:rFonts w:asciiTheme="majorHAnsi" w:hAnsiTheme="majorHAnsi" w:cstheme="majorBidi"/>
        </w:rPr>
        <w:fldChar w:fldCharType="begin"/>
      </w:r>
      <w:r w:rsidRPr="339C1A46">
        <w:rPr>
          <w:rFonts w:asciiTheme="majorHAnsi" w:hAnsiTheme="majorHAnsi" w:cstheme="majorBidi"/>
        </w:rPr>
        <w:instrText xml:space="preserve"> REF _Ref170469542 \h </w:instrText>
      </w:r>
      <w:r w:rsidRPr="339C1A46">
        <w:rPr>
          <w:rFonts w:asciiTheme="majorHAnsi" w:hAnsiTheme="majorHAnsi" w:cstheme="majorBidi"/>
        </w:rPr>
      </w:r>
      <w:r w:rsidRPr="339C1A46">
        <w:rPr>
          <w:rFonts w:asciiTheme="majorHAnsi" w:hAnsiTheme="majorHAnsi" w:cstheme="majorBidi"/>
        </w:rPr>
        <w:fldChar w:fldCharType="separate"/>
      </w:r>
      <w:r>
        <w:t xml:space="preserve">Table </w:t>
      </w:r>
      <w:r>
        <w:rPr>
          <w:noProof/>
        </w:rPr>
        <w:t>3</w:t>
      </w:r>
      <w:r w:rsidRPr="339C1A46">
        <w:rPr>
          <w:rFonts w:asciiTheme="majorHAnsi" w:hAnsiTheme="majorHAnsi" w:cstheme="majorBidi"/>
        </w:rPr>
        <w:fldChar w:fldCharType="end"/>
      </w:r>
      <w:r w:rsidRPr="339C1A46">
        <w:rPr>
          <w:rFonts w:asciiTheme="majorHAnsi" w:hAnsiTheme="majorHAnsi" w:cstheme="majorBidi"/>
        </w:rPr>
        <w:t xml:space="preserve"> presents a summary of the cumulative industry labor income and industry output impacts from </w:t>
      </w:r>
      <w:r>
        <w:rPr>
          <w:rFonts w:asciiTheme="majorHAnsi" w:hAnsiTheme="majorHAnsi" w:cstheme="majorBidi"/>
        </w:rPr>
        <w:t>all</w:t>
      </w:r>
      <w:r w:rsidRPr="339C1A46">
        <w:rPr>
          <w:rFonts w:asciiTheme="majorHAnsi" w:hAnsiTheme="majorHAnsi" w:cstheme="majorBidi"/>
        </w:rPr>
        <w:t xml:space="preserve"> CY</w:t>
      </w:r>
      <w:r w:rsidR="00BD3D61">
        <w:rPr>
          <w:rFonts w:asciiTheme="majorHAnsi" w:hAnsiTheme="majorHAnsi" w:cstheme="majorBidi"/>
        </w:rPr>
        <w:t>2025</w:t>
      </w:r>
      <w:r w:rsidRPr="339C1A46">
        <w:rPr>
          <w:rFonts w:asciiTheme="majorHAnsi" w:hAnsiTheme="majorHAnsi" w:cstheme="majorBidi"/>
        </w:rPr>
        <w:t xml:space="preserve"> sectors (from </w:t>
      </w:r>
      <w:r w:rsidR="00BD3D61">
        <w:rPr>
          <w:rFonts w:asciiTheme="majorHAnsi" w:hAnsiTheme="majorHAnsi" w:cstheme="majorBidi"/>
        </w:rPr>
        <w:t>2025</w:t>
      </w:r>
      <w:r w:rsidRPr="339C1A46">
        <w:rPr>
          <w:rFonts w:asciiTheme="majorHAnsi" w:hAnsiTheme="majorHAnsi" w:cstheme="majorBidi"/>
        </w:rPr>
        <w:t xml:space="preserve"> to </w:t>
      </w:r>
      <w:r w:rsidR="00BD3D61">
        <w:rPr>
          <w:rFonts w:asciiTheme="majorHAnsi" w:hAnsiTheme="majorHAnsi" w:cstheme="majorBidi"/>
        </w:rPr>
        <w:t>2049</w:t>
      </w:r>
      <w:r w:rsidRPr="339C1A46">
        <w:rPr>
          <w:rFonts w:asciiTheme="majorHAnsi" w:hAnsiTheme="majorHAnsi" w:cstheme="majorBidi"/>
        </w:rPr>
        <w:t>).</w:t>
      </w:r>
    </w:p>
    <w:p w14:paraId="306F4117" w14:textId="443F6B2A" w:rsidR="00C435AC" w:rsidRPr="00DF161F" w:rsidRDefault="00C435AC" w:rsidP="00C435AC">
      <w:pPr>
        <w:pStyle w:val="Caption"/>
        <w:rPr>
          <w:rFonts w:asciiTheme="majorHAnsi" w:hAnsiTheme="majorHAnsi" w:cstheme="majorBidi"/>
        </w:rPr>
      </w:pPr>
      <w:bookmarkStart w:id="7" w:name="_Ref170469542"/>
      <w:r>
        <w:t xml:space="preserve">Table </w:t>
      </w:r>
      <w:r>
        <w:fldChar w:fldCharType="begin"/>
      </w:r>
      <w:r>
        <w:instrText xml:space="preserve"> SEQ Table \* ARABIC </w:instrText>
      </w:r>
      <w:r>
        <w:fldChar w:fldCharType="separate"/>
      </w:r>
      <w:r w:rsidRPr="339C1A46">
        <w:rPr>
          <w:noProof/>
        </w:rPr>
        <w:t>3</w:t>
      </w:r>
      <w:r>
        <w:fldChar w:fldCharType="end"/>
      </w:r>
      <w:bookmarkEnd w:id="7"/>
      <w:r>
        <w:t xml:space="preserve">. </w:t>
      </w:r>
      <w:r w:rsidRPr="339C1A46">
        <w:rPr>
          <w:rFonts w:asciiTheme="majorHAnsi" w:hAnsiTheme="majorHAnsi" w:cstheme="majorBidi"/>
        </w:rPr>
        <w:t xml:space="preserve">Cumulative </w:t>
      </w:r>
      <w:r w:rsidR="00BD3D61">
        <w:rPr>
          <w:rFonts w:asciiTheme="majorHAnsi" w:hAnsiTheme="majorHAnsi" w:cstheme="majorBidi"/>
        </w:rPr>
        <w:t>2025</w:t>
      </w:r>
      <w:r w:rsidRPr="339C1A46">
        <w:rPr>
          <w:rFonts w:asciiTheme="majorHAnsi" w:hAnsiTheme="majorHAnsi" w:cstheme="majorBidi"/>
        </w:rPr>
        <w:t>-</w:t>
      </w:r>
      <w:r w:rsidR="00BD3D61">
        <w:rPr>
          <w:rFonts w:asciiTheme="majorHAnsi" w:hAnsiTheme="majorHAnsi" w:cstheme="majorBidi"/>
        </w:rPr>
        <w:t>2049</w:t>
      </w:r>
      <w:r w:rsidRPr="339C1A46">
        <w:rPr>
          <w:rFonts w:asciiTheme="majorHAnsi" w:hAnsiTheme="majorHAnsi" w:cstheme="majorBidi"/>
        </w:rPr>
        <w:t xml:space="preserve"> Industry Labor Income and Industry Output Impacts </w:t>
      </w:r>
    </w:p>
    <w:tbl>
      <w:tblPr>
        <w:tblStyle w:val="GHCustom"/>
        <w:tblW w:w="3450" w:type="pct"/>
        <w:jc w:val="center"/>
        <w:tblLayout w:type="fixed"/>
        <w:tblLook w:val="04A0" w:firstRow="1" w:lastRow="0" w:firstColumn="1" w:lastColumn="0" w:noHBand="0" w:noVBand="1"/>
      </w:tblPr>
      <w:tblGrid>
        <w:gridCol w:w="1964"/>
        <w:gridCol w:w="2244"/>
        <w:gridCol w:w="2244"/>
      </w:tblGrid>
      <w:tr w:rsidR="00C435AC" w:rsidRPr="000E3F50" w14:paraId="5403A346" w14:textId="77777777" w:rsidTr="0048420E">
        <w:trPr>
          <w:cnfStyle w:val="100000000000" w:firstRow="1" w:lastRow="0" w:firstColumn="0" w:lastColumn="0" w:oddVBand="0" w:evenVBand="0" w:oddHBand="0" w:evenHBand="0" w:firstRowFirstColumn="0" w:firstRowLastColumn="0" w:lastRowFirstColumn="0" w:lastRowLastColumn="0"/>
          <w:trHeight w:val="530"/>
          <w:tblHeader/>
          <w:jc w:val="center"/>
        </w:trPr>
        <w:tc>
          <w:tcPr>
            <w:tcW w:w="1522" w:type="pct"/>
            <w:tcBorders>
              <w:top w:val="single" w:sz="4" w:space="0" w:color="auto"/>
              <w:left w:val="single" w:sz="4" w:space="0" w:color="auto"/>
            </w:tcBorders>
            <w:hideMark/>
          </w:tcPr>
          <w:p w14:paraId="3720DB09" w14:textId="77777777" w:rsidR="00C435AC" w:rsidRPr="000E3F50" w:rsidRDefault="00C435AC" w:rsidP="00C41639">
            <w:pPr>
              <w:spacing w:after="0"/>
              <w:rPr>
                <w:rFonts w:eastAsia="Arial"/>
                <w:bCs/>
                <w:color w:val="FFFFFF" w:themeColor="background1"/>
              </w:rPr>
            </w:pPr>
            <w:r w:rsidRPr="000E3F50">
              <w:rPr>
                <w:rFonts w:eastAsia="Arial"/>
                <w:bCs/>
                <w:color w:val="FFFFFF" w:themeColor="background1"/>
              </w:rPr>
              <w:t>Impact Type</w:t>
            </w:r>
          </w:p>
        </w:tc>
        <w:tc>
          <w:tcPr>
            <w:tcW w:w="1739" w:type="pct"/>
            <w:tcBorders>
              <w:top w:val="single" w:sz="4" w:space="0" w:color="auto"/>
            </w:tcBorders>
            <w:hideMark/>
          </w:tcPr>
          <w:p w14:paraId="027FAD48" w14:textId="77777777" w:rsidR="00C435AC" w:rsidRPr="000E3F50" w:rsidRDefault="00C435AC" w:rsidP="00C41639">
            <w:pPr>
              <w:spacing w:after="0"/>
              <w:jc w:val="right"/>
              <w:rPr>
                <w:rFonts w:eastAsia="Arial"/>
                <w:b w:val="0"/>
                <w:bCs/>
                <w:color w:val="FFFFFF" w:themeColor="background1"/>
              </w:rPr>
            </w:pPr>
            <w:r w:rsidRPr="000E3F50">
              <w:rPr>
                <w:rFonts w:eastAsia="Arial"/>
                <w:bCs/>
                <w:color w:val="FFFFFF" w:themeColor="background1"/>
              </w:rPr>
              <w:t xml:space="preserve">Labor Income </w:t>
            </w:r>
          </w:p>
          <w:p w14:paraId="772761CB" w14:textId="77777777" w:rsidR="00C435AC" w:rsidRPr="000E3F50" w:rsidRDefault="00C435AC" w:rsidP="00C41639">
            <w:pPr>
              <w:spacing w:after="0"/>
              <w:jc w:val="right"/>
            </w:pPr>
            <w:r w:rsidRPr="000E3F50">
              <w:rPr>
                <w:rFonts w:eastAsia="Arial"/>
                <w:bCs/>
                <w:color w:val="FFFFFF" w:themeColor="background1"/>
              </w:rPr>
              <w:t>($ Millions)</w:t>
            </w:r>
          </w:p>
        </w:tc>
        <w:tc>
          <w:tcPr>
            <w:tcW w:w="1739" w:type="pct"/>
            <w:tcBorders>
              <w:top w:val="single" w:sz="4" w:space="0" w:color="auto"/>
              <w:right w:val="single" w:sz="4" w:space="0" w:color="auto"/>
            </w:tcBorders>
            <w:hideMark/>
          </w:tcPr>
          <w:p w14:paraId="3CDFA342" w14:textId="77777777" w:rsidR="00C435AC" w:rsidRPr="000E3F50" w:rsidRDefault="00C435AC" w:rsidP="00C41639">
            <w:pPr>
              <w:spacing w:after="0"/>
              <w:jc w:val="right"/>
              <w:rPr>
                <w:rFonts w:eastAsia="Arial"/>
                <w:b w:val="0"/>
                <w:bCs/>
                <w:color w:val="FFFFFF" w:themeColor="background1"/>
              </w:rPr>
            </w:pPr>
            <w:r w:rsidRPr="000E3F50">
              <w:rPr>
                <w:rFonts w:eastAsia="Arial"/>
                <w:bCs/>
                <w:color w:val="FFFFFF" w:themeColor="background1"/>
              </w:rPr>
              <w:t>Industry Output</w:t>
            </w:r>
          </w:p>
          <w:p w14:paraId="6A86E4C7" w14:textId="77777777" w:rsidR="00C435AC" w:rsidRPr="000E3F50" w:rsidRDefault="00C435AC" w:rsidP="00C41639">
            <w:pPr>
              <w:spacing w:after="0"/>
              <w:jc w:val="right"/>
            </w:pPr>
            <w:r w:rsidRPr="000E3F50">
              <w:rPr>
                <w:rFonts w:eastAsia="Arial"/>
                <w:bCs/>
                <w:color w:val="FFFFFF" w:themeColor="background1"/>
              </w:rPr>
              <w:t>($ Millions)</w:t>
            </w:r>
          </w:p>
        </w:tc>
      </w:tr>
      <w:tr w:rsidR="000E3F50" w:rsidRPr="000E3F50" w14:paraId="09A82885" w14:textId="77777777" w:rsidTr="000A5752">
        <w:trPr>
          <w:trHeight w:val="310"/>
          <w:jc w:val="center"/>
        </w:trPr>
        <w:tc>
          <w:tcPr>
            <w:tcW w:w="1522" w:type="pct"/>
            <w:tcBorders>
              <w:left w:val="single" w:sz="4" w:space="0" w:color="auto"/>
            </w:tcBorders>
            <w:hideMark/>
          </w:tcPr>
          <w:p w14:paraId="2A9B8D5F" w14:textId="77777777" w:rsidR="000E3F50" w:rsidRPr="000E3F50" w:rsidRDefault="000E3F50" w:rsidP="000E3F50">
            <w:pPr>
              <w:spacing w:after="0"/>
            </w:pPr>
            <w:r w:rsidRPr="000E3F50">
              <w:rPr>
                <w:color w:val="000000"/>
              </w:rPr>
              <w:t>Direct</w:t>
            </w:r>
          </w:p>
        </w:tc>
        <w:tc>
          <w:tcPr>
            <w:tcW w:w="1739" w:type="pct"/>
            <w:hideMark/>
          </w:tcPr>
          <w:p w14:paraId="2C8B404B" w14:textId="677F6B93" w:rsidR="000E3F50" w:rsidRPr="000E3F50" w:rsidRDefault="000E3F50" w:rsidP="000E3F50">
            <w:pPr>
              <w:spacing w:after="0"/>
              <w:jc w:val="right"/>
              <w:rPr>
                <w:rFonts w:eastAsia="Arial Narrow" w:cs="Arial Narrow"/>
                <w:color w:val="000000" w:themeColor="text1"/>
              </w:rPr>
            </w:pPr>
            <w:r w:rsidRPr="000E3F50">
              <w:t>$486</w:t>
            </w:r>
          </w:p>
        </w:tc>
        <w:tc>
          <w:tcPr>
            <w:tcW w:w="1739" w:type="pct"/>
            <w:tcBorders>
              <w:right w:val="single" w:sz="4" w:space="0" w:color="auto"/>
            </w:tcBorders>
            <w:hideMark/>
          </w:tcPr>
          <w:p w14:paraId="752E3B5C" w14:textId="28F0E82E" w:rsidR="000E3F50" w:rsidRPr="000E3F50" w:rsidRDefault="000E3F50" w:rsidP="000E3F50">
            <w:pPr>
              <w:spacing w:after="0"/>
              <w:jc w:val="right"/>
              <w:rPr>
                <w:rFonts w:eastAsia="Arial Narrow" w:cs="Arial Narrow"/>
                <w:color w:val="000000" w:themeColor="text1"/>
              </w:rPr>
            </w:pPr>
            <w:r w:rsidRPr="000E3F50">
              <w:t>$1,259</w:t>
            </w:r>
          </w:p>
        </w:tc>
      </w:tr>
      <w:tr w:rsidR="000E3F50" w:rsidRPr="000E3F50" w14:paraId="045E08FE" w14:textId="77777777" w:rsidTr="000A5752">
        <w:trPr>
          <w:trHeight w:val="300"/>
          <w:jc w:val="center"/>
        </w:trPr>
        <w:tc>
          <w:tcPr>
            <w:tcW w:w="1522" w:type="pct"/>
            <w:tcBorders>
              <w:left w:val="single" w:sz="4" w:space="0" w:color="auto"/>
            </w:tcBorders>
            <w:hideMark/>
          </w:tcPr>
          <w:p w14:paraId="13271F9B" w14:textId="77777777" w:rsidR="000E3F50" w:rsidRPr="000E3F50" w:rsidRDefault="000E3F50" w:rsidP="000E3F50">
            <w:pPr>
              <w:spacing w:after="0"/>
            </w:pPr>
            <w:r w:rsidRPr="000E3F50">
              <w:rPr>
                <w:color w:val="000000"/>
              </w:rPr>
              <w:lastRenderedPageBreak/>
              <w:t>Indirect</w:t>
            </w:r>
          </w:p>
        </w:tc>
        <w:tc>
          <w:tcPr>
            <w:tcW w:w="1739" w:type="pct"/>
            <w:hideMark/>
          </w:tcPr>
          <w:p w14:paraId="5EF43401" w14:textId="52876A46" w:rsidR="000E3F50" w:rsidRPr="000E3F50" w:rsidRDefault="000E3F50" w:rsidP="000E3F50">
            <w:pPr>
              <w:spacing w:after="0"/>
              <w:jc w:val="right"/>
              <w:rPr>
                <w:rFonts w:eastAsia="Arial Narrow" w:cs="Arial Narrow"/>
                <w:color w:val="000000" w:themeColor="text1"/>
              </w:rPr>
            </w:pPr>
            <w:r w:rsidRPr="000E3F50">
              <w:t>$210</w:t>
            </w:r>
          </w:p>
        </w:tc>
        <w:tc>
          <w:tcPr>
            <w:tcW w:w="1739" w:type="pct"/>
            <w:tcBorders>
              <w:right w:val="single" w:sz="4" w:space="0" w:color="auto"/>
            </w:tcBorders>
            <w:hideMark/>
          </w:tcPr>
          <w:p w14:paraId="597BFB21" w14:textId="287D0943" w:rsidR="000E3F50" w:rsidRPr="000E3F50" w:rsidRDefault="000E3F50" w:rsidP="000E3F50">
            <w:pPr>
              <w:spacing w:after="0"/>
              <w:jc w:val="right"/>
              <w:rPr>
                <w:rFonts w:eastAsia="Arial Narrow" w:cs="Arial Narrow"/>
                <w:color w:val="000000" w:themeColor="text1"/>
              </w:rPr>
            </w:pPr>
            <w:r w:rsidRPr="000E3F50">
              <w:t>$620</w:t>
            </w:r>
          </w:p>
        </w:tc>
      </w:tr>
      <w:tr w:rsidR="000E3F50" w:rsidRPr="000E3F50" w14:paraId="0A386285" w14:textId="77777777" w:rsidTr="000A5752">
        <w:trPr>
          <w:trHeight w:val="300"/>
          <w:jc w:val="center"/>
        </w:trPr>
        <w:tc>
          <w:tcPr>
            <w:tcW w:w="1522" w:type="pct"/>
            <w:tcBorders>
              <w:left w:val="single" w:sz="4" w:space="0" w:color="auto"/>
            </w:tcBorders>
            <w:hideMark/>
          </w:tcPr>
          <w:p w14:paraId="268BB03F" w14:textId="77777777" w:rsidR="000E3F50" w:rsidRPr="000E3F50" w:rsidRDefault="000E3F50" w:rsidP="000E3F50">
            <w:pPr>
              <w:spacing w:after="0"/>
            </w:pPr>
            <w:r w:rsidRPr="000E3F50">
              <w:rPr>
                <w:color w:val="000000"/>
              </w:rPr>
              <w:t>Induced</w:t>
            </w:r>
          </w:p>
        </w:tc>
        <w:tc>
          <w:tcPr>
            <w:tcW w:w="1739" w:type="pct"/>
            <w:hideMark/>
          </w:tcPr>
          <w:p w14:paraId="57F52EA9" w14:textId="48125B14" w:rsidR="000E3F50" w:rsidRPr="000E3F50" w:rsidRDefault="000E3F50" w:rsidP="000E3F50">
            <w:pPr>
              <w:spacing w:after="0"/>
              <w:jc w:val="right"/>
              <w:rPr>
                <w:rFonts w:eastAsia="Arial Narrow" w:cs="Arial Narrow"/>
                <w:color w:val="000000" w:themeColor="text1"/>
              </w:rPr>
            </w:pPr>
            <w:r w:rsidRPr="000E3F50">
              <w:t>$1,196</w:t>
            </w:r>
          </w:p>
        </w:tc>
        <w:tc>
          <w:tcPr>
            <w:tcW w:w="1739" w:type="pct"/>
            <w:tcBorders>
              <w:right w:val="single" w:sz="4" w:space="0" w:color="auto"/>
            </w:tcBorders>
            <w:hideMark/>
          </w:tcPr>
          <w:p w14:paraId="740BF810" w14:textId="4BBF2EC3" w:rsidR="000E3F50" w:rsidRPr="000E3F50" w:rsidRDefault="000E3F50" w:rsidP="000E3F50">
            <w:pPr>
              <w:spacing w:after="0"/>
              <w:jc w:val="right"/>
              <w:rPr>
                <w:rFonts w:eastAsia="Arial Narrow" w:cs="Arial Narrow"/>
                <w:color w:val="000000" w:themeColor="text1"/>
              </w:rPr>
            </w:pPr>
            <w:r w:rsidRPr="000E3F50">
              <w:t>$5,731</w:t>
            </w:r>
          </w:p>
        </w:tc>
      </w:tr>
      <w:tr w:rsidR="000E3F50" w:rsidRPr="000E3F50" w14:paraId="55120B8B" w14:textId="77777777" w:rsidTr="000A5752">
        <w:trPr>
          <w:trHeight w:val="300"/>
          <w:jc w:val="center"/>
        </w:trPr>
        <w:tc>
          <w:tcPr>
            <w:tcW w:w="1522" w:type="pct"/>
            <w:tcBorders>
              <w:left w:val="single" w:sz="4" w:space="0" w:color="auto"/>
              <w:bottom w:val="single" w:sz="4" w:space="0" w:color="auto"/>
            </w:tcBorders>
            <w:hideMark/>
          </w:tcPr>
          <w:p w14:paraId="30284097" w14:textId="77777777" w:rsidR="000E3F50" w:rsidRPr="000E3F50" w:rsidRDefault="000E3F50" w:rsidP="000E3F50">
            <w:pPr>
              <w:spacing w:after="0"/>
              <w:rPr>
                <w:b/>
              </w:rPr>
            </w:pPr>
            <w:r w:rsidRPr="000E3F50">
              <w:rPr>
                <w:b/>
                <w:color w:val="000000"/>
              </w:rPr>
              <w:t>Total</w:t>
            </w:r>
          </w:p>
        </w:tc>
        <w:tc>
          <w:tcPr>
            <w:tcW w:w="1739" w:type="pct"/>
            <w:tcBorders>
              <w:bottom w:val="single" w:sz="4" w:space="0" w:color="auto"/>
            </w:tcBorders>
            <w:hideMark/>
          </w:tcPr>
          <w:p w14:paraId="1342A425" w14:textId="53C6584A" w:rsidR="000E3F50" w:rsidRPr="000E3F50" w:rsidRDefault="000E3F50" w:rsidP="000E3F50">
            <w:pPr>
              <w:spacing w:after="0"/>
              <w:jc w:val="right"/>
              <w:rPr>
                <w:rFonts w:eastAsia="Arial Narrow" w:cs="Arial Narrow"/>
                <w:b/>
                <w:color w:val="000000" w:themeColor="text1"/>
              </w:rPr>
            </w:pPr>
            <w:r w:rsidRPr="000E3F50">
              <w:rPr>
                <w:b/>
              </w:rPr>
              <w:t>$1,892</w:t>
            </w:r>
          </w:p>
        </w:tc>
        <w:tc>
          <w:tcPr>
            <w:tcW w:w="1739" w:type="pct"/>
            <w:tcBorders>
              <w:bottom w:val="single" w:sz="4" w:space="0" w:color="auto"/>
              <w:right w:val="single" w:sz="4" w:space="0" w:color="auto"/>
            </w:tcBorders>
            <w:hideMark/>
          </w:tcPr>
          <w:p w14:paraId="7E9FD742" w14:textId="5E5BE7D0" w:rsidR="000E3F50" w:rsidRPr="000E3F50" w:rsidRDefault="000E3F50" w:rsidP="000E3F50">
            <w:pPr>
              <w:spacing w:after="0"/>
              <w:jc w:val="right"/>
              <w:rPr>
                <w:rFonts w:eastAsia="Arial Narrow" w:cs="Arial Narrow"/>
                <w:b/>
                <w:color w:val="000000" w:themeColor="text1"/>
              </w:rPr>
            </w:pPr>
            <w:r w:rsidRPr="000E3F50">
              <w:rPr>
                <w:b/>
              </w:rPr>
              <w:t>$7,610</w:t>
            </w:r>
          </w:p>
        </w:tc>
      </w:tr>
    </w:tbl>
    <w:p w14:paraId="3051A40C" w14:textId="77777777" w:rsidR="00C435AC" w:rsidRPr="00DF161F" w:rsidRDefault="00C435AC" w:rsidP="00C435AC">
      <w:pPr>
        <w:pStyle w:val="GraphFootnote"/>
        <w:ind w:firstLine="1350"/>
        <w:rPr>
          <w:rFonts w:asciiTheme="majorHAnsi" w:hAnsiTheme="majorHAnsi" w:cstheme="majorHAnsi"/>
          <w:i/>
          <w:sz w:val="16"/>
          <w:szCs w:val="20"/>
        </w:rPr>
      </w:pPr>
      <w:r w:rsidRPr="00DF161F">
        <w:rPr>
          <w:rFonts w:asciiTheme="majorHAnsi" w:hAnsiTheme="majorHAnsi" w:cstheme="majorHAnsi"/>
          <w:i/>
          <w:sz w:val="16"/>
          <w:szCs w:val="20"/>
        </w:rPr>
        <w:t>Note: Totals may not align due to rounding</w:t>
      </w:r>
    </w:p>
    <w:p w14:paraId="470F1DF3" w14:textId="5A8590FA" w:rsidR="00C435AC" w:rsidRPr="00DF161F" w:rsidRDefault="00C435AC" w:rsidP="00C435AC">
      <w:pPr>
        <w:pStyle w:val="Source"/>
        <w:ind w:firstLine="1350"/>
        <w:rPr>
          <w:rFonts w:asciiTheme="majorHAnsi" w:hAnsiTheme="majorHAnsi" w:cstheme="majorBidi"/>
        </w:rPr>
      </w:pPr>
      <w:r w:rsidRPr="339C1A46">
        <w:rPr>
          <w:rFonts w:asciiTheme="majorHAnsi" w:hAnsiTheme="majorHAnsi" w:cstheme="majorBidi"/>
        </w:rPr>
        <w:t>Source: Guidehouse analysis of ComEd CY</w:t>
      </w:r>
      <w:r w:rsidR="00BD3D61">
        <w:rPr>
          <w:rFonts w:asciiTheme="majorHAnsi" w:hAnsiTheme="majorHAnsi" w:cstheme="majorBidi"/>
        </w:rPr>
        <w:t>2025</w:t>
      </w:r>
      <w:r w:rsidRPr="339C1A46">
        <w:rPr>
          <w:rFonts w:asciiTheme="majorHAnsi" w:hAnsiTheme="majorHAnsi" w:cstheme="majorBidi"/>
        </w:rPr>
        <w:t xml:space="preserve"> tracking data</w:t>
      </w:r>
    </w:p>
    <w:p w14:paraId="29FCD8F5" w14:textId="77777777" w:rsidR="00C435AC" w:rsidRDefault="00C435AC" w:rsidP="00C435AC">
      <w:pPr>
        <w:rPr>
          <w:rFonts w:asciiTheme="majorHAnsi" w:hAnsiTheme="majorHAnsi" w:cstheme="majorHAnsi"/>
        </w:rPr>
      </w:pPr>
    </w:p>
    <w:p w14:paraId="1F981A28" w14:textId="03B003B0" w:rsidR="00C435AC" w:rsidRPr="0070791D" w:rsidRDefault="00C435AC" w:rsidP="00C435AC">
      <w:pPr>
        <w:rPr>
          <w:rFonts w:asciiTheme="majorHAnsi" w:hAnsiTheme="majorHAnsi" w:cstheme="majorBidi"/>
        </w:rPr>
      </w:pPr>
      <w:r w:rsidRPr="339C1A46">
        <w:rPr>
          <w:rFonts w:asciiTheme="majorHAnsi" w:hAnsiTheme="majorHAnsi" w:cstheme="majorBidi"/>
        </w:rPr>
        <w:fldChar w:fldCharType="begin"/>
      </w:r>
      <w:r w:rsidRPr="339C1A46">
        <w:rPr>
          <w:rFonts w:asciiTheme="majorHAnsi" w:hAnsiTheme="majorHAnsi" w:cstheme="majorBidi"/>
        </w:rPr>
        <w:instrText xml:space="preserve"> REF _Ref170469562 \h </w:instrText>
      </w:r>
      <w:r w:rsidRPr="339C1A46">
        <w:rPr>
          <w:rFonts w:asciiTheme="majorHAnsi" w:hAnsiTheme="majorHAnsi" w:cstheme="majorBidi"/>
        </w:rPr>
      </w:r>
      <w:r w:rsidRPr="339C1A46">
        <w:rPr>
          <w:rFonts w:asciiTheme="majorHAnsi" w:hAnsiTheme="majorHAnsi" w:cstheme="majorBidi"/>
        </w:rPr>
        <w:fldChar w:fldCharType="separate"/>
      </w:r>
      <w:r w:rsidRPr="339C1A46">
        <w:rPr>
          <w:rFonts w:asciiTheme="majorHAnsi" w:hAnsiTheme="majorHAnsi" w:cstheme="majorBidi"/>
        </w:rPr>
        <w:t>Figure 2</w:t>
      </w:r>
      <w:r w:rsidRPr="339C1A46">
        <w:rPr>
          <w:rFonts w:asciiTheme="majorHAnsi" w:hAnsiTheme="majorHAnsi" w:cstheme="majorBidi"/>
        </w:rPr>
        <w:fldChar w:fldCharType="end"/>
      </w:r>
      <w:r w:rsidRPr="339C1A46">
        <w:rPr>
          <w:rFonts w:asciiTheme="majorHAnsi" w:hAnsiTheme="majorHAnsi" w:cstheme="majorBidi"/>
        </w:rPr>
        <w:t xml:space="preserve"> breaks down labor income and industry output impact estimates further. It presents the direct, indirect, and induced impacts associated with labor income and industry output from </w:t>
      </w:r>
      <w:r>
        <w:rPr>
          <w:rFonts w:asciiTheme="majorHAnsi" w:hAnsiTheme="majorHAnsi" w:cstheme="majorBidi"/>
        </w:rPr>
        <w:t>all</w:t>
      </w:r>
      <w:r w:rsidRPr="339C1A46">
        <w:rPr>
          <w:rFonts w:asciiTheme="majorHAnsi" w:hAnsiTheme="majorHAnsi" w:cstheme="majorBidi"/>
        </w:rPr>
        <w:t xml:space="preserve"> CY</w:t>
      </w:r>
      <w:r w:rsidR="00BD3D61">
        <w:rPr>
          <w:rFonts w:asciiTheme="majorHAnsi" w:hAnsiTheme="majorHAnsi" w:cstheme="majorBidi"/>
        </w:rPr>
        <w:t>2025</w:t>
      </w:r>
      <w:r w:rsidRPr="339C1A46">
        <w:rPr>
          <w:rFonts w:asciiTheme="majorHAnsi" w:hAnsiTheme="majorHAnsi" w:cstheme="majorBidi"/>
        </w:rPr>
        <w:t xml:space="preserve"> ComEd sectors. The figure segment</w:t>
      </w:r>
      <w:r>
        <w:rPr>
          <w:rFonts w:asciiTheme="majorHAnsi" w:hAnsiTheme="majorHAnsi" w:cstheme="majorBidi"/>
        </w:rPr>
        <w:t>s</w:t>
      </w:r>
      <w:r w:rsidRPr="339C1A46">
        <w:rPr>
          <w:rFonts w:asciiTheme="majorHAnsi" w:hAnsiTheme="majorHAnsi" w:cstheme="majorBidi"/>
        </w:rPr>
        <w:t xml:space="preserve"> these impacts into two categories: </w:t>
      </w:r>
    </w:p>
    <w:p w14:paraId="29302D3A" w14:textId="0E328C2D" w:rsidR="00C435AC" w:rsidRPr="00DF161F" w:rsidRDefault="00C435AC" w:rsidP="000A5752">
      <w:pPr>
        <w:pStyle w:val="ListParagraph"/>
        <w:numPr>
          <w:ilvl w:val="0"/>
          <w:numId w:val="31"/>
        </w:numPr>
      </w:pPr>
      <w:r w:rsidRPr="339C1A46">
        <w:t>Program spending and program-induced spending (incentives, rebates, net incremental costs, program administration, fuel/transportation expenditures etc.) during CY</w:t>
      </w:r>
      <w:r w:rsidR="00BD3D61">
        <w:t>2025</w:t>
      </w:r>
      <w:r w:rsidRPr="339C1A46">
        <w:t xml:space="preserve">, and </w:t>
      </w:r>
    </w:p>
    <w:p w14:paraId="1A892D00" w14:textId="03365CD0" w:rsidR="00C435AC" w:rsidRPr="00DF161F" w:rsidRDefault="00C435AC" w:rsidP="00C435AC">
      <w:pPr>
        <w:pStyle w:val="ListParagraph"/>
        <w:numPr>
          <w:ilvl w:val="0"/>
          <w:numId w:val="31"/>
        </w:numPr>
      </w:pPr>
      <w:r w:rsidRPr="339C1A46">
        <w:t xml:space="preserve">Net ratepayer bill savings (from </w:t>
      </w:r>
      <w:r w:rsidR="00BD3D61">
        <w:t>2025</w:t>
      </w:r>
      <w:r w:rsidRPr="339C1A46">
        <w:t>-</w:t>
      </w:r>
      <w:r w:rsidR="00BD3D61">
        <w:t>2049</w:t>
      </w:r>
      <w:r w:rsidRPr="339C1A46">
        <w:t>).</w:t>
      </w:r>
    </w:p>
    <w:p w14:paraId="1B900895" w14:textId="48849260" w:rsidR="00C435AC" w:rsidRPr="00DF161F" w:rsidRDefault="00C435AC" w:rsidP="00C435AC">
      <w:pPr>
        <w:pStyle w:val="Caption"/>
        <w:ind w:firstLine="720"/>
        <w:rPr>
          <w:rFonts w:asciiTheme="majorHAnsi" w:hAnsiTheme="majorHAnsi" w:cstheme="majorBidi"/>
        </w:rPr>
      </w:pPr>
      <w:bookmarkStart w:id="8" w:name="_Ref74655116"/>
      <w:bookmarkStart w:id="9" w:name="_Ref170469562"/>
      <w:r w:rsidRPr="339C1A46">
        <w:rPr>
          <w:rFonts w:asciiTheme="majorHAnsi" w:hAnsiTheme="majorHAnsi" w:cstheme="majorBidi"/>
        </w:rPr>
        <w:t xml:space="preserve">Figure </w:t>
      </w:r>
      <w:r w:rsidRPr="339C1A46">
        <w:rPr>
          <w:rFonts w:asciiTheme="majorHAnsi" w:hAnsiTheme="majorHAnsi" w:cstheme="majorBidi"/>
        </w:rPr>
        <w:fldChar w:fldCharType="begin"/>
      </w:r>
      <w:r w:rsidRPr="339C1A46">
        <w:rPr>
          <w:rFonts w:asciiTheme="majorHAnsi" w:hAnsiTheme="majorHAnsi" w:cstheme="majorBidi"/>
        </w:rPr>
        <w:instrText>SEQ Figure \* ARABIC</w:instrText>
      </w:r>
      <w:r w:rsidRPr="339C1A46">
        <w:rPr>
          <w:rFonts w:asciiTheme="majorHAnsi" w:hAnsiTheme="majorHAnsi" w:cstheme="majorBidi"/>
        </w:rPr>
        <w:fldChar w:fldCharType="separate"/>
      </w:r>
      <w:r w:rsidRPr="339C1A46">
        <w:rPr>
          <w:rFonts w:asciiTheme="majorHAnsi" w:hAnsiTheme="majorHAnsi" w:cstheme="majorBidi"/>
        </w:rPr>
        <w:t>2</w:t>
      </w:r>
      <w:r w:rsidRPr="339C1A46">
        <w:rPr>
          <w:rFonts w:asciiTheme="majorHAnsi" w:hAnsiTheme="majorHAnsi" w:cstheme="majorBidi"/>
        </w:rPr>
        <w:fldChar w:fldCharType="end"/>
      </w:r>
      <w:bookmarkEnd w:id="8"/>
      <w:bookmarkEnd w:id="9"/>
      <w:r w:rsidRPr="339C1A46">
        <w:rPr>
          <w:rFonts w:asciiTheme="majorHAnsi" w:hAnsiTheme="majorHAnsi" w:cstheme="majorBidi"/>
        </w:rPr>
        <w:t>. ComEd CY</w:t>
      </w:r>
      <w:r w:rsidR="00BD3D61">
        <w:rPr>
          <w:rFonts w:asciiTheme="majorHAnsi" w:hAnsiTheme="majorHAnsi" w:cstheme="majorBidi"/>
        </w:rPr>
        <w:t>2025</w:t>
      </w:r>
      <w:r w:rsidRPr="339C1A46">
        <w:rPr>
          <w:rFonts w:asciiTheme="majorHAnsi" w:hAnsiTheme="majorHAnsi" w:cstheme="majorBidi"/>
        </w:rPr>
        <w:t xml:space="preserve"> Labor Income and Industry Output Impacts </w:t>
      </w:r>
      <w:r w:rsidR="00BD3D61">
        <w:rPr>
          <w:rFonts w:asciiTheme="majorHAnsi" w:hAnsiTheme="majorHAnsi" w:cstheme="majorBidi"/>
        </w:rPr>
        <w:t>2025</w:t>
      </w:r>
      <w:r w:rsidRPr="339C1A46">
        <w:rPr>
          <w:rFonts w:asciiTheme="majorHAnsi" w:hAnsiTheme="majorHAnsi" w:cstheme="majorBidi"/>
        </w:rPr>
        <w:t>-</w:t>
      </w:r>
      <w:r w:rsidR="00BD3D61">
        <w:rPr>
          <w:rFonts w:asciiTheme="majorHAnsi" w:hAnsiTheme="majorHAnsi" w:cstheme="majorBidi"/>
        </w:rPr>
        <w:t>2049</w:t>
      </w:r>
      <w:r w:rsidRPr="339C1A46">
        <w:rPr>
          <w:rFonts w:asciiTheme="majorHAnsi" w:hAnsiTheme="majorHAnsi" w:cstheme="majorBidi"/>
        </w:rPr>
        <w:t xml:space="preserve">) </w:t>
      </w:r>
    </w:p>
    <w:p w14:paraId="7FA5FCB7" w14:textId="79ADB3D7" w:rsidR="00C435AC" w:rsidRPr="00DF161F" w:rsidRDefault="00C435AC" w:rsidP="002359BA">
      <w:pPr>
        <w:spacing w:after="0"/>
        <w:jc w:val="center"/>
      </w:pPr>
      <w:r w:rsidRPr="54D69DD8">
        <w:rPr>
          <w:rFonts w:asciiTheme="majorHAnsi" w:hAnsiTheme="majorHAnsi" w:cstheme="majorBidi"/>
        </w:rPr>
        <w:t xml:space="preserve"> </w:t>
      </w:r>
      <w:r w:rsidR="003011C0" w:rsidRPr="003011C0">
        <w:rPr>
          <w:noProof/>
        </w:rPr>
        <w:drawing>
          <wp:inline distT="0" distB="0" distL="0" distR="0" wp14:anchorId="030444DE" wp14:editId="4EC603D1">
            <wp:extent cx="4561851" cy="2754923"/>
            <wp:effectExtent l="0" t="0" r="0" b="7620"/>
            <wp:docPr id="46626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8443" b="3365"/>
                    <a:stretch>
                      <a:fillRect/>
                    </a:stretch>
                  </pic:blipFill>
                  <pic:spPr bwMode="auto">
                    <a:xfrm>
                      <a:off x="0" y="0"/>
                      <a:ext cx="4562475" cy="2755300"/>
                    </a:xfrm>
                    <a:prstGeom prst="rect">
                      <a:avLst/>
                    </a:prstGeom>
                    <a:noFill/>
                    <a:ln>
                      <a:noFill/>
                    </a:ln>
                    <a:extLst>
                      <a:ext uri="{53640926-AAD7-44D8-BBD7-CCE9431645EC}">
                        <a14:shadowObscured xmlns:a14="http://schemas.microsoft.com/office/drawing/2010/main"/>
                      </a:ext>
                    </a:extLst>
                  </pic:spPr>
                </pic:pic>
              </a:graphicData>
            </a:graphic>
          </wp:inline>
        </w:drawing>
      </w:r>
    </w:p>
    <w:p w14:paraId="1DDCE85A" w14:textId="7F626981" w:rsidR="00C435AC" w:rsidRPr="00DF161F" w:rsidRDefault="00C435AC" w:rsidP="00C435AC">
      <w:pPr>
        <w:ind w:firstLine="720"/>
        <w:rPr>
          <w:rFonts w:asciiTheme="majorHAnsi" w:hAnsiTheme="majorHAnsi" w:cstheme="majorBidi"/>
        </w:rPr>
      </w:pPr>
      <w:r w:rsidRPr="339C1A46">
        <w:rPr>
          <w:rFonts w:asciiTheme="majorHAnsi" w:hAnsiTheme="majorHAnsi" w:cstheme="majorBidi"/>
          <w:i/>
          <w:iCs/>
          <w:sz w:val="16"/>
          <w:szCs w:val="16"/>
        </w:rPr>
        <w:t>Source: Guidehouse analysis of ComEd CY</w:t>
      </w:r>
      <w:r w:rsidR="00BD3D61">
        <w:rPr>
          <w:rFonts w:asciiTheme="majorHAnsi" w:hAnsiTheme="majorHAnsi" w:cstheme="majorBidi"/>
          <w:i/>
          <w:iCs/>
          <w:sz w:val="16"/>
          <w:szCs w:val="16"/>
        </w:rPr>
        <w:t>2025</w:t>
      </w:r>
      <w:r w:rsidRPr="339C1A46">
        <w:rPr>
          <w:rFonts w:asciiTheme="majorHAnsi" w:hAnsiTheme="majorHAnsi" w:cstheme="majorBidi"/>
          <w:i/>
          <w:iCs/>
          <w:sz w:val="16"/>
          <w:szCs w:val="16"/>
        </w:rPr>
        <w:t xml:space="preserve"> Data</w:t>
      </w:r>
    </w:p>
    <w:p w14:paraId="3ECA7F84" w14:textId="77777777" w:rsidR="00C435AC" w:rsidRPr="002D5155" w:rsidRDefault="00C435AC" w:rsidP="00C435AC">
      <w:pPr>
        <w:pStyle w:val="Heading2"/>
        <w:rPr>
          <w:rFonts w:asciiTheme="majorHAnsi" w:hAnsiTheme="majorHAnsi" w:cstheme="majorHAnsi"/>
        </w:rPr>
      </w:pPr>
      <w:r w:rsidRPr="002D5155">
        <w:rPr>
          <w:rFonts w:asciiTheme="majorHAnsi" w:hAnsiTheme="majorHAnsi" w:cstheme="majorHAnsi"/>
        </w:rPr>
        <w:t>Combined Results</w:t>
      </w:r>
    </w:p>
    <w:p w14:paraId="594DECB4" w14:textId="4264304F" w:rsidR="00C435AC" w:rsidRPr="00B542F4" w:rsidRDefault="00C435AC" w:rsidP="00C435AC">
      <w:pPr>
        <w:rPr>
          <w:rFonts w:asciiTheme="majorHAnsi" w:hAnsiTheme="majorHAnsi" w:cstheme="majorBidi"/>
        </w:rPr>
      </w:pPr>
      <w:r w:rsidRPr="339C1A46">
        <w:rPr>
          <w:rFonts w:asciiTheme="majorHAnsi" w:hAnsiTheme="majorHAnsi" w:cstheme="majorBidi"/>
        </w:rPr>
        <w:fldChar w:fldCharType="begin"/>
      </w:r>
      <w:r w:rsidRPr="339C1A46">
        <w:rPr>
          <w:rFonts w:asciiTheme="majorHAnsi" w:hAnsiTheme="majorHAnsi" w:cstheme="majorBidi"/>
        </w:rPr>
        <w:instrText xml:space="preserve"> REF _Ref96677680 \h  \* MERGEFORMAT </w:instrText>
      </w:r>
      <w:r w:rsidRPr="339C1A46">
        <w:rPr>
          <w:rFonts w:asciiTheme="majorHAnsi" w:hAnsiTheme="majorHAnsi" w:cstheme="majorBidi"/>
        </w:rPr>
      </w:r>
      <w:r w:rsidRPr="339C1A46">
        <w:rPr>
          <w:rFonts w:asciiTheme="majorHAnsi" w:hAnsiTheme="majorHAnsi" w:cstheme="majorBidi"/>
        </w:rPr>
        <w:fldChar w:fldCharType="separate"/>
      </w:r>
      <w:r w:rsidRPr="339C1A46">
        <w:rPr>
          <w:rFonts w:asciiTheme="majorHAnsi" w:hAnsiTheme="majorHAnsi" w:cstheme="majorBidi"/>
        </w:rPr>
        <w:t xml:space="preserve">Figure </w:t>
      </w:r>
      <w:r w:rsidRPr="339C1A46">
        <w:rPr>
          <w:rFonts w:asciiTheme="majorHAnsi" w:hAnsiTheme="majorHAnsi" w:cstheme="majorBidi"/>
          <w:noProof/>
        </w:rPr>
        <w:t>3</w:t>
      </w:r>
      <w:r w:rsidRPr="339C1A46">
        <w:rPr>
          <w:rFonts w:asciiTheme="majorHAnsi" w:hAnsiTheme="majorHAnsi" w:cstheme="majorBidi"/>
        </w:rPr>
        <w:fldChar w:fldCharType="end"/>
      </w:r>
      <w:r w:rsidRPr="339C1A46">
        <w:rPr>
          <w:rFonts w:asciiTheme="majorHAnsi" w:hAnsiTheme="majorHAnsi" w:cstheme="majorBidi"/>
        </w:rPr>
        <w:t xml:space="preserve"> provides </w:t>
      </w:r>
      <w:proofErr w:type="gramStart"/>
      <w:r w:rsidRPr="339C1A46">
        <w:rPr>
          <w:rFonts w:asciiTheme="majorHAnsi" w:hAnsiTheme="majorHAnsi" w:cstheme="majorBidi"/>
        </w:rPr>
        <w:t>the CY</w:t>
      </w:r>
      <w:r w:rsidR="00BD3D61">
        <w:rPr>
          <w:rFonts w:asciiTheme="majorHAnsi" w:hAnsiTheme="majorHAnsi" w:cstheme="majorBidi"/>
        </w:rPr>
        <w:t>2025</w:t>
      </w:r>
      <w:proofErr w:type="gramEnd"/>
      <w:r w:rsidRPr="339C1A46">
        <w:rPr>
          <w:rFonts w:asciiTheme="majorHAnsi" w:hAnsiTheme="majorHAnsi" w:cstheme="majorBidi"/>
        </w:rPr>
        <w:t xml:space="preserve"> cumulative economic i</w:t>
      </w:r>
      <w:bookmarkStart w:id="10" w:name="x"/>
      <w:bookmarkEnd w:id="10"/>
      <w:r w:rsidRPr="339C1A46">
        <w:rPr>
          <w:rFonts w:asciiTheme="majorHAnsi" w:hAnsiTheme="majorHAnsi" w:cstheme="majorBidi"/>
        </w:rPr>
        <w:t xml:space="preserve">mpacts for all sectors, estimated at the state level. </w:t>
      </w:r>
    </w:p>
    <w:p w14:paraId="1D7EA868" w14:textId="77777777" w:rsidR="00C435AC" w:rsidRPr="00DF161F" w:rsidRDefault="00C435AC" w:rsidP="00C435AC">
      <w:pPr>
        <w:rPr>
          <w:rFonts w:asciiTheme="majorHAnsi" w:hAnsiTheme="majorHAnsi" w:cstheme="majorBidi"/>
        </w:rPr>
      </w:pPr>
      <w:r w:rsidRPr="339C1A46">
        <w:rPr>
          <w:rFonts w:asciiTheme="majorHAnsi" w:hAnsiTheme="majorHAnsi" w:cstheme="majorBidi"/>
        </w:rPr>
        <w:t>Employment impacts are long-term effects and not confined to a particular year; job-years represent the cumulative employment impacts.</w:t>
      </w:r>
      <w:bookmarkStart w:id="11" w:name="_Hlk74750453"/>
    </w:p>
    <w:p w14:paraId="1F0F70A7" w14:textId="77777777" w:rsidR="00C435AC" w:rsidRPr="00DF161F" w:rsidRDefault="00C435AC" w:rsidP="00C435AC">
      <w:pPr>
        <w:rPr>
          <w:rFonts w:asciiTheme="majorHAnsi" w:hAnsiTheme="majorHAnsi" w:cstheme="majorHAnsi"/>
        </w:rPr>
      </w:pPr>
    </w:p>
    <w:p w14:paraId="2E618C76" w14:textId="3E98F7D9" w:rsidR="00C435AC" w:rsidRPr="00DF161F" w:rsidRDefault="00C435AC" w:rsidP="00C435AC">
      <w:pPr>
        <w:pStyle w:val="Caption"/>
        <w:rPr>
          <w:rFonts w:asciiTheme="majorHAnsi" w:hAnsiTheme="majorHAnsi" w:cstheme="majorBidi"/>
        </w:rPr>
      </w:pPr>
      <w:bookmarkStart w:id="12" w:name="_Ref96677680"/>
      <w:r w:rsidRPr="339C1A46">
        <w:rPr>
          <w:rFonts w:asciiTheme="majorHAnsi" w:hAnsiTheme="majorHAnsi" w:cstheme="majorBidi"/>
        </w:rPr>
        <w:lastRenderedPageBreak/>
        <w:t xml:space="preserve">Figure </w:t>
      </w:r>
      <w:r w:rsidRPr="339C1A46">
        <w:rPr>
          <w:rFonts w:asciiTheme="majorHAnsi" w:hAnsiTheme="majorHAnsi" w:cstheme="majorBidi"/>
        </w:rPr>
        <w:fldChar w:fldCharType="begin"/>
      </w:r>
      <w:r w:rsidRPr="339C1A46">
        <w:rPr>
          <w:rFonts w:asciiTheme="majorHAnsi" w:hAnsiTheme="majorHAnsi" w:cstheme="majorBidi"/>
        </w:rPr>
        <w:instrText>SEQ Figure \* ARABIC</w:instrText>
      </w:r>
      <w:r w:rsidRPr="339C1A46">
        <w:rPr>
          <w:rFonts w:asciiTheme="majorHAnsi" w:hAnsiTheme="majorHAnsi" w:cstheme="majorBidi"/>
        </w:rPr>
        <w:fldChar w:fldCharType="separate"/>
      </w:r>
      <w:r w:rsidRPr="339C1A46">
        <w:rPr>
          <w:rFonts w:asciiTheme="majorHAnsi" w:hAnsiTheme="majorHAnsi" w:cstheme="majorBidi"/>
        </w:rPr>
        <w:t>3</w:t>
      </w:r>
      <w:r w:rsidRPr="339C1A46">
        <w:rPr>
          <w:rFonts w:asciiTheme="majorHAnsi" w:hAnsiTheme="majorHAnsi" w:cstheme="majorBidi"/>
        </w:rPr>
        <w:fldChar w:fldCharType="end"/>
      </w:r>
      <w:bookmarkEnd w:id="12"/>
      <w:r w:rsidRPr="339C1A46">
        <w:rPr>
          <w:rFonts w:asciiTheme="majorHAnsi" w:hAnsiTheme="majorHAnsi" w:cstheme="majorBidi"/>
        </w:rPr>
        <w:t>: Estimate of Cumulative Economic Impacts (</w:t>
      </w:r>
      <w:r w:rsidR="00BD3D61">
        <w:rPr>
          <w:rFonts w:asciiTheme="majorHAnsi" w:hAnsiTheme="majorHAnsi" w:cstheme="majorBidi"/>
        </w:rPr>
        <w:t>2025</w:t>
      </w:r>
      <w:r w:rsidRPr="339C1A46">
        <w:rPr>
          <w:rFonts w:asciiTheme="majorHAnsi" w:hAnsiTheme="majorHAnsi" w:cstheme="majorBidi"/>
        </w:rPr>
        <w:t>-</w:t>
      </w:r>
      <w:r w:rsidR="00BD3D61">
        <w:rPr>
          <w:rFonts w:asciiTheme="majorHAnsi" w:hAnsiTheme="majorHAnsi" w:cstheme="majorBidi"/>
        </w:rPr>
        <w:t>2049</w:t>
      </w:r>
      <w:r w:rsidRPr="339C1A46">
        <w:rPr>
          <w:rFonts w:asciiTheme="majorHAnsi" w:hAnsiTheme="majorHAnsi" w:cstheme="majorBidi"/>
        </w:rPr>
        <w:t xml:space="preserve">) </w:t>
      </w:r>
    </w:p>
    <w:p w14:paraId="6F5663E1" w14:textId="77777777" w:rsidR="00C435AC" w:rsidRPr="00DF161F" w:rsidRDefault="00C435AC" w:rsidP="00C435AC">
      <w:pPr>
        <w:jc w:val="center"/>
        <w:rPr>
          <w:rFonts w:asciiTheme="majorHAnsi" w:hAnsiTheme="majorHAnsi" w:cstheme="majorHAnsi"/>
        </w:rPr>
      </w:pPr>
      <w:r w:rsidRPr="00DF161F">
        <w:rPr>
          <w:rFonts w:asciiTheme="majorHAnsi" w:hAnsiTheme="majorHAnsi" w:cstheme="majorHAnsi"/>
          <w:noProof/>
        </w:rPr>
        <mc:AlternateContent>
          <mc:Choice Requires="wps">
            <w:drawing>
              <wp:anchor distT="0" distB="0" distL="114300" distR="114300" simplePos="0" relativeHeight="251659776" behindDoc="0" locked="0" layoutInCell="1" allowOverlap="1" wp14:anchorId="2FC10BAE" wp14:editId="16B34D68">
                <wp:simplePos x="0" y="0"/>
                <wp:positionH relativeFrom="column">
                  <wp:posOffset>2333625</wp:posOffset>
                </wp:positionH>
                <wp:positionV relativeFrom="paragraph">
                  <wp:posOffset>664845</wp:posOffset>
                </wp:positionV>
                <wp:extent cx="1527810" cy="1581150"/>
                <wp:effectExtent l="0" t="0" r="0" b="0"/>
                <wp:wrapNone/>
                <wp:docPr id="9" name="Rectangle: Rounded Corners 9"/>
                <wp:cNvGraphicFramePr/>
                <a:graphic xmlns:a="http://schemas.openxmlformats.org/drawingml/2006/main">
                  <a:graphicData uri="http://schemas.microsoft.com/office/word/2010/wordprocessingShape">
                    <wps:wsp>
                      <wps:cNvSpPr/>
                      <wps:spPr>
                        <a:xfrm>
                          <a:off x="0" y="0"/>
                          <a:ext cx="1527810" cy="1581150"/>
                        </a:xfrm>
                        <a:prstGeom prst="roundRect">
                          <a:avLst/>
                        </a:prstGeom>
                        <a:solidFill>
                          <a:srgbClr val="03647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20725A" w14:textId="77777777" w:rsidR="00C435AC" w:rsidRPr="00C050C4" w:rsidRDefault="00C435AC" w:rsidP="003011C0">
                            <w:pPr>
                              <w:spacing w:after="0"/>
                              <w:jc w:val="center"/>
                              <w:rPr>
                                <w:b/>
                                <w:bCs/>
                                <w:color w:val="FFFFFF" w:themeColor="background1"/>
                              </w:rPr>
                            </w:pPr>
                            <w:r w:rsidRPr="00C050C4">
                              <w:rPr>
                                <w:b/>
                                <w:bCs/>
                                <w:color w:val="FFFFFF" w:themeColor="background1"/>
                              </w:rPr>
                              <w:t xml:space="preserve">Employment: </w:t>
                            </w:r>
                          </w:p>
                          <w:p w14:paraId="31CF8A70" w14:textId="2F2F0A03" w:rsidR="00C435AC" w:rsidRPr="00C050C4" w:rsidRDefault="003011C0" w:rsidP="003011C0">
                            <w:pPr>
                              <w:spacing w:after="0"/>
                              <w:jc w:val="center"/>
                              <w:rPr>
                                <w:rFonts w:ascii="Calibri" w:hAnsi="Calibri" w:cs="Calibri"/>
                              </w:rPr>
                            </w:pPr>
                            <w:r>
                              <w:rPr>
                                <w:rFonts w:cstheme="minorHAnsi"/>
                                <w:szCs w:val="20"/>
                              </w:rPr>
                              <w:t>27,</w:t>
                            </w:r>
                            <w:r w:rsidR="00EF7F81">
                              <w:rPr>
                                <w:rFonts w:cstheme="minorHAnsi"/>
                                <w:szCs w:val="20"/>
                              </w:rPr>
                              <w:t>645</w:t>
                            </w:r>
                            <w:r w:rsidR="00C435AC">
                              <w:rPr>
                                <w:rFonts w:cstheme="minorHAnsi"/>
                                <w:szCs w:val="20"/>
                              </w:rPr>
                              <w:t xml:space="preserve"> </w:t>
                            </w:r>
                            <w:r w:rsidR="00C435AC" w:rsidRPr="00C050C4">
                              <w:rPr>
                                <w:color w:val="FFFFFF" w:themeColor="background1"/>
                              </w:rPr>
                              <w:t>Job Years</w:t>
                            </w:r>
                          </w:p>
                          <w:p w14:paraId="01FEB6D2" w14:textId="77777777" w:rsidR="00C435AC" w:rsidRPr="00C050C4" w:rsidRDefault="00C435AC" w:rsidP="003011C0">
                            <w:pPr>
                              <w:spacing w:after="0"/>
                              <w:jc w:val="center"/>
                              <w:rPr>
                                <w:b/>
                                <w:bCs/>
                                <w:color w:val="FFFFFF" w:themeColor="background1"/>
                              </w:rPr>
                            </w:pPr>
                            <w:r w:rsidRPr="00C050C4">
                              <w:rPr>
                                <w:b/>
                                <w:bCs/>
                                <w:color w:val="FFFFFF" w:themeColor="background1"/>
                              </w:rPr>
                              <w:t xml:space="preserve">Labor Income: </w:t>
                            </w:r>
                          </w:p>
                          <w:p w14:paraId="23B84F63" w14:textId="15784F6E" w:rsidR="00C435AC" w:rsidRPr="00C050C4" w:rsidRDefault="00C435AC" w:rsidP="003011C0">
                            <w:pPr>
                              <w:spacing w:after="0"/>
                              <w:jc w:val="center"/>
                              <w:rPr>
                                <w:color w:val="FFFFFF" w:themeColor="background1"/>
                              </w:rPr>
                            </w:pPr>
                            <w:r w:rsidRPr="00A27F8C">
                              <w:rPr>
                                <w:color w:val="FFFFFF" w:themeColor="background1"/>
                              </w:rPr>
                              <w:t>$</w:t>
                            </w:r>
                            <w:r w:rsidR="00EF7F81">
                              <w:rPr>
                                <w:color w:val="FFFFFF" w:themeColor="background1"/>
                              </w:rPr>
                              <w:t>1,892</w:t>
                            </w:r>
                            <w:r>
                              <w:rPr>
                                <w:color w:val="FFFFFF" w:themeColor="background1"/>
                              </w:rPr>
                              <w:t xml:space="preserve"> M</w:t>
                            </w:r>
                          </w:p>
                          <w:p w14:paraId="70CA4C2D" w14:textId="0AE2ABF1" w:rsidR="00C435AC" w:rsidRPr="00A94B4A" w:rsidRDefault="00C435AC" w:rsidP="003011C0">
                            <w:pPr>
                              <w:spacing w:after="0"/>
                              <w:jc w:val="center"/>
                              <w:rPr>
                                <w:color w:val="FFFFFF" w:themeColor="background1"/>
                              </w:rPr>
                            </w:pPr>
                            <w:r w:rsidRPr="00C050C4">
                              <w:rPr>
                                <w:b/>
                                <w:bCs/>
                                <w:color w:val="FFFFFF" w:themeColor="background1"/>
                              </w:rPr>
                              <w:t>Industry Output:</w:t>
                            </w:r>
                            <w:r w:rsidRPr="00C050C4">
                              <w:rPr>
                                <w:color w:val="FFFFFF" w:themeColor="background1"/>
                              </w:rPr>
                              <w:t xml:space="preserve"> </w:t>
                            </w:r>
                            <w:r w:rsidRPr="00A27F8C">
                              <w:rPr>
                                <w:color w:val="FFFFFF" w:themeColor="background1"/>
                              </w:rPr>
                              <w:t>$</w:t>
                            </w:r>
                            <w:r w:rsidR="00A02A21">
                              <w:rPr>
                                <w:color w:val="FFFFFF" w:themeColor="background1"/>
                              </w:rPr>
                              <w:t>7,610</w:t>
                            </w:r>
                            <w:r w:rsidRPr="00A27F8C">
                              <w:rPr>
                                <w:color w:val="FFFFFF" w:themeColor="background1"/>
                              </w:rPr>
                              <w:t xml:space="preserve"> M</w:t>
                            </w:r>
                          </w:p>
                          <w:p w14:paraId="1BD94892" w14:textId="77777777" w:rsidR="00C435AC" w:rsidRPr="00A94B4A" w:rsidRDefault="00C435AC" w:rsidP="00C435AC">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10BAE" id="Rectangle: Rounded Corners 9" o:spid="_x0000_s1026" style="position:absolute;left:0;text-align:left;margin-left:183.75pt;margin-top:52.35pt;width:120.3pt;height:1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" fillcolor="#036479" stroked="f" strokeweight="1.5pt">
                <v:stroke joinstyle="miter"/>
                <v:textbox>
                  <w:txbxContent>
                    <w:p w14:paraId="0220725A" w14:textId="77777777" w:rsidR="00C435AC" w:rsidRPr="00C050C4" w:rsidRDefault="00C435AC" w:rsidP="003011C0">
                      <w:pPr>
                        <w:spacing w:after="0"/>
                        <w:jc w:val="center"/>
                        <w:rPr>
                          <w:b/>
                          <w:bCs/>
                          <w:color w:val="FFFFFF" w:themeColor="background1"/>
                        </w:rPr>
                      </w:pPr>
                      <w:r w:rsidRPr="00C050C4">
                        <w:rPr>
                          <w:b/>
                          <w:bCs/>
                          <w:color w:val="FFFFFF" w:themeColor="background1"/>
                        </w:rPr>
                        <w:t xml:space="preserve">Employment: </w:t>
                      </w:r>
                    </w:p>
                    <w:p w14:paraId="31CF8A70" w14:textId="2F2F0A03" w:rsidR="00C435AC" w:rsidRPr="00C050C4" w:rsidRDefault="003011C0" w:rsidP="003011C0">
                      <w:pPr>
                        <w:spacing w:after="0"/>
                        <w:jc w:val="center"/>
                        <w:rPr>
                          <w:rFonts w:ascii="Calibri" w:hAnsi="Calibri" w:cs="Calibri"/>
                        </w:rPr>
                      </w:pPr>
                      <w:r>
                        <w:rPr>
                          <w:rFonts w:cstheme="minorHAnsi"/>
                          <w:szCs w:val="20"/>
                        </w:rPr>
                        <w:t>27,</w:t>
                      </w:r>
                      <w:r w:rsidR="00EF7F81">
                        <w:rPr>
                          <w:rFonts w:cstheme="minorHAnsi"/>
                          <w:szCs w:val="20"/>
                        </w:rPr>
                        <w:t>645</w:t>
                      </w:r>
                      <w:r w:rsidR="00C435AC">
                        <w:rPr>
                          <w:rFonts w:cstheme="minorHAnsi"/>
                          <w:szCs w:val="20"/>
                        </w:rPr>
                        <w:t xml:space="preserve"> </w:t>
                      </w:r>
                      <w:r w:rsidR="00C435AC" w:rsidRPr="00C050C4">
                        <w:rPr>
                          <w:color w:val="FFFFFF" w:themeColor="background1"/>
                        </w:rPr>
                        <w:t>Job Years</w:t>
                      </w:r>
                    </w:p>
                    <w:p w14:paraId="01FEB6D2" w14:textId="77777777" w:rsidR="00C435AC" w:rsidRPr="00C050C4" w:rsidRDefault="00C435AC" w:rsidP="003011C0">
                      <w:pPr>
                        <w:spacing w:after="0"/>
                        <w:jc w:val="center"/>
                        <w:rPr>
                          <w:b/>
                          <w:bCs/>
                          <w:color w:val="FFFFFF" w:themeColor="background1"/>
                        </w:rPr>
                      </w:pPr>
                      <w:r w:rsidRPr="00C050C4">
                        <w:rPr>
                          <w:b/>
                          <w:bCs/>
                          <w:color w:val="FFFFFF" w:themeColor="background1"/>
                        </w:rPr>
                        <w:t xml:space="preserve">Labor Income: </w:t>
                      </w:r>
                    </w:p>
                    <w:p w14:paraId="23B84F63" w14:textId="15784F6E" w:rsidR="00C435AC" w:rsidRPr="00C050C4" w:rsidRDefault="00C435AC" w:rsidP="003011C0">
                      <w:pPr>
                        <w:spacing w:after="0"/>
                        <w:jc w:val="center"/>
                        <w:rPr>
                          <w:color w:val="FFFFFF" w:themeColor="background1"/>
                        </w:rPr>
                      </w:pPr>
                      <w:r w:rsidRPr="00A27F8C">
                        <w:rPr>
                          <w:color w:val="FFFFFF" w:themeColor="background1"/>
                        </w:rPr>
                        <w:t>$</w:t>
                      </w:r>
                      <w:r w:rsidR="00EF7F81">
                        <w:rPr>
                          <w:color w:val="FFFFFF" w:themeColor="background1"/>
                        </w:rPr>
                        <w:t>1,892</w:t>
                      </w:r>
                      <w:r>
                        <w:rPr>
                          <w:color w:val="FFFFFF" w:themeColor="background1"/>
                        </w:rPr>
                        <w:t xml:space="preserve"> M</w:t>
                      </w:r>
                    </w:p>
                    <w:p w14:paraId="70CA4C2D" w14:textId="0AE2ABF1" w:rsidR="00C435AC" w:rsidRPr="00A94B4A" w:rsidRDefault="00C435AC" w:rsidP="003011C0">
                      <w:pPr>
                        <w:spacing w:after="0"/>
                        <w:jc w:val="center"/>
                        <w:rPr>
                          <w:color w:val="FFFFFF" w:themeColor="background1"/>
                        </w:rPr>
                      </w:pPr>
                      <w:r w:rsidRPr="00C050C4">
                        <w:rPr>
                          <w:b/>
                          <w:bCs/>
                          <w:color w:val="FFFFFF" w:themeColor="background1"/>
                        </w:rPr>
                        <w:t>Industry Output:</w:t>
                      </w:r>
                      <w:r w:rsidRPr="00C050C4">
                        <w:rPr>
                          <w:color w:val="FFFFFF" w:themeColor="background1"/>
                        </w:rPr>
                        <w:t xml:space="preserve"> </w:t>
                      </w:r>
                      <w:r w:rsidRPr="00A27F8C">
                        <w:rPr>
                          <w:color w:val="FFFFFF" w:themeColor="background1"/>
                        </w:rPr>
                        <w:t>$</w:t>
                      </w:r>
                      <w:r w:rsidR="00A02A21">
                        <w:rPr>
                          <w:color w:val="FFFFFF" w:themeColor="background1"/>
                        </w:rPr>
                        <w:t>7,610</w:t>
                      </w:r>
                      <w:r w:rsidRPr="00A27F8C">
                        <w:rPr>
                          <w:color w:val="FFFFFF" w:themeColor="background1"/>
                        </w:rPr>
                        <w:t xml:space="preserve"> M</w:t>
                      </w:r>
                    </w:p>
                    <w:p w14:paraId="1BD94892" w14:textId="77777777" w:rsidR="00C435AC" w:rsidRPr="00A94B4A" w:rsidRDefault="00C435AC" w:rsidP="00C435AC">
                      <w:pPr>
                        <w:jc w:val="center"/>
                        <w:rPr>
                          <w:color w:val="FFFFFF" w:themeColor="background1"/>
                        </w:rPr>
                      </w:pPr>
                    </w:p>
                  </w:txbxContent>
                </v:textbox>
              </v:roundrect>
            </w:pict>
          </mc:Fallback>
        </mc:AlternateContent>
      </w:r>
      <w:r w:rsidRPr="08D63B06">
        <w:rPr>
          <w:rFonts w:asciiTheme="majorHAnsi" w:hAnsiTheme="majorHAnsi" w:cstheme="majorBidi"/>
        </w:rPr>
        <w:t xml:space="preserve"> </w:t>
      </w:r>
      <w:r w:rsidRPr="00DF161F">
        <w:rPr>
          <w:rFonts w:asciiTheme="majorHAnsi" w:hAnsiTheme="majorHAnsi" w:cstheme="majorHAnsi"/>
          <w:noProof/>
        </w:rPr>
        <w:drawing>
          <wp:inline distT="0" distB="0" distL="0" distR="0" wp14:anchorId="7659B42E" wp14:editId="5D317C1A">
            <wp:extent cx="1932940" cy="344199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81076" cy="3527705"/>
                    </a:xfrm>
                    <a:prstGeom prst="rect">
                      <a:avLst/>
                    </a:prstGeom>
                  </pic:spPr>
                </pic:pic>
              </a:graphicData>
            </a:graphic>
          </wp:inline>
        </w:drawing>
      </w:r>
    </w:p>
    <w:p w14:paraId="6042A6D9" w14:textId="5546296E" w:rsidR="00C435AC" w:rsidRPr="00DF161F" w:rsidRDefault="00C435AC" w:rsidP="00C435AC">
      <w:pPr>
        <w:pStyle w:val="Source"/>
        <w:jc w:val="center"/>
        <w:rPr>
          <w:rFonts w:asciiTheme="majorHAnsi" w:hAnsiTheme="majorHAnsi" w:cstheme="majorBidi"/>
        </w:rPr>
      </w:pPr>
      <w:r w:rsidRPr="339C1A46">
        <w:rPr>
          <w:rFonts w:asciiTheme="majorHAnsi" w:hAnsiTheme="majorHAnsi" w:cstheme="majorBidi"/>
        </w:rPr>
        <w:t>Source: Guidehouse analysis of ComEd CY</w:t>
      </w:r>
      <w:r w:rsidR="00BD3D61">
        <w:rPr>
          <w:rFonts w:asciiTheme="majorHAnsi" w:hAnsiTheme="majorHAnsi" w:cstheme="majorBidi"/>
        </w:rPr>
        <w:t>2025</w:t>
      </w:r>
      <w:r w:rsidRPr="339C1A46">
        <w:rPr>
          <w:rFonts w:asciiTheme="majorHAnsi" w:hAnsiTheme="majorHAnsi" w:cstheme="majorBidi"/>
        </w:rPr>
        <w:t xml:space="preserve"> Data</w:t>
      </w:r>
    </w:p>
    <w:bookmarkEnd w:id="11"/>
    <w:p w14:paraId="7807B343" w14:textId="77777777" w:rsidR="00C435AC" w:rsidRDefault="00C435AC" w:rsidP="00C435AC">
      <w:pPr>
        <w:rPr>
          <w:rFonts w:asciiTheme="majorHAnsi" w:hAnsiTheme="majorHAnsi" w:cstheme="majorHAnsi"/>
        </w:rPr>
      </w:pPr>
    </w:p>
    <w:p w14:paraId="56DE8273" w14:textId="457A988D" w:rsidR="00C435AC" w:rsidRDefault="00C435AC" w:rsidP="00C435AC">
      <w:r>
        <w:fldChar w:fldCharType="begin"/>
      </w:r>
      <w:r>
        <w:instrText xml:space="preserve"> REF _Ref170469814 \h </w:instrText>
      </w:r>
      <w:r>
        <w:fldChar w:fldCharType="separate"/>
      </w:r>
      <w:r>
        <w:t xml:space="preserve">Table </w:t>
      </w:r>
      <w:r>
        <w:rPr>
          <w:noProof/>
        </w:rPr>
        <w:t>4</w:t>
      </w:r>
      <w:r>
        <w:fldChar w:fldCharType="end"/>
      </w:r>
      <w:r>
        <w:t xml:space="preserve"> and </w:t>
      </w:r>
      <w:r>
        <w:fldChar w:fldCharType="begin"/>
      </w:r>
      <w:r>
        <w:instrText xml:space="preserve"> REF _Ref170469822 \h </w:instrText>
      </w:r>
      <w:r>
        <w:fldChar w:fldCharType="separate"/>
      </w:r>
      <w:r>
        <w:t xml:space="preserve">Table </w:t>
      </w:r>
      <w:r>
        <w:rPr>
          <w:noProof/>
        </w:rPr>
        <w:t>5</w:t>
      </w:r>
      <w:r>
        <w:fldChar w:fldCharType="end"/>
      </w:r>
      <w:r>
        <w:t xml:space="preserve"> provide cumulative economic impacts and employment impacts in a format </w:t>
      </w:r>
      <w:proofErr w:type="gramStart"/>
      <w:r>
        <w:t>similar to</w:t>
      </w:r>
      <w:proofErr w:type="gramEnd"/>
      <w:r>
        <w:t xml:space="preserve"> previous analyses for the purpose of comparison.</w:t>
      </w:r>
    </w:p>
    <w:p w14:paraId="313F4C8C" w14:textId="14BFC503" w:rsidR="00C435AC" w:rsidRPr="002D5155" w:rsidRDefault="00C435AC" w:rsidP="00C435AC">
      <w:pPr>
        <w:pStyle w:val="Caption"/>
      </w:pPr>
      <w:bookmarkStart w:id="13" w:name="_Ref170469814"/>
      <w:r>
        <w:t xml:space="preserve">Table </w:t>
      </w:r>
      <w:r>
        <w:fldChar w:fldCharType="begin"/>
      </w:r>
      <w:r>
        <w:instrText xml:space="preserve"> SEQ Table \* ARABIC </w:instrText>
      </w:r>
      <w:r>
        <w:fldChar w:fldCharType="separate"/>
      </w:r>
      <w:r w:rsidRPr="339C1A46">
        <w:rPr>
          <w:noProof/>
        </w:rPr>
        <w:t>4</w:t>
      </w:r>
      <w:r>
        <w:fldChar w:fldCharType="end"/>
      </w:r>
      <w:bookmarkEnd w:id="13"/>
      <w:r>
        <w:t>. ComEd CY</w:t>
      </w:r>
      <w:r w:rsidR="00BD3D61">
        <w:t>2025</w:t>
      </w:r>
      <w:r>
        <w:t xml:space="preserve"> Energy Efficiency Portfolio Cumulative Economic Impacts (</w:t>
      </w:r>
      <w:r w:rsidR="00BD3D61">
        <w:t>2025</w:t>
      </w:r>
      <w:r>
        <w:t>-</w:t>
      </w:r>
      <w:r w:rsidR="00BD3D61">
        <w:t>2049</w:t>
      </w:r>
      <w:r>
        <w:t>)</w:t>
      </w:r>
    </w:p>
    <w:tbl>
      <w:tblPr>
        <w:tblStyle w:val="GHCustom"/>
        <w:tblW w:w="5000" w:type="pct"/>
        <w:tblLook w:val="04A0" w:firstRow="1" w:lastRow="0" w:firstColumn="1" w:lastColumn="0" w:noHBand="0" w:noVBand="1"/>
      </w:tblPr>
      <w:tblGrid>
        <w:gridCol w:w="2057"/>
        <w:gridCol w:w="1496"/>
        <w:gridCol w:w="2007"/>
        <w:gridCol w:w="2070"/>
        <w:gridCol w:w="1720"/>
      </w:tblGrid>
      <w:tr w:rsidR="00C435AC" w:rsidRPr="00376B88" w14:paraId="3B165928" w14:textId="77777777" w:rsidTr="003075A0">
        <w:trPr>
          <w:cnfStyle w:val="100000000000" w:firstRow="1" w:lastRow="0" w:firstColumn="0" w:lastColumn="0" w:oddVBand="0" w:evenVBand="0" w:oddHBand="0" w:evenHBand="0" w:firstRowFirstColumn="0" w:firstRowLastColumn="0" w:lastRowFirstColumn="0" w:lastRowLastColumn="0"/>
          <w:trHeight w:val="520"/>
          <w:tblHeader/>
        </w:trPr>
        <w:tc>
          <w:tcPr>
            <w:tcW w:w="1100" w:type="pct"/>
            <w:tcBorders>
              <w:top w:val="single" w:sz="4" w:space="0" w:color="auto"/>
              <w:left w:val="single" w:sz="4" w:space="0" w:color="auto"/>
            </w:tcBorders>
            <w:hideMark/>
          </w:tcPr>
          <w:p w14:paraId="6468575F" w14:textId="77777777" w:rsidR="00C435AC" w:rsidRPr="00376B88" w:rsidRDefault="00C435AC" w:rsidP="00C41639">
            <w:pPr>
              <w:spacing w:after="0"/>
              <w:rPr>
                <w:bCs/>
                <w:szCs w:val="22"/>
              </w:rPr>
            </w:pPr>
            <w:r w:rsidRPr="00376B88">
              <w:rPr>
                <w:bCs/>
                <w:szCs w:val="22"/>
              </w:rPr>
              <w:t>Time Period</w:t>
            </w:r>
          </w:p>
        </w:tc>
        <w:tc>
          <w:tcPr>
            <w:tcW w:w="800" w:type="pct"/>
            <w:tcBorders>
              <w:top w:val="single" w:sz="4" w:space="0" w:color="auto"/>
            </w:tcBorders>
            <w:hideMark/>
          </w:tcPr>
          <w:p w14:paraId="11ECC06A" w14:textId="77777777" w:rsidR="00C435AC" w:rsidRPr="00376B88" w:rsidRDefault="00C435AC" w:rsidP="00C41639">
            <w:pPr>
              <w:spacing w:after="0"/>
              <w:rPr>
                <w:bCs/>
                <w:szCs w:val="22"/>
              </w:rPr>
            </w:pPr>
            <w:r w:rsidRPr="00376B88">
              <w:rPr>
                <w:bCs/>
                <w:szCs w:val="22"/>
              </w:rPr>
              <w:t>Impact Type</w:t>
            </w:r>
          </w:p>
        </w:tc>
        <w:tc>
          <w:tcPr>
            <w:tcW w:w="1073" w:type="pct"/>
            <w:tcBorders>
              <w:top w:val="single" w:sz="4" w:space="0" w:color="auto"/>
            </w:tcBorders>
            <w:hideMark/>
          </w:tcPr>
          <w:p w14:paraId="429E615F" w14:textId="77777777" w:rsidR="00C435AC" w:rsidRPr="00376B88" w:rsidRDefault="00C435AC" w:rsidP="00C41639">
            <w:pPr>
              <w:spacing w:after="0"/>
              <w:jc w:val="right"/>
              <w:rPr>
                <w:bCs/>
                <w:szCs w:val="22"/>
              </w:rPr>
            </w:pPr>
            <w:r w:rsidRPr="00376B88">
              <w:rPr>
                <w:bCs/>
                <w:szCs w:val="22"/>
              </w:rPr>
              <w:t>Job Years</w:t>
            </w:r>
          </w:p>
        </w:tc>
        <w:tc>
          <w:tcPr>
            <w:tcW w:w="1107" w:type="pct"/>
            <w:tcBorders>
              <w:top w:val="single" w:sz="4" w:space="0" w:color="auto"/>
            </w:tcBorders>
            <w:hideMark/>
          </w:tcPr>
          <w:p w14:paraId="510A628F" w14:textId="77777777" w:rsidR="00C435AC" w:rsidRPr="00376B88" w:rsidRDefault="00C435AC" w:rsidP="00C41639">
            <w:pPr>
              <w:spacing w:after="0"/>
              <w:jc w:val="right"/>
              <w:rPr>
                <w:b w:val="0"/>
                <w:bCs/>
                <w:szCs w:val="22"/>
              </w:rPr>
            </w:pPr>
            <w:r w:rsidRPr="00376B88">
              <w:rPr>
                <w:bCs/>
                <w:szCs w:val="22"/>
              </w:rPr>
              <w:t xml:space="preserve">Labor Income </w:t>
            </w:r>
          </w:p>
          <w:p w14:paraId="1673FB1E" w14:textId="77777777" w:rsidR="00C435AC" w:rsidRPr="00376B88" w:rsidRDefault="00C435AC" w:rsidP="00C41639">
            <w:pPr>
              <w:spacing w:after="0"/>
              <w:jc w:val="right"/>
              <w:rPr>
                <w:b w:val="0"/>
                <w:szCs w:val="22"/>
              </w:rPr>
            </w:pPr>
            <w:r w:rsidRPr="00376B88">
              <w:rPr>
                <w:bCs/>
                <w:szCs w:val="22"/>
              </w:rPr>
              <w:t>($ Millions)</w:t>
            </w:r>
          </w:p>
        </w:tc>
        <w:tc>
          <w:tcPr>
            <w:tcW w:w="920" w:type="pct"/>
            <w:tcBorders>
              <w:top w:val="single" w:sz="4" w:space="0" w:color="auto"/>
              <w:right w:val="single" w:sz="4" w:space="0" w:color="auto"/>
            </w:tcBorders>
            <w:hideMark/>
          </w:tcPr>
          <w:p w14:paraId="7A756857" w14:textId="77777777" w:rsidR="00C435AC" w:rsidRPr="00376B88" w:rsidRDefault="00C435AC" w:rsidP="00C41639">
            <w:pPr>
              <w:spacing w:after="0"/>
              <w:jc w:val="right"/>
              <w:rPr>
                <w:b w:val="0"/>
                <w:bCs/>
                <w:szCs w:val="22"/>
              </w:rPr>
            </w:pPr>
            <w:r w:rsidRPr="00376B88">
              <w:rPr>
                <w:bCs/>
                <w:szCs w:val="22"/>
              </w:rPr>
              <w:t>Industry Output</w:t>
            </w:r>
          </w:p>
          <w:p w14:paraId="0530C586" w14:textId="77777777" w:rsidR="00C435AC" w:rsidRPr="00376B88" w:rsidRDefault="00C435AC" w:rsidP="00C41639">
            <w:pPr>
              <w:spacing w:after="0"/>
              <w:jc w:val="right"/>
              <w:rPr>
                <w:bCs/>
                <w:szCs w:val="22"/>
              </w:rPr>
            </w:pPr>
            <w:r w:rsidRPr="00376B88">
              <w:rPr>
                <w:bCs/>
                <w:szCs w:val="22"/>
              </w:rPr>
              <w:t>($ Millions)</w:t>
            </w:r>
          </w:p>
        </w:tc>
      </w:tr>
      <w:tr w:rsidR="00376B88" w:rsidRPr="00376B88" w14:paraId="3A747DCB" w14:textId="77777777" w:rsidTr="00017572">
        <w:trPr>
          <w:trHeight w:val="288"/>
        </w:trPr>
        <w:tc>
          <w:tcPr>
            <w:tcW w:w="1100" w:type="pct"/>
            <w:tcBorders>
              <w:left w:val="single" w:sz="4" w:space="0" w:color="auto"/>
            </w:tcBorders>
          </w:tcPr>
          <w:p w14:paraId="39785BC1" w14:textId="3EC0F2EE" w:rsidR="00376B88" w:rsidRPr="00376B88" w:rsidRDefault="00376B88" w:rsidP="00376B88">
            <w:pPr>
              <w:spacing w:after="0"/>
              <w:rPr>
                <w:color w:val="000000"/>
                <w:szCs w:val="22"/>
              </w:rPr>
            </w:pPr>
            <w:r w:rsidRPr="00376B88">
              <w:rPr>
                <w:color w:val="000000"/>
                <w:szCs w:val="22"/>
              </w:rPr>
              <w:t>2025 – 2049</w:t>
            </w:r>
          </w:p>
        </w:tc>
        <w:tc>
          <w:tcPr>
            <w:tcW w:w="800" w:type="pct"/>
          </w:tcPr>
          <w:p w14:paraId="5964C6B7" w14:textId="5AAA67C9" w:rsidR="00376B88" w:rsidRPr="00376B88" w:rsidRDefault="00376B88" w:rsidP="00376B88">
            <w:pPr>
              <w:spacing w:after="0"/>
              <w:rPr>
                <w:color w:val="000000"/>
                <w:szCs w:val="22"/>
              </w:rPr>
            </w:pPr>
            <w:r w:rsidRPr="00376B88">
              <w:rPr>
                <w:color w:val="000000"/>
                <w:szCs w:val="22"/>
              </w:rPr>
              <w:t>Direct</w:t>
            </w:r>
          </w:p>
        </w:tc>
        <w:tc>
          <w:tcPr>
            <w:tcW w:w="1073" w:type="pct"/>
          </w:tcPr>
          <w:p w14:paraId="0A283EE3" w14:textId="68F354B1" w:rsidR="00376B88" w:rsidRPr="00376B88" w:rsidRDefault="00376B88" w:rsidP="00376B88">
            <w:pPr>
              <w:spacing w:after="0"/>
              <w:jc w:val="right"/>
              <w:rPr>
                <w:rFonts w:cs="Calibri"/>
                <w:color w:val="000000"/>
                <w:szCs w:val="22"/>
              </w:rPr>
            </w:pPr>
            <w:r w:rsidRPr="00376B88">
              <w:rPr>
                <w:szCs w:val="22"/>
              </w:rPr>
              <w:t>6,893</w:t>
            </w:r>
          </w:p>
        </w:tc>
        <w:tc>
          <w:tcPr>
            <w:tcW w:w="1107" w:type="pct"/>
          </w:tcPr>
          <w:p w14:paraId="45014D3A" w14:textId="75905271" w:rsidR="00376B88" w:rsidRPr="00376B88" w:rsidRDefault="00376B88" w:rsidP="00376B88">
            <w:pPr>
              <w:spacing w:after="0"/>
              <w:jc w:val="right"/>
              <w:rPr>
                <w:color w:val="000000"/>
                <w:szCs w:val="22"/>
              </w:rPr>
            </w:pPr>
            <w:r w:rsidRPr="00376B88">
              <w:rPr>
                <w:szCs w:val="22"/>
              </w:rPr>
              <w:t>$486</w:t>
            </w:r>
          </w:p>
        </w:tc>
        <w:tc>
          <w:tcPr>
            <w:tcW w:w="920" w:type="pct"/>
            <w:tcBorders>
              <w:right w:val="single" w:sz="4" w:space="0" w:color="auto"/>
            </w:tcBorders>
          </w:tcPr>
          <w:p w14:paraId="5DFC7DD7" w14:textId="20182A21" w:rsidR="00376B88" w:rsidRPr="00376B88" w:rsidRDefault="00376B88" w:rsidP="00376B88">
            <w:pPr>
              <w:spacing w:after="0"/>
              <w:jc w:val="right"/>
              <w:rPr>
                <w:color w:val="000000"/>
                <w:szCs w:val="22"/>
              </w:rPr>
            </w:pPr>
            <w:r w:rsidRPr="00376B88">
              <w:rPr>
                <w:szCs w:val="22"/>
              </w:rPr>
              <w:t>$1,259</w:t>
            </w:r>
          </w:p>
        </w:tc>
      </w:tr>
      <w:tr w:rsidR="00376B88" w:rsidRPr="00376B88" w14:paraId="01E62FC0" w14:textId="77777777" w:rsidTr="00017572">
        <w:trPr>
          <w:trHeight w:val="288"/>
        </w:trPr>
        <w:tc>
          <w:tcPr>
            <w:tcW w:w="1100" w:type="pct"/>
            <w:tcBorders>
              <w:left w:val="single" w:sz="4" w:space="0" w:color="auto"/>
            </w:tcBorders>
          </w:tcPr>
          <w:p w14:paraId="220AA2AC" w14:textId="7527D543" w:rsidR="00376B88" w:rsidRPr="00376B88" w:rsidRDefault="00376B88" w:rsidP="00376B88">
            <w:pPr>
              <w:spacing w:after="0"/>
              <w:rPr>
                <w:color w:val="000000"/>
                <w:szCs w:val="22"/>
              </w:rPr>
            </w:pPr>
            <w:r w:rsidRPr="00376B88">
              <w:rPr>
                <w:color w:val="000000"/>
                <w:szCs w:val="22"/>
              </w:rPr>
              <w:t>2025 – 2049</w:t>
            </w:r>
          </w:p>
        </w:tc>
        <w:tc>
          <w:tcPr>
            <w:tcW w:w="800" w:type="pct"/>
          </w:tcPr>
          <w:p w14:paraId="0D0F76BB" w14:textId="3AC42218" w:rsidR="00376B88" w:rsidRPr="00376B88" w:rsidRDefault="00376B88" w:rsidP="00376B88">
            <w:pPr>
              <w:spacing w:after="0"/>
              <w:rPr>
                <w:color w:val="000000"/>
                <w:szCs w:val="22"/>
              </w:rPr>
            </w:pPr>
            <w:r w:rsidRPr="00376B88">
              <w:rPr>
                <w:color w:val="000000"/>
                <w:szCs w:val="22"/>
              </w:rPr>
              <w:t>Indirect</w:t>
            </w:r>
          </w:p>
        </w:tc>
        <w:tc>
          <w:tcPr>
            <w:tcW w:w="1073" w:type="pct"/>
          </w:tcPr>
          <w:p w14:paraId="254A9A09" w14:textId="5A04FB97" w:rsidR="00376B88" w:rsidRPr="00376B88" w:rsidRDefault="00376B88" w:rsidP="00376B88">
            <w:pPr>
              <w:spacing w:after="0"/>
              <w:jc w:val="right"/>
              <w:rPr>
                <w:rFonts w:cs="Calibri"/>
                <w:color w:val="000000"/>
                <w:szCs w:val="22"/>
              </w:rPr>
            </w:pPr>
            <w:r w:rsidRPr="00376B88">
              <w:rPr>
                <w:szCs w:val="22"/>
              </w:rPr>
              <w:t>2,464</w:t>
            </w:r>
          </w:p>
        </w:tc>
        <w:tc>
          <w:tcPr>
            <w:tcW w:w="1107" w:type="pct"/>
          </w:tcPr>
          <w:p w14:paraId="3A04044A" w14:textId="6B45B2A8" w:rsidR="00376B88" w:rsidRPr="00376B88" w:rsidRDefault="00376B88" w:rsidP="00376B88">
            <w:pPr>
              <w:spacing w:after="0"/>
              <w:jc w:val="right"/>
              <w:rPr>
                <w:color w:val="000000"/>
                <w:szCs w:val="22"/>
              </w:rPr>
            </w:pPr>
            <w:r w:rsidRPr="00376B88">
              <w:rPr>
                <w:szCs w:val="22"/>
              </w:rPr>
              <w:t>$210</w:t>
            </w:r>
          </w:p>
        </w:tc>
        <w:tc>
          <w:tcPr>
            <w:tcW w:w="920" w:type="pct"/>
            <w:tcBorders>
              <w:right w:val="single" w:sz="4" w:space="0" w:color="auto"/>
            </w:tcBorders>
          </w:tcPr>
          <w:p w14:paraId="47256D7D" w14:textId="75412786" w:rsidR="00376B88" w:rsidRPr="00376B88" w:rsidRDefault="00376B88" w:rsidP="00376B88">
            <w:pPr>
              <w:spacing w:after="0"/>
              <w:jc w:val="right"/>
              <w:rPr>
                <w:color w:val="000000"/>
                <w:szCs w:val="22"/>
              </w:rPr>
            </w:pPr>
            <w:r w:rsidRPr="00376B88">
              <w:rPr>
                <w:szCs w:val="22"/>
              </w:rPr>
              <w:t>$620</w:t>
            </w:r>
          </w:p>
        </w:tc>
      </w:tr>
      <w:tr w:rsidR="00376B88" w:rsidRPr="00376B88" w14:paraId="7A44BDD5" w14:textId="77777777" w:rsidTr="00017572">
        <w:trPr>
          <w:trHeight w:val="288"/>
        </w:trPr>
        <w:tc>
          <w:tcPr>
            <w:tcW w:w="1100" w:type="pct"/>
            <w:tcBorders>
              <w:left w:val="single" w:sz="4" w:space="0" w:color="auto"/>
            </w:tcBorders>
          </w:tcPr>
          <w:p w14:paraId="76C29C55" w14:textId="142D6B65" w:rsidR="00376B88" w:rsidRPr="00376B88" w:rsidRDefault="00376B88" w:rsidP="00376B88">
            <w:pPr>
              <w:spacing w:after="0"/>
              <w:rPr>
                <w:color w:val="000000"/>
                <w:szCs w:val="22"/>
              </w:rPr>
            </w:pPr>
            <w:r w:rsidRPr="00376B88">
              <w:rPr>
                <w:color w:val="000000"/>
                <w:szCs w:val="22"/>
              </w:rPr>
              <w:t>2025 – 2049</w:t>
            </w:r>
          </w:p>
        </w:tc>
        <w:tc>
          <w:tcPr>
            <w:tcW w:w="800" w:type="pct"/>
          </w:tcPr>
          <w:p w14:paraId="22F462F1" w14:textId="4D5017A4" w:rsidR="00376B88" w:rsidRPr="00376B88" w:rsidRDefault="00376B88" w:rsidP="00376B88">
            <w:pPr>
              <w:spacing w:after="0"/>
              <w:rPr>
                <w:color w:val="000000"/>
                <w:szCs w:val="22"/>
              </w:rPr>
            </w:pPr>
            <w:r w:rsidRPr="00376B88">
              <w:rPr>
                <w:color w:val="000000"/>
                <w:szCs w:val="22"/>
              </w:rPr>
              <w:t>Induced</w:t>
            </w:r>
          </w:p>
        </w:tc>
        <w:tc>
          <w:tcPr>
            <w:tcW w:w="1073" w:type="pct"/>
          </w:tcPr>
          <w:p w14:paraId="14847DE9" w14:textId="0C34C246" w:rsidR="00376B88" w:rsidRPr="00376B88" w:rsidRDefault="00376B88" w:rsidP="00376B88">
            <w:pPr>
              <w:spacing w:after="0"/>
              <w:jc w:val="right"/>
              <w:rPr>
                <w:rFonts w:cs="Calibri"/>
                <w:color w:val="000000"/>
                <w:szCs w:val="22"/>
              </w:rPr>
            </w:pPr>
            <w:r w:rsidRPr="00376B88">
              <w:rPr>
                <w:szCs w:val="22"/>
              </w:rPr>
              <w:t>18,289</w:t>
            </w:r>
          </w:p>
        </w:tc>
        <w:tc>
          <w:tcPr>
            <w:tcW w:w="1107" w:type="pct"/>
          </w:tcPr>
          <w:p w14:paraId="39DF1CA0" w14:textId="1C9FE32C" w:rsidR="00376B88" w:rsidRPr="00376B88" w:rsidRDefault="00376B88" w:rsidP="00376B88">
            <w:pPr>
              <w:spacing w:after="0"/>
              <w:jc w:val="right"/>
              <w:rPr>
                <w:color w:val="000000"/>
                <w:szCs w:val="22"/>
              </w:rPr>
            </w:pPr>
            <w:r w:rsidRPr="00376B88">
              <w:rPr>
                <w:szCs w:val="22"/>
              </w:rPr>
              <w:t>$1,196</w:t>
            </w:r>
          </w:p>
        </w:tc>
        <w:tc>
          <w:tcPr>
            <w:tcW w:w="920" w:type="pct"/>
            <w:tcBorders>
              <w:right w:val="single" w:sz="4" w:space="0" w:color="auto"/>
            </w:tcBorders>
          </w:tcPr>
          <w:p w14:paraId="3F59FCD1" w14:textId="04C0AEEE" w:rsidR="00376B88" w:rsidRPr="00376B88" w:rsidRDefault="00376B88" w:rsidP="00376B88">
            <w:pPr>
              <w:spacing w:after="0"/>
              <w:jc w:val="right"/>
              <w:rPr>
                <w:color w:val="000000"/>
                <w:szCs w:val="22"/>
              </w:rPr>
            </w:pPr>
            <w:r w:rsidRPr="00376B88">
              <w:rPr>
                <w:szCs w:val="22"/>
              </w:rPr>
              <w:t>$5,731</w:t>
            </w:r>
          </w:p>
        </w:tc>
      </w:tr>
      <w:tr w:rsidR="00376B88" w:rsidRPr="00376B88" w14:paraId="12DDDE45" w14:textId="77777777" w:rsidTr="00017572">
        <w:trPr>
          <w:trHeight w:val="288"/>
        </w:trPr>
        <w:tc>
          <w:tcPr>
            <w:tcW w:w="1100" w:type="pct"/>
            <w:tcBorders>
              <w:left w:val="single" w:sz="4" w:space="0" w:color="auto"/>
            </w:tcBorders>
          </w:tcPr>
          <w:p w14:paraId="3A338166" w14:textId="2D7DC581" w:rsidR="00376B88" w:rsidRPr="00376B88" w:rsidRDefault="00376B88" w:rsidP="00376B88">
            <w:pPr>
              <w:spacing w:after="0"/>
              <w:rPr>
                <w:b/>
                <w:bCs/>
                <w:color w:val="000000"/>
                <w:szCs w:val="22"/>
              </w:rPr>
            </w:pPr>
            <w:r w:rsidRPr="00376B88">
              <w:rPr>
                <w:b/>
                <w:bCs/>
                <w:color w:val="000000"/>
                <w:szCs w:val="22"/>
              </w:rPr>
              <w:t>2025 – 2049</w:t>
            </w:r>
          </w:p>
        </w:tc>
        <w:tc>
          <w:tcPr>
            <w:tcW w:w="800" w:type="pct"/>
          </w:tcPr>
          <w:p w14:paraId="64F80AFB" w14:textId="57F54098" w:rsidR="00376B88" w:rsidRPr="00376B88" w:rsidRDefault="00376B88" w:rsidP="00376B88">
            <w:pPr>
              <w:spacing w:after="0"/>
              <w:rPr>
                <w:b/>
                <w:bCs/>
                <w:color w:val="000000"/>
                <w:szCs w:val="22"/>
              </w:rPr>
            </w:pPr>
            <w:r w:rsidRPr="00376B88">
              <w:rPr>
                <w:b/>
                <w:bCs/>
                <w:color w:val="000000"/>
                <w:szCs w:val="22"/>
              </w:rPr>
              <w:t>Total</w:t>
            </w:r>
          </w:p>
        </w:tc>
        <w:tc>
          <w:tcPr>
            <w:tcW w:w="1073" w:type="pct"/>
          </w:tcPr>
          <w:p w14:paraId="1ACA32BA" w14:textId="5F0DB8EA" w:rsidR="00376B88" w:rsidRPr="00376B88" w:rsidRDefault="00376B88" w:rsidP="00376B88">
            <w:pPr>
              <w:spacing w:after="0"/>
              <w:jc w:val="right"/>
              <w:rPr>
                <w:rFonts w:cs="Calibri"/>
                <w:b/>
                <w:bCs/>
                <w:color w:val="000000"/>
                <w:szCs w:val="22"/>
              </w:rPr>
            </w:pPr>
            <w:r w:rsidRPr="00376B88">
              <w:rPr>
                <w:b/>
                <w:bCs/>
                <w:szCs w:val="22"/>
              </w:rPr>
              <w:t>27,646</w:t>
            </w:r>
          </w:p>
        </w:tc>
        <w:tc>
          <w:tcPr>
            <w:tcW w:w="1107" w:type="pct"/>
          </w:tcPr>
          <w:p w14:paraId="5A08C07E" w14:textId="324E58EA" w:rsidR="00376B88" w:rsidRPr="00376B88" w:rsidRDefault="00376B88" w:rsidP="00376B88">
            <w:pPr>
              <w:spacing w:after="0"/>
              <w:jc w:val="right"/>
              <w:rPr>
                <w:b/>
                <w:bCs/>
                <w:color w:val="000000"/>
                <w:szCs w:val="22"/>
              </w:rPr>
            </w:pPr>
            <w:r w:rsidRPr="00376B88">
              <w:rPr>
                <w:b/>
                <w:bCs/>
                <w:szCs w:val="22"/>
              </w:rPr>
              <w:t>$1,892</w:t>
            </w:r>
          </w:p>
        </w:tc>
        <w:tc>
          <w:tcPr>
            <w:tcW w:w="920" w:type="pct"/>
            <w:tcBorders>
              <w:right w:val="single" w:sz="4" w:space="0" w:color="auto"/>
            </w:tcBorders>
          </w:tcPr>
          <w:p w14:paraId="1CCD8116" w14:textId="1722ACA0" w:rsidR="00376B88" w:rsidRPr="00376B88" w:rsidRDefault="00376B88" w:rsidP="00376B88">
            <w:pPr>
              <w:spacing w:after="0"/>
              <w:jc w:val="right"/>
              <w:rPr>
                <w:b/>
                <w:bCs/>
                <w:color w:val="000000"/>
                <w:szCs w:val="22"/>
              </w:rPr>
            </w:pPr>
            <w:r w:rsidRPr="00376B88">
              <w:rPr>
                <w:b/>
                <w:bCs/>
                <w:szCs w:val="22"/>
              </w:rPr>
              <w:t>$7,610</w:t>
            </w:r>
          </w:p>
        </w:tc>
      </w:tr>
      <w:tr w:rsidR="00C435AC" w:rsidRPr="00376B88" w14:paraId="4B3A3D27" w14:textId="77777777" w:rsidTr="00017572">
        <w:trPr>
          <w:trHeight w:val="288"/>
        </w:trPr>
        <w:tc>
          <w:tcPr>
            <w:tcW w:w="1100" w:type="pct"/>
            <w:tcBorders>
              <w:left w:val="single" w:sz="4" w:space="0" w:color="auto"/>
            </w:tcBorders>
          </w:tcPr>
          <w:p w14:paraId="63672534" w14:textId="77777777" w:rsidR="00C435AC" w:rsidRPr="00376B88" w:rsidRDefault="00C435AC" w:rsidP="00C41639">
            <w:pPr>
              <w:spacing w:after="0"/>
              <w:rPr>
                <w:szCs w:val="22"/>
              </w:rPr>
            </w:pPr>
            <w:r w:rsidRPr="00376B88">
              <w:rPr>
                <w:color w:val="000000"/>
                <w:szCs w:val="22"/>
              </w:rPr>
              <w:t>2024 – 2048</w:t>
            </w:r>
          </w:p>
        </w:tc>
        <w:tc>
          <w:tcPr>
            <w:tcW w:w="800" w:type="pct"/>
          </w:tcPr>
          <w:p w14:paraId="070B1549" w14:textId="77777777" w:rsidR="00C435AC" w:rsidRPr="00376B88" w:rsidRDefault="00C435AC" w:rsidP="00C41639">
            <w:pPr>
              <w:spacing w:after="0"/>
              <w:rPr>
                <w:szCs w:val="22"/>
              </w:rPr>
            </w:pPr>
            <w:r w:rsidRPr="00376B88">
              <w:rPr>
                <w:color w:val="000000"/>
                <w:szCs w:val="22"/>
              </w:rPr>
              <w:t>Direct</w:t>
            </w:r>
          </w:p>
        </w:tc>
        <w:tc>
          <w:tcPr>
            <w:tcW w:w="1073" w:type="pct"/>
          </w:tcPr>
          <w:p w14:paraId="4F3C3961" w14:textId="77777777" w:rsidR="00C435AC" w:rsidRPr="00376B88" w:rsidRDefault="00C435AC" w:rsidP="00C41639">
            <w:pPr>
              <w:spacing w:after="0"/>
              <w:jc w:val="right"/>
              <w:rPr>
                <w:szCs w:val="22"/>
              </w:rPr>
            </w:pPr>
            <w:r w:rsidRPr="00376B88">
              <w:rPr>
                <w:rFonts w:cs="Calibri"/>
                <w:color w:val="000000"/>
                <w:szCs w:val="22"/>
              </w:rPr>
              <w:t>7,180</w:t>
            </w:r>
          </w:p>
        </w:tc>
        <w:tc>
          <w:tcPr>
            <w:tcW w:w="1107" w:type="pct"/>
          </w:tcPr>
          <w:p w14:paraId="5472305A" w14:textId="0B04B7F0" w:rsidR="00C435AC" w:rsidRPr="00376B88" w:rsidRDefault="00C435AC" w:rsidP="00C41639">
            <w:pPr>
              <w:spacing w:after="0"/>
              <w:jc w:val="right"/>
              <w:rPr>
                <w:szCs w:val="22"/>
              </w:rPr>
            </w:pPr>
            <w:r w:rsidRPr="00376B88">
              <w:rPr>
                <w:color w:val="000000"/>
                <w:szCs w:val="22"/>
              </w:rPr>
              <w:t>$509</w:t>
            </w:r>
          </w:p>
        </w:tc>
        <w:tc>
          <w:tcPr>
            <w:tcW w:w="920" w:type="pct"/>
            <w:tcBorders>
              <w:right w:val="single" w:sz="4" w:space="0" w:color="auto"/>
            </w:tcBorders>
          </w:tcPr>
          <w:p w14:paraId="3BB5DF09" w14:textId="5EC7E8F9" w:rsidR="00C435AC" w:rsidRPr="00376B88" w:rsidRDefault="00C435AC" w:rsidP="00C41639">
            <w:pPr>
              <w:spacing w:after="0"/>
              <w:jc w:val="right"/>
              <w:rPr>
                <w:szCs w:val="22"/>
              </w:rPr>
            </w:pPr>
            <w:r w:rsidRPr="00376B88">
              <w:rPr>
                <w:color w:val="000000"/>
                <w:szCs w:val="22"/>
              </w:rPr>
              <w:t>$1,407</w:t>
            </w:r>
          </w:p>
        </w:tc>
      </w:tr>
      <w:tr w:rsidR="00C435AC" w:rsidRPr="00376B88" w14:paraId="6EA39F7F" w14:textId="77777777" w:rsidTr="00017572">
        <w:trPr>
          <w:trHeight w:val="288"/>
        </w:trPr>
        <w:tc>
          <w:tcPr>
            <w:tcW w:w="1100" w:type="pct"/>
            <w:tcBorders>
              <w:left w:val="single" w:sz="4" w:space="0" w:color="auto"/>
            </w:tcBorders>
          </w:tcPr>
          <w:p w14:paraId="1448D5B1" w14:textId="77777777" w:rsidR="00C435AC" w:rsidRPr="00376B88" w:rsidRDefault="00C435AC" w:rsidP="00C41639">
            <w:pPr>
              <w:spacing w:after="0"/>
              <w:rPr>
                <w:szCs w:val="22"/>
              </w:rPr>
            </w:pPr>
            <w:r w:rsidRPr="00376B88">
              <w:rPr>
                <w:color w:val="000000"/>
                <w:szCs w:val="22"/>
              </w:rPr>
              <w:t>2024– 2048</w:t>
            </w:r>
          </w:p>
        </w:tc>
        <w:tc>
          <w:tcPr>
            <w:tcW w:w="800" w:type="pct"/>
          </w:tcPr>
          <w:p w14:paraId="493A9695" w14:textId="77777777" w:rsidR="00C435AC" w:rsidRPr="00376B88" w:rsidRDefault="00C435AC" w:rsidP="00C41639">
            <w:pPr>
              <w:spacing w:after="0"/>
              <w:rPr>
                <w:szCs w:val="22"/>
              </w:rPr>
            </w:pPr>
            <w:r w:rsidRPr="00376B88">
              <w:rPr>
                <w:color w:val="000000"/>
                <w:szCs w:val="22"/>
              </w:rPr>
              <w:t>Indirect</w:t>
            </w:r>
          </w:p>
        </w:tc>
        <w:tc>
          <w:tcPr>
            <w:tcW w:w="1073" w:type="pct"/>
          </w:tcPr>
          <w:p w14:paraId="67AF9D34" w14:textId="77777777" w:rsidR="00C435AC" w:rsidRPr="00376B88" w:rsidRDefault="00C435AC" w:rsidP="00C41639">
            <w:pPr>
              <w:spacing w:after="0"/>
              <w:jc w:val="right"/>
              <w:rPr>
                <w:szCs w:val="22"/>
              </w:rPr>
            </w:pPr>
            <w:r w:rsidRPr="00376B88">
              <w:rPr>
                <w:rFonts w:cs="Calibri"/>
                <w:color w:val="000000"/>
                <w:szCs w:val="22"/>
              </w:rPr>
              <w:t>2,640</w:t>
            </w:r>
          </w:p>
        </w:tc>
        <w:tc>
          <w:tcPr>
            <w:tcW w:w="1107" w:type="pct"/>
          </w:tcPr>
          <w:p w14:paraId="572ED43E" w14:textId="734F4B1D" w:rsidR="00C435AC" w:rsidRPr="00376B88" w:rsidRDefault="00C435AC" w:rsidP="00C41639">
            <w:pPr>
              <w:spacing w:after="0"/>
              <w:jc w:val="right"/>
              <w:rPr>
                <w:szCs w:val="22"/>
              </w:rPr>
            </w:pPr>
            <w:r w:rsidRPr="00376B88">
              <w:rPr>
                <w:color w:val="000000"/>
                <w:szCs w:val="22"/>
              </w:rPr>
              <w:t>$228</w:t>
            </w:r>
          </w:p>
        </w:tc>
        <w:tc>
          <w:tcPr>
            <w:tcW w:w="920" w:type="pct"/>
            <w:tcBorders>
              <w:right w:val="single" w:sz="4" w:space="0" w:color="auto"/>
            </w:tcBorders>
          </w:tcPr>
          <w:p w14:paraId="3A912E22" w14:textId="0A236441" w:rsidR="00C435AC" w:rsidRPr="00376B88" w:rsidRDefault="00C435AC" w:rsidP="00C41639">
            <w:pPr>
              <w:spacing w:after="0"/>
              <w:jc w:val="right"/>
              <w:rPr>
                <w:szCs w:val="22"/>
              </w:rPr>
            </w:pPr>
            <w:r w:rsidRPr="00376B88">
              <w:rPr>
                <w:color w:val="000000"/>
                <w:szCs w:val="22"/>
              </w:rPr>
              <w:t>$674</w:t>
            </w:r>
          </w:p>
        </w:tc>
      </w:tr>
      <w:tr w:rsidR="00C435AC" w:rsidRPr="00376B88" w14:paraId="297DAE11" w14:textId="77777777" w:rsidTr="00017572">
        <w:trPr>
          <w:trHeight w:val="288"/>
        </w:trPr>
        <w:tc>
          <w:tcPr>
            <w:tcW w:w="1100" w:type="pct"/>
            <w:tcBorders>
              <w:left w:val="single" w:sz="4" w:space="0" w:color="auto"/>
            </w:tcBorders>
          </w:tcPr>
          <w:p w14:paraId="162AC07A" w14:textId="77777777" w:rsidR="00C435AC" w:rsidRPr="00376B88" w:rsidRDefault="00C435AC" w:rsidP="00C41639">
            <w:pPr>
              <w:spacing w:after="0"/>
              <w:rPr>
                <w:szCs w:val="22"/>
              </w:rPr>
            </w:pPr>
            <w:r w:rsidRPr="00376B88">
              <w:rPr>
                <w:color w:val="000000"/>
                <w:szCs w:val="22"/>
              </w:rPr>
              <w:t>2024 – 2048</w:t>
            </w:r>
          </w:p>
        </w:tc>
        <w:tc>
          <w:tcPr>
            <w:tcW w:w="800" w:type="pct"/>
          </w:tcPr>
          <w:p w14:paraId="0126CD2F" w14:textId="77777777" w:rsidR="00C435AC" w:rsidRPr="00376B88" w:rsidRDefault="00C435AC" w:rsidP="00C41639">
            <w:pPr>
              <w:spacing w:after="0"/>
              <w:rPr>
                <w:szCs w:val="22"/>
              </w:rPr>
            </w:pPr>
            <w:r w:rsidRPr="00376B88">
              <w:rPr>
                <w:color w:val="000000"/>
                <w:szCs w:val="22"/>
              </w:rPr>
              <w:t>Induced</w:t>
            </w:r>
          </w:p>
        </w:tc>
        <w:tc>
          <w:tcPr>
            <w:tcW w:w="1073" w:type="pct"/>
          </w:tcPr>
          <w:p w14:paraId="489A34C7" w14:textId="77777777" w:rsidR="00C435AC" w:rsidRPr="00376B88" w:rsidRDefault="00C435AC" w:rsidP="00C41639">
            <w:pPr>
              <w:spacing w:after="0"/>
              <w:jc w:val="right"/>
              <w:rPr>
                <w:szCs w:val="22"/>
              </w:rPr>
            </w:pPr>
            <w:r w:rsidRPr="00376B88">
              <w:rPr>
                <w:rFonts w:cs="Calibri"/>
                <w:color w:val="000000"/>
                <w:szCs w:val="22"/>
              </w:rPr>
              <w:t>19,359</w:t>
            </w:r>
          </w:p>
        </w:tc>
        <w:tc>
          <w:tcPr>
            <w:tcW w:w="1107" w:type="pct"/>
          </w:tcPr>
          <w:p w14:paraId="5EE792AE" w14:textId="3FB0EA3F" w:rsidR="00C435AC" w:rsidRPr="00376B88" w:rsidRDefault="00C435AC" w:rsidP="00C41639">
            <w:pPr>
              <w:spacing w:after="0"/>
              <w:jc w:val="right"/>
              <w:rPr>
                <w:szCs w:val="22"/>
              </w:rPr>
            </w:pPr>
            <w:r w:rsidRPr="00376B88">
              <w:rPr>
                <w:color w:val="000000"/>
                <w:szCs w:val="22"/>
              </w:rPr>
              <w:t>$1,266</w:t>
            </w:r>
          </w:p>
        </w:tc>
        <w:tc>
          <w:tcPr>
            <w:tcW w:w="920" w:type="pct"/>
            <w:tcBorders>
              <w:right w:val="single" w:sz="4" w:space="0" w:color="auto"/>
            </w:tcBorders>
          </w:tcPr>
          <w:p w14:paraId="74F30116" w14:textId="7CB15176" w:rsidR="00C435AC" w:rsidRPr="00376B88" w:rsidRDefault="00C435AC" w:rsidP="00C41639">
            <w:pPr>
              <w:spacing w:after="0"/>
              <w:jc w:val="right"/>
              <w:rPr>
                <w:szCs w:val="22"/>
              </w:rPr>
            </w:pPr>
            <w:r w:rsidRPr="00376B88">
              <w:rPr>
                <w:color w:val="000000"/>
                <w:szCs w:val="22"/>
              </w:rPr>
              <w:t>$6,067</w:t>
            </w:r>
          </w:p>
        </w:tc>
      </w:tr>
      <w:tr w:rsidR="00C435AC" w:rsidRPr="00376B88" w14:paraId="51CFF82B" w14:textId="77777777" w:rsidTr="00017572">
        <w:trPr>
          <w:trHeight w:val="288"/>
        </w:trPr>
        <w:tc>
          <w:tcPr>
            <w:tcW w:w="1100" w:type="pct"/>
            <w:tcBorders>
              <w:left w:val="single" w:sz="4" w:space="0" w:color="auto"/>
            </w:tcBorders>
          </w:tcPr>
          <w:p w14:paraId="558B8C6E" w14:textId="77777777" w:rsidR="00C435AC" w:rsidRPr="00376B88" w:rsidRDefault="00C435AC" w:rsidP="00C41639">
            <w:pPr>
              <w:spacing w:after="0"/>
              <w:rPr>
                <w:szCs w:val="22"/>
              </w:rPr>
            </w:pPr>
            <w:r w:rsidRPr="00376B88">
              <w:rPr>
                <w:b/>
                <w:bCs/>
                <w:color w:val="000000"/>
                <w:szCs w:val="22"/>
              </w:rPr>
              <w:t>2024 – 2048</w:t>
            </w:r>
          </w:p>
        </w:tc>
        <w:tc>
          <w:tcPr>
            <w:tcW w:w="800" w:type="pct"/>
          </w:tcPr>
          <w:p w14:paraId="65973206" w14:textId="77777777" w:rsidR="00C435AC" w:rsidRPr="00376B88" w:rsidRDefault="00C435AC" w:rsidP="00C41639">
            <w:pPr>
              <w:spacing w:after="0"/>
              <w:rPr>
                <w:szCs w:val="22"/>
              </w:rPr>
            </w:pPr>
            <w:r w:rsidRPr="00376B88">
              <w:rPr>
                <w:b/>
                <w:bCs/>
                <w:color w:val="000000"/>
                <w:szCs w:val="22"/>
              </w:rPr>
              <w:t>Total</w:t>
            </w:r>
          </w:p>
        </w:tc>
        <w:tc>
          <w:tcPr>
            <w:tcW w:w="1073" w:type="pct"/>
          </w:tcPr>
          <w:p w14:paraId="7466F6C1" w14:textId="77777777" w:rsidR="00C435AC" w:rsidRPr="00376B88" w:rsidRDefault="00C435AC" w:rsidP="00C41639">
            <w:pPr>
              <w:spacing w:after="0"/>
              <w:jc w:val="right"/>
              <w:rPr>
                <w:b/>
                <w:bCs/>
                <w:szCs w:val="22"/>
              </w:rPr>
            </w:pPr>
            <w:r w:rsidRPr="00376B88">
              <w:rPr>
                <w:rFonts w:cs="Calibri"/>
                <w:b/>
                <w:bCs/>
                <w:color w:val="000000"/>
                <w:szCs w:val="22"/>
              </w:rPr>
              <w:t>29,179</w:t>
            </w:r>
          </w:p>
        </w:tc>
        <w:tc>
          <w:tcPr>
            <w:tcW w:w="1107" w:type="pct"/>
          </w:tcPr>
          <w:p w14:paraId="2D153D81" w14:textId="4653B6CD" w:rsidR="00C435AC" w:rsidRPr="00376B88" w:rsidRDefault="00C435AC" w:rsidP="00C41639">
            <w:pPr>
              <w:spacing w:after="0"/>
              <w:jc w:val="right"/>
              <w:rPr>
                <w:b/>
                <w:bCs/>
                <w:szCs w:val="22"/>
              </w:rPr>
            </w:pPr>
            <w:r w:rsidRPr="00376B88">
              <w:rPr>
                <w:b/>
                <w:bCs/>
                <w:color w:val="000000"/>
                <w:szCs w:val="22"/>
              </w:rPr>
              <w:t>$2,003</w:t>
            </w:r>
          </w:p>
        </w:tc>
        <w:tc>
          <w:tcPr>
            <w:tcW w:w="920" w:type="pct"/>
            <w:tcBorders>
              <w:right w:val="single" w:sz="4" w:space="0" w:color="auto"/>
            </w:tcBorders>
          </w:tcPr>
          <w:p w14:paraId="22E54D37" w14:textId="3F0734CF" w:rsidR="00C435AC" w:rsidRPr="00376B88" w:rsidRDefault="00C435AC" w:rsidP="00C41639">
            <w:pPr>
              <w:spacing w:after="0"/>
              <w:jc w:val="right"/>
              <w:rPr>
                <w:b/>
                <w:bCs/>
                <w:szCs w:val="22"/>
              </w:rPr>
            </w:pPr>
            <w:r w:rsidRPr="00376B88">
              <w:rPr>
                <w:b/>
                <w:bCs/>
                <w:color w:val="000000"/>
                <w:szCs w:val="22"/>
              </w:rPr>
              <w:t>$8,148</w:t>
            </w:r>
          </w:p>
        </w:tc>
      </w:tr>
      <w:tr w:rsidR="00C435AC" w:rsidRPr="00376B88" w14:paraId="1E4419AE" w14:textId="77777777" w:rsidTr="00017572">
        <w:trPr>
          <w:trHeight w:val="288"/>
        </w:trPr>
        <w:tc>
          <w:tcPr>
            <w:tcW w:w="1100" w:type="pct"/>
            <w:tcBorders>
              <w:left w:val="single" w:sz="4" w:space="0" w:color="auto"/>
            </w:tcBorders>
          </w:tcPr>
          <w:p w14:paraId="32706483" w14:textId="77777777" w:rsidR="00C435AC" w:rsidRPr="00376B88" w:rsidRDefault="00C435AC" w:rsidP="00C41639">
            <w:pPr>
              <w:spacing w:after="0"/>
              <w:rPr>
                <w:szCs w:val="22"/>
              </w:rPr>
            </w:pPr>
            <w:r w:rsidRPr="00376B88">
              <w:rPr>
                <w:szCs w:val="22"/>
              </w:rPr>
              <w:t>2023 – 2047</w:t>
            </w:r>
          </w:p>
        </w:tc>
        <w:tc>
          <w:tcPr>
            <w:tcW w:w="800" w:type="pct"/>
          </w:tcPr>
          <w:p w14:paraId="1CCCB5BB" w14:textId="77777777" w:rsidR="00C435AC" w:rsidRPr="00376B88" w:rsidRDefault="00C435AC" w:rsidP="00C41639">
            <w:pPr>
              <w:spacing w:after="0"/>
              <w:rPr>
                <w:bCs/>
                <w:szCs w:val="22"/>
              </w:rPr>
            </w:pPr>
            <w:r w:rsidRPr="00376B88">
              <w:rPr>
                <w:szCs w:val="22"/>
              </w:rPr>
              <w:t>Direct</w:t>
            </w:r>
          </w:p>
        </w:tc>
        <w:tc>
          <w:tcPr>
            <w:tcW w:w="1073" w:type="pct"/>
          </w:tcPr>
          <w:p w14:paraId="74648CFD" w14:textId="77777777" w:rsidR="00C435AC" w:rsidRPr="00376B88" w:rsidRDefault="00C435AC" w:rsidP="00C41639">
            <w:pPr>
              <w:spacing w:after="0"/>
              <w:jc w:val="right"/>
              <w:rPr>
                <w:bCs/>
                <w:szCs w:val="22"/>
              </w:rPr>
            </w:pPr>
            <w:r w:rsidRPr="00376B88">
              <w:rPr>
                <w:szCs w:val="22"/>
              </w:rPr>
              <w:t>5,630</w:t>
            </w:r>
          </w:p>
        </w:tc>
        <w:tc>
          <w:tcPr>
            <w:tcW w:w="1107" w:type="pct"/>
          </w:tcPr>
          <w:p w14:paraId="5081BFBE" w14:textId="77777777" w:rsidR="00C435AC" w:rsidRPr="00376B88" w:rsidRDefault="00C435AC" w:rsidP="00C41639">
            <w:pPr>
              <w:spacing w:after="0"/>
              <w:jc w:val="right"/>
              <w:rPr>
                <w:bCs/>
                <w:szCs w:val="22"/>
              </w:rPr>
            </w:pPr>
            <w:r w:rsidRPr="00376B88">
              <w:rPr>
                <w:szCs w:val="22"/>
              </w:rPr>
              <w:t>$398</w:t>
            </w:r>
          </w:p>
        </w:tc>
        <w:tc>
          <w:tcPr>
            <w:tcW w:w="920" w:type="pct"/>
            <w:tcBorders>
              <w:right w:val="single" w:sz="4" w:space="0" w:color="auto"/>
            </w:tcBorders>
          </w:tcPr>
          <w:p w14:paraId="1CA5C35A" w14:textId="77777777" w:rsidR="00C435AC" w:rsidRPr="00376B88" w:rsidRDefault="00C435AC" w:rsidP="00C41639">
            <w:pPr>
              <w:spacing w:after="0"/>
              <w:jc w:val="right"/>
              <w:rPr>
                <w:bCs/>
                <w:szCs w:val="22"/>
              </w:rPr>
            </w:pPr>
            <w:r w:rsidRPr="00376B88">
              <w:rPr>
                <w:szCs w:val="22"/>
              </w:rPr>
              <w:t>$1,147</w:t>
            </w:r>
          </w:p>
        </w:tc>
      </w:tr>
      <w:tr w:rsidR="00C435AC" w:rsidRPr="00376B88" w14:paraId="5F734B95" w14:textId="77777777" w:rsidTr="00017572">
        <w:trPr>
          <w:trHeight w:val="288"/>
        </w:trPr>
        <w:tc>
          <w:tcPr>
            <w:tcW w:w="1100" w:type="pct"/>
            <w:tcBorders>
              <w:left w:val="single" w:sz="4" w:space="0" w:color="auto"/>
            </w:tcBorders>
          </w:tcPr>
          <w:p w14:paraId="3599F4B7" w14:textId="77777777" w:rsidR="00C435AC" w:rsidRPr="00376B88" w:rsidRDefault="00C435AC" w:rsidP="00C41639">
            <w:pPr>
              <w:spacing w:after="0"/>
              <w:rPr>
                <w:szCs w:val="22"/>
              </w:rPr>
            </w:pPr>
            <w:r w:rsidRPr="00376B88">
              <w:rPr>
                <w:szCs w:val="22"/>
              </w:rPr>
              <w:t>2023 – 2047</w:t>
            </w:r>
          </w:p>
        </w:tc>
        <w:tc>
          <w:tcPr>
            <w:tcW w:w="800" w:type="pct"/>
          </w:tcPr>
          <w:p w14:paraId="6E4DD569" w14:textId="77777777" w:rsidR="00C435AC" w:rsidRPr="00376B88" w:rsidRDefault="00C435AC" w:rsidP="00C41639">
            <w:pPr>
              <w:spacing w:after="0"/>
              <w:rPr>
                <w:bCs/>
                <w:szCs w:val="22"/>
              </w:rPr>
            </w:pPr>
            <w:r w:rsidRPr="00376B88">
              <w:rPr>
                <w:szCs w:val="22"/>
              </w:rPr>
              <w:t>Indirect</w:t>
            </w:r>
          </w:p>
        </w:tc>
        <w:tc>
          <w:tcPr>
            <w:tcW w:w="1073" w:type="pct"/>
          </w:tcPr>
          <w:p w14:paraId="3B01218B" w14:textId="77777777" w:rsidR="00C435AC" w:rsidRPr="00376B88" w:rsidRDefault="00C435AC" w:rsidP="00C41639">
            <w:pPr>
              <w:spacing w:after="0"/>
              <w:jc w:val="right"/>
              <w:rPr>
                <w:bCs/>
                <w:szCs w:val="22"/>
              </w:rPr>
            </w:pPr>
            <w:r w:rsidRPr="00376B88">
              <w:rPr>
                <w:szCs w:val="22"/>
              </w:rPr>
              <w:t>2,066</w:t>
            </w:r>
          </w:p>
        </w:tc>
        <w:tc>
          <w:tcPr>
            <w:tcW w:w="1107" w:type="pct"/>
          </w:tcPr>
          <w:p w14:paraId="3570A9D6" w14:textId="77777777" w:rsidR="00C435AC" w:rsidRPr="00376B88" w:rsidRDefault="00C435AC" w:rsidP="00C41639">
            <w:pPr>
              <w:spacing w:after="0"/>
              <w:jc w:val="right"/>
              <w:rPr>
                <w:bCs/>
                <w:szCs w:val="22"/>
              </w:rPr>
            </w:pPr>
            <w:r w:rsidRPr="00376B88">
              <w:rPr>
                <w:szCs w:val="22"/>
              </w:rPr>
              <w:t>$181</w:t>
            </w:r>
          </w:p>
        </w:tc>
        <w:tc>
          <w:tcPr>
            <w:tcW w:w="920" w:type="pct"/>
            <w:tcBorders>
              <w:right w:val="single" w:sz="4" w:space="0" w:color="auto"/>
            </w:tcBorders>
          </w:tcPr>
          <w:p w14:paraId="3E305680" w14:textId="77777777" w:rsidR="00C435AC" w:rsidRPr="00376B88" w:rsidRDefault="00C435AC" w:rsidP="00C41639">
            <w:pPr>
              <w:spacing w:after="0"/>
              <w:jc w:val="right"/>
              <w:rPr>
                <w:bCs/>
                <w:szCs w:val="22"/>
              </w:rPr>
            </w:pPr>
            <w:r w:rsidRPr="00376B88">
              <w:rPr>
                <w:szCs w:val="22"/>
              </w:rPr>
              <w:t>$543</w:t>
            </w:r>
          </w:p>
        </w:tc>
      </w:tr>
      <w:tr w:rsidR="00C435AC" w:rsidRPr="00376B88" w14:paraId="2E1B218E" w14:textId="77777777" w:rsidTr="00017572">
        <w:trPr>
          <w:trHeight w:val="288"/>
        </w:trPr>
        <w:tc>
          <w:tcPr>
            <w:tcW w:w="1100" w:type="pct"/>
            <w:tcBorders>
              <w:left w:val="single" w:sz="4" w:space="0" w:color="auto"/>
            </w:tcBorders>
          </w:tcPr>
          <w:p w14:paraId="65278039" w14:textId="77777777" w:rsidR="00C435AC" w:rsidRPr="00376B88" w:rsidRDefault="00C435AC" w:rsidP="00C41639">
            <w:pPr>
              <w:spacing w:after="0"/>
              <w:rPr>
                <w:szCs w:val="22"/>
              </w:rPr>
            </w:pPr>
            <w:r w:rsidRPr="00376B88">
              <w:rPr>
                <w:szCs w:val="22"/>
              </w:rPr>
              <w:t>2023 – 2047</w:t>
            </w:r>
          </w:p>
        </w:tc>
        <w:tc>
          <w:tcPr>
            <w:tcW w:w="800" w:type="pct"/>
          </w:tcPr>
          <w:p w14:paraId="376EF688" w14:textId="77777777" w:rsidR="00C435AC" w:rsidRPr="00376B88" w:rsidRDefault="00C435AC" w:rsidP="00C41639">
            <w:pPr>
              <w:spacing w:after="0"/>
              <w:rPr>
                <w:bCs/>
                <w:szCs w:val="22"/>
              </w:rPr>
            </w:pPr>
            <w:r w:rsidRPr="00376B88">
              <w:rPr>
                <w:szCs w:val="22"/>
              </w:rPr>
              <w:t>Induced</w:t>
            </w:r>
          </w:p>
        </w:tc>
        <w:tc>
          <w:tcPr>
            <w:tcW w:w="1073" w:type="pct"/>
          </w:tcPr>
          <w:p w14:paraId="36F4817E" w14:textId="77777777" w:rsidR="00C435AC" w:rsidRPr="00376B88" w:rsidRDefault="00C435AC" w:rsidP="00C41639">
            <w:pPr>
              <w:spacing w:after="0"/>
              <w:jc w:val="right"/>
              <w:rPr>
                <w:bCs/>
                <w:szCs w:val="22"/>
              </w:rPr>
            </w:pPr>
            <w:r w:rsidRPr="00376B88">
              <w:rPr>
                <w:szCs w:val="22"/>
              </w:rPr>
              <w:t>11,020</w:t>
            </w:r>
          </w:p>
        </w:tc>
        <w:tc>
          <w:tcPr>
            <w:tcW w:w="1107" w:type="pct"/>
          </w:tcPr>
          <w:p w14:paraId="5D18A08E" w14:textId="77777777" w:rsidR="00C435AC" w:rsidRPr="00376B88" w:rsidRDefault="00C435AC" w:rsidP="00C41639">
            <w:pPr>
              <w:spacing w:after="0"/>
              <w:jc w:val="right"/>
              <w:rPr>
                <w:bCs/>
                <w:szCs w:val="22"/>
              </w:rPr>
            </w:pPr>
            <w:r w:rsidRPr="00376B88">
              <w:rPr>
                <w:szCs w:val="22"/>
              </w:rPr>
              <w:t>$720</w:t>
            </w:r>
          </w:p>
        </w:tc>
        <w:tc>
          <w:tcPr>
            <w:tcW w:w="920" w:type="pct"/>
            <w:tcBorders>
              <w:right w:val="single" w:sz="4" w:space="0" w:color="auto"/>
            </w:tcBorders>
          </w:tcPr>
          <w:p w14:paraId="14D44300" w14:textId="77777777" w:rsidR="00C435AC" w:rsidRPr="00376B88" w:rsidRDefault="00C435AC" w:rsidP="00C41639">
            <w:pPr>
              <w:spacing w:after="0"/>
              <w:jc w:val="right"/>
              <w:rPr>
                <w:bCs/>
                <w:szCs w:val="22"/>
              </w:rPr>
            </w:pPr>
            <w:r w:rsidRPr="00376B88">
              <w:rPr>
                <w:szCs w:val="22"/>
              </w:rPr>
              <w:t>$3,338</w:t>
            </w:r>
          </w:p>
        </w:tc>
      </w:tr>
      <w:tr w:rsidR="00C435AC" w:rsidRPr="00376B88" w14:paraId="63535DBB" w14:textId="77777777" w:rsidTr="00017572">
        <w:trPr>
          <w:trHeight w:val="288"/>
        </w:trPr>
        <w:tc>
          <w:tcPr>
            <w:tcW w:w="1100" w:type="pct"/>
            <w:tcBorders>
              <w:left w:val="single" w:sz="4" w:space="0" w:color="auto"/>
            </w:tcBorders>
          </w:tcPr>
          <w:p w14:paraId="61E31428" w14:textId="77777777" w:rsidR="00C435AC" w:rsidRPr="00376B88" w:rsidRDefault="00C435AC" w:rsidP="00C41639">
            <w:pPr>
              <w:spacing w:after="0"/>
              <w:rPr>
                <w:b/>
                <w:bCs/>
                <w:szCs w:val="22"/>
              </w:rPr>
            </w:pPr>
            <w:r w:rsidRPr="00376B88">
              <w:rPr>
                <w:b/>
                <w:bCs/>
                <w:szCs w:val="22"/>
              </w:rPr>
              <w:t>2023 – 2047</w:t>
            </w:r>
          </w:p>
        </w:tc>
        <w:tc>
          <w:tcPr>
            <w:tcW w:w="800" w:type="pct"/>
          </w:tcPr>
          <w:p w14:paraId="5F893EFC" w14:textId="77777777" w:rsidR="00C435AC" w:rsidRPr="00376B88" w:rsidRDefault="00C435AC" w:rsidP="00C41639">
            <w:pPr>
              <w:spacing w:after="0"/>
              <w:rPr>
                <w:b/>
                <w:szCs w:val="22"/>
              </w:rPr>
            </w:pPr>
            <w:r w:rsidRPr="00376B88">
              <w:rPr>
                <w:b/>
                <w:szCs w:val="22"/>
              </w:rPr>
              <w:t>Total</w:t>
            </w:r>
          </w:p>
        </w:tc>
        <w:tc>
          <w:tcPr>
            <w:tcW w:w="1073" w:type="pct"/>
          </w:tcPr>
          <w:p w14:paraId="2F423E70" w14:textId="77777777" w:rsidR="00C435AC" w:rsidRPr="00376B88" w:rsidRDefault="00C435AC" w:rsidP="00C41639">
            <w:pPr>
              <w:spacing w:after="0"/>
              <w:jc w:val="right"/>
              <w:rPr>
                <w:b/>
                <w:szCs w:val="22"/>
              </w:rPr>
            </w:pPr>
            <w:r w:rsidRPr="00376B88">
              <w:rPr>
                <w:b/>
                <w:szCs w:val="22"/>
              </w:rPr>
              <w:t>18,715</w:t>
            </w:r>
          </w:p>
        </w:tc>
        <w:tc>
          <w:tcPr>
            <w:tcW w:w="1107" w:type="pct"/>
          </w:tcPr>
          <w:p w14:paraId="1B620FF4" w14:textId="77777777" w:rsidR="00C435AC" w:rsidRPr="00376B88" w:rsidRDefault="00C435AC" w:rsidP="00C41639">
            <w:pPr>
              <w:spacing w:after="0"/>
              <w:jc w:val="right"/>
              <w:rPr>
                <w:b/>
                <w:szCs w:val="22"/>
              </w:rPr>
            </w:pPr>
            <w:r w:rsidRPr="00376B88">
              <w:rPr>
                <w:b/>
                <w:szCs w:val="22"/>
              </w:rPr>
              <w:t>$1,300</w:t>
            </w:r>
          </w:p>
        </w:tc>
        <w:tc>
          <w:tcPr>
            <w:tcW w:w="920" w:type="pct"/>
            <w:tcBorders>
              <w:right w:val="single" w:sz="4" w:space="0" w:color="auto"/>
            </w:tcBorders>
          </w:tcPr>
          <w:p w14:paraId="1C0ABF23" w14:textId="77777777" w:rsidR="00C435AC" w:rsidRPr="00376B88" w:rsidRDefault="00C435AC" w:rsidP="00C41639">
            <w:pPr>
              <w:spacing w:after="0"/>
              <w:jc w:val="right"/>
              <w:rPr>
                <w:b/>
                <w:szCs w:val="22"/>
              </w:rPr>
            </w:pPr>
            <w:r w:rsidRPr="00376B88">
              <w:rPr>
                <w:b/>
                <w:szCs w:val="22"/>
              </w:rPr>
              <w:t>$5,028</w:t>
            </w:r>
          </w:p>
        </w:tc>
      </w:tr>
      <w:tr w:rsidR="00C435AC" w:rsidRPr="00376B88" w14:paraId="0E6D8F6C" w14:textId="77777777" w:rsidTr="00017572">
        <w:trPr>
          <w:trHeight w:val="288"/>
        </w:trPr>
        <w:tc>
          <w:tcPr>
            <w:tcW w:w="1100" w:type="pct"/>
            <w:tcBorders>
              <w:left w:val="single" w:sz="4" w:space="0" w:color="auto"/>
            </w:tcBorders>
            <w:hideMark/>
          </w:tcPr>
          <w:p w14:paraId="103FBBBC" w14:textId="77777777" w:rsidR="00C435AC" w:rsidRPr="00376B88" w:rsidRDefault="00C435AC" w:rsidP="00C41639">
            <w:pPr>
              <w:spacing w:after="0"/>
              <w:rPr>
                <w:rFonts w:cstheme="minorHAnsi"/>
                <w:szCs w:val="22"/>
              </w:rPr>
            </w:pPr>
            <w:r w:rsidRPr="00376B88">
              <w:rPr>
                <w:rFonts w:cstheme="minorHAnsi"/>
                <w:szCs w:val="22"/>
              </w:rPr>
              <w:t>2022 – 2046</w:t>
            </w:r>
          </w:p>
        </w:tc>
        <w:tc>
          <w:tcPr>
            <w:tcW w:w="800" w:type="pct"/>
            <w:hideMark/>
          </w:tcPr>
          <w:p w14:paraId="7811C4E1" w14:textId="77777777" w:rsidR="00C435AC" w:rsidRPr="00376B88" w:rsidRDefault="00C435AC" w:rsidP="00C41639">
            <w:pPr>
              <w:spacing w:after="0"/>
              <w:rPr>
                <w:szCs w:val="22"/>
              </w:rPr>
            </w:pPr>
            <w:r w:rsidRPr="00376B88">
              <w:rPr>
                <w:szCs w:val="22"/>
              </w:rPr>
              <w:t>Direct</w:t>
            </w:r>
          </w:p>
        </w:tc>
        <w:tc>
          <w:tcPr>
            <w:tcW w:w="1073" w:type="pct"/>
            <w:hideMark/>
          </w:tcPr>
          <w:p w14:paraId="5CBAE4AC" w14:textId="77777777" w:rsidR="00C435AC" w:rsidRPr="00376B88" w:rsidRDefault="00C435AC" w:rsidP="00C41639">
            <w:pPr>
              <w:spacing w:after="0"/>
              <w:jc w:val="right"/>
              <w:rPr>
                <w:szCs w:val="22"/>
              </w:rPr>
            </w:pPr>
            <w:r w:rsidRPr="00376B88">
              <w:rPr>
                <w:szCs w:val="22"/>
              </w:rPr>
              <w:t>6,228</w:t>
            </w:r>
          </w:p>
        </w:tc>
        <w:tc>
          <w:tcPr>
            <w:tcW w:w="1107" w:type="pct"/>
            <w:hideMark/>
          </w:tcPr>
          <w:p w14:paraId="08E37AEC" w14:textId="77777777" w:rsidR="00C435AC" w:rsidRPr="00376B88" w:rsidRDefault="00C435AC" w:rsidP="00C41639">
            <w:pPr>
              <w:spacing w:after="0"/>
              <w:jc w:val="right"/>
              <w:rPr>
                <w:szCs w:val="22"/>
              </w:rPr>
            </w:pPr>
            <w:r w:rsidRPr="00376B88">
              <w:rPr>
                <w:szCs w:val="22"/>
              </w:rPr>
              <w:t>$42</w:t>
            </w:r>
          </w:p>
        </w:tc>
        <w:tc>
          <w:tcPr>
            <w:tcW w:w="920" w:type="pct"/>
            <w:tcBorders>
              <w:right w:val="single" w:sz="4" w:space="0" w:color="auto"/>
            </w:tcBorders>
            <w:hideMark/>
          </w:tcPr>
          <w:p w14:paraId="19EF5A72" w14:textId="77777777" w:rsidR="00C435AC" w:rsidRPr="00376B88" w:rsidRDefault="00C435AC" w:rsidP="00C41639">
            <w:pPr>
              <w:spacing w:after="0"/>
              <w:jc w:val="right"/>
              <w:rPr>
                <w:szCs w:val="22"/>
              </w:rPr>
            </w:pPr>
            <w:r w:rsidRPr="00376B88">
              <w:rPr>
                <w:szCs w:val="22"/>
              </w:rPr>
              <w:t>$1,180</w:t>
            </w:r>
          </w:p>
        </w:tc>
      </w:tr>
      <w:tr w:rsidR="00C435AC" w:rsidRPr="00376B88" w14:paraId="4D06F2D5" w14:textId="77777777" w:rsidTr="00017572">
        <w:trPr>
          <w:trHeight w:val="288"/>
        </w:trPr>
        <w:tc>
          <w:tcPr>
            <w:tcW w:w="1100" w:type="pct"/>
            <w:tcBorders>
              <w:left w:val="single" w:sz="4" w:space="0" w:color="auto"/>
            </w:tcBorders>
            <w:hideMark/>
          </w:tcPr>
          <w:p w14:paraId="1C23EB11" w14:textId="77777777" w:rsidR="00C435AC" w:rsidRPr="00376B88" w:rsidRDefault="00C435AC" w:rsidP="00C41639">
            <w:pPr>
              <w:spacing w:after="0"/>
              <w:rPr>
                <w:rFonts w:cstheme="minorHAnsi"/>
                <w:szCs w:val="22"/>
              </w:rPr>
            </w:pPr>
            <w:r w:rsidRPr="00376B88">
              <w:rPr>
                <w:rFonts w:cstheme="minorHAnsi"/>
                <w:szCs w:val="22"/>
              </w:rPr>
              <w:lastRenderedPageBreak/>
              <w:t>2022 – 2046</w:t>
            </w:r>
          </w:p>
        </w:tc>
        <w:tc>
          <w:tcPr>
            <w:tcW w:w="800" w:type="pct"/>
            <w:hideMark/>
          </w:tcPr>
          <w:p w14:paraId="28FDB3EF" w14:textId="77777777" w:rsidR="00C435AC" w:rsidRPr="00376B88" w:rsidRDefault="00C435AC" w:rsidP="00C41639">
            <w:pPr>
              <w:spacing w:after="0"/>
              <w:rPr>
                <w:szCs w:val="22"/>
              </w:rPr>
            </w:pPr>
            <w:r w:rsidRPr="00376B88">
              <w:rPr>
                <w:szCs w:val="22"/>
              </w:rPr>
              <w:t>Indirect</w:t>
            </w:r>
          </w:p>
        </w:tc>
        <w:tc>
          <w:tcPr>
            <w:tcW w:w="1073" w:type="pct"/>
            <w:hideMark/>
          </w:tcPr>
          <w:p w14:paraId="27EC999D" w14:textId="77777777" w:rsidR="00C435AC" w:rsidRPr="00376B88" w:rsidRDefault="00C435AC" w:rsidP="00C41639">
            <w:pPr>
              <w:spacing w:after="0"/>
              <w:jc w:val="right"/>
              <w:rPr>
                <w:szCs w:val="22"/>
              </w:rPr>
            </w:pPr>
            <w:r w:rsidRPr="00376B88">
              <w:rPr>
                <w:szCs w:val="22"/>
              </w:rPr>
              <w:t>2,178</w:t>
            </w:r>
          </w:p>
        </w:tc>
        <w:tc>
          <w:tcPr>
            <w:tcW w:w="1107" w:type="pct"/>
            <w:hideMark/>
          </w:tcPr>
          <w:p w14:paraId="3ACDE1F2" w14:textId="77777777" w:rsidR="00C435AC" w:rsidRPr="00376B88" w:rsidRDefault="00C435AC" w:rsidP="00C41639">
            <w:pPr>
              <w:spacing w:after="0"/>
              <w:jc w:val="right"/>
              <w:rPr>
                <w:szCs w:val="22"/>
              </w:rPr>
            </w:pPr>
            <w:r w:rsidRPr="00376B88">
              <w:rPr>
                <w:szCs w:val="22"/>
              </w:rPr>
              <w:t>$18</w:t>
            </w:r>
          </w:p>
        </w:tc>
        <w:tc>
          <w:tcPr>
            <w:tcW w:w="920" w:type="pct"/>
            <w:tcBorders>
              <w:right w:val="single" w:sz="4" w:space="0" w:color="auto"/>
            </w:tcBorders>
            <w:hideMark/>
          </w:tcPr>
          <w:p w14:paraId="0761C674" w14:textId="77777777" w:rsidR="00C435AC" w:rsidRPr="00376B88" w:rsidRDefault="00C435AC" w:rsidP="00C41639">
            <w:pPr>
              <w:spacing w:after="0"/>
              <w:jc w:val="right"/>
              <w:rPr>
                <w:szCs w:val="22"/>
              </w:rPr>
            </w:pPr>
            <w:r w:rsidRPr="00376B88">
              <w:rPr>
                <w:szCs w:val="22"/>
              </w:rPr>
              <w:t>$556</w:t>
            </w:r>
          </w:p>
        </w:tc>
      </w:tr>
      <w:tr w:rsidR="00C435AC" w:rsidRPr="00376B88" w14:paraId="7B60A013" w14:textId="77777777" w:rsidTr="00017572">
        <w:trPr>
          <w:trHeight w:val="288"/>
        </w:trPr>
        <w:tc>
          <w:tcPr>
            <w:tcW w:w="1100" w:type="pct"/>
            <w:tcBorders>
              <w:left w:val="single" w:sz="4" w:space="0" w:color="auto"/>
            </w:tcBorders>
            <w:hideMark/>
          </w:tcPr>
          <w:p w14:paraId="1E9EB30B" w14:textId="77777777" w:rsidR="00C435AC" w:rsidRPr="00376B88" w:rsidRDefault="00C435AC" w:rsidP="00C41639">
            <w:pPr>
              <w:spacing w:after="0"/>
              <w:rPr>
                <w:rFonts w:cstheme="minorHAnsi"/>
                <w:szCs w:val="22"/>
              </w:rPr>
            </w:pPr>
            <w:r w:rsidRPr="00376B88">
              <w:rPr>
                <w:rFonts w:cstheme="minorHAnsi"/>
                <w:szCs w:val="22"/>
              </w:rPr>
              <w:t>2022 – 2046</w:t>
            </w:r>
          </w:p>
        </w:tc>
        <w:tc>
          <w:tcPr>
            <w:tcW w:w="800" w:type="pct"/>
            <w:hideMark/>
          </w:tcPr>
          <w:p w14:paraId="4947626B" w14:textId="77777777" w:rsidR="00C435AC" w:rsidRPr="00376B88" w:rsidRDefault="00C435AC" w:rsidP="00C41639">
            <w:pPr>
              <w:spacing w:after="0"/>
              <w:rPr>
                <w:szCs w:val="22"/>
              </w:rPr>
            </w:pPr>
            <w:r w:rsidRPr="00376B88">
              <w:rPr>
                <w:szCs w:val="22"/>
              </w:rPr>
              <w:t>Induced</w:t>
            </w:r>
          </w:p>
        </w:tc>
        <w:tc>
          <w:tcPr>
            <w:tcW w:w="1073" w:type="pct"/>
            <w:hideMark/>
          </w:tcPr>
          <w:p w14:paraId="52979044" w14:textId="77777777" w:rsidR="00C435AC" w:rsidRPr="00376B88" w:rsidRDefault="00C435AC" w:rsidP="00C41639">
            <w:pPr>
              <w:spacing w:after="0"/>
              <w:jc w:val="right"/>
              <w:rPr>
                <w:szCs w:val="22"/>
              </w:rPr>
            </w:pPr>
            <w:r w:rsidRPr="00376B88">
              <w:rPr>
                <w:szCs w:val="22"/>
              </w:rPr>
              <w:t>8,049</w:t>
            </w:r>
          </w:p>
        </w:tc>
        <w:tc>
          <w:tcPr>
            <w:tcW w:w="1107" w:type="pct"/>
            <w:hideMark/>
          </w:tcPr>
          <w:p w14:paraId="1B86620A" w14:textId="77777777" w:rsidR="00C435AC" w:rsidRPr="00376B88" w:rsidRDefault="00C435AC" w:rsidP="00C41639">
            <w:pPr>
              <w:spacing w:after="0"/>
              <w:jc w:val="right"/>
              <w:rPr>
                <w:szCs w:val="22"/>
              </w:rPr>
            </w:pPr>
            <w:r w:rsidRPr="00376B88">
              <w:rPr>
                <w:szCs w:val="22"/>
              </w:rPr>
              <w:t>$52</w:t>
            </w:r>
          </w:p>
        </w:tc>
        <w:tc>
          <w:tcPr>
            <w:tcW w:w="920" w:type="pct"/>
            <w:tcBorders>
              <w:right w:val="single" w:sz="4" w:space="0" w:color="auto"/>
            </w:tcBorders>
            <w:hideMark/>
          </w:tcPr>
          <w:p w14:paraId="0D6BCB3D" w14:textId="77777777" w:rsidR="00C435AC" w:rsidRPr="00376B88" w:rsidRDefault="00C435AC" w:rsidP="00C41639">
            <w:pPr>
              <w:spacing w:after="0"/>
              <w:jc w:val="right"/>
              <w:rPr>
                <w:szCs w:val="22"/>
              </w:rPr>
            </w:pPr>
            <w:r w:rsidRPr="00376B88">
              <w:rPr>
                <w:szCs w:val="22"/>
              </w:rPr>
              <w:t>$2,310</w:t>
            </w:r>
          </w:p>
        </w:tc>
      </w:tr>
      <w:tr w:rsidR="00C435AC" w:rsidRPr="00376B88" w14:paraId="6D8BC19F" w14:textId="77777777" w:rsidTr="00017572">
        <w:trPr>
          <w:trHeight w:val="288"/>
        </w:trPr>
        <w:tc>
          <w:tcPr>
            <w:tcW w:w="1100" w:type="pct"/>
            <w:tcBorders>
              <w:left w:val="single" w:sz="4" w:space="0" w:color="auto"/>
            </w:tcBorders>
            <w:hideMark/>
          </w:tcPr>
          <w:p w14:paraId="44E9EC97" w14:textId="77777777" w:rsidR="00C435AC" w:rsidRPr="00376B88" w:rsidRDefault="00C435AC" w:rsidP="00C41639">
            <w:pPr>
              <w:spacing w:after="0"/>
              <w:rPr>
                <w:rFonts w:cstheme="minorHAnsi"/>
                <w:b/>
                <w:bCs/>
                <w:szCs w:val="22"/>
              </w:rPr>
            </w:pPr>
            <w:r w:rsidRPr="00376B88">
              <w:rPr>
                <w:rFonts w:cstheme="minorHAnsi"/>
                <w:b/>
                <w:bCs/>
                <w:szCs w:val="22"/>
              </w:rPr>
              <w:t>2022 – 2046</w:t>
            </w:r>
          </w:p>
        </w:tc>
        <w:tc>
          <w:tcPr>
            <w:tcW w:w="800" w:type="pct"/>
            <w:hideMark/>
          </w:tcPr>
          <w:p w14:paraId="5D264814" w14:textId="77777777" w:rsidR="00C435AC" w:rsidRPr="00376B88" w:rsidRDefault="00C435AC" w:rsidP="00C41639">
            <w:pPr>
              <w:spacing w:after="0"/>
              <w:rPr>
                <w:b/>
                <w:bCs/>
                <w:szCs w:val="22"/>
              </w:rPr>
            </w:pPr>
            <w:r w:rsidRPr="00376B88">
              <w:rPr>
                <w:b/>
                <w:bCs/>
                <w:szCs w:val="22"/>
              </w:rPr>
              <w:t>Total</w:t>
            </w:r>
          </w:p>
        </w:tc>
        <w:tc>
          <w:tcPr>
            <w:tcW w:w="1073" w:type="pct"/>
            <w:hideMark/>
          </w:tcPr>
          <w:p w14:paraId="20A7FE56" w14:textId="77777777" w:rsidR="00C435AC" w:rsidRPr="00376B88" w:rsidRDefault="00C435AC" w:rsidP="00C41639">
            <w:pPr>
              <w:spacing w:after="0"/>
              <w:jc w:val="right"/>
              <w:rPr>
                <w:b/>
                <w:bCs/>
                <w:szCs w:val="22"/>
              </w:rPr>
            </w:pPr>
            <w:r w:rsidRPr="00376B88">
              <w:rPr>
                <w:b/>
                <w:bCs/>
                <w:szCs w:val="22"/>
              </w:rPr>
              <w:t>16,454</w:t>
            </w:r>
          </w:p>
        </w:tc>
        <w:tc>
          <w:tcPr>
            <w:tcW w:w="1107" w:type="pct"/>
            <w:hideMark/>
          </w:tcPr>
          <w:p w14:paraId="67D4DF43" w14:textId="77777777" w:rsidR="00C435AC" w:rsidRPr="00376B88" w:rsidRDefault="00C435AC" w:rsidP="00C41639">
            <w:pPr>
              <w:spacing w:after="0"/>
              <w:jc w:val="right"/>
              <w:rPr>
                <w:b/>
                <w:bCs/>
                <w:szCs w:val="22"/>
              </w:rPr>
            </w:pPr>
            <w:r w:rsidRPr="00376B88">
              <w:rPr>
                <w:b/>
                <w:bCs/>
                <w:szCs w:val="22"/>
              </w:rPr>
              <w:t>$1,140</w:t>
            </w:r>
          </w:p>
        </w:tc>
        <w:tc>
          <w:tcPr>
            <w:tcW w:w="920" w:type="pct"/>
            <w:tcBorders>
              <w:right w:val="single" w:sz="4" w:space="0" w:color="auto"/>
            </w:tcBorders>
            <w:hideMark/>
          </w:tcPr>
          <w:p w14:paraId="6C860C1E" w14:textId="77777777" w:rsidR="00C435AC" w:rsidRPr="00376B88" w:rsidRDefault="00C435AC" w:rsidP="00C41639">
            <w:pPr>
              <w:spacing w:after="0"/>
              <w:jc w:val="right"/>
              <w:rPr>
                <w:b/>
                <w:bCs/>
                <w:szCs w:val="22"/>
              </w:rPr>
            </w:pPr>
            <w:r w:rsidRPr="00376B88">
              <w:rPr>
                <w:b/>
                <w:bCs/>
                <w:szCs w:val="22"/>
              </w:rPr>
              <w:t>$4,050</w:t>
            </w:r>
          </w:p>
        </w:tc>
      </w:tr>
      <w:tr w:rsidR="00C435AC" w:rsidRPr="00376B88" w14:paraId="647A738B" w14:textId="77777777" w:rsidTr="00017572">
        <w:trPr>
          <w:trHeight w:val="288"/>
        </w:trPr>
        <w:tc>
          <w:tcPr>
            <w:tcW w:w="1100" w:type="pct"/>
            <w:tcBorders>
              <w:left w:val="single" w:sz="4" w:space="0" w:color="auto"/>
            </w:tcBorders>
            <w:hideMark/>
          </w:tcPr>
          <w:p w14:paraId="258FF22A" w14:textId="77777777" w:rsidR="00C435AC" w:rsidRPr="00376B88" w:rsidRDefault="00C435AC" w:rsidP="00C41639">
            <w:pPr>
              <w:spacing w:after="0"/>
              <w:rPr>
                <w:rFonts w:cstheme="minorHAnsi"/>
                <w:szCs w:val="22"/>
              </w:rPr>
            </w:pPr>
            <w:r w:rsidRPr="00376B88">
              <w:rPr>
                <w:rFonts w:cstheme="minorHAnsi"/>
                <w:szCs w:val="22"/>
              </w:rPr>
              <w:t>2021 – 2045</w:t>
            </w:r>
          </w:p>
        </w:tc>
        <w:tc>
          <w:tcPr>
            <w:tcW w:w="800" w:type="pct"/>
            <w:hideMark/>
          </w:tcPr>
          <w:p w14:paraId="1E4A0369" w14:textId="77777777" w:rsidR="00C435AC" w:rsidRPr="00376B88" w:rsidRDefault="00C435AC" w:rsidP="00C41639">
            <w:pPr>
              <w:spacing w:after="0"/>
              <w:rPr>
                <w:szCs w:val="22"/>
              </w:rPr>
            </w:pPr>
            <w:r w:rsidRPr="00376B88">
              <w:rPr>
                <w:szCs w:val="22"/>
              </w:rPr>
              <w:t>Direct</w:t>
            </w:r>
          </w:p>
        </w:tc>
        <w:tc>
          <w:tcPr>
            <w:tcW w:w="1073" w:type="pct"/>
            <w:hideMark/>
          </w:tcPr>
          <w:p w14:paraId="187197EE" w14:textId="77777777" w:rsidR="00C435AC" w:rsidRPr="00376B88" w:rsidRDefault="00C435AC" w:rsidP="00C41639">
            <w:pPr>
              <w:spacing w:after="0"/>
              <w:jc w:val="right"/>
              <w:rPr>
                <w:szCs w:val="22"/>
              </w:rPr>
            </w:pPr>
            <w:r w:rsidRPr="00376B88">
              <w:rPr>
                <w:szCs w:val="22"/>
              </w:rPr>
              <w:t>7,757</w:t>
            </w:r>
          </w:p>
        </w:tc>
        <w:tc>
          <w:tcPr>
            <w:tcW w:w="1107" w:type="pct"/>
            <w:hideMark/>
          </w:tcPr>
          <w:p w14:paraId="58DE558F" w14:textId="77777777" w:rsidR="00C435AC" w:rsidRPr="00376B88" w:rsidRDefault="00C435AC" w:rsidP="00C41639">
            <w:pPr>
              <w:spacing w:after="0"/>
              <w:jc w:val="right"/>
              <w:rPr>
                <w:szCs w:val="22"/>
              </w:rPr>
            </w:pPr>
            <w:r w:rsidRPr="00376B88">
              <w:rPr>
                <w:szCs w:val="22"/>
              </w:rPr>
              <w:t>$479</w:t>
            </w:r>
          </w:p>
        </w:tc>
        <w:tc>
          <w:tcPr>
            <w:tcW w:w="920" w:type="pct"/>
            <w:tcBorders>
              <w:right w:val="single" w:sz="4" w:space="0" w:color="auto"/>
            </w:tcBorders>
            <w:hideMark/>
          </w:tcPr>
          <w:p w14:paraId="64852F74" w14:textId="77777777" w:rsidR="00C435AC" w:rsidRPr="00376B88" w:rsidRDefault="00C435AC" w:rsidP="00C41639">
            <w:pPr>
              <w:spacing w:after="0"/>
              <w:jc w:val="right"/>
              <w:rPr>
                <w:szCs w:val="22"/>
              </w:rPr>
            </w:pPr>
            <w:r w:rsidRPr="00376B88">
              <w:rPr>
                <w:szCs w:val="22"/>
              </w:rPr>
              <w:t>$1,400</w:t>
            </w:r>
          </w:p>
        </w:tc>
      </w:tr>
      <w:tr w:rsidR="00C435AC" w:rsidRPr="00376B88" w14:paraId="07E6059A" w14:textId="77777777" w:rsidTr="00017572">
        <w:trPr>
          <w:trHeight w:val="288"/>
        </w:trPr>
        <w:tc>
          <w:tcPr>
            <w:tcW w:w="1100" w:type="pct"/>
            <w:tcBorders>
              <w:left w:val="single" w:sz="4" w:space="0" w:color="auto"/>
            </w:tcBorders>
            <w:hideMark/>
          </w:tcPr>
          <w:p w14:paraId="48AF85BF" w14:textId="77777777" w:rsidR="00C435AC" w:rsidRPr="00376B88" w:rsidRDefault="00C435AC" w:rsidP="00C41639">
            <w:pPr>
              <w:spacing w:after="0"/>
              <w:rPr>
                <w:rFonts w:cstheme="minorHAnsi"/>
                <w:szCs w:val="22"/>
              </w:rPr>
            </w:pPr>
            <w:r w:rsidRPr="00376B88">
              <w:rPr>
                <w:rFonts w:cstheme="minorHAnsi"/>
                <w:szCs w:val="22"/>
              </w:rPr>
              <w:t>2021 – 2045</w:t>
            </w:r>
          </w:p>
        </w:tc>
        <w:tc>
          <w:tcPr>
            <w:tcW w:w="800" w:type="pct"/>
            <w:hideMark/>
          </w:tcPr>
          <w:p w14:paraId="10AAB998" w14:textId="77777777" w:rsidR="00C435AC" w:rsidRPr="00376B88" w:rsidRDefault="00C435AC" w:rsidP="00C41639">
            <w:pPr>
              <w:spacing w:after="0"/>
              <w:rPr>
                <w:szCs w:val="22"/>
              </w:rPr>
            </w:pPr>
            <w:r w:rsidRPr="00376B88">
              <w:rPr>
                <w:szCs w:val="22"/>
              </w:rPr>
              <w:t>Indirect</w:t>
            </w:r>
          </w:p>
        </w:tc>
        <w:tc>
          <w:tcPr>
            <w:tcW w:w="1073" w:type="pct"/>
            <w:hideMark/>
          </w:tcPr>
          <w:p w14:paraId="009EC175" w14:textId="77777777" w:rsidR="00C435AC" w:rsidRPr="00376B88" w:rsidRDefault="00C435AC" w:rsidP="00C41639">
            <w:pPr>
              <w:spacing w:after="0"/>
              <w:jc w:val="right"/>
              <w:rPr>
                <w:szCs w:val="22"/>
              </w:rPr>
            </w:pPr>
            <w:r w:rsidRPr="00376B88">
              <w:rPr>
                <w:szCs w:val="22"/>
              </w:rPr>
              <w:t>3,114</w:t>
            </w:r>
          </w:p>
        </w:tc>
        <w:tc>
          <w:tcPr>
            <w:tcW w:w="1107" w:type="pct"/>
            <w:hideMark/>
          </w:tcPr>
          <w:p w14:paraId="657052AF" w14:textId="77777777" w:rsidR="00C435AC" w:rsidRPr="00376B88" w:rsidRDefault="00C435AC" w:rsidP="00C41639">
            <w:pPr>
              <w:spacing w:after="0"/>
              <w:jc w:val="right"/>
              <w:rPr>
                <w:szCs w:val="22"/>
              </w:rPr>
            </w:pPr>
            <w:r w:rsidRPr="00376B88">
              <w:rPr>
                <w:szCs w:val="22"/>
              </w:rPr>
              <w:t>$222</w:t>
            </w:r>
          </w:p>
        </w:tc>
        <w:tc>
          <w:tcPr>
            <w:tcW w:w="920" w:type="pct"/>
            <w:tcBorders>
              <w:right w:val="single" w:sz="4" w:space="0" w:color="auto"/>
            </w:tcBorders>
            <w:hideMark/>
          </w:tcPr>
          <w:p w14:paraId="2120F1B9" w14:textId="77777777" w:rsidR="00C435AC" w:rsidRPr="00376B88" w:rsidRDefault="00C435AC" w:rsidP="00C41639">
            <w:pPr>
              <w:spacing w:after="0"/>
              <w:jc w:val="right"/>
              <w:rPr>
                <w:szCs w:val="22"/>
              </w:rPr>
            </w:pPr>
            <w:r w:rsidRPr="00376B88">
              <w:rPr>
                <w:szCs w:val="22"/>
              </w:rPr>
              <w:t>$619</w:t>
            </w:r>
          </w:p>
        </w:tc>
      </w:tr>
      <w:tr w:rsidR="00C435AC" w:rsidRPr="00376B88" w14:paraId="69F4F2E4" w14:textId="77777777" w:rsidTr="00017572">
        <w:trPr>
          <w:trHeight w:val="288"/>
        </w:trPr>
        <w:tc>
          <w:tcPr>
            <w:tcW w:w="1100" w:type="pct"/>
            <w:tcBorders>
              <w:left w:val="single" w:sz="4" w:space="0" w:color="auto"/>
            </w:tcBorders>
            <w:hideMark/>
          </w:tcPr>
          <w:p w14:paraId="1E718BB0" w14:textId="77777777" w:rsidR="00C435AC" w:rsidRPr="00376B88" w:rsidRDefault="00C435AC" w:rsidP="00C41639">
            <w:pPr>
              <w:spacing w:after="0"/>
              <w:rPr>
                <w:rFonts w:cstheme="minorHAnsi"/>
                <w:szCs w:val="22"/>
              </w:rPr>
            </w:pPr>
            <w:r w:rsidRPr="00376B88">
              <w:rPr>
                <w:rFonts w:cstheme="minorHAnsi"/>
                <w:szCs w:val="22"/>
              </w:rPr>
              <w:t>2021 – 2045</w:t>
            </w:r>
          </w:p>
        </w:tc>
        <w:tc>
          <w:tcPr>
            <w:tcW w:w="800" w:type="pct"/>
            <w:hideMark/>
          </w:tcPr>
          <w:p w14:paraId="05088EE5" w14:textId="77777777" w:rsidR="00C435AC" w:rsidRPr="00376B88" w:rsidRDefault="00C435AC" w:rsidP="00C41639">
            <w:pPr>
              <w:spacing w:after="0"/>
              <w:rPr>
                <w:szCs w:val="22"/>
              </w:rPr>
            </w:pPr>
            <w:r w:rsidRPr="00376B88">
              <w:rPr>
                <w:szCs w:val="22"/>
              </w:rPr>
              <w:t>Induced</w:t>
            </w:r>
          </w:p>
        </w:tc>
        <w:tc>
          <w:tcPr>
            <w:tcW w:w="1073" w:type="pct"/>
            <w:hideMark/>
          </w:tcPr>
          <w:p w14:paraId="345EA442" w14:textId="77777777" w:rsidR="00C435AC" w:rsidRPr="00376B88" w:rsidRDefault="00C435AC" w:rsidP="00C41639">
            <w:pPr>
              <w:spacing w:after="0"/>
              <w:jc w:val="right"/>
              <w:rPr>
                <w:szCs w:val="22"/>
              </w:rPr>
            </w:pPr>
            <w:r w:rsidRPr="00376B88">
              <w:rPr>
                <w:szCs w:val="22"/>
              </w:rPr>
              <w:t>9,309</w:t>
            </w:r>
          </w:p>
        </w:tc>
        <w:tc>
          <w:tcPr>
            <w:tcW w:w="1107" w:type="pct"/>
            <w:hideMark/>
          </w:tcPr>
          <w:p w14:paraId="2DD0533E" w14:textId="77777777" w:rsidR="00C435AC" w:rsidRPr="00376B88" w:rsidRDefault="00C435AC" w:rsidP="00C41639">
            <w:pPr>
              <w:spacing w:after="0"/>
              <w:jc w:val="right"/>
              <w:rPr>
                <w:szCs w:val="22"/>
              </w:rPr>
            </w:pPr>
            <w:r w:rsidRPr="00376B88">
              <w:rPr>
                <w:szCs w:val="22"/>
              </w:rPr>
              <w:t>$503</w:t>
            </w:r>
          </w:p>
        </w:tc>
        <w:tc>
          <w:tcPr>
            <w:tcW w:w="920" w:type="pct"/>
            <w:tcBorders>
              <w:right w:val="single" w:sz="4" w:space="0" w:color="auto"/>
            </w:tcBorders>
            <w:hideMark/>
          </w:tcPr>
          <w:p w14:paraId="2C162E24" w14:textId="77777777" w:rsidR="00C435AC" w:rsidRPr="00376B88" w:rsidRDefault="00C435AC" w:rsidP="00C41639">
            <w:pPr>
              <w:spacing w:after="0"/>
              <w:jc w:val="right"/>
              <w:rPr>
                <w:szCs w:val="22"/>
              </w:rPr>
            </w:pPr>
            <w:r w:rsidRPr="00376B88">
              <w:rPr>
                <w:szCs w:val="22"/>
              </w:rPr>
              <w:t>$2,020</w:t>
            </w:r>
          </w:p>
        </w:tc>
      </w:tr>
      <w:tr w:rsidR="00C435AC" w:rsidRPr="00376B88" w14:paraId="193D3F6F" w14:textId="77777777" w:rsidTr="00017572">
        <w:trPr>
          <w:trHeight w:val="288"/>
        </w:trPr>
        <w:tc>
          <w:tcPr>
            <w:tcW w:w="1100" w:type="pct"/>
            <w:tcBorders>
              <w:left w:val="single" w:sz="4" w:space="0" w:color="auto"/>
            </w:tcBorders>
            <w:hideMark/>
          </w:tcPr>
          <w:p w14:paraId="75171088" w14:textId="77777777" w:rsidR="00C435AC" w:rsidRPr="00376B88" w:rsidRDefault="00C435AC" w:rsidP="00C41639">
            <w:pPr>
              <w:spacing w:after="0"/>
              <w:rPr>
                <w:rFonts w:cstheme="minorHAnsi"/>
                <w:b/>
                <w:bCs/>
                <w:szCs w:val="22"/>
              </w:rPr>
            </w:pPr>
            <w:r w:rsidRPr="00376B88">
              <w:rPr>
                <w:rFonts w:cstheme="minorHAnsi"/>
                <w:b/>
                <w:bCs/>
                <w:szCs w:val="22"/>
              </w:rPr>
              <w:t>2021 – 2045</w:t>
            </w:r>
          </w:p>
        </w:tc>
        <w:tc>
          <w:tcPr>
            <w:tcW w:w="800" w:type="pct"/>
            <w:hideMark/>
          </w:tcPr>
          <w:p w14:paraId="10E22D57" w14:textId="77777777" w:rsidR="00C435AC" w:rsidRPr="00376B88" w:rsidRDefault="00C435AC" w:rsidP="00C41639">
            <w:pPr>
              <w:spacing w:after="0"/>
              <w:rPr>
                <w:b/>
                <w:bCs/>
                <w:szCs w:val="22"/>
              </w:rPr>
            </w:pPr>
            <w:r w:rsidRPr="00376B88">
              <w:rPr>
                <w:b/>
                <w:bCs/>
                <w:szCs w:val="22"/>
              </w:rPr>
              <w:t>Total</w:t>
            </w:r>
          </w:p>
        </w:tc>
        <w:tc>
          <w:tcPr>
            <w:tcW w:w="1073" w:type="pct"/>
            <w:hideMark/>
          </w:tcPr>
          <w:p w14:paraId="4FF226DD" w14:textId="77777777" w:rsidR="00C435AC" w:rsidRPr="00376B88" w:rsidRDefault="00C435AC" w:rsidP="00C41639">
            <w:pPr>
              <w:spacing w:after="0"/>
              <w:jc w:val="right"/>
              <w:rPr>
                <w:b/>
                <w:bCs/>
                <w:szCs w:val="22"/>
              </w:rPr>
            </w:pPr>
            <w:r w:rsidRPr="00376B88">
              <w:rPr>
                <w:b/>
                <w:bCs/>
                <w:szCs w:val="22"/>
              </w:rPr>
              <w:t>20,180</w:t>
            </w:r>
          </w:p>
        </w:tc>
        <w:tc>
          <w:tcPr>
            <w:tcW w:w="1107" w:type="pct"/>
            <w:hideMark/>
          </w:tcPr>
          <w:p w14:paraId="17C9D856" w14:textId="77777777" w:rsidR="00C435AC" w:rsidRPr="00376B88" w:rsidRDefault="00C435AC" w:rsidP="00C41639">
            <w:pPr>
              <w:spacing w:after="0"/>
              <w:jc w:val="right"/>
              <w:rPr>
                <w:b/>
                <w:bCs/>
                <w:szCs w:val="22"/>
              </w:rPr>
            </w:pPr>
            <w:r w:rsidRPr="00376B88">
              <w:rPr>
                <w:b/>
                <w:bCs/>
                <w:szCs w:val="22"/>
              </w:rPr>
              <w:t>$1,210</w:t>
            </w:r>
          </w:p>
        </w:tc>
        <w:tc>
          <w:tcPr>
            <w:tcW w:w="920" w:type="pct"/>
            <w:tcBorders>
              <w:right w:val="single" w:sz="4" w:space="0" w:color="auto"/>
            </w:tcBorders>
            <w:hideMark/>
          </w:tcPr>
          <w:p w14:paraId="357D0BDF" w14:textId="77777777" w:rsidR="00C435AC" w:rsidRPr="00376B88" w:rsidRDefault="00C435AC" w:rsidP="00C41639">
            <w:pPr>
              <w:spacing w:after="0"/>
              <w:jc w:val="right"/>
              <w:rPr>
                <w:b/>
                <w:bCs/>
                <w:szCs w:val="22"/>
              </w:rPr>
            </w:pPr>
            <w:r w:rsidRPr="00376B88">
              <w:rPr>
                <w:b/>
                <w:bCs/>
                <w:szCs w:val="22"/>
              </w:rPr>
              <w:t>$4,040</w:t>
            </w:r>
          </w:p>
        </w:tc>
      </w:tr>
      <w:tr w:rsidR="00C435AC" w:rsidRPr="00376B88" w14:paraId="04697F6D" w14:textId="77777777" w:rsidTr="00017572">
        <w:trPr>
          <w:trHeight w:val="288"/>
        </w:trPr>
        <w:tc>
          <w:tcPr>
            <w:tcW w:w="1100" w:type="pct"/>
            <w:tcBorders>
              <w:left w:val="single" w:sz="4" w:space="0" w:color="auto"/>
            </w:tcBorders>
            <w:hideMark/>
          </w:tcPr>
          <w:p w14:paraId="5DB73B7F" w14:textId="77777777" w:rsidR="00C435AC" w:rsidRPr="00376B88" w:rsidRDefault="00C435AC" w:rsidP="00C41639">
            <w:pPr>
              <w:spacing w:after="0"/>
              <w:rPr>
                <w:rFonts w:cstheme="minorHAnsi"/>
                <w:szCs w:val="22"/>
              </w:rPr>
            </w:pPr>
            <w:r w:rsidRPr="00376B88">
              <w:rPr>
                <w:rFonts w:cstheme="minorHAnsi"/>
                <w:szCs w:val="22"/>
              </w:rPr>
              <w:t>2020 – 2044</w:t>
            </w:r>
          </w:p>
        </w:tc>
        <w:tc>
          <w:tcPr>
            <w:tcW w:w="800" w:type="pct"/>
            <w:hideMark/>
          </w:tcPr>
          <w:p w14:paraId="59725D7D" w14:textId="77777777" w:rsidR="00C435AC" w:rsidRPr="00376B88" w:rsidRDefault="00C435AC" w:rsidP="00C41639">
            <w:pPr>
              <w:spacing w:after="0"/>
              <w:rPr>
                <w:szCs w:val="22"/>
              </w:rPr>
            </w:pPr>
            <w:r w:rsidRPr="00376B88">
              <w:rPr>
                <w:szCs w:val="22"/>
              </w:rPr>
              <w:t>Direct</w:t>
            </w:r>
          </w:p>
        </w:tc>
        <w:tc>
          <w:tcPr>
            <w:tcW w:w="1073" w:type="pct"/>
            <w:hideMark/>
          </w:tcPr>
          <w:p w14:paraId="137962E6" w14:textId="77777777" w:rsidR="00C435AC" w:rsidRPr="00376B88" w:rsidRDefault="00C435AC" w:rsidP="00C41639">
            <w:pPr>
              <w:spacing w:after="0"/>
              <w:jc w:val="right"/>
              <w:rPr>
                <w:szCs w:val="22"/>
              </w:rPr>
            </w:pPr>
            <w:r w:rsidRPr="00376B88">
              <w:rPr>
                <w:szCs w:val="22"/>
              </w:rPr>
              <w:t>7,823</w:t>
            </w:r>
          </w:p>
        </w:tc>
        <w:tc>
          <w:tcPr>
            <w:tcW w:w="1107" w:type="pct"/>
            <w:hideMark/>
          </w:tcPr>
          <w:p w14:paraId="32D3C6E8" w14:textId="77777777" w:rsidR="00C435AC" w:rsidRPr="00376B88" w:rsidRDefault="00C435AC" w:rsidP="00C41639">
            <w:pPr>
              <w:spacing w:after="0"/>
              <w:jc w:val="right"/>
              <w:rPr>
                <w:szCs w:val="22"/>
              </w:rPr>
            </w:pPr>
            <w:r w:rsidRPr="00376B88">
              <w:rPr>
                <w:szCs w:val="22"/>
              </w:rPr>
              <w:t>$484</w:t>
            </w:r>
          </w:p>
        </w:tc>
        <w:tc>
          <w:tcPr>
            <w:tcW w:w="920" w:type="pct"/>
            <w:tcBorders>
              <w:right w:val="single" w:sz="4" w:space="0" w:color="auto"/>
            </w:tcBorders>
            <w:hideMark/>
          </w:tcPr>
          <w:p w14:paraId="01827259" w14:textId="77777777" w:rsidR="00C435AC" w:rsidRPr="00376B88" w:rsidRDefault="00C435AC" w:rsidP="00C41639">
            <w:pPr>
              <w:spacing w:after="0"/>
              <w:jc w:val="right"/>
              <w:rPr>
                <w:szCs w:val="22"/>
              </w:rPr>
            </w:pPr>
            <w:r w:rsidRPr="00376B88">
              <w:rPr>
                <w:szCs w:val="22"/>
              </w:rPr>
              <w:t>$1,410</w:t>
            </w:r>
          </w:p>
        </w:tc>
      </w:tr>
      <w:tr w:rsidR="00C435AC" w:rsidRPr="00376B88" w14:paraId="3E61CE25" w14:textId="77777777" w:rsidTr="00017572">
        <w:trPr>
          <w:trHeight w:val="288"/>
        </w:trPr>
        <w:tc>
          <w:tcPr>
            <w:tcW w:w="1100" w:type="pct"/>
            <w:tcBorders>
              <w:left w:val="single" w:sz="4" w:space="0" w:color="auto"/>
            </w:tcBorders>
            <w:hideMark/>
          </w:tcPr>
          <w:p w14:paraId="5E4A29D3" w14:textId="77777777" w:rsidR="00C435AC" w:rsidRPr="00376B88" w:rsidRDefault="00C435AC" w:rsidP="00C41639">
            <w:pPr>
              <w:spacing w:after="0"/>
              <w:rPr>
                <w:rFonts w:cstheme="minorHAnsi"/>
                <w:szCs w:val="22"/>
              </w:rPr>
            </w:pPr>
            <w:r w:rsidRPr="00376B88">
              <w:rPr>
                <w:rFonts w:cstheme="minorHAnsi"/>
                <w:szCs w:val="22"/>
              </w:rPr>
              <w:t>2020 – 2044</w:t>
            </w:r>
          </w:p>
        </w:tc>
        <w:tc>
          <w:tcPr>
            <w:tcW w:w="800" w:type="pct"/>
            <w:hideMark/>
          </w:tcPr>
          <w:p w14:paraId="5E3375F3" w14:textId="77777777" w:rsidR="00C435AC" w:rsidRPr="00376B88" w:rsidRDefault="00C435AC" w:rsidP="00C41639">
            <w:pPr>
              <w:spacing w:after="0"/>
              <w:rPr>
                <w:szCs w:val="22"/>
              </w:rPr>
            </w:pPr>
            <w:r w:rsidRPr="00376B88">
              <w:rPr>
                <w:szCs w:val="22"/>
              </w:rPr>
              <w:t>Indirect</w:t>
            </w:r>
          </w:p>
        </w:tc>
        <w:tc>
          <w:tcPr>
            <w:tcW w:w="1073" w:type="pct"/>
            <w:hideMark/>
          </w:tcPr>
          <w:p w14:paraId="7740D440" w14:textId="77777777" w:rsidR="00C435AC" w:rsidRPr="00376B88" w:rsidRDefault="00C435AC" w:rsidP="00C41639">
            <w:pPr>
              <w:spacing w:after="0"/>
              <w:jc w:val="right"/>
              <w:rPr>
                <w:szCs w:val="22"/>
              </w:rPr>
            </w:pPr>
            <w:r w:rsidRPr="00376B88">
              <w:rPr>
                <w:szCs w:val="22"/>
              </w:rPr>
              <w:t>3,145</w:t>
            </w:r>
          </w:p>
        </w:tc>
        <w:tc>
          <w:tcPr>
            <w:tcW w:w="1107" w:type="pct"/>
            <w:hideMark/>
          </w:tcPr>
          <w:p w14:paraId="0D1B8773" w14:textId="77777777" w:rsidR="00C435AC" w:rsidRPr="00376B88" w:rsidRDefault="00C435AC" w:rsidP="00C41639">
            <w:pPr>
              <w:spacing w:after="0"/>
              <w:jc w:val="right"/>
              <w:rPr>
                <w:szCs w:val="22"/>
              </w:rPr>
            </w:pPr>
            <w:r w:rsidRPr="00376B88">
              <w:rPr>
                <w:szCs w:val="22"/>
              </w:rPr>
              <w:t>$224</w:t>
            </w:r>
          </w:p>
        </w:tc>
        <w:tc>
          <w:tcPr>
            <w:tcW w:w="920" w:type="pct"/>
            <w:tcBorders>
              <w:right w:val="single" w:sz="4" w:space="0" w:color="auto"/>
            </w:tcBorders>
            <w:hideMark/>
          </w:tcPr>
          <w:p w14:paraId="74280557" w14:textId="77777777" w:rsidR="00C435AC" w:rsidRPr="00376B88" w:rsidRDefault="00C435AC" w:rsidP="00C41639">
            <w:pPr>
              <w:spacing w:after="0"/>
              <w:jc w:val="right"/>
              <w:rPr>
                <w:szCs w:val="22"/>
              </w:rPr>
            </w:pPr>
            <w:r w:rsidRPr="00376B88">
              <w:rPr>
                <w:szCs w:val="22"/>
              </w:rPr>
              <w:t>$623</w:t>
            </w:r>
          </w:p>
        </w:tc>
      </w:tr>
      <w:tr w:rsidR="00C435AC" w:rsidRPr="00376B88" w14:paraId="36CE422C" w14:textId="77777777" w:rsidTr="00017572">
        <w:trPr>
          <w:trHeight w:val="288"/>
        </w:trPr>
        <w:tc>
          <w:tcPr>
            <w:tcW w:w="1100" w:type="pct"/>
            <w:tcBorders>
              <w:left w:val="single" w:sz="4" w:space="0" w:color="auto"/>
            </w:tcBorders>
            <w:hideMark/>
          </w:tcPr>
          <w:p w14:paraId="492E3EE0" w14:textId="77777777" w:rsidR="00C435AC" w:rsidRPr="00376B88" w:rsidRDefault="00C435AC" w:rsidP="00C41639">
            <w:pPr>
              <w:spacing w:after="0"/>
              <w:rPr>
                <w:rFonts w:cstheme="minorHAnsi"/>
                <w:szCs w:val="22"/>
              </w:rPr>
            </w:pPr>
            <w:r w:rsidRPr="00376B88">
              <w:rPr>
                <w:rFonts w:cstheme="minorHAnsi"/>
                <w:szCs w:val="22"/>
              </w:rPr>
              <w:t>2020 – 2044</w:t>
            </w:r>
          </w:p>
        </w:tc>
        <w:tc>
          <w:tcPr>
            <w:tcW w:w="800" w:type="pct"/>
            <w:hideMark/>
          </w:tcPr>
          <w:p w14:paraId="0E2F04A0" w14:textId="77777777" w:rsidR="00C435AC" w:rsidRPr="00376B88" w:rsidRDefault="00C435AC" w:rsidP="00C41639">
            <w:pPr>
              <w:spacing w:after="0"/>
              <w:rPr>
                <w:szCs w:val="22"/>
              </w:rPr>
            </w:pPr>
            <w:r w:rsidRPr="00376B88">
              <w:rPr>
                <w:szCs w:val="22"/>
              </w:rPr>
              <w:t>Induced</w:t>
            </w:r>
          </w:p>
        </w:tc>
        <w:tc>
          <w:tcPr>
            <w:tcW w:w="1073" w:type="pct"/>
            <w:hideMark/>
          </w:tcPr>
          <w:p w14:paraId="3CD11B28" w14:textId="77777777" w:rsidR="00C435AC" w:rsidRPr="00376B88" w:rsidRDefault="00C435AC" w:rsidP="00C41639">
            <w:pPr>
              <w:spacing w:after="0"/>
              <w:jc w:val="right"/>
              <w:rPr>
                <w:szCs w:val="22"/>
              </w:rPr>
            </w:pPr>
            <w:r w:rsidRPr="00376B88">
              <w:rPr>
                <w:szCs w:val="22"/>
              </w:rPr>
              <w:t>9,278</w:t>
            </w:r>
          </w:p>
        </w:tc>
        <w:tc>
          <w:tcPr>
            <w:tcW w:w="1107" w:type="pct"/>
            <w:hideMark/>
          </w:tcPr>
          <w:p w14:paraId="3D0BADBD" w14:textId="77777777" w:rsidR="00C435AC" w:rsidRPr="00376B88" w:rsidRDefault="00C435AC" w:rsidP="00C41639">
            <w:pPr>
              <w:spacing w:after="0"/>
              <w:jc w:val="right"/>
              <w:rPr>
                <w:szCs w:val="22"/>
              </w:rPr>
            </w:pPr>
            <w:r w:rsidRPr="00376B88">
              <w:rPr>
                <w:szCs w:val="22"/>
              </w:rPr>
              <w:t>$501</w:t>
            </w:r>
          </w:p>
        </w:tc>
        <w:tc>
          <w:tcPr>
            <w:tcW w:w="920" w:type="pct"/>
            <w:tcBorders>
              <w:right w:val="single" w:sz="4" w:space="0" w:color="auto"/>
            </w:tcBorders>
            <w:hideMark/>
          </w:tcPr>
          <w:p w14:paraId="04150E32" w14:textId="77777777" w:rsidR="00C435AC" w:rsidRPr="00376B88" w:rsidRDefault="00C435AC" w:rsidP="00C41639">
            <w:pPr>
              <w:spacing w:after="0"/>
              <w:jc w:val="right"/>
              <w:rPr>
                <w:szCs w:val="22"/>
              </w:rPr>
            </w:pPr>
            <w:r w:rsidRPr="00376B88">
              <w:rPr>
                <w:szCs w:val="22"/>
              </w:rPr>
              <w:t>$2,010</w:t>
            </w:r>
          </w:p>
        </w:tc>
      </w:tr>
      <w:tr w:rsidR="00C435AC" w:rsidRPr="00376B88" w14:paraId="6F767BFC" w14:textId="77777777" w:rsidTr="00017572">
        <w:trPr>
          <w:trHeight w:val="288"/>
        </w:trPr>
        <w:tc>
          <w:tcPr>
            <w:tcW w:w="1100" w:type="pct"/>
            <w:tcBorders>
              <w:left w:val="single" w:sz="4" w:space="0" w:color="auto"/>
            </w:tcBorders>
            <w:hideMark/>
          </w:tcPr>
          <w:p w14:paraId="21CD59B1" w14:textId="77777777" w:rsidR="00C435AC" w:rsidRPr="00376B88" w:rsidRDefault="00C435AC" w:rsidP="00C41639">
            <w:pPr>
              <w:spacing w:after="0"/>
              <w:rPr>
                <w:rFonts w:cstheme="minorHAnsi"/>
                <w:b/>
                <w:bCs/>
                <w:szCs w:val="22"/>
              </w:rPr>
            </w:pPr>
            <w:r w:rsidRPr="00376B88">
              <w:rPr>
                <w:rFonts w:cstheme="minorHAnsi"/>
                <w:b/>
                <w:bCs/>
                <w:szCs w:val="22"/>
              </w:rPr>
              <w:t>2020 – 2044</w:t>
            </w:r>
          </w:p>
        </w:tc>
        <w:tc>
          <w:tcPr>
            <w:tcW w:w="800" w:type="pct"/>
            <w:hideMark/>
          </w:tcPr>
          <w:p w14:paraId="5DF6AE9F" w14:textId="77777777" w:rsidR="00C435AC" w:rsidRPr="00376B88" w:rsidRDefault="00C435AC" w:rsidP="00C41639">
            <w:pPr>
              <w:spacing w:after="0"/>
              <w:rPr>
                <w:b/>
                <w:bCs/>
                <w:szCs w:val="22"/>
              </w:rPr>
            </w:pPr>
            <w:r w:rsidRPr="00376B88">
              <w:rPr>
                <w:b/>
                <w:bCs/>
                <w:szCs w:val="22"/>
              </w:rPr>
              <w:t>Total</w:t>
            </w:r>
          </w:p>
        </w:tc>
        <w:tc>
          <w:tcPr>
            <w:tcW w:w="1073" w:type="pct"/>
            <w:hideMark/>
          </w:tcPr>
          <w:p w14:paraId="5B95E300" w14:textId="77777777" w:rsidR="00C435AC" w:rsidRPr="00376B88" w:rsidRDefault="00C435AC" w:rsidP="00C41639">
            <w:pPr>
              <w:spacing w:after="0"/>
              <w:jc w:val="right"/>
              <w:rPr>
                <w:b/>
                <w:bCs/>
                <w:szCs w:val="22"/>
              </w:rPr>
            </w:pPr>
            <w:r w:rsidRPr="00376B88">
              <w:rPr>
                <w:b/>
                <w:bCs/>
                <w:szCs w:val="22"/>
              </w:rPr>
              <w:t>20,246</w:t>
            </w:r>
          </w:p>
        </w:tc>
        <w:tc>
          <w:tcPr>
            <w:tcW w:w="1107" w:type="pct"/>
            <w:hideMark/>
          </w:tcPr>
          <w:p w14:paraId="20325DA7" w14:textId="77777777" w:rsidR="00C435AC" w:rsidRPr="00376B88" w:rsidRDefault="00C435AC" w:rsidP="00C41639">
            <w:pPr>
              <w:spacing w:after="0"/>
              <w:jc w:val="right"/>
              <w:rPr>
                <w:b/>
                <w:bCs/>
                <w:szCs w:val="22"/>
              </w:rPr>
            </w:pPr>
            <w:r w:rsidRPr="00376B88">
              <w:rPr>
                <w:b/>
                <w:bCs/>
                <w:szCs w:val="22"/>
              </w:rPr>
              <w:t>$1,210</w:t>
            </w:r>
          </w:p>
        </w:tc>
        <w:tc>
          <w:tcPr>
            <w:tcW w:w="920" w:type="pct"/>
            <w:tcBorders>
              <w:right w:val="single" w:sz="4" w:space="0" w:color="auto"/>
            </w:tcBorders>
            <w:hideMark/>
          </w:tcPr>
          <w:p w14:paraId="473FA3AA" w14:textId="77777777" w:rsidR="00C435AC" w:rsidRPr="00376B88" w:rsidRDefault="00C435AC" w:rsidP="00C41639">
            <w:pPr>
              <w:spacing w:after="0"/>
              <w:jc w:val="right"/>
              <w:rPr>
                <w:b/>
                <w:bCs/>
                <w:szCs w:val="22"/>
              </w:rPr>
            </w:pPr>
            <w:r w:rsidRPr="00376B88">
              <w:rPr>
                <w:b/>
                <w:bCs/>
                <w:szCs w:val="22"/>
              </w:rPr>
              <w:t>$4,040</w:t>
            </w:r>
          </w:p>
        </w:tc>
      </w:tr>
      <w:tr w:rsidR="00C435AC" w:rsidRPr="00376B88" w14:paraId="12525A71" w14:textId="77777777" w:rsidTr="00017572">
        <w:trPr>
          <w:trHeight w:val="288"/>
        </w:trPr>
        <w:tc>
          <w:tcPr>
            <w:tcW w:w="1100" w:type="pct"/>
            <w:tcBorders>
              <w:left w:val="single" w:sz="4" w:space="0" w:color="auto"/>
            </w:tcBorders>
            <w:hideMark/>
          </w:tcPr>
          <w:p w14:paraId="2F7F5A79" w14:textId="77777777" w:rsidR="00C435AC" w:rsidRPr="00376B88" w:rsidRDefault="00C435AC" w:rsidP="00C41639">
            <w:pPr>
              <w:spacing w:after="0"/>
              <w:rPr>
                <w:rFonts w:cstheme="minorHAnsi"/>
                <w:szCs w:val="22"/>
              </w:rPr>
            </w:pPr>
            <w:r w:rsidRPr="00376B88">
              <w:rPr>
                <w:rFonts w:cstheme="minorHAnsi"/>
                <w:szCs w:val="22"/>
              </w:rPr>
              <w:t>2019 – 2043</w:t>
            </w:r>
          </w:p>
        </w:tc>
        <w:tc>
          <w:tcPr>
            <w:tcW w:w="800" w:type="pct"/>
            <w:hideMark/>
          </w:tcPr>
          <w:p w14:paraId="43BEAB66" w14:textId="77777777" w:rsidR="00C435AC" w:rsidRPr="00376B88" w:rsidRDefault="00C435AC" w:rsidP="00C41639">
            <w:pPr>
              <w:spacing w:after="0"/>
              <w:rPr>
                <w:szCs w:val="22"/>
              </w:rPr>
            </w:pPr>
            <w:r w:rsidRPr="00376B88">
              <w:rPr>
                <w:szCs w:val="22"/>
              </w:rPr>
              <w:t>Direct</w:t>
            </w:r>
          </w:p>
        </w:tc>
        <w:tc>
          <w:tcPr>
            <w:tcW w:w="1073" w:type="pct"/>
            <w:hideMark/>
          </w:tcPr>
          <w:p w14:paraId="04C240EC" w14:textId="77777777" w:rsidR="00C435AC" w:rsidRPr="00376B88" w:rsidRDefault="00C435AC" w:rsidP="00C41639">
            <w:pPr>
              <w:spacing w:after="0"/>
              <w:jc w:val="right"/>
              <w:rPr>
                <w:szCs w:val="22"/>
              </w:rPr>
            </w:pPr>
            <w:r w:rsidRPr="00376B88">
              <w:rPr>
                <w:szCs w:val="22"/>
              </w:rPr>
              <w:t>6,583</w:t>
            </w:r>
          </w:p>
        </w:tc>
        <w:tc>
          <w:tcPr>
            <w:tcW w:w="1107" w:type="pct"/>
            <w:hideMark/>
          </w:tcPr>
          <w:p w14:paraId="2B41618C" w14:textId="77777777" w:rsidR="00C435AC" w:rsidRPr="00376B88" w:rsidRDefault="00C435AC" w:rsidP="00C41639">
            <w:pPr>
              <w:spacing w:after="0"/>
              <w:jc w:val="right"/>
              <w:rPr>
                <w:szCs w:val="22"/>
              </w:rPr>
            </w:pPr>
            <w:r w:rsidRPr="00376B88">
              <w:rPr>
                <w:szCs w:val="22"/>
              </w:rPr>
              <w:t>$414</w:t>
            </w:r>
          </w:p>
        </w:tc>
        <w:tc>
          <w:tcPr>
            <w:tcW w:w="920" w:type="pct"/>
            <w:tcBorders>
              <w:right w:val="single" w:sz="4" w:space="0" w:color="auto"/>
            </w:tcBorders>
            <w:hideMark/>
          </w:tcPr>
          <w:p w14:paraId="0647FA1A" w14:textId="77777777" w:rsidR="00C435AC" w:rsidRPr="00376B88" w:rsidRDefault="00C435AC" w:rsidP="00C41639">
            <w:pPr>
              <w:spacing w:after="0"/>
              <w:jc w:val="right"/>
              <w:rPr>
                <w:szCs w:val="22"/>
              </w:rPr>
            </w:pPr>
            <w:r w:rsidRPr="00376B88">
              <w:rPr>
                <w:szCs w:val="22"/>
              </w:rPr>
              <w:t>$1,230</w:t>
            </w:r>
          </w:p>
        </w:tc>
      </w:tr>
      <w:tr w:rsidR="00C435AC" w:rsidRPr="00376B88" w14:paraId="46D26797" w14:textId="77777777" w:rsidTr="00017572">
        <w:trPr>
          <w:trHeight w:val="288"/>
        </w:trPr>
        <w:tc>
          <w:tcPr>
            <w:tcW w:w="1100" w:type="pct"/>
            <w:tcBorders>
              <w:left w:val="single" w:sz="4" w:space="0" w:color="auto"/>
            </w:tcBorders>
            <w:hideMark/>
          </w:tcPr>
          <w:p w14:paraId="7C644DDB" w14:textId="77777777" w:rsidR="00C435AC" w:rsidRPr="00376B88" w:rsidRDefault="00C435AC" w:rsidP="00C41639">
            <w:pPr>
              <w:spacing w:after="0"/>
              <w:rPr>
                <w:rFonts w:cstheme="minorHAnsi"/>
                <w:szCs w:val="22"/>
              </w:rPr>
            </w:pPr>
            <w:r w:rsidRPr="00376B88">
              <w:rPr>
                <w:rFonts w:cstheme="minorHAnsi"/>
                <w:szCs w:val="22"/>
              </w:rPr>
              <w:t>2019 – 2043</w:t>
            </w:r>
          </w:p>
        </w:tc>
        <w:tc>
          <w:tcPr>
            <w:tcW w:w="800" w:type="pct"/>
            <w:hideMark/>
          </w:tcPr>
          <w:p w14:paraId="2F0BBC3A" w14:textId="77777777" w:rsidR="00C435AC" w:rsidRPr="00376B88" w:rsidRDefault="00C435AC" w:rsidP="00C41639">
            <w:pPr>
              <w:spacing w:after="0"/>
              <w:rPr>
                <w:szCs w:val="22"/>
              </w:rPr>
            </w:pPr>
            <w:r w:rsidRPr="00376B88">
              <w:rPr>
                <w:szCs w:val="22"/>
              </w:rPr>
              <w:t>Indirect</w:t>
            </w:r>
          </w:p>
        </w:tc>
        <w:tc>
          <w:tcPr>
            <w:tcW w:w="1073" w:type="pct"/>
            <w:hideMark/>
          </w:tcPr>
          <w:p w14:paraId="7040C5AC" w14:textId="77777777" w:rsidR="00C435AC" w:rsidRPr="00376B88" w:rsidRDefault="00C435AC" w:rsidP="00C41639">
            <w:pPr>
              <w:spacing w:after="0"/>
              <w:jc w:val="right"/>
              <w:rPr>
                <w:szCs w:val="22"/>
              </w:rPr>
            </w:pPr>
            <w:r w:rsidRPr="00376B88">
              <w:rPr>
                <w:szCs w:val="22"/>
              </w:rPr>
              <w:t>2,706</w:t>
            </w:r>
          </w:p>
        </w:tc>
        <w:tc>
          <w:tcPr>
            <w:tcW w:w="1107" w:type="pct"/>
            <w:hideMark/>
          </w:tcPr>
          <w:p w14:paraId="7FEC580F" w14:textId="77777777" w:rsidR="00C435AC" w:rsidRPr="00376B88" w:rsidRDefault="00C435AC" w:rsidP="00C41639">
            <w:pPr>
              <w:spacing w:after="0"/>
              <w:jc w:val="right"/>
              <w:rPr>
                <w:szCs w:val="22"/>
              </w:rPr>
            </w:pPr>
            <w:r w:rsidRPr="00376B88">
              <w:rPr>
                <w:szCs w:val="22"/>
              </w:rPr>
              <w:t>$195</w:t>
            </w:r>
          </w:p>
        </w:tc>
        <w:tc>
          <w:tcPr>
            <w:tcW w:w="920" w:type="pct"/>
            <w:tcBorders>
              <w:right w:val="single" w:sz="4" w:space="0" w:color="auto"/>
            </w:tcBorders>
            <w:hideMark/>
          </w:tcPr>
          <w:p w14:paraId="28FB2BF7" w14:textId="77777777" w:rsidR="00C435AC" w:rsidRPr="00376B88" w:rsidRDefault="00C435AC" w:rsidP="00C41639">
            <w:pPr>
              <w:spacing w:after="0"/>
              <w:jc w:val="right"/>
              <w:rPr>
                <w:szCs w:val="22"/>
              </w:rPr>
            </w:pPr>
            <w:r w:rsidRPr="00376B88">
              <w:rPr>
                <w:szCs w:val="22"/>
              </w:rPr>
              <w:t>$549</w:t>
            </w:r>
          </w:p>
        </w:tc>
      </w:tr>
      <w:tr w:rsidR="00C435AC" w:rsidRPr="00376B88" w14:paraId="0CBFA769" w14:textId="77777777" w:rsidTr="00017572">
        <w:trPr>
          <w:trHeight w:val="288"/>
        </w:trPr>
        <w:tc>
          <w:tcPr>
            <w:tcW w:w="1100" w:type="pct"/>
            <w:tcBorders>
              <w:left w:val="single" w:sz="4" w:space="0" w:color="auto"/>
            </w:tcBorders>
            <w:hideMark/>
          </w:tcPr>
          <w:p w14:paraId="10DCE2ED" w14:textId="77777777" w:rsidR="00C435AC" w:rsidRPr="00376B88" w:rsidRDefault="00C435AC" w:rsidP="00C41639">
            <w:pPr>
              <w:spacing w:after="0"/>
              <w:rPr>
                <w:rFonts w:cstheme="minorHAnsi"/>
                <w:szCs w:val="22"/>
              </w:rPr>
            </w:pPr>
            <w:r w:rsidRPr="00376B88">
              <w:rPr>
                <w:rFonts w:cstheme="minorHAnsi"/>
                <w:szCs w:val="22"/>
              </w:rPr>
              <w:t>2019 – 2043</w:t>
            </w:r>
          </w:p>
        </w:tc>
        <w:tc>
          <w:tcPr>
            <w:tcW w:w="800" w:type="pct"/>
            <w:hideMark/>
          </w:tcPr>
          <w:p w14:paraId="04FA5420" w14:textId="77777777" w:rsidR="00C435AC" w:rsidRPr="00376B88" w:rsidRDefault="00C435AC" w:rsidP="00C41639">
            <w:pPr>
              <w:spacing w:after="0"/>
              <w:rPr>
                <w:szCs w:val="22"/>
              </w:rPr>
            </w:pPr>
            <w:r w:rsidRPr="00376B88">
              <w:rPr>
                <w:szCs w:val="22"/>
              </w:rPr>
              <w:t>Induced</w:t>
            </w:r>
          </w:p>
        </w:tc>
        <w:tc>
          <w:tcPr>
            <w:tcW w:w="1073" w:type="pct"/>
            <w:hideMark/>
          </w:tcPr>
          <w:p w14:paraId="127A01AE" w14:textId="77777777" w:rsidR="00C435AC" w:rsidRPr="00376B88" w:rsidRDefault="00C435AC" w:rsidP="00C41639">
            <w:pPr>
              <w:spacing w:after="0"/>
              <w:jc w:val="right"/>
              <w:rPr>
                <w:szCs w:val="22"/>
              </w:rPr>
            </w:pPr>
            <w:r w:rsidRPr="00376B88">
              <w:rPr>
                <w:szCs w:val="22"/>
              </w:rPr>
              <w:t>7,458</w:t>
            </w:r>
          </w:p>
        </w:tc>
        <w:tc>
          <w:tcPr>
            <w:tcW w:w="1107" w:type="pct"/>
            <w:hideMark/>
          </w:tcPr>
          <w:p w14:paraId="6D9F3092" w14:textId="77777777" w:rsidR="00C435AC" w:rsidRPr="00376B88" w:rsidRDefault="00C435AC" w:rsidP="00C41639">
            <w:pPr>
              <w:spacing w:after="0"/>
              <w:jc w:val="right"/>
              <w:rPr>
                <w:szCs w:val="22"/>
              </w:rPr>
            </w:pPr>
            <w:r w:rsidRPr="00376B88">
              <w:rPr>
                <w:szCs w:val="22"/>
              </w:rPr>
              <w:t>$403</w:t>
            </w:r>
          </w:p>
        </w:tc>
        <w:tc>
          <w:tcPr>
            <w:tcW w:w="920" w:type="pct"/>
            <w:tcBorders>
              <w:right w:val="single" w:sz="4" w:space="0" w:color="auto"/>
            </w:tcBorders>
            <w:hideMark/>
          </w:tcPr>
          <w:p w14:paraId="0F17525E" w14:textId="77777777" w:rsidR="00C435AC" w:rsidRPr="00376B88" w:rsidRDefault="00C435AC" w:rsidP="00C41639">
            <w:pPr>
              <w:spacing w:after="0"/>
              <w:jc w:val="right"/>
              <w:rPr>
                <w:szCs w:val="22"/>
              </w:rPr>
            </w:pPr>
            <w:r w:rsidRPr="00376B88">
              <w:rPr>
                <w:szCs w:val="22"/>
              </w:rPr>
              <w:t>$1,590</w:t>
            </w:r>
          </w:p>
        </w:tc>
      </w:tr>
      <w:tr w:rsidR="00C435AC" w:rsidRPr="00376B88" w14:paraId="32009BA6" w14:textId="77777777" w:rsidTr="00017572">
        <w:trPr>
          <w:trHeight w:val="288"/>
        </w:trPr>
        <w:tc>
          <w:tcPr>
            <w:tcW w:w="1100" w:type="pct"/>
            <w:tcBorders>
              <w:left w:val="single" w:sz="4" w:space="0" w:color="auto"/>
            </w:tcBorders>
            <w:hideMark/>
          </w:tcPr>
          <w:p w14:paraId="2F8610A8" w14:textId="77777777" w:rsidR="00C435AC" w:rsidRPr="00376B88" w:rsidRDefault="00C435AC" w:rsidP="00C41639">
            <w:pPr>
              <w:spacing w:after="0"/>
              <w:rPr>
                <w:rFonts w:cstheme="minorHAnsi"/>
                <w:b/>
                <w:bCs/>
                <w:szCs w:val="22"/>
              </w:rPr>
            </w:pPr>
            <w:r w:rsidRPr="00376B88">
              <w:rPr>
                <w:rFonts w:cstheme="minorHAnsi"/>
                <w:b/>
                <w:bCs/>
                <w:szCs w:val="22"/>
              </w:rPr>
              <w:t>2019 – 2043</w:t>
            </w:r>
          </w:p>
        </w:tc>
        <w:tc>
          <w:tcPr>
            <w:tcW w:w="800" w:type="pct"/>
            <w:hideMark/>
          </w:tcPr>
          <w:p w14:paraId="4539C8A2" w14:textId="77777777" w:rsidR="00C435AC" w:rsidRPr="00376B88" w:rsidRDefault="00C435AC" w:rsidP="00C41639">
            <w:pPr>
              <w:spacing w:after="0"/>
              <w:rPr>
                <w:b/>
                <w:bCs/>
                <w:szCs w:val="22"/>
              </w:rPr>
            </w:pPr>
            <w:r w:rsidRPr="00376B88">
              <w:rPr>
                <w:b/>
                <w:bCs/>
                <w:szCs w:val="22"/>
              </w:rPr>
              <w:t>Total</w:t>
            </w:r>
          </w:p>
        </w:tc>
        <w:tc>
          <w:tcPr>
            <w:tcW w:w="1073" w:type="pct"/>
            <w:hideMark/>
          </w:tcPr>
          <w:p w14:paraId="54D2D341" w14:textId="77777777" w:rsidR="00C435AC" w:rsidRPr="00376B88" w:rsidRDefault="00C435AC" w:rsidP="00C41639">
            <w:pPr>
              <w:spacing w:after="0"/>
              <w:jc w:val="right"/>
              <w:rPr>
                <w:b/>
                <w:bCs/>
                <w:szCs w:val="22"/>
              </w:rPr>
            </w:pPr>
            <w:r w:rsidRPr="00376B88">
              <w:rPr>
                <w:b/>
                <w:bCs/>
                <w:szCs w:val="22"/>
              </w:rPr>
              <w:t>16,747</w:t>
            </w:r>
          </w:p>
        </w:tc>
        <w:tc>
          <w:tcPr>
            <w:tcW w:w="1107" w:type="pct"/>
            <w:hideMark/>
          </w:tcPr>
          <w:p w14:paraId="36FF4DBD" w14:textId="77777777" w:rsidR="00C435AC" w:rsidRPr="00376B88" w:rsidRDefault="00C435AC" w:rsidP="00C41639">
            <w:pPr>
              <w:spacing w:after="0"/>
              <w:jc w:val="right"/>
              <w:rPr>
                <w:b/>
                <w:bCs/>
                <w:szCs w:val="22"/>
              </w:rPr>
            </w:pPr>
            <w:r w:rsidRPr="00376B88">
              <w:rPr>
                <w:b/>
                <w:bCs/>
                <w:szCs w:val="22"/>
              </w:rPr>
              <w:t>$1,010</w:t>
            </w:r>
          </w:p>
        </w:tc>
        <w:tc>
          <w:tcPr>
            <w:tcW w:w="920" w:type="pct"/>
            <w:tcBorders>
              <w:right w:val="single" w:sz="4" w:space="0" w:color="auto"/>
            </w:tcBorders>
            <w:hideMark/>
          </w:tcPr>
          <w:p w14:paraId="7B561F6D" w14:textId="77777777" w:rsidR="00C435AC" w:rsidRPr="00376B88" w:rsidRDefault="00C435AC" w:rsidP="00C41639">
            <w:pPr>
              <w:spacing w:after="0"/>
              <w:jc w:val="right"/>
              <w:rPr>
                <w:b/>
                <w:bCs/>
                <w:szCs w:val="22"/>
              </w:rPr>
            </w:pPr>
            <w:r w:rsidRPr="00376B88">
              <w:rPr>
                <w:b/>
                <w:bCs/>
                <w:szCs w:val="22"/>
              </w:rPr>
              <w:t>$3,370</w:t>
            </w:r>
          </w:p>
        </w:tc>
      </w:tr>
      <w:tr w:rsidR="00C435AC" w:rsidRPr="00376B88" w14:paraId="56044D0A" w14:textId="77777777" w:rsidTr="00017572">
        <w:trPr>
          <w:trHeight w:val="288"/>
        </w:trPr>
        <w:tc>
          <w:tcPr>
            <w:tcW w:w="1100" w:type="pct"/>
            <w:tcBorders>
              <w:left w:val="single" w:sz="4" w:space="0" w:color="auto"/>
            </w:tcBorders>
            <w:hideMark/>
          </w:tcPr>
          <w:p w14:paraId="5C5FFD4E" w14:textId="77777777" w:rsidR="00C435AC" w:rsidRPr="00376B88" w:rsidRDefault="00C435AC" w:rsidP="00C41639">
            <w:pPr>
              <w:spacing w:after="0"/>
              <w:rPr>
                <w:rFonts w:cstheme="minorHAnsi"/>
                <w:szCs w:val="22"/>
              </w:rPr>
            </w:pPr>
            <w:r w:rsidRPr="00376B88">
              <w:rPr>
                <w:rFonts w:cstheme="minorHAnsi"/>
                <w:szCs w:val="22"/>
              </w:rPr>
              <w:t>2018 – 2042</w:t>
            </w:r>
          </w:p>
        </w:tc>
        <w:tc>
          <w:tcPr>
            <w:tcW w:w="800" w:type="pct"/>
            <w:hideMark/>
          </w:tcPr>
          <w:p w14:paraId="6985768B" w14:textId="77777777" w:rsidR="00C435AC" w:rsidRPr="00376B88" w:rsidRDefault="00C435AC" w:rsidP="00C41639">
            <w:pPr>
              <w:spacing w:after="0"/>
              <w:rPr>
                <w:szCs w:val="22"/>
              </w:rPr>
            </w:pPr>
            <w:r w:rsidRPr="00376B88">
              <w:rPr>
                <w:szCs w:val="22"/>
              </w:rPr>
              <w:t>Direct</w:t>
            </w:r>
          </w:p>
        </w:tc>
        <w:tc>
          <w:tcPr>
            <w:tcW w:w="1073" w:type="pct"/>
            <w:hideMark/>
          </w:tcPr>
          <w:p w14:paraId="4021B133" w14:textId="77777777" w:rsidR="00C435AC" w:rsidRPr="00376B88" w:rsidRDefault="00C435AC" w:rsidP="00C41639">
            <w:pPr>
              <w:spacing w:after="0"/>
              <w:jc w:val="right"/>
              <w:rPr>
                <w:szCs w:val="22"/>
              </w:rPr>
            </w:pPr>
            <w:r w:rsidRPr="00376B88">
              <w:rPr>
                <w:szCs w:val="22"/>
              </w:rPr>
              <w:t>5,562</w:t>
            </w:r>
          </w:p>
        </w:tc>
        <w:tc>
          <w:tcPr>
            <w:tcW w:w="1107" w:type="pct"/>
            <w:hideMark/>
          </w:tcPr>
          <w:p w14:paraId="6797D149" w14:textId="77777777" w:rsidR="00C435AC" w:rsidRPr="00376B88" w:rsidRDefault="00C435AC" w:rsidP="00C41639">
            <w:pPr>
              <w:spacing w:after="0"/>
              <w:jc w:val="right"/>
              <w:rPr>
                <w:szCs w:val="22"/>
              </w:rPr>
            </w:pPr>
            <w:r w:rsidRPr="00376B88">
              <w:rPr>
                <w:szCs w:val="22"/>
              </w:rPr>
              <w:t>$340</w:t>
            </w:r>
          </w:p>
        </w:tc>
        <w:tc>
          <w:tcPr>
            <w:tcW w:w="920" w:type="pct"/>
            <w:tcBorders>
              <w:right w:val="single" w:sz="4" w:space="0" w:color="auto"/>
            </w:tcBorders>
            <w:hideMark/>
          </w:tcPr>
          <w:p w14:paraId="4644BC9A" w14:textId="77777777" w:rsidR="00C435AC" w:rsidRPr="00376B88" w:rsidRDefault="00C435AC" w:rsidP="00C41639">
            <w:pPr>
              <w:spacing w:after="0"/>
              <w:jc w:val="right"/>
              <w:rPr>
                <w:szCs w:val="22"/>
              </w:rPr>
            </w:pPr>
            <w:r w:rsidRPr="00376B88">
              <w:rPr>
                <w:szCs w:val="22"/>
              </w:rPr>
              <w:t>$965</w:t>
            </w:r>
          </w:p>
        </w:tc>
      </w:tr>
      <w:tr w:rsidR="00C435AC" w:rsidRPr="00376B88" w14:paraId="490A84FA" w14:textId="77777777" w:rsidTr="00017572">
        <w:trPr>
          <w:trHeight w:val="288"/>
        </w:trPr>
        <w:tc>
          <w:tcPr>
            <w:tcW w:w="1100" w:type="pct"/>
            <w:tcBorders>
              <w:left w:val="single" w:sz="4" w:space="0" w:color="auto"/>
            </w:tcBorders>
            <w:hideMark/>
          </w:tcPr>
          <w:p w14:paraId="7E0C6473" w14:textId="77777777" w:rsidR="00C435AC" w:rsidRPr="00376B88" w:rsidRDefault="00C435AC" w:rsidP="00C41639">
            <w:pPr>
              <w:spacing w:after="0"/>
              <w:rPr>
                <w:rFonts w:cstheme="minorHAnsi"/>
                <w:szCs w:val="22"/>
              </w:rPr>
            </w:pPr>
            <w:r w:rsidRPr="00376B88">
              <w:rPr>
                <w:rFonts w:cstheme="minorHAnsi"/>
                <w:szCs w:val="22"/>
              </w:rPr>
              <w:t>2018 – 2042</w:t>
            </w:r>
          </w:p>
        </w:tc>
        <w:tc>
          <w:tcPr>
            <w:tcW w:w="800" w:type="pct"/>
            <w:hideMark/>
          </w:tcPr>
          <w:p w14:paraId="3C769E97" w14:textId="77777777" w:rsidR="00C435AC" w:rsidRPr="00376B88" w:rsidRDefault="00C435AC" w:rsidP="00C41639">
            <w:pPr>
              <w:spacing w:after="0"/>
              <w:rPr>
                <w:szCs w:val="22"/>
              </w:rPr>
            </w:pPr>
            <w:r w:rsidRPr="00376B88">
              <w:rPr>
                <w:szCs w:val="22"/>
              </w:rPr>
              <w:t>Indirect</w:t>
            </w:r>
          </w:p>
        </w:tc>
        <w:tc>
          <w:tcPr>
            <w:tcW w:w="1073" w:type="pct"/>
            <w:hideMark/>
          </w:tcPr>
          <w:p w14:paraId="2DAEE8CA" w14:textId="77777777" w:rsidR="00C435AC" w:rsidRPr="00376B88" w:rsidRDefault="00C435AC" w:rsidP="00C41639">
            <w:pPr>
              <w:spacing w:after="0"/>
              <w:jc w:val="right"/>
              <w:rPr>
                <w:szCs w:val="22"/>
              </w:rPr>
            </w:pPr>
            <w:r w:rsidRPr="00376B88">
              <w:rPr>
                <w:szCs w:val="22"/>
              </w:rPr>
              <w:t>2,241</w:t>
            </w:r>
          </w:p>
        </w:tc>
        <w:tc>
          <w:tcPr>
            <w:tcW w:w="1107" w:type="pct"/>
            <w:hideMark/>
          </w:tcPr>
          <w:p w14:paraId="2A25505F" w14:textId="77777777" w:rsidR="00C435AC" w:rsidRPr="00376B88" w:rsidRDefault="00C435AC" w:rsidP="00C41639">
            <w:pPr>
              <w:spacing w:after="0"/>
              <w:jc w:val="right"/>
              <w:rPr>
                <w:szCs w:val="22"/>
              </w:rPr>
            </w:pPr>
            <w:r w:rsidRPr="00376B88">
              <w:rPr>
                <w:szCs w:val="22"/>
              </w:rPr>
              <w:t>$161</w:t>
            </w:r>
          </w:p>
        </w:tc>
        <w:tc>
          <w:tcPr>
            <w:tcW w:w="920" w:type="pct"/>
            <w:tcBorders>
              <w:right w:val="single" w:sz="4" w:space="0" w:color="auto"/>
            </w:tcBorders>
            <w:hideMark/>
          </w:tcPr>
          <w:p w14:paraId="74890ED2" w14:textId="77777777" w:rsidR="00C435AC" w:rsidRPr="00376B88" w:rsidRDefault="00C435AC" w:rsidP="00C41639">
            <w:pPr>
              <w:spacing w:after="0"/>
              <w:jc w:val="right"/>
              <w:rPr>
                <w:szCs w:val="22"/>
              </w:rPr>
            </w:pPr>
            <w:r w:rsidRPr="00376B88">
              <w:rPr>
                <w:szCs w:val="22"/>
              </w:rPr>
              <w:t>$452</w:t>
            </w:r>
          </w:p>
        </w:tc>
      </w:tr>
      <w:tr w:rsidR="00C435AC" w:rsidRPr="00376B88" w14:paraId="41CBFEEF" w14:textId="77777777" w:rsidTr="00017572">
        <w:trPr>
          <w:trHeight w:val="288"/>
        </w:trPr>
        <w:tc>
          <w:tcPr>
            <w:tcW w:w="1100" w:type="pct"/>
            <w:tcBorders>
              <w:left w:val="single" w:sz="4" w:space="0" w:color="auto"/>
            </w:tcBorders>
            <w:hideMark/>
          </w:tcPr>
          <w:p w14:paraId="339C39DF" w14:textId="77777777" w:rsidR="00C435AC" w:rsidRPr="00376B88" w:rsidRDefault="00C435AC" w:rsidP="00C41639">
            <w:pPr>
              <w:spacing w:after="0"/>
              <w:rPr>
                <w:rFonts w:cstheme="minorHAnsi"/>
                <w:szCs w:val="22"/>
              </w:rPr>
            </w:pPr>
            <w:r w:rsidRPr="00376B88">
              <w:rPr>
                <w:rFonts w:cstheme="minorHAnsi"/>
                <w:szCs w:val="22"/>
              </w:rPr>
              <w:t>2018 – 2042</w:t>
            </w:r>
          </w:p>
        </w:tc>
        <w:tc>
          <w:tcPr>
            <w:tcW w:w="800" w:type="pct"/>
            <w:hideMark/>
          </w:tcPr>
          <w:p w14:paraId="0B64EBB1" w14:textId="77777777" w:rsidR="00C435AC" w:rsidRPr="00376B88" w:rsidRDefault="00C435AC" w:rsidP="00C41639">
            <w:pPr>
              <w:spacing w:after="0"/>
              <w:rPr>
                <w:szCs w:val="22"/>
              </w:rPr>
            </w:pPr>
            <w:r w:rsidRPr="00376B88">
              <w:rPr>
                <w:szCs w:val="22"/>
              </w:rPr>
              <w:t>Induced</w:t>
            </w:r>
          </w:p>
        </w:tc>
        <w:tc>
          <w:tcPr>
            <w:tcW w:w="1073" w:type="pct"/>
            <w:hideMark/>
          </w:tcPr>
          <w:p w14:paraId="39B2AA4F" w14:textId="77777777" w:rsidR="00C435AC" w:rsidRPr="00376B88" w:rsidRDefault="00C435AC" w:rsidP="00C41639">
            <w:pPr>
              <w:spacing w:after="0"/>
              <w:jc w:val="right"/>
              <w:rPr>
                <w:szCs w:val="22"/>
              </w:rPr>
            </w:pPr>
            <w:r w:rsidRPr="00376B88">
              <w:rPr>
                <w:szCs w:val="22"/>
              </w:rPr>
              <w:t>6,904</w:t>
            </w:r>
          </w:p>
        </w:tc>
        <w:tc>
          <w:tcPr>
            <w:tcW w:w="1107" w:type="pct"/>
            <w:hideMark/>
          </w:tcPr>
          <w:p w14:paraId="163C7DB5" w14:textId="77777777" w:rsidR="00C435AC" w:rsidRPr="00376B88" w:rsidRDefault="00C435AC" w:rsidP="00C41639">
            <w:pPr>
              <w:spacing w:after="0"/>
              <w:jc w:val="right"/>
              <w:rPr>
                <w:szCs w:val="22"/>
              </w:rPr>
            </w:pPr>
            <w:r w:rsidRPr="00376B88">
              <w:rPr>
                <w:szCs w:val="22"/>
              </w:rPr>
              <w:t>$375</w:t>
            </w:r>
          </w:p>
        </w:tc>
        <w:tc>
          <w:tcPr>
            <w:tcW w:w="920" w:type="pct"/>
            <w:tcBorders>
              <w:right w:val="single" w:sz="4" w:space="0" w:color="auto"/>
            </w:tcBorders>
            <w:hideMark/>
          </w:tcPr>
          <w:p w14:paraId="29AF3689" w14:textId="77777777" w:rsidR="00C435AC" w:rsidRPr="00376B88" w:rsidRDefault="00C435AC" w:rsidP="00C41639">
            <w:pPr>
              <w:spacing w:after="0"/>
              <w:jc w:val="right"/>
              <w:rPr>
                <w:szCs w:val="22"/>
              </w:rPr>
            </w:pPr>
            <w:r w:rsidRPr="00376B88">
              <w:rPr>
                <w:szCs w:val="22"/>
              </w:rPr>
              <w:t>$1530</w:t>
            </w:r>
          </w:p>
        </w:tc>
      </w:tr>
      <w:tr w:rsidR="00C435AC" w:rsidRPr="00376B88" w14:paraId="0F0566FC" w14:textId="77777777" w:rsidTr="00017572">
        <w:trPr>
          <w:trHeight w:val="288"/>
        </w:trPr>
        <w:tc>
          <w:tcPr>
            <w:tcW w:w="1100" w:type="pct"/>
            <w:tcBorders>
              <w:left w:val="single" w:sz="4" w:space="0" w:color="auto"/>
              <w:bottom w:val="single" w:sz="4" w:space="0" w:color="auto"/>
            </w:tcBorders>
            <w:hideMark/>
          </w:tcPr>
          <w:p w14:paraId="49FFF682" w14:textId="77777777" w:rsidR="00C435AC" w:rsidRPr="00376B88" w:rsidRDefault="00C435AC" w:rsidP="00C41639">
            <w:pPr>
              <w:spacing w:after="0"/>
              <w:rPr>
                <w:rFonts w:cstheme="minorHAnsi"/>
                <w:b/>
                <w:bCs/>
                <w:szCs w:val="22"/>
              </w:rPr>
            </w:pPr>
            <w:r w:rsidRPr="00376B88">
              <w:rPr>
                <w:rFonts w:cstheme="minorHAnsi"/>
                <w:b/>
                <w:bCs/>
                <w:szCs w:val="22"/>
              </w:rPr>
              <w:t>2018 – 2042</w:t>
            </w:r>
          </w:p>
        </w:tc>
        <w:tc>
          <w:tcPr>
            <w:tcW w:w="800" w:type="pct"/>
            <w:tcBorders>
              <w:bottom w:val="single" w:sz="4" w:space="0" w:color="auto"/>
            </w:tcBorders>
            <w:hideMark/>
          </w:tcPr>
          <w:p w14:paraId="7BA0B157" w14:textId="77777777" w:rsidR="00C435AC" w:rsidRPr="00376B88" w:rsidRDefault="00C435AC" w:rsidP="00C41639">
            <w:pPr>
              <w:spacing w:after="0"/>
              <w:rPr>
                <w:b/>
                <w:bCs/>
                <w:szCs w:val="22"/>
              </w:rPr>
            </w:pPr>
            <w:r w:rsidRPr="00376B88">
              <w:rPr>
                <w:b/>
                <w:bCs/>
                <w:szCs w:val="22"/>
              </w:rPr>
              <w:t>Total</w:t>
            </w:r>
          </w:p>
        </w:tc>
        <w:tc>
          <w:tcPr>
            <w:tcW w:w="1073" w:type="pct"/>
            <w:tcBorders>
              <w:bottom w:val="single" w:sz="4" w:space="0" w:color="auto"/>
            </w:tcBorders>
            <w:hideMark/>
          </w:tcPr>
          <w:p w14:paraId="5EC047D2" w14:textId="77777777" w:rsidR="00C435AC" w:rsidRPr="00376B88" w:rsidRDefault="00C435AC" w:rsidP="00C41639">
            <w:pPr>
              <w:spacing w:after="0"/>
              <w:jc w:val="right"/>
              <w:rPr>
                <w:b/>
                <w:bCs/>
                <w:szCs w:val="22"/>
              </w:rPr>
            </w:pPr>
            <w:r w:rsidRPr="00376B88">
              <w:rPr>
                <w:b/>
                <w:bCs/>
                <w:szCs w:val="22"/>
              </w:rPr>
              <w:t>14,707</w:t>
            </w:r>
          </w:p>
        </w:tc>
        <w:tc>
          <w:tcPr>
            <w:tcW w:w="1107" w:type="pct"/>
            <w:tcBorders>
              <w:bottom w:val="single" w:sz="4" w:space="0" w:color="auto"/>
            </w:tcBorders>
            <w:hideMark/>
          </w:tcPr>
          <w:p w14:paraId="11902ED0" w14:textId="77777777" w:rsidR="00C435AC" w:rsidRPr="00376B88" w:rsidRDefault="00C435AC" w:rsidP="00C41639">
            <w:pPr>
              <w:spacing w:after="0"/>
              <w:jc w:val="right"/>
              <w:rPr>
                <w:b/>
                <w:bCs/>
                <w:szCs w:val="22"/>
              </w:rPr>
            </w:pPr>
            <w:r w:rsidRPr="00376B88">
              <w:rPr>
                <w:b/>
                <w:bCs/>
                <w:szCs w:val="22"/>
              </w:rPr>
              <w:t>$876</w:t>
            </w:r>
          </w:p>
        </w:tc>
        <w:tc>
          <w:tcPr>
            <w:tcW w:w="920" w:type="pct"/>
            <w:tcBorders>
              <w:bottom w:val="single" w:sz="4" w:space="0" w:color="auto"/>
              <w:right w:val="single" w:sz="4" w:space="0" w:color="auto"/>
            </w:tcBorders>
            <w:hideMark/>
          </w:tcPr>
          <w:p w14:paraId="6360AE23" w14:textId="77777777" w:rsidR="00C435AC" w:rsidRPr="00376B88" w:rsidRDefault="00C435AC" w:rsidP="00C41639">
            <w:pPr>
              <w:spacing w:after="0"/>
              <w:jc w:val="right"/>
              <w:rPr>
                <w:b/>
                <w:bCs/>
                <w:szCs w:val="22"/>
              </w:rPr>
            </w:pPr>
            <w:r w:rsidRPr="00376B88">
              <w:rPr>
                <w:b/>
                <w:bCs/>
                <w:szCs w:val="22"/>
              </w:rPr>
              <w:t>$2,940</w:t>
            </w:r>
          </w:p>
        </w:tc>
      </w:tr>
    </w:tbl>
    <w:p w14:paraId="5D4C8519" w14:textId="1DED2C79" w:rsidR="00C435AC" w:rsidRDefault="00C435AC" w:rsidP="00C435AC">
      <w:pPr>
        <w:rPr>
          <w:rFonts w:asciiTheme="majorHAnsi" w:hAnsiTheme="majorHAnsi" w:cstheme="majorBidi"/>
          <w:i/>
          <w:sz w:val="16"/>
          <w:szCs w:val="16"/>
        </w:rPr>
      </w:pPr>
      <w:bookmarkStart w:id="14" w:name="_1746291012"/>
      <w:bookmarkEnd w:id="14"/>
      <w:r w:rsidRPr="339C1A46">
        <w:rPr>
          <w:rFonts w:asciiTheme="majorHAnsi" w:hAnsiTheme="majorHAnsi" w:cstheme="majorBidi"/>
          <w:i/>
          <w:iCs/>
          <w:sz w:val="16"/>
          <w:szCs w:val="16"/>
        </w:rPr>
        <w:t>Source: Guidehouse analysis of ComEd CY</w:t>
      </w:r>
      <w:r w:rsidR="00BD3D61">
        <w:rPr>
          <w:rFonts w:asciiTheme="majorHAnsi" w:hAnsiTheme="majorHAnsi" w:cstheme="majorBidi"/>
          <w:i/>
          <w:iCs/>
          <w:sz w:val="16"/>
          <w:szCs w:val="16"/>
        </w:rPr>
        <w:t>2025</w:t>
      </w:r>
      <w:r w:rsidRPr="339C1A46">
        <w:rPr>
          <w:rFonts w:asciiTheme="majorHAnsi" w:hAnsiTheme="majorHAnsi" w:cstheme="majorBidi"/>
          <w:i/>
          <w:iCs/>
          <w:sz w:val="16"/>
          <w:szCs w:val="16"/>
        </w:rPr>
        <w:t xml:space="preserve"> Data</w:t>
      </w:r>
    </w:p>
    <w:p w14:paraId="60DED679" w14:textId="77777777" w:rsidR="00C435AC" w:rsidRDefault="00C435AC" w:rsidP="00C435AC">
      <w:pPr>
        <w:pStyle w:val="Caption"/>
        <w:spacing w:after="0"/>
        <w:rPr>
          <w:rFonts w:cstheme="minorBidi"/>
          <w:szCs w:val="20"/>
        </w:rPr>
      </w:pPr>
      <w:bookmarkStart w:id="15" w:name="_Ref170469822"/>
      <w:r>
        <w:t xml:space="preserve">Table </w:t>
      </w:r>
      <w:r>
        <w:fldChar w:fldCharType="begin"/>
      </w:r>
      <w:r>
        <w:instrText xml:space="preserve"> SEQ Table \* ARABIC </w:instrText>
      </w:r>
      <w:r>
        <w:fldChar w:fldCharType="separate"/>
      </w:r>
      <w:r>
        <w:rPr>
          <w:noProof/>
        </w:rPr>
        <w:t>5</w:t>
      </w:r>
      <w:r>
        <w:fldChar w:fldCharType="end"/>
      </w:r>
      <w:bookmarkEnd w:id="15"/>
      <w:r>
        <w:t xml:space="preserve">. </w:t>
      </w:r>
      <w:r w:rsidRPr="007B0AC9">
        <w:rPr>
          <w:rFonts w:cstheme="minorBidi"/>
          <w:szCs w:val="20"/>
        </w:rPr>
        <w:t>ComEd Energy Efficiency Portfolio Economic Impacts by</w:t>
      </w:r>
    </w:p>
    <w:p w14:paraId="5FD6D4EB" w14:textId="753DC585" w:rsidR="00C435AC" w:rsidRPr="007B0AC9" w:rsidRDefault="00C435AC" w:rsidP="0085028F">
      <w:pPr>
        <w:pStyle w:val="Caption"/>
        <w:spacing w:after="0"/>
        <w:rPr>
          <w:rFonts w:cstheme="minorBidi"/>
          <w:b w:val="0"/>
          <w:bCs/>
        </w:rPr>
      </w:pPr>
      <w:r w:rsidRPr="339C1A46">
        <w:rPr>
          <w:rFonts w:cstheme="minorBidi"/>
        </w:rPr>
        <w:t>Periods (CY2018-CY</w:t>
      </w:r>
      <w:r w:rsidR="00BD3D61">
        <w:rPr>
          <w:rFonts w:cstheme="minorBidi"/>
        </w:rPr>
        <w:t>2025</w:t>
      </w:r>
      <w:r w:rsidRPr="339C1A46">
        <w:rPr>
          <w:rFonts w:cstheme="minorBidi"/>
        </w:rPr>
        <w:t>)</w:t>
      </w:r>
    </w:p>
    <w:tbl>
      <w:tblPr>
        <w:tblStyle w:val="GHCustom"/>
        <w:tblpPr w:leftFromText="180" w:rightFromText="180" w:vertAnchor="text" w:horzAnchor="margin" w:tblpXSpec="center" w:tblpY="142"/>
        <w:tblW w:w="5000" w:type="pct"/>
        <w:tblLook w:val="04A0" w:firstRow="1" w:lastRow="0" w:firstColumn="1" w:lastColumn="0" w:noHBand="0" w:noVBand="1"/>
      </w:tblPr>
      <w:tblGrid>
        <w:gridCol w:w="2538"/>
        <w:gridCol w:w="1511"/>
        <w:gridCol w:w="1511"/>
        <w:gridCol w:w="2070"/>
        <w:gridCol w:w="1720"/>
      </w:tblGrid>
      <w:tr w:rsidR="00C435AC" w:rsidRPr="00BD4875" w14:paraId="2022B08A" w14:textId="77777777" w:rsidTr="0085028F">
        <w:trPr>
          <w:cnfStyle w:val="100000000000" w:firstRow="1" w:lastRow="0" w:firstColumn="0" w:lastColumn="0" w:oddVBand="0" w:evenVBand="0" w:oddHBand="0" w:evenHBand="0" w:firstRowFirstColumn="0" w:firstRowLastColumn="0" w:lastRowFirstColumn="0" w:lastRowLastColumn="0"/>
          <w:trHeight w:val="530"/>
          <w:tblHeader/>
        </w:trPr>
        <w:tc>
          <w:tcPr>
            <w:tcW w:w="1357" w:type="pct"/>
            <w:tcBorders>
              <w:top w:val="single" w:sz="4" w:space="0" w:color="auto"/>
              <w:left w:val="single" w:sz="4" w:space="0" w:color="auto"/>
            </w:tcBorders>
            <w:vAlign w:val="center"/>
            <w:hideMark/>
          </w:tcPr>
          <w:p w14:paraId="4FB329F7" w14:textId="77777777" w:rsidR="00C435AC" w:rsidRPr="00BD4875" w:rsidRDefault="00C435AC" w:rsidP="0085028F">
            <w:pPr>
              <w:spacing w:after="0"/>
              <w:rPr>
                <w:szCs w:val="22"/>
              </w:rPr>
            </w:pPr>
            <w:r w:rsidRPr="00BD4875">
              <w:rPr>
                <w:szCs w:val="22"/>
              </w:rPr>
              <w:t>Time Period</w:t>
            </w:r>
          </w:p>
        </w:tc>
        <w:tc>
          <w:tcPr>
            <w:tcW w:w="808" w:type="pct"/>
            <w:tcBorders>
              <w:top w:val="single" w:sz="4" w:space="0" w:color="auto"/>
            </w:tcBorders>
            <w:vAlign w:val="center"/>
            <w:hideMark/>
          </w:tcPr>
          <w:p w14:paraId="275DC678" w14:textId="77777777" w:rsidR="00C435AC" w:rsidRPr="00BD4875" w:rsidRDefault="00C435AC" w:rsidP="0085028F">
            <w:pPr>
              <w:spacing w:after="0"/>
              <w:rPr>
                <w:szCs w:val="22"/>
              </w:rPr>
            </w:pPr>
            <w:r w:rsidRPr="00BD4875">
              <w:rPr>
                <w:szCs w:val="22"/>
              </w:rPr>
              <w:t>Impact Type</w:t>
            </w:r>
          </w:p>
        </w:tc>
        <w:tc>
          <w:tcPr>
            <w:tcW w:w="808" w:type="pct"/>
            <w:tcBorders>
              <w:top w:val="single" w:sz="4" w:space="0" w:color="auto"/>
            </w:tcBorders>
            <w:vAlign w:val="center"/>
            <w:hideMark/>
          </w:tcPr>
          <w:p w14:paraId="5393A5FC" w14:textId="77777777" w:rsidR="00C435AC" w:rsidRPr="00BD4875" w:rsidRDefault="00C435AC" w:rsidP="0085028F">
            <w:pPr>
              <w:spacing w:after="0"/>
              <w:jc w:val="right"/>
              <w:rPr>
                <w:szCs w:val="22"/>
              </w:rPr>
            </w:pPr>
            <w:r w:rsidRPr="00BD4875">
              <w:rPr>
                <w:szCs w:val="22"/>
              </w:rPr>
              <w:t>Job Years</w:t>
            </w:r>
          </w:p>
        </w:tc>
        <w:tc>
          <w:tcPr>
            <w:tcW w:w="1107" w:type="pct"/>
            <w:tcBorders>
              <w:top w:val="single" w:sz="4" w:space="0" w:color="auto"/>
            </w:tcBorders>
            <w:vAlign w:val="center"/>
            <w:hideMark/>
          </w:tcPr>
          <w:p w14:paraId="62539DD2" w14:textId="77777777" w:rsidR="00C435AC" w:rsidRPr="00BD4875" w:rsidRDefault="00C435AC" w:rsidP="0085028F">
            <w:pPr>
              <w:spacing w:after="0"/>
              <w:jc w:val="right"/>
              <w:rPr>
                <w:b w:val="0"/>
                <w:szCs w:val="22"/>
              </w:rPr>
            </w:pPr>
            <w:r w:rsidRPr="00BD4875">
              <w:rPr>
                <w:szCs w:val="22"/>
              </w:rPr>
              <w:t>Labor Income</w:t>
            </w:r>
          </w:p>
          <w:p w14:paraId="3CDA62FF" w14:textId="77777777" w:rsidR="00C435AC" w:rsidRPr="00BD4875" w:rsidRDefault="00C435AC" w:rsidP="0085028F">
            <w:pPr>
              <w:spacing w:after="0"/>
              <w:jc w:val="right"/>
              <w:rPr>
                <w:szCs w:val="22"/>
              </w:rPr>
            </w:pPr>
            <w:r w:rsidRPr="00BD4875">
              <w:rPr>
                <w:szCs w:val="22"/>
              </w:rPr>
              <w:t>($ Millions)</w:t>
            </w:r>
          </w:p>
        </w:tc>
        <w:tc>
          <w:tcPr>
            <w:tcW w:w="920" w:type="pct"/>
            <w:tcBorders>
              <w:top w:val="single" w:sz="4" w:space="0" w:color="auto"/>
              <w:right w:val="single" w:sz="4" w:space="0" w:color="auto"/>
            </w:tcBorders>
            <w:vAlign w:val="center"/>
            <w:hideMark/>
          </w:tcPr>
          <w:p w14:paraId="2114A515" w14:textId="77777777" w:rsidR="00C435AC" w:rsidRPr="00BD4875" w:rsidRDefault="00C435AC" w:rsidP="0085028F">
            <w:pPr>
              <w:spacing w:after="0"/>
              <w:jc w:val="right"/>
              <w:rPr>
                <w:b w:val="0"/>
                <w:szCs w:val="22"/>
              </w:rPr>
            </w:pPr>
            <w:r w:rsidRPr="00BD4875">
              <w:rPr>
                <w:szCs w:val="22"/>
              </w:rPr>
              <w:t>Industry Output</w:t>
            </w:r>
          </w:p>
          <w:p w14:paraId="300DE54E" w14:textId="77777777" w:rsidR="00C435AC" w:rsidRPr="00BD4875" w:rsidRDefault="00C435AC" w:rsidP="0085028F">
            <w:pPr>
              <w:spacing w:after="0"/>
              <w:jc w:val="right"/>
              <w:rPr>
                <w:szCs w:val="22"/>
              </w:rPr>
            </w:pPr>
            <w:r w:rsidRPr="00BD4875">
              <w:rPr>
                <w:szCs w:val="22"/>
              </w:rPr>
              <w:t>($ Millions)</w:t>
            </w:r>
          </w:p>
        </w:tc>
      </w:tr>
      <w:tr w:rsidR="00C435AC" w:rsidRPr="00BD4875" w14:paraId="5F7699E9" w14:textId="77777777" w:rsidTr="0085028F">
        <w:trPr>
          <w:trHeight w:val="290"/>
        </w:trPr>
        <w:tc>
          <w:tcPr>
            <w:tcW w:w="1357" w:type="pct"/>
            <w:tcBorders>
              <w:left w:val="single" w:sz="4" w:space="0" w:color="auto"/>
            </w:tcBorders>
            <w:vAlign w:val="center"/>
            <w:hideMark/>
          </w:tcPr>
          <w:p w14:paraId="6DDB5162" w14:textId="77777777" w:rsidR="00C435AC" w:rsidRPr="00BD4875" w:rsidRDefault="00C435AC" w:rsidP="0085028F">
            <w:pPr>
              <w:spacing w:after="0"/>
              <w:rPr>
                <w:rFonts w:eastAsia="Arial Narrow" w:cs="Arial Narrow"/>
                <w:szCs w:val="22"/>
              </w:rPr>
            </w:pPr>
            <w:r w:rsidRPr="00BD4875">
              <w:rPr>
                <w:rFonts w:eastAsia="Arial Narrow" w:cs="Arial Narrow"/>
                <w:szCs w:val="22"/>
              </w:rPr>
              <w:t>2018 – 2042</w:t>
            </w:r>
          </w:p>
        </w:tc>
        <w:tc>
          <w:tcPr>
            <w:tcW w:w="808" w:type="pct"/>
            <w:vAlign w:val="center"/>
            <w:hideMark/>
          </w:tcPr>
          <w:p w14:paraId="11CDFFBC" w14:textId="77777777" w:rsidR="00C435AC" w:rsidRPr="00BD4875" w:rsidRDefault="00C435AC" w:rsidP="0085028F">
            <w:pPr>
              <w:spacing w:after="0"/>
              <w:rPr>
                <w:rFonts w:eastAsia="Arial Narrow" w:cs="Arial Narrow"/>
                <w:szCs w:val="22"/>
              </w:rPr>
            </w:pPr>
            <w:r w:rsidRPr="00BD4875">
              <w:rPr>
                <w:rFonts w:eastAsia="Arial Narrow" w:cs="Arial Narrow"/>
                <w:szCs w:val="22"/>
              </w:rPr>
              <w:t>Total</w:t>
            </w:r>
          </w:p>
        </w:tc>
        <w:tc>
          <w:tcPr>
            <w:tcW w:w="808" w:type="pct"/>
            <w:vAlign w:val="center"/>
            <w:hideMark/>
          </w:tcPr>
          <w:p w14:paraId="26D88EC3"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14,707</w:t>
            </w:r>
          </w:p>
        </w:tc>
        <w:tc>
          <w:tcPr>
            <w:tcW w:w="1107" w:type="pct"/>
            <w:vAlign w:val="center"/>
            <w:hideMark/>
          </w:tcPr>
          <w:p w14:paraId="5CE9A2E8"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$876</w:t>
            </w:r>
          </w:p>
        </w:tc>
        <w:tc>
          <w:tcPr>
            <w:tcW w:w="920" w:type="pct"/>
            <w:tcBorders>
              <w:right w:val="single" w:sz="4" w:space="0" w:color="auto"/>
            </w:tcBorders>
            <w:vAlign w:val="center"/>
            <w:hideMark/>
          </w:tcPr>
          <w:p w14:paraId="0A1B96D8"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$2,940</w:t>
            </w:r>
          </w:p>
        </w:tc>
      </w:tr>
      <w:tr w:rsidR="00C435AC" w:rsidRPr="00BD4875" w14:paraId="65DD8B6B" w14:textId="77777777" w:rsidTr="0085028F">
        <w:trPr>
          <w:trHeight w:val="290"/>
        </w:trPr>
        <w:tc>
          <w:tcPr>
            <w:tcW w:w="1357" w:type="pct"/>
            <w:tcBorders>
              <w:left w:val="single" w:sz="4" w:space="0" w:color="auto"/>
            </w:tcBorders>
            <w:vAlign w:val="center"/>
            <w:hideMark/>
          </w:tcPr>
          <w:p w14:paraId="63FB5762" w14:textId="77777777" w:rsidR="00C435AC" w:rsidRPr="00BD4875" w:rsidRDefault="00C435AC" w:rsidP="0085028F">
            <w:pPr>
              <w:spacing w:after="0"/>
              <w:rPr>
                <w:rFonts w:eastAsia="Arial Narrow" w:cs="Arial Narrow"/>
                <w:szCs w:val="22"/>
              </w:rPr>
            </w:pPr>
            <w:r w:rsidRPr="00BD4875">
              <w:rPr>
                <w:rFonts w:eastAsia="Arial Narrow" w:cs="Arial Narrow"/>
                <w:szCs w:val="22"/>
              </w:rPr>
              <w:t>2019 – 2043</w:t>
            </w:r>
          </w:p>
        </w:tc>
        <w:tc>
          <w:tcPr>
            <w:tcW w:w="808" w:type="pct"/>
            <w:vAlign w:val="center"/>
            <w:hideMark/>
          </w:tcPr>
          <w:p w14:paraId="3C543F57" w14:textId="77777777" w:rsidR="00C435AC" w:rsidRPr="00BD4875" w:rsidRDefault="00C435AC" w:rsidP="0085028F">
            <w:pPr>
              <w:spacing w:after="0"/>
              <w:rPr>
                <w:rFonts w:eastAsia="Arial Narrow" w:cs="Arial Narrow"/>
                <w:szCs w:val="22"/>
              </w:rPr>
            </w:pPr>
            <w:r w:rsidRPr="00BD4875">
              <w:rPr>
                <w:rFonts w:eastAsia="Arial Narrow" w:cs="Arial Narrow"/>
                <w:szCs w:val="22"/>
              </w:rPr>
              <w:t>Total</w:t>
            </w:r>
          </w:p>
        </w:tc>
        <w:tc>
          <w:tcPr>
            <w:tcW w:w="808" w:type="pct"/>
            <w:vAlign w:val="center"/>
            <w:hideMark/>
          </w:tcPr>
          <w:p w14:paraId="070EC64C"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16,747</w:t>
            </w:r>
          </w:p>
        </w:tc>
        <w:tc>
          <w:tcPr>
            <w:tcW w:w="1107" w:type="pct"/>
            <w:vAlign w:val="center"/>
            <w:hideMark/>
          </w:tcPr>
          <w:p w14:paraId="5CDA1558"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$1,010</w:t>
            </w:r>
          </w:p>
        </w:tc>
        <w:tc>
          <w:tcPr>
            <w:tcW w:w="920" w:type="pct"/>
            <w:tcBorders>
              <w:right w:val="single" w:sz="4" w:space="0" w:color="auto"/>
            </w:tcBorders>
            <w:vAlign w:val="center"/>
            <w:hideMark/>
          </w:tcPr>
          <w:p w14:paraId="3571B29A"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$3,370</w:t>
            </w:r>
          </w:p>
        </w:tc>
      </w:tr>
      <w:tr w:rsidR="00C435AC" w:rsidRPr="00BD4875" w14:paraId="6049C9AF" w14:textId="77777777" w:rsidTr="0085028F">
        <w:trPr>
          <w:trHeight w:val="290"/>
        </w:trPr>
        <w:tc>
          <w:tcPr>
            <w:tcW w:w="1357" w:type="pct"/>
            <w:tcBorders>
              <w:left w:val="single" w:sz="4" w:space="0" w:color="auto"/>
            </w:tcBorders>
            <w:vAlign w:val="center"/>
            <w:hideMark/>
          </w:tcPr>
          <w:p w14:paraId="7F3A8107" w14:textId="77777777" w:rsidR="00C435AC" w:rsidRPr="00BD4875" w:rsidRDefault="00C435AC" w:rsidP="0085028F">
            <w:pPr>
              <w:spacing w:after="0"/>
              <w:rPr>
                <w:rFonts w:eastAsia="Arial Narrow" w:cs="Arial Narrow"/>
                <w:szCs w:val="22"/>
              </w:rPr>
            </w:pPr>
            <w:r w:rsidRPr="00BD4875">
              <w:rPr>
                <w:rFonts w:eastAsia="Arial Narrow" w:cs="Arial Narrow"/>
                <w:szCs w:val="22"/>
              </w:rPr>
              <w:t>2020 – 2044</w:t>
            </w:r>
          </w:p>
        </w:tc>
        <w:tc>
          <w:tcPr>
            <w:tcW w:w="808" w:type="pct"/>
            <w:vAlign w:val="center"/>
            <w:hideMark/>
          </w:tcPr>
          <w:p w14:paraId="0274DEBC" w14:textId="77777777" w:rsidR="00C435AC" w:rsidRPr="00BD4875" w:rsidRDefault="00C435AC" w:rsidP="0085028F">
            <w:pPr>
              <w:spacing w:after="0"/>
              <w:rPr>
                <w:rFonts w:eastAsia="Arial Narrow" w:cs="Arial Narrow"/>
                <w:szCs w:val="22"/>
              </w:rPr>
            </w:pPr>
            <w:r w:rsidRPr="00BD4875">
              <w:rPr>
                <w:rFonts w:eastAsia="Arial Narrow" w:cs="Arial Narrow"/>
                <w:szCs w:val="22"/>
              </w:rPr>
              <w:t>Total</w:t>
            </w:r>
          </w:p>
        </w:tc>
        <w:tc>
          <w:tcPr>
            <w:tcW w:w="808" w:type="pct"/>
            <w:vAlign w:val="center"/>
            <w:hideMark/>
          </w:tcPr>
          <w:p w14:paraId="58918911"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20,246</w:t>
            </w:r>
          </w:p>
        </w:tc>
        <w:tc>
          <w:tcPr>
            <w:tcW w:w="1107" w:type="pct"/>
            <w:vAlign w:val="center"/>
            <w:hideMark/>
          </w:tcPr>
          <w:p w14:paraId="624448E9"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$1,210</w:t>
            </w:r>
          </w:p>
        </w:tc>
        <w:tc>
          <w:tcPr>
            <w:tcW w:w="920" w:type="pct"/>
            <w:tcBorders>
              <w:right w:val="single" w:sz="4" w:space="0" w:color="auto"/>
            </w:tcBorders>
            <w:vAlign w:val="center"/>
            <w:hideMark/>
          </w:tcPr>
          <w:p w14:paraId="70AE0D86"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$4,040</w:t>
            </w:r>
          </w:p>
        </w:tc>
      </w:tr>
      <w:tr w:rsidR="00C435AC" w:rsidRPr="00BD4875" w14:paraId="7495FD92" w14:textId="77777777" w:rsidTr="0085028F">
        <w:trPr>
          <w:trHeight w:val="290"/>
        </w:trPr>
        <w:tc>
          <w:tcPr>
            <w:tcW w:w="1357" w:type="pct"/>
            <w:tcBorders>
              <w:left w:val="single" w:sz="4" w:space="0" w:color="auto"/>
            </w:tcBorders>
            <w:vAlign w:val="center"/>
            <w:hideMark/>
          </w:tcPr>
          <w:p w14:paraId="09CB3018" w14:textId="77777777" w:rsidR="00C435AC" w:rsidRPr="00BD4875" w:rsidRDefault="00C435AC" w:rsidP="0085028F">
            <w:pPr>
              <w:spacing w:after="0"/>
              <w:rPr>
                <w:rFonts w:eastAsia="Arial Narrow" w:cs="Arial Narrow"/>
                <w:szCs w:val="22"/>
              </w:rPr>
            </w:pPr>
            <w:r w:rsidRPr="00BD4875">
              <w:rPr>
                <w:rFonts w:eastAsia="Arial Narrow" w:cs="Arial Narrow"/>
                <w:szCs w:val="22"/>
              </w:rPr>
              <w:t>2021 – 2045</w:t>
            </w:r>
          </w:p>
        </w:tc>
        <w:tc>
          <w:tcPr>
            <w:tcW w:w="808" w:type="pct"/>
            <w:vAlign w:val="center"/>
            <w:hideMark/>
          </w:tcPr>
          <w:p w14:paraId="5300C350" w14:textId="77777777" w:rsidR="00C435AC" w:rsidRPr="00BD4875" w:rsidRDefault="00C435AC" w:rsidP="0085028F">
            <w:pPr>
              <w:spacing w:after="0"/>
              <w:rPr>
                <w:rFonts w:eastAsia="Arial Narrow" w:cs="Arial Narrow"/>
                <w:szCs w:val="22"/>
              </w:rPr>
            </w:pPr>
            <w:r w:rsidRPr="00BD4875">
              <w:rPr>
                <w:rFonts w:eastAsia="Arial Narrow" w:cs="Arial Narrow"/>
                <w:szCs w:val="22"/>
              </w:rPr>
              <w:t>Total</w:t>
            </w:r>
          </w:p>
        </w:tc>
        <w:tc>
          <w:tcPr>
            <w:tcW w:w="808" w:type="pct"/>
            <w:vAlign w:val="center"/>
            <w:hideMark/>
          </w:tcPr>
          <w:p w14:paraId="5F51AF8C"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20,180</w:t>
            </w:r>
          </w:p>
        </w:tc>
        <w:tc>
          <w:tcPr>
            <w:tcW w:w="1107" w:type="pct"/>
            <w:vAlign w:val="center"/>
            <w:hideMark/>
          </w:tcPr>
          <w:p w14:paraId="5BC885BE"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$1,210</w:t>
            </w:r>
          </w:p>
        </w:tc>
        <w:tc>
          <w:tcPr>
            <w:tcW w:w="920" w:type="pct"/>
            <w:tcBorders>
              <w:right w:val="single" w:sz="4" w:space="0" w:color="auto"/>
            </w:tcBorders>
            <w:vAlign w:val="center"/>
            <w:hideMark/>
          </w:tcPr>
          <w:p w14:paraId="36BFBBD7"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$4,040</w:t>
            </w:r>
          </w:p>
        </w:tc>
      </w:tr>
      <w:tr w:rsidR="00C435AC" w:rsidRPr="00BD4875" w14:paraId="28F2D04C" w14:textId="77777777" w:rsidTr="0085028F">
        <w:trPr>
          <w:trHeight w:val="290"/>
        </w:trPr>
        <w:tc>
          <w:tcPr>
            <w:tcW w:w="1357" w:type="pct"/>
            <w:tcBorders>
              <w:left w:val="single" w:sz="4" w:space="0" w:color="auto"/>
            </w:tcBorders>
            <w:vAlign w:val="center"/>
            <w:hideMark/>
          </w:tcPr>
          <w:p w14:paraId="392DBB68" w14:textId="77777777" w:rsidR="00C435AC" w:rsidRPr="00BD4875" w:rsidRDefault="00C435AC" w:rsidP="0085028F">
            <w:pPr>
              <w:spacing w:after="0"/>
              <w:rPr>
                <w:rFonts w:eastAsia="Arial Narrow" w:cs="Arial Narrow"/>
                <w:szCs w:val="22"/>
              </w:rPr>
            </w:pPr>
            <w:r w:rsidRPr="00BD4875">
              <w:rPr>
                <w:rFonts w:eastAsia="Arial Narrow" w:cs="Arial Narrow"/>
                <w:szCs w:val="22"/>
              </w:rPr>
              <w:t>2022 – 2046</w:t>
            </w:r>
          </w:p>
        </w:tc>
        <w:tc>
          <w:tcPr>
            <w:tcW w:w="808" w:type="pct"/>
            <w:vAlign w:val="center"/>
            <w:hideMark/>
          </w:tcPr>
          <w:p w14:paraId="2A7B57E1" w14:textId="77777777" w:rsidR="00C435AC" w:rsidRPr="00BD4875" w:rsidRDefault="00C435AC" w:rsidP="0085028F">
            <w:pPr>
              <w:spacing w:after="0"/>
              <w:rPr>
                <w:rFonts w:eastAsia="Arial Narrow" w:cs="Arial Narrow"/>
                <w:szCs w:val="22"/>
              </w:rPr>
            </w:pPr>
            <w:r w:rsidRPr="00BD4875">
              <w:rPr>
                <w:rFonts w:eastAsia="Arial Narrow" w:cs="Arial Narrow"/>
                <w:szCs w:val="22"/>
              </w:rPr>
              <w:t>Total</w:t>
            </w:r>
          </w:p>
        </w:tc>
        <w:tc>
          <w:tcPr>
            <w:tcW w:w="808" w:type="pct"/>
            <w:vAlign w:val="center"/>
            <w:hideMark/>
          </w:tcPr>
          <w:p w14:paraId="58E71712"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16,454</w:t>
            </w:r>
          </w:p>
        </w:tc>
        <w:tc>
          <w:tcPr>
            <w:tcW w:w="1107" w:type="pct"/>
            <w:vAlign w:val="center"/>
            <w:hideMark/>
          </w:tcPr>
          <w:p w14:paraId="346D008E"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$1,140</w:t>
            </w:r>
          </w:p>
        </w:tc>
        <w:tc>
          <w:tcPr>
            <w:tcW w:w="920" w:type="pct"/>
            <w:tcBorders>
              <w:right w:val="single" w:sz="4" w:space="0" w:color="auto"/>
            </w:tcBorders>
            <w:vAlign w:val="center"/>
            <w:hideMark/>
          </w:tcPr>
          <w:p w14:paraId="54BB1A75"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$4,050</w:t>
            </w:r>
          </w:p>
        </w:tc>
      </w:tr>
      <w:tr w:rsidR="00C435AC" w:rsidRPr="00BD4875" w14:paraId="7368BC7F" w14:textId="77777777" w:rsidTr="0085028F">
        <w:trPr>
          <w:trHeight w:val="290"/>
        </w:trPr>
        <w:tc>
          <w:tcPr>
            <w:tcW w:w="1357" w:type="pct"/>
            <w:tcBorders>
              <w:left w:val="single" w:sz="4" w:space="0" w:color="auto"/>
            </w:tcBorders>
            <w:vAlign w:val="center"/>
          </w:tcPr>
          <w:p w14:paraId="062DCCA1" w14:textId="77777777" w:rsidR="00C435AC" w:rsidRPr="00BD4875" w:rsidRDefault="00C435AC" w:rsidP="0085028F">
            <w:pPr>
              <w:spacing w:after="0"/>
              <w:rPr>
                <w:rFonts w:eastAsia="Arial Narrow" w:cs="Arial Narrow"/>
                <w:szCs w:val="22"/>
              </w:rPr>
            </w:pPr>
            <w:r w:rsidRPr="00BD4875">
              <w:rPr>
                <w:rFonts w:eastAsia="Arial Narrow" w:cs="Arial Narrow"/>
                <w:szCs w:val="22"/>
              </w:rPr>
              <w:t>2023 – 2047</w:t>
            </w:r>
          </w:p>
        </w:tc>
        <w:tc>
          <w:tcPr>
            <w:tcW w:w="808" w:type="pct"/>
            <w:vAlign w:val="center"/>
          </w:tcPr>
          <w:p w14:paraId="260FE7E0" w14:textId="77777777" w:rsidR="00C435AC" w:rsidRPr="00BD4875" w:rsidRDefault="00C435AC" w:rsidP="0085028F">
            <w:pPr>
              <w:spacing w:after="0"/>
              <w:rPr>
                <w:rFonts w:eastAsia="Arial Narrow" w:cs="Arial Narrow"/>
                <w:szCs w:val="22"/>
              </w:rPr>
            </w:pPr>
            <w:r w:rsidRPr="00BD4875">
              <w:rPr>
                <w:rFonts w:eastAsia="Arial Narrow" w:cs="Arial Narrow"/>
                <w:szCs w:val="22"/>
              </w:rPr>
              <w:t>Total</w:t>
            </w:r>
          </w:p>
        </w:tc>
        <w:tc>
          <w:tcPr>
            <w:tcW w:w="808" w:type="pct"/>
            <w:vAlign w:val="center"/>
          </w:tcPr>
          <w:p w14:paraId="4B3F365F"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18,715</w:t>
            </w:r>
          </w:p>
        </w:tc>
        <w:tc>
          <w:tcPr>
            <w:tcW w:w="1107" w:type="pct"/>
            <w:vAlign w:val="center"/>
          </w:tcPr>
          <w:p w14:paraId="5315A49D"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$1,300</w:t>
            </w:r>
          </w:p>
        </w:tc>
        <w:tc>
          <w:tcPr>
            <w:tcW w:w="920" w:type="pct"/>
            <w:tcBorders>
              <w:right w:val="single" w:sz="4" w:space="0" w:color="auto"/>
            </w:tcBorders>
            <w:vAlign w:val="center"/>
          </w:tcPr>
          <w:p w14:paraId="00590D88" w14:textId="77777777" w:rsidR="00C435AC" w:rsidRPr="00BD4875" w:rsidRDefault="00C435AC" w:rsidP="0085028F">
            <w:pPr>
              <w:spacing w:after="0"/>
              <w:jc w:val="right"/>
              <w:rPr>
                <w:rFonts w:eastAsia="Arial Narrow" w:cs="Arial Narrow"/>
                <w:szCs w:val="22"/>
              </w:rPr>
            </w:pPr>
            <w:r w:rsidRPr="00BD4875">
              <w:rPr>
                <w:rFonts w:eastAsia="Arial Narrow" w:cs="Arial Narrow"/>
                <w:szCs w:val="22"/>
              </w:rPr>
              <w:t>$5,030</w:t>
            </w:r>
          </w:p>
        </w:tc>
      </w:tr>
      <w:tr w:rsidR="00C435AC" w:rsidRPr="00BD4875" w14:paraId="14942655" w14:textId="77777777" w:rsidTr="0085028F">
        <w:trPr>
          <w:trHeight w:val="290"/>
        </w:trPr>
        <w:tc>
          <w:tcPr>
            <w:tcW w:w="1357" w:type="pct"/>
            <w:tcBorders>
              <w:left w:val="single" w:sz="4" w:space="0" w:color="auto"/>
            </w:tcBorders>
            <w:vAlign w:val="center"/>
          </w:tcPr>
          <w:p w14:paraId="141446C8" w14:textId="77777777" w:rsidR="00C435AC" w:rsidRPr="00BD4875" w:rsidRDefault="00C435AC" w:rsidP="0085028F">
            <w:pPr>
              <w:spacing w:after="0"/>
              <w:rPr>
                <w:rFonts w:eastAsia="Arial Narrow" w:cs="Arial Narrow"/>
                <w:szCs w:val="22"/>
              </w:rPr>
            </w:pPr>
            <w:r w:rsidRPr="00BD4875">
              <w:rPr>
                <w:rFonts w:eastAsia="Arial Narrow" w:cs="Arial Narrow"/>
                <w:szCs w:val="22"/>
              </w:rPr>
              <w:t xml:space="preserve">2024 – </w:t>
            </w:r>
            <w:r w:rsidRPr="00BD4875">
              <w:rPr>
                <w:rFonts w:eastAsia="Arial Narrow" w:cs="Arial Narrow"/>
                <w:szCs w:val="22"/>
              </w:rPr>
              <w:softHyphen/>
              <w:t>2048</w:t>
            </w:r>
          </w:p>
        </w:tc>
        <w:tc>
          <w:tcPr>
            <w:tcW w:w="808" w:type="pct"/>
            <w:vAlign w:val="center"/>
          </w:tcPr>
          <w:p w14:paraId="68EC2512" w14:textId="77777777" w:rsidR="00C435AC" w:rsidRPr="00BD4875" w:rsidRDefault="00C435AC" w:rsidP="0085028F">
            <w:pPr>
              <w:spacing w:after="0"/>
              <w:rPr>
                <w:rFonts w:eastAsia="Arial Narrow" w:cs="Arial Narrow"/>
                <w:szCs w:val="22"/>
              </w:rPr>
            </w:pPr>
            <w:r w:rsidRPr="00BD4875">
              <w:rPr>
                <w:rFonts w:eastAsia="Arial Narrow" w:cs="Arial Narrow"/>
                <w:szCs w:val="22"/>
              </w:rPr>
              <w:t>Total</w:t>
            </w:r>
          </w:p>
        </w:tc>
        <w:tc>
          <w:tcPr>
            <w:tcW w:w="808" w:type="pct"/>
            <w:vAlign w:val="center"/>
          </w:tcPr>
          <w:p w14:paraId="46570924" w14:textId="77777777" w:rsidR="00C435AC" w:rsidRPr="00BD4875" w:rsidRDefault="00C435AC" w:rsidP="0085028F">
            <w:pPr>
              <w:spacing w:after="0"/>
              <w:jc w:val="right"/>
              <w:rPr>
                <w:rFonts w:eastAsia="Times New Roman" w:cs="Calibri"/>
                <w:szCs w:val="22"/>
              </w:rPr>
            </w:pPr>
            <w:r w:rsidRPr="00BD4875">
              <w:rPr>
                <w:rFonts w:cs="Calibri"/>
                <w:szCs w:val="22"/>
              </w:rPr>
              <w:t>29,179</w:t>
            </w:r>
          </w:p>
        </w:tc>
        <w:tc>
          <w:tcPr>
            <w:tcW w:w="1107" w:type="pct"/>
            <w:vAlign w:val="center"/>
          </w:tcPr>
          <w:p w14:paraId="14068F9C" w14:textId="4421BC0E" w:rsidR="00C435AC" w:rsidRPr="00BD4875" w:rsidRDefault="00C435AC" w:rsidP="0085028F">
            <w:pPr>
              <w:spacing w:after="0"/>
              <w:jc w:val="right"/>
              <w:rPr>
                <w:rFonts w:eastAsia="Times New Roman" w:cs="Calibri"/>
                <w:color w:val="000000"/>
                <w:szCs w:val="22"/>
              </w:rPr>
            </w:pPr>
            <w:r w:rsidRPr="00BD4875">
              <w:rPr>
                <w:rFonts w:cs="Calibri"/>
                <w:color w:val="000000"/>
                <w:szCs w:val="22"/>
              </w:rPr>
              <w:t>$2,003</w:t>
            </w:r>
          </w:p>
        </w:tc>
        <w:tc>
          <w:tcPr>
            <w:tcW w:w="920" w:type="pct"/>
            <w:tcBorders>
              <w:right w:val="single" w:sz="4" w:space="0" w:color="auto"/>
            </w:tcBorders>
            <w:vAlign w:val="center"/>
          </w:tcPr>
          <w:p w14:paraId="5AC00BDE" w14:textId="4F37F9C6" w:rsidR="00C435AC" w:rsidRPr="00BD4875" w:rsidRDefault="00C435AC" w:rsidP="0085028F">
            <w:pPr>
              <w:spacing w:after="0"/>
              <w:jc w:val="right"/>
              <w:rPr>
                <w:rFonts w:eastAsia="Times New Roman" w:cs="Calibri"/>
                <w:color w:val="000000"/>
                <w:szCs w:val="22"/>
              </w:rPr>
            </w:pPr>
            <w:r w:rsidRPr="00BD4875">
              <w:rPr>
                <w:rFonts w:cs="Calibri"/>
                <w:color w:val="000000"/>
                <w:szCs w:val="22"/>
              </w:rPr>
              <w:t>$8,148</w:t>
            </w:r>
          </w:p>
        </w:tc>
      </w:tr>
      <w:tr w:rsidR="00BD4875" w:rsidRPr="00BD4875" w14:paraId="33B8F065" w14:textId="77777777" w:rsidTr="0085028F">
        <w:trPr>
          <w:trHeight w:val="290"/>
        </w:trPr>
        <w:tc>
          <w:tcPr>
            <w:tcW w:w="1357" w:type="pct"/>
            <w:tcBorders>
              <w:left w:val="single" w:sz="4" w:space="0" w:color="auto"/>
              <w:bottom w:val="single" w:sz="4" w:space="0" w:color="auto"/>
            </w:tcBorders>
            <w:vAlign w:val="center"/>
          </w:tcPr>
          <w:p w14:paraId="77C77AB8" w14:textId="1D7123AC" w:rsidR="00BD4875" w:rsidRPr="00BD4875" w:rsidRDefault="00BD4875" w:rsidP="0085028F">
            <w:pPr>
              <w:spacing w:after="0"/>
              <w:rPr>
                <w:rFonts w:eastAsia="Arial Narrow" w:cs="Arial Narrow"/>
                <w:szCs w:val="22"/>
              </w:rPr>
            </w:pPr>
            <w:r w:rsidRPr="00BD4875">
              <w:rPr>
                <w:rFonts w:eastAsia="Arial Narrow" w:cs="Arial Narrow"/>
                <w:szCs w:val="22"/>
              </w:rPr>
              <w:t>2025 – 2049</w:t>
            </w:r>
          </w:p>
        </w:tc>
        <w:tc>
          <w:tcPr>
            <w:tcW w:w="808" w:type="pct"/>
            <w:tcBorders>
              <w:bottom w:val="single" w:sz="4" w:space="0" w:color="auto"/>
            </w:tcBorders>
            <w:vAlign w:val="center"/>
          </w:tcPr>
          <w:p w14:paraId="3ABBDE87" w14:textId="6A2AE455" w:rsidR="00BD4875" w:rsidRPr="00BD4875" w:rsidRDefault="00BD4875" w:rsidP="0085028F">
            <w:pPr>
              <w:spacing w:after="0"/>
              <w:rPr>
                <w:rFonts w:eastAsia="Arial Narrow" w:cs="Arial Narrow"/>
                <w:szCs w:val="22"/>
              </w:rPr>
            </w:pPr>
            <w:r w:rsidRPr="00BD4875">
              <w:rPr>
                <w:rFonts w:eastAsia="Arial Narrow" w:cs="Arial Narrow"/>
                <w:szCs w:val="22"/>
              </w:rPr>
              <w:t>Total</w:t>
            </w:r>
          </w:p>
        </w:tc>
        <w:tc>
          <w:tcPr>
            <w:tcW w:w="808" w:type="pct"/>
            <w:tcBorders>
              <w:bottom w:val="single" w:sz="4" w:space="0" w:color="auto"/>
            </w:tcBorders>
            <w:vAlign w:val="center"/>
          </w:tcPr>
          <w:p w14:paraId="5454BA48" w14:textId="1B760A49" w:rsidR="00BD4875" w:rsidRPr="00BD4875" w:rsidRDefault="00BD4875" w:rsidP="0085028F">
            <w:pPr>
              <w:spacing w:after="0"/>
              <w:jc w:val="right"/>
              <w:rPr>
                <w:rFonts w:cs="Calibri"/>
                <w:szCs w:val="22"/>
              </w:rPr>
            </w:pPr>
            <w:r w:rsidRPr="00BD4875">
              <w:rPr>
                <w:szCs w:val="22"/>
              </w:rPr>
              <w:t>27,646</w:t>
            </w:r>
          </w:p>
        </w:tc>
        <w:tc>
          <w:tcPr>
            <w:tcW w:w="1107" w:type="pct"/>
            <w:tcBorders>
              <w:bottom w:val="single" w:sz="4" w:space="0" w:color="auto"/>
            </w:tcBorders>
            <w:vAlign w:val="center"/>
          </w:tcPr>
          <w:p w14:paraId="517B42CF" w14:textId="1A7559A1" w:rsidR="00BD4875" w:rsidRPr="00BD4875" w:rsidRDefault="00BD4875" w:rsidP="0085028F">
            <w:pPr>
              <w:spacing w:after="0"/>
              <w:jc w:val="right"/>
              <w:rPr>
                <w:rFonts w:cs="Calibri"/>
                <w:color w:val="000000"/>
                <w:szCs w:val="22"/>
              </w:rPr>
            </w:pPr>
            <w:r w:rsidRPr="00BD4875">
              <w:rPr>
                <w:szCs w:val="22"/>
              </w:rPr>
              <w:t>$1,892</w:t>
            </w:r>
          </w:p>
        </w:tc>
        <w:tc>
          <w:tcPr>
            <w:tcW w:w="920" w:type="pct"/>
            <w:tcBorders>
              <w:bottom w:val="single" w:sz="4" w:space="0" w:color="auto"/>
              <w:right w:val="single" w:sz="4" w:space="0" w:color="auto"/>
            </w:tcBorders>
            <w:vAlign w:val="center"/>
          </w:tcPr>
          <w:p w14:paraId="00BED333" w14:textId="22FC376D" w:rsidR="00BD4875" w:rsidRPr="00BD4875" w:rsidRDefault="00BD4875" w:rsidP="0085028F">
            <w:pPr>
              <w:spacing w:after="0"/>
              <w:jc w:val="right"/>
              <w:rPr>
                <w:rFonts w:cs="Calibri"/>
                <w:color w:val="000000"/>
                <w:szCs w:val="22"/>
              </w:rPr>
            </w:pPr>
            <w:r w:rsidRPr="00BD4875">
              <w:rPr>
                <w:szCs w:val="22"/>
              </w:rPr>
              <w:t>$7,610</w:t>
            </w:r>
          </w:p>
        </w:tc>
      </w:tr>
    </w:tbl>
    <w:p w14:paraId="128F46D3" w14:textId="4D74E47B" w:rsidR="00C435AC" w:rsidRPr="002D5155" w:rsidRDefault="00C435AC" w:rsidP="00C435AC">
      <w:r w:rsidRPr="339C1A46">
        <w:rPr>
          <w:rFonts w:asciiTheme="majorHAnsi" w:hAnsiTheme="majorHAnsi" w:cstheme="majorBidi"/>
          <w:i/>
          <w:iCs/>
          <w:sz w:val="16"/>
          <w:szCs w:val="16"/>
        </w:rPr>
        <w:t>Source: Guidehouse analysis of ComEd CY</w:t>
      </w:r>
      <w:r w:rsidR="00BD3D61">
        <w:rPr>
          <w:rFonts w:asciiTheme="majorHAnsi" w:hAnsiTheme="majorHAnsi" w:cstheme="majorBidi"/>
          <w:i/>
          <w:iCs/>
          <w:sz w:val="16"/>
          <w:szCs w:val="16"/>
        </w:rPr>
        <w:t>2025</w:t>
      </w:r>
      <w:r w:rsidRPr="339C1A46">
        <w:rPr>
          <w:rFonts w:asciiTheme="majorHAnsi" w:hAnsiTheme="majorHAnsi" w:cstheme="majorBidi"/>
          <w:i/>
          <w:iCs/>
          <w:sz w:val="16"/>
          <w:szCs w:val="16"/>
        </w:rPr>
        <w:t xml:space="preserve"> Data</w:t>
      </w:r>
    </w:p>
    <w:p w14:paraId="091F46AB" w14:textId="77777777" w:rsidR="009E214A" w:rsidRPr="009E214A" w:rsidRDefault="009E214A" w:rsidP="009E214A"/>
    <w:sectPr w:rsidR="009E214A" w:rsidRPr="009E214A" w:rsidSect="00B718A3">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A004" w14:textId="77777777" w:rsidR="00F50604" w:rsidRDefault="00F50604" w:rsidP="00BA291E">
      <w:pPr>
        <w:spacing w:after="0" w:line="240" w:lineRule="auto"/>
      </w:pPr>
      <w:r>
        <w:separator/>
      </w:r>
    </w:p>
  </w:endnote>
  <w:endnote w:type="continuationSeparator" w:id="0">
    <w:p w14:paraId="7342EE5D" w14:textId="77777777" w:rsidR="00F50604" w:rsidRDefault="00F50604" w:rsidP="00BA291E">
      <w:pPr>
        <w:spacing w:after="0" w:line="240" w:lineRule="auto"/>
      </w:pPr>
      <w:r>
        <w:continuationSeparator/>
      </w:r>
    </w:p>
  </w:endnote>
  <w:endnote w:type="continuationNotice" w:id="1">
    <w:p w14:paraId="6B1DB63E" w14:textId="77777777" w:rsidR="00F50604" w:rsidRDefault="00F506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default"/>
  </w:font>
  <w:font w:name="Bahnschrift SemiBold">
    <w:panose1 w:val="020B0502040204020203"/>
    <w:charset w:val="00"/>
    <w:family w:val="swiss"/>
    <w:pitch w:val="variable"/>
    <w:sig w:usb0="A00002C7" w:usb1="00000002" w:usb2="00000000" w:usb3="00000000" w:csb0="0000019F" w:csb1="00000000"/>
  </w:font>
  <w:font w:name="Corbel Light">
    <w:panose1 w:val="020B03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F6DDA" w:rsidRPr="005F05DB" w14:paraId="171DBC63" w14:textId="77777777" w:rsidTr="005F05DB">
      <w:tc>
        <w:tcPr>
          <w:tcW w:w="4675" w:type="dxa"/>
          <w:tcBorders>
            <w:top w:val="nil"/>
            <w:left w:val="nil"/>
            <w:bottom w:val="nil"/>
            <w:right w:val="nil"/>
          </w:tcBorders>
        </w:tcPr>
        <w:p w14:paraId="266B1727" w14:textId="77777777" w:rsidR="004F6DDA" w:rsidRPr="005F05DB" w:rsidRDefault="004F6DDA" w:rsidP="004F6DDA">
          <w:pPr>
            <w:pStyle w:val="Footer"/>
          </w:pPr>
          <w:r w:rsidRPr="005F05DB">
            <w:t>Guidehouse.com</w:t>
          </w:r>
        </w:p>
      </w:tc>
      <w:tc>
        <w:tcPr>
          <w:tcW w:w="4675" w:type="dxa"/>
          <w:tcBorders>
            <w:top w:val="nil"/>
            <w:left w:val="nil"/>
            <w:bottom w:val="nil"/>
            <w:right w:val="nil"/>
          </w:tcBorders>
        </w:tcPr>
        <w:p w14:paraId="7563F793" w14:textId="77777777" w:rsidR="004F6DDA" w:rsidRPr="005F05DB" w:rsidRDefault="004F6DDA" w:rsidP="005F05DB">
          <w:pPr>
            <w:spacing w:after="0" w:line="240" w:lineRule="auto"/>
            <w:jc w:val="right"/>
          </w:pPr>
          <w:r w:rsidRPr="005F05DB">
            <w:t xml:space="preserve">Page </w:t>
          </w:r>
          <w:r w:rsidRPr="005F05DB">
            <w:fldChar w:fldCharType="begin"/>
          </w:r>
          <w:r w:rsidRPr="005F05DB">
            <w:instrText xml:space="preserve"> PAGE  \* Arabic  \* MERGEFORMAT </w:instrText>
          </w:r>
          <w:r w:rsidRPr="005F05DB">
            <w:fldChar w:fldCharType="separate"/>
          </w:r>
          <w:r w:rsidRPr="005F05DB">
            <w:t>2</w:t>
          </w:r>
          <w:r w:rsidRPr="005F05DB">
            <w:fldChar w:fldCharType="end"/>
          </w:r>
          <w:r w:rsidRPr="005F05DB">
            <w:t xml:space="preserve"> of </w:t>
          </w:r>
          <w:fldSimple w:instr="NUMPAGES  \* Arabic  \* MERGEFORMAT">
            <w:r w:rsidRPr="005F05DB">
              <w:t>2</w:t>
            </w:r>
          </w:fldSimple>
        </w:p>
      </w:tc>
    </w:tr>
  </w:tbl>
  <w:p w14:paraId="6AD0F0B6" w14:textId="77777777" w:rsidR="004F6DDA" w:rsidRPr="004F6DDA" w:rsidRDefault="004F6DDA" w:rsidP="004F6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F4EC" w14:textId="77777777" w:rsidR="00F553EF" w:rsidRDefault="00F553EF" w:rsidP="00B718A3">
    <w:pPr>
      <w:spacing w:after="0" w:line="240" w:lineRule="auto"/>
    </w:pPr>
  </w:p>
  <w:p w14:paraId="4784B702" w14:textId="77777777" w:rsidR="00B718A3" w:rsidRDefault="00B718A3" w:rsidP="00B718A3">
    <w:pPr>
      <w:spacing w:after="0" w:line="240" w:lineRule="auto"/>
    </w:pPr>
    <w:r>
      <w:t xml:space="preserve">Guidehouse </w:t>
    </w:r>
  </w:p>
  <w:p w14:paraId="496DA72F" w14:textId="77777777" w:rsidR="00B718A3" w:rsidRDefault="00B718A3" w:rsidP="00B718A3">
    <w:pPr>
      <w:spacing w:after="0" w:line="240" w:lineRule="auto"/>
    </w:pPr>
    <w:r>
      <w:t>167 N. Green Street, 12</w:t>
    </w:r>
    <w:r w:rsidRPr="00B718A3">
      <w:rPr>
        <w:vertAlign w:val="superscript"/>
      </w:rPr>
      <w:t>th</w:t>
    </w:r>
    <w:r>
      <w:t xml:space="preserve"> Floor</w:t>
    </w:r>
  </w:p>
  <w:p w14:paraId="0EB39FA7" w14:textId="77777777" w:rsidR="006C54A5" w:rsidRDefault="00B718A3" w:rsidP="00FF6542">
    <w:pPr>
      <w:spacing w:after="0" w:line="240" w:lineRule="auto"/>
    </w:pPr>
    <w:r>
      <w:t>Chicago, IL 60607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6428" w14:textId="77777777" w:rsidR="00F50604" w:rsidRDefault="00F50604" w:rsidP="00BA291E">
      <w:pPr>
        <w:spacing w:after="0" w:line="240" w:lineRule="auto"/>
      </w:pPr>
      <w:r>
        <w:separator/>
      </w:r>
    </w:p>
  </w:footnote>
  <w:footnote w:type="continuationSeparator" w:id="0">
    <w:p w14:paraId="52B86186" w14:textId="77777777" w:rsidR="00F50604" w:rsidRDefault="00F50604" w:rsidP="00BA291E">
      <w:pPr>
        <w:spacing w:after="0" w:line="240" w:lineRule="auto"/>
      </w:pPr>
      <w:r>
        <w:continuationSeparator/>
      </w:r>
    </w:p>
  </w:footnote>
  <w:footnote w:type="continuationNotice" w:id="1">
    <w:p w14:paraId="4A118765" w14:textId="77777777" w:rsidR="00F50604" w:rsidRDefault="00F50604">
      <w:pPr>
        <w:spacing w:after="0" w:line="240" w:lineRule="auto"/>
      </w:pPr>
    </w:p>
  </w:footnote>
  <w:footnote w:id="2">
    <w:p w14:paraId="1E8D6C4C" w14:textId="79683228" w:rsidR="003D5A5A" w:rsidRDefault="003D5A5A" w:rsidP="003D5A5A">
      <w:pPr>
        <w:pStyle w:val="FootnoteText"/>
      </w:pPr>
      <w:r>
        <w:rPr>
          <w:rStyle w:val="FootnoteReference"/>
        </w:rPr>
        <w:footnoteRef/>
      </w:r>
      <w:r>
        <w:t xml:space="preserve"> This memo, released in April </w:t>
      </w:r>
      <w:r w:rsidR="00B734F8">
        <w:t>2026</w:t>
      </w:r>
      <w:r>
        <w:t xml:space="preserve">, is prior to finalization of Voltage Optimization costs. Guidehouse did not include the costs or benefits from Voltage Optimization in this preliminary analysis and will include them in a revised memo in Q2 </w:t>
      </w:r>
      <w:r w:rsidR="00B734F8">
        <w:t xml:space="preserve">2026 </w:t>
      </w:r>
      <w:r>
        <w:t xml:space="preserve">once Voltage Optimization cost </w:t>
      </w:r>
      <w:proofErr w:type="gramStart"/>
      <w:r>
        <w:t>are</w:t>
      </w:r>
      <w:proofErr w:type="gramEnd"/>
      <w:r>
        <w:t xml:space="preserve"> </w:t>
      </w:r>
      <w:r w:rsidR="00B734F8">
        <w:t>finalized</w:t>
      </w:r>
      <w:r>
        <w:t>.</w:t>
      </w:r>
    </w:p>
  </w:footnote>
  <w:footnote w:id="3">
    <w:p w14:paraId="524688DB" w14:textId="2729F502" w:rsidR="00C435AC" w:rsidRPr="00516C81" w:rsidRDefault="00C435AC" w:rsidP="00C435AC">
      <w:pPr>
        <w:pStyle w:val="FootnoteText"/>
        <w:rPr>
          <w:sz w:val="22"/>
          <w:u w:val="single"/>
          <w:lang w:val="es-ES"/>
        </w:rPr>
      </w:pPr>
      <w:r w:rsidRPr="00FB2448">
        <w:rPr>
          <w:rStyle w:val="FootnoteReference"/>
        </w:rPr>
        <w:footnoteRef/>
      </w:r>
      <w:r w:rsidR="00BD5175">
        <w:t xml:space="preserve"> </w:t>
      </w:r>
      <w:hyperlink r:id="rId1" w:history="1">
        <w:r w:rsidR="00BD5175">
          <w:rPr>
            <w:rStyle w:val="Hyperlink"/>
            <w:color w:val="auto"/>
            <w:sz w:val="18"/>
            <w:szCs w:val="18"/>
            <w:lang w:val="es-ES"/>
          </w:rPr>
          <w:t>https://www.ilsag.info/wp-content/uploads/IL_EE_Policy_Manual_Version_3.0_Final_11-3-2023.pdf</w:t>
        </w:r>
      </w:hyperlink>
      <w:r w:rsidRPr="00516C81">
        <w:rPr>
          <w:sz w:val="22"/>
          <w:u w:val="single"/>
          <w:lang w:val="es-ES"/>
        </w:rPr>
        <w:t xml:space="preserve"> </w:t>
      </w:r>
    </w:p>
  </w:footnote>
  <w:footnote w:id="4">
    <w:p w14:paraId="76FD0C5A" w14:textId="77777777" w:rsidR="00C435AC" w:rsidRDefault="00C435AC" w:rsidP="00C435AC">
      <w:pPr>
        <w:pStyle w:val="FootnoteText"/>
      </w:pPr>
      <w:r>
        <w:rPr>
          <w:rStyle w:val="FootnoteReference"/>
        </w:rPr>
        <w:footnoteRef/>
      </w:r>
      <w:r>
        <w:t xml:space="preserve"> Job years are a headcount of industry-specific mix of full-time, part-time, and seasonal employment jobs for one year, simply put, one job for one year is one “job year”. </w:t>
      </w:r>
      <w:r w:rsidRPr="005B728D">
        <w:t>https://support.implan.com/hc/en-us/articles/360044986593-Glossary</w:t>
      </w:r>
    </w:p>
  </w:footnote>
  <w:footnote w:id="5">
    <w:p w14:paraId="64CFCDE2" w14:textId="77777777" w:rsidR="00C435AC" w:rsidRDefault="00C435AC" w:rsidP="00C435AC">
      <w:pPr>
        <w:pStyle w:val="FootnoteText"/>
      </w:pPr>
      <w:r>
        <w:rPr>
          <w:rStyle w:val="FootnoteReference"/>
        </w:rPr>
        <w:footnoteRef/>
      </w:r>
      <w:r>
        <w:t xml:space="preserve"> </w:t>
      </w:r>
      <w:r w:rsidRPr="003F6276">
        <w:t>https://www.ilsag.info/wp-content/uploads/IL_SAG_NEI_Presentation_06-NOV-2019_Final.pdf</w:t>
      </w:r>
    </w:p>
  </w:footnote>
  <w:footnote w:id="6">
    <w:p w14:paraId="131A343E" w14:textId="77777777" w:rsidR="00C435AC" w:rsidRDefault="00C435AC" w:rsidP="00C435AC">
      <w:pPr>
        <w:pStyle w:val="FootnoteText"/>
      </w:pPr>
      <w:r>
        <w:rPr>
          <w:rStyle w:val="FootnoteReference"/>
        </w:rPr>
        <w:footnoteRef/>
      </w:r>
      <w:r>
        <w:t xml:space="preserve"> Direct, indirect, and induced effects are defined more fully in Section 6.7 of the Illinois Energy Efficiency Policy Manual Version 3.0.</w:t>
      </w:r>
    </w:p>
  </w:footnote>
  <w:footnote w:id="7">
    <w:p w14:paraId="6F52D988" w14:textId="77777777" w:rsidR="00C435AC" w:rsidRDefault="00C435AC" w:rsidP="00C435AC">
      <w:pPr>
        <w:pStyle w:val="FootnoteText"/>
      </w:pPr>
      <w:r>
        <w:rPr>
          <w:rStyle w:val="FootnoteReference"/>
        </w:rPr>
        <w:footnoteRef/>
      </w:r>
      <w:r>
        <w:t xml:space="preserve"> </w:t>
      </w:r>
      <w:r w:rsidRPr="00F51BF0">
        <w:t>https://support.implan.com/hc/en-us/articles/360024509374-Understanding-Labor-Income-LI-Employee-Compensation-EC-and-Proprietor-Income-PI-</w:t>
      </w:r>
    </w:p>
  </w:footnote>
  <w:footnote w:id="8">
    <w:p w14:paraId="58701A49" w14:textId="77777777" w:rsidR="00C435AC" w:rsidRDefault="00C435AC" w:rsidP="00C435AC">
      <w:pPr>
        <w:pStyle w:val="FootnoteText"/>
      </w:pPr>
      <w:r>
        <w:rPr>
          <w:rStyle w:val="FootnoteReference"/>
        </w:rPr>
        <w:footnoteRef/>
      </w:r>
      <w:r>
        <w:t xml:space="preserve"> </w:t>
      </w:r>
      <w:r w:rsidRPr="005B728D">
        <w:t>https://support.implan.com/hc/en-us/articles/360044986593-Glossary</w:t>
      </w:r>
    </w:p>
  </w:footnote>
  <w:footnote w:id="9">
    <w:p w14:paraId="5FAD414D" w14:textId="77777777" w:rsidR="00CF6700" w:rsidRDefault="00CF6700" w:rsidP="00CF6700">
      <w:pPr>
        <w:pStyle w:val="FootnoteText"/>
      </w:pPr>
      <w:r>
        <w:rPr>
          <w:rStyle w:val="FootnoteReference"/>
        </w:rPr>
        <w:footnoteRef/>
      </w:r>
      <w:r>
        <w:t xml:space="preserve"> WAML refers to weighted average measure life; the measure life for each program is based on the measure life of each measure weighted proportionally to its net savings contribution to that </w:t>
      </w:r>
      <w:proofErr w:type="gramStart"/>
      <w:r>
        <w:t>particular program</w:t>
      </w:r>
      <w:proofErr w:type="gramEnd"/>
      <w:r>
        <w:t xml:space="preserve">. </w:t>
      </w:r>
    </w:p>
  </w:footnote>
  <w:footnote w:id="10">
    <w:p w14:paraId="14AF1E90" w14:textId="13E1B0AE" w:rsidR="00C435AC" w:rsidRDefault="00C435AC" w:rsidP="00C435AC">
      <w:pPr>
        <w:pStyle w:val="FootnoteText"/>
      </w:pPr>
      <w:r>
        <w:rPr>
          <w:rStyle w:val="FootnoteReference"/>
        </w:rPr>
        <w:footnoteRef/>
      </w:r>
      <w:r>
        <w:t xml:space="preserve"> Net verified savings </w:t>
      </w:r>
      <w:r w:rsidRPr="001717A0">
        <w:t xml:space="preserve">are the electricity, gas, and water savings </w:t>
      </w:r>
      <w:r>
        <w:t xml:space="preserve">presented in the </w:t>
      </w:r>
      <w:r w:rsidRPr="002D531D">
        <w:t>ComEd CY202</w:t>
      </w:r>
      <w:r w:rsidR="00BD3D61">
        <w:t>5</w:t>
      </w:r>
      <w:r w:rsidRPr="002D531D">
        <w:t xml:space="preserve"> Summary Report</w:t>
      </w:r>
      <w:r>
        <w:t xml:space="preserve"> Tables</w:t>
      </w:r>
      <w:r w:rsidRPr="002D531D">
        <w:t xml:space="preserve"> </w:t>
      </w:r>
      <w:r w:rsidR="00D01BD2">
        <w:t>2026-04-2</w:t>
      </w:r>
      <w:r w:rsidR="003167C4">
        <w:t>4</w:t>
      </w:r>
      <w:r>
        <w:t>.</w:t>
      </w:r>
    </w:p>
  </w:footnote>
  <w:footnote w:id="11">
    <w:p w14:paraId="1D3429E5" w14:textId="48B82216" w:rsidR="00C435AC" w:rsidRDefault="00C435AC" w:rsidP="00C435AC">
      <w:pPr>
        <w:pStyle w:val="FootnoteText"/>
      </w:pPr>
      <w:r>
        <w:rPr>
          <w:rStyle w:val="FootnoteReference"/>
        </w:rPr>
        <w:footnoteRef/>
      </w:r>
      <w:r>
        <w:t xml:space="preserve"> </w:t>
      </w:r>
      <w:r w:rsidRPr="00702518">
        <w:t>The relevant cost per unit for electricity, gas, and water (e.g., kWh, therms, and gallons)</w:t>
      </w:r>
      <w:r>
        <w:t xml:space="preserve"> supplied by ComEd in April 202</w:t>
      </w:r>
      <w:r w:rsidR="003167C4">
        <w:t>6</w:t>
      </w:r>
      <w:r>
        <w:t>.</w:t>
      </w:r>
    </w:p>
  </w:footnote>
  <w:footnote w:id="12">
    <w:p w14:paraId="7537F6C7" w14:textId="46965C43" w:rsidR="00C435AC" w:rsidRDefault="00C435AC" w:rsidP="00C435AC">
      <w:pPr>
        <w:pStyle w:val="FootnoteText"/>
      </w:pPr>
      <w:r>
        <w:rPr>
          <w:rStyle w:val="FootnoteReference"/>
        </w:rPr>
        <w:footnoteRef/>
      </w:r>
      <w:r>
        <w:t xml:space="preserve"> Bill surcharges for CY</w:t>
      </w:r>
      <w:r w:rsidR="00BD3D61">
        <w:t>2025</w:t>
      </w:r>
      <w:r>
        <w:t xml:space="preserve"> consist of Program Administration, Sector and Portfolio Administration and Incentives/Rebates costs. </w:t>
      </w:r>
    </w:p>
  </w:footnote>
  <w:footnote w:id="13">
    <w:p w14:paraId="7F032028" w14:textId="77777777" w:rsidR="00C435AC" w:rsidRDefault="00C435AC" w:rsidP="00C435AC">
      <w:pPr>
        <w:pStyle w:val="FootnoteText"/>
      </w:pPr>
      <w:r>
        <w:rPr>
          <w:rStyle w:val="FootnoteReference"/>
        </w:rPr>
        <w:footnoteRef/>
      </w:r>
      <w:r>
        <w:t xml:space="preserve"> The sum of avoided electric and gas fuel purchases in Illinois was calculated using estimated shares of revenues spent on fuel and transportation costs by the power generation sector in Illinois</w:t>
      </w:r>
    </w:p>
  </w:footnote>
  <w:footnote w:id="14">
    <w:p w14:paraId="35F5A614" w14:textId="2738FCB5" w:rsidR="00C435AC" w:rsidRDefault="00C435AC" w:rsidP="00C435AC">
      <w:pPr>
        <w:pStyle w:val="FootnoteText"/>
      </w:pPr>
      <w:r>
        <w:rPr>
          <w:rStyle w:val="FootnoteReference"/>
        </w:rPr>
        <w:footnoteRef/>
      </w:r>
      <w:r>
        <w:t xml:space="preserve"> Incentives and rebates for CY202</w:t>
      </w:r>
      <w:r w:rsidR="00BD3D61">
        <w:t>5</w:t>
      </w:r>
      <w:r>
        <w:t xml:space="preserve"> </w:t>
      </w:r>
      <w:bookmarkStart w:id="3" w:name="_Hlk100324635"/>
      <w:r w:rsidRPr="002E49C1">
        <w:t xml:space="preserve">were </w:t>
      </w:r>
      <w:r>
        <w:t>determined using</w:t>
      </w:r>
      <w:r w:rsidRPr="002E49C1">
        <w:t xml:space="preserve"> </w:t>
      </w:r>
      <w:r>
        <w:t>data provided by ComEd in April 202</w:t>
      </w:r>
      <w:r w:rsidR="00BD3D61">
        <w:t>6</w:t>
      </w:r>
      <w:r>
        <w:t>.</w:t>
      </w:r>
    </w:p>
    <w:bookmarkEnd w:id="3"/>
  </w:footnote>
  <w:footnote w:id="15">
    <w:p w14:paraId="2BF1175F" w14:textId="77777777" w:rsidR="00C435AC" w:rsidRDefault="00C435AC" w:rsidP="00C435AC">
      <w:pPr>
        <w:pStyle w:val="FootnoteText"/>
      </w:pPr>
      <w:r>
        <w:rPr>
          <w:rStyle w:val="FootnoteReference"/>
        </w:rPr>
        <w:footnoteRef/>
      </w:r>
      <w:r>
        <w:t xml:space="preserve"> Program administration costs were based on program, sector, and portfolio cost data provided by ComEd.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6C0E" w14:textId="0D0A1A20" w:rsidR="00BA291E" w:rsidRPr="003223E2" w:rsidRDefault="000A5752" w:rsidP="003223E2">
    <w:pPr>
      <w:pStyle w:val="Header"/>
    </w:pPr>
    <w:r>
      <w:t>ComEd CY2025 Energy Efficiency Programs Economic Impacts Reporting</w:t>
    </w:r>
    <w:r w:rsidR="00BA291E" w:rsidRPr="003223E2">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1FF3" w14:textId="77777777" w:rsidR="006C54A5" w:rsidRDefault="003E5F9E">
    <w:pPr>
      <w:pStyle w:val="Header"/>
    </w:pPr>
    <w:r>
      <w:rPr>
        <w:noProof/>
      </w:rPr>
      <w:drawing>
        <wp:inline distT="0" distB="0" distL="0" distR="0" wp14:anchorId="2641192F" wp14:editId="40EAE0AD">
          <wp:extent cx="1589405" cy="410210"/>
          <wp:effectExtent l="0" t="0" r="0" b="0"/>
          <wp:docPr id="1" name="Picture 2" descr="Picture 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3,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405" cy="410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0F4"/>
    <w:multiLevelType w:val="multilevel"/>
    <w:tmpl w:val="F13628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1974ED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DC6EE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C6FAF"/>
    <w:multiLevelType w:val="hybridMultilevel"/>
    <w:tmpl w:val="7E7A91A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F">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8270D1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96C21"/>
    <w:multiLevelType w:val="hybridMultilevel"/>
    <w:tmpl w:val="E4ECE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D06A9"/>
    <w:multiLevelType w:val="multilevel"/>
    <w:tmpl w:val="769CD6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4"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342136"/>
    <w:multiLevelType w:val="hybridMultilevel"/>
    <w:tmpl w:val="9BBE5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A763A5"/>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3321C34"/>
    <w:multiLevelType w:val="hybridMultilevel"/>
    <w:tmpl w:val="628892F4"/>
    <w:lvl w:ilvl="0" w:tplc="B8F400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142A06"/>
    <w:multiLevelType w:val="hybridMultilevel"/>
    <w:tmpl w:val="BFA23D04"/>
    <w:lvl w:ilvl="0" w:tplc="E91A2812">
      <w:start w:val="1"/>
      <w:numFmt w:val="bullet"/>
      <w:pStyle w:val="ResumeBullets"/>
      <w:lvlText w:val=""/>
      <w:lvlJc w:val="left"/>
      <w:pPr>
        <w:tabs>
          <w:tab w:val="num" w:pos="720"/>
        </w:tabs>
        <w:ind w:left="720" w:hanging="360"/>
      </w:pPr>
      <w:rPr>
        <w:rFonts w:ascii="Symbol" w:hAnsi="Symbol" w:hint="default"/>
      </w:rPr>
    </w:lvl>
    <w:lvl w:ilvl="1" w:tplc="8E721D40" w:tentative="1">
      <w:start w:val="1"/>
      <w:numFmt w:val="bullet"/>
      <w:lvlText w:val="o"/>
      <w:lvlJc w:val="left"/>
      <w:pPr>
        <w:tabs>
          <w:tab w:val="num" w:pos="1440"/>
        </w:tabs>
        <w:ind w:left="1440" w:hanging="360"/>
      </w:pPr>
      <w:rPr>
        <w:rFonts w:ascii="Courier New" w:hAnsi="Courier New" w:hint="default"/>
      </w:rPr>
    </w:lvl>
    <w:lvl w:ilvl="2" w:tplc="AA806A78" w:tentative="1">
      <w:start w:val="1"/>
      <w:numFmt w:val="bullet"/>
      <w:lvlText w:val=""/>
      <w:lvlJc w:val="left"/>
      <w:pPr>
        <w:tabs>
          <w:tab w:val="num" w:pos="2160"/>
        </w:tabs>
        <w:ind w:left="2160" w:hanging="360"/>
      </w:pPr>
      <w:rPr>
        <w:rFonts w:ascii="Wingdings" w:hAnsi="Wingdings" w:hint="default"/>
      </w:rPr>
    </w:lvl>
    <w:lvl w:ilvl="3" w:tplc="E4D44E8E" w:tentative="1">
      <w:start w:val="1"/>
      <w:numFmt w:val="bullet"/>
      <w:lvlText w:val=""/>
      <w:lvlJc w:val="left"/>
      <w:pPr>
        <w:tabs>
          <w:tab w:val="num" w:pos="2880"/>
        </w:tabs>
        <w:ind w:left="2880" w:hanging="360"/>
      </w:pPr>
      <w:rPr>
        <w:rFonts w:ascii="Symbol" w:hAnsi="Symbol" w:hint="default"/>
      </w:rPr>
    </w:lvl>
    <w:lvl w:ilvl="4" w:tplc="1D742C3E" w:tentative="1">
      <w:start w:val="1"/>
      <w:numFmt w:val="bullet"/>
      <w:lvlText w:val="o"/>
      <w:lvlJc w:val="left"/>
      <w:pPr>
        <w:tabs>
          <w:tab w:val="num" w:pos="3600"/>
        </w:tabs>
        <w:ind w:left="3600" w:hanging="360"/>
      </w:pPr>
      <w:rPr>
        <w:rFonts w:ascii="Courier New" w:hAnsi="Courier New" w:hint="default"/>
      </w:rPr>
    </w:lvl>
    <w:lvl w:ilvl="5" w:tplc="CAAE33E8" w:tentative="1">
      <w:start w:val="1"/>
      <w:numFmt w:val="bullet"/>
      <w:lvlText w:val=""/>
      <w:lvlJc w:val="left"/>
      <w:pPr>
        <w:tabs>
          <w:tab w:val="num" w:pos="4320"/>
        </w:tabs>
        <w:ind w:left="4320" w:hanging="360"/>
      </w:pPr>
      <w:rPr>
        <w:rFonts w:ascii="Wingdings" w:hAnsi="Wingdings" w:hint="default"/>
      </w:rPr>
    </w:lvl>
    <w:lvl w:ilvl="6" w:tplc="9DD47AB4" w:tentative="1">
      <w:start w:val="1"/>
      <w:numFmt w:val="bullet"/>
      <w:lvlText w:val=""/>
      <w:lvlJc w:val="left"/>
      <w:pPr>
        <w:tabs>
          <w:tab w:val="num" w:pos="5040"/>
        </w:tabs>
        <w:ind w:left="5040" w:hanging="360"/>
      </w:pPr>
      <w:rPr>
        <w:rFonts w:ascii="Symbol" w:hAnsi="Symbol" w:hint="default"/>
      </w:rPr>
    </w:lvl>
    <w:lvl w:ilvl="7" w:tplc="AF3ADFE6" w:tentative="1">
      <w:start w:val="1"/>
      <w:numFmt w:val="bullet"/>
      <w:lvlText w:val="o"/>
      <w:lvlJc w:val="left"/>
      <w:pPr>
        <w:tabs>
          <w:tab w:val="num" w:pos="5760"/>
        </w:tabs>
        <w:ind w:left="5760" w:hanging="360"/>
      </w:pPr>
      <w:rPr>
        <w:rFonts w:ascii="Courier New" w:hAnsi="Courier New" w:hint="default"/>
      </w:rPr>
    </w:lvl>
    <w:lvl w:ilvl="8" w:tplc="04E0812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4131B"/>
    <w:multiLevelType w:val="multilevel"/>
    <w:tmpl w:val="E782E2E6"/>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pStyle w:val="ListParagraph"/>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6306CC0"/>
    <w:multiLevelType w:val="hybridMultilevel"/>
    <w:tmpl w:val="B0961290"/>
    <w:lvl w:ilvl="0" w:tplc="A498F0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C5244D"/>
    <w:multiLevelType w:val="multilevel"/>
    <w:tmpl w:val="8B4441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120101B"/>
    <w:multiLevelType w:val="hybridMultilevel"/>
    <w:tmpl w:val="898C45C2"/>
    <w:lvl w:ilvl="0" w:tplc="345C0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9D28A924">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017E5"/>
    <w:multiLevelType w:val="hybridMultilevel"/>
    <w:tmpl w:val="0D4441DA"/>
    <w:lvl w:ilvl="0" w:tplc="282ED82E">
      <w:start w:val="1"/>
      <w:numFmt w:val="bullet"/>
      <w:pStyle w:val="BulletLast"/>
      <w:lvlText w:val=""/>
      <w:lvlJc w:val="left"/>
      <w:pPr>
        <w:ind w:left="1656" w:hanging="360"/>
      </w:pPr>
      <w:rPr>
        <w:rFonts w:ascii="Symbol" w:hAnsi="Symbol" w:hint="default"/>
        <w:sz w:val="2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5"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553E9"/>
    <w:multiLevelType w:val="multilevel"/>
    <w:tmpl w:val="B4B40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8" w15:restartNumberingAfterBreak="0">
    <w:nsid w:val="6CBB101B"/>
    <w:multiLevelType w:val="hybridMultilevel"/>
    <w:tmpl w:val="6D780F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11C95"/>
    <w:multiLevelType w:val="multilevel"/>
    <w:tmpl w:val="FE4441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92725145">
    <w:abstractNumId w:val="29"/>
  </w:num>
  <w:num w:numId="2" w16cid:durableId="626080695">
    <w:abstractNumId w:val="23"/>
  </w:num>
  <w:num w:numId="3" w16cid:durableId="169607181">
    <w:abstractNumId w:val="2"/>
  </w:num>
  <w:num w:numId="4" w16cid:durableId="258223847">
    <w:abstractNumId w:val="3"/>
  </w:num>
  <w:num w:numId="5" w16cid:durableId="378746528">
    <w:abstractNumId w:val="32"/>
  </w:num>
  <w:num w:numId="6" w16cid:durableId="1561592843">
    <w:abstractNumId w:val="5"/>
  </w:num>
  <w:num w:numId="7" w16cid:durableId="1140076516">
    <w:abstractNumId w:val="25"/>
  </w:num>
  <w:num w:numId="8" w16cid:durableId="2090274912">
    <w:abstractNumId w:val="22"/>
  </w:num>
  <w:num w:numId="9" w16cid:durableId="1824202165">
    <w:abstractNumId w:val="31"/>
  </w:num>
  <w:num w:numId="10" w16cid:durableId="1460493514">
    <w:abstractNumId w:val="7"/>
  </w:num>
  <w:num w:numId="11" w16cid:durableId="1793086807">
    <w:abstractNumId w:val="14"/>
  </w:num>
  <w:num w:numId="12" w16cid:durableId="1015495467">
    <w:abstractNumId w:val="8"/>
  </w:num>
  <w:num w:numId="13" w16cid:durableId="846672289">
    <w:abstractNumId w:val="30"/>
  </w:num>
  <w:num w:numId="14" w16cid:durableId="642731549">
    <w:abstractNumId w:val="1"/>
  </w:num>
  <w:num w:numId="15" w16cid:durableId="1656910465">
    <w:abstractNumId w:val="27"/>
  </w:num>
  <w:num w:numId="16" w16cid:durableId="400636231">
    <w:abstractNumId w:val="13"/>
  </w:num>
  <w:num w:numId="17" w16cid:durableId="203105329">
    <w:abstractNumId w:val="10"/>
  </w:num>
  <w:num w:numId="18" w16cid:durableId="810755222">
    <w:abstractNumId w:val="26"/>
  </w:num>
  <w:num w:numId="19" w16cid:durableId="1169101268">
    <w:abstractNumId w:val="9"/>
  </w:num>
  <w:num w:numId="20" w16cid:durableId="334307497">
    <w:abstractNumId w:val="17"/>
  </w:num>
  <w:num w:numId="21" w16cid:durableId="851919712">
    <w:abstractNumId w:val="20"/>
  </w:num>
  <w:num w:numId="22" w16cid:durableId="97483423">
    <w:abstractNumId w:val="16"/>
  </w:num>
  <w:num w:numId="23" w16cid:durableId="17056704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1329062">
    <w:abstractNumId w:val="4"/>
  </w:num>
  <w:num w:numId="25" w16cid:durableId="74742740">
    <w:abstractNumId w:val="21"/>
  </w:num>
  <w:num w:numId="26" w16cid:durableId="952396115">
    <w:abstractNumId w:val="0"/>
  </w:num>
  <w:num w:numId="27" w16cid:durableId="1419978970">
    <w:abstractNumId w:val="6"/>
  </w:num>
  <w:num w:numId="28" w16cid:durableId="2016373232">
    <w:abstractNumId w:val="19"/>
  </w:num>
  <w:num w:numId="29" w16cid:durableId="1718822660">
    <w:abstractNumId w:val="12"/>
  </w:num>
  <w:num w:numId="30" w16cid:durableId="2071347950">
    <w:abstractNumId w:val="28"/>
  </w:num>
  <w:num w:numId="31" w16cid:durableId="987248328">
    <w:abstractNumId w:val="11"/>
  </w:num>
  <w:num w:numId="32" w16cid:durableId="633870822">
    <w:abstractNumId w:val="24"/>
  </w:num>
  <w:num w:numId="33" w16cid:durableId="1339651350">
    <w:abstractNumId w:val="18"/>
  </w:num>
  <w:num w:numId="34" w16cid:durableId="1268343608">
    <w:abstractNumId w:val="15"/>
  </w:num>
  <w:num w:numId="35" w16cid:durableId="749798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D3"/>
    <w:rsid w:val="0001332B"/>
    <w:rsid w:val="00014DAF"/>
    <w:rsid w:val="00017572"/>
    <w:rsid w:val="00026085"/>
    <w:rsid w:val="00030A7F"/>
    <w:rsid w:val="00030AF7"/>
    <w:rsid w:val="00044457"/>
    <w:rsid w:val="00057A38"/>
    <w:rsid w:val="00060B77"/>
    <w:rsid w:val="00065866"/>
    <w:rsid w:val="000659B0"/>
    <w:rsid w:val="000715EE"/>
    <w:rsid w:val="000737B0"/>
    <w:rsid w:val="00075DE9"/>
    <w:rsid w:val="0007733A"/>
    <w:rsid w:val="000823AE"/>
    <w:rsid w:val="00082408"/>
    <w:rsid w:val="00082BE3"/>
    <w:rsid w:val="00090964"/>
    <w:rsid w:val="00093893"/>
    <w:rsid w:val="00097D48"/>
    <w:rsid w:val="000A1ABF"/>
    <w:rsid w:val="000A293A"/>
    <w:rsid w:val="000A5752"/>
    <w:rsid w:val="000B00D1"/>
    <w:rsid w:val="000B1CED"/>
    <w:rsid w:val="000B378A"/>
    <w:rsid w:val="000B3FAD"/>
    <w:rsid w:val="000B7F56"/>
    <w:rsid w:val="000D4015"/>
    <w:rsid w:val="000D4856"/>
    <w:rsid w:val="000E3F50"/>
    <w:rsid w:val="000E5B7D"/>
    <w:rsid w:val="000F10DE"/>
    <w:rsid w:val="00100940"/>
    <w:rsid w:val="0010233C"/>
    <w:rsid w:val="00106345"/>
    <w:rsid w:val="001071BF"/>
    <w:rsid w:val="001164A2"/>
    <w:rsid w:val="00131F00"/>
    <w:rsid w:val="001336E1"/>
    <w:rsid w:val="001470D8"/>
    <w:rsid w:val="00152FFD"/>
    <w:rsid w:val="00153147"/>
    <w:rsid w:val="00153F4E"/>
    <w:rsid w:val="001548B9"/>
    <w:rsid w:val="00157AA3"/>
    <w:rsid w:val="001627E9"/>
    <w:rsid w:val="001636E5"/>
    <w:rsid w:val="001663D6"/>
    <w:rsid w:val="00166FF3"/>
    <w:rsid w:val="001673E3"/>
    <w:rsid w:val="00176C22"/>
    <w:rsid w:val="0017702A"/>
    <w:rsid w:val="00180CBC"/>
    <w:rsid w:val="00180DB4"/>
    <w:rsid w:val="00182913"/>
    <w:rsid w:val="00183C10"/>
    <w:rsid w:val="00186FE3"/>
    <w:rsid w:val="00190A1D"/>
    <w:rsid w:val="00196102"/>
    <w:rsid w:val="001B05E0"/>
    <w:rsid w:val="001B3CD6"/>
    <w:rsid w:val="001C0B5B"/>
    <w:rsid w:val="001F55AA"/>
    <w:rsid w:val="001F64F7"/>
    <w:rsid w:val="00210067"/>
    <w:rsid w:val="00214D60"/>
    <w:rsid w:val="0022080F"/>
    <w:rsid w:val="0022331E"/>
    <w:rsid w:val="002241F2"/>
    <w:rsid w:val="00224CA1"/>
    <w:rsid w:val="00224E60"/>
    <w:rsid w:val="002325D3"/>
    <w:rsid w:val="00235149"/>
    <w:rsid w:val="002359BA"/>
    <w:rsid w:val="00251294"/>
    <w:rsid w:val="00265596"/>
    <w:rsid w:val="00267758"/>
    <w:rsid w:val="00274E02"/>
    <w:rsid w:val="00275B65"/>
    <w:rsid w:val="0028080D"/>
    <w:rsid w:val="002813E4"/>
    <w:rsid w:val="0028485F"/>
    <w:rsid w:val="00290220"/>
    <w:rsid w:val="0029512F"/>
    <w:rsid w:val="002958C0"/>
    <w:rsid w:val="002B2DF5"/>
    <w:rsid w:val="002B4C56"/>
    <w:rsid w:val="002C0F42"/>
    <w:rsid w:val="002C27D4"/>
    <w:rsid w:val="002D0427"/>
    <w:rsid w:val="002D0ED3"/>
    <w:rsid w:val="002D5F02"/>
    <w:rsid w:val="002D6750"/>
    <w:rsid w:val="002D6C32"/>
    <w:rsid w:val="002E434C"/>
    <w:rsid w:val="002E607F"/>
    <w:rsid w:val="002E7D31"/>
    <w:rsid w:val="003011C0"/>
    <w:rsid w:val="00306745"/>
    <w:rsid w:val="003075A0"/>
    <w:rsid w:val="00310736"/>
    <w:rsid w:val="003167C4"/>
    <w:rsid w:val="003223E2"/>
    <w:rsid w:val="0032400F"/>
    <w:rsid w:val="00327BA7"/>
    <w:rsid w:val="00331702"/>
    <w:rsid w:val="003437B6"/>
    <w:rsid w:val="00345F47"/>
    <w:rsid w:val="00362378"/>
    <w:rsid w:val="00362DEB"/>
    <w:rsid w:val="00371C4E"/>
    <w:rsid w:val="00375D09"/>
    <w:rsid w:val="00376B88"/>
    <w:rsid w:val="003806A2"/>
    <w:rsid w:val="0038505E"/>
    <w:rsid w:val="00392A7D"/>
    <w:rsid w:val="003932B0"/>
    <w:rsid w:val="003A0007"/>
    <w:rsid w:val="003A29A5"/>
    <w:rsid w:val="003A5EFA"/>
    <w:rsid w:val="003A6592"/>
    <w:rsid w:val="003B132B"/>
    <w:rsid w:val="003B3E01"/>
    <w:rsid w:val="003C1D50"/>
    <w:rsid w:val="003C42BF"/>
    <w:rsid w:val="003C4C4E"/>
    <w:rsid w:val="003C7D90"/>
    <w:rsid w:val="003D0B5A"/>
    <w:rsid w:val="003D0FD0"/>
    <w:rsid w:val="003D5A5A"/>
    <w:rsid w:val="003E28BD"/>
    <w:rsid w:val="003E5F9E"/>
    <w:rsid w:val="003F6D84"/>
    <w:rsid w:val="00410573"/>
    <w:rsid w:val="00424A95"/>
    <w:rsid w:val="004270FB"/>
    <w:rsid w:val="00435BCA"/>
    <w:rsid w:val="00445FD8"/>
    <w:rsid w:val="004501E6"/>
    <w:rsid w:val="00457D06"/>
    <w:rsid w:val="00460CDC"/>
    <w:rsid w:val="0048166A"/>
    <w:rsid w:val="0048420E"/>
    <w:rsid w:val="004871F3"/>
    <w:rsid w:val="004901BD"/>
    <w:rsid w:val="00495218"/>
    <w:rsid w:val="00495C25"/>
    <w:rsid w:val="00496CF1"/>
    <w:rsid w:val="004A6462"/>
    <w:rsid w:val="004A6805"/>
    <w:rsid w:val="004C02B7"/>
    <w:rsid w:val="004C0C3B"/>
    <w:rsid w:val="004C40FF"/>
    <w:rsid w:val="004D1C8E"/>
    <w:rsid w:val="004D7BA9"/>
    <w:rsid w:val="004E67F1"/>
    <w:rsid w:val="004F6DDA"/>
    <w:rsid w:val="0050159C"/>
    <w:rsid w:val="0050449A"/>
    <w:rsid w:val="005112BF"/>
    <w:rsid w:val="00515A57"/>
    <w:rsid w:val="00525CD6"/>
    <w:rsid w:val="00531906"/>
    <w:rsid w:val="00537063"/>
    <w:rsid w:val="00545E7E"/>
    <w:rsid w:val="00546EC3"/>
    <w:rsid w:val="0055163E"/>
    <w:rsid w:val="005535EE"/>
    <w:rsid w:val="00560BE9"/>
    <w:rsid w:val="00563E23"/>
    <w:rsid w:val="00575CA3"/>
    <w:rsid w:val="00576761"/>
    <w:rsid w:val="00583BEE"/>
    <w:rsid w:val="00587BF2"/>
    <w:rsid w:val="0059292A"/>
    <w:rsid w:val="00596F1E"/>
    <w:rsid w:val="005A27B7"/>
    <w:rsid w:val="005B20A0"/>
    <w:rsid w:val="005B5B88"/>
    <w:rsid w:val="005B6988"/>
    <w:rsid w:val="005C6B82"/>
    <w:rsid w:val="005C722A"/>
    <w:rsid w:val="005D04B5"/>
    <w:rsid w:val="005D2A8B"/>
    <w:rsid w:val="005E662B"/>
    <w:rsid w:val="005F05DB"/>
    <w:rsid w:val="005F31FB"/>
    <w:rsid w:val="0061245E"/>
    <w:rsid w:val="00614230"/>
    <w:rsid w:val="0062434E"/>
    <w:rsid w:val="006272DB"/>
    <w:rsid w:val="00633CF1"/>
    <w:rsid w:val="00641470"/>
    <w:rsid w:val="006472AA"/>
    <w:rsid w:val="00653FB8"/>
    <w:rsid w:val="00673BB8"/>
    <w:rsid w:val="00675128"/>
    <w:rsid w:val="00676C3E"/>
    <w:rsid w:val="00682E98"/>
    <w:rsid w:val="006903EF"/>
    <w:rsid w:val="00693144"/>
    <w:rsid w:val="006966F5"/>
    <w:rsid w:val="006C1874"/>
    <w:rsid w:val="006C54A5"/>
    <w:rsid w:val="006D26C6"/>
    <w:rsid w:val="006D660F"/>
    <w:rsid w:val="006D7599"/>
    <w:rsid w:val="006E4034"/>
    <w:rsid w:val="006F04AF"/>
    <w:rsid w:val="006F0EE7"/>
    <w:rsid w:val="006F3053"/>
    <w:rsid w:val="0070282B"/>
    <w:rsid w:val="00703AAB"/>
    <w:rsid w:val="007066A0"/>
    <w:rsid w:val="0070791D"/>
    <w:rsid w:val="00713562"/>
    <w:rsid w:val="0071603A"/>
    <w:rsid w:val="007165E8"/>
    <w:rsid w:val="00716E94"/>
    <w:rsid w:val="00717E2E"/>
    <w:rsid w:val="00725B94"/>
    <w:rsid w:val="007279EB"/>
    <w:rsid w:val="007324BC"/>
    <w:rsid w:val="0073266A"/>
    <w:rsid w:val="00735171"/>
    <w:rsid w:val="007559AF"/>
    <w:rsid w:val="007712DC"/>
    <w:rsid w:val="00774F84"/>
    <w:rsid w:val="00775D65"/>
    <w:rsid w:val="0078064A"/>
    <w:rsid w:val="00780D6C"/>
    <w:rsid w:val="00781F39"/>
    <w:rsid w:val="00782ECC"/>
    <w:rsid w:val="007831CD"/>
    <w:rsid w:val="00784099"/>
    <w:rsid w:val="007876F9"/>
    <w:rsid w:val="00790ED2"/>
    <w:rsid w:val="007945C8"/>
    <w:rsid w:val="00797457"/>
    <w:rsid w:val="007A5193"/>
    <w:rsid w:val="007B5612"/>
    <w:rsid w:val="007B7153"/>
    <w:rsid w:val="007B7D4D"/>
    <w:rsid w:val="007D045A"/>
    <w:rsid w:val="007D4343"/>
    <w:rsid w:val="007D4AC2"/>
    <w:rsid w:val="007E6453"/>
    <w:rsid w:val="007F1D6F"/>
    <w:rsid w:val="007F31CB"/>
    <w:rsid w:val="008028AB"/>
    <w:rsid w:val="008054D2"/>
    <w:rsid w:val="00811941"/>
    <w:rsid w:val="008168A6"/>
    <w:rsid w:val="008200FB"/>
    <w:rsid w:val="008221B7"/>
    <w:rsid w:val="00825922"/>
    <w:rsid w:val="00833639"/>
    <w:rsid w:val="008407BA"/>
    <w:rsid w:val="00843481"/>
    <w:rsid w:val="0084459F"/>
    <w:rsid w:val="0085028F"/>
    <w:rsid w:val="0085035F"/>
    <w:rsid w:val="00851EC6"/>
    <w:rsid w:val="0085303A"/>
    <w:rsid w:val="00854F1A"/>
    <w:rsid w:val="008559D8"/>
    <w:rsid w:val="00870843"/>
    <w:rsid w:val="00870D92"/>
    <w:rsid w:val="00882276"/>
    <w:rsid w:val="00884E92"/>
    <w:rsid w:val="00884EFB"/>
    <w:rsid w:val="00890214"/>
    <w:rsid w:val="008940E4"/>
    <w:rsid w:val="008941B1"/>
    <w:rsid w:val="00897966"/>
    <w:rsid w:val="008A56F6"/>
    <w:rsid w:val="008B606B"/>
    <w:rsid w:val="008D177A"/>
    <w:rsid w:val="008D380A"/>
    <w:rsid w:val="008D3D9D"/>
    <w:rsid w:val="008D6789"/>
    <w:rsid w:val="008E088B"/>
    <w:rsid w:val="008E514E"/>
    <w:rsid w:val="008F6725"/>
    <w:rsid w:val="009049D3"/>
    <w:rsid w:val="00910E15"/>
    <w:rsid w:val="009121F1"/>
    <w:rsid w:val="00913608"/>
    <w:rsid w:val="009137D9"/>
    <w:rsid w:val="00916C07"/>
    <w:rsid w:val="00932B48"/>
    <w:rsid w:val="00932BBC"/>
    <w:rsid w:val="00951247"/>
    <w:rsid w:val="0096114D"/>
    <w:rsid w:val="00961FE5"/>
    <w:rsid w:val="0096363B"/>
    <w:rsid w:val="00970A9D"/>
    <w:rsid w:val="009765B2"/>
    <w:rsid w:val="00991E5F"/>
    <w:rsid w:val="00995000"/>
    <w:rsid w:val="009A05A1"/>
    <w:rsid w:val="009B0C23"/>
    <w:rsid w:val="009B0D8F"/>
    <w:rsid w:val="009B292F"/>
    <w:rsid w:val="009B301E"/>
    <w:rsid w:val="009B3B40"/>
    <w:rsid w:val="009B4428"/>
    <w:rsid w:val="009C131F"/>
    <w:rsid w:val="009C26C1"/>
    <w:rsid w:val="009C2835"/>
    <w:rsid w:val="009C7A51"/>
    <w:rsid w:val="009D61D9"/>
    <w:rsid w:val="009E214A"/>
    <w:rsid w:val="009E6621"/>
    <w:rsid w:val="00A0150A"/>
    <w:rsid w:val="00A02A21"/>
    <w:rsid w:val="00A04ED4"/>
    <w:rsid w:val="00A06559"/>
    <w:rsid w:val="00A14ED2"/>
    <w:rsid w:val="00A150F0"/>
    <w:rsid w:val="00A1729B"/>
    <w:rsid w:val="00A210C1"/>
    <w:rsid w:val="00A25EBF"/>
    <w:rsid w:val="00A341E3"/>
    <w:rsid w:val="00A36528"/>
    <w:rsid w:val="00A4141E"/>
    <w:rsid w:val="00A43502"/>
    <w:rsid w:val="00A44290"/>
    <w:rsid w:val="00A52BC2"/>
    <w:rsid w:val="00A56BC5"/>
    <w:rsid w:val="00A62448"/>
    <w:rsid w:val="00A71684"/>
    <w:rsid w:val="00A739E5"/>
    <w:rsid w:val="00A74A92"/>
    <w:rsid w:val="00A77033"/>
    <w:rsid w:val="00A77A0D"/>
    <w:rsid w:val="00A8043C"/>
    <w:rsid w:val="00A82CE6"/>
    <w:rsid w:val="00A87C7D"/>
    <w:rsid w:val="00A87ECB"/>
    <w:rsid w:val="00A95F02"/>
    <w:rsid w:val="00AB11B1"/>
    <w:rsid w:val="00AB11D3"/>
    <w:rsid w:val="00AB18A2"/>
    <w:rsid w:val="00AB7E90"/>
    <w:rsid w:val="00AC5450"/>
    <w:rsid w:val="00AC68E9"/>
    <w:rsid w:val="00AC7F40"/>
    <w:rsid w:val="00AE2F8C"/>
    <w:rsid w:val="00AF058D"/>
    <w:rsid w:val="00B06B5B"/>
    <w:rsid w:val="00B10D88"/>
    <w:rsid w:val="00B3553A"/>
    <w:rsid w:val="00B45AEA"/>
    <w:rsid w:val="00B45CF1"/>
    <w:rsid w:val="00B46811"/>
    <w:rsid w:val="00B542F4"/>
    <w:rsid w:val="00B54A48"/>
    <w:rsid w:val="00B561AA"/>
    <w:rsid w:val="00B64C95"/>
    <w:rsid w:val="00B718A3"/>
    <w:rsid w:val="00B734F8"/>
    <w:rsid w:val="00B90294"/>
    <w:rsid w:val="00B97328"/>
    <w:rsid w:val="00BA112B"/>
    <w:rsid w:val="00BA2260"/>
    <w:rsid w:val="00BA291E"/>
    <w:rsid w:val="00BA6200"/>
    <w:rsid w:val="00BA6E8E"/>
    <w:rsid w:val="00BB47D0"/>
    <w:rsid w:val="00BB608C"/>
    <w:rsid w:val="00BC3118"/>
    <w:rsid w:val="00BC6A7B"/>
    <w:rsid w:val="00BD3D61"/>
    <w:rsid w:val="00BD4875"/>
    <w:rsid w:val="00BD5175"/>
    <w:rsid w:val="00BD69AA"/>
    <w:rsid w:val="00BE071A"/>
    <w:rsid w:val="00BE679B"/>
    <w:rsid w:val="00BF16A2"/>
    <w:rsid w:val="00BF243B"/>
    <w:rsid w:val="00C00AF6"/>
    <w:rsid w:val="00C015CD"/>
    <w:rsid w:val="00C02C3C"/>
    <w:rsid w:val="00C040D1"/>
    <w:rsid w:val="00C12856"/>
    <w:rsid w:val="00C150D8"/>
    <w:rsid w:val="00C173F7"/>
    <w:rsid w:val="00C33889"/>
    <w:rsid w:val="00C37D37"/>
    <w:rsid w:val="00C423B9"/>
    <w:rsid w:val="00C435AC"/>
    <w:rsid w:val="00C4627A"/>
    <w:rsid w:val="00C50F09"/>
    <w:rsid w:val="00C52FCF"/>
    <w:rsid w:val="00C6222B"/>
    <w:rsid w:val="00C669DD"/>
    <w:rsid w:val="00C703F3"/>
    <w:rsid w:val="00C70D49"/>
    <w:rsid w:val="00C76D3B"/>
    <w:rsid w:val="00C777AB"/>
    <w:rsid w:val="00C842B6"/>
    <w:rsid w:val="00C8561B"/>
    <w:rsid w:val="00C879F2"/>
    <w:rsid w:val="00C9084F"/>
    <w:rsid w:val="00C9796C"/>
    <w:rsid w:val="00CA2A6D"/>
    <w:rsid w:val="00CA5C91"/>
    <w:rsid w:val="00CA6AF3"/>
    <w:rsid w:val="00CA7EFD"/>
    <w:rsid w:val="00CB04AF"/>
    <w:rsid w:val="00CB2492"/>
    <w:rsid w:val="00CB49EC"/>
    <w:rsid w:val="00CC04DF"/>
    <w:rsid w:val="00CC1B19"/>
    <w:rsid w:val="00CC1F2E"/>
    <w:rsid w:val="00CC31F7"/>
    <w:rsid w:val="00CC6135"/>
    <w:rsid w:val="00CC770C"/>
    <w:rsid w:val="00CD1950"/>
    <w:rsid w:val="00CD2FA7"/>
    <w:rsid w:val="00CE5D6C"/>
    <w:rsid w:val="00CE6FC7"/>
    <w:rsid w:val="00CF4132"/>
    <w:rsid w:val="00CF6700"/>
    <w:rsid w:val="00CF7A31"/>
    <w:rsid w:val="00CF7D93"/>
    <w:rsid w:val="00D013EE"/>
    <w:rsid w:val="00D01BD2"/>
    <w:rsid w:val="00D13007"/>
    <w:rsid w:val="00D137A5"/>
    <w:rsid w:val="00D15683"/>
    <w:rsid w:val="00D16324"/>
    <w:rsid w:val="00D271E2"/>
    <w:rsid w:val="00D33547"/>
    <w:rsid w:val="00D36186"/>
    <w:rsid w:val="00D37BC5"/>
    <w:rsid w:val="00D42493"/>
    <w:rsid w:val="00D447E3"/>
    <w:rsid w:val="00D44CED"/>
    <w:rsid w:val="00D50B3E"/>
    <w:rsid w:val="00D5437E"/>
    <w:rsid w:val="00D54DE3"/>
    <w:rsid w:val="00D64AA8"/>
    <w:rsid w:val="00D71539"/>
    <w:rsid w:val="00D84ABB"/>
    <w:rsid w:val="00D86461"/>
    <w:rsid w:val="00D917BF"/>
    <w:rsid w:val="00D96E10"/>
    <w:rsid w:val="00DA0152"/>
    <w:rsid w:val="00DA0AB1"/>
    <w:rsid w:val="00DA12A4"/>
    <w:rsid w:val="00DA6A3E"/>
    <w:rsid w:val="00DA7696"/>
    <w:rsid w:val="00DB21AE"/>
    <w:rsid w:val="00DB6541"/>
    <w:rsid w:val="00DC07B6"/>
    <w:rsid w:val="00DD16E5"/>
    <w:rsid w:val="00DD4F3C"/>
    <w:rsid w:val="00DD718C"/>
    <w:rsid w:val="00DE50F2"/>
    <w:rsid w:val="00DE72D9"/>
    <w:rsid w:val="00DF0CE4"/>
    <w:rsid w:val="00DF4AA2"/>
    <w:rsid w:val="00DF7C03"/>
    <w:rsid w:val="00E035E9"/>
    <w:rsid w:val="00E072C0"/>
    <w:rsid w:val="00E121A0"/>
    <w:rsid w:val="00E144E6"/>
    <w:rsid w:val="00E154C3"/>
    <w:rsid w:val="00E15C17"/>
    <w:rsid w:val="00E16E40"/>
    <w:rsid w:val="00E234BD"/>
    <w:rsid w:val="00E3154E"/>
    <w:rsid w:val="00E373EE"/>
    <w:rsid w:val="00E37F82"/>
    <w:rsid w:val="00E50251"/>
    <w:rsid w:val="00E51ADF"/>
    <w:rsid w:val="00E6048D"/>
    <w:rsid w:val="00E62C0D"/>
    <w:rsid w:val="00E62C25"/>
    <w:rsid w:val="00E82574"/>
    <w:rsid w:val="00E86FEA"/>
    <w:rsid w:val="00E97FDB"/>
    <w:rsid w:val="00EA49FA"/>
    <w:rsid w:val="00EA6F31"/>
    <w:rsid w:val="00EB3E61"/>
    <w:rsid w:val="00EB405D"/>
    <w:rsid w:val="00EC30A5"/>
    <w:rsid w:val="00EC5D1C"/>
    <w:rsid w:val="00ED7019"/>
    <w:rsid w:val="00ED7DD5"/>
    <w:rsid w:val="00EF6247"/>
    <w:rsid w:val="00EF7D0C"/>
    <w:rsid w:val="00EF7F81"/>
    <w:rsid w:val="00F06C7E"/>
    <w:rsid w:val="00F17116"/>
    <w:rsid w:val="00F205C4"/>
    <w:rsid w:val="00F275AC"/>
    <w:rsid w:val="00F278AA"/>
    <w:rsid w:val="00F4044F"/>
    <w:rsid w:val="00F50604"/>
    <w:rsid w:val="00F553EF"/>
    <w:rsid w:val="00F80657"/>
    <w:rsid w:val="00F85D57"/>
    <w:rsid w:val="00F93E7D"/>
    <w:rsid w:val="00FA198A"/>
    <w:rsid w:val="00FA2A6E"/>
    <w:rsid w:val="00FA38AC"/>
    <w:rsid w:val="00FA50E9"/>
    <w:rsid w:val="00FA5D37"/>
    <w:rsid w:val="00FB00C5"/>
    <w:rsid w:val="00FC2C8F"/>
    <w:rsid w:val="00FC7143"/>
    <w:rsid w:val="00FD3524"/>
    <w:rsid w:val="00FD4CB1"/>
    <w:rsid w:val="00FE065E"/>
    <w:rsid w:val="00FE22AB"/>
    <w:rsid w:val="00FE3CB2"/>
    <w:rsid w:val="00FE47C0"/>
    <w:rsid w:val="00FE655D"/>
    <w:rsid w:val="00FF1022"/>
    <w:rsid w:val="00FF4AB3"/>
    <w:rsid w:val="00FF503A"/>
    <w:rsid w:val="00FF6542"/>
    <w:rsid w:val="00FF73F5"/>
    <w:rsid w:val="0749691A"/>
    <w:rsid w:val="0B337547"/>
    <w:rsid w:val="104B3D1F"/>
    <w:rsid w:val="1B5C6467"/>
    <w:rsid w:val="21BB3A39"/>
    <w:rsid w:val="2627DF88"/>
    <w:rsid w:val="29836976"/>
    <w:rsid w:val="2A115046"/>
    <w:rsid w:val="4DA10295"/>
    <w:rsid w:val="5CC28CE4"/>
    <w:rsid w:val="5FC78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00B86"/>
  <w15:chartTrackingRefBased/>
  <w15:docId w15:val="{57AB5979-DF8D-47BF-8795-B3FC4F01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Narrow" w:eastAsia="Yu Gothic" w:hAnsi="Aptos Narrow"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9"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9"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B4"/>
    <w:pPr>
      <w:spacing w:after="160" w:line="278" w:lineRule="auto"/>
    </w:pPr>
    <w:rPr>
      <w:sz w:val="22"/>
      <w:szCs w:val="24"/>
      <w:lang w:eastAsia="ja-JP"/>
    </w:rPr>
  </w:style>
  <w:style w:type="paragraph" w:styleId="Heading1">
    <w:name w:val="heading 1"/>
    <w:basedOn w:val="Normal"/>
    <w:next w:val="Normal"/>
    <w:link w:val="Heading1Char"/>
    <w:autoRedefine/>
    <w:uiPriority w:val="9"/>
    <w:qFormat/>
    <w:rsid w:val="005C722A"/>
    <w:pPr>
      <w:keepNext/>
      <w:keepLines/>
      <w:numPr>
        <w:numId w:val="29"/>
      </w:numPr>
      <w:spacing w:before="360" w:after="80"/>
      <w:contextualSpacing/>
      <w:outlineLvl w:val="0"/>
    </w:pPr>
    <w:rPr>
      <w:rFonts w:ascii="Aptos Display" w:eastAsia="Yu Gothic Light" w:hAnsi="Aptos Display" w:cs="Times New Roman"/>
      <w:color w:val="000000"/>
      <w:sz w:val="40"/>
      <w:szCs w:val="40"/>
    </w:rPr>
  </w:style>
  <w:style w:type="paragraph" w:styleId="Heading2">
    <w:name w:val="heading 2"/>
    <w:basedOn w:val="Normal"/>
    <w:next w:val="Normal"/>
    <w:link w:val="Heading2Char"/>
    <w:autoRedefine/>
    <w:uiPriority w:val="9"/>
    <w:unhideWhenUsed/>
    <w:qFormat/>
    <w:rsid w:val="009E214A"/>
    <w:pPr>
      <w:keepNext/>
      <w:keepLines/>
      <w:numPr>
        <w:ilvl w:val="1"/>
        <w:numId w:val="29"/>
      </w:numPr>
      <w:spacing w:before="160" w:after="80"/>
      <w:outlineLvl w:val="1"/>
    </w:pPr>
    <w:rPr>
      <w:rFonts w:ascii="Aptos Display" w:eastAsia="Yu Gothic Light" w:hAnsi="Aptos Display" w:cs="Times New Roman"/>
      <w:color w:val="000000"/>
      <w:sz w:val="32"/>
      <w:szCs w:val="32"/>
    </w:rPr>
  </w:style>
  <w:style w:type="paragraph" w:styleId="Heading3">
    <w:name w:val="heading 3"/>
    <w:basedOn w:val="Normal"/>
    <w:next w:val="Normal"/>
    <w:link w:val="Heading3Char"/>
    <w:autoRedefine/>
    <w:uiPriority w:val="9"/>
    <w:unhideWhenUsed/>
    <w:qFormat/>
    <w:rsid w:val="00782ECC"/>
    <w:pPr>
      <w:keepNext/>
      <w:keepLines/>
      <w:numPr>
        <w:ilvl w:val="2"/>
        <w:numId w:val="29"/>
      </w:numPr>
      <w:spacing w:before="160" w:after="80"/>
      <w:outlineLvl w:val="2"/>
    </w:pPr>
    <w:rPr>
      <w:rFonts w:eastAsia="Yu Gothic Light" w:cs="Times New Roman"/>
      <w:color w:val="000000"/>
      <w:sz w:val="28"/>
      <w:szCs w:val="28"/>
    </w:rPr>
  </w:style>
  <w:style w:type="paragraph" w:styleId="Heading4">
    <w:name w:val="heading 4"/>
    <w:basedOn w:val="Normal"/>
    <w:next w:val="Normal"/>
    <w:link w:val="Heading4Char"/>
    <w:autoRedefine/>
    <w:uiPriority w:val="9"/>
    <w:unhideWhenUsed/>
    <w:qFormat/>
    <w:rsid w:val="00782ECC"/>
    <w:pPr>
      <w:keepNext/>
      <w:keepLines/>
      <w:numPr>
        <w:ilvl w:val="3"/>
        <w:numId w:val="29"/>
      </w:numPr>
      <w:spacing w:before="80" w:after="40"/>
      <w:outlineLvl w:val="3"/>
    </w:pPr>
    <w:rPr>
      <w:rFonts w:eastAsia="Yu Gothic Light" w:cs="Times New Roman"/>
      <w:i/>
      <w:iCs/>
      <w:color w:val="000000"/>
    </w:rPr>
  </w:style>
  <w:style w:type="paragraph" w:styleId="Heading5">
    <w:name w:val="heading 5"/>
    <w:basedOn w:val="Normal"/>
    <w:next w:val="Normal"/>
    <w:link w:val="Heading5Char"/>
    <w:autoRedefine/>
    <w:uiPriority w:val="9"/>
    <w:unhideWhenUsed/>
    <w:qFormat/>
    <w:rsid w:val="00782ECC"/>
    <w:pPr>
      <w:keepNext/>
      <w:keepLines/>
      <w:numPr>
        <w:ilvl w:val="4"/>
        <w:numId w:val="29"/>
      </w:numPr>
      <w:spacing w:before="80" w:after="40"/>
      <w:outlineLvl w:val="4"/>
    </w:pPr>
    <w:rPr>
      <w:rFonts w:eastAsia="Yu Gothic Light" w:cs="Times New Roman"/>
      <w:color w:val="000000"/>
    </w:rPr>
  </w:style>
  <w:style w:type="paragraph" w:styleId="Heading6">
    <w:name w:val="heading 6"/>
    <w:basedOn w:val="Normal"/>
    <w:next w:val="Normal"/>
    <w:link w:val="Heading6Char"/>
    <w:uiPriority w:val="9"/>
    <w:unhideWhenUsed/>
    <w:pPr>
      <w:keepNext/>
      <w:keepLines/>
      <w:numPr>
        <w:ilvl w:val="5"/>
        <w:numId w:val="29"/>
      </w:numPr>
      <w:spacing w:before="40" w:after="0"/>
      <w:outlineLvl w:val="5"/>
    </w:pPr>
    <w:rPr>
      <w:rFonts w:eastAsia="Yu Gothic Light" w:cs="Times New Roman"/>
      <w:i/>
      <w:iCs/>
      <w:color w:val="595959"/>
    </w:rPr>
  </w:style>
  <w:style w:type="paragraph" w:styleId="Heading7">
    <w:name w:val="heading 7"/>
    <w:basedOn w:val="Normal"/>
    <w:next w:val="Normal"/>
    <w:link w:val="Heading7Char"/>
    <w:uiPriority w:val="9"/>
    <w:unhideWhenUsed/>
    <w:pPr>
      <w:keepNext/>
      <w:keepLines/>
      <w:numPr>
        <w:ilvl w:val="6"/>
        <w:numId w:val="29"/>
      </w:numPr>
      <w:spacing w:before="40" w:after="0"/>
      <w:outlineLvl w:val="6"/>
    </w:pPr>
    <w:rPr>
      <w:rFonts w:eastAsia="Yu Gothic Light" w:cs="Times New Roman"/>
      <w:color w:val="595959"/>
    </w:rPr>
  </w:style>
  <w:style w:type="paragraph" w:styleId="Heading8">
    <w:name w:val="heading 8"/>
    <w:basedOn w:val="Normal"/>
    <w:next w:val="Normal"/>
    <w:link w:val="Heading8Char"/>
    <w:uiPriority w:val="9"/>
    <w:unhideWhenUsed/>
    <w:pPr>
      <w:keepNext/>
      <w:keepLines/>
      <w:numPr>
        <w:ilvl w:val="7"/>
        <w:numId w:val="29"/>
      </w:numPr>
      <w:spacing w:after="0"/>
      <w:outlineLvl w:val="7"/>
    </w:pPr>
    <w:rPr>
      <w:rFonts w:eastAsia="Yu Gothic Light" w:cs="Times New Roman"/>
      <w:i/>
      <w:iCs/>
      <w:color w:val="272727"/>
    </w:rPr>
  </w:style>
  <w:style w:type="paragraph" w:styleId="Heading9">
    <w:name w:val="heading 9"/>
    <w:basedOn w:val="Normal"/>
    <w:next w:val="Normal"/>
    <w:link w:val="Heading9Char"/>
    <w:uiPriority w:val="9"/>
    <w:unhideWhenUsed/>
    <w:pPr>
      <w:keepNext/>
      <w:keepLines/>
      <w:numPr>
        <w:ilvl w:val="8"/>
        <w:numId w:val="29"/>
      </w:numPr>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722A"/>
    <w:rPr>
      <w:rFonts w:ascii="Aptos Display" w:eastAsia="Yu Gothic Light" w:hAnsi="Aptos Display" w:cs="Times New Roman"/>
      <w:color w:val="000000"/>
      <w:sz w:val="40"/>
      <w:szCs w:val="40"/>
    </w:rPr>
  </w:style>
  <w:style w:type="character" w:customStyle="1" w:styleId="Heading2Char">
    <w:name w:val="Heading 2 Char"/>
    <w:link w:val="Heading2"/>
    <w:uiPriority w:val="9"/>
    <w:rsid w:val="009E214A"/>
    <w:rPr>
      <w:rFonts w:ascii="Aptos Display" w:eastAsia="Yu Gothic Light" w:hAnsi="Aptos Display" w:cs="Times New Roman"/>
      <w:color w:val="000000"/>
      <w:sz w:val="32"/>
      <w:szCs w:val="32"/>
    </w:rPr>
  </w:style>
  <w:style w:type="character" w:customStyle="1" w:styleId="Heading3Char">
    <w:name w:val="Heading 3 Char"/>
    <w:link w:val="Heading3"/>
    <w:uiPriority w:val="9"/>
    <w:rsid w:val="00782ECC"/>
    <w:rPr>
      <w:rFonts w:eastAsia="Yu Gothic Light" w:cs="Times New Roman"/>
      <w:color w:val="000000"/>
      <w:sz w:val="28"/>
      <w:szCs w:val="28"/>
    </w:rPr>
  </w:style>
  <w:style w:type="character" w:customStyle="1" w:styleId="Heading4Char">
    <w:name w:val="Heading 4 Char"/>
    <w:link w:val="Heading4"/>
    <w:uiPriority w:val="9"/>
    <w:rsid w:val="00CB04AF"/>
    <w:rPr>
      <w:rFonts w:eastAsia="Yu Gothic Light" w:cs="Times New Roman"/>
      <w:i/>
      <w:iCs/>
      <w:color w:val="000000"/>
    </w:rPr>
  </w:style>
  <w:style w:type="character" w:customStyle="1" w:styleId="Heading5Char">
    <w:name w:val="Heading 5 Char"/>
    <w:link w:val="Heading5"/>
    <w:uiPriority w:val="9"/>
    <w:rsid w:val="00CB04AF"/>
    <w:rPr>
      <w:rFonts w:eastAsia="Yu Gothic Light" w:cs="Times New Roman"/>
      <w:color w:val="000000"/>
    </w:rPr>
  </w:style>
  <w:style w:type="character" w:customStyle="1" w:styleId="Heading6Char">
    <w:name w:val="Heading 6 Char"/>
    <w:link w:val="Heading6"/>
    <w:uiPriority w:val="9"/>
    <w:rPr>
      <w:rFonts w:eastAsia="Yu Gothic Light" w:cs="Times New Roman"/>
      <w:i/>
      <w:iCs/>
      <w:color w:val="595959"/>
    </w:rPr>
  </w:style>
  <w:style w:type="character" w:customStyle="1" w:styleId="Heading7Char">
    <w:name w:val="Heading 7 Char"/>
    <w:link w:val="Heading7"/>
    <w:uiPriority w:val="9"/>
    <w:rPr>
      <w:rFonts w:eastAsia="Yu Gothic Light" w:cs="Times New Roman"/>
      <w:color w:val="595959"/>
    </w:rPr>
  </w:style>
  <w:style w:type="character" w:customStyle="1" w:styleId="Heading8Char">
    <w:name w:val="Heading 8 Char"/>
    <w:link w:val="Heading8"/>
    <w:uiPriority w:val="9"/>
    <w:rPr>
      <w:rFonts w:eastAsia="Yu Gothic Light" w:cs="Times New Roman"/>
      <w:i/>
      <w:iCs/>
      <w:color w:val="272727"/>
    </w:rPr>
  </w:style>
  <w:style w:type="character" w:customStyle="1" w:styleId="Heading9Char">
    <w:name w:val="Heading 9 Char"/>
    <w:link w:val="Heading9"/>
    <w:uiPriority w:val="9"/>
    <w:rPr>
      <w:rFonts w:eastAsia="Yu Gothic Light" w:cs="Times New Roman"/>
      <w:color w:val="272727"/>
    </w:rPr>
  </w:style>
  <w:style w:type="character" w:customStyle="1" w:styleId="TitleChar">
    <w:name w:val="Title Char"/>
    <w:link w:val="Title"/>
    <w:uiPriority w:val="10"/>
    <w:rPr>
      <w:rFonts w:ascii="Aptos Display" w:eastAsia="Yu Gothic Light" w:hAnsi="Aptos Display" w:cs="Times New Roman"/>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Aptos Display" w:eastAsia="Yu Gothic Light" w:hAnsi="Aptos Display" w:cs="Times New Roman"/>
      <w:spacing w:val="-10"/>
      <w:kern w:val="28"/>
      <w:sz w:val="56"/>
      <w:szCs w:val="56"/>
    </w:rPr>
  </w:style>
  <w:style w:type="character" w:customStyle="1" w:styleId="SubtitleChar">
    <w:name w:val="Subtitle Char"/>
    <w:link w:val="Subtitle"/>
    <w:uiPriority w:val="11"/>
    <w:rPr>
      <w:rFonts w:eastAsia="Yu Gothic Light" w:cs="Times New Roman"/>
      <w:color w:val="000000"/>
      <w:spacing w:val="15"/>
      <w:sz w:val="28"/>
      <w:szCs w:val="28"/>
    </w:rPr>
  </w:style>
  <w:style w:type="paragraph" w:styleId="Subtitle">
    <w:name w:val="Subtitle"/>
    <w:basedOn w:val="Normal"/>
    <w:next w:val="Normal"/>
    <w:link w:val="SubtitleChar"/>
    <w:uiPriority w:val="11"/>
    <w:qFormat/>
    <w:rsid w:val="007517A7"/>
    <w:pPr>
      <w:numPr>
        <w:ilvl w:val="1"/>
      </w:numPr>
    </w:pPr>
    <w:rPr>
      <w:rFonts w:eastAsia="Yu Gothic Light" w:cs="Times New Roman"/>
      <w:color w:val="000000"/>
      <w:spacing w:val="15"/>
      <w:sz w:val="28"/>
      <w:szCs w:val="28"/>
    </w:rPr>
  </w:style>
  <w:style w:type="character" w:styleId="IntenseEmphasis">
    <w:name w:val="Intense Emphasis"/>
    <w:uiPriority w:val="21"/>
    <w:qFormat/>
    <w:rsid w:val="00CB04AF"/>
    <w:rPr>
      <w:i/>
      <w:iCs/>
      <w:color w:val="000000"/>
    </w:rPr>
  </w:style>
  <w:style w:type="character" w:customStyle="1" w:styleId="QuoteChar">
    <w:name w:val="Quote Char"/>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link w:val="IntenseQuote"/>
    <w:uiPriority w:val="30"/>
    <w:rsid w:val="00FB00C5"/>
    <w:rPr>
      <w:i/>
      <w:iCs/>
      <w:color w:val="000000"/>
    </w:rPr>
  </w:style>
  <w:style w:type="paragraph" w:styleId="IntenseQuote">
    <w:name w:val="Intense Quote"/>
    <w:basedOn w:val="Normal"/>
    <w:next w:val="Normal"/>
    <w:link w:val="IntenseQuoteChar"/>
    <w:autoRedefine/>
    <w:uiPriority w:val="30"/>
    <w:qFormat/>
    <w:rsid w:val="00FB00C5"/>
    <w:pPr>
      <w:pBdr>
        <w:top w:val="single" w:sz="4" w:space="10" w:color="6D9F00"/>
        <w:bottom w:val="single" w:sz="4" w:space="10" w:color="6D9F00"/>
      </w:pBdr>
      <w:spacing w:before="360" w:after="360"/>
      <w:ind w:left="864" w:right="864"/>
      <w:jc w:val="center"/>
    </w:pPr>
    <w:rPr>
      <w:i/>
      <w:iCs/>
      <w:color w:val="000000"/>
    </w:rPr>
  </w:style>
  <w:style w:type="character" w:styleId="IntenseReference">
    <w:name w:val="Intense Reference"/>
    <w:uiPriority w:val="32"/>
    <w:qFormat/>
    <w:rsid w:val="00FB00C5"/>
    <w:rPr>
      <w:b/>
      <w:bCs/>
      <w:smallCaps/>
      <w:color w:val="000000"/>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rPr>
      <w:sz w:val="24"/>
      <w:szCs w:val="24"/>
      <w:lang w:eastAsia="ja-JP"/>
    </w:rPr>
  </w:style>
  <w:style w:type="character" w:styleId="Hyperlink">
    <w:name w:val="Hyperlink"/>
    <w:uiPriority w:val="99"/>
    <w:unhideWhenUsed/>
    <w:rsid w:val="000E5B7D"/>
    <w:rPr>
      <w:color w:val="03647A"/>
      <w:u w:val="single"/>
    </w:rPr>
  </w:style>
  <w:style w:type="character" w:styleId="UnresolvedMention">
    <w:name w:val="Unresolved Mention"/>
    <w:uiPriority w:val="99"/>
    <w:semiHidden/>
    <w:unhideWhenUsed/>
    <w:rsid w:val="000E5B7D"/>
    <w:rPr>
      <w:color w:val="605E5C"/>
      <w:shd w:val="clear" w:color="auto" w:fill="E1DFDD"/>
    </w:rPr>
  </w:style>
  <w:style w:type="paragraph" w:styleId="TOCHeading">
    <w:name w:val="TOC Heading"/>
    <w:basedOn w:val="Heading1"/>
    <w:next w:val="Normal"/>
    <w:uiPriority w:val="39"/>
    <w:unhideWhenUsed/>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Normal (Bold)"/>
    <w:qFormat/>
    <w:rsid w:val="00BA112B"/>
    <w:rPr>
      <w:b/>
      <w:bCs/>
    </w:rPr>
  </w:style>
  <w:style w:type="paragraph" w:styleId="ListParagraph">
    <w:name w:val="List Paragraph"/>
    <w:aliases w:val="Bulleted List,TOC etc.,List Paragraph - RFP,Bullet Styles para,Numbered Standard,Numbered Para 1,Dot pt,No Spacing1,List Paragraph Char Char Char,Indicator Text,List Paragraph1,Bullet Points,MAIN CONTENT,List Paragraph12,F5 List Paragraph"/>
    <w:basedOn w:val="Normal"/>
    <w:link w:val="ListParagraphChar"/>
    <w:autoRedefine/>
    <w:uiPriority w:val="34"/>
    <w:qFormat/>
    <w:rsid w:val="000A5752"/>
    <w:pPr>
      <w:numPr>
        <w:ilvl w:val="2"/>
        <w:numId w:val="28"/>
      </w:numPr>
      <w:contextualSpacing/>
    </w:pPr>
  </w:style>
  <w:style w:type="character" w:styleId="CommentReference">
    <w:name w:val="annotation reference"/>
    <w:uiPriority w:val="99"/>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link w:val="CommentSubject"/>
    <w:uiPriority w:val="99"/>
    <w:semiHidden/>
    <w:rsid w:val="005C6B82"/>
    <w:rPr>
      <w:b/>
      <w:bCs/>
      <w:sz w:val="20"/>
      <w:szCs w:val="20"/>
    </w:rPr>
  </w:style>
  <w:style w:type="table" w:styleId="TableGrid">
    <w:name w:val="Table Grid"/>
    <w:aliases w:val="Test"/>
    <w:basedOn w:val="TableNormal"/>
    <w:uiPriority w:val="39"/>
    <w:rsid w:val="005C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tblPr/>
  </w:style>
  <w:style w:type="table" w:customStyle="1" w:styleId="GHCustom">
    <w:name w:val="GH Custom"/>
    <w:basedOn w:val="TableNormal"/>
    <w:uiPriority w:val="99"/>
    <w:rsid w:val="00FE3CB2"/>
    <w:tblPr>
      <w:tblBorders>
        <w:insideH w:val="dotted" w:sz="2" w:space="0" w:color="00BAD6"/>
      </w:tblBorders>
    </w:tblPr>
    <w:tblStylePr w:type="firstRow">
      <w:rPr>
        <w:rFonts w:ascii="Aptos Narrow" w:hAnsi="Aptos Narrow"/>
        <w:b/>
        <w:color w:val="FFFFFF"/>
        <w:sz w:val="24"/>
      </w:rPr>
      <w:tblPr/>
      <w:tcPr>
        <w:tcBorders>
          <w:top w:val="nil"/>
          <w:left w:val="nil"/>
          <w:bottom w:val="single" w:sz="18" w:space="0" w:color="93D500"/>
          <w:right w:val="nil"/>
          <w:insideH w:val="nil"/>
          <w:insideV w:val="nil"/>
        </w:tcBorders>
        <w:shd w:val="clear" w:color="auto" w:fill="03647A"/>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link w:val="EndnoteText"/>
    <w:uiPriority w:val="99"/>
    <w:semiHidden/>
    <w:rsid w:val="00D84ABB"/>
    <w:rPr>
      <w:sz w:val="20"/>
      <w:szCs w:val="20"/>
    </w:rPr>
  </w:style>
  <w:style w:type="character" w:styleId="EndnoteReference">
    <w:name w:val="endnote reference"/>
    <w:uiPriority w:val="99"/>
    <w:semiHidden/>
    <w:unhideWhenUsed/>
    <w:rsid w:val="00D84ABB"/>
    <w:rPr>
      <w:vertAlign w:val="superscript"/>
    </w:rPr>
  </w:style>
  <w:style w:type="paragraph" w:styleId="Caption">
    <w:name w:val="caption"/>
    <w:aliases w:val="Table/Figure Caption,Table Caption,Char,Caption Char1 Char"/>
    <w:basedOn w:val="Normal"/>
    <w:next w:val="Normal"/>
    <w:link w:val="CaptionChar"/>
    <w:autoRedefine/>
    <w:unhideWhenUsed/>
    <w:qFormat/>
    <w:rsid w:val="00B642BC"/>
    <w:pPr>
      <w:keepNext/>
      <w:spacing w:after="200" w:line="240" w:lineRule="auto"/>
      <w:jc w:val="center"/>
    </w:pPr>
    <w:rPr>
      <w:rFonts w:ascii="Aptos Display" w:hAnsi="Aptos Display"/>
      <w:b/>
      <w:iCs/>
      <w:color w:val="000000"/>
      <w:szCs w:val="18"/>
    </w:rPr>
  </w:style>
  <w:style w:type="character" w:styleId="Mention">
    <w:name w:val="Mention"/>
    <w:uiPriority w:val="99"/>
    <w:unhideWhenUsed/>
    <w:rsid w:val="00465217"/>
    <w:rPr>
      <w:color w:val="2B579A"/>
      <w:shd w:val="clear" w:color="auto" w:fill="E1DFDD"/>
    </w:rPr>
  </w:style>
  <w:style w:type="paragraph" w:styleId="Revision">
    <w:name w:val="Revision"/>
    <w:hidden/>
    <w:uiPriority w:val="99"/>
    <w:semiHidden/>
    <w:rsid w:val="00465217"/>
    <w:rPr>
      <w:sz w:val="24"/>
      <w:szCs w:val="24"/>
      <w:lang w:eastAsia="ja-JP"/>
    </w:r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link w:val="TableofContents"/>
    <w:rsid w:val="00C9706F"/>
    <w:rPr>
      <w:sz w:val="40"/>
      <w:szCs w:val="40"/>
    </w:rPr>
  </w:style>
  <w:style w:type="character" w:styleId="PlaceholderText">
    <w:name w:val="Placeholder Text"/>
    <w:uiPriority w:val="99"/>
    <w:semiHidden/>
    <w:rsid w:val="00FA2739"/>
    <w:rPr>
      <w:color w:val="666666"/>
    </w:rPr>
  </w:style>
  <w:style w:type="paragraph" w:styleId="FootnoteText">
    <w:name w:val="footnote text"/>
    <w:aliases w:val="Footnote Text1 Char,Footnote Text Char Ch,TBG Style,ALTS FOOTNOTE,Footnote Text 2,fn,Footnote text,FOOTNOTE,Footnote Text Char Ch Char Char Char,Footnote Text Char Ch Char Char,Footnote Text1 Char Char Char,ft Char,ft,FN"/>
    <w:basedOn w:val="Normal"/>
    <w:link w:val="FootnoteTextChar"/>
    <w:uiPriority w:val="69"/>
    <w:unhideWhenUsed/>
    <w:qFormat/>
    <w:rsid w:val="00180B4F"/>
    <w:pPr>
      <w:spacing w:after="0" w:line="240" w:lineRule="auto"/>
    </w:pPr>
    <w:rPr>
      <w:sz w:val="20"/>
      <w:szCs w:val="20"/>
    </w:rPr>
  </w:style>
  <w:style w:type="character" w:customStyle="1" w:styleId="FootnoteTextChar">
    <w:name w:val="Footnote Text Char"/>
    <w:aliases w:val="Footnote Text1 Char Char,Footnote Text Char Ch Char,TBG Style Char,ALTS FOOTNOTE Char,Footnote Text 2 Char,fn Char,Footnote text Char,FOOTNOTE Char,Footnote Text Char Ch Char Char Char Char,Footnote Text Char Ch Char Char Char1"/>
    <w:link w:val="FootnoteText"/>
    <w:uiPriority w:val="69"/>
    <w:rsid w:val="00180B4F"/>
    <w:rPr>
      <w:sz w:val="20"/>
      <w:szCs w:val="20"/>
    </w:rPr>
  </w:style>
  <w:style w:type="character" w:styleId="FootnoteReference">
    <w:name w:val="footnote reference"/>
    <w:aliases w:val="Footnote_Reference,o,fr,Style 17,o + Times New Roman,TT - Footnote Reference,FC,Style 9"/>
    <w:uiPriority w:val="69"/>
    <w:unhideWhenUsed/>
    <w:qFormat/>
    <w:rsid w:val="00180B4F"/>
    <w:rPr>
      <w:vertAlign w:val="superscript"/>
    </w:rPr>
  </w:style>
  <w:style w:type="paragraph" w:customStyle="1" w:styleId="TableFigureNote">
    <w:name w:val="Table/Figure Note"/>
    <w:basedOn w:val="NoSpacing"/>
    <w:link w:val="TableFigureNoteChar"/>
    <w:rsid w:val="0092027A"/>
    <w:rPr>
      <w:i/>
      <w:sz w:val="18"/>
      <w:szCs w:val="18"/>
    </w:rPr>
  </w:style>
  <w:style w:type="character" w:customStyle="1" w:styleId="TableFigureNoteChar">
    <w:name w:val="Table/Figure Note Char"/>
    <w:link w:val="TableFigureNote"/>
    <w:rsid w:val="0092027A"/>
    <w:rPr>
      <w:i/>
      <w:sz w:val="18"/>
      <w:szCs w:val="18"/>
    </w:rPr>
  </w:style>
  <w:style w:type="paragraph" w:customStyle="1" w:styleId="TableFigureSourceorNote">
    <w:name w:val="Table/Figure Source or Note"/>
    <w:basedOn w:val="TableFigureNote"/>
    <w:link w:val="TableFigureSourceorNoteChar"/>
    <w:qFormat/>
    <w:rsid w:val="0092027A"/>
  </w:style>
  <w:style w:type="character" w:customStyle="1" w:styleId="TableFigureSourceorNoteChar">
    <w:name w:val="Table/Figure Source or Note Char"/>
    <w:link w:val="TableFigureSourceorNote"/>
    <w:rsid w:val="0092027A"/>
    <w:rPr>
      <w:i/>
      <w:sz w:val="18"/>
      <w:szCs w:val="18"/>
    </w:rPr>
  </w:style>
  <w:style w:type="character" w:styleId="SubtleEmphasis">
    <w:name w:val="Subtle Emphasis"/>
    <w:uiPriority w:val="19"/>
    <w:qFormat/>
    <w:rsid w:val="005D78F3"/>
    <w:rPr>
      <w:i/>
      <w:iCs/>
      <w:color w:val="404040"/>
    </w:rPr>
  </w:style>
  <w:style w:type="character" w:styleId="PageNumber">
    <w:name w:val="page number"/>
    <w:rsid w:val="00E37CD5"/>
    <w:rPr>
      <w:sz w:val="20"/>
    </w:rPr>
  </w:style>
  <w:style w:type="paragraph" w:customStyle="1" w:styleId="GHHyperlink">
    <w:name w:val="GH Hyperlink"/>
    <w:basedOn w:val="NoSpacing"/>
    <w:link w:val="GHHyperlinkChar"/>
    <w:qFormat/>
    <w:rsid w:val="00C3453D"/>
    <w:rPr>
      <w:b/>
      <w:sz w:val="21"/>
      <w:szCs w:val="21"/>
      <w:u w:val="single" w:color="93D500"/>
    </w:rPr>
  </w:style>
  <w:style w:type="character" w:customStyle="1" w:styleId="GHHyperlinkChar">
    <w:name w:val="GH Hyperlink Char"/>
    <w:link w:val="GHHyperlink"/>
    <w:rsid w:val="00C3453D"/>
    <w:rPr>
      <w:rFonts w:cs="Arial"/>
      <w:b/>
      <w:sz w:val="21"/>
      <w:szCs w:val="21"/>
      <w:u w:val="single" w:color="93D500"/>
    </w:rPr>
  </w:style>
  <w:style w:type="paragraph" w:customStyle="1" w:styleId="NumberedList">
    <w:name w:val="Numbered List"/>
    <w:basedOn w:val="ListParagraph"/>
    <w:link w:val="NumberedListChar"/>
    <w:autoRedefine/>
    <w:qFormat/>
    <w:rsid w:val="00290220"/>
    <w:pPr>
      <w:numPr>
        <w:ilvl w:val="0"/>
        <w:numId w:val="0"/>
      </w:numPr>
    </w:pPr>
  </w:style>
  <w:style w:type="character" w:customStyle="1" w:styleId="ListParagraphChar">
    <w:name w:val="List Paragraph Char"/>
    <w:aliases w:val="Bulleted List Char,TOC etc. Char,List Paragraph - RFP Char,Bullet Styles para Char,Numbered Standard Char,Numbered Para 1 Char,Dot pt Char,No Spacing1 Char,List Paragraph Char Char Char Char,Indicator Text Char,List Paragraph1 Char"/>
    <w:link w:val="ListParagraph"/>
    <w:uiPriority w:val="34"/>
    <w:rsid w:val="000A5752"/>
    <w:rPr>
      <w:sz w:val="22"/>
      <w:szCs w:val="24"/>
      <w:lang w:eastAsia="ja-JP"/>
    </w:rPr>
  </w:style>
  <w:style w:type="character" w:customStyle="1" w:styleId="NumberedListChar">
    <w:name w:val="Numbered List Char"/>
    <w:link w:val="NumberedList"/>
    <w:rsid w:val="00290220"/>
    <w:rPr>
      <w:sz w:val="22"/>
      <w:szCs w:val="24"/>
      <w:lang w:eastAsia="ja-JP"/>
    </w:rPr>
  </w:style>
  <w:style w:type="paragraph" w:customStyle="1" w:styleId="Source">
    <w:name w:val="Source"/>
    <w:basedOn w:val="Normal"/>
    <w:link w:val="SourceChar"/>
    <w:rsid w:val="00C435AC"/>
    <w:pPr>
      <w:spacing w:after="0" w:line="240" w:lineRule="auto"/>
    </w:pPr>
    <w:rPr>
      <w:rFonts w:ascii="Arial" w:eastAsiaTheme="minorHAnsi" w:hAnsi="Arial" w:cstheme="minorBidi"/>
      <w:i/>
      <w:color w:val="000000" w:themeColor="text1"/>
      <w:sz w:val="16"/>
      <w:szCs w:val="22"/>
      <w:lang w:val="en-IN" w:eastAsia="en-US"/>
    </w:rPr>
  </w:style>
  <w:style w:type="character" w:customStyle="1" w:styleId="SourceChar">
    <w:name w:val="Source Char"/>
    <w:basedOn w:val="DefaultParagraphFont"/>
    <w:link w:val="Source"/>
    <w:rsid w:val="00C435AC"/>
    <w:rPr>
      <w:rFonts w:ascii="Arial" w:eastAsiaTheme="minorHAnsi" w:hAnsi="Arial" w:cstheme="minorBidi"/>
      <w:i/>
      <w:color w:val="000000" w:themeColor="text1"/>
      <w:sz w:val="16"/>
      <w:szCs w:val="22"/>
      <w:lang w:val="en-IN"/>
    </w:rPr>
  </w:style>
  <w:style w:type="character" w:customStyle="1" w:styleId="CaptionChar">
    <w:name w:val="Caption Char"/>
    <w:aliases w:val="Table/Figure Caption Char,Table Caption Char,Char Char,Caption Char1 Char Char"/>
    <w:link w:val="Caption"/>
    <w:rsid w:val="00C435AC"/>
    <w:rPr>
      <w:rFonts w:ascii="Aptos Display" w:hAnsi="Aptos Display"/>
      <w:b/>
      <w:iCs/>
      <w:color w:val="000000"/>
      <w:sz w:val="22"/>
      <w:szCs w:val="18"/>
      <w:lang w:eastAsia="ja-JP"/>
    </w:rPr>
  </w:style>
  <w:style w:type="paragraph" w:customStyle="1" w:styleId="GraphFootnote">
    <w:name w:val="Graph Footnote"/>
    <w:basedOn w:val="Normal"/>
    <w:next w:val="Normal"/>
    <w:uiPriority w:val="99"/>
    <w:rsid w:val="00C435AC"/>
    <w:pPr>
      <w:spacing w:after="0" w:line="240" w:lineRule="auto"/>
    </w:pPr>
    <w:rPr>
      <w:rFonts w:ascii="Arial Narrow" w:eastAsiaTheme="minorHAnsi" w:hAnsi="Arial Narrow" w:cstheme="minorBidi"/>
      <w:sz w:val="18"/>
      <w:szCs w:val="22"/>
      <w:lang w:val="en-IN" w:eastAsia="en-US"/>
    </w:rPr>
  </w:style>
  <w:style w:type="paragraph" w:customStyle="1" w:styleId="Bullet1">
    <w:name w:val="Bullet 1"/>
    <w:basedOn w:val="Normal"/>
    <w:next w:val="BodyText"/>
    <w:uiPriority w:val="99"/>
    <w:rsid w:val="00C435AC"/>
    <w:pPr>
      <w:tabs>
        <w:tab w:val="num" w:pos="0"/>
      </w:tabs>
      <w:spacing w:after="120" w:line="240" w:lineRule="auto"/>
      <w:jc w:val="both"/>
    </w:pPr>
    <w:rPr>
      <w:rFonts w:ascii="Franklin Gothic Book" w:eastAsiaTheme="minorHAnsi" w:hAnsi="Franklin Gothic Book" w:cstheme="minorBidi"/>
      <w:sz w:val="24"/>
      <w:szCs w:val="22"/>
      <w:lang w:val="en-IN" w:eastAsia="en-US"/>
    </w:rPr>
  </w:style>
  <w:style w:type="table" w:customStyle="1" w:styleId="ESIReport21">
    <w:name w:val="ESI Report 21"/>
    <w:basedOn w:val="TableNormal"/>
    <w:uiPriority w:val="99"/>
    <w:rsid w:val="00C435AC"/>
    <w:pPr>
      <w:spacing w:before="40" w:after="40"/>
    </w:pPr>
    <w:rPr>
      <w:rFonts w:ascii="Arial" w:eastAsia="Times New Roman" w:hAnsi="Arial" w:cs="Times New Roman"/>
    </w:rPr>
    <w:tblPr>
      <w:jc w:val="center"/>
      <w:tblBorders>
        <w:bottom w:val="single" w:sz="4" w:space="0" w:color="auto"/>
        <w:insideH w:val="single" w:sz="4" w:space="0" w:color="8C8C8C"/>
      </w:tblBorders>
    </w:tblPr>
    <w:trPr>
      <w:jc w:val="center"/>
    </w:trPr>
    <w:tcPr>
      <w:vAlign w:val="center"/>
    </w:tcPr>
    <w:tblStylePr w:type="firstRow">
      <w:rPr>
        <w:b/>
        <w:color w:val="auto"/>
      </w:rPr>
      <w:tblPr/>
      <w:tcPr>
        <w:tcBorders>
          <w:top w:val="nil"/>
          <w:left w:val="nil"/>
          <w:bottom w:val="single" w:sz="4" w:space="0" w:color="8C8C8C"/>
          <w:right w:val="nil"/>
          <w:insideH w:val="nil"/>
          <w:insideV w:val="nil"/>
          <w:tl2br w:val="nil"/>
          <w:tr2bl w:val="nil"/>
        </w:tcBorders>
        <w:shd w:val="clear" w:color="auto" w:fill="156082" w:themeFill="accent1"/>
      </w:tcPr>
    </w:tblStylePr>
    <w:tblStylePr w:type="lastRow">
      <w:rPr>
        <w:b/>
      </w:rPr>
      <w:tblPr/>
      <w:tcPr>
        <w:tcBorders>
          <w:top w:val="single" w:sz="4" w:space="0" w:color="8C8C8C"/>
          <w:left w:val="nil"/>
          <w:bottom w:val="single" w:sz="4" w:space="0" w:color="8C8C8C"/>
          <w:right w:val="nil"/>
          <w:insideH w:val="nil"/>
          <w:insideV w:val="nil"/>
          <w:tl2br w:val="nil"/>
          <w:tr2bl w:val="nil"/>
        </w:tcBorders>
      </w:tcPr>
    </w:tblStylePr>
  </w:style>
  <w:style w:type="table" w:customStyle="1" w:styleId="EnergyTable13">
    <w:name w:val="Energy Table13"/>
    <w:basedOn w:val="TableNormal"/>
    <w:uiPriority w:val="99"/>
    <w:qFormat/>
    <w:rsid w:val="00C435AC"/>
    <w:pPr>
      <w:spacing w:before="40" w:after="40"/>
      <w:jc w:val="center"/>
    </w:pPr>
    <w:rPr>
      <w:rFonts w:ascii="Arial" w:eastAsia="Times New Roman" w:hAnsi="Arial" w:cs="Times New Roman"/>
    </w:rPr>
    <w:tblPr>
      <w:tblStyleRowBandSize w:val="1"/>
      <w:tblInd w:w="0" w:type="nil"/>
      <w:tblBorders>
        <w:bottom w:val="single" w:sz="8" w:space="0" w:color="0E2841" w:themeColor="text2"/>
        <w:insideH w:val="single" w:sz="4" w:space="0" w:color="B7D4EF" w:themeColor="text2" w:themeTint="33"/>
      </w:tblBorders>
    </w:tblPr>
    <w:tcPr>
      <w:vAlign w:val="center"/>
    </w:tcPr>
    <w:tblStylePr w:type="firstRow">
      <w:pPr>
        <w:jc w:val="center"/>
      </w:pPr>
      <w:rPr>
        <w:rFonts w:ascii="Arial" w:hAnsi="Arial" w:cs="Arial" w:hint="default"/>
        <w:b/>
        <w:color w:val="FFFFFF" w:themeColor="background1"/>
        <w:sz w:val="20"/>
        <w:szCs w:val="20"/>
      </w:rPr>
      <w:tblPr/>
      <w:tcPr>
        <w:tcBorders>
          <w:top w:val="nil"/>
          <w:left w:val="nil"/>
          <w:bottom w:val="single" w:sz="12" w:space="0" w:color="156082" w:themeColor="accent1"/>
          <w:right w:val="nil"/>
          <w:insideH w:val="nil"/>
          <w:insideV w:val="nil"/>
          <w:tl2br w:val="nil"/>
          <w:tr2bl w:val="nil"/>
        </w:tcBorders>
        <w:shd w:val="clear" w:color="auto" w:fill="0E2841" w:themeFill="text2"/>
      </w:tcPr>
    </w:tblStylePr>
    <w:tblStylePr w:type="lastRow">
      <w:pPr>
        <w:jc w:val="center"/>
      </w:pPr>
      <w:rPr>
        <w:rFonts w:ascii="Palatino" w:hAnsi="Palatino" w:hint="default"/>
        <w:b/>
      </w:rPr>
      <w:tblPr/>
      <w:tcPr>
        <w:tcBorders>
          <w:top w:val="double" w:sz="4" w:space="0" w:color="545759"/>
          <w:bottom w:val="single" w:sz="4" w:space="0" w:color="545759"/>
        </w:tcBorders>
      </w:tcPr>
    </w:tblStylePr>
    <w:tblStylePr w:type="firstCol">
      <w:rPr>
        <w:rFonts w:ascii="Bahnschrift SemiBold" w:hAnsi="Bahnschrift SemiBold" w:cs="Bahnschrift SemiBold" w:hint="default"/>
        <w:b w:val="0"/>
        <w:color w:val="auto"/>
      </w:rPr>
    </w:tblStylePr>
  </w:style>
  <w:style w:type="table" w:customStyle="1" w:styleId="EnergyTable3">
    <w:name w:val="Energy Table3"/>
    <w:basedOn w:val="TableNormal"/>
    <w:uiPriority w:val="99"/>
    <w:qFormat/>
    <w:rsid w:val="00C435AC"/>
    <w:pPr>
      <w:spacing w:before="40" w:after="40"/>
      <w:jc w:val="center"/>
    </w:pPr>
    <w:rPr>
      <w:rFonts w:ascii="Arial" w:eastAsia="Times New Roman" w:hAnsi="Arial" w:cs="Times New Roman"/>
    </w:rPr>
    <w:tblPr>
      <w:tblStyleRowBandSize w:val="1"/>
      <w:jc w:val="center"/>
      <w:tblBorders>
        <w:bottom w:val="single" w:sz="8" w:space="0" w:color="0E2841" w:themeColor="text2"/>
        <w:insideH w:val="single" w:sz="4" w:space="0" w:color="B7D4EF"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156082" w:themeColor="accent1"/>
          <w:right w:val="nil"/>
          <w:insideH w:val="nil"/>
          <w:insideV w:val="nil"/>
          <w:tl2br w:val="nil"/>
          <w:tr2bl w:val="nil"/>
        </w:tcBorders>
        <w:shd w:val="clear" w:color="auto" w:fill="0E2841" w:themeFill="text2"/>
      </w:tcPr>
    </w:tblStylePr>
    <w:tblStylePr w:type="lastRow">
      <w:pPr>
        <w:jc w:val="center"/>
      </w:pPr>
      <w:rPr>
        <w:rFonts w:ascii="Corbel Light" w:hAnsi="Corbel Light"/>
        <w:b/>
      </w:rPr>
      <w:tblPr/>
      <w:tcPr>
        <w:tcBorders>
          <w:top w:val="double" w:sz="4" w:space="0" w:color="545759"/>
          <w:bottom w:val="single" w:sz="4" w:space="0" w:color="545759"/>
        </w:tcBorders>
      </w:tcPr>
    </w:tblStylePr>
    <w:tblStylePr w:type="firstCol">
      <w:rPr>
        <w:rFonts w:ascii="Palatino" w:hAnsi="Palatino"/>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paragraph" w:customStyle="1" w:styleId="BulletLast">
    <w:name w:val="Bullet Last"/>
    <w:basedOn w:val="Normal"/>
    <w:rsid w:val="00C435AC"/>
    <w:pPr>
      <w:numPr>
        <w:numId w:val="32"/>
      </w:numPr>
      <w:spacing w:after="200" w:line="280" w:lineRule="exact"/>
    </w:pPr>
    <w:rPr>
      <w:rFonts w:ascii="Arial" w:eastAsiaTheme="minorHAnsi" w:hAnsi="Arial" w:cstheme="minorBidi"/>
      <w:szCs w:val="22"/>
      <w:lang w:val="en-IN" w:eastAsia="en-US"/>
    </w:rPr>
  </w:style>
  <w:style w:type="paragraph" w:customStyle="1" w:styleId="ResumeBullets">
    <w:name w:val="Resume Bullets"/>
    <w:basedOn w:val="Normal"/>
    <w:uiPriority w:val="99"/>
    <w:rsid w:val="00C435AC"/>
    <w:pPr>
      <w:numPr>
        <w:numId w:val="33"/>
      </w:numPr>
      <w:tabs>
        <w:tab w:val="left" w:pos="432"/>
      </w:tabs>
      <w:spacing w:before="40" w:after="0" w:line="240" w:lineRule="auto"/>
    </w:pPr>
    <w:rPr>
      <w:rFonts w:ascii="Times New Roman" w:eastAsiaTheme="minorHAnsi" w:hAnsi="Times New Roman" w:cstheme="minorBidi"/>
      <w:szCs w:val="22"/>
      <w:lang w:val="en-IN" w:eastAsia="en-US"/>
    </w:rPr>
  </w:style>
  <w:style w:type="paragraph" w:styleId="BodyText">
    <w:name w:val="Body Text"/>
    <w:basedOn w:val="Normal"/>
    <w:link w:val="BodyTextChar"/>
    <w:uiPriority w:val="99"/>
    <w:semiHidden/>
    <w:unhideWhenUsed/>
    <w:rsid w:val="00C435AC"/>
    <w:pPr>
      <w:spacing w:after="120"/>
    </w:pPr>
  </w:style>
  <w:style w:type="character" w:customStyle="1" w:styleId="BodyTextChar">
    <w:name w:val="Body Text Char"/>
    <w:basedOn w:val="DefaultParagraphFont"/>
    <w:link w:val="BodyText"/>
    <w:uiPriority w:val="99"/>
    <w:semiHidden/>
    <w:rsid w:val="00C435AC"/>
    <w:rPr>
      <w:sz w:val="22"/>
      <w:szCs w:val="24"/>
      <w:lang w:eastAsia="ja-JP"/>
    </w:rPr>
  </w:style>
  <w:style w:type="character" w:customStyle="1" w:styleId="ui-provider">
    <w:name w:val="ui-provider"/>
    <w:basedOn w:val="DefaultParagraphFont"/>
    <w:rsid w:val="003D5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168493730">
      <w:bodyDiv w:val="1"/>
      <w:marLeft w:val="0"/>
      <w:marRight w:val="0"/>
      <w:marTop w:val="0"/>
      <w:marBottom w:val="0"/>
      <w:divBdr>
        <w:top w:val="none" w:sz="0" w:space="0" w:color="auto"/>
        <w:left w:val="none" w:sz="0" w:space="0" w:color="auto"/>
        <w:bottom w:val="none" w:sz="0" w:space="0" w:color="auto"/>
        <w:right w:val="none" w:sz="0" w:space="0" w:color="auto"/>
      </w:divBdr>
      <w:divsChild>
        <w:div w:id="707340022">
          <w:marLeft w:val="0"/>
          <w:marRight w:val="0"/>
          <w:marTop w:val="0"/>
          <w:marBottom w:val="0"/>
          <w:divBdr>
            <w:top w:val="none" w:sz="0" w:space="0" w:color="auto"/>
            <w:left w:val="none" w:sz="0" w:space="0" w:color="auto"/>
            <w:bottom w:val="none" w:sz="0" w:space="0" w:color="auto"/>
            <w:right w:val="none" w:sz="0" w:space="0" w:color="auto"/>
          </w:divBdr>
        </w:div>
        <w:div w:id="814372984">
          <w:marLeft w:val="0"/>
          <w:marRight w:val="0"/>
          <w:marTop w:val="0"/>
          <w:marBottom w:val="0"/>
          <w:divBdr>
            <w:top w:val="none" w:sz="0" w:space="0" w:color="auto"/>
            <w:left w:val="none" w:sz="0" w:space="0" w:color="auto"/>
            <w:bottom w:val="none" w:sz="0" w:space="0" w:color="auto"/>
            <w:right w:val="none" w:sz="0" w:space="0" w:color="auto"/>
          </w:divBdr>
        </w:div>
      </w:divsChild>
    </w:div>
    <w:div w:id="325011066">
      <w:bodyDiv w:val="1"/>
      <w:marLeft w:val="0"/>
      <w:marRight w:val="0"/>
      <w:marTop w:val="0"/>
      <w:marBottom w:val="0"/>
      <w:divBdr>
        <w:top w:val="none" w:sz="0" w:space="0" w:color="auto"/>
        <w:left w:val="none" w:sz="0" w:space="0" w:color="auto"/>
        <w:bottom w:val="none" w:sz="0" w:space="0" w:color="auto"/>
        <w:right w:val="none" w:sz="0" w:space="0" w:color="auto"/>
      </w:divBdr>
      <w:divsChild>
        <w:div w:id="717172527">
          <w:marLeft w:val="0"/>
          <w:marRight w:val="0"/>
          <w:marTop w:val="0"/>
          <w:marBottom w:val="0"/>
          <w:divBdr>
            <w:top w:val="none" w:sz="0" w:space="0" w:color="auto"/>
            <w:left w:val="none" w:sz="0" w:space="0" w:color="auto"/>
            <w:bottom w:val="none" w:sz="0" w:space="0" w:color="auto"/>
            <w:right w:val="none" w:sz="0" w:space="0" w:color="auto"/>
          </w:divBdr>
        </w:div>
        <w:div w:id="1079211697">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51307736">
      <w:bodyDiv w:val="1"/>
      <w:marLeft w:val="0"/>
      <w:marRight w:val="0"/>
      <w:marTop w:val="0"/>
      <w:marBottom w:val="0"/>
      <w:divBdr>
        <w:top w:val="none" w:sz="0" w:space="0" w:color="auto"/>
        <w:left w:val="none" w:sz="0" w:space="0" w:color="auto"/>
        <w:bottom w:val="none" w:sz="0" w:space="0" w:color="auto"/>
        <w:right w:val="none" w:sz="0" w:space="0" w:color="auto"/>
      </w:divBdr>
      <w:divsChild>
        <w:div w:id="247617905">
          <w:marLeft w:val="0"/>
          <w:marRight w:val="0"/>
          <w:marTop w:val="0"/>
          <w:marBottom w:val="0"/>
          <w:divBdr>
            <w:top w:val="none" w:sz="0" w:space="0" w:color="auto"/>
            <w:left w:val="none" w:sz="0" w:space="0" w:color="auto"/>
            <w:bottom w:val="none" w:sz="0" w:space="0" w:color="auto"/>
            <w:right w:val="none" w:sz="0" w:space="0" w:color="auto"/>
          </w:divBdr>
        </w:div>
        <w:div w:id="315915792">
          <w:marLeft w:val="0"/>
          <w:marRight w:val="0"/>
          <w:marTop w:val="0"/>
          <w:marBottom w:val="0"/>
          <w:divBdr>
            <w:top w:val="none" w:sz="0" w:space="0" w:color="auto"/>
            <w:left w:val="none" w:sz="0" w:space="0" w:color="auto"/>
            <w:bottom w:val="none" w:sz="0" w:space="0" w:color="auto"/>
            <w:right w:val="none" w:sz="0" w:space="0" w:color="auto"/>
          </w:divBdr>
        </w:div>
        <w:div w:id="391386694">
          <w:marLeft w:val="0"/>
          <w:marRight w:val="0"/>
          <w:marTop w:val="0"/>
          <w:marBottom w:val="0"/>
          <w:divBdr>
            <w:top w:val="none" w:sz="0" w:space="0" w:color="auto"/>
            <w:left w:val="none" w:sz="0" w:space="0" w:color="auto"/>
            <w:bottom w:val="none" w:sz="0" w:space="0" w:color="auto"/>
            <w:right w:val="none" w:sz="0" w:space="0" w:color="auto"/>
          </w:divBdr>
        </w:div>
        <w:div w:id="850415141">
          <w:marLeft w:val="0"/>
          <w:marRight w:val="0"/>
          <w:marTop w:val="0"/>
          <w:marBottom w:val="0"/>
          <w:divBdr>
            <w:top w:val="none" w:sz="0" w:space="0" w:color="auto"/>
            <w:left w:val="none" w:sz="0" w:space="0" w:color="auto"/>
            <w:bottom w:val="none" w:sz="0" w:space="0" w:color="auto"/>
            <w:right w:val="none" w:sz="0" w:space="0" w:color="auto"/>
          </w:divBdr>
        </w:div>
        <w:div w:id="860823372">
          <w:marLeft w:val="0"/>
          <w:marRight w:val="0"/>
          <w:marTop w:val="0"/>
          <w:marBottom w:val="0"/>
          <w:divBdr>
            <w:top w:val="none" w:sz="0" w:space="0" w:color="auto"/>
            <w:left w:val="none" w:sz="0" w:space="0" w:color="auto"/>
            <w:bottom w:val="none" w:sz="0" w:space="0" w:color="auto"/>
            <w:right w:val="none" w:sz="0" w:space="0" w:color="auto"/>
          </w:divBdr>
        </w:div>
        <w:div w:id="915898329">
          <w:marLeft w:val="0"/>
          <w:marRight w:val="0"/>
          <w:marTop w:val="0"/>
          <w:marBottom w:val="0"/>
          <w:divBdr>
            <w:top w:val="none" w:sz="0" w:space="0" w:color="auto"/>
            <w:left w:val="none" w:sz="0" w:space="0" w:color="auto"/>
            <w:bottom w:val="none" w:sz="0" w:space="0" w:color="auto"/>
            <w:right w:val="none" w:sz="0" w:space="0" w:color="auto"/>
          </w:divBdr>
        </w:div>
        <w:div w:id="1065955263">
          <w:marLeft w:val="0"/>
          <w:marRight w:val="0"/>
          <w:marTop w:val="0"/>
          <w:marBottom w:val="0"/>
          <w:divBdr>
            <w:top w:val="none" w:sz="0" w:space="0" w:color="auto"/>
            <w:left w:val="none" w:sz="0" w:space="0" w:color="auto"/>
            <w:bottom w:val="none" w:sz="0" w:space="0" w:color="auto"/>
            <w:right w:val="none" w:sz="0" w:space="0" w:color="auto"/>
          </w:divBdr>
        </w:div>
        <w:div w:id="1284002835">
          <w:marLeft w:val="0"/>
          <w:marRight w:val="0"/>
          <w:marTop w:val="0"/>
          <w:marBottom w:val="0"/>
          <w:divBdr>
            <w:top w:val="none" w:sz="0" w:space="0" w:color="auto"/>
            <w:left w:val="none" w:sz="0" w:space="0" w:color="auto"/>
            <w:bottom w:val="none" w:sz="0" w:space="0" w:color="auto"/>
            <w:right w:val="none" w:sz="0" w:space="0" w:color="auto"/>
          </w:divBdr>
        </w:div>
        <w:div w:id="1418987244">
          <w:marLeft w:val="0"/>
          <w:marRight w:val="0"/>
          <w:marTop w:val="0"/>
          <w:marBottom w:val="0"/>
          <w:divBdr>
            <w:top w:val="none" w:sz="0" w:space="0" w:color="auto"/>
            <w:left w:val="none" w:sz="0" w:space="0" w:color="auto"/>
            <w:bottom w:val="none" w:sz="0" w:space="0" w:color="auto"/>
            <w:right w:val="none" w:sz="0" w:space="0" w:color="auto"/>
          </w:divBdr>
        </w:div>
        <w:div w:id="1475101168">
          <w:marLeft w:val="0"/>
          <w:marRight w:val="0"/>
          <w:marTop w:val="0"/>
          <w:marBottom w:val="0"/>
          <w:divBdr>
            <w:top w:val="none" w:sz="0" w:space="0" w:color="auto"/>
            <w:left w:val="none" w:sz="0" w:space="0" w:color="auto"/>
            <w:bottom w:val="none" w:sz="0" w:space="0" w:color="auto"/>
            <w:right w:val="none" w:sz="0" w:space="0" w:color="auto"/>
          </w:divBdr>
        </w:div>
        <w:div w:id="1927692351">
          <w:marLeft w:val="0"/>
          <w:marRight w:val="0"/>
          <w:marTop w:val="0"/>
          <w:marBottom w:val="0"/>
          <w:divBdr>
            <w:top w:val="none" w:sz="0" w:space="0" w:color="auto"/>
            <w:left w:val="none" w:sz="0" w:space="0" w:color="auto"/>
            <w:bottom w:val="none" w:sz="0" w:space="0" w:color="auto"/>
            <w:right w:val="none" w:sz="0" w:space="0" w:color="auto"/>
          </w:divBdr>
        </w:div>
        <w:div w:id="2003048185">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lsag.info/wp-content/uploads/IL_EE_Policy_Manual_Version_3.0_Final_11-3-202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Frischmann\AppData\Local\Microsoft\Olk\Attachments\ooa-57cff514-4581-43f8-a0fb-96c1057cafd7\bdd4b3656950d497f5e97776a4c1a8f7a94d9ab8ecb91023f251fdec47c036be\ComEd%20Project%20Memo%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588F1E73A3DF4E9DE46ACDFEFCEA5B" ma:contentTypeVersion="27" ma:contentTypeDescription="Create a new document." ma:contentTypeScope="" ma:versionID="06a6647dda19aaf9f41274d1e2b7d8a4">
  <xsd:schema xmlns:xsd="http://www.w3.org/2001/XMLSchema" xmlns:xs="http://www.w3.org/2001/XMLSchema" xmlns:p="http://schemas.microsoft.com/office/2006/metadata/properties" xmlns:ns1="http://schemas.microsoft.com/sharepoint/v3" xmlns:ns2="ad755eef-71ec-496f-ab18-a3e771bfb4a9" xmlns:ns3="dd860c49-519f-4fad-a9e7-096243cb3a9a" targetNamespace="http://schemas.microsoft.com/office/2006/metadata/properties" ma:root="true" ma:fieldsID="89e77575b512a6beb24b6942cb7c5ea3" ns1:_="" ns2:_="" ns3:_="">
    <xsd:import namespace="http://schemas.microsoft.com/sharepoint/v3"/>
    <xsd:import namespace="ad755eef-71ec-496f-ab18-a3e771bfb4a9"/>
    <xsd:import namespace="dd860c49-519f-4fad-a9e7-096243cb3a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5eef-71ec-496f-ab18-a3e771bfb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60c49-519f-4fad-a9e7-096243cb3a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a8478a9-f2a9-42e3-9358-0b9cefba749a}" ma:internalName="TaxCatchAll" ma:showField="CatchAllData" ma:web="dd860c49-519f-4fad-a9e7-096243cb3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55eef-71ec-496f-ab18-a3e771bfb4a9">
      <Terms xmlns="http://schemas.microsoft.com/office/infopath/2007/PartnerControls"/>
    </lcf76f155ced4ddcb4097134ff3c332f>
    <TaxCatchAll xmlns="dd860c49-519f-4fad-a9e7-096243cb3a9a" xsi:nil="true"/>
    <_ip_UnifiedCompliancePolicyUIAction xmlns="http://schemas.microsoft.com/sharepoint/v3" xsi:nil="true"/>
    <ArchiverLinkFileType xmlns="ad755eef-71ec-496f-ab18-a3e771bfb4a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2.xml><?xml version="1.0" encoding="utf-8"?>
<ds:datastoreItem xmlns:ds="http://schemas.openxmlformats.org/officeDocument/2006/customXml" ds:itemID="{88D73AA0-3EBA-49C0-90E2-884F15953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55eef-71ec-496f-ab18-a3e771bfb4a9"/>
    <ds:schemaRef ds:uri="dd860c49-519f-4fad-a9e7-096243cb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4.xml><?xml version="1.0" encoding="utf-8"?>
<ds:datastoreItem xmlns:ds="http://schemas.openxmlformats.org/officeDocument/2006/customXml" ds:itemID="{FEB681FD-A5B0-4199-9618-E788204AC4EE}">
  <ds:schemaRefs>
    <ds:schemaRef ds:uri="http://schemas.microsoft.com/office/2006/documentManagement/types"/>
    <ds:schemaRef ds:uri="http://purl.org/dc/terms/"/>
    <ds:schemaRef ds:uri="dd860c49-519f-4fad-a9e7-096243cb3a9a"/>
    <ds:schemaRef ds:uri="http://schemas.microsoft.com/office/infopath/2007/PartnerControls"/>
    <ds:schemaRef ds:uri="http://schemas.openxmlformats.org/package/2006/metadata/core-properties"/>
    <ds:schemaRef ds:uri="ad755eef-71ec-496f-ab18-a3e771bfb4a9"/>
    <ds:schemaRef ds:uri="http://schemas.microsoft.com/sharepoint/v3"/>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ComEd Project Memo Template (1)</Template>
  <TotalTime>2</TotalTime>
  <Pages>8</Pages>
  <Words>1774</Words>
  <Characters>11051</Characters>
  <Application>Microsoft Office Word</Application>
  <DocSecurity>0</DocSecurity>
  <Lines>460</Lines>
  <Paragraphs>413</Paragraphs>
  <ScaleCrop>false</ScaleCrop>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Frischmann</dc:creator>
  <cp:keywords/>
  <dc:description/>
  <cp:lastModifiedBy>Charles Ampong</cp:lastModifiedBy>
  <cp:revision>4</cp:revision>
  <dcterms:created xsi:type="dcterms:W3CDTF">2026-04-24T21:13:00Z</dcterms:created>
  <dcterms:modified xsi:type="dcterms:W3CDTF">2026-04-24T21:28:00Z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0x01010087588F1E73A3DF4E9DE46ACDFEFCEA5B</vt:lpwstr>
  </property>
  <property fmtid="{D5CDD505-2E9C-101B-9397-08002B2CF9AE}" pid="3" name="MediaServiceImageTags">
    <vt:lpwstr/>
  </property>
  <property fmtid="{D5CDD505-2E9C-101B-9397-08002B2CF9AE}" pid="4" name="GrammarlyDocumentId">
    <vt:lpwstr>4eab2dec-975a-4f86-895e-8a680d75b5eb</vt:lpwstr>
  </property>
  <property fmtid="{D5CDD505-2E9C-101B-9397-08002B2CF9AE}" pid="5" name="docLang">
    <vt:lpwstr>en</vt:lpwstr>
  </property>
</Properties>
</file>